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05713" w14:textId="7EFC854B" w:rsidR="004A1F5A" w:rsidRPr="000D119D" w:rsidRDefault="004A1F5A" w:rsidP="00365558">
      <w:pPr>
        <w:pStyle w:val="Covertitle"/>
        <w:tabs>
          <w:tab w:val="left" w:pos="3261"/>
        </w:tabs>
        <w:rPr>
          <w:rFonts w:cs="Segoe UI"/>
          <w:b/>
          <w:color w:val="00264D" w:themeColor="background2"/>
          <w:sz w:val="64"/>
          <w:szCs w:val="64"/>
        </w:rPr>
      </w:pPr>
      <w:r w:rsidRPr="000D119D">
        <w:rPr>
          <w:noProof/>
        </w:rPr>
        <w:drawing>
          <wp:anchor distT="0" distB="0" distL="114300" distR="114300" simplePos="0" relativeHeight="251681792" behindDoc="1" locked="0" layoutInCell="1" allowOverlap="1" wp14:anchorId="246853C8" wp14:editId="365CD3B3">
            <wp:simplePos x="0" y="0"/>
            <wp:positionH relativeFrom="page">
              <wp:posOffset>-4511</wp:posOffset>
            </wp:positionH>
            <wp:positionV relativeFrom="page">
              <wp:posOffset>0</wp:posOffset>
            </wp:positionV>
            <wp:extent cx="7559998" cy="10693741"/>
            <wp:effectExtent l="0" t="0" r="3175" b="0"/>
            <wp:wrapNone/>
            <wp:docPr id="14355" name="Picture 14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 name="Picture 1435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bookmarkStart w:id="0" w:name="_Ref97019552"/>
      <w:bookmarkEnd w:id="0"/>
      <w:sdt>
        <w:sdtPr>
          <w:rPr>
            <w:rFonts w:cs="Segoe UI"/>
            <w:b/>
            <w:color w:val="FFFFFF" w:themeColor="background1"/>
            <w:sz w:val="64"/>
            <w:szCs w:val="64"/>
          </w:rPr>
          <w:id w:val="-1490172306"/>
          <w:docPartObj>
            <w:docPartGallery w:val="Cover Pages"/>
            <w:docPartUnique/>
          </w:docPartObj>
        </w:sdtPr>
        <w:sdtEndPr>
          <w:rPr>
            <w:color w:val="00264D" w:themeColor="background2"/>
            <w:sz w:val="36"/>
            <w:szCs w:val="36"/>
          </w:rPr>
        </w:sdtEndPr>
        <w:sdtContent>
          <w:sdt>
            <w:sdtPr>
              <w:rPr>
                <w:rFonts w:cs="Segoe UI"/>
                <w:b/>
                <w:iCs/>
                <w:color w:val="00264D" w:themeColor="background2"/>
                <w:sz w:val="64"/>
                <w:szCs w:val="64"/>
              </w:rPr>
              <w:alias w:val="Title"/>
              <w:tag w:val=""/>
              <w:id w:val="-1109659088"/>
              <w:placeholder>
                <w:docPart w:val="1F6D0033B6494FC39CD2237172DFB835"/>
              </w:placeholder>
              <w:dataBinding w:prefixMappings="xmlns:ns0='http://purl.org/dc/elements/1.1/' xmlns:ns1='http://schemas.openxmlformats.org/package/2006/metadata/core-properties' " w:xpath="/ns1:coreProperties[1]/ns0:title[1]" w:storeItemID="{6C3C8BC8-F283-45AE-878A-BAB7291924A1}"/>
              <w:text/>
            </w:sdtPr>
            <w:sdtEndPr/>
            <w:sdtContent>
              <w:r w:rsidR="00F24AB6" w:rsidRPr="00D96DF7">
                <w:rPr>
                  <w:rFonts w:cs="Segoe UI"/>
                  <w:b/>
                  <w:iCs/>
                  <w:color w:val="00264D" w:themeColor="background2"/>
                  <w:sz w:val="64"/>
                  <w:szCs w:val="64"/>
                </w:rPr>
                <w:t xml:space="preserve">Independent Evaluation of </w:t>
              </w:r>
              <w:proofErr w:type="spellStart"/>
              <w:r w:rsidR="00F24AB6" w:rsidRPr="00D96DF7">
                <w:rPr>
                  <w:rFonts w:cs="Segoe UI"/>
                  <w:b/>
                  <w:iCs/>
                  <w:color w:val="00264D" w:themeColor="background2"/>
                  <w:sz w:val="64"/>
                  <w:szCs w:val="64"/>
                </w:rPr>
                <w:t>HeadtoHelp</w:t>
              </w:r>
              <w:proofErr w:type="spellEnd"/>
              <w:r w:rsidR="00F24AB6" w:rsidRPr="00D96DF7">
                <w:rPr>
                  <w:rFonts w:cs="Segoe UI"/>
                  <w:b/>
                  <w:iCs/>
                  <w:color w:val="00264D" w:themeColor="background2"/>
                  <w:sz w:val="64"/>
                  <w:szCs w:val="64"/>
                </w:rPr>
                <w:t xml:space="preserve"> and AMHCs: </w:t>
              </w:r>
              <w:r w:rsidR="0044540E" w:rsidRPr="00D96DF7">
                <w:rPr>
                  <w:rFonts w:cs="Segoe UI"/>
                  <w:b/>
                  <w:iCs/>
                  <w:color w:val="00264D" w:themeColor="background2"/>
                  <w:sz w:val="64"/>
                  <w:szCs w:val="64"/>
                </w:rPr>
                <w:t>Final Evaluation</w:t>
              </w:r>
              <w:r w:rsidR="00F24AB6" w:rsidRPr="00D96DF7">
                <w:rPr>
                  <w:rFonts w:cs="Segoe UI"/>
                  <w:b/>
                  <w:iCs/>
                  <w:color w:val="00264D" w:themeColor="background2"/>
                  <w:sz w:val="64"/>
                  <w:szCs w:val="64"/>
                </w:rPr>
                <w:t xml:space="preserve"> Report</w:t>
              </w:r>
            </w:sdtContent>
          </w:sdt>
        </w:sdtContent>
      </w:sdt>
    </w:p>
    <w:p w14:paraId="54593A4C" w14:textId="45E5A913" w:rsidR="004A1F5A" w:rsidRPr="00DD629E" w:rsidRDefault="005B0EE0" w:rsidP="003F0DAE">
      <w:pPr>
        <w:pStyle w:val="CoverPage-Client"/>
        <w:spacing w:before="360"/>
        <w:rPr>
          <w:rFonts w:cs="Segoe UI"/>
          <w:color w:val="C97306" w:themeColor="accent3" w:themeShade="BF"/>
        </w:rPr>
      </w:pPr>
      <w:sdt>
        <w:sdtPr>
          <w:rPr>
            <w:rStyle w:val="CoverPage-ClientChar"/>
            <w:rFonts w:cs="Segoe UI"/>
            <w:color w:val="C97306" w:themeColor="accent3" w:themeShade="BF"/>
          </w:rPr>
          <w:alias w:val="Subject"/>
          <w:tag w:val=""/>
          <w:id w:val="-2037026189"/>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D96DF7" w:rsidRPr="00DD629E">
            <w:rPr>
              <w:rStyle w:val="CoverPage-ClientChar"/>
              <w:rFonts w:cs="Segoe UI"/>
              <w:color w:val="C97306" w:themeColor="accent3" w:themeShade="BF"/>
            </w:rPr>
            <w:t>Mental Health</w:t>
          </w:r>
        </w:sdtContent>
      </w:sdt>
    </w:p>
    <w:p w14:paraId="7E1E5540" w14:textId="67EE3016" w:rsidR="004A1F5A" w:rsidRPr="000D119D" w:rsidRDefault="005B0EE0" w:rsidP="003F0DAE">
      <w:pPr>
        <w:pStyle w:val="CoverPage-Date"/>
        <w:spacing w:before="240"/>
      </w:pPr>
      <w:sdt>
        <w:sdtPr>
          <w:rPr>
            <w:rStyle w:val="CoverPage-DateChar"/>
            <w:rFonts w:cs="Segoe UI"/>
            <w:sz w:val="20"/>
            <w:szCs w:val="20"/>
          </w:rPr>
          <w:alias w:val="Publish Date"/>
          <w:tag w:val=""/>
          <w:id w:val="-80530651"/>
          <w:dataBinding w:prefixMappings="xmlns:ns0='http://schemas.microsoft.com/office/2006/coverPageProps' " w:xpath="/ns0:CoverPageProperties[1]/ns0:PublishDate[1]" w:storeItemID="{55AF091B-3C7A-41E3-B477-F2FDAA23CFDA}"/>
          <w:date w:fullDate="2022-04-01T00:00:00Z">
            <w:dateFormat w:val="d MMMM yyyy"/>
            <w:lid w:val="en-AU"/>
            <w:storeMappedDataAs w:val="dateTime"/>
            <w:calendar w:val="gregorian"/>
          </w:date>
        </w:sdtPr>
        <w:sdtEndPr>
          <w:rPr>
            <w:rStyle w:val="DefaultParagraphFont"/>
            <w:rFonts w:cs="Times New Roman"/>
            <w:sz w:val="24"/>
            <w:szCs w:val="19"/>
            <w:highlight w:val="yellow"/>
          </w:rPr>
        </w:sdtEndPr>
        <w:sdtContent>
          <w:r w:rsidR="00AA7A8E">
            <w:rPr>
              <w:rStyle w:val="CoverPage-DateChar"/>
              <w:rFonts w:cs="Segoe UI"/>
              <w:sz w:val="20"/>
              <w:szCs w:val="20"/>
            </w:rPr>
            <w:t>1 April 2022</w:t>
          </w:r>
        </w:sdtContent>
      </w:sdt>
    </w:p>
    <w:p w14:paraId="6CB98676" w14:textId="77777777" w:rsidR="004A1F5A" w:rsidRPr="000D119D" w:rsidRDefault="004A1F5A" w:rsidP="003F0DAE">
      <w:pPr>
        <w:suppressAutoHyphens/>
        <w:spacing w:after="0" w:line="680" w:lineRule="exact"/>
        <w:rPr>
          <w:lang w:val="en-AU"/>
        </w:rPr>
        <w:sectPr w:rsidR="004A1F5A" w:rsidRPr="000D119D" w:rsidSect="003F0DAE">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p>
    <w:p w14:paraId="54F2E095" w14:textId="77777777" w:rsidR="006C6932" w:rsidRPr="000D119D" w:rsidRDefault="008022D7" w:rsidP="00A733A8">
      <w:pPr>
        <w:ind w:right="-1"/>
        <w:rPr>
          <w:rFonts w:ascii="Segoe UI Semibold" w:hAnsi="Segoe UI Semibold" w:cs="Segoe UI Semibold"/>
          <w:i/>
          <w:sz w:val="16"/>
          <w:szCs w:val="16"/>
          <w:lang w:val="en-AU"/>
        </w:rPr>
      </w:pPr>
      <w:r w:rsidRPr="000D119D">
        <w:rPr>
          <w:lang w:val="en-AU"/>
        </w:rPr>
        <w:lastRenderedPageBreak/>
        <w:br/>
      </w:r>
      <w:r w:rsidR="006C6932" w:rsidRPr="000D119D">
        <w:rPr>
          <w:rFonts w:ascii="Segoe UI Semibold" w:hAnsi="Segoe UI Semibold" w:cs="Segoe UI Semibold"/>
          <w:i/>
          <w:sz w:val="16"/>
          <w:szCs w:val="16"/>
          <w:lang w:val="en-AU"/>
        </w:rPr>
        <w:t>Disclaimer:</w:t>
      </w:r>
    </w:p>
    <w:p w14:paraId="049E99F6" w14:textId="703F59DA" w:rsidR="00A733A8" w:rsidRPr="000D119D" w:rsidRDefault="00FD4AB1" w:rsidP="00A733A8">
      <w:pPr>
        <w:ind w:right="-1"/>
        <w:rPr>
          <w:i/>
          <w:sz w:val="16"/>
          <w:szCs w:val="16"/>
          <w:lang w:val="en-AU"/>
        </w:rPr>
      </w:pPr>
      <w:r w:rsidRPr="000D119D">
        <w:rPr>
          <w:noProof/>
          <w:sz w:val="16"/>
          <w:szCs w:val="16"/>
          <w:lang w:val="en-AU" w:eastAsia="en-AU"/>
        </w:rPr>
        <mc:AlternateContent>
          <mc:Choice Requires="wps">
            <w:drawing>
              <wp:anchor distT="0" distB="0" distL="114300" distR="114300" simplePos="0" relativeHeight="251632640" behindDoc="0" locked="0" layoutInCell="0" allowOverlap="1" wp14:anchorId="1E2BD172" wp14:editId="7CA3890A">
                <wp:simplePos x="0" y="0"/>
                <wp:positionH relativeFrom="margin">
                  <wp:posOffset>0</wp:posOffset>
                </wp:positionH>
                <wp:positionV relativeFrom="bottomMargin">
                  <wp:posOffset>0</wp:posOffset>
                </wp:positionV>
                <wp:extent cx="1720800" cy="313200"/>
                <wp:effectExtent l="0" t="0" r="0" b="0"/>
                <wp:wrapNone/>
                <wp:docPr id="820" name="Text Box 8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00" cy="31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3E9ABA" w14:textId="77777777" w:rsidR="00FD4AB1" w:rsidRPr="00FD4AB1" w:rsidRDefault="00FD4AB1" w:rsidP="00FD4AB1">
                            <w:pPr>
                              <w:rPr>
                                <w:color w:val="A5A5A5"/>
                              </w:rPr>
                            </w:pPr>
                            <w:r w:rsidRPr="00FD4AB1">
                              <w:rPr>
                                <w:color w:val="A5A5A5"/>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BD172" id="_x0000_t202" coordsize="21600,21600" o:spt="202" path="m,l,21600r21600,l21600,xe">
                <v:stroke joinstyle="miter"/>
                <v:path gradientshapeok="t" o:connecttype="rect"/>
              </v:shapetype>
              <v:shape id="Text Box 820" o:spid="_x0000_s1026" type="#_x0000_t202" alt="&quot;&quot;" style="position:absolute;margin-left:0;margin-top:0;width:135.5pt;height:24.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" o:allowincell="f" fillcolor="white [3201]" stroked="f" strokeweight=".5pt">
                <v:textbox inset="0">
                  <w:txbxContent>
                    <w:p w14:paraId="703E9ABA" w14:textId="77777777" w:rsidR="00FD4AB1" w:rsidRPr="00FD4AB1" w:rsidRDefault="00FD4AB1" w:rsidP="00FD4AB1">
                      <w:pPr>
                        <w:rPr>
                          <w:color w:val="A5A5A5"/>
                        </w:rPr>
                      </w:pPr>
                      <w:r w:rsidRPr="00FD4AB1">
                        <w:rPr>
                          <w:color w:val="A5A5A5"/>
                        </w:rPr>
                        <w:t>© Nous Group</w:t>
                      </w:r>
                    </w:p>
                  </w:txbxContent>
                </v:textbox>
                <w10:wrap anchorx="margin" anchory="margin"/>
              </v:shape>
            </w:pict>
          </mc:Fallback>
        </mc:AlternateContent>
      </w:r>
      <w:r w:rsidR="00A733A8" w:rsidRPr="000D119D">
        <w:rPr>
          <w:i/>
          <w:sz w:val="16"/>
          <w:szCs w:val="16"/>
          <w:lang w:val="en-AU"/>
        </w:rPr>
        <w:t>Nous Group (</w:t>
      </w:r>
      <w:r w:rsidR="00A733A8" w:rsidRPr="000D119D">
        <w:rPr>
          <w:b/>
          <w:i/>
          <w:sz w:val="16"/>
          <w:szCs w:val="16"/>
          <w:lang w:val="en-AU"/>
        </w:rPr>
        <w:t>Nous</w:t>
      </w:r>
      <w:r w:rsidR="00A733A8" w:rsidRPr="000D119D">
        <w:rPr>
          <w:i/>
          <w:sz w:val="16"/>
          <w:szCs w:val="16"/>
          <w:lang w:val="en-AU"/>
        </w:rPr>
        <w:t xml:space="preserve">) has prepared this report for the benefit of </w:t>
      </w:r>
      <w:r w:rsidR="00F24AB6" w:rsidRPr="000D119D">
        <w:rPr>
          <w:i/>
          <w:sz w:val="16"/>
          <w:szCs w:val="16"/>
          <w:lang w:val="en-AU"/>
        </w:rPr>
        <w:t xml:space="preserve">The </w:t>
      </w:r>
      <w:r w:rsidR="002A3C41" w:rsidRPr="000D119D">
        <w:rPr>
          <w:i/>
          <w:sz w:val="16"/>
          <w:szCs w:val="16"/>
          <w:lang w:val="en-AU"/>
        </w:rPr>
        <w:t xml:space="preserve">Australian </w:t>
      </w:r>
      <w:r w:rsidR="00F24AB6" w:rsidRPr="000D119D">
        <w:rPr>
          <w:i/>
          <w:sz w:val="16"/>
          <w:szCs w:val="16"/>
          <w:lang w:val="en-AU"/>
        </w:rPr>
        <w:t>Department of Health</w:t>
      </w:r>
      <w:r w:rsidR="00A733A8" w:rsidRPr="000D119D">
        <w:rPr>
          <w:i/>
          <w:sz w:val="16"/>
          <w:szCs w:val="16"/>
          <w:lang w:val="en-AU"/>
        </w:rPr>
        <w:t xml:space="preserve"> (the </w:t>
      </w:r>
      <w:r w:rsidR="008D693B" w:rsidRPr="000D119D">
        <w:rPr>
          <w:b/>
          <w:i/>
          <w:sz w:val="16"/>
          <w:szCs w:val="16"/>
          <w:lang w:val="en-AU"/>
        </w:rPr>
        <w:t>Clien</w:t>
      </w:r>
      <w:r w:rsidR="00F40845" w:rsidRPr="000D119D">
        <w:rPr>
          <w:b/>
          <w:i/>
          <w:sz w:val="16"/>
          <w:szCs w:val="16"/>
          <w:lang w:val="en-AU"/>
        </w:rPr>
        <w:t>t</w:t>
      </w:r>
      <w:r w:rsidR="00A733A8" w:rsidRPr="000D119D">
        <w:rPr>
          <w:i/>
          <w:sz w:val="16"/>
          <w:szCs w:val="16"/>
          <w:lang w:val="en-AU"/>
        </w:rPr>
        <w:t>).</w:t>
      </w:r>
    </w:p>
    <w:p w14:paraId="53852013" w14:textId="5FCD11DB" w:rsidR="000970F6" w:rsidRPr="000D119D" w:rsidRDefault="000970F6" w:rsidP="000970F6">
      <w:pPr>
        <w:rPr>
          <w:i/>
          <w:sz w:val="16"/>
          <w:szCs w:val="16"/>
          <w:lang w:val="en-AU"/>
        </w:rPr>
      </w:pPr>
      <w:r w:rsidRPr="000D119D">
        <w:rPr>
          <w:i/>
          <w:sz w:val="16"/>
          <w:szCs w:val="16"/>
          <w:lang w:val="en-AU"/>
        </w:rPr>
        <w:t xml:space="preserve">The report should not be used or relied upon for any purpose other than as an expression of the conclusions and recommendations of Nous to the </w:t>
      </w:r>
      <w:r w:rsidR="00F40845" w:rsidRPr="000D119D">
        <w:rPr>
          <w:i/>
          <w:sz w:val="16"/>
          <w:szCs w:val="16"/>
          <w:lang w:val="en-AU"/>
        </w:rPr>
        <w:t>Participant</w:t>
      </w:r>
      <w:r w:rsidRPr="000D119D">
        <w:rPr>
          <w:i/>
          <w:sz w:val="16"/>
          <w:szCs w:val="16"/>
          <w:lang w:val="en-AU"/>
        </w:rPr>
        <w:t xml:space="preserve"> as to the matters within the scope of the report. Nous and its officers and employees expressly disclaim any liability to any person other than the </w:t>
      </w:r>
      <w:r w:rsidR="00F40845" w:rsidRPr="000D119D">
        <w:rPr>
          <w:i/>
          <w:sz w:val="16"/>
          <w:szCs w:val="16"/>
          <w:lang w:val="en-AU"/>
        </w:rPr>
        <w:t>Participant</w:t>
      </w:r>
      <w:r w:rsidRPr="000D119D">
        <w:rPr>
          <w:i/>
          <w:sz w:val="16"/>
          <w:szCs w:val="16"/>
          <w:lang w:val="en-AU"/>
        </w:rPr>
        <w:t xml:space="preserve"> who relies or purports to rely on the report for any other purpose.</w:t>
      </w:r>
    </w:p>
    <w:p w14:paraId="352C4B1A" w14:textId="11B26F8E" w:rsidR="00FD4AB1" w:rsidRPr="000D119D" w:rsidRDefault="000970F6" w:rsidP="000970F6">
      <w:pPr>
        <w:rPr>
          <w:sz w:val="16"/>
          <w:szCs w:val="16"/>
          <w:lang w:val="en-AU"/>
        </w:rPr>
        <w:sectPr w:rsidR="00FD4AB1" w:rsidRPr="000D119D" w:rsidSect="000970F6">
          <w:headerReference w:type="default" r:id="rId16"/>
          <w:footerReference w:type="default" r:id="rId17"/>
          <w:pgSz w:w="11907" w:h="16839" w:code="9"/>
          <w:pgMar w:top="11624" w:right="1418" w:bottom="1701" w:left="1559" w:header="737" w:footer="720" w:gutter="0"/>
          <w:pgNumType w:start="1"/>
          <w:cols w:space="720"/>
          <w:docGrid w:linePitch="360"/>
        </w:sectPr>
      </w:pPr>
      <w:r w:rsidRPr="000D119D">
        <w:rPr>
          <w:i/>
          <w:sz w:val="16"/>
          <w:szCs w:val="16"/>
          <w:lang w:val="en-AU"/>
        </w:rPr>
        <w:t xml:space="preserve">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w:t>
      </w:r>
      <w:r w:rsidR="00F40845" w:rsidRPr="000D119D">
        <w:rPr>
          <w:i/>
          <w:sz w:val="16"/>
          <w:szCs w:val="16"/>
          <w:lang w:val="en-AU"/>
        </w:rPr>
        <w:t>Participant</w:t>
      </w:r>
      <w:r w:rsidRPr="000D119D">
        <w:rPr>
          <w:i/>
          <w:sz w:val="16"/>
          <w:szCs w:val="16"/>
          <w:lang w:val="en-AU"/>
        </w:rPr>
        <w:t xml:space="preserve"> and by other persons. Nous has relied on that information and has not independently verified or audited that information.</w:t>
      </w:r>
    </w:p>
    <w:p w14:paraId="7F49E1E2" w14:textId="65FA970A" w:rsidR="00CF7BA0" w:rsidRPr="000D119D" w:rsidRDefault="00CF7BA0" w:rsidP="00CF7BA0">
      <w:pPr>
        <w:pStyle w:val="ContentsHeading"/>
      </w:pPr>
      <w:r w:rsidRPr="000D119D">
        <w:lastRenderedPageBreak/>
        <w:t>Contents</w:t>
      </w:r>
    </w:p>
    <w:p w14:paraId="082DAC21" w14:textId="638A87A5" w:rsidR="00E562BA" w:rsidRDefault="008A4363">
      <w:pPr>
        <w:pStyle w:val="TOC1"/>
        <w:rPr>
          <w:rFonts w:asciiTheme="minorHAnsi" w:eastAsiaTheme="minorEastAsia" w:hAnsiTheme="minorHAnsi"/>
          <w:noProof/>
          <w:sz w:val="22"/>
          <w:lang w:val="en-AU" w:eastAsia="en-AU"/>
        </w:rPr>
      </w:pPr>
      <w:r w:rsidRPr="000D119D">
        <w:rPr>
          <w:lang w:val="en-AU" w:eastAsia="en-AU"/>
        </w:rPr>
        <w:fldChar w:fldCharType="begin"/>
      </w:r>
      <w:r w:rsidRPr="000D119D">
        <w:rPr>
          <w:lang w:val="en-AU" w:eastAsia="en-AU"/>
        </w:rPr>
        <w:instrText xml:space="preserve"> TOC \o "1-3" \h \z \u </w:instrText>
      </w:r>
      <w:r w:rsidRPr="000D119D">
        <w:rPr>
          <w:lang w:val="en-AU" w:eastAsia="en-AU"/>
        </w:rPr>
        <w:fldChar w:fldCharType="separate"/>
      </w:r>
      <w:hyperlink w:anchor="_Toc99650323" w:history="1">
        <w:r w:rsidR="00E562BA" w:rsidRPr="00855086">
          <w:rPr>
            <w:rStyle w:val="Hyperlink"/>
            <w:noProof/>
          </w:rPr>
          <w:t>Glossary</w:t>
        </w:r>
        <w:r w:rsidR="00E562BA">
          <w:rPr>
            <w:noProof/>
            <w:webHidden/>
          </w:rPr>
          <w:tab/>
        </w:r>
        <w:r w:rsidR="00E562BA">
          <w:rPr>
            <w:noProof/>
            <w:webHidden/>
          </w:rPr>
          <w:fldChar w:fldCharType="begin"/>
        </w:r>
        <w:r w:rsidR="00E562BA">
          <w:rPr>
            <w:noProof/>
            <w:webHidden/>
          </w:rPr>
          <w:instrText xml:space="preserve"> PAGEREF _Toc99650323 \h </w:instrText>
        </w:r>
        <w:r w:rsidR="00E562BA">
          <w:rPr>
            <w:noProof/>
            <w:webHidden/>
          </w:rPr>
        </w:r>
        <w:r w:rsidR="00E562BA">
          <w:rPr>
            <w:noProof/>
            <w:webHidden/>
          </w:rPr>
          <w:fldChar w:fldCharType="separate"/>
        </w:r>
        <w:r w:rsidR="00562174">
          <w:rPr>
            <w:noProof/>
            <w:webHidden/>
          </w:rPr>
          <w:t>1</w:t>
        </w:r>
        <w:r w:rsidR="00E562BA">
          <w:rPr>
            <w:noProof/>
            <w:webHidden/>
          </w:rPr>
          <w:fldChar w:fldCharType="end"/>
        </w:r>
      </w:hyperlink>
    </w:p>
    <w:p w14:paraId="5B31140D" w14:textId="5ECCE58E" w:rsidR="00E562BA" w:rsidRDefault="005B0EE0">
      <w:pPr>
        <w:pStyle w:val="TOC1"/>
        <w:rPr>
          <w:rFonts w:asciiTheme="minorHAnsi" w:eastAsiaTheme="minorEastAsia" w:hAnsiTheme="minorHAnsi"/>
          <w:noProof/>
          <w:sz w:val="22"/>
          <w:lang w:val="en-AU" w:eastAsia="en-AU"/>
        </w:rPr>
      </w:pPr>
      <w:hyperlink w:anchor="_Toc99650324" w:history="1">
        <w:r w:rsidR="00E562BA" w:rsidRPr="00855086">
          <w:rPr>
            <w:rStyle w:val="Hyperlink"/>
            <w:noProof/>
          </w:rPr>
          <w:t>Abbreviations</w:t>
        </w:r>
        <w:r w:rsidR="00E562BA">
          <w:rPr>
            <w:noProof/>
            <w:webHidden/>
          </w:rPr>
          <w:tab/>
        </w:r>
        <w:r w:rsidR="00E562BA">
          <w:rPr>
            <w:noProof/>
            <w:webHidden/>
          </w:rPr>
          <w:fldChar w:fldCharType="begin"/>
        </w:r>
        <w:r w:rsidR="00E562BA">
          <w:rPr>
            <w:noProof/>
            <w:webHidden/>
          </w:rPr>
          <w:instrText xml:space="preserve"> PAGEREF _Toc99650324 \h </w:instrText>
        </w:r>
        <w:r w:rsidR="00E562BA">
          <w:rPr>
            <w:noProof/>
            <w:webHidden/>
          </w:rPr>
        </w:r>
        <w:r w:rsidR="00E562BA">
          <w:rPr>
            <w:noProof/>
            <w:webHidden/>
          </w:rPr>
          <w:fldChar w:fldCharType="separate"/>
        </w:r>
        <w:r w:rsidR="00562174">
          <w:rPr>
            <w:noProof/>
            <w:webHidden/>
          </w:rPr>
          <w:t>2</w:t>
        </w:r>
        <w:r w:rsidR="00E562BA">
          <w:rPr>
            <w:noProof/>
            <w:webHidden/>
          </w:rPr>
          <w:fldChar w:fldCharType="end"/>
        </w:r>
      </w:hyperlink>
    </w:p>
    <w:p w14:paraId="04DB1B0E" w14:textId="1AFFFBBB" w:rsidR="00E562BA" w:rsidRDefault="005B0EE0">
      <w:pPr>
        <w:pStyle w:val="TOC1"/>
        <w:rPr>
          <w:rFonts w:asciiTheme="minorHAnsi" w:eastAsiaTheme="minorEastAsia" w:hAnsiTheme="minorHAnsi"/>
          <w:noProof/>
          <w:sz w:val="22"/>
          <w:lang w:val="en-AU" w:eastAsia="en-AU"/>
        </w:rPr>
      </w:pPr>
      <w:hyperlink w:anchor="_Toc99650325" w:history="1">
        <w:r w:rsidR="00E562BA" w:rsidRPr="00855086">
          <w:rPr>
            <w:rStyle w:val="Hyperlink"/>
            <w:noProof/>
          </w:rPr>
          <w:t>Executive Summary</w:t>
        </w:r>
        <w:r w:rsidR="00E562BA">
          <w:rPr>
            <w:noProof/>
            <w:webHidden/>
          </w:rPr>
          <w:tab/>
        </w:r>
        <w:r w:rsidR="00E562BA">
          <w:rPr>
            <w:noProof/>
            <w:webHidden/>
          </w:rPr>
          <w:fldChar w:fldCharType="begin"/>
        </w:r>
        <w:r w:rsidR="00E562BA">
          <w:rPr>
            <w:noProof/>
            <w:webHidden/>
          </w:rPr>
          <w:instrText xml:space="preserve"> PAGEREF _Toc99650325 \h </w:instrText>
        </w:r>
        <w:r w:rsidR="00E562BA">
          <w:rPr>
            <w:noProof/>
            <w:webHidden/>
          </w:rPr>
        </w:r>
        <w:r w:rsidR="00E562BA">
          <w:rPr>
            <w:noProof/>
            <w:webHidden/>
          </w:rPr>
          <w:fldChar w:fldCharType="separate"/>
        </w:r>
        <w:r w:rsidR="00562174">
          <w:rPr>
            <w:noProof/>
            <w:webHidden/>
          </w:rPr>
          <w:t>4</w:t>
        </w:r>
        <w:r w:rsidR="00E562BA">
          <w:rPr>
            <w:noProof/>
            <w:webHidden/>
          </w:rPr>
          <w:fldChar w:fldCharType="end"/>
        </w:r>
      </w:hyperlink>
    </w:p>
    <w:p w14:paraId="64A9A3E0" w14:textId="7B9FB3AC" w:rsidR="00E562BA" w:rsidRDefault="005B0EE0">
      <w:pPr>
        <w:pStyle w:val="TOC1"/>
        <w:rPr>
          <w:rFonts w:asciiTheme="minorHAnsi" w:eastAsiaTheme="minorEastAsia" w:hAnsiTheme="minorHAnsi"/>
          <w:noProof/>
          <w:sz w:val="22"/>
          <w:lang w:val="en-AU" w:eastAsia="en-AU"/>
        </w:rPr>
      </w:pPr>
      <w:hyperlink w:anchor="_Toc99650326" w:history="1">
        <w:r w:rsidR="00E562BA" w:rsidRPr="00855086">
          <w:rPr>
            <w:rStyle w:val="Hyperlink"/>
            <w:noProof/>
          </w:rPr>
          <w:t>2</w:t>
        </w:r>
        <w:r w:rsidR="00E562BA">
          <w:rPr>
            <w:rFonts w:asciiTheme="minorHAnsi" w:eastAsiaTheme="minorEastAsia" w:hAnsiTheme="minorHAnsi"/>
            <w:noProof/>
            <w:sz w:val="22"/>
            <w:lang w:val="en-AU" w:eastAsia="en-AU"/>
          </w:rPr>
          <w:tab/>
        </w:r>
        <w:r w:rsidR="00E562BA" w:rsidRPr="00855086">
          <w:rPr>
            <w:rStyle w:val="Hyperlink"/>
            <w:noProof/>
          </w:rPr>
          <w:t>Background to the evaluation</w:t>
        </w:r>
        <w:r w:rsidR="00E562BA">
          <w:rPr>
            <w:noProof/>
            <w:webHidden/>
          </w:rPr>
          <w:tab/>
        </w:r>
        <w:r w:rsidR="00E562BA">
          <w:rPr>
            <w:noProof/>
            <w:webHidden/>
          </w:rPr>
          <w:fldChar w:fldCharType="begin"/>
        </w:r>
        <w:r w:rsidR="00E562BA">
          <w:rPr>
            <w:noProof/>
            <w:webHidden/>
          </w:rPr>
          <w:instrText xml:space="preserve"> PAGEREF _Toc99650326 \h </w:instrText>
        </w:r>
        <w:r w:rsidR="00E562BA">
          <w:rPr>
            <w:noProof/>
            <w:webHidden/>
          </w:rPr>
        </w:r>
        <w:r w:rsidR="00E562BA">
          <w:rPr>
            <w:noProof/>
            <w:webHidden/>
          </w:rPr>
          <w:fldChar w:fldCharType="separate"/>
        </w:r>
        <w:r w:rsidR="00562174">
          <w:rPr>
            <w:noProof/>
            <w:webHidden/>
          </w:rPr>
          <w:t>11</w:t>
        </w:r>
        <w:r w:rsidR="00E562BA">
          <w:rPr>
            <w:noProof/>
            <w:webHidden/>
          </w:rPr>
          <w:fldChar w:fldCharType="end"/>
        </w:r>
      </w:hyperlink>
    </w:p>
    <w:p w14:paraId="5B00C6A1" w14:textId="3C098342" w:rsidR="00E562BA" w:rsidRDefault="005B0EE0">
      <w:pPr>
        <w:pStyle w:val="TOC2"/>
        <w:rPr>
          <w:rFonts w:asciiTheme="minorHAnsi" w:eastAsiaTheme="minorEastAsia" w:hAnsiTheme="minorHAnsi"/>
          <w:noProof/>
          <w:sz w:val="22"/>
          <w:lang w:val="en-AU" w:eastAsia="en-AU"/>
        </w:rPr>
      </w:pPr>
      <w:hyperlink w:anchor="_Toc99650327" w:history="1">
        <w:r w:rsidR="00E562BA" w:rsidRPr="00855086">
          <w:rPr>
            <w:rStyle w:val="Hyperlink"/>
            <w:noProof/>
          </w:rPr>
          <w:t>2.1</w:t>
        </w:r>
        <w:r w:rsidR="00E562BA">
          <w:rPr>
            <w:rFonts w:asciiTheme="minorHAnsi" w:eastAsiaTheme="minorEastAsia" w:hAnsiTheme="minorHAnsi"/>
            <w:noProof/>
            <w:sz w:val="22"/>
            <w:lang w:val="en-AU" w:eastAsia="en-AU"/>
          </w:rPr>
          <w:tab/>
        </w:r>
        <w:r w:rsidR="00E562BA" w:rsidRPr="00855086">
          <w:rPr>
            <w:rStyle w:val="Hyperlink"/>
            <w:noProof/>
          </w:rPr>
          <w:t>Purpose of the evaluation</w:t>
        </w:r>
        <w:r w:rsidR="00E562BA">
          <w:rPr>
            <w:noProof/>
            <w:webHidden/>
          </w:rPr>
          <w:tab/>
        </w:r>
        <w:r w:rsidR="00E562BA">
          <w:rPr>
            <w:noProof/>
            <w:webHidden/>
          </w:rPr>
          <w:fldChar w:fldCharType="begin"/>
        </w:r>
        <w:r w:rsidR="00E562BA">
          <w:rPr>
            <w:noProof/>
            <w:webHidden/>
          </w:rPr>
          <w:instrText xml:space="preserve"> PAGEREF _Toc99650327 \h </w:instrText>
        </w:r>
        <w:r w:rsidR="00E562BA">
          <w:rPr>
            <w:noProof/>
            <w:webHidden/>
          </w:rPr>
        </w:r>
        <w:r w:rsidR="00E562BA">
          <w:rPr>
            <w:noProof/>
            <w:webHidden/>
          </w:rPr>
          <w:fldChar w:fldCharType="separate"/>
        </w:r>
        <w:r w:rsidR="00562174">
          <w:rPr>
            <w:noProof/>
            <w:webHidden/>
          </w:rPr>
          <w:t>11</w:t>
        </w:r>
        <w:r w:rsidR="00E562BA">
          <w:rPr>
            <w:noProof/>
            <w:webHidden/>
          </w:rPr>
          <w:fldChar w:fldCharType="end"/>
        </w:r>
      </w:hyperlink>
    </w:p>
    <w:p w14:paraId="47D0EACD" w14:textId="3641A367" w:rsidR="00E562BA" w:rsidRDefault="005B0EE0">
      <w:pPr>
        <w:pStyle w:val="TOC2"/>
        <w:rPr>
          <w:rFonts w:asciiTheme="minorHAnsi" w:eastAsiaTheme="minorEastAsia" w:hAnsiTheme="minorHAnsi"/>
          <w:noProof/>
          <w:sz w:val="22"/>
          <w:lang w:val="en-AU" w:eastAsia="en-AU"/>
        </w:rPr>
      </w:pPr>
      <w:hyperlink w:anchor="_Toc99650328" w:history="1">
        <w:r w:rsidR="00E562BA" w:rsidRPr="00855086">
          <w:rPr>
            <w:rStyle w:val="Hyperlink"/>
            <w:rFonts w:eastAsia="Segoe UI"/>
            <w:noProof/>
          </w:rPr>
          <w:t>2.2</w:t>
        </w:r>
        <w:r w:rsidR="00E562BA">
          <w:rPr>
            <w:rFonts w:asciiTheme="minorHAnsi" w:eastAsiaTheme="minorEastAsia" w:hAnsiTheme="minorHAnsi"/>
            <w:noProof/>
            <w:sz w:val="22"/>
            <w:lang w:val="en-AU" w:eastAsia="en-AU"/>
          </w:rPr>
          <w:tab/>
        </w:r>
        <w:r w:rsidR="00E562BA" w:rsidRPr="00855086">
          <w:rPr>
            <w:rStyle w:val="Hyperlink"/>
            <w:rFonts w:eastAsia="Segoe UI"/>
            <w:noProof/>
          </w:rPr>
          <w:t>Evaluation approach</w:t>
        </w:r>
        <w:r w:rsidR="00E562BA">
          <w:rPr>
            <w:noProof/>
            <w:webHidden/>
          </w:rPr>
          <w:tab/>
        </w:r>
        <w:r w:rsidR="00E562BA">
          <w:rPr>
            <w:noProof/>
            <w:webHidden/>
          </w:rPr>
          <w:fldChar w:fldCharType="begin"/>
        </w:r>
        <w:r w:rsidR="00E562BA">
          <w:rPr>
            <w:noProof/>
            <w:webHidden/>
          </w:rPr>
          <w:instrText xml:space="preserve"> PAGEREF _Toc99650328 \h </w:instrText>
        </w:r>
        <w:r w:rsidR="00E562BA">
          <w:rPr>
            <w:noProof/>
            <w:webHidden/>
          </w:rPr>
        </w:r>
        <w:r w:rsidR="00E562BA">
          <w:rPr>
            <w:noProof/>
            <w:webHidden/>
          </w:rPr>
          <w:fldChar w:fldCharType="separate"/>
        </w:r>
        <w:r w:rsidR="00562174">
          <w:rPr>
            <w:noProof/>
            <w:webHidden/>
          </w:rPr>
          <w:t>11</w:t>
        </w:r>
        <w:r w:rsidR="00E562BA">
          <w:rPr>
            <w:noProof/>
            <w:webHidden/>
          </w:rPr>
          <w:fldChar w:fldCharType="end"/>
        </w:r>
      </w:hyperlink>
    </w:p>
    <w:p w14:paraId="34CC8BEC" w14:textId="538ED016" w:rsidR="00E562BA" w:rsidRDefault="005B0EE0">
      <w:pPr>
        <w:pStyle w:val="TOC2"/>
        <w:rPr>
          <w:rFonts w:asciiTheme="minorHAnsi" w:eastAsiaTheme="minorEastAsia" w:hAnsiTheme="minorHAnsi"/>
          <w:noProof/>
          <w:sz w:val="22"/>
          <w:lang w:val="en-AU" w:eastAsia="en-AU"/>
        </w:rPr>
      </w:pPr>
      <w:hyperlink w:anchor="_Toc99650329" w:history="1">
        <w:r w:rsidR="00E562BA" w:rsidRPr="00855086">
          <w:rPr>
            <w:rStyle w:val="Hyperlink"/>
            <w:rFonts w:eastAsia="Segoe UI"/>
            <w:noProof/>
          </w:rPr>
          <w:t>2.3</w:t>
        </w:r>
        <w:r w:rsidR="00E562BA">
          <w:rPr>
            <w:rFonts w:asciiTheme="minorHAnsi" w:eastAsiaTheme="minorEastAsia" w:hAnsiTheme="minorHAnsi"/>
            <w:noProof/>
            <w:sz w:val="22"/>
            <w:lang w:val="en-AU" w:eastAsia="en-AU"/>
          </w:rPr>
          <w:tab/>
        </w:r>
        <w:r w:rsidR="00E562BA" w:rsidRPr="00855086">
          <w:rPr>
            <w:rStyle w:val="Hyperlink"/>
            <w:rFonts w:eastAsia="Segoe UI"/>
            <w:noProof/>
          </w:rPr>
          <w:t>Methodology</w:t>
        </w:r>
        <w:r w:rsidR="00E562BA">
          <w:rPr>
            <w:noProof/>
            <w:webHidden/>
          </w:rPr>
          <w:tab/>
        </w:r>
        <w:r w:rsidR="00E562BA">
          <w:rPr>
            <w:noProof/>
            <w:webHidden/>
          </w:rPr>
          <w:fldChar w:fldCharType="begin"/>
        </w:r>
        <w:r w:rsidR="00E562BA">
          <w:rPr>
            <w:noProof/>
            <w:webHidden/>
          </w:rPr>
          <w:instrText xml:space="preserve"> PAGEREF _Toc99650329 \h </w:instrText>
        </w:r>
        <w:r w:rsidR="00E562BA">
          <w:rPr>
            <w:noProof/>
            <w:webHidden/>
          </w:rPr>
        </w:r>
        <w:r w:rsidR="00E562BA">
          <w:rPr>
            <w:noProof/>
            <w:webHidden/>
          </w:rPr>
          <w:fldChar w:fldCharType="separate"/>
        </w:r>
        <w:r w:rsidR="00562174">
          <w:rPr>
            <w:noProof/>
            <w:webHidden/>
          </w:rPr>
          <w:t>13</w:t>
        </w:r>
        <w:r w:rsidR="00E562BA">
          <w:rPr>
            <w:noProof/>
            <w:webHidden/>
          </w:rPr>
          <w:fldChar w:fldCharType="end"/>
        </w:r>
      </w:hyperlink>
    </w:p>
    <w:p w14:paraId="2620A139" w14:textId="1258C59C" w:rsidR="00E562BA" w:rsidRDefault="005B0EE0">
      <w:pPr>
        <w:pStyle w:val="TOC2"/>
        <w:rPr>
          <w:rFonts w:asciiTheme="minorHAnsi" w:eastAsiaTheme="minorEastAsia" w:hAnsiTheme="minorHAnsi"/>
          <w:noProof/>
          <w:sz w:val="22"/>
          <w:lang w:val="en-AU" w:eastAsia="en-AU"/>
        </w:rPr>
      </w:pPr>
      <w:hyperlink w:anchor="_Toc99650330" w:history="1">
        <w:r w:rsidR="00E562BA" w:rsidRPr="00855086">
          <w:rPr>
            <w:rStyle w:val="Hyperlink"/>
            <w:noProof/>
          </w:rPr>
          <w:t>2.4</w:t>
        </w:r>
        <w:r w:rsidR="00E562BA">
          <w:rPr>
            <w:rFonts w:asciiTheme="minorHAnsi" w:eastAsiaTheme="minorEastAsia" w:hAnsiTheme="minorHAnsi"/>
            <w:noProof/>
            <w:sz w:val="22"/>
            <w:lang w:val="en-AU" w:eastAsia="en-AU"/>
          </w:rPr>
          <w:tab/>
        </w:r>
        <w:r w:rsidR="00E562BA" w:rsidRPr="00855086">
          <w:rPr>
            <w:rStyle w:val="Hyperlink"/>
            <w:noProof/>
          </w:rPr>
          <w:t>Program context</w:t>
        </w:r>
        <w:r w:rsidR="00E562BA">
          <w:rPr>
            <w:noProof/>
            <w:webHidden/>
          </w:rPr>
          <w:tab/>
        </w:r>
        <w:r w:rsidR="00E562BA">
          <w:rPr>
            <w:noProof/>
            <w:webHidden/>
          </w:rPr>
          <w:fldChar w:fldCharType="begin"/>
        </w:r>
        <w:r w:rsidR="00E562BA">
          <w:rPr>
            <w:noProof/>
            <w:webHidden/>
          </w:rPr>
          <w:instrText xml:space="preserve"> PAGEREF _Toc99650330 \h </w:instrText>
        </w:r>
        <w:r w:rsidR="00E562BA">
          <w:rPr>
            <w:noProof/>
            <w:webHidden/>
          </w:rPr>
        </w:r>
        <w:r w:rsidR="00E562BA">
          <w:rPr>
            <w:noProof/>
            <w:webHidden/>
          </w:rPr>
          <w:fldChar w:fldCharType="separate"/>
        </w:r>
        <w:r w:rsidR="00562174">
          <w:rPr>
            <w:noProof/>
            <w:webHidden/>
          </w:rPr>
          <w:t>16</w:t>
        </w:r>
        <w:r w:rsidR="00E562BA">
          <w:rPr>
            <w:noProof/>
            <w:webHidden/>
          </w:rPr>
          <w:fldChar w:fldCharType="end"/>
        </w:r>
      </w:hyperlink>
    </w:p>
    <w:p w14:paraId="4CD5BBEE" w14:textId="423A6715" w:rsidR="00E562BA" w:rsidRDefault="005B0EE0">
      <w:pPr>
        <w:pStyle w:val="TOC1"/>
        <w:rPr>
          <w:rFonts w:asciiTheme="minorHAnsi" w:eastAsiaTheme="minorEastAsia" w:hAnsiTheme="minorHAnsi"/>
          <w:noProof/>
          <w:sz w:val="22"/>
          <w:lang w:val="en-AU" w:eastAsia="en-AU"/>
        </w:rPr>
      </w:pPr>
      <w:hyperlink w:anchor="_Toc99650331" w:history="1">
        <w:r w:rsidR="00E562BA" w:rsidRPr="00855086">
          <w:rPr>
            <w:rStyle w:val="Hyperlink"/>
            <w:noProof/>
          </w:rPr>
          <w:t xml:space="preserve"> </w:t>
        </w:r>
        <w:r w:rsidR="00E562BA" w:rsidRPr="00855086">
          <w:rPr>
            <w:rStyle w:val="Hyperlink"/>
            <w:i/>
            <w:iCs/>
            <w:noProof/>
          </w:rPr>
          <w:t xml:space="preserve">HeadtoHelp </w:t>
        </w:r>
        <w:r w:rsidR="00E562BA" w:rsidRPr="00855086">
          <w:rPr>
            <w:rStyle w:val="Hyperlink"/>
            <w:noProof/>
          </w:rPr>
          <w:t>Findings</w:t>
        </w:r>
        <w:r w:rsidR="00E562BA">
          <w:rPr>
            <w:noProof/>
            <w:webHidden/>
          </w:rPr>
          <w:tab/>
        </w:r>
        <w:r w:rsidR="00E562BA">
          <w:rPr>
            <w:noProof/>
            <w:webHidden/>
          </w:rPr>
          <w:fldChar w:fldCharType="begin"/>
        </w:r>
        <w:r w:rsidR="00E562BA">
          <w:rPr>
            <w:noProof/>
            <w:webHidden/>
          </w:rPr>
          <w:instrText xml:space="preserve"> PAGEREF _Toc99650331 \h </w:instrText>
        </w:r>
        <w:r w:rsidR="00E562BA">
          <w:rPr>
            <w:noProof/>
            <w:webHidden/>
          </w:rPr>
        </w:r>
        <w:r w:rsidR="00E562BA">
          <w:rPr>
            <w:noProof/>
            <w:webHidden/>
          </w:rPr>
          <w:fldChar w:fldCharType="separate"/>
        </w:r>
        <w:r w:rsidR="00562174">
          <w:rPr>
            <w:noProof/>
            <w:webHidden/>
          </w:rPr>
          <w:t>20</w:t>
        </w:r>
        <w:r w:rsidR="00E562BA">
          <w:rPr>
            <w:noProof/>
            <w:webHidden/>
          </w:rPr>
          <w:fldChar w:fldCharType="end"/>
        </w:r>
      </w:hyperlink>
    </w:p>
    <w:p w14:paraId="3E978A74" w14:textId="4851FC62" w:rsidR="00E562BA" w:rsidRDefault="005B0EE0">
      <w:pPr>
        <w:pStyle w:val="TOC1"/>
        <w:rPr>
          <w:rFonts w:asciiTheme="minorHAnsi" w:eastAsiaTheme="minorEastAsia" w:hAnsiTheme="minorHAnsi"/>
          <w:noProof/>
          <w:sz w:val="22"/>
          <w:lang w:val="en-AU" w:eastAsia="en-AU"/>
        </w:rPr>
      </w:pPr>
      <w:hyperlink w:anchor="_Toc99650332" w:history="1">
        <w:r w:rsidR="00E562BA" w:rsidRPr="00855086">
          <w:rPr>
            <w:rStyle w:val="Hyperlink"/>
            <w:noProof/>
          </w:rPr>
          <w:t>3</w:t>
        </w:r>
        <w:r w:rsidR="00E562BA">
          <w:rPr>
            <w:rFonts w:asciiTheme="minorHAnsi" w:eastAsiaTheme="minorEastAsia" w:hAnsiTheme="minorHAnsi"/>
            <w:noProof/>
            <w:sz w:val="22"/>
            <w:lang w:val="en-AU" w:eastAsia="en-AU"/>
          </w:rPr>
          <w:tab/>
        </w:r>
        <w:r w:rsidR="00E562BA" w:rsidRPr="00855086">
          <w:rPr>
            <w:rStyle w:val="Hyperlink"/>
            <w:noProof/>
          </w:rPr>
          <w:t xml:space="preserve">Establishment of </w:t>
        </w:r>
        <w:r w:rsidR="00E562BA" w:rsidRPr="00855086">
          <w:rPr>
            <w:rStyle w:val="Hyperlink"/>
            <w:i/>
            <w:iCs/>
            <w:noProof/>
          </w:rPr>
          <w:t>HeadtoHelp</w:t>
        </w:r>
        <w:r w:rsidR="00E562BA">
          <w:rPr>
            <w:noProof/>
            <w:webHidden/>
          </w:rPr>
          <w:tab/>
        </w:r>
        <w:r w:rsidR="00E562BA">
          <w:rPr>
            <w:noProof/>
            <w:webHidden/>
          </w:rPr>
          <w:fldChar w:fldCharType="begin"/>
        </w:r>
        <w:r w:rsidR="00E562BA">
          <w:rPr>
            <w:noProof/>
            <w:webHidden/>
          </w:rPr>
          <w:instrText xml:space="preserve"> PAGEREF _Toc99650332 \h </w:instrText>
        </w:r>
        <w:r w:rsidR="00E562BA">
          <w:rPr>
            <w:noProof/>
            <w:webHidden/>
          </w:rPr>
        </w:r>
        <w:r w:rsidR="00E562BA">
          <w:rPr>
            <w:noProof/>
            <w:webHidden/>
          </w:rPr>
          <w:fldChar w:fldCharType="separate"/>
        </w:r>
        <w:r w:rsidR="00562174">
          <w:rPr>
            <w:noProof/>
            <w:webHidden/>
          </w:rPr>
          <w:t>20</w:t>
        </w:r>
        <w:r w:rsidR="00E562BA">
          <w:rPr>
            <w:noProof/>
            <w:webHidden/>
          </w:rPr>
          <w:fldChar w:fldCharType="end"/>
        </w:r>
      </w:hyperlink>
    </w:p>
    <w:p w14:paraId="56A75AAF" w14:textId="5F9FCD8C" w:rsidR="00E562BA" w:rsidRDefault="005B0EE0">
      <w:pPr>
        <w:pStyle w:val="TOC2"/>
        <w:rPr>
          <w:rFonts w:asciiTheme="minorHAnsi" w:eastAsiaTheme="minorEastAsia" w:hAnsiTheme="minorHAnsi"/>
          <w:noProof/>
          <w:sz w:val="22"/>
          <w:lang w:val="en-AU" w:eastAsia="en-AU"/>
        </w:rPr>
      </w:pPr>
      <w:hyperlink w:anchor="_Toc99650333" w:history="1">
        <w:r w:rsidR="00E562BA" w:rsidRPr="00855086">
          <w:rPr>
            <w:rStyle w:val="Hyperlink"/>
            <w:noProof/>
          </w:rPr>
          <w:t>3.1</w:t>
        </w:r>
        <w:r w:rsidR="00E562BA">
          <w:rPr>
            <w:rFonts w:asciiTheme="minorHAnsi" w:eastAsiaTheme="minorEastAsia" w:hAnsiTheme="minorHAnsi"/>
            <w:noProof/>
            <w:sz w:val="22"/>
            <w:lang w:val="en-AU" w:eastAsia="en-AU"/>
          </w:rPr>
          <w:tab/>
        </w:r>
        <w:r w:rsidR="00E562BA" w:rsidRPr="00855086">
          <w:rPr>
            <w:rStyle w:val="Hyperlink"/>
            <w:noProof/>
          </w:rPr>
          <w:t>How appropriate is the program design to deliver the program outcomes?</w:t>
        </w:r>
        <w:r w:rsidR="00E562BA">
          <w:rPr>
            <w:noProof/>
            <w:webHidden/>
          </w:rPr>
          <w:tab/>
        </w:r>
        <w:r w:rsidR="00E562BA">
          <w:rPr>
            <w:noProof/>
            <w:webHidden/>
          </w:rPr>
          <w:fldChar w:fldCharType="begin"/>
        </w:r>
        <w:r w:rsidR="00E562BA">
          <w:rPr>
            <w:noProof/>
            <w:webHidden/>
          </w:rPr>
          <w:instrText xml:space="preserve"> PAGEREF _Toc99650333 \h </w:instrText>
        </w:r>
        <w:r w:rsidR="00E562BA">
          <w:rPr>
            <w:noProof/>
            <w:webHidden/>
          </w:rPr>
        </w:r>
        <w:r w:rsidR="00E562BA">
          <w:rPr>
            <w:noProof/>
            <w:webHidden/>
          </w:rPr>
          <w:fldChar w:fldCharType="separate"/>
        </w:r>
        <w:r w:rsidR="00562174">
          <w:rPr>
            <w:noProof/>
            <w:webHidden/>
          </w:rPr>
          <w:t>20</w:t>
        </w:r>
        <w:r w:rsidR="00E562BA">
          <w:rPr>
            <w:noProof/>
            <w:webHidden/>
          </w:rPr>
          <w:fldChar w:fldCharType="end"/>
        </w:r>
      </w:hyperlink>
    </w:p>
    <w:p w14:paraId="6D4EBD8B" w14:textId="7F0DCE6F" w:rsidR="00E562BA" w:rsidRDefault="005B0EE0">
      <w:pPr>
        <w:pStyle w:val="TOC3"/>
        <w:rPr>
          <w:rFonts w:asciiTheme="minorHAnsi" w:eastAsiaTheme="minorEastAsia" w:hAnsiTheme="minorHAnsi"/>
          <w:noProof/>
          <w:sz w:val="22"/>
          <w:lang w:val="en-AU" w:eastAsia="en-AU"/>
        </w:rPr>
      </w:pPr>
      <w:hyperlink w:anchor="_Toc99650334" w:history="1">
        <w:r w:rsidR="00E562BA" w:rsidRPr="00855086">
          <w:rPr>
            <w:rStyle w:val="Hyperlink"/>
            <w:noProof/>
          </w:rPr>
          <w:t>3.1.1</w:t>
        </w:r>
        <w:r w:rsidR="00E562BA">
          <w:rPr>
            <w:rFonts w:asciiTheme="minorHAnsi" w:eastAsiaTheme="minorEastAsia" w:hAnsiTheme="minorHAnsi"/>
            <w:noProof/>
            <w:sz w:val="22"/>
            <w:lang w:val="en-AU" w:eastAsia="en-AU"/>
          </w:rPr>
          <w:tab/>
        </w:r>
        <w:r w:rsidR="00E562BA" w:rsidRPr="00855086">
          <w:rPr>
            <w:rStyle w:val="Hyperlink"/>
            <w:iCs/>
            <w:noProof/>
          </w:rPr>
          <w:t>Key design features</w:t>
        </w:r>
        <w:r w:rsidR="00E562BA">
          <w:rPr>
            <w:noProof/>
            <w:webHidden/>
          </w:rPr>
          <w:tab/>
        </w:r>
        <w:r w:rsidR="00E562BA">
          <w:rPr>
            <w:noProof/>
            <w:webHidden/>
          </w:rPr>
          <w:fldChar w:fldCharType="begin"/>
        </w:r>
        <w:r w:rsidR="00E562BA">
          <w:rPr>
            <w:noProof/>
            <w:webHidden/>
          </w:rPr>
          <w:instrText xml:space="preserve"> PAGEREF _Toc99650334 \h </w:instrText>
        </w:r>
        <w:r w:rsidR="00E562BA">
          <w:rPr>
            <w:noProof/>
            <w:webHidden/>
          </w:rPr>
        </w:r>
        <w:r w:rsidR="00E562BA">
          <w:rPr>
            <w:noProof/>
            <w:webHidden/>
          </w:rPr>
          <w:fldChar w:fldCharType="separate"/>
        </w:r>
        <w:r w:rsidR="00562174">
          <w:rPr>
            <w:noProof/>
            <w:webHidden/>
          </w:rPr>
          <w:t>20</w:t>
        </w:r>
        <w:r w:rsidR="00E562BA">
          <w:rPr>
            <w:noProof/>
            <w:webHidden/>
          </w:rPr>
          <w:fldChar w:fldCharType="end"/>
        </w:r>
      </w:hyperlink>
    </w:p>
    <w:p w14:paraId="00CA72C3" w14:textId="01A9901A" w:rsidR="00E562BA" w:rsidRDefault="005B0EE0">
      <w:pPr>
        <w:pStyle w:val="TOC3"/>
        <w:rPr>
          <w:rFonts w:asciiTheme="minorHAnsi" w:eastAsiaTheme="minorEastAsia" w:hAnsiTheme="minorHAnsi"/>
          <w:noProof/>
          <w:sz w:val="22"/>
          <w:lang w:val="en-AU" w:eastAsia="en-AU"/>
        </w:rPr>
      </w:pPr>
      <w:hyperlink w:anchor="_Toc99650335" w:history="1">
        <w:r w:rsidR="00E562BA" w:rsidRPr="00855086">
          <w:rPr>
            <w:rStyle w:val="Hyperlink"/>
            <w:noProof/>
          </w:rPr>
          <w:t>3.1.2</w:t>
        </w:r>
        <w:r w:rsidR="00E562BA">
          <w:rPr>
            <w:rFonts w:asciiTheme="minorHAnsi" w:eastAsiaTheme="minorEastAsia" w:hAnsiTheme="minorHAnsi"/>
            <w:noProof/>
            <w:sz w:val="22"/>
            <w:lang w:val="en-AU" w:eastAsia="en-AU"/>
          </w:rPr>
          <w:tab/>
        </w:r>
        <w:r w:rsidR="00E562BA" w:rsidRPr="00855086">
          <w:rPr>
            <w:rStyle w:val="Hyperlink"/>
            <w:noProof/>
          </w:rPr>
          <w:t>Design limitations</w:t>
        </w:r>
        <w:r w:rsidR="00E562BA">
          <w:rPr>
            <w:noProof/>
            <w:webHidden/>
          </w:rPr>
          <w:tab/>
        </w:r>
        <w:r w:rsidR="00E562BA">
          <w:rPr>
            <w:noProof/>
            <w:webHidden/>
          </w:rPr>
          <w:fldChar w:fldCharType="begin"/>
        </w:r>
        <w:r w:rsidR="00E562BA">
          <w:rPr>
            <w:noProof/>
            <w:webHidden/>
          </w:rPr>
          <w:instrText xml:space="preserve"> PAGEREF _Toc99650335 \h </w:instrText>
        </w:r>
        <w:r w:rsidR="00E562BA">
          <w:rPr>
            <w:noProof/>
            <w:webHidden/>
          </w:rPr>
        </w:r>
        <w:r w:rsidR="00E562BA">
          <w:rPr>
            <w:noProof/>
            <w:webHidden/>
          </w:rPr>
          <w:fldChar w:fldCharType="separate"/>
        </w:r>
        <w:r w:rsidR="00562174">
          <w:rPr>
            <w:noProof/>
            <w:webHidden/>
          </w:rPr>
          <w:t>22</w:t>
        </w:r>
        <w:r w:rsidR="00E562BA">
          <w:rPr>
            <w:noProof/>
            <w:webHidden/>
          </w:rPr>
          <w:fldChar w:fldCharType="end"/>
        </w:r>
      </w:hyperlink>
    </w:p>
    <w:p w14:paraId="71A160A7" w14:textId="541F9892" w:rsidR="00E562BA" w:rsidRDefault="005B0EE0">
      <w:pPr>
        <w:pStyle w:val="TOC2"/>
        <w:rPr>
          <w:rFonts w:asciiTheme="minorHAnsi" w:eastAsiaTheme="minorEastAsia" w:hAnsiTheme="minorHAnsi"/>
          <w:noProof/>
          <w:sz w:val="22"/>
          <w:lang w:val="en-AU" w:eastAsia="en-AU"/>
        </w:rPr>
      </w:pPr>
      <w:hyperlink w:anchor="_Toc99650336" w:history="1">
        <w:r w:rsidR="00E562BA" w:rsidRPr="00855086">
          <w:rPr>
            <w:rStyle w:val="Hyperlink"/>
            <w:noProof/>
          </w:rPr>
          <w:t>3.2</w:t>
        </w:r>
        <w:r w:rsidR="00E562BA">
          <w:rPr>
            <w:rFonts w:asciiTheme="minorHAnsi" w:eastAsiaTheme="minorEastAsia" w:hAnsiTheme="minorHAnsi"/>
            <w:noProof/>
            <w:sz w:val="22"/>
            <w:lang w:val="en-AU" w:eastAsia="en-AU"/>
          </w:rPr>
          <w:tab/>
        </w:r>
        <w:r w:rsidR="00E562BA" w:rsidRPr="00855086">
          <w:rPr>
            <w:rStyle w:val="Hyperlink"/>
            <w:noProof/>
          </w:rPr>
          <w:t>How effective was the establishment of the program?</w:t>
        </w:r>
        <w:r w:rsidR="00E562BA">
          <w:rPr>
            <w:noProof/>
            <w:webHidden/>
          </w:rPr>
          <w:tab/>
        </w:r>
        <w:r w:rsidR="00E562BA">
          <w:rPr>
            <w:noProof/>
            <w:webHidden/>
          </w:rPr>
          <w:fldChar w:fldCharType="begin"/>
        </w:r>
        <w:r w:rsidR="00E562BA">
          <w:rPr>
            <w:noProof/>
            <w:webHidden/>
          </w:rPr>
          <w:instrText xml:space="preserve"> PAGEREF _Toc99650336 \h </w:instrText>
        </w:r>
        <w:r w:rsidR="00E562BA">
          <w:rPr>
            <w:noProof/>
            <w:webHidden/>
          </w:rPr>
        </w:r>
        <w:r w:rsidR="00E562BA">
          <w:rPr>
            <w:noProof/>
            <w:webHidden/>
          </w:rPr>
          <w:fldChar w:fldCharType="separate"/>
        </w:r>
        <w:r w:rsidR="00562174">
          <w:rPr>
            <w:noProof/>
            <w:webHidden/>
          </w:rPr>
          <w:t>23</w:t>
        </w:r>
        <w:r w:rsidR="00E562BA">
          <w:rPr>
            <w:noProof/>
            <w:webHidden/>
          </w:rPr>
          <w:fldChar w:fldCharType="end"/>
        </w:r>
      </w:hyperlink>
    </w:p>
    <w:p w14:paraId="5705E140" w14:textId="67E42298" w:rsidR="00E562BA" w:rsidRDefault="005B0EE0">
      <w:pPr>
        <w:pStyle w:val="TOC3"/>
        <w:rPr>
          <w:rFonts w:asciiTheme="minorHAnsi" w:eastAsiaTheme="minorEastAsia" w:hAnsiTheme="minorHAnsi"/>
          <w:noProof/>
          <w:sz w:val="22"/>
          <w:lang w:val="en-AU" w:eastAsia="en-AU"/>
        </w:rPr>
      </w:pPr>
      <w:hyperlink w:anchor="_Toc99650337" w:history="1">
        <w:r w:rsidR="00E562BA" w:rsidRPr="00855086">
          <w:rPr>
            <w:rStyle w:val="Hyperlink"/>
            <w:noProof/>
          </w:rPr>
          <w:t>3.2.1</w:t>
        </w:r>
        <w:r w:rsidR="00E562BA">
          <w:rPr>
            <w:rFonts w:asciiTheme="minorHAnsi" w:eastAsiaTheme="minorEastAsia" w:hAnsiTheme="minorHAnsi"/>
            <w:noProof/>
            <w:sz w:val="22"/>
            <w:lang w:val="en-AU" w:eastAsia="en-AU"/>
          </w:rPr>
          <w:tab/>
        </w:r>
        <w:r w:rsidR="00E562BA" w:rsidRPr="00855086">
          <w:rPr>
            <w:rStyle w:val="Hyperlink"/>
            <w:noProof/>
          </w:rPr>
          <w:t>Hub commissioning and set-up</w:t>
        </w:r>
        <w:r w:rsidR="00E562BA">
          <w:rPr>
            <w:noProof/>
            <w:webHidden/>
          </w:rPr>
          <w:tab/>
        </w:r>
        <w:r w:rsidR="00E562BA">
          <w:rPr>
            <w:noProof/>
            <w:webHidden/>
          </w:rPr>
          <w:fldChar w:fldCharType="begin"/>
        </w:r>
        <w:r w:rsidR="00E562BA">
          <w:rPr>
            <w:noProof/>
            <w:webHidden/>
          </w:rPr>
          <w:instrText xml:space="preserve"> PAGEREF _Toc99650337 \h </w:instrText>
        </w:r>
        <w:r w:rsidR="00E562BA">
          <w:rPr>
            <w:noProof/>
            <w:webHidden/>
          </w:rPr>
        </w:r>
        <w:r w:rsidR="00E562BA">
          <w:rPr>
            <w:noProof/>
            <w:webHidden/>
          </w:rPr>
          <w:fldChar w:fldCharType="separate"/>
        </w:r>
        <w:r w:rsidR="00562174">
          <w:rPr>
            <w:noProof/>
            <w:webHidden/>
          </w:rPr>
          <w:t>23</w:t>
        </w:r>
        <w:r w:rsidR="00E562BA">
          <w:rPr>
            <w:noProof/>
            <w:webHidden/>
          </w:rPr>
          <w:fldChar w:fldCharType="end"/>
        </w:r>
      </w:hyperlink>
    </w:p>
    <w:p w14:paraId="179F3FED" w14:textId="24017C5B" w:rsidR="00E562BA" w:rsidRDefault="005B0EE0">
      <w:pPr>
        <w:pStyle w:val="TOC3"/>
        <w:rPr>
          <w:rFonts w:asciiTheme="minorHAnsi" w:eastAsiaTheme="minorEastAsia" w:hAnsiTheme="minorHAnsi"/>
          <w:noProof/>
          <w:sz w:val="22"/>
          <w:lang w:val="en-AU" w:eastAsia="en-AU"/>
        </w:rPr>
      </w:pPr>
      <w:hyperlink w:anchor="_Toc99650338" w:history="1">
        <w:r w:rsidR="00E562BA" w:rsidRPr="00855086">
          <w:rPr>
            <w:rStyle w:val="Hyperlink"/>
            <w:noProof/>
          </w:rPr>
          <w:t>3.2.2</w:t>
        </w:r>
        <w:r w:rsidR="00E562BA">
          <w:rPr>
            <w:rFonts w:asciiTheme="minorHAnsi" w:eastAsiaTheme="minorEastAsia" w:hAnsiTheme="minorHAnsi"/>
            <w:noProof/>
            <w:sz w:val="22"/>
            <w:lang w:val="en-AU" w:eastAsia="en-AU"/>
          </w:rPr>
          <w:tab/>
        </w:r>
        <w:r w:rsidR="00E562BA" w:rsidRPr="00855086">
          <w:rPr>
            <w:rStyle w:val="Hyperlink"/>
            <w:noProof/>
          </w:rPr>
          <w:t>Governance and collaboration</w:t>
        </w:r>
        <w:r w:rsidR="00E562BA">
          <w:rPr>
            <w:noProof/>
            <w:webHidden/>
          </w:rPr>
          <w:tab/>
        </w:r>
        <w:r w:rsidR="00E562BA">
          <w:rPr>
            <w:noProof/>
            <w:webHidden/>
          </w:rPr>
          <w:fldChar w:fldCharType="begin"/>
        </w:r>
        <w:r w:rsidR="00E562BA">
          <w:rPr>
            <w:noProof/>
            <w:webHidden/>
          </w:rPr>
          <w:instrText xml:space="preserve"> PAGEREF _Toc99650338 \h </w:instrText>
        </w:r>
        <w:r w:rsidR="00E562BA">
          <w:rPr>
            <w:noProof/>
            <w:webHidden/>
          </w:rPr>
        </w:r>
        <w:r w:rsidR="00E562BA">
          <w:rPr>
            <w:noProof/>
            <w:webHidden/>
          </w:rPr>
          <w:fldChar w:fldCharType="separate"/>
        </w:r>
        <w:r w:rsidR="00562174">
          <w:rPr>
            <w:noProof/>
            <w:webHidden/>
          </w:rPr>
          <w:t>26</w:t>
        </w:r>
        <w:r w:rsidR="00E562BA">
          <w:rPr>
            <w:noProof/>
            <w:webHidden/>
          </w:rPr>
          <w:fldChar w:fldCharType="end"/>
        </w:r>
      </w:hyperlink>
    </w:p>
    <w:p w14:paraId="53641B3F" w14:textId="42320525" w:rsidR="00E562BA" w:rsidRDefault="005B0EE0">
      <w:pPr>
        <w:pStyle w:val="TOC3"/>
        <w:rPr>
          <w:rFonts w:asciiTheme="minorHAnsi" w:eastAsiaTheme="minorEastAsia" w:hAnsiTheme="minorHAnsi"/>
          <w:noProof/>
          <w:sz w:val="22"/>
          <w:lang w:val="en-AU" w:eastAsia="en-AU"/>
        </w:rPr>
      </w:pPr>
      <w:hyperlink w:anchor="_Toc99650339" w:history="1">
        <w:r w:rsidR="00E562BA" w:rsidRPr="00855086">
          <w:rPr>
            <w:rStyle w:val="Hyperlink"/>
            <w:noProof/>
          </w:rPr>
          <w:t>3.2.3</w:t>
        </w:r>
        <w:r w:rsidR="00E562BA">
          <w:rPr>
            <w:rFonts w:asciiTheme="minorHAnsi" w:eastAsiaTheme="minorEastAsia" w:hAnsiTheme="minorHAnsi"/>
            <w:noProof/>
            <w:sz w:val="22"/>
            <w:lang w:val="en-AU" w:eastAsia="en-AU"/>
          </w:rPr>
          <w:tab/>
        </w:r>
        <w:r w:rsidR="00E562BA" w:rsidRPr="00855086">
          <w:rPr>
            <w:rStyle w:val="Hyperlink"/>
            <w:noProof/>
          </w:rPr>
          <w:t>Shared service model</w:t>
        </w:r>
        <w:r w:rsidR="00E562BA">
          <w:rPr>
            <w:noProof/>
            <w:webHidden/>
          </w:rPr>
          <w:tab/>
        </w:r>
        <w:r w:rsidR="00E562BA">
          <w:rPr>
            <w:noProof/>
            <w:webHidden/>
          </w:rPr>
          <w:fldChar w:fldCharType="begin"/>
        </w:r>
        <w:r w:rsidR="00E562BA">
          <w:rPr>
            <w:noProof/>
            <w:webHidden/>
          </w:rPr>
          <w:instrText xml:space="preserve"> PAGEREF _Toc99650339 \h </w:instrText>
        </w:r>
        <w:r w:rsidR="00E562BA">
          <w:rPr>
            <w:noProof/>
            <w:webHidden/>
          </w:rPr>
        </w:r>
        <w:r w:rsidR="00E562BA">
          <w:rPr>
            <w:noProof/>
            <w:webHidden/>
          </w:rPr>
          <w:fldChar w:fldCharType="separate"/>
        </w:r>
        <w:r w:rsidR="00562174">
          <w:rPr>
            <w:noProof/>
            <w:webHidden/>
          </w:rPr>
          <w:t>28</w:t>
        </w:r>
        <w:r w:rsidR="00E562BA">
          <w:rPr>
            <w:noProof/>
            <w:webHidden/>
          </w:rPr>
          <w:fldChar w:fldCharType="end"/>
        </w:r>
      </w:hyperlink>
    </w:p>
    <w:p w14:paraId="427629E9" w14:textId="4B0958DE" w:rsidR="00E562BA" w:rsidRDefault="005B0EE0">
      <w:pPr>
        <w:pStyle w:val="TOC1"/>
        <w:rPr>
          <w:rFonts w:asciiTheme="minorHAnsi" w:eastAsiaTheme="minorEastAsia" w:hAnsiTheme="minorHAnsi"/>
          <w:noProof/>
          <w:sz w:val="22"/>
          <w:lang w:val="en-AU" w:eastAsia="en-AU"/>
        </w:rPr>
      </w:pPr>
      <w:hyperlink w:anchor="_Toc99650340" w:history="1">
        <w:r w:rsidR="00E562BA" w:rsidRPr="00855086">
          <w:rPr>
            <w:rStyle w:val="Hyperlink"/>
            <w:noProof/>
          </w:rPr>
          <w:t>4</w:t>
        </w:r>
        <w:r w:rsidR="00E562BA">
          <w:rPr>
            <w:rFonts w:asciiTheme="minorHAnsi" w:eastAsiaTheme="minorEastAsia" w:hAnsiTheme="minorHAnsi"/>
            <w:noProof/>
            <w:sz w:val="22"/>
            <w:lang w:val="en-AU" w:eastAsia="en-AU"/>
          </w:rPr>
          <w:tab/>
        </w:r>
        <w:r w:rsidR="00E562BA" w:rsidRPr="00855086">
          <w:rPr>
            <w:rStyle w:val="Hyperlink"/>
            <w:noProof/>
          </w:rPr>
          <w:t xml:space="preserve">Implementation of </w:t>
        </w:r>
        <w:r w:rsidR="00E562BA" w:rsidRPr="00855086">
          <w:rPr>
            <w:rStyle w:val="Hyperlink"/>
            <w:i/>
            <w:iCs/>
            <w:noProof/>
          </w:rPr>
          <w:t>HeadtoHelp</w:t>
        </w:r>
        <w:r w:rsidR="00E562BA">
          <w:rPr>
            <w:noProof/>
            <w:webHidden/>
          </w:rPr>
          <w:tab/>
        </w:r>
        <w:r w:rsidR="00E562BA">
          <w:rPr>
            <w:noProof/>
            <w:webHidden/>
          </w:rPr>
          <w:fldChar w:fldCharType="begin"/>
        </w:r>
        <w:r w:rsidR="00E562BA">
          <w:rPr>
            <w:noProof/>
            <w:webHidden/>
          </w:rPr>
          <w:instrText xml:space="preserve"> PAGEREF _Toc99650340 \h </w:instrText>
        </w:r>
        <w:r w:rsidR="00E562BA">
          <w:rPr>
            <w:noProof/>
            <w:webHidden/>
          </w:rPr>
        </w:r>
        <w:r w:rsidR="00E562BA">
          <w:rPr>
            <w:noProof/>
            <w:webHidden/>
          </w:rPr>
          <w:fldChar w:fldCharType="separate"/>
        </w:r>
        <w:r w:rsidR="00562174">
          <w:rPr>
            <w:noProof/>
            <w:webHidden/>
          </w:rPr>
          <w:t>33</w:t>
        </w:r>
        <w:r w:rsidR="00E562BA">
          <w:rPr>
            <w:noProof/>
            <w:webHidden/>
          </w:rPr>
          <w:fldChar w:fldCharType="end"/>
        </w:r>
      </w:hyperlink>
    </w:p>
    <w:p w14:paraId="4A32AA4F" w14:textId="4A4F5A58" w:rsidR="00E562BA" w:rsidRDefault="005B0EE0">
      <w:pPr>
        <w:pStyle w:val="TOC2"/>
        <w:rPr>
          <w:rFonts w:asciiTheme="minorHAnsi" w:eastAsiaTheme="minorEastAsia" w:hAnsiTheme="minorHAnsi"/>
          <w:noProof/>
          <w:sz w:val="22"/>
          <w:lang w:val="en-AU" w:eastAsia="en-AU"/>
        </w:rPr>
      </w:pPr>
      <w:hyperlink w:anchor="_Toc99650341" w:history="1">
        <w:r w:rsidR="00E562BA" w:rsidRPr="00855086">
          <w:rPr>
            <w:rStyle w:val="Hyperlink"/>
            <w:noProof/>
          </w:rPr>
          <w:t>4.1</w:t>
        </w:r>
        <w:r w:rsidR="00E562BA">
          <w:rPr>
            <w:rFonts w:asciiTheme="minorHAnsi" w:eastAsiaTheme="minorEastAsia" w:hAnsiTheme="minorHAnsi"/>
            <w:noProof/>
            <w:sz w:val="22"/>
            <w:lang w:val="en-AU" w:eastAsia="en-AU"/>
          </w:rPr>
          <w:tab/>
        </w:r>
        <w:r w:rsidR="00E562BA" w:rsidRPr="00855086">
          <w:rPr>
            <w:rStyle w:val="Hyperlink"/>
            <w:noProof/>
          </w:rPr>
          <w:t xml:space="preserve">How effective has the implementation of the </w:t>
        </w:r>
        <w:r w:rsidR="00E562BA" w:rsidRPr="00855086">
          <w:rPr>
            <w:rStyle w:val="Hyperlink"/>
            <w:i/>
            <w:noProof/>
          </w:rPr>
          <w:t>HeadtoHelp</w:t>
        </w:r>
        <w:r w:rsidR="00E562BA" w:rsidRPr="00855086">
          <w:rPr>
            <w:rStyle w:val="Hyperlink"/>
            <w:noProof/>
          </w:rPr>
          <w:t xml:space="preserve"> initiative been to date and what can we learn from it?</w:t>
        </w:r>
        <w:r w:rsidR="00E562BA">
          <w:rPr>
            <w:noProof/>
            <w:webHidden/>
          </w:rPr>
          <w:tab/>
        </w:r>
        <w:r w:rsidR="00E562BA">
          <w:rPr>
            <w:noProof/>
            <w:webHidden/>
          </w:rPr>
          <w:fldChar w:fldCharType="begin"/>
        </w:r>
        <w:r w:rsidR="00E562BA">
          <w:rPr>
            <w:noProof/>
            <w:webHidden/>
          </w:rPr>
          <w:instrText xml:space="preserve"> PAGEREF _Toc99650341 \h </w:instrText>
        </w:r>
        <w:r w:rsidR="00E562BA">
          <w:rPr>
            <w:noProof/>
            <w:webHidden/>
          </w:rPr>
        </w:r>
        <w:r w:rsidR="00E562BA">
          <w:rPr>
            <w:noProof/>
            <w:webHidden/>
          </w:rPr>
          <w:fldChar w:fldCharType="separate"/>
        </w:r>
        <w:r w:rsidR="00562174">
          <w:rPr>
            <w:noProof/>
            <w:webHidden/>
          </w:rPr>
          <w:t>33</w:t>
        </w:r>
        <w:r w:rsidR="00E562BA">
          <w:rPr>
            <w:noProof/>
            <w:webHidden/>
          </w:rPr>
          <w:fldChar w:fldCharType="end"/>
        </w:r>
      </w:hyperlink>
    </w:p>
    <w:p w14:paraId="14BC6A4D" w14:textId="62C85C1D" w:rsidR="00E562BA" w:rsidRDefault="005B0EE0">
      <w:pPr>
        <w:pStyle w:val="TOC3"/>
        <w:rPr>
          <w:rFonts w:asciiTheme="minorHAnsi" w:eastAsiaTheme="minorEastAsia" w:hAnsiTheme="minorHAnsi"/>
          <w:noProof/>
          <w:sz w:val="22"/>
          <w:lang w:val="en-AU" w:eastAsia="en-AU"/>
        </w:rPr>
      </w:pPr>
      <w:hyperlink w:anchor="_Toc99650342" w:history="1">
        <w:r w:rsidR="00E562BA" w:rsidRPr="00855086">
          <w:rPr>
            <w:rStyle w:val="Hyperlink"/>
            <w:noProof/>
          </w:rPr>
          <w:t>4.1.1</w:t>
        </w:r>
        <w:r w:rsidR="00E562BA">
          <w:rPr>
            <w:rFonts w:asciiTheme="minorHAnsi" w:eastAsiaTheme="minorEastAsia" w:hAnsiTheme="minorHAnsi"/>
            <w:noProof/>
            <w:sz w:val="22"/>
            <w:lang w:val="en-AU" w:eastAsia="en-AU"/>
          </w:rPr>
          <w:tab/>
        </w:r>
        <w:r w:rsidR="00E562BA" w:rsidRPr="00855086">
          <w:rPr>
            <w:rStyle w:val="Hyperlink"/>
            <w:noProof/>
          </w:rPr>
          <w:t>Volume of service use</w:t>
        </w:r>
        <w:r w:rsidR="00E562BA">
          <w:rPr>
            <w:noProof/>
            <w:webHidden/>
          </w:rPr>
          <w:tab/>
        </w:r>
        <w:r w:rsidR="00E562BA">
          <w:rPr>
            <w:noProof/>
            <w:webHidden/>
          </w:rPr>
          <w:fldChar w:fldCharType="begin"/>
        </w:r>
        <w:r w:rsidR="00E562BA">
          <w:rPr>
            <w:noProof/>
            <w:webHidden/>
          </w:rPr>
          <w:instrText xml:space="preserve"> PAGEREF _Toc99650342 \h </w:instrText>
        </w:r>
        <w:r w:rsidR="00E562BA">
          <w:rPr>
            <w:noProof/>
            <w:webHidden/>
          </w:rPr>
        </w:r>
        <w:r w:rsidR="00E562BA">
          <w:rPr>
            <w:noProof/>
            <w:webHidden/>
          </w:rPr>
          <w:fldChar w:fldCharType="separate"/>
        </w:r>
        <w:r w:rsidR="00562174">
          <w:rPr>
            <w:noProof/>
            <w:webHidden/>
          </w:rPr>
          <w:t>34</w:t>
        </w:r>
        <w:r w:rsidR="00E562BA">
          <w:rPr>
            <w:noProof/>
            <w:webHidden/>
          </w:rPr>
          <w:fldChar w:fldCharType="end"/>
        </w:r>
      </w:hyperlink>
    </w:p>
    <w:p w14:paraId="1B46B808" w14:textId="1FAEBBC5" w:rsidR="00E562BA" w:rsidRDefault="005B0EE0">
      <w:pPr>
        <w:pStyle w:val="TOC3"/>
        <w:rPr>
          <w:rFonts w:asciiTheme="minorHAnsi" w:eastAsiaTheme="minorEastAsia" w:hAnsiTheme="minorHAnsi"/>
          <w:noProof/>
          <w:sz w:val="22"/>
          <w:lang w:val="en-AU" w:eastAsia="en-AU"/>
        </w:rPr>
      </w:pPr>
      <w:hyperlink w:anchor="_Toc99650343" w:history="1">
        <w:r w:rsidR="00E562BA" w:rsidRPr="00855086">
          <w:rPr>
            <w:rStyle w:val="Hyperlink"/>
            <w:noProof/>
          </w:rPr>
          <w:t>4.1.2</w:t>
        </w:r>
        <w:r w:rsidR="00E562BA">
          <w:rPr>
            <w:rFonts w:asciiTheme="minorHAnsi" w:eastAsiaTheme="minorEastAsia" w:hAnsiTheme="minorHAnsi"/>
            <w:noProof/>
            <w:sz w:val="22"/>
            <w:lang w:val="en-AU" w:eastAsia="en-AU"/>
          </w:rPr>
          <w:tab/>
        </w:r>
        <w:r w:rsidR="00E562BA" w:rsidRPr="00855086">
          <w:rPr>
            <w:rStyle w:val="Hyperlink"/>
            <w:i/>
            <w:noProof/>
          </w:rPr>
          <w:t>Headtohelp</w:t>
        </w:r>
        <w:r w:rsidR="00E562BA" w:rsidRPr="00855086">
          <w:rPr>
            <w:rStyle w:val="Hyperlink"/>
            <w:noProof/>
          </w:rPr>
          <w:t xml:space="preserve"> participants</w:t>
        </w:r>
        <w:r w:rsidR="00E562BA">
          <w:rPr>
            <w:noProof/>
            <w:webHidden/>
          </w:rPr>
          <w:tab/>
        </w:r>
        <w:r w:rsidR="00E562BA">
          <w:rPr>
            <w:noProof/>
            <w:webHidden/>
          </w:rPr>
          <w:fldChar w:fldCharType="begin"/>
        </w:r>
        <w:r w:rsidR="00E562BA">
          <w:rPr>
            <w:noProof/>
            <w:webHidden/>
          </w:rPr>
          <w:instrText xml:space="preserve"> PAGEREF _Toc99650343 \h </w:instrText>
        </w:r>
        <w:r w:rsidR="00E562BA">
          <w:rPr>
            <w:noProof/>
            <w:webHidden/>
          </w:rPr>
        </w:r>
        <w:r w:rsidR="00E562BA">
          <w:rPr>
            <w:noProof/>
            <w:webHidden/>
          </w:rPr>
          <w:fldChar w:fldCharType="separate"/>
        </w:r>
        <w:r w:rsidR="00562174">
          <w:rPr>
            <w:noProof/>
            <w:webHidden/>
          </w:rPr>
          <w:t>39</w:t>
        </w:r>
        <w:r w:rsidR="00E562BA">
          <w:rPr>
            <w:noProof/>
            <w:webHidden/>
          </w:rPr>
          <w:fldChar w:fldCharType="end"/>
        </w:r>
      </w:hyperlink>
    </w:p>
    <w:p w14:paraId="030EDD42" w14:textId="2587E3BC" w:rsidR="00E562BA" w:rsidRDefault="005B0EE0">
      <w:pPr>
        <w:pStyle w:val="TOC3"/>
        <w:rPr>
          <w:rFonts w:asciiTheme="minorHAnsi" w:eastAsiaTheme="minorEastAsia" w:hAnsiTheme="minorHAnsi"/>
          <w:noProof/>
          <w:sz w:val="22"/>
          <w:lang w:val="en-AU" w:eastAsia="en-AU"/>
        </w:rPr>
      </w:pPr>
      <w:hyperlink w:anchor="_Toc99650344" w:history="1">
        <w:r w:rsidR="00E562BA" w:rsidRPr="00855086">
          <w:rPr>
            <w:rStyle w:val="Hyperlink"/>
            <w:noProof/>
          </w:rPr>
          <w:t>4.1.3</w:t>
        </w:r>
        <w:r w:rsidR="00E562BA">
          <w:rPr>
            <w:rFonts w:asciiTheme="minorHAnsi" w:eastAsiaTheme="minorEastAsia" w:hAnsiTheme="minorHAnsi"/>
            <w:noProof/>
            <w:sz w:val="22"/>
            <w:lang w:val="en-AU" w:eastAsia="en-AU"/>
          </w:rPr>
          <w:tab/>
        </w:r>
        <w:r w:rsidR="00E562BA" w:rsidRPr="00855086">
          <w:rPr>
            <w:rStyle w:val="Hyperlink"/>
            <w:noProof/>
          </w:rPr>
          <w:t>Social and clinical complexity</w:t>
        </w:r>
        <w:r w:rsidR="00E562BA">
          <w:rPr>
            <w:noProof/>
            <w:webHidden/>
          </w:rPr>
          <w:tab/>
        </w:r>
        <w:r w:rsidR="00E562BA">
          <w:rPr>
            <w:noProof/>
            <w:webHidden/>
          </w:rPr>
          <w:fldChar w:fldCharType="begin"/>
        </w:r>
        <w:r w:rsidR="00E562BA">
          <w:rPr>
            <w:noProof/>
            <w:webHidden/>
          </w:rPr>
          <w:instrText xml:space="preserve"> PAGEREF _Toc99650344 \h </w:instrText>
        </w:r>
        <w:r w:rsidR="00E562BA">
          <w:rPr>
            <w:noProof/>
            <w:webHidden/>
          </w:rPr>
        </w:r>
        <w:r w:rsidR="00E562BA">
          <w:rPr>
            <w:noProof/>
            <w:webHidden/>
          </w:rPr>
          <w:fldChar w:fldCharType="separate"/>
        </w:r>
        <w:r w:rsidR="00562174">
          <w:rPr>
            <w:noProof/>
            <w:webHidden/>
          </w:rPr>
          <w:t>41</w:t>
        </w:r>
        <w:r w:rsidR="00E562BA">
          <w:rPr>
            <w:noProof/>
            <w:webHidden/>
          </w:rPr>
          <w:fldChar w:fldCharType="end"/>
        </w:r>
      </w:hyperlink>
    </w:p>
    <w:p w14:paraId="6C4AD1FD" w14:textId="35E9479D" w:rsidR="00E562BA" w:rsidRDefault="005B0EE0">
      <w:pPr>
        <w:pStyle w:val="TOC3"/>
        <w:rPr>
          <w:rFonts w:asciiTheme="minorHAnsi" w:eastAsiaTheme="minorEastAsia" w:hAnsiTheme="minorHAnsi"/>
          <w:noProof/>
          <w:sz w:val="22"/>
          <w:lang w:val="en-AU" w:eastAsia="en-AU"/>
        </w:rPr>
      </w:pPr>
      <w:hyperlink w:anchor="_Toc99650345" w:history="1">
        <w:r w:rsidR="00E562BA" w:rsidRPr="00855086">
          <w:rPr>
            <w:rStyle w:val="Hyperlink"/>
            <w:noProof/>
          </w:rPr>
          <w:t>4.1.4</w:t>
        </w:r>
        <w:r w:rsidR="00E562BA">
          <w:rPr>
            <w:rFonts w:asciiTheme="minorHAnsi" w:eastAsiaTheme="minorEastAsia" w:hAnsiTheme="minorHAnsi"/>
            <w:noProof/>
            <w:sz w:val="22"/>
            <w:lang w:val="en-AU" w:eastAsia="en-AU"/>
          </w:rPr>
          <w:tab/>
        </w:r>
        <w:r w:rsidR="00E562BA" w:rsidRPr="00855086">
          <w:rPr>
            <w:rStyle w:val="Hyperlink"/>
            <w:noProof/>
          </w:rPr>
          <w:t>Service use</w:t>
        </w:r>
        <w:r w:rsidR="00E562BA">
          <w:rPr>
            <w:noProof/>
            <w:webHidden/>
          </w:rPr>
          <w:tab/>
        </w:r>
        <w:r w:rsidR="00E562BA">
          <w:rPr>
            <w:noProof/>
            <w:webHidden/>
          </w:rPr>
          <w:fldChar w:fldCharType="begin"/>
        </w:r>
        <w:r w:rsidR="00E562BA">
          <w:rPr>
            <w:noProof/>
            <w:webHidden/>
          </w:rPr>
          <w:instrText xml:space="preserve"> PAGEREF _Toc99650345 \h </w:instrText>
        </w:r>
        <w:r w:rsidR="00E562BA">
          <w:rPr>
            <w:noProof/>
            <w:webHidden/>
          </w:rPr>
        </w:r>
        <w:r w:rsidR="00E562BA">
          <w:rPr>
            <w:noProof/>
            <w:webHidden/>
          </w:rPr>
          <w:fldChar w:fldCharType="separate"/>
        </w:r>
        <w:r w:rsidR="00562174">
          <w:rPr>
            <w:noProof/>
            <w:webHidden/>
          </w:rPr>
          <w:t>46</w:t>
        </w:r>
        <w:r w:rsidR="00E562BA">
          <w:rPr>
            <w:noProof/>
            <w:webHidden/>
          </w:rPr>
          <w:fldChar w:fldCharType="end"/>
        </w:r>
      </w:hyperlink>
    </w:p>
    <w:p w14:paraId="0D66CCC7" w14:textId="63198EFA" w:rsidR="00E562BA" w:rsidRDefault="005B0EE0">
      <w:pPr>
        <w:pStyle w:val="TOC3"/>
        <w:rPr>
          <w:rFonts w:asciiTheme="minorHAnsi" w:eastAsiaTheme="minorEastAsia" w:hAnsiTheme="minorHAnsi"/>
          <w:noProof/>
          <w:sz w:val="22"/>
          <w:lang w:val="en-AU" w:eastAsia="en-AU"/>
        </w:rPr>
      </w:pPr>
      <w:hyperlink w:anchor="_Toc99650346" w:history="1">
        <w:r w:rsidR="00E562BA" w:rsidRPr="00855086">
          <w:rPr>
            <w:rStyle w:val="Hyperlink"/>
            <w:noProof/>
          </w:rPr>
          <w:t>4.1.5</w:t>
        </w:r>
        <w:r w:rsidR="00E562BA">
          <w:rPr>
            <w:rFonts w:asciiTheme="minorHAnsi" w:eastAsiaTheme="minorEastAsia" w:hAnsiTheme="minorHAnsi"/>
            <w:noProof/>
            <w:sz w:val="22"/>
            <w:lang w:val="en-AU" w:eastAsia="en-AU"/>
          </w:rPr>
          <w:tab/>
        </w:r>
        <w:r w:rsidR="00E562BA" w:rsidRPr="00855086">
          <w:rPr>
            <w:rStyle w:val="Hyperlink"/>
            <w:noProof/>
          </w:rPr>
          <w:t>Service pathways</w:t>
        </w:r>
        <w:r w:rsidR="00E562BA">
          <w:rPr>
            <w:noProof/>
            <w:webHidden/>
          </w:rPr>
          <w:tab/>
        </w:r>
        <w:r w:rsidR="00E562BA">
          <w:rPr>
            <w:noProof/>
            <w:webHidden/>
          </w:rPr>
          <w:fldChar w:fldCharType="begin"/>
        </w:r>
        <w:r w:rsidR="00E562BA">
          <w:rPr>
            <w:noProof/>
            <w:webHidden/>
          </w:rPr>
          <w:instrText xml:space="preserve"> PAGEREF _Toc99650346 \h </w:instrText>
        </w:r>
        <w:r w:rsidR="00E562BA">
          <w:rPr>
            <w:noProof/>
            <w:webHidden/>
          </w:rPr>
        </w:r>
        <w:r w:rsidR="00E562BA">
          <w:rPr>
            <w:noProof/>
            <w:webHidden/>
          </w:rPr>
          <w:fldChar w:fldCharType="separate"/>
        </w:r>
        <w:r w:rsidR="00562174">
          <w:rPr>
            <w:noProof/>
            <w:webHidden/>
          </w:rPr>
          <w:t>50</w:t>
        </w:r>
        <w:r w:rsidR="00E562BA">
          <w:rPr>
            <w:noProof/>
            <w:webHidden/>
          </w:rPr>
          <w:fldChar w:fldCharType="end"/>
        </w:r>
      </w:hyperlink>
    </w:p>
    <w:p w14:paraId="3BCAAE0F" w14:textId="1766C2B4" w:rsidR="00E562BA" w:rsidRDefault="005B0EE0">
      <w:pPr>
        <w:pStyle w:val="TOC3"/>
        <w:rPr>
          <w:rFonts w:asciiTheme="minorHAnsi" w:eastAsiaTheme="minorEastAsia" w:hAnsiTheme="minorHAnsi"/>
          <w:noProof/>
          <w:sz w:val="22"/>
          <w:lang w:val="en-AU" w:eastAsia="en-AU"/>
        </w:rPr>
      </w:pPr>
      <w:hyperlink w:anchor="_Toc99650347" w:history="1">
        <w:r w:rsidR="00E562BA" w:rsidRPr="00855086">
          <w:rPr>
            <w:rStyle w:val="Hyperlink"/>
            <w:noProof/>
          </w:rPr>
          <w:t>4.1.6</w:t>
        </w:r>
        <w:r w:rsidR="00E562BA">
          <w:rPr>
            <w:rFonts w:asciiTheme="minorHAnsi" w:eastAsiaTheme="minorEastAsia" w:hAnsiTheme="minorHAnsi"/>
            <w:noProof/>
            <w:sz w:val="22"/>
            <w:lang w:val="en-AU" w:eastAsia="en-AU"/>
          </w:rPr>
          <w:tab/>
        </w:r>
        <w:r w:rsidR="00E562BA" w:rsidRPr="00855086">
          <w:rPr>
            <w:rStyle w:val="Hyperlink"/>
            <w:noProof/>
          </w:rPr>
          <w:t>Alignment of delivery with intended design</w:t>
        </w:r>
        <w:r w:rsidR="00E562BA">
          <w:rPr>
            <w:noProof/>
            <w:webHidden/>
          </w:rPr>
          <w:tab/>
        </w:r>
        <w:r w:rsidR="00E562BA">
          <w:rPr>
            <w:noProof/>
            <w:webHidden/>
          </w:rPr>
          <w:fldChar w:fldCharType="begin"/>
        </w:r>
        <w:r w:rsidR="00E562BA">
          <w:rPr>
            <w:noProof/>
            <w:webHidden/>
          </w:rPr>
          <w:instrText xml:space="preserve"> PAGEREF _Toc99650347 \h </w:instrText>
        </w:r>
        <w:r w:rsidR="00E562BA">
          <w:rPr>
            <w:noProof/>
            <w:webHidden/>
          </w:rPr>
        </w:r>
        <w:r w:rsidR="00E562BA">
          <w:rPr>
            <w:noProof/>
            <w:webHidden/>
          </w:rPr>
          <w:fldChar w:fldCharType="separate"/>
        </w:r>
        <w:r w:rsidR="00562174">
          <w:rPr>
            <w:noProof/>
            <w:webHidden/>
          </w:rPr>
          <w:t>54</w:t>
        </w:r>
        <w:r w:rsidR="00E562BA">
          <w:rPr>
            <w:noProof/>
            <w:webHidden/>
          </w:rPr>
          <w:fldChar w:fldCharType="end"/>
        </w:r>
      </w:hyperlink>
    </w:p>
    <w:p w14:paraId="69843F07" w14:textId="55F3F0BC" w:rsidR="00E562BA" w:rsidRDefault="005B0EE0">
      <w:pPr>
        <w:pStyle w:val="TOC3"/>
        <w:rPr>
          <w:rFonts w:asciiTheme="minorHAnsi" w:eastAsiaTheme="minorEastAsia" w:hAnsiTheme="minorHAnsi"/>
          <w:noProof/>
          <w:sz w:val="22"/>
          <w:lang w:val="en-AU" w:eastAsia="en-AU"/>
        </w:rPr>
      </w:pPr>
      <w:hyperlink w:anchor="_Toc99650348" w:history="1">
        <w:r w:rsidR="00E562BA" w:rsidRPr="00855086">
          <w:rPr>
            <w:rStyle w:val="Hyperlink"/>
            <w:noProof/>
          </w:rPr>
          <w:t>4.1.7</w:t>
        </w:r>
        <w:r w:rsidR="00E562BA">
          <w:rPr>
            <w:rFonts w:asciiTheme="minorHAnsi" w:eastAsiaTheme="minorEastAsia" w:hAnsiTheme="minorHAnsi"/>
            <w:noProof/>
            <w:sz w:val="22"/>
            <w:lang w:val="en-AU" w:eastAsia="en-AU"/>
          </w:rPr>
          <w:tab/>
        </w:r>
        <w:r w:rsidR="00E562BA" w:rsidRPr="00855086">
          <w:rPr>
            <w:rStyle w:val="Hyperlink"/>
            <w:noProof/>
          </w:rPr>
          <w:t>Service awareness and promotion</w:t>
        </w:r>
        <w:r w:rsidR="00E562BA">
          <w:rPr>
            <w:noProof/>
            <w:webHidden/>
          </w:rPr>
          <w:tab/>
        </w:r>
        <w:r w:rsidR="00E562BA">
          <w:rPr>
            <w:noProof/>
            <w:webHidden/>
          </w:rPr>
          <w:fldChar w:fldCharType="begin"/>
        </w:r>
        <w:r w:rsidR="00E562BA">
          <w:rPr>
            <w:noProof/>
            <w:webHidden/>
          </w:rPr>
          <w:instrText xml:space="preserve"> PAGEREF _Toc99650348 \h </w:instrText>
        </w:r>
        <w:r w:rsidR="00E562BA">
          <w:rPr>
            <w:noProof/>
            <w:webHidden/>
          </w:rPr>
        </w:r>
        <w:r w:rsidR="00E562BA">
          <w:rPr>
            <w:noProof/>
            <w:webHidden/>
          </w:rPr>
          <w:fldChar w:fldCharType="separate"/>
        </w:r>
        <w:r w:rsidR="00562174">
          <w:rPr>
            <w:noProof/>
            <w:webHidden/>
          </w:rPr>
          <w:t>59</w:t>
        </w:r>
        <w:r w:rsidR="00E562BA">
          <w:rPr>
            <w:noProof/>
            <w:webHidden/>
          </w:rPr>
          <w:fldChar w:fldCharType="end"/>
        </w:r>
      </w:hyperlink>
    </w:p>
    <w:p w14:paraId="1172D79F" w14:textId="364F5A79" w:rsidR="00E562BA" w:rsidRDefault="005B0EE0">
      <w:pPr>
        <w:pStyle w:val="TOC3"/>
        <w:rPr>
          <w:rFonts w:asciiTheme="minorHAnsi" w:eastAsiaTheme="minorEastAsia" w:hAnsiTheme="minorHAnsi"/>
          <w:noProof/>
          <w:sz w:val="22"/>
          <w:lang w:val="en-AU" w:eastAsia="en-AU"/>
        </w:rPr>
      </w:pPr>
      <w:hyperlink w:anchor="_Toc99650349" w:history="1">
        <w:r w:rsidR="00E562BA" w:rsidRPr="00855086">
          <w:rPr>
            <w:rStyle w:val="Hyperlink"/>
            <w:noProof/>
          </w:rPr>
          <w:t>4.1.8</w:t>
        </w:r>
        <w:r w:rsidR="00E562BA">
          <w:rPr>
            <w:rFonts w:asciiTheme="minorHAnsi" w:eastAsiaTheme="minorEastAsia" w:hAnsiTheme="minorHAnsi"/>
            <w:noProof/>
            <w:sz w:val="22"/>
            <w:lang w:val="en-AU" w:eastAsia="en-AU"/>
          </w:rPr>
          <w:tab/>
        </w:r>
        <w:r w:rsidR="00E562BA" w:rsidRPr="00855086">
          <w:rPr>
            <w:rStyle w:val="Hyperlink"/>
            <w:noProof/>
          </w:rPr>
          <w:t>Workforce</w:t>
        </w:r>
        <w:r w:rsidR="00E562BA">
          <w:rPr>
            <w:noProof/>
            <w:webHidden/>
          </w:rPr>
          <w:tab/>
        </w:r>
        <w:r w:rsidR="00E562BA">
          <w:rPr>
            <w:noProof/>
            <w:webHidden/>
          </w:rPr>
          <w:fldChar w:fldCharType="begin"/>
        </w:r>
        <w:r w:rsidR="00E562BA">
          <w:rPr>
            <w:noProof/>
            <w:webHidden/>
          </w:rPr>
          <w:instrText xml:space="preserve"> PAGEREF _Toc99650349 \h </w:instrText>
        </w:r>
        <w:r w:rsidR="00E562BA">
          <w:rPr>
            <w:noProof/>
            <w:webHidden/>
          </w:rPr>
        </w:r>
        <w:r w:rsidR="00E562BA">
          <w:rPr>
            <w:noProof/>
            <w:webHidden/>
          </w:rPr>
          <w:fldChar w:fldCharType="separate"/>
        </w:r>
        <w:r w:rsidR="00562174">
          <w:rPr>
            <w:noProof/>
            <w:webHidden/>
          </w:rPr>
          <w:t>61</w:t>
        </w:r>
        <w:r w:rsidR="00E562BA">
          <w:rPr>
            <w:noProof/>
            <w:webHidden/>
          </w:rPr>
          <w:fldChar w:fldCharType="end"/>
        </w:r>
      </w:hyperlink>
    </w:p>
    <w:p w14:paraId="7DC6ADB3" w14:textId="6B3DE182" w:rsidR="00E562BA" w:rsidRDefault="005B0EE0">
      <w:pPr>
        <w:pStyle w:val="TOC3"/>
        <w:rPr>
          <w:rFonts w:asciiTheme="minorHAnsi" w:eastAsiaTheme="minorEastAsia" w:hAnsiTheme="minorHAnsi"/>
          <w:noProof/>
          <w:sz w:val="22"/>
          <w:lang w:val="en-AU" w:eastAsia="en-AU"/>
        </w:rPr>
      </w:pPr>
      <w:hyperlink w:anchor="_Toc99650350" w:history="1">
        <w:r w:rsidR="00E562BA" w:rsidRPr="00855086">
          <w:rPr>
            <w:rStyle w:val="Hyperlink"/>
            <w:noProof/>
          </w:rPr>
          <w:t>4.1.9</w:t>
        </w:r>
        <w:r w:rsidR="00E562BA">
          <w:rPr>
            <w:rFonts w:asciiTheme="minorHAnsi" w:eastAsiaTheme="minorEastAsia" w:hAnsiTheme="minorHAnsi"/>
            <w:noProof/>
            <w:sz w:val="22"/>
            <w:lang w:val="en-AU" w:eastAsia="en-AU"/>
          </w:rPr>
          <w:tab/>
        </w:r>
        <w:r w:rsidR="00E562BA" w:rsidRPr="00855086">
          <w:rPr>
            <w:rStyle w:val="Hyperlink"/>
            <w:noProof/>
          </w:rPr>
          <w:t>Data and reporting</w:t>
        </w:r>
        <w:r w:rsidR="00E562BA">
          <w:rPr>
            <w:noProof/>
            <w:webHidden/>
          </w:rPr>
          <w:tab/>
        </w:r>
        <w:r w:rsidR="00E562BA">
          <w:rPr>
            <w:noProof/>
            <w:webHidden/>
          </w:rPr>
          <w:fldChar w:fldCharType="begin"/>
        </w:r>
        <w:r w:rsidR="00E562BA">
          <w:rPr>
            <w:noProof/>
            <w:webHidden/>
          </w:rPr>
          <w:instrText xml:space="preserve"> PAGEREF _Toc99650350 \h </w:instrText>
        </w:r>
        <w:r w:rsidR="00E562BA">
          <w:rPr>
            <w:noProof/>
            <w:webHidden/>
          </w:rPr>
        </w:r>
        <w:r w:rsidR="00E562BA">
          <w:rPr>
            <w:noProof/>
            <w:webHidden/>
          </w:rPr>
          <w:fldChar w:fldCharType="separate"/>
        </w:r>
        <w:r w:rsidR="00562174">
          <w:rPr>
            <w:noProof/>
            <w:webHidden/>
          </w:rPr>
          <w:t>62</w:t>
        </w:r>
        <w:r w:rsidR="00E562BA">
          <w:rPr>
            <w:noProof/>
            <w:webHidden/>
          </w:rPr>
          <w:fldChar w:fldCharType="end"/>
        </w:r>
      </w:hyperlink>
    </w:p>
    <w:p w14:paraId="4A029C0B" w14:textId="06F90714" w:rsidR="00E562BA" w:rsidRDefault="005B0EE0">
      <w:pPr>
        <w:pStyle w:val="TOC2"/>
        <w:rPr>
          <w:rFonts w:asciiTheme="minorHAnsi" w:eastAsiaTheme="minorEastAsia" w:hAnsiTheme="minorHAnsi"/>
          <w:noProof/>
          <w:sz w:val="22"/>
          <w:lang w:val="en-AU" w:eastAsia="en-AU"/>
        </w:rPr>
      </w:pPr>
      <w:hyperlink w:anchor="_Toc99650351" w:history="1">
        <w:r w:rsidR="00E562BA" w:rsidRPr="00855086">
          <w:rPr>
            <w:rStyle w:val="Hyperlink"/>
            <w:noProof/>
          </w:rPr>
          <w:t>4.2</w:t>
        </w:r>
        <w:r w:rsidR="00E562BA">
          <w:rPr>
            <w:rFonts w:asciiTheme="minorHAnsi" w:eastAsiaTheme="minorEastAsia" w:hAnsiTheme="minorHAnsi"/>
            <w:noProof/>
            <w:sz w:val="22"/>
            <w:lang w:val="en-AU" w:eastAsia="en-AU"/>
          </w:rPr>
          <w:tab/>
        </w:r>
        <w:r w:rsidR="00E562BA" w:rsidRPr="00855086">
          <w:rPr>
            <w:rStyle w:val="Hyperlink"/>
            <w:noProof/>
          </w:rPr>
          <w:t xml:space="preserve">Has the </w:t>
        </w:r>
        <w:r w:rsidR="00E562BA" w:rsidRPr="00855086">
          <w:rPr>
            <w:rStyle w:val="Hyperlink"/>
            <w:i/>
            <w:iCs/>
            <w:noProof/>
          </w:rPr>
          <w:t>HeadtoHelp</w:t>
        </w:r>
        <w:r w:rsidR="00E562BA" w:rsidRPr="00855086">
          <w:rPr>
            <w:rStyle w:val="Hyperlink"/>
            <w:noProof/>
          </w:rPr>
          <w:t xml:space="preserve"> service implemented effective IAR intake practices?</w:t>
        </w:r>
        <w:r w:rsidR="00E562BA">
          <w:rPr>
            <w:noProof/>
            <w:webHidden/>
          </w:rPr>
          <w:tab/>
        </w:r>
        <w:r w:rsidR="00E562BA">
          <w:rPr>
            <w:noProof/>
            <w:webHidden/>
          </w:rPr>
          <w:fldChar w:fldCharType="begin"/>
        </w:r>
        <w:r w:rsidR="00E562BA">
          <w:rPr>
            <w:noProof/>
            <w:webHidden/>
          </w:rPr>
          <w:instrText xml:space="preserve"> PAGEREF _Toc99650351 \h </w:instrText>
        </w:r>
        <w:r w:rsidR="00E562BA">
          <w:rPr>
            <w:noProof/>
            <w:webHidden/>
          </w:rPr>
        </w:r>
        <w:r w:rsidR="00E562BA">
          <w:rPr>
            <w:noProof/>
            <w:webHidden/>
          </w:rPr>
          <w:fldChar w:fldCharType="separate"/>
        </w:r>
        <w:r w:rsidR="00562174">
          <w:rPr>
            <w:noProof/>
            <w:webHidden/>
          </w:rPr>
          <w:t>63</w:t>
        </w:r>
        <w:r w:rsidR="00E562BA">
          <w:rPr>
            <w:noProof/>
            <w:webHidden/>
          </w:rPr>
          <w:fldChar w:fldCharType="end"/>
        </w:r>
      </w:hyperlink>
    </w:p>
    <w:p w14:paraId="6129411D" w14:textId="5050DB53" w:rsidR="00E562BA" w:rsidRDefault="005B0EE0">
      <w:pPr>
        <w:pStyle w:val="TOC3"/>
        <w:rPr>
          <w:rFonts w:asciiTheme="minorHAnsi" w:eastAsiaTheme="minorEastAsia" w:hAnsiTheme="minorHAnsi"/>
          <w:noProof/>
          <w:sz w:val="22"/>
          <w:lang w:val="en-AU" w:eastAsia="en-AU"/>
        </w:rPr>
      </w:pPr>
      <w:hyperlink w:anchor="_Toc99650352" w:history="1">
        <w:r w:rsidR="00E562BA" w:rsidRPr="00855086">
          <w:rPr>
            <w:rStyle w:val="Hyperlink"/>
            <w:noProof/>
          </w:rPr>
          <w:t>4.2.1</w:t>
        </w:r>
        <w:r w:rsidR="00E562BA">
          <w:rPr>
            <w:rFonts w:asciiTheme="minorHAnsi" w:eastAsiaTheme="minorEastAsia" w:hAnsiTheme="minorHAnsi"/>
            <w:noProof/>
            <w:sz w:val="22"/>
            <w:lang w:val="en-AU" w:eastAsia="en-AU"/>
          </w:rPr>
          <w:tab/>
        </w:r>
        <w:r w:rsidR="00E562BA" w:rsidRPr="00855086">
          <w:rPr>
            <w:rStyle w:val="Hyperlink"/>
            <w:noProof/>
          </w:rPr>
          <w:t>Experience of use</w:t>
        </w:r>
        <w:r w:rsidR="00E562BA">
          <w:rPr>
            <w:noProof/>
            <w:webHidden/>
          </w:rPr>
          <w:tab/>
        </w:r>
        <w:r w:rsidR="00E562BA">
          <w:rPr>
            <w:noProof/>
            <w:webHidden/>
          </w:rPr>
          <w:fldChar w:fldCharType="begin"/>
        </w:r>
        <w:r w:rsidR="00E562BA">
          <w:rPr>
            <w:noProof/>
            <w:webHidden/>
          </w:rPr>
          <w:instrText xml:space="preserve"> PAGEREF _Toc99650352 \h </w:instrText>
        </w:r>
        <w:r w:rsidR="00E562BA">
          <w:rPr>
            <w:noProof/>
            <w:webHidden/>
          </w:rPr>
        </w:r>
        <w:r w:rsidR="00E562BA">
          <w:rPr>
            <w:noProof/>
            <w:webHidden/>
          </w:rPr>
          <w:fldChar w:fldCharType="separate"/>
        </w:r>
        <w:r w:rsidR="00562174">
          <w:rPr>
            <w:noProof/>
            <w:webHidden/>
          </w:rPr>
          <w:t>63</w:t>
        </w:r>
        <w:r w:rsidR="00E562BA">
          <w:rPr>
            <w:noProof/>
            <w:webHidden/>
          </w:rPr>
          <w:fldChar w:fldCharType="end"/>
        </w:r>
      </w:hyperlink>
    </w:p>
    <w:p w14:paraId="06B3DDB0" w14:textId="5C436459" w:rsidR="00E562BA" w:rsidRDefault="005B0EE0">
      <w:pPr>
        <w:pStyle w:val="TOC3"/>
        <w:rPr>
          <w:rFonts w:asciiTheme="minorHAnsi" w:eastAsiaTheme="minorEastAsia" w:hAnsiTheme="minorHAnsi"/>
          <w:noProof/>
          <w:sz w:val="22"/>
          <w:lang w:val="en-AU" w:eastAsia="en-AU"/>
        </w:rPr>
      </w:pPr>
      <w:hyperlink w:anchor="_Toc99650353" w:history="1">
        <w:r w:rsidR="00E562BA" w:rsidRPr="00855086">
          <w:rPr>
            <w:rStyle w:val="Hyperlink"/>
            <w:noProof/>
          </w:rPr>
          <w:t>4.2.2</w:t>
        </w:r>
        <w:r w:rsidR="00E562BA">
          <w:rPr>
            <w:rFonts w:asciiTheme="minorHAnsi" w:eastAsiaTheme="minorEastAsia" w:hAnsiTheme="minorHAnsi"/>
            <w:noProof/>
            <w:sz w:val="22"/>
            <w:lang w:val="en-AU" w:eastAsia="en-AU"/>
          </w:rPr>
          <w:tab/>
        </w:r>
        <w:r w:rsidR="00E562BA" w:rsidRPr="00855086">
          <w:rPr>
            <w:rStyle w:val="Hyperlink"/>
            <w:noProof/>
          </w:rPr>
          <w:t>Limitations</w:t>
        </w:r>
        <w:r w:rsidR="00E562BA">
          <w:rPr>
            <w:noProof/>
            <w:webHidden/>
          </w:rPr>
          <w:tab/>
        </w:r>
        <w:r w:rsidR="00E562BA">
          <w:rPr>
            <w:noProof/>
            <w:webHidden/>
          </w:rPr>
          <w:fldChar w:fldCharType="begin"/>
        </w:r>
        <w:r w:rsidR="00E562BA">
          <w:rPr>
            <w:noProof/>
            <w:webHidden/>
          </w:rPr>
          <w:instrText xml:space="preserve"> PAGEREF _Toc99650353 \h </w:instrText>
        </w:r>
        <w:r w:rsidR="00E562BA">
          <w:rPr>
            <w:noProof/>
            <w:webHidden/>
          </w:rPr>
        </w:r>
        <w:r w:rsidR="00E562BA">
          <w:rPr>
            <w:noProof/>
            <w:webHidden/>
          </w:rPr>
          <w:fldChar w:fldCharType="separate"/>
        </w:r>
        <w:r w:rsidR="00562174">
          <w:rPr>
            <w:noProof/>
            <w:webHidden/>
          </w:rPr>
          <w:t>66</w:t>
        </w:r>
        <w:r w:rsidR="00E562BA">
          <w:rPr>
            <w:noProof/>
            <w:webHidden/>
          </w:rPr>
          <w:fldChar w:fldCharType="end"/>
        </w:r>
      </w:hyperlink>
    </w:p>
    <w:p w14:paraId="3D4C6ED9" w14:textId="24BC3A6D" w:rsidR="00E562BA" w:rsidRDefault="005B0EE0">
      <w:pPr>
        <w:pStyle w:val="TOC1"/>
        <w:rPr>
          <w:rFonts w:asciiTheme="minorHAnsi" w:eastAsiaTheme="minorEastAsia" w:hAnsiTheme="minorHAnsi"/>
          <w:noProof/>
          <w:sz w:val="22"/>
          <w:lang w:val="en-AU" w:eastAsia="en-AU"/>
        </w:rPr>
      </w:pPr>
      <w:hyperlink w:anchor="_Toc99650354" w:history="1">
        <w:r w:rsidR="00E562BA" w:rsidRPr="00855086">
          <w:rPr>
            <w:rStyle w:val="Hyperlink"/>
            <w:noProof/>
          </w:rPr>
          <w:t>5</w:t>
        </w:r>
        <w:r w:rsidR="00E562BA">
          <w:rPr>
            <w:rFonts w:asciiTheme="minorHAnsi" w:eastAsiaTheme="minorEastAsia" w:hAnsiTheme="minorHAnsi"/>
            <w:noProof/>
            <w:sz w:val="22"/>
            <w:lang w:val="en-AU" w:eastAsia="en-AU"/>
          </w:rPr>
          <w:tab/>
        </w:r>
        <w:r w:rsidR="00E562BA" w:rsidRPr="00855086">
          <w:rPr>
            <w:rStyle w:val="Hyperlink"/>
            <w:noProof/>
          </w:rPr>
          <w:t>Short-term outcome findings</w:t>
        </w:r>
        <w:r w:rsidR="00E562BA">
          <w:rPr>
            <w:noProof/>
            <w:webHidden/>
          </w:rPr>
          <w:tab/>
        </w:r>
        <w:r w:rsidR="00E562BA">
          <w:rPr>
            <w:noProof/>
            <w:webHidden/>
          </w:rPr>
          <w:fldChar w:fldCharType="begin"/>
        </w:r>
        <w:r w:rsidR="00E562BA">
          <w:rPr>
            <w:noProof/>
            <w:webHidden/>
          </w:rPr>
          <w:instrText xml:space="preserve"> PAGEREF _Toc99650354 \h </w:instrText>
        </w:r>
        <w:r w:rsidR="00E562BA">
          <w:rPr>
            <w:noProof/>
            <w:webHidden/>
          </w:rPr>
        </w:r>
        <w:r w:rsidR="00E562BA">
          <w:rPr>
            <w:noProof/>
            <w:webHidden/>
          </w:rPr>
          <w:fldChar w:fldCharType="separate"/>
        </w:r>
        <w:r w:rsidR="00562174">
          <w:rPr>
            <w:noProof/>
            <w:webHidden/>
          </w:rPr>
          <w:t>67</w:t>
        </w:r>
        <w:r w:rsidR="00E562BA">
          <w:rPr>
            <w:noProof/>
            <w:webHidden/>
          </w:rPr>
          <w:fldChar w:fldCharType="end"/>
        </w:r>
      </w:hyperlink>
    </w:p>
    <w:p w14:paraId="3845405E" w14:textId="5A4B0587" w:rsidR="00E562BA" w:rsidRDefault="005B0EE0">
      <w:pPr>
        <w:pStyle w:val="TOC2"/>
        <w:rPr>
          <w:rFonts w:asciiTheme="minorHAnsi" w:eastAsiaTheme="minorEastAsia" w:hAnsiTheme="minorHAnsi"/>
          <w:noProof/>
          <w:sz w:val="22"/>
          <w:lang w:val="en-AU" w:eastAsia="en-AU"/>
        </w:rPr>
      </w:pPr>
      <w:hyperlink w:anchor="_Toc99650355" w:history="1">
        <w:r w:rsidR="00E562BA" w:rsidRPr="00855086">
          <w:rPr>
            <w:rStyle w:val="Hyperlink"/>
            <w:noProof/>
          </w:rPr>
          <w:t>5.1</w:t>
        </w:r>
        <w:r w:rsidR="00E562BA">
          <w:rPr>
            <w:rFonts w:asciiTheme="minorHAnsi" w:eastAsiaTheme="minorEastAsia" w:hAnsiTheme="minorHAnsi"/>
            <w:noProof/>
            <w:sz w:val="22"/>
            <w:lang w:val="en-AU" w:eastAsia="en-AU"/>
          </w:rPr>
          <w:tab/>
        </w:r>
        <w:r w:rsidR="00E562BA" w:rsidRPr="00855086">
          <w:rPr>
            <w:rStyle w:val="Hyperlink"/>
            <w:noProof/>
          </w:rPr>
          <w:t>How effective is the program in achieving outcomes for Victorians?</w:t>
        </w:r>
        <w:r w:rsidR="00E562BA">
          <w:rPr>
            <w:noProof/>
            <w:webHidden/>
          </w:rPr>
          <w:tab/>
        </w:r>
        <w:r w:rsidR="00E562BA">
          <w:rPr>
            <w:noProof/>
            <w:webHidden/>
          </w:rPr>
          <w:fldChar w:fldCharType="begin"/>
        </w:r>
        <w:r w:rsidR="00E562BA">
          <w:rPr>
            <w:noProof/>
            <w:webHidden/>
          </w:rPr>
          <w:instrText xml:space="preserve"> PAGEREF _Toc99650355 \h </w:instrText>
        </w:r>
        <w:r w:rsidR="00E562BA">
          <w:rPr>
            <w:noProof/>
            <w:webHidden/>
          </w:rPr>
        </w:r>
        <w:r w:rsidR="00E562BA">
          <w:rPr>
            <w:noProof/>
            <w:webHidden/>
          </w:rPr>
          <w:fldChar w:fldCharType="separate"/>
        </w:r>
        <w:r w:rsidR="00562174">
          <w:rPr>
            <w:noProof/>
            <w:webHidden/>
          </w:rPr>
          <w:t>67</w:t>
        </w:r>
        <w:r w:rsidR="00E562BA">
          <w:rPr>
            <w:noProof/>
            <w:webHidden/>
          </w:rPr>
          <w:fldChar w:fldCharType="end"/>
        </w:r>
      </w:hyperlink>
    </w:p>
    <w:p w14:paraId="53C31F34" w14:textId="63B42A66" w:rsidR="00E562BA" w:rsidRDefault="005B0EE0">
      <w:pPr>
        <w:pStyle w:val="TOC3"/>
        <w:rPr>
          <w:rFonts w:asciiTheme="minorHAnsi" w:eastAsiaTheme="minorEastAsia" w:hAnsiTheme="minorHAnsi"/>
          <w:noProof/>
          <w:sz w:val="22"/>
          <w:lang w:val="en-AU" w:eastAsia="en-AU"/>
        </w:rPr>
      </w:pPr>
      <w:hyperlink w:anchor="_Toc99650356" w:history="1">
        <w:r w:rsidR="00E562BA" w:rsidRPr="00855086">
          <w:rPr>
            <w:rStyle w:val="Hyperlink"/>
            <w:noProof/>
          </w:rPr>
          <w:t>5.1.1</w:t>
        </w:r>
        <w:r w:rsidR="00E562BA">
          <w:rPr>
            <w:rFonts w:asciiTheme="minorHAnsi" w:eastAsiaTheme="minorEastAsia" w:hAnsiTheme="minorHAnsi"/>
            <w:noProof/>
            <w:sz w:val="22"/>
            <w:lang w:val="en-AU" w:eastAsia="en-AU"/>
          </w:rPr>
          <w:tab/>
        </w:r>
        <w:r w:rsidR="00E562BA" w:rsidRPr="00855086">
          <w:rPr>
            <w:rStyle w:val="Hyperlink"/>
            <w:noProof/>
          </w:rPr>
          <w:t>Participant outcomes</w:t>
        </w:r>
        <w:r w:rsidR="00E562BA">
          <w:rPr>
            <w:noProof/>
            <w:webHidden/>
          </w:rPr>
          <w:tab/>
        </w:r>
        <w:r w:rsidR="00E562BA">
          <w:rPr>
            <w:noProof/>
            <w:webHidden/>
          </w:rPr>
          <w:fldChar w:fldCharType="begin"/>
        </w:r>
        <w:r w:rsidR="00E562BA">
          <w:rPr>
            <w:noProof/>
            <w:webHidden/>
          </w:rPr>
          <w:instrText xml:space="preserve"> PAGEREF _Toc99650356 \h </w:instrText>
        </w:r>
        <w:r w:rsidR="00E562BA">
          <w:rPr>
            <w:noProof/>
            <w:webHidden/>
          </w:rPr>
        </w:r>
        <w:r w:rsidR="00E562BA">
          <w:rPr>
            <w:noProof/>
            <w:webHidden/>
          </w:rPr>
          <w:fldChar w:fldCharType="separate"/>
        </w:r>
        <w:r w:rsidR="00562174">
          <w:rPr>
            <w:noProof/>
            <w:webHidden/>
          </w:rPr>
          <w:t>67</w:t>
        </w:r>
        <w:r w:rsidR="00E562BA">
          <w:rPr>
            <w:noProof/>
            <w:webHidden/>
          </w:rPr>
          <w:fldChar w:fldCharType="end"/>
        </w:r>
      </w:hyperlink>
    </w:p>
    <w:p w14:paraId="7F90EB8C" w14:textId="453D7C18" w:rsidR="00E562BA" w:rsidRDefault="005B0EE0">
      <w:pPr>
        <w:pStyle w:val="TOC3"/>
        <w:rPr>
          <w:rFonts w:asciiTheme="minorHAnsi" w:eastAsiaTheme="minorEastAsia" w:hAnsiTheme="minorHAnsi"/>
          <w:noProof/>
          <w:sz w:val="22"/>
          <w:lang w:val="en-AU" w:eastAsia="en-AU"/>
        </w:rPr>
      </w:pPr>
      <w:hyperlink w:anchor="_Toc99650357" w:history="1">
        <w:r w:rsidR="00E562BA" w:rsidRPr="00855086">
          <w:rPr>
            <w:rStyle w:val="Hyperlink"/>
            <w:noProof/>
          </w:rPr>
          <w:t>5.1.2</w:t>
        </w:r>
        <w:r w:rsidR="00E562BA">
          <w:rPr>
            <w:rFonts w:asciiTheme="minorHAnsi" w:eastAsiaTheme="minorEastAsia" w:hAnsiTheme="minorHAnsi"/>
            <w:noProof/>
            <w:sz w:val="22"/>
            <w:lang w:val="en-AU" w:eastAsia="en-AU"/>
          </w:rPr>
          <w:tab/>
        </w:r>
        <w:r w:rsidR="00E562BA" w:rsidRPr="00855086">
          <w:rPr>
            <w:rStyle w:val="Hyperlink"/>
            <w:noProof/>
          </w:rPr>
          <w:t>Qualitative benefits</w:t>
        </w:r>
        <w:r w:rsidR="00E562BA">
          <w:rPr>
            <w:noProof/>
            <w:webHidden/>
          </w:rPr>
          <w:tab/>
        </w:r>
        <w:r w:rsidR="00E562BA">
          <w:rPr>
            <w:noProof/>
            <w:webHidden/>
          </w:rPr>
          <w:fldChar w:fldCharType="begin"/>
        </w:r>
        <w:r w:rsidR="00E562BA">
          <w:rPr>
            <w:noProof/>
            <w:webHidden/>
          </w:rPr>
          <w:instrText xml:space="preserve"> PAGEREF _Toc99650357 \h </w:instrText>
        </w:r>
        <w:r w:rsidR="00E562BA">
          <w:rPr>
            <w:noProof/>
            <w:webHidden/>
          </w:rPr>
        </w:r>
        <w:r w:rsidR="00E562BA">
          <w:rPr>
            <w:noProof/>
            <w:webHidden/>
          </w:rPr>
          <w:fldChar w:fldCharType="separate"/>
        </w:r>
        <w:r w:rsidR="00562174">
          <w:rPr>
            <w:noProof/>
            <w:webHidden/>
          </w:rPr>
          <w:t>71</w:t>
        </w:r>
        <w:r w:rsidR="00E562BA">
          <w:rPr>
            <w:noProof/>
            <w:webHidden/>
          </w:rPr>
          <w:fldChar w:fldCharType="end"/>
        </w:r>
      </w:hyperlink>
    </w:p>
    <w:p w14:paraId="75A95C02" w14:textId="256CF60C" w:rsidR="00E562BA" w:rsidRDefault="005B0EE0">
      <w:pPr>
        <w:pStyle w:val="TOC2"/>
        <w:rPr>
          <w:rFonts w:asciiTheme="minorHAnsi" w:eastAsiaTheme="minorEastAsia" w:hAnsiTheme="minorHAnsi"/>
          <w:noProof/>
          <w:sz w:val="22"/>
          <w:lang w:val="en-AU" w:eastAsia="en-AU"/>
        </w:rPr>
      </w:pPr>
      <w:hyperlink w:anchor="_Toc99650358" w:history="1">
        <w:r w:rsidR="00E562BA" w:rsidRPr="00855086">
          <w:rPr>
            <w:rStyle w:val="Hyperlink"/>
            <w:noProof/>
          </w:rPr>
          <w:t>5.2</w:t>
        </w:r>
        <w:r w:rsidR="00E562BA">
          <w:rPr>
            <w:rFonts w:asciiTheme="minorHAnsi" w:eastAsiaTheme="minorEastAsia" w:hAnsiTheme="minorHAnsi"/>
            <w:noProof/>
            <w:sz w:val="22"/>
            <w:lang w:val="en-AU" w:eastAsia="en-AU"/>
          </w:rPr>
          <w:tab/>
        </w:r>
        <w:r w:rsidR="00E562BA" w:rsidRPr="00855086">
          <w:rPr>
            <w:rStyle w:val="Hyperlink"/>
            <w:noProof/>
          </w:rPr>
          <w:t xml:space="preserve">What has been and is the likely impact of the implementation of the </w:t>
        </w:r>
        <w:r w:rsidR="00E562BA" w:rsidRPr="00855086">
          <w:rPr>
            <w:rStyle w:val="Hyperlink"/>
            <w:i/>
            <w:iCs/>
            <w:noProof/>
          </w:rPr>
          <w:t>HeadtoHelp</w:t>
        </w:r>
        <w:r w:rsidR="00E562BA" w:rsidRPr="00855086">
          <w:rPr>
            <w:rStyle w:val="Hyperlink"/>
            <w:noProof/>
          </w:rPr>
          <w:t>?</w:t>
        </w:r>
        <w:r w:rsidR="00E562BA">
          <w:rPr>
            <w:noProof/>
            <w:webHidden/>
          </w:rPr>
          <w:tab/>
        </w:r>
        <w:r w:rsidR="00E562BA">
          <w:rPr>
            <w:noProof/>
            <w:webHidden/>
          </w:rPr>
          <w:fldChar w:fldCharType="begin"/>
        </w:r>
        <w:r w:rsidR="00E562BA">
          <w:rPr>
            <w:noProof/>
            <w:webHidden/>
          </w:rPr>
          <w:instrText xml:space="preserve"> PAGEREF _Toc99650358 \h </w:instrText>
        </w:r>
        <w:r w:rsidR="00E562BA">
          <w:rPr>
            <w:noProof/>
            <w:webHidden/>
          </w:rPr>
        </w:r>
        <w:r w:rsidR="00E562BA">
          <w:rPr>
            <w:noProof/>
            <w:webHidden/>
          </w:rPr>
          <w:fldChar w:fldCharType="separate"/>
        </w:r>
        <w:r w:rsidR="00562174">
          <w:rPr>
            <w:noProof/>
            <w:webHidden/>
          </w:rPr>
          <w:t>73</w:t>
        </w:r>
        <w:r w:rsidR="00E562BA">
          <w:rPr>
            <w:noProof/>
            <w:webHidden/>
          </w:rPr>
          <w:fldChar w:fldCharType="end"/>
        </w:r>
      </w:hyperlink>
    </w:p>
    <w:p w14:paraId="7D3BA632" w14:textId="7816A2A4" w:rsidR="00E562BA" w:rsidRDefault="005B0EE0">
      <w:pPr>
        <w:pStyle w:val="TOC3"/>
        <w:rPr>
          <w:rFonts w:asciiTheme="minorHAnsi" w:eastAsiaTheme="minorEastAsia" w:hAnsiTheme="minorHAnsi"/>
          <w:noProof/>
          <w:sz w:val="22"/>
          <w:lang w:val="en-AU" w:eastAsia="en-AU"/>
        </w:rPr>
      </w:pPr>
      <w:hyperlink w:anchor="_Toc99650359" w:history="1">
        <w:r w:rsidR="00E562BA" w:rsidRPr="00855086">
          <w:rPr>
            <w:rStyle w:val="Hyperlink"/>
            <w:noProof/>
          </w:rPr>
          <w:t>5.2.1</w:t>
        </w:r>
        <w:r w:rsidR="00E562BA">
          <w:rPr>
            <w:rFonts w:asciiTheme="minorHAnsi" w:eastAsiaTheme="minorEastAsia" w:hAnsiTheme="minorHAnsi"/>
            <w:noProof/>
            <w:sz w:val="22"/>
            <w:lang w:val="en-AU" w:eastAsia="en-AU"/>
          </w:rPr>
          <w:tab/>
        </w:r>
        <w:r w:rsidR="00E562BA" w:rsidRPr="00855086">
          <w:rPr>
            <w:rStyle w:val="Hyperlink"/>
            <w:noProof/>
          </w:rPr>
          <w:t>Participant experience</w:t>
        </w:r>
        <w:r w:rsidR="00E562BA">
          <w:rPr>
            <w:noProof/>
            <w:webHidden/>
          </w:rPr>
          <w:tab/>
        </w:r>
        <w:r w:rsidR="00E562BA">
          <w:rPr>
            <w:noProof/>
            <w:webHidden/>
          </w:rPr>
          <w:fldChar w:fldCharType="begin"/>
        </w:r>
        <w:r w:rsidR="00E562BA">
          <w:rPr>
            <w:noProof/>
            <w:webHidden/>
          </w:rPr>
          <w:instrText xml:space="preserve"> PAGEREF _Toc99650359 \h </w:instrText>
        </w:r>
        <w:r w:rsidR="00E562BA">
          <w:rPr>
            <w:noProof/>
            <w:webHidden/>
          </w:rPr>
        </w:r>
        <w:r w:rsidR="00E562BA">
          <w:rPr>
            <w:noProof/>
            <w:webHidden/>
          </w:rPr>
          <w:fldChar w:fldCharType="separate"/>
        </w:r>
        <w:r w:rsidR="00562174">
          <w:rPr>
            <w:noProof/>
            <w:webHidden/>
          </w:rPr>
          <w:t>73</w:t>
        </w:r>
        <w:r w:rsidR="00E562BA">
          <w:rPr>
            <w:noProof/>
            <w:webHidden/>
          </w:rPr>
          <w:fldChar w:fldCharType="end"/>
        </w:r>
      </w:hyperlink>
    </w:p>
    <w:p w14:paraId="7463B489" w14:textId="64EEF245" w:rsidR="00E562BA" w:rsidRDefault="005B0EE0">
      <w:pPr>
        <w:pStyle w:val="TOC3"/>
        <w:rPr>
          <w:rFonts w:asciiTheme="minorHAnsi" w:eastAsiaTheme="minorEastAsia" w:hAnsiTheme="minorHAnsi"/>
          <w:noProof/>
          <w:sz w:val="22"/>
          <w:lang w:val="en-AU" w:eastAsia="en-AU"/>
        </w:rPr>
      </w:pPr>
      <w:hyperlink w:anchor="_Toc99650360" w:history="1">
        <w:r w:rsidR="00E562BA" w:rsidRPr="00855086">
          <w:rPr>
            <w:rStyle w:val="Hyperlink"/>
            <w:noProof/>
          </w:rPr>
          <w:t>5.2.2</w:t>
        </w:r>
        <w:r w:rsidR="00E562BA">
          <w:rPr>
            <w:rFonts w:asciiTheme="minorHAnsi" w:eastAsiaTheme="minorEastAsia" w:hAnsiTheme="minorHAnsi"/>
            <w:noProof/>
            <w:sz w:val="22"/>
            <w:lang w:val="en-AU" w:eastAsia="en-AU"/>
          </w:rPr>
          <w:tab/>
        </w:r>
        <w:r w:rsidR="00E562BA" w:rsidRPr="00855086">
          <w:rPr>
            <w:rStyle w:val="Hyperlink"/>
            <w:noProof/>
          </w:rPr>
          <w:t>Intake-specific experience</w:t>
        </w:r>
        <w:r w:rsidR="00E562BA">
          <w:rPr>
            <w:noProof/>
            <w:webHidden/>
          </w:rPr>
          <w:tab/>
        </w:r>
        <w:r w:rsidR="00E562BA">
          <w:rPr>
            <w:noProof/>
            <w:webHidden/>
          </w:rPr>
          <w:fldChar w:fldCharType="begin"/>
        </w:r>
        <w:r w:rsidR="00E562BA">
          <w:rPr>
            <w:noProof/>
            <w:webHidden/>
          </w:rPr>
          <w:instrText xml:space="preserve"> PAGEREF _Toc99650360 \h </w:instrText>
        </w:r>
        <w:r w:rsidR="00E562BA">
          <w:rPr>
            <w:noProof/>
            <w:webHidden/>
          </w:rPr>
        </w:r>
        <w:r w:rsidR="00E562BA">
          <w:rPr>
            <w:noProof/>
            <w:webHidden/>
          </w:rPr>
          <w:fldChar w:fldCharType="separate"/>
        </w:r>
        <w:r w:rsidR="00562174">
          <w:rPr>
            <w:noProof/>
            <w:webHidden/>
          </w:rPr>
          <w:t>78</w:t>
        </w:r>
        <w:r w:rsidR="00E562BA">
          <w:rPr>
            <w:noProof/>
            <w:webHidden/>
          </w:rPr>
          <w:fldChar w:fldCharType="end"/>
        </w:r>
      </w:hyperlink>
    </w:p>
    <w:p w14:paraId="3011ED06" w14:textId="1FA7E6E8" w:rsidR="00E562BA" w:rsidRDefault="005B0EE0">
      <w:pPr>
        <w:pStyle w:val="TOC3"/>
        <w:rPr>
          <w:rFonts w:asciiTheme="minorHAnsi" w:eastAsiaTheme="minorEastAsia" w:hAnsiTheme="minorHAnsi"/>
          <w:noProof/>
          <w:sz w:val="22"/>
          <w:lang w:val="en-AU" w:eastAsia="en-AU"/>
        </w:rPr>
      </w:pPr>
      <w:hyperlink w:anchor="_Toc99650361" w:history="1">
        <w:r w:rsidR="00E562BA" w:rsidRPr="00855086">
          <w:rPr>
            <w:rStyle w:val="Hyperlink"/>
            <w:noProof/>
          </w:rPr>
          <w:t>5.2.3</w:t>
        </w:r>
        <w:r w:rsidR="00E562BA">
          <w:rPr>
            <w:rFonts w:asciiTheme="minorHAnsi" w:eastAsiaTheme="minorEastAsia" w:hAnsiTheme="minorHAnsi"/>
            <w:noProof/>
            <w:sz w:val="22"/>
            <w:lang w:val="en-AU" w:eastAsia="en-AU"/>
          </w:rPr>
          <w:tab/>
        </w:r>
        <w:r w:rsidR="00E562BA" w:rsidRPr="00855086">
          <w:rPr>
            <w:rStyle w:val="Hyperlink"/>
            <w:noProof/>
          </w:rPr>
          <w:t>Impact on system integration</w:t>
        </w:r>
        <w:r w:rsidR="00E562BA">
          <w:rPr>
            <w:noProof/>
            <w:webHidden/>
          </w:rPr>
          <w:tab/>
        </w:r>
        <w:r w:rsidR="00E562BA">
          <w:rPr>
            <w:noProof/>
            <w:webHidden/>
          </w:rPr>
          <w:fldChar w:fldCharType="begin"/>
        </w:r>
        <w:r w:rsidR="00E562BA">
          <w:rPr>
            <w:noProof/>
            <w:webHidden/>
          </w:rPr>
          <w:instrText xml:space="preserve"> PAGEREF _Toc99650361 \h </w:instrText>
        </w:r>
        <w:r w:rsidR="00E562BA">
          <w:rPr>
            <w:noProof/>
            <w:webHidden/>
          </w:rPr>
        </w:r>
        <w:r w:rsidR="00E562BA">
          <w:rPr>
            <w:noProof/>
            <w:webHidden/>
          </w:rPr>
          <w:fldChar w:fldCharType="separate"/>
        </w:r>
        <w:r w:rsidR="00562174">
          <w:rPr>
            <w:noProof/>
            <w:webHidden/>
          </w:rPr>
          <w:t>80</w:t>
        </w:r>
        <w:r w:rsidR="00E562BA">
          <w:rPr>
            <w:noProof/>
            <w:webHidden/>
          </w:rPr>
          <w:fldChar w:fldCharType="end"/>
        </w:r>
      </w:hyperlink>
    </w:p>
    <w:p w14:paraId="3ABEBF65" w14:textId="7071981F" w:rsidR="00E562BA" w:rsidRDefault="005B0EE0">
      <w:pPr>
        <w:pStyle w:val="TOC2"/>
        <w:rPr>
          <w:rFonts w:asciiTheme="minorHAnsi" w:eastAsiaTheme="minorEastAsia" w:hAnsiTheme="minorHAnsi"/>
          <w:noProof/>
          <w:sz w:val="22"/>
          <w:lang w:val="en-AU" w:eastAsia="en-AU"/>
        </w:rPr>
      </w:pPr>
      <w:hyperlink w:anchor="_Toc99650362" w:history="1">
        <w:r w:rsidR="00E562BA" w:rsidRPr="00855086">
          <w:rPr>
            <w:rStyle w:val="Hyperlink"/>
            <w:noProof/>
          </w:rPr>
          <w:t>5.3</w:t>
        </w:r>
        <w:r w:rsidR="00E562BA">
          <w:rPr>
            <w:rFonts w:asciiTheme="minorHAnsi" w:eastAsiaTheme="minorEastAsia" w:hAnsiTheme="minorHAnsi"/>
            <w:noProof/>
            <w:sz w:val="22"/>
            <w:lang w:val="en-AU" w:eastAsia="en-AU"/>
          </w:rPr>
          <w:tab/>
        </w:r>
        <w:r w:rsidR="00E562BA" w:rsidRPr="00855086">
          <w:rPr>
            <w:rStyle w:val="Hyperlink"/>
            <w:noProof/>
          </w:rPr>
          <w:t>How efficient is the program?</w:t>
        </w:r>
        <w:r w:rsidR="00E562BA">
          <w:rPr>
            <w:noProof/>
            <w:webHidden/>
          </w:rPr>
          <w:tab/>
        </w:r>
        <w:r w:rsidR="00E562BA">
          <w:rPr>
            <w:noProof/>
            <w:webHidden/>
          </w:rPr>
          <w:fldChar w:fldCharType="begin"/>
        </w:r>
        <w:r w:rsidR="00E562BA">
          <w:rPr>
            <w:noProof/>
            <w:webHidden/>
          </w:rPr>
          <w:instrText xml:space="preserve"> PAGEREF _Toc99650362 \h </w:instrText>
        </w:r>
        <w:r w:rsidR="00E562BA">
          <w:rPr>
            <w:noProof/>
            <w:webHidden/>
          </w:rPr>
        </w:r>
        <w:r w:rsidR="00E562BA">
          <w:rPr>
            <w:noProof/>
            <w:webHidden/>
          </w:rPr>
          <w:fldChar w:fldCharType="separate"/>
        </w:r>
        <w:r w:rsidR="00562174">
          <w:rPr>
            <w:noProof/>
            <w:webHidden/>
          </w:rPr>
          <w:t>82</w:t>
        </w:r>
        <w:r w:rsidR="00E562BA">
          <w:rPr>
            <w:noProof/>
            <w:webHidden/>
          </w:rPr>
          <w:fldChar w:fldCharType="end"/>
        </w:r>
      </w:hyperlink>
    </w:p>
    <w:p w14:paraId="42C152B8" w14:textId="1A51B3E1" w:rsidR="00E562BA" w:rsidRDefault="005B0EE0">
      <w:pPr>
        <w:pStyle w:val="TOC1"/>
        <w:rPr>
          <w:rFonts w:asciiTheme="minorHAnsi" w:eastAsiaTheme="minorEastAsia" w:hAnsiTheme="minorHAnsi"/>
          <w:noProof/>
          <w:sz w:val="22"/>
          <w:lang w:val="en-AU" w:eastAsia="en-AU"/>
        </w:rPr>
      </w:pPr>
      <w:hyperlink w:anchor="_Toc99650363" w:history="1">
        <w:r w:rsidR="00E562BA" w:rsidRPr="00855086">
          <w:rPr>
            <w:rStyle w:val="Hyperlink"/>
            <w:noProof/>
          </w:rPr>
          <w:t xml:space="preserve"> </w:t>
        </w:r>
        <w:r w:rsidR="00E562BA" w:rsidRPr="00855086">
          <w:rPr>
            <w:rStyle w:val="Hyperlink"/>
            <w:i/>
            <w:iCs/>
            <w:noProof/>
          </w:rPr>
          <w:t>AMHC</w:t>
        </w:r>
        <w:r w:rsidR="00E562BA" w:rsidRPr="00855086">
          <w:rPr>
            <w:rStyle w:val="Hyperlink"/>
            <w:noProof/>
          </w:rPr>
          <w:t xml:space="preserve"> Findings</w:t>
        </w:r>
        <w:r w:rsidR="00E562BA">
          <w:rPr>
            <w:noProof/>
            <w:webHidden/>
          </w:rPr>
          <w:tab/>
        </w:r>
        <w:r w:rsidR="00E562BA">
          <w:rPr>
            <w:noProof/>
            <w:webHidden/>
          </w:rPr>
          <w:fldChar w:fldCharType="begin"/>
        </w:r>
        <w:r w:rsidR="00E562BA">
          <w:rPr>
            <w:noProof/>
            <w:webHidden/>
          </w:rPr>
          <w:instrText xml:space="preserve"> PAGEREF _Toc99650363 \h </w:instrText>
        </w:r>
        <w:r w:rsidR="00E562BA">
          <w:rPr>
            <w:noProof/>
            <w:webHidden/>
          </w:rPr>
        </w:r>
        <w:r w:rsidR="00E562BA">
          <w:rPr>
            <w:noProof/>
            <w:webHidden/>
          </w:rPr>
          <w:fldChar w:fldCharType="separate"/>
        </w:r>
        <w:r w:rsidR="00562174">
          <w:rPr>
            <w:noProof/>
            <w:webHidden/>
          </w:rPr>
          <w:t>86</w:t>
        </w:r>
        <w:r w:rsidR="00E562BA">
          <w:rPr>
            <w:noProof/>
            <w:webHidden/>
          </w:rPr>
          <w:fldChar w:fldCharType="end"/>
        </w:r>
      </w:hyperlink>
    </w:p>
    <w:p w14:paraId="0D8F2C32" w14:textId="67BE928A" w:rsidR="00E562BA" w:rsidRDefault="005B0EE0">
      <w:pPr>
        <w:pStyle w:val="TOC1"/>
        <w:rPr>
          <w:rFonts w:asciiTheme="minorHAnsi" w:eastAsiaTheme="minorEastAsia" w:hAnsiTheme="minorHAnsi"/>
          <w:noProof/>
          <w:sz w:val="22"/>
          <w:lang w:val="en-AU" w:eastAsia="en-AU"/>
        </w:rPr>
      </w:pPr>
      <w:hyperlink w:anchor="_Toc99650364" w:history="1">
        <w:r w:rsidR="00E562BA" w:rsidRPr="00855086">
          <w:rPr>
            <w:rStyle w:val="Hyperlink"/>
            <w:noProof/>
          </w:rPr>
          <w:t>6</w:t>
        </w:r>
        <w:r w:rsidR="00E562BA">
          <w:rPr>
            <w:rFonts w:asciiTheme="minorHAnsi" w:eastAsiaTheme="minorEastAsia" w:hAnsiTheme="minorHAnsi"/>
            <w:noProof/>
            <w:sz w:val="22"/>
            <w:lang w:val="en-AU" w:eastAsia="en-AU"/>
          </w:rPr>
          <w:tab/>
        </w:r>
        <w:r w:rsidR="00E562BA" w:rsidRPr="00855086">
          <w:rPr>
            <w:rStyle w:val="Hyperlink"/>
            <w:noProof/>
          </w:rPr>
          <w:t>Establishment of AMHCs</w:t>
        </w:r>
        <w:r w:rsidR="00E562BA">
          <w:rPr>
            <w:noProof/>
            <w:webHidden/>
          </w:rPr>
          <w:tab/>
        </w:r>
        <w:r w:rsidR="00E562BA">
          <w:rPr>
            <w:noProof/>
            <w:webHidden/>
          </w:rPr>
          <w:fldChar w:fldCharType="begin"/>
        </w:r>
        <w:r w:rsidR="00E562BA">
          <w:rPr>
            <w:noProof/>
            <w:webHidden/>
          </w:rPr>
          <w:instrText xml:space="preserve"> PAGEREF _Toc99650364 \h </w:instrText>
        </w:r>
        <w:r w:rsidR="00E562BA">
          <w:rPr>
            <w:noProof/>
            <w:webHidden/>
          </w:rPr>
        </w:r>
        <w:r w:rsidR="00E562BA">
          <w:rPr>
            <w:noProof/>
            <w:webHidden/>
          </w:rPr>
          <w:fldChar w:fldCharType="separate"/>
        </w:r>
        <w:r w:rsidR="00562174">
          <w:rPr>
            <w:noProof/>
            <w:webHidden/>
          </w:rPr>
          <w:t>86</w:t>
        </w:r>
        <w:r w:rsidR="00E562BA">
          <w:rPr>
            <w:noProof/>
            <w:webHidden/>
          </w:rPr>
          <w:fldChar w:fldCharType="end"/>
        </w:r>
      </w:hyperlink>
    </w:p>
    <w:p w14:paraId="489F3B5A" w14:textId="054AA9D5" w:rsidR="00E562BA" w:rsidRDefault="005B0EE0">
      <w:pPr>
        <w:pStyle w:val="TOC2"/>
        <w:rPr>
          <w:rFonts w:asciiTheme="minorHAnsi" w:eastAsiaTheme="minorEastAsia" w:hAnsiTheme="minorHAnsi"/>
          <w:noProof/>
          <w:sz w:val="22"/>
          <w:lang w:val="en-AU" w:eastAsia="en-AU"/>
        </w:rPr>
      </w:pPr>
      <w:hyperlink w:anchor="_Toc99650365" w:history="1">
        <w:r w:rsidR="00E562BA" w:rsidRPr="00855086">
          <w:rPr>
            <w:rStyle w:val="Hyperlink"/>
            <w:noProof/>
          </w:rPr>
          <w:t>6.1</w:t>
        </w:r>
        <w:r w:rsidR="00E562BA">
          <w:rPr>
            <w:rFonts w:asciiTheme="minorHAnsi" w:eastAsiaTheme="minorEastAsia" w:hAnsiTheme="minorHAnsi"/>
            <w:noProof/>
            <w:sz w:val="22"/>
            <w:lang w:val="en-AU" w:eastAsia="en-AU"/>
          </w:rPr>
          <w:tab/>
        </w:r>
        <w:r w:rsidR="00E562BA" w:rsidRPr="00855086">
          <w:rPr>
            <w:rStyle w:val="Hyperlink"/>
            <w:noProof/>
          </w:rPr>
          <w:t xml:space="preserve">How </w:t>
        </w:r>
        <w:r w:rsidR="00E562BA" w:rsidRPr="00855086">
          <w:rPr>
            <w:rStyle w:val="Hyperlink"/>
            <w:rFonts w:asciiTheme="majorHAnsi" w:hAnsiTheme="majorHAnsi" w:cstheme="majorHAnsi"/>
            <w:noProof/>
          </w:rPr>
          <w:t>effective</w:t>
        </w:r>
        <w:r w:rsidR="00E562BA" w:rsidRPr="00855086">
          <w:rPr>
            <w:rStyle w:val="Hyperlink"/>
            <w:noProof/>
          </w:rPr>
          <w:t xml:space="preserve"> has the establishment of the program been to date and what we can learn from it?</w:t>
        </w:r>
        <w:r w:rsidR="00E562BA">
          <w:rPr>
            <w:noProof/>
            <w:webHidden/>
          </w:rPr>
          <w:tab/>
        </w:r>
        <w:r w:rsidR="00E562BA">
          <w:rPr>
            <w:noProof/>
            <w:webHidden/>
          </w:rPr>
          <w:fldChar w:fldCharType="begin"/>
        </w:r>
        <w:r w:rsidR="00E562BA">
          <w:rPr>
            <w:noProof/>
            <w:webHidden/>
          </w:rPr>
          <w:instrText xml:space="preserve"> PAGEREF _Toc99650365 \h </w:instrText>
        </w:r>
        <w:r w:rsidR="00E562BA">
          <w:rPr>
            <w:noProof/>
            <w:webHidden/>
          </w:rPr>
        </w:r>
        <w:r w:rsidR="00E562BA">
          <w:rPr>
            <w:noProof/>
            <w:webHidden/>
          </w:rPr>
          <w:fldChar w:fldCharType="separate"/>
        </w:r>
        <w:r w:rsidR="00562174">
          <w:rPr>
            <w:noProof/>
            <w:webHidden/>
          </w:rPr>
          <w:t>86</w:t>
        </w:r>
        <w:r w:rsidR="00E562BA">
          <w:rPr>
            <w:noProof/>
            <w:webHidden/>
          </w:rPr>
          <w:fldChar w:fldCharType="end"/>
        </w:r>
      </w:hyperlink>
    </w:p>
    <w:p w14:paraId="1FB4C696" w14:textId="74D675C6" w:rsidR="00E562BA" w:rsidRDefault="005B0EE0">
      <w:pPr>
        <w:pStyle w:val="TOC3"/>
        <w:rPr>
          <w:rFonts w:asciiTheme="minorHAnsi" w:eastAsiaTheme="minorEastAsia" w:hAnsiTheme="minorHAnsi"/>
          <w:noProof/>
          <w:sz w:val="22"/>
          <w:lang w:val="en-AU" w:eastAsia="en-AU"/>
        </w:rPr>
      </w:pPr>
      <w:hyperlink w:anchor="_Toc99650366" w:history="1">
        <w:r w:rsidR="00E562BA" w:rsidRPr="00855086">
          <w:rPr>
            <w:rStyle w:val="Hyperlink"/>
            <w:noProof/>
          </w:rPr>
          <w:t>6.1.1</w:t>
        </w:r>
        <w:r w:rsidR="00E562BA">
          <w:rPr>
            <w:rFonts w:asciiTheme="minorHAnsi" w:eastAsiaTheme="minorEastAsia" w:hAnsiTheme="minorHAnsi"/>
            <w:noProof/>
            <w:sz w:val="22"/>
            <w:lang w:val="en-AU" w:eastAsia="en-AU"/>
          </w:rPr>
          <w:tab/>
        </w:r>
        <w:r w:rsidR="00E562BA" w:rsidRPr="00855086">
          <w:rPr>
            <w:rStyle w:val="Hyperlink"/>
            <w:noProof/>
          </w:rPr>
          <w:t>PHN commissioning</w:t>
        </w:r>
        <w:r w:rsidR="00E562BA">
          <w:rPr>
            <w:noProof/>
            <w:webHidden/>
          </w:rPr>
          <w:tab/>
        </w:r>
        <w:r w:rsidR="00E562BA">
          <w:rPr>
            <w:noProof/>
            <w:webHidden/>
          </w:rPr>
          <w:fldChar w:fldCharType="begin"/>
        </w:r>
        <w:r w:rsidR="00E562BA">
          <w:rPr>
            <w:noProof/>
            <w:webHidden/>
          </w:rPr>
          <w:instrText xml:space="preserve"> PAGEREF _Toc99650366 \h </w:instrText>
        </w:r>
        <w:r w:rsidR="00E562BA">
          <w:rPr>
            <w:noProof/>
            <w:webHidden/>
          </w:rPr>
        </w:r>
        <w:r w:rsidR="00E562BA">
          <w:rPr>
            <w:noProof/>
            <w:webHidden/>
          </w:rPr>
          <w:fldChar w:fldCharType="separate"/>
        </w:r>
        <w:r w:rsidR="00562174">
          <w:rPr>
            <w:noProof/>
            <w:webHidden/>
          </w:rPr>
          <w:t>86</w:t>
        </w:r>
        <w:r w:rsidR="00E562BA">
          <w:rPr>
            <w:noProof/>
            <w:webHidden/>
          </w:rPr>
          <w:fldChar w:fldCharType="end"/>
        </w:r>
      </w:hyperlink>
    </w:p>
    <w:p w14:paraId="753328A1" w14:textId="2A1CABB1" w:rsidR="00E562BA" w:rsidRDefault="005B0EE0">
      <w:pPr>
        <w:pStyle w:val="TOC3"/>
        <w:rPr>
          <w:rFonts w:asciiTheme="minorHAnsi" w:eastAsiaTheme="minorEastAsia" w:hAnsiTheme="minorHAnsi"/>
          <w:noProof/>
          <w:sz w:val="22"/>
          <w:lang w:val="en-AU" w:eastAsia="en-AU"/>
        </w:rPr>
      </w:pPr>
      <w:hyperlink w:anchor="_Toc99650367" w:history="1">
        <w:r w:rsidR="00E562BA" w:rsidRPr="00855086">
          <w:rPr>
            <w:rStyle w:val="Hyperlink"/>
            <w:noProof/>
          </w:rPr>
          <w:t>6.1.2</w:t>
        </w:r>
        <w:r w:rsidR="00E562BA">
          <w:rPr>
            <w:rFonts w:asciiTheme="minorHAnsi" w:eastAsiaTheme="minorEastAsia" w:hAnsiTheme="minorHAnsi"/>
            <w:noProof/>
            <w:sz w:val="22"/>
            <w:lang w:val="en-AU" w:eastAsia="en-AU"/>
          </w:rPr>
          <w:tab/>
        </w:r>
        <w:r w:rsidR="00E562BA" w:rsidRPr="00855086">
          <w:rPr>
            <w:rStyle w:val="Hyperlink"/>
            <w:noProof/>
          </w:rPr>
          <w:t>Co-design and local tailoring</w:t>
        </w:r>
        <w:r w:rsidR="00E562BA">
          <w:rPr>
            <w:noProof/>
            <w:webHidden/>
          </w:rPr>
          <w:tab/>
        </w:r>
        <w:r w:rsidR="00E562BA">
          <w:rPr>
            <w:noProof/>
            <w:webHidden/>
          </w:rPr>
          <w:fldChar w:fldCharType="begin"/>
        </w:r>
        <w:r w:rsidR="00E562BA">
          <w:rPr>
            <w:noProof/>
            <w:webHidden/>
          </w:rPr>
          <w:instrText xml:space="preserve"> PAGEREF _Toc99650367 \h </w:instrText>
        </w:r>
        <w:r w:rsidR="00E562BA">
          <w:rPr>
            <w:noProof/>
            <w:webHidden/>
          </w:rPr>
        </w:r>
        <w:r w:rsidR="00E562BA">
          <w:rPr>
            <w:noProof/>
            <w:webHidden/>
          </w:rPr>
          <w:fldChar w:fldCharType="separate"/>
        </w:r>
        <w:r w:rsidR="00562174">
          <w:rPr>
            <w:noProof/>
            <w:webHidden/>
          </w:rPr>
          <w:t>91</w:t>
        </w:r>
        <w:r w:rsidR="00E562BA">
          <w:rPr>
            <w:noProof/>
            <w:webHidden/>
          </w:rPr>
          <w:fldChar w:fldCharType="end"/>
        </w:r>
      </w:hyperlink>
    </w:p>
    <w:p w14:paraId="46AA94E9" w14:textId="1BB2AFAE" w:rsidR="00E562BA" w:rsidRDefault="005B0EE0">
      <w:pPr>
        <w:pStyle w:val="TOC3"/>
        <w:rPr>
          <w:rFonts w:asciiTheme="minorHAnsi" w:eastAsiaTheme="minorEastAsia" w:hAnsiTheme="minorHAnsi"/>
          <w:noProof/>
          <w:sz w:val="22"/>
          <w:lang w:val="en-AU" w:eastAsia="en-AU"/>
        </w:rPr>
      </w:pPr>
      <w:hyperlink w:anchor="_Toc99650368" w:history="1">
        <w:r w:rsidR="00E562BA" w:rsidRPr="00855086">
          <w:rPr>
            <w:rStyle w:val="Hyperlink"/>
            <w:noProof/>
          </w:rPr>
          <w:t>6.1.3</w:t>
        </w:r>
        <w:r w:rsidR="00E562BA">
          <w:rPr>
            <w:rFonts w:asciiTheme="minorHAnsi" w:eastAsiaTheme="minorEastAsia" w:hAnsiTheme="minorHAnsi"/>
            <w:noProof/>
            <w:sz w:val="22"/>
            <w:lang w:val="en-AU" w:eastAsia="en-AU"/>
          </w:rPr>
          <w:tab/>
        </w:r>
        <w:r w:rsidR="00E562BA" w:rsidRPr="00855086">
          <w:rPr>
            <w:rStyle w:val="Hyperlink"/>
            <w:noProof/>
          </w:rPr>
          <w:t>Establishment challenges</w:t>
        </w:r>
        <w:r w:rsidR="00E562BA">
          <w:rPr>
            <w:noProof/>
            <w:webHidden/>
          </w:rPr>
          <w:tab/>
        </w:r>
        <w:r w:rsidR="00E562BA">
          <w:rPr>
            <w:noProof/>
            <w:webHidden/>
          </w:rPr>
          <w:fldChar w:fldCharType="begin"/>
        </w:r>
        <w:r w:rsidR="00E562BA">
          <w:rPr>
            <w:noProof/>
            <w:webHidden/>
          </w:rPr>
          <w:instrText xml:space="preserve"> PAGEREF _Toc99650368 \h </w:instrText>
        </w:r>
        <w:r w:rsidR="00E562BA">
          <w:rPr>
            <w:noProof/>
            <w:webHidden/>
          </w:rPr>
        </w:r>
        <w:r w:rsidR="00E562BA">
          <w:rPr>
            <w:noProof/>
            <w:webHidden/>
          </w:rPr>
          <w:fldChar w:fldCharType="separate"/>
        </w:r>
        <w:r w:rsidR="00562174">
          <w:rPr>
            <w:noProof/>
            <w:webHidden/>
          </w:rPr>
          <w:t>95</w:t>
        </w:r>
        <w:r w:rsidR="00E562BA">
          <w:rPr>
            <w:noProof/>
            <w:webHidden/>
          </w:rPr>
          <w:fldChar w:fldCharType="end"/>
        </w:r>
      </w:hyperlink>
    </w:p>
    <w:p w14:paraId="191F8231" w14:textId="79A032BF" w:rsidR="00E562BA" w:rsidRDefault="005B0EE0">
      <w:pPr>
        <w:pStyle w:val="TOC3"/>
        <w:rPr>
          <w:rFonts w:asciiTheme="minorHAnsi" w:eastAsiaTheme="minorEastAsia" w:hAnsiTheme="minorHAnsi"/>
          <w:noProof/>
          <w:sz w:val="22"/>
          <w:lang w:val="en-AU" w:eastAsia="en-AU"/>
        </w:rPr>
      </w:pPr>
      <w:hyperlink w:anchor="_Toc99650369" w:history="1">
        <w:r w:rsidR="00E562BA" w:rsidRPr="00855086">
          <w:rPr>
            <w:rStyle w:val="Hyperlink"/>
            <w:noProof/>
          </w:rPr>
          <w:t>6.1.4</w:t>
        </w:r>
        <w:r w:rsidR="00E562BA">
          <w:rPr>
            <w:rFonts w:asciiTheme="minorHAnsi" w:eastAsiaTheme="minorEastAsia" w:hAnsiTheme="minorHAnsi"/>
            <w:noProof/>
            <w:sz w:val="22"/>
            <w:lang w:val="en-AU" w:eastAsia="en-AU"/>
          </w:rPr>
          <w:tab/>
        </w:r>
        <w:r w:rsidR="00E562BA" w:rsidRPr="00855086">
          <w:rPr>
            <w:rStyle w:val="Hyperlink"/>
            <w:noProof/>
          </w:rPr>
          <w:t>Workforce</w:t>
        </w:r>
        <w:r w:rsidR="00E562BA">
          <w:rPr>
            <w:noProof/>
            <w:webHidden/>
          </w:rPr>
          <w:tab/>
        </w:r>
        <w:r w:rsidR="00E562BA">
          <w:rPr>
            <w:noProof/>
            <w:webHidden/>
          </w:rPr>
          <w:fldChar w:fldCharType="begin"/>
        </w:r>
        <w:r w:rsidR="00E562BA">
          <w:rPr>
            <w:noProof/>
            <w:webHidden/>
          </w:rPr>
          <w:instrText xml:space="preserve"> PAGEREF _Toc99650369 \h </w:instrText>
        </w:r>
        <w:r w:rsidR="00E562BA">
          <w:rPr>
            <w:noProof/>
            <w:webHidden/>
          </w:rPr>
        </w:r>
        <w:r w:rsidR="00E562BA">
          <w:rPr>
            <w:noProof/>
            <w:webHidden/>
          </w:rPr>
          <w:fldChar w:fldCharType="separate"/>
        </w:r>
        <w:r w:rsidR="00562174">
          <w:rPr>
            <w:noProof/>
            <w:webHidden/>
          </w:rPr>
          <w:t>97</w:t>
        </w:r>
        <w:r w:rsidR="00E562BA">
          <w:rPr>
            <w:noProof/>
            <w:webHidden/>
          </w:rPr>
          <w:fldChar w:fldCharType="end"/>
        </w:r>
      </w:hyperlink>
    </w:p>
    <w:p w14:paraId="68D25994" w14:textId="380C1D7F" w:rsidR="00E562BA" w:rsidRDefault="005B0EE0">
      <w:pPr>
        <w:pStyle w:val="TOC3"/>
        <w:rPr>
          <w:rFonts w:asciiTheme="minorHAnsi" w:eastAsiaTheme="minorEastAsia" w:hAnsiTheme="minorHAnsi"/>
          <w:noProof/>
          <w:sz w:val="22"/>
          <w:lang w:val="en-AU" w:eastAsia="en-AU"/>
        </w:rPr>
      </w:pPr>
      <w:hyperlink w:anchor="_Toc99650370" w:history="1">
        <w:r w:rsidR="00E562BA" w:rsidRPr="00855086">
          <w:rPr>
            <w:rStyle w:val="Hyperlink"/>
            <w:noProof/>
          </w:rPr>
          <w:t>6.1.5</w:t>
        </w:r>
        <w:r w:rsidR="00E562BA">
          <w:rPr>
            <w:rFonts w:asciiTheme="minorHAnsi" w:eastAsiaTheme="minorEastAsia" w:hAnsiTheme="minorHAnsi"/>
            <w:noProof/>
            <w:sz w:val="22"/>
            <w:lang w:val="en-AU" w:eastAsia="en-AU"/>
          </w:rPr>
          <w:tab/>
        </w:r>
        <w:r w:rsidR="00E562BA" w:rsidRPr="00855086">
          <w:rPr>
            <w:rStyle w:val="Hyperlink"/>
            <w:noProof/>
          </w:rPr>
          <w:t>Implementation risks</w:t>
        </w:r>
        <w:r w:rsidR="00E562BA">
          <w:rPr>
            <w:noProof/>
            <w:webHidden/>
          </w:rPr>
          <w:tab/>
        </w:r>
        <w:r w:rsidR="00E562BA">
          <w:rPr>
            <w:noProof/>
            <w:webHidden/>
          </w:rPr>
          <w:fldChar w:fldCharType="begin"/>
        </w:r>
        <w:r w:rsidR="00E562BA">
          <w:rPr>
            <w:noProof/>
            <w:webHidden/>
          </w:rPr>
          <w:instrText xml:space="preserve"> PAGEREF _Toc99650370 \h </w:instrText>
        </w:r>
        <w:r w:rsidR="00E562BA">
          <w:rPr>
            <w:noProof/>
            <w:webHidden/>
          </w:rPr>
        </w:r>
        <w:r w:rsidR="00E562BA">
          <w:rPr>
            <w:noProof/>
            <w:webHidden/>
          </w:rPr>
          <w:fldChar w:fldCharType="separate"/>
        </w:r>
        <w:r w:rsidR="00562174">
          <w:rPr>
            <w:noProof/>
            <w:webHidden/>
          </w:rPr>
          <w:t>99</w:t>
        </w:r>
        <w:r w:rsidR="00E562BA">
          <w:rPr>
            <w:noProof/>
            <w:webHidden/>
          </w:rPr>
          <w:fldChar w:fldCharType="end"/>
        </w:r>
      </w:hyperlink>
    </w:p>
    <w:p w14:paraId="68C3836A" w14:textId="4829DE35" w:rsidR="00E562BA" w:rsidRDefault="005B0EE0">
      <w:pPr>
        <w:pStyle w:val="TOC3"/>
        <w:rPr>
          <w:rFonts w:asciiTheme="minorHAnsi" w:eastAsiaTheme="minorEastAsia" w:hAnsiTheme="minorHAnsi"/>
          <w:noProof/>
          <w:sz w:val="22"/>
          <w:lang w:val="en-AU" w:eastAsia="en-AU"/>
        </w:rPr>
      </w:pPr>
      <w:hyperlink w:anchor="_Toc99650371" w:history="1">
        <w:r w:rsidR="00E562BA" w:rsidRPr="00855086">
          <w:rPr>
            <w:rStyle w:val="Hyperlink"/>
            <w:noProof/>
          </w:rPr>
          <w:t>6.1.6</w:t>
        </w:r>
        <w:r w:rsidR="00E562BA">
          <w:rPr>
            <w:rFonts w:asciiTheme="minorHAnsi" w:eastAsiaTheme="minorEastAsia" w:hAnsiTheme="minorHAnsi"/>
            <w:noProof/>
            <w:sz w:val="22"/>
            <w:lang w:val="en-AU" w:eastAsia="en-AU"/>
          </w:rPr>
          <w:tab/>
        </w:r>
        <w:r w:rsidR="00E562BA" w:rsidRPr="00855086">
          <w:rPr>
            <w:rStyle w:val="Hyperlink"/>
            <w:noProof/>
          </w:rPr>
          <w:t>Collaboration across AMHCs</w:t>
        </w:r>
        <w:r w:rsidR="00E562BA">
          <w:rPr>
            <w:noProof/>
            <w:webHidden/>
          </w:rPr>
          <w:tab/>
        </w:r>
        <w:r w:rsidR="00E562BA">
          <w:rPr>
            <w:noProof/>
            <w:webHidden/>
          </w:rPr>
          <w:fldChar w:fldCharType="begin"/>
        </w:r>
        <w:r w:rsidR="00E562BA">
          <w:rPr>
            <w:noProof/>
            <w:webHidden/>
          </w:rPr>
          <w:instrText xml:space="preserve"> PAGEREF _Toc99650371 \h </w:instrText>
        </w:r>
        <w:r w:rsidR="00E562BA">
          <w:rPr>
            <w:noProof/>
            <w:webHidden/>
          </w:rPr>
        </w:r>
        <w:r w:rsidR="00E562BA">
          <w:rPr>
            <w:noProof/>
            <w:webHidden/>
          </w:rPr>
          <w:fldChar w:fldCharType="separate"/>
        </w:r>
        <w:r w:rsidR="00562174">
          <w:rPr>
            <w:noProof/>
            <w:webHidden/>
          </w:rPr>
          <w:t>101</w:t>
        </w:r>
        <w:r w:rsidR="00E562BA">
          <w:rPr>
            <w:noProof/>
            <w:webHidden/>
          </w:rPr>
          <w:fldChar w:fldCharType="end"/>
        </w:r>
      </w:hyperlink>
    </w:p>
    <w:p w14:paraId="2F9574FE" w14:textId="3A4665BF" w:rsidR="00E562BA" w:rsidRDefault="005B0EE0">
      <w:pPr>
        <w:pStyle w:val="TOC2"/>
        <w:rPr>
          <w:rFonts w:asciiTheme="minorHAnsi" w:eastAsiaTheme="minorEastAsia" w:hAnsiTheme="minorHAnsi"/>
          <w:noProof/>
          <w:sz w:val="22"/>
          <w:lang w:val="en-AU" w:eastAsia="en-AU"/>
        </w:rPr>
      </w:pPr>
      <w:hyperlink w:anchor="_Toc99650372" w:history="1">
        <w:r w:rsidR="00E562BA" w:rsidRPr="00855086">
          <w:rPr>
            <w:rStyle w:val="Hyperlink"/>
            <w:noProof/>
          </w:rPr>
          <w:t>6.2</w:t>
        </w:r>
        <w:r w:rsidR="00E562BA">
          <w:rPr>
            <w:rFonts w:asciiTheme="minorHAnsi" w:eastAsiaTheme="minorEastAsia" w:hAnsiTheme="minorHAnsi"/>
            <w:noProof/>
            <w:sz w:val="22"/>
            <w:lang w:val="en-AU" w:eastAsia="en-AU"/>
          </w:rPr>
          <w:tab/>
        </w:r>
        <w:r w:rsidR="00E562BA" w:rsidRPr="00855086">
          <w:rPr>
            <w:rStyle w:val="Hyperlink"/>
            <w:noProof/>
          </w:rPr>
          <w:t>How</w:t>
        </w:r>
        <w:r w:rsidR="00E562BA" w:rsidRPr="00855086">
          <w:rPr>
            <w:rStyle w:val="Hyperlink"/>
            <w:rFonts w:asciiTheme="majorHAnsi" w:hAnsiTheme="majorHAnsi" w:cstheme="majorHAnsi"/>
            <w:noProof/>
          </w:rPr>
          <w:t xml:space="preserve"> appropriate</w:t>
        </w:r>
        <w:r w:rsidR="00E562BA" w:rsidRPr="00855086">
          <w:rPr>
            <w:rStyle w:val="Hyperlink"/>
            <w:noProof/>
          </w:rPr>
          <w:t xml:space="preserve"> is the IAR intake process that has been developed?</w:t>
        </w:r>
        <w:r w:rsidR="00E562BA">
          <w:rPr>
            <w:noProof/>
            <w:webHidden/>
          </w:rPr>
          <w:tab/>
        </w:r>
        <w:r w:rsidR="00E562BA">
          <w:rPr>
            <w:noProof/>
            <w:webHidden/>
          </w:rPr>
          <w:fldChar w:fldCharType="begin"/>
        </w:r>
        <w:r w:rsidR="00E562BA">
          <w:rPr>
            <w:noProof/>
            <w:webHidden/>
          </w:rPr>
          <w:instrText xml:space="preserve"> PAGEREF _Toc99650372 \h </w:instrText>
        </w:r>
        <w:r w:rsidR="00E562BA">
          <w:rPr>
            <w:noProof/>
            <w:webHidden/>
          </w:rPr>
        </w:r>
        <w:r w:rsidR="00E562BA">
          <w:rPr>
            <w:noProof/>
            <w:webHidden/>
          </w:rPr>
          <w:fldChar w:fldCharType="separate"/>
        </w:r>
        <w:r w:rsidR="00562174">
          <w:rPr>
            <w:noProof/>
            <w:webHidden/>
          </w:rPr>
          <w:t>101</w:t>
        </w:r>
        <w:r w:rsidR="00E562BA">
          <w:rPr>
            <w:noProof/>
            <w:webHidden/>
          </w:rPr>
          <w:fldChar w:fldCharType="end"/>
        </w:r>
      </w:hyperlink>
    </w:p>
    <w:p w14:paraId="13B5F4F1" w14:textId="35716A90" w:rsidR="00E562BA" w:rsidRDefault="005B0EE0">
      <w:pPr>
        <w:pStyle w:val="TOC3"/>
        <w:rPr>
          <w:rFonts w:asciiTheme="minorHAnsi" w:eastAsiaTheme="minorEastAsia" w:hAnsiTheme="minorHAnsi"/>
          <w:noProof/>
          <w:sz w:val="22"/>
          <w:lang w:val="en-AU" w:eastAsia="en-AU"/>
        </w:rPr>
      </w:pPr>
      <w:hyperlink w:anchor="_Toc99650373" w:history="1">
        <w:r w:rsidR="00E562BA" w:rsidRPr="00855086">
          <w:rPr>
            <w:rStyle w:val="Hyperlink"/>
            <w:noProof/>
          </w:rPr>
          <w:t>6.2.1</w:t>
        </w:r>
        <w:r w:rsidR="00E562BA">
          <w:rPr>
            <w:rFonts w:asciiTheme="minorHAnsi" w:eastAsiaTheme="minorEastAsia" w:hAnsiTheme="minorHAnsi"/>
            <w:noProof/>
            <w:sz w:val="22"/>
            <w:lang w:val="en-AU" w:eastAsia="en-AU"/>
          </w:rPr>
          <w:tab/>
        </w:r>
        <w:r w:rsidR="00E562BA" w:rsidRPr="00855086">
          <w:rPr>
            <w:rStyle w:val="Hyperlink"/>
            <w:noProof/>
          </w:rPr>
          <w:t>Uptake of the IAR-DST</w:t>
        </w:r>
        <w:r w:rsidR="00E562BA">
          <w:rPr>
            <w:noProof/>
            <w:webHidden/>
          </w:rPr>
          <w:tab/>
        </w:r>
        <w:r w:rsidR="00E562BA">
          <w:rPr>
            <w:noProof/>
            <w:webHidden/>
          </w:rPr>
          <w:fldChar w:fldCharType="begin"/>
        </w:r>
        <w:r w:rsidR="00E562BA">
          <w:rPr>
            <w:noProof/>
            <w:webHidden/>
          </w:rPr>
          <w:instrText xml:space="preserve"> PAGEREF _Toc99650373 \h </w:instrText>
        </w:r>
        <w:r w:rsidR="00E562BA">
          <w:rPr>
            <w:noProof/>
            <w:webHidden/>
          </w:rPr>
        </w:r>
        <w:r w:rsidR="00E562BA">
          <w:rPr>
            <w:noProof/>
            <w:webHidden/>
          </w:rPr>
          <w:fldChar w:fldCharType="separate"/>
        </w:r>
        <w:r w:rsidR="00562174">
          <w:rPr>
            <w:noProof/>
            <w:webHidden/>
          </w:rPr>
          <w:t>102</w:t>
        </w:r>
        <w:r w:rsidR="00E562BA">
          <w:rPr>
            <w:noProof/>
            <w:webHidden/>
          </w:rPr>
          <w:fldChar w:fldCharType="end"/>
        </w:r>
      </w:hyperlink>
    </w:p>
    <w:p w14:paraId="46826BA9" w14:textId="5931459B" w:rsidR="00E562BA" w:rsidRDefault="005B0EE0">
      <w:pPr>
        <w:pStyle w:val="TOC2"/>
        <w:rPr>
          <w:rFonts w:asciiTheme="minorHAnsi" w:eastAsiaTheme="minorEastAsia" w:hAnsiTheme="minorHAnsi"/>
          <w:noProof/>
          <w:sz w:val="22"/>
          <w:lang w:val="en-AU" w:eastAsia="en-AU"/>
        </w:rPr>
      </w:pPr>
      <w:hyperlink w:anchor="_Toc99650374" w:history="1">
        <w:r w:rsidR="00E562BA" w:rsidRPr="00855086">
          <w:rPr>
            <w:rStyle w:val="Hyperlink"/>
            <w:noProof/>
          </w:rPr>
          <w:t>6.3</w:t>
        </w:r>
        <w:r w:rsidR="00E562BA">
          <w:rPr>
            <w:rFonts w:asciiTheme="minorHAnsi" w:eastAsiaTheme="minorEastAsia" w:hAnsiTheme="minorHAnsi"/>
            <w:noProof/>
            <w:sz w:val="22"/>
            <w:lang w:val="en-AU" w:eastAsia="en-AU"/>
          </w:rPr>
          <w:tab/>
        </w:r>
        <w:r w:rsidR="00E562BA" w:rsidRPr="00855086">
          <w:rPr>
            <w:rStyle w:val="Hyperlink"/>
            <w:noProof/>
          </w:rPr>
          <w:t xml:space="preserve">How </w:t>
        </w:r>
        <w:r w:rsidR="00E562BA" w:rsidRPr="00855086">
          <w:rPr>
            <w:rStyle w:val="Hyperlink"/>
            <w:rFonts w:asciiTheme="majorHAnsi" w:hAnsiTheme="majorHAnsi" w:cstheme="majorHAnsi"/>
            <w:noProof/>
          </w:rPr>
          <w:t xml:space="preserve">efficiently </w:t>
        </w:r>
        <w:r w:rsidR="00E562BA" w:rsidRPr="00855086">
          <w:rPr>
            <w:rStyle w:val="Hyperlink"/>
            <w:noProof/>
          </w:rPr>
          <w:t>were AMHCs established?</w:t>
        </w:r>
        <w:r w:rsidR="00E562BA">
          <w:rPr>
            <w:noProof/>
            <w:webHidden/>
          </w:rPr>
          <w:tab/>
        </w:r>
        <w:r w:rsidR="00E562BA">
          <w:rPr>
            <w:noProof/>
            <w:webHidden/>
          </w:rPr>
          <w:fldChar w:fldCharType="begin"/>
        </w:r>
        <w:r w:rsidR="00E562BA">
          <w:rPr>
            <w:noProof/>
            <w:webHidden/>
          </w:rPr>
          <w:instrText xml:space="preserve"> PAGEREF _Toc99650374 \h </w:instrText>
        </w:r>
        <w:r w:rsidR="00E562BA">
          <w:rPr>
            <w:noProof/>
            <w:webHidden/>
          </w:rPr>
        </w:r>
        <w:r w:rsidR="00E562BA">
          <w:rPr>
            <w:noProof/>
            <w:webHidden/>
          </w:rPr>
          <w:fldChar w:fldCharType="separate"/>
        </w:r>
        <w:r w:rsidR="00562174">
          <w:rPr>
            <w:noProof/>
            <w:webHidden/>
          </w:rPr>
          <w:t>103</w:t>
        </w:r>
        <w:r w:rsidR="00E562BA">
          <w:rPr>
            <w:noProof/>
            <w:webHidden/>
          </w:rPr>
          <w:fldChar w:fldCharType="end"/>
        </w:r>
      </w:hyperlink>
    </w:p>
    <w:p w14:paraId="14690F62" w14:textId="3929E1E9" w:rsidR="00E562BA" w:rsidRDefault="005B0EE0">
      <w:pPr>
        <w:pStyle w:val="TOC3"/>
        <w:rPr>
          <w:rFonts w:asciiTheme="minorHAnsi" w:eastAsiaTheme="minorEastAsia" w:hAnsiTheme="minorHAnsi"/>
          <w:noProof/>
          <w:sz w:val="22"/>
          <w:lang w:val="en-AU" w:eastAsia="en-AU"/>
        </w:rPr>
      </w:pPr>
      <w:hyperlink w:anchor="_Toc99650375" w:history="1">
        <w:r w:rsidR="00E562BA" w:rsidRPr="00855086">
          <w:rPr>
            <w:rStyle w:val="Hyperlink"/>
            <w:noProof/>
          </w:rPr>
          <w:t>6.3.1</w:t>
        </w:r>
        <w:r w:rsidR="00E562BA">
          <w:rPr>
            <w:rFonts w:asciiTheme="minorHAnsi" w:eastAsiaTheme="minorEastAsia" w:hAnsiTheme="minorHAnsi"/>
            <w:noProof/>
            <w:sz w:val="22"/>
            <w:lang w:val="en-AU" w:eastAsia="en-AU"/>
          </w:rPr>
          <w:tab/>
        </w:r>
        <w:r w:rsidR="00E562BA" w:rsidRPr="00855086">
          <w:rPr>
            <w:rStyle w:val="Hyperlink"/>
            <w:noProof/>
          </w:rPr>
          <w:t>Establishment costs and funding</w:t>
        </w:r>
        <w:r w:rsidR="00E562BA">
          <w:rPr>
            <w:noProof/>
            <w:webHidden/>
          </w:rPr>
          <w:tab/>
        </w:r>
        <w:r w:rsidR="00E562BA">
          <w:rPr>
            <w:noProof/>
            <w:webHidden/>
          </w:rPr>
          <w:fldChar w:fldCharType="begin"/>
        </w:r>
        <w:r w:rsidR="00E562BA">
          <w:rPr>
            <w:noProof/>
            <w:webHidden/>
          </w:rPr>
          <w:instrText xml:space="preserve"> PAGEREF _Toc99650375 \h </w:instrText>
        </w:r>
        <w:r w:rsidR="00E562BA">
          <w:rPr>
            <w:noProof/>
            <w:webHidden/>
          </w:rPr>
        </w:r>
        <w:r w:rsidR="00E562BA">
          <w:rPr>
            <w:noProof/>
            <w:webHidden/>
          </w:rPr>
          <w:fldChar w:fldCharType="separate"/>
        </w:r>
        <w:r w:rsidR="00562174">
          <w:rPr>
            <w:noProof/>
            <w:webHidden/>
          </w:rPr>
          <w:t>103</w:t>
        </w:r>
        <w:r w:rsidR="00E562BA">
          <w:rPr>
            <w:noProof/>
            <w:webHidden/>
          </w:rPr>
          <w:fldChar w:fldCharType="end"/>
        </w:r>
      </w:hyperlink>
    </w:p>
    <w:p w14:paraId="1D7FE60A" w14:textId="3E7C24A0" w:rsidR="00E562BA" w:rsidRDefault="005B0EE0">
      <w:pPr>
        <w:pStyle w:val="TOC3"/>
        <w:rPr>
          <w:rFonts w:asciiTheme="minorHAnsi" w:eastAsiaTheme="minorEastAsia" w:hAnsiTheme="minorHAnsi"/>
          <w:noProof/>
          <w:sz w:val="22"/>
          <w:lang w:val="en-AU" w:eastAsia="en-AU"/>
        </w:rPr>
      </w:pPr>
      <w:hyperlink w:anchor="_Toc99650376" w:history="1">
        <w:r w:rsidR="00E562BA" w:rsidRPr="00855086">
          <w:rPr>
            <w:rStyle w:val="Hyperlink"/>
            <w:noProof/>
          </w:rPr>
          <w:t>6.3.2</w:t>
        </w:r>
        <w:r w:rsidR="00E562BA">
          <w:rPr>
            <w:rFonts w:asciiTheme="minorHAnsi" w:eastAsiaTheme="minorEastAsia" w:hAnsiTheme="minorHAnsi"/>
            <w:noProof/>
            <w:sz w:val="22"/>
            <w:lang w:val="en-AU" w:eastAsia="en-AU"/>
          </w:rPr>
          <w:tab/>
        </w:r>
        <w:r w:rsidR="00E562BA" w:rsidRPr="00855086">
          <w:rPr>
            <w:rStyle w:val="Hyperlink"/>
            <w:noProof/>
          </w:rPr>
          <w:t>Operational efficiency</w:t>
        </w:r>
        <w:r w:rsidR="00E562BA">
          <w:rPr>
            <w:noProof/>
            <w:webHidden/>
          </w:rPr>
          <w:tab/>
        </w:r>
        <w:r w:rsidR="00E562BA">
          <w:rPr>
            <w:noProof/>
            <w:webHidden/>
          </w:rPr>
          <w:fldChar w:fldCharType="begin"/>
        </w:r>
        <w:r w:rsidR="00E562BA">
          <w:rPr>
            <w:noProof/>
            <w:webHidden/>
          </w:rPr>
          <w:instrText xml:space="preserve"> PAGEREF _Toc99650376 \h </w:instrText>
        </w:r>
        <w:r w:rsidR="00E562BA">
          <w:rPr>
            <w:noProof/>
            <w:webHidden/>
          </w:rPr>
        </w:r>
        <w:r w:rsidR="00E562BA">
          <w:rPr>
            <w:noProof/>
            <w:webHidden/>
          </w:rPr>
          <w:fldChar w:fldCharType="separate"/>
        </w:r>
        <w:r w:rsidR="00562174">
          <w:rPr>
            <w:noProof/>
            <w:webHidden/>
          </w:rPr>
          <w:t>104</w:t>
        </w:r>
        <w:r w:rsidR="00E562BA">
          <w:rPr>
            <w:noProof/>
            <w:webHidden/>
          </w:rPr>
          <w:fldChar w:fldCharType="end"/>
        </w:r>
      </w:hyperlink>
    </w:p>
    <w:p w14:paraId="4EA8D364" w14:textId="7F727199" w:rsidR="00E562BA" w:rsidRDefault="005B0EE0">
      <w:pPr>
        <w:pStyle w:val="TOC1"/>
        <w:rPr>
          <w:rFonts w:asciiTheme="minorHAnsi" w:eastAsiaTheme="minorEastAsia" w:hAnsiTheme="minorHAnsi"/>
          <w:noProof/>
          <w:sz w:val="22"/>
          <w:lang w:val="en-AU" w:eastAsia="en-AU"/>
        </w:rPr>
      </w:pPr>
      <w:hyperlink w:anchor="_Toc99650377" w:history="1">
        <w:r w:rsidR="00E562BA" w:rsidRPr="00855086">
          <w:rPr>
            <w:rStyle w:val="Hyperlink"/>
            <w:noProof/>
          </w:rPr>
          <w:t>7</w:t>
        </w:r>
        <w:r w:rsidR="00E562BA">
          <w:rPr>
            <w:rFonts w:asciiTheme="minorHAnsi" w:eastAsiaTheme="minorEastAsia" w:hAnsiTheme="minorHAnsi"/>
            <w:noProof/>
            <w:sz w:val="22"/>
            <w:lang w:val="en-AU" w:eastAsia="en-AU"/>
          </w:rPr>
          <w:tab/>
        </w:r>
        <w:r w:rsidR="00E562BA" w:rsidRPr="00855086">
          <w:rPr>
            <w:rStyle w:val="Hyperlink"/>
            <w:noProof/>
          </w:rPr>
          <w:t>Recommendations</w:t>
        </w:r>
        <w:r w:rsidR="00E562BA">
          <w:rPr>
            <w:noProof/>
            <w:webHidden/>
          </w:rPr>
          <w:tab/>
        </w:r>
        <w:r w:rsidR="00E562BA">
          <w:rPr>
            <w:noProof/>
            <w:webHidden/>
          </w:rPr>
          <w:fldChar w:fldCharType="begin"/>
        </w:r>
        <w:r w:rsidR="00E562BA">
          <w:rPr>
            <w:noProof/>
            <w:webHidden/>
          </w:rPr>
          <w:instrText xml:space="preserve"> PAGEREF _Toc99650377 \h </w:instrText>
        </w:r>
        <w:r w:rsidR="00E562BA">
          <w:rPr>
            <w:noProof/>
            <w:webHidden/>
          </w:rPr>
        </w:r>
        <w:r w:rsidR="00E562BA">
          <w:rPr>
            <w:noProof/>
            <w:webHidden/>
          </w:rPr>
          <w:fldChar w:fldCharType="separate"/>
        </w:r>
        <w:r w:rsidR="00562174">
          <w:rPr>
            <w:noProof/>
            <w:webHidden/>
          </w:rPr>
          <w:t>106</w:t>
        </w:r>
        <w:r w:rsidR="00E562BA">
          <w:rPr>
            <w:noProof/>
            <w:webHidden/>
          </w:rPr>
          <w:fldChar w:fldCharType="end"/>
        </w:r>
      </w:hyperlink>
    </w:p>
    <w:p w14:paraId="3DC2814A" w14:textId="2B431075" w:rsidR="00E562BA" w:rsidRDefault="005B0EE0">
      <w:pPr>
        <w:pStyle w:val="TOC1"/>
        <w:rPr>
          <w:rFonts w:asciiTheme="minorHAnsi" w:eastAsiaTheme="minorEastAsia" w:hAnsiTheme="minorHAnsi"/>
          <w:noProof/>
          <w:sz w:val="22"/>
          <w:lang w:val="en-AU" w:eastAsia="en-AU"/>
        </w:rPr>
      </w:pPr>
      <w:hyperlink w:anchor="_Toc99650378" w:history="1">
        <w:r w:rsidR="00E562BA" w:rsidRPr="00855086">
          <w:rPr>
            <w:rStyle w:val="Hyperlink"/>
            <w:noProof/>
          </w:rPr>
          <w:t>Appendices</w:t>
        </w:r>
        <w:r w:rsidR="00E562BA">
          <w:rPr>
            <w:noProof/>
            <w:webHidden/>
          </w:rPr>
          <w:tab/>
        </w:r>
        <w:r w:rsidR="00E562BA">
          <w:rPr>
            <w:noProof/>
            <w:webHidden/>
          </w:rPr>
          <w:fldChar w:fldCharType="begin"/>
        </w:r>
        <w:r w:rsidR="00E562BA">
          <w:rPr>
            <w:noProof/>
            <w:webHidden/>
          </w:rPr>
          <w:instrText xml:space="preserve"> PAGEREF _Toc99650378 \h </w:instrText>
        </w:r>
        <w:r w:rsidR="00E562BA">
          <w:rPr>
            <w:noProof/>
            <w:webHidden/>
          </w:rPr>
        </w:r>
        <w:r w:rsidR="00E562BA">
          <w:rPr>
            <w:noProof/>
            <w:webHidden/>
          </w:rPr>
          <w:fldChar w:fldCharType="separate"/>
        </w:r>
        <w:r w:rsidR="00562174">
          <w:rPr>
            <w:noProof/>
            <w:webHidden/>
          </w:rPr>
          <w:t>117</w:t>
        </w:r>
        <w:r w:rsidR="00E562BA">
          <w:rPr>
            <w:noProof/>
            <w:webHidden/>
          </w:rPr>
          <w:fldChar w:fldCharType="end"/>
        </w:r>
      </w:hyperlink>
    </w:p>
    <w:p w14:paraId="506B9935" w14:textId="69E6C52E" w:rsidR="000D5CE3" w:rsidRPr="000D119D" w:rsidRDefault="008A4363" w:rsidP="000D5CE3">
      <w:pPr>
        <w:rPr>
          <w:lang w:val="en-AU" w:eastAsia="en-AU"/>
        </w:rPr>
      </w:pPr>
      <w:r w:rsidRPr="000D119D">
        <w:rPr>
          <w:lang w:val="en-AU" w:eastAsia="en-AU"/>
        </w:rPr>
        <w:fldChar w:fldCharType="end"/>
      </w:r>
    </w:p>
    <w:p w14:paraId="4AE154B4" w14:textId="77777777" w:rsidR="00A3197E" w:rsidRPr="000D119D" w:rsidRDefault="00A3197E" w:rsidP="000D5CE3">
      <w:pPr>
        <w:rPr>
          <w:lang w:val="en-AU" w:eastAsia="en-AU"/>
        </w:rPr>
      </w:pPr>
    </w:p>
    <w:p w14:paraId="417B5E0C" w14:textId="77777777" w:rsidR="00A3197E" w:rsidRPr="000D119D" w:rsidRDefault="00A3197E" w:rsidP="000D5CE3">
      <w:pPr>
        <w:rPr>
          <w:lang w:val="en-AU" w:eastAsia="en-AU"/>
        </w:rPr>
      </w:pPr>
    </w:p>
    <w:p w14:paraId="34D3D856" w14:textId="77777777" w:rsidR="00347671" w:rsidRPr="000D119D" w:rsidRDefault="00347671" w:rsidP="000D5CE3">
      <w:pPr>
        <w:rPr>
          <w:lang w:val="en-AU" w:eastAsia="en-AU"/>
        </w:rPr>
      </w:pPr>
    </w:p>
    <w:p w14:paraId="3E1F3D40" w14:textId="77777777" w:rsidR="00347671" w:rsidRPr="000D119D" w:rsidRDefault="00347671" w:rsidP="000D5CE3">
      <w:pPr>
        <w:rPr>
          <w:lang w:val="en-AU" w:eastAsia="en-AU"/>
        </w:rPr>
        <w:sectPr w:rsidR="00347671" w:rsidRPr="000D119D" w:rsidSect="0073030E">
          <w:pgSz w:w="11907" w:h="16839" w:code="9"/>
          <w:pgMar w:top="1418" w:right="1418" w:bottom="1701" w:left="1559" w:header="720" w:footer="720" w:gutter="0"/>
          <w:cols w:space="720"/>
          <w:docGrid w:linePitch="360"/>
        </w:sectPr>
      </w:pPr>
    </w:p>
    <w:p w14:paraId="67F280C1" w14:textId="1B2FCC42" w:rsidR="00C61B69" w:rsidRPr="000D119D" w:rsidRDefault="00C61B69" w:rsidP="00CF46C4">
      <w:pPr>
        <w:pStyle w:val="Heading1"/>
        <w:numPr>
          <w:ilvl w:val="0"/>
          <w:numId w:val="0"/>
        </w:numPr>
      </w:pPr>
      <w:bookmarkStart w:id="1" w:name="_Toc99650323"/>
      <w:r w:rsidRPr="000D119D">
        <w:lastRenderedPageBreak/>
        <w:t>Glossary</w:t>
      </w:r>
      <w:bookmarkEnd w:id="1"/>
    </w:p>
    <w:tbl>
      <w:tblPr>
        <w:tblStyle w:val="NOUS"/>
        <w:tblW w:w="0" w:type="auto"/>
        <w:tblLook w:val="04A0" w:firstRow="1" w:lastRow="0" w:firstColumn="1" w:lastColumn="0" w:noHBand="0" w:noVBand="1"/>
        <w:tblDescription w:val="Glossary table of terms and definitions"/>
      </w:tblPr>
      <w:tblGrid>
        <w:gridCol w:w="1530"/>
        <w:gridCol w:w="7570"/>
      </w:tblGrid>
      <w:tr w:rsidR="00DD629E" w:rsidRPr="00141636" w14:paraId="46B7E4ED" w14:textId="77777777" w:rsidTr="005B0EE0">
        <w:trPr>
          <w:cnfStyle w:val="100000000000" w:firstRow="1" w:lastRow="0" w:firstColumn="0" w:lastColumn="0" w:oddVBand="0" w:evenVBand="0" w:oddHBand="0" w:evenHBand="0" w:firstRowFirstColumn="0" w:firstRowLastColumn="0" w:lastRowFirstColumn="0" w:lastRowLastColumn="0"/>
        </w:trPr>
        <w:tc>
          <w:tcPr>
            <w:tcW w:w="0" w:type="auto"/>
            <w:shd w:val="clear" w:color="auto" w:fill="00264D" w:themeFill="background2"/>
          </w:tcPr>
          <w:p w14:paraId="4C5619EB" w14:textId="77777777" w:rsidR="00DD629E" w:rsidRPr="000D119D" w:rsidRDefault="00DD629E" w:rsidP="00D87BA5">
            <w:pPr>
              <w:pStyle w:val="TableNheader"/>
              <w:rPr>
                <w:b w:val="0"/>
                <w:bCs/>
              </w:rPr>
            </w:pPr>
            <w:r w:rsidRPr="000D119D">
              <w:rPr>
                <w:b w:val="0"/>
                <w:bCs/>
              </w:rPr>
              <w:t>Term</w:t>
            </w:r>
          </w:p>
        </w:tc>
        <w:tc>
          <w:tcPr>
            <w:tcW w:w="0" w:type="auto"/>
            <w:shd w:val="clear" w:color="auto" w:fill="00264D" w:themeFill="background2"/>
          </w:tcPr>
          <w:p w14:paraId="68625368" w14:textId="77777777" w:rsidR="00DD629E" w:rsidRPr="000D119D" w:rsidRDefault="00DD629E" w:rsidP="00D87BA5">
            <w:pPr>
              <w:pStyle w:val="TableNheader"/>
              <w:rPr>
                <w:bCs/>
              </w:rPr>
            </w:pPr>
            <w:r w:rsidRPr="000D119D">
              <w:rPr>
                <w:b w:val="0"/>
                <w:bCs/>
              </w:rPr>
              <w:t>Definition</w:t>
            </w:r>
          </w:p>
        </w:tc>
      </w:tr>
      <w:tr w:rsidR="00DD629E" w:rsidRPr="00141636" w14:paraId="0C87B12F" w14:textId="77777777" w:rsidTr="005B0EE0">
        <w:tc>
          <w:tcPr>
            <w:tcW w:w="0" w:type="auto"/>
          </w:tcPr>
          <w:p w14:paraId="17D627C0" w14:textId="77777777" w:rsidR="00DD629E" w:rsidRPr="000D119D" w:rsidRDefault="00DD629E" w:rsidP="00D87BA5">
            <w:pPr>
              <w:pStyle w:val="TableNText"/>
            </w:pPr>
            <w:r w:rsidRPr="000D119D">
              <w:t>Community mental health treatment services</w:t>
            </w:r>
          </w:p>
        </w:tc>
        <w:tc>
          <w:tcPr>
            <w:tcW w:w="0" w:type="auto"/>
          </w:tcPr>
          <w:p w14:paraId="183999B4" w14:textId="77777777" w:rsidR="00DD629E" w:rsidRPr="000D119D" w:rsidRDefault="00DD629E" w:rsidP="00D87BA5">
            <w:pPr>
              <w:pStyle w:val="TableNText"/>
            </w:pPr>
            <w:r w:rsidRPr="000D119D">
              <w:t>State and territory government‑funded and -operated specialised mental health care provided by community mental health care services and hospital‑based ambulatory care services, such as outpatient and day clinics.</w:t>
            </w:r>
          </w:p>
        </w:tc>
      </w:tr>
      <w:tr w:rsidR="00DD629E" w:rsidRPr="00141636" w14:paraId="2620E4EB" w14:textId="77777777" w:rsidTr="005B0EE0">
        <w:tc>
          <w:tcPr>
            <w:tcW w:w="0" w:type="auto"/>
          </w:tcPr>
          <w:p w14:paraId="4CA519B6" w14:textId="77777777" w:rsidR="00DD629E" w:rsidRPr="000D119D" w:rsidRDefault="00DD629E" w:rsidP="00D87BA5">
            <w:pPr>
              <w:pStyle w:val="TableNText"/>
            </w:pPr>
            <w:r w:rsidRPr="000D119D">
              <w:t>Community support services</w:t>
            </w:r>
          </w:p>
        </w:tc>
        <w:tc>
          <w:tcPr>
            <w:tcW w:w="0" w:type="auto"/>
          </w:tcPr>
          <w:p w14:paraId="79B6C089" w14:textId="77777777" w:rsidR="00DD629E" w:rsidRPr="000D119D" w:rsidRDefault="00DD629E" w:rsidP="00D87BA5">
            <w:pPr>
              <w:pStyle w:val="TableNText"/>
            </w:pPr>
            <w:r w:rsidRPr="000D119D">
              <w:t xml:space="preserve">Supports or programs that provide non-clinical services to individuals with mental health, </w:t>
            </w:r>
            <w:proofErr w:type="gramStart"/>
            <w:r w:rsidRPr="000D119D">
              <w:t>alcohol</w:t>
            </w:r>
            <w:proofErr w:type="gramEnd"/>
            <w:r w:rsidRPr="000D119D">
              <w:t xml:space="preserve"> and other drug problems to support their needs and recovery in order to participate in their local community, often provided by non-government organisations (NGOs).</w:t>
            </w:r>
          </w:p>
        </w:tc>
      </w:tr>
      <w:tr w:rsidR="00DD629E" w:rsidRPr="00141636" w14:paraId="064E10BE" w14:textId="77777777" w:rsidTr="005B0EE0">
        <w:tc>
          <w:tcPr>
            <w:tcW w:w="0" w:type="auto"/>
          </w:tcPr>
          <w:p w14:paraId="0861F7C9" w14:textId="77777777" w:rsidR="00DD629E" w:rsidRPr="000D119D" w:rsidRDefault="00DD629E" w:rsidP="00D87BA5">
            <w:pPr>
              <w:pStyle w:val="TableNText"/>
            </w:pPr>
            <w:r w:rsidRPr="000D119D">
              <w:t>Episode of care</w:t>
            </w:r>
          </w:p>
        </w:tc>
        <w:tc>
          <w:tcPr>
            <w:tcW w:w="0" w:type="auto"/>
          </w:tcPr>
          <w:p w14:paraId="0A9A8850" w14:textId="77777777" w:rsidR="00DD629E" w:rsidRPr="000D119D" w:rsidRDefault="00DD629E" w:rsidP="00D87BA5">
            <w:pPr>
              <w:pStyle w:val="TableNText"/>
            </w:pPr>
            <w:r w:rsidRPr="000D119D">
              <w:t xml:space="preserve">The period between formal entry to and exit from service, during which treatment for presenting concern(s) is provided. This includes treatment for the reason defined at the point of referral and during the treatment period. Formal exit from the service includes formal discharge from the service’s Participant Information Management System (CIMS), as the person’s episode of care </w:t>
            </w:r>
            <w:proofErr w:type="gramStart"/>
            <w:r w:rsidRPr="000D119D">
              <w:t>is considered to be</w:t>
            </w:r>
            <w:proofErr w:type="gramEnd"/>
            <w:r w:rsidRPr="000D119D">
              <w:t xml:space="preserve"> open until this process has been finalised.</w:t>
            </w:r>
          </w:p>
        </w:tc>
      </w:tr>
      <w:tr w:rsidR="00DD629E" w:rsidRPr="00141636" w14:paraId="7BCC5333" w14:textId="77777777" w:rsidTr="005B0EE0">
        <w:tc>
          <w:tcPr>
            <w:tcW w:w="0" w:type="auto"/>
          </w:tcPr>
          <w:p w14:paraId="5BC0822C" w14:textId="77777777" w:rsidR="00DD629E" w:rsidRPr="000D119D" w:rsidRDefault="00DD629E" w:rsidP="00D87BA5">
            <w:pPr>
              <w:pStyle w:val="TableNText"/>
            </w:pPr>
            <w:r w:rsidRPr="000D119D">
              <w:t>Lived experience (mental illness)</w:t>
            </w:r>
          </w:p>
        </w:tc>
        <w:tc>
          <w:tcPr>
            <w:tcW w:w="0" w:type="auto"/>
          </w:tcPr>
          <w:p w14:paraId="5E9B3AAF" w14:textId="77777777" w:rsidR="00DD629E" w:rsidRPr="000D119D" w:rsidRDefault="00DD629E" w:rsidP="00D87BA5">
            <w:pPr>
              <w:pStyle w:val="TableNText"/>
            </w:pPr>
            <w:r w:rsidRPr="000D119D">
              <w:t>People with lived experience are people who identify either as someone who is living with (or has lived with) mental illness or someone who is caring for or otherwise supporting (or has cared for or otherwise supported) a person who is living with (or has lived with) mental illness. People with lived experience are sometimes referred to as participants and support people. Also referred to as “living experience”.</w:t>
            </w:r>
          </w:p>
        </w:tc>
      </w:tr>
      <w:tr w:rsidR="00DD629E" w:rsidRPr="00141636" w14:paraId="41F6654E" w14:textId="77777777" w:rsidTr="005B0EE0">
        <w:tc>
          <w:tcPr>
            <w:tcW w:w="0" w:type="auto"/>
          </w:tcPr>
          <w:p w14:paraId="523F2096" w14:textId="3348A4C0" w:rsidR="00DD629E" w:rsidRPr="000D119D" w:rsidRDefault="00DD629E" w:rsidP="00D87BA5">
            <w:pPr>
              <w:pStyle w:val="TableNText"/>
            </w:pPr>
            <w:r w:rsidRPr="000D119D">
              <w:t>Missing middle</w:t>
            </w:r>
          </w:p>
        </w:tc>
        <w:tc>
          <w:tcPr>
            <w:tcW w:w="0" w:type="auto"/>
          </w:tcPr>
          <w:p w14:paraId="036E914A" w14:textId="77777777" w:rsidR="00DD629E" w:rsidRPr="000D119D" w:rsidRDefault="00DD629E" w:rsidP="00D87BA5">
            <w:pPr>
              <w:pStyle w:val="TableNText"/>
            </w:pPr>
            <w:r>
              <w:t>Coined by Productivity Commission, this refers to a</w:t>
            </w:r>
            <w:r w:rsidRPr="000D119D">
              <w:t xml:space="preserve"> service gap encountered by people who have multiple needs or symptoms that are too complex to be adequately treated by a general practitioner and the limited Medicare Benefits Schedule-rebated individual sessions with psychologists. Their condition is also not considered severe enough to meet the threshold for access to state or territory funded specialised mental health service.</w:t>
            </w:r>
          </w:p>
        </w:tc>
      </w:tr>
      <w:tr w:rsidR="00DD629E" w:rsidRPr="00141636" w14:paraId="399AF755" w14:textId="77777777" w:rsidTr="005B0EE0">
        <w:tc>
          <w:tcPr>
            <w:tcW w:w="0" w:type="auto"/>
          </w:tcPr>
          <w:p w14:paraId="5DB10FAE" w14:textId="3F7B66A7" w:rsidR="00DD629E" w:rsidRPr="000D119D" w:rsidRDefault="00DD629E" w:rsidP="00217038">
            <w:pPr>
              <w:pStyle w:val="TableNText"/>
            </w:pPr>
            <w:r w:rsidRPr="000D119D">
              <w:t>Participant</w:t>
            </w:r>
          </w:p>
        </w:tc>
        <w:tc>
          <w:tcPr>
            <w:tcW w:w="0" w:type="auto"/>
          </w:tcPr>
          <w:p w14:paraId="48B3B33B" w14:textId="77777777" w:rsidR="00DD629E" w:rsidRPr="000D119D" w:rsidRDefault="00DD629E" w:rsidP="00217038">
            <w:pPr>
              <w:pStyle w:val="TableNText"/>
            </w:pPr>
            <w:r w:rsidRPr="000D119D">
              <w:t xml:space="preserve">A person living with mental illness who uses, has </w:t>
            </w:r>
            <w:proofErr w:type="gramStart"/>
            <w:r w:rsidRPr="000D119D">
              <w:t>used</w:t>
            </w:r>
            <w:proofErr w:type="gramEnd"/>
            <w:r w:rsidRPr="000D119D">
              <w:t xml:space="preserve"> or may use a mental health service.</w:t>
            </w:r>
          </w:p>
        </w:tc>
      </w:tr>
      <w:tr w:rsidR="00DD629E" w:rsidRPr="00141636" w14:paraId="426888EC" w14:textId="77777777" w:rsidTr="005B0EE0">
        <w:tc>
          <w:tcPr>
            <w:tcW w:w="0" w:type="auto"/>
          </w:tcPr>
          <w:p w14:paraId="124C9EB8" w14:textId="77777777" w:rsidR="00DD629E" w:rsidRPr="000D119D" w:rsidRDefault="00DD629E" w:rsidP="00D87BA5">
            <w:pPr>
              <w:pStyle w:val="TableNText"/>
            </w:pPr>
            <w:r w:rsidRPr="000D119D">
              <w:t>Shared-care plan</w:t>
            </w:r>
          </w:p>
        </w:tc>
        <w:tc>
          <w:tcPr>
            <w:tcW w:w="0" w:type="auto"/>
          </w:tcPr>
          <w:p w14:paraId="7FEDCD6E" w14:textId="77777777" w:rsidR="00DD629E" w:rsidRPr="000D119D" w:rsidRDefault="00DD629E" w:rsidP="00D87BA5">
            <w:pPr>
              <w:pStyle w:val="TableNText"/>
            </w:pPr>
            <w:r w:rsidRPr="000D119D">
              <w:t xml:space="preserve">A shared-care plan is a patient-centred health record that can be shared by many members of a care team, outlining the health and support needs of the participant. </w:t>
            </w:r>
          </w:p>
        </w:tc>
      </w:tr>
      <w:tr w:rsidR="00DD629E" w:rsidRPr="00E978A2" w14:paraId="34A91192" w14:textId="77777777" w:rsidTr="005B0EE0">
        <w:tc>
          <w:tcPr>
            <w:tcW w:w="0" w:type="auto"/>
          </w:tcPr>
          <w:p w14:paraId="2904C698" w14:textId="08048BA7" w:rsidR="00DD629E" w:rsidRPr="000D119D" w:rsidRDefault="00DD629E" w:rsidP="00D87BA5">
            <w:pPr>
              <w:pStyle w:val="TableNText"/>
            </w:pPr>
            <w:r w:rsidRPr="000D119D">
              <w:t>Support person</w:t>
            </w:r>
          </w:p>
        </w:tc>
        <w:tc>
          <w:tcPr>
            <w:tcW w:w="0" w:type="auto"/>
          </w:tcPr>
          <w:p w14:paraId="093338FB" w14:textId="77777777" w:rsidR="00DD629E" w:rsidRPr="000D119D" w:rsidRDefault="00DD629E" w:rsidP="00D87BA5">
            <w:pPr>
              <w:pStyle w:val="TableNText"/>
            </w:pPr>
            <w:r w:rsidRPr="000D119D">
              <w:t xml:space="preserve">A person supporting someone with a mental illness. </w:t>
            </w:r>
          </w:p>
        </w:tc>
      </w:tr>
      <w:tr w:rsidR="00DD629E" w:rsidRPr="00141636" w14:paraId="5470DEA4" w14:textId="77777777" w:rsidTr="005B0EE0">
        <w:tc>
          <w:tcPr>
            <w:tcW w:w="0" w:type="auto"/>
          </w:tcPr>
          <w:p w14:paraId="3C72254A" w14:textId="77777777" w:rsidR="00DD629E" w:rsidRPr="000D119D" w:rsidRDefault="00DD629E" w:rsidP="00D87BA5">
            <w:pPr>
              <w:pStyle w:val="TableNText"/>
            </w:pPr>
            <w:r w:rsidRPr="000D119D">
              <w:t>Warm transfer</w:t>
            </w:r>
          </w:p>
        </w:tc>
        <w:tc>
          <w:tcPr>
            <w:tcW w:w="0" w:type="auto"/>
          </w:tcPr>
          <w:p w14:paraId="474B501B" w14:textId="77777777" w:rsidR="00DD629E" w:rsidRPr="000D119D" w:rsidRDefault="00DD629E" w:rsidP="00D87BA5">
            <w:pPr>
              <w:pStyle w:val="TableNText"/>
            </w:pPr>
            <w:r w:rsidRPr="000D119D">
              <w:t>The hub or Centre actively communicates with the service to which the individual is connected, to provide essential information about their needs before transferring them. Support is maintained for the individual by the hub or Centre until they are received by the new service.</w:t>
            </w:r>
          </w:p>
        </w:tc>
      </w:tr>
    </w:tbl>
    <w:p w14:paraId="091A0F61" w14:textId="77777777" w:rsidR="00AE4E7E" w:rsidRPr="00DD629E" w:rsidRDefault="00AE4E7E" w:rsidP="00DD629E"/>
    <w:p w14:paraId="47CC9F88" w14:textId="434723A8" w:rsidR="00AE4E7E" w:rsidRPr="000D119D" w:rsidRDefault="00AE4E7E" w:rsidP="00AE4E7E">
      <w:pPr>
        <w:pStyle w:val="Heading1"/>
        <w:numPr>
          <w:ilvl w:val="0"/>
          <w:numId w:val="0"/>
        </w:numPr>
      </w:pPr>
      <w:bookmarkStart w:id="2" w:name="_Toc65488261"/>
      <w:bookmarkStart w:id="3" w:name="_Toc99650324"/>
      <w:r w:rsidRPr="000D119D">
        <w:lastRenderedPageBreak/>
        <w:t>Abbreviations</w:t>
      </w:r>
      <w:bookmarkEnd w:id="2"/>
      <w:bookmarkEnd w:id="3"/>
    </w:p>
    <w:tbl>
      <w:tblPr>
        <w:tblStyle w:val="NOUS"/>
        <w:tblW w:w="5000" w:type="pct"/>
        <w:tblLook w:val="04A0" w:firstRow="1" w:lastRow="0" w:firstColumn="1" w:lastColumn="0" w:noHBand="0" w:noVBand="1"/>
        <w:tblDescription w:val="Abbreviations table which list acronyms and their definitions"/>
      </w:tblPr>
      <w:tblGrid>
        <w:gridCol w:w="3114"/>
        <w:gridCol w:w="5986"/>
      </w:tblGrid>
      <w:tr w:rsidR="00AE4E7E" w:rsidRPr="00141636" w14:paraId="45E4F660" w14:textId="77777777" w:rsidTr="005B0EE0">
        <w:trPr>
          <w:cnfStyle w:val="100000000000" w:firstRow="1" w:lastRow="0" w:firstColumn="0" w:lastColumn="0" w:oddVBand="0" w:evenVBand="0" w:oddHBand="0" w:evenHBand="0" w:firstRowFirstColumn="0" w:firstRowLastColumn="0" w:lastRowFirstColumn="0" w:lastRowLastColumn="0"/>
        </w:trPr>
        <w:tc>
          <w:tcPr>
            <w:tcW w:w="1711" w:type="pct"/>
            <w:shd w:val="clear" w:color="auto" w:fill="00264D" w:themeFill="background2"/>
          </w:tcPr>
          <w:p w14:paraId="1010ED17" w14:textId="77777777" w:rsidR="00AE4E7E" w:rsidRPr="000D119D" w:rsidRDefault="00AE4E7E" w:rsidP="00D87BA5">
            <w:pPr>
              <w:pStyle w:val="TableNheader"/>
              <w:rPr>
                <w:b w:val="0"/>
                <w:bCs/>
              </w:rPr>
            </w:pPr>
            <w:r w:rsidRPr="000D119D">
              <w:rPr>
                <w:b w:val="0"/>
                <w:bCs/>
              </w:rPr>
              <w:t>Acronym or abbreviation</w:t>
            </w:r>
          </w:p>
        </w:tc>
        <w:tc>
          <w:tcPr>
            <w:tcW w:w="3289" w:type="pct"/>
            <w:shd w:val="clear" w:color="auto" w:fill="00264D" w:themeFill="background2"/>
          </w:tcPr>
          <w:p w14:paraId="7464462C" w14:textId="77777777" w:rsidR="00AE4E7E" w:rsidRPr="000D119D" w:rsidRDefault="00AE4E7E" w:rsidP="00D87BA5">
            <w:pPr>
              <w:pStyle w:val="TableNheader"/>
              <w:rPr>
                <w:b w:val="0"/>
                <w:bCs/>
              </w:rPr>
            </w:pPr>
            <w:r w:rsidRPr="000D119D">
              <w:rPr>
                <w:b w:val="0"/>
                <w:bCs/>
              </w:rPr>
              <w:t>Definition</w:t>
            </w:r>
          </w:p>
        </w:tc>
      </w:tr>
      <w:tr w:rsidR="007C7629" w:rsidRPr="00141636" w14:paraId="347AC8A9" w14:textId="77777777" w:rsidTr="005B0EE0">
        <w:tc>
          <w:tcPr>
            <w:tcW w:w="1711" w:type="pct"/>
          </w:tcPr>
          <w:p w14:paraId="3FFD746D" w14:textId="3F1A630E" w:rsidR="007C7629" w:rsidRPr="000D119D" w:rsidRDefault="007C7629" w:rsidP="00D87BA5">
            <w:pPr>
              <w:pStyle w:val="TableNText"/>
            </w:pPr>
            <w:r w:rsidRPr="000D119D">
              <w:t>ACCHO</w:t>
            </w:r>
          </w:p>
        </w:tc>
        <w:tc>
          <w:tcPr>
            <w:tcW w:w="3289" w:type="pct"/>
          </w:tcPr>
          <w:p w14:paraId="796861BF" w14:textId="7E50B3DA" w:rsidR="007C7629" w:rsidRPr="000D119D" w:rsidRDefault="007C7629" w:rsidP="00D87BA5">
            <w:pPr>
              <w:pStyle w:val="TableNText"/>
            </w:pPr>
            <w:r w:rsidRPr="000D119D">
              <w:t>Aboriginal Community Controlled Health Organisation</w:t>
            </w:r>
          </w:p>
        </w:tc>
      </w:tr>
      <w:tr w:rsidR="001D0C11" w:rsidRPr="00141636" w14:paraId="772D1410" w14:textId="77777777" w:rsidTr="005B0EE0">
        <w:tc>
          <w:tcPr>
            <w:tcW w:w="1711" w:type="pct"/>
          </w:tcPr>
          <w:p w14:paraId="1400E834" w14:textId="3B829274" w:rsidR="001D0C11" w:rsidRPr="000D119D" w:rsidRDefault="00445C91" w:rsidP="00D87BA5">
            <w:pPr>
              <w:pStyle w:val="TableNText"/>
            </w:pPr>
            <w:r w:rsidRPr="00445C91">
              <w:t>ACCO</w:t>
            </w:r>
          </w:p>
        </w:tc>
        <w:tc>
          <w:tcPr>
            <w:tcW w:w="3289" w:type="pct"/>
          </w:tcPr>
          <w:p w14:paraId="01D8D9ED" w14:textId="6F90F886" w:rsidR="001D0C11" w:rsidRPr="000D119D" w:rsidRDefault="00F07703" w:rsidP="00D87BA5">
            <w:pPr>
              <w:pStyle w:val="TableNText"/>
            </w:pPr>
            <w:r w:rsidRPr="00F07703">
              <w:t>Aboriginal Community Controlled Organisation</w:t>
            </w:r>
          </w:p>
        </w:tc>
      </w:tr>
      <w:tr w:rsidR="00541BB4" w:rsidRPr="00141636" w14:paraId="729413BD" w14:textId="77777777" w:rsidTr="005B0EE0">
        <w:tc>
          <w:tcPr>
            <w:tcW w:w="1711" w:type="pct"/>
          </w:tcPr>
          <w:p w14:paraId="06264919" w14:textId="0130C6D5" w:rsidR="00541BB4" w:rsidRPr="000D119D" w:rsidRDefault="00541BB4" w:rsidP="00D87BA5">
            <w:pPr>
              <w:pStyle w:val="TableNText"/>
            </w:pPr>
            <w:r w:rsidRPr="000D119D">
              <w:t>AHPRA</w:t>
            </w:r>
          </w:p>
        </w:tc>
        <w:tc>
          <w:tcPr>
            <w:tcW w:w="3289" w:type="pct"/>
          </w:tcPr>
          <w:p w14:paraId="05CF08DF" w14:textId="69C3BB88" w:rsidR="00541BB4" w:rsidRPr="000D119D" w:rsidRDefault="00541BB4" w:rsidP="00D87BA5">
            <w:pPr>
              <w:pStyle w:val="TableNText"/>
            </w:pPr>
            <w:r w:rsidRPr="000D119D">
              <w:t>Australian Health Practitioner Regulation Agency</w:t>
            </w:r>
          </w:p>
        </w:tc>
      </w:tr>
      <w:tr w:rsidR="007C7629" w:rsidRPr="00141636" w14:paraId="767829BB" w14:textId="77777777" w:rsidTr="005B0EE0">
        <w:tc>
          <w:tcPr>
            <w:tcW w:w="1711" w:type="pct"/>
          </w:tcPr>
          <w:p w14:paraId="400F37F8" w14:textId="2385312F" w:rsidR="007C7629" w:rsidRPr="000D119D" w:rsidRDefault="007C7629" w:rsidP="00D87BA5">
            <w:pPr>
              <w:pStyle w:val="TableNText"/>
            </w:pPr>
            <w:r w:rsidRPr="000D119D">
              <w:t>AIHW</w:t>
            </w:r>
          </w:p>
        </w:tc>
        <w:tc>
          <w:tcPr>
            <w:tcW w:w="3289" w:type="pct"/>
          </w:tcPr>
          <w:p w14:paraId="22E2EBAE" w14:textId="7473BC79" w:rsidR="007C7629" w:rsidRPr="000D119D" w:rsidRDefault="007C7629" w:rsidP="00D87BA5">
            <w:pPr>
              <w:pStyle w:val="TableNText"/>
            </w:pPr>
            <w:r w:rsidRPr="000D119D">
              <w:t>Australian Institute of Health and Welfare</w:t>
            </w:r>
          </w:p>
        </w:tc>
      </w:tr>
      <w:tr w:rsidR="00AE4E7E" w:rsidRPr="00141636" w14:paraId="4225BFE7" w14:textId="77777777" w:rsidTr="005B0EE0">
        <w:tc>
          <w:tcPr>
            <w:tcW w:w="1711" w:type="pct"/>
          </w:tcPr>
          <w:p w14:paraId="7BCCAC65" w14:textId="77777777" w:rsidR="00AE4E7E" w:rsidRPr="000D119D" w:rsidRDefault="00AE4E7E" w:rsidP="00D87BA5">
            <w:pPr>
              <w:pStyle w:val="TableNText"/>
            </w:pPr>
            <w:r w:rsidRPr="000D119D">
              <w:t>AMHC</w:t>
            </w:r>
          </w:p>
        </w:tc>
        <w:tc>
          <w:tcPr>
            <w:tcW w:w="3289" w:type="pct"/>
          </w:tcPr>
          <w:p w14:paraId="75FE91A1" w14:textId="77777777" w:rsidR="00AE4E7E" w:rsidRPr="000D119D" w:rsidRDefault="00AE4E7E" w:rsidP="00D87BA5">
            <w:pPr>
              <w:pStyle w:val="TableNText"/>
            </w:pPr>
            <w:r w:rsidRPr="000D119D">
              <w:t>Adult Mental Health Centre</w:t>
            </w:r>
          </w:p>
        </w:tc>
      </w:tr>
      <w:tr w:rsidR="006B3C00" w:rsidRPr="00141636" w14:paraId="75CAD940" w14:textId="77777777" w:rsidTr="005B0EE0">
        <w:tc>
          <w:tcPr>
            <w:tcW w:w="1711" w:type="pct"/>
          </w:tcPr>
          <w:p w14:paraId="4B4A7390" w14:textId="561C6CE6" w:rsidR="006B3C00" w:rsidRPr="000D119D" w:rsidRDefault="006B3C00" w:rsidP="00D87BA5">
            <w:pPr>
              <w:pStyle w:val="TableNText"/>
            </w:pPr>
            <w:r w:rsidRPr="000D119D">
              <w:t>AMHS</w:t>
            </w:r>
          </w:p>
        </w:tc>
        <w:tc>
          <w:tcPr>
            <w:tcW w:w="3289" w:type="pct"/>
          </w:tcPr>
          <w:p w14:paraId="02403F59" w14:textId="0D7737B3" w:rsidR="006B3C00" w:rsidRPr="000D119D" w:rsidRDefault="006B3C00" w:rsidP="00D87BA5">
            <w:pPr>
              <w:pStyle w:val="TableNText"/>
            </w:pPr>
            <w:r w:rsidRPr="000D119D">
              <w:t>A</w:t>
            </w:r>
            <w:r w:rsidR="0030195F" w:rsidRPr="000D119D">
              <w:t>rea</w:t>
            </w:r>
            <w:r w:rsidRPr="000D119D">
              <w:t xml:space="preserve"> Mental Health Service</w:t>
            </w:r>
          </w:p>
        </w:tc>
      </w:tr>
      <w:tr w:rsidR="00286B58" w:rsidRPr="00E978A2" w14:paraId="5D0F3F3A" w14:textId="77777777" w:rsidTr="005B0EE0">
        <w:tc>
          <w:tcPr>
            <w:tcW w:w="1711" w:type="pct"/>
          </w:tcPr>
          <w:p w14:paraId="3C92F4C5" w14:textId="6AC5E263" w:rsidR="00286B58" w:rsidRPr="000D119D" w:rsidRDefault="00286B58" w:rsidP="00D87BA5">
            <w:pPr>
              <w:pStyle w:val="TableNText"/>
            </w:pPr>
            <w:r w:rsidRPr="000D119D">
              <w:t>AOD</w:t>
            </w:r>
          </w:p>
        </w:tc>
        <w:tc>
          <w:tcPr>
            <w:tcW w:w="3289" w:type="pct"/>
          </w:tcPr>
          <w:p w14:paraId="6CC502F4" w14:textId="36C2E53B" w:rsidR="00286B58" w:rsidRPr="000D119D" w:rsidRDefault="00541BB4" w:rsidP="00D87BA5">
            <w:pPr>
              <w:pStyle w:val="TableNText"/>
            </w:pPr>
            <w:r w:rsidRPr="000D119D">
              <w:t>Alcohol and other drugs</w:t>
            </w:r>
          </w:p>
        </w:tc>
      </w:tr>
      <w:tr w:rsidR="008B69D4" w:rsidRPr="00E978A2" w14:paraId="3EACCFC5" w14:textId="77777777" w:rsidTr="005B0EE0">
        <w:tc>
          <w:tcPr>
            <w:tcW w:w="1711" w:type="pct"/>
          </w:tcPr>
          <w:p w14:paraId="607966C5" w14:textId="6A995537" w:rsidR="008B69D4" w:rsidRPr="000D119D" w:rsidRDefault="008B69D4" w:rsidP="00D87BA5">
            <w:pPr>
              <w:pStyle w:val="TableNText"/>
            </w:pPr>
            <w:r w:rsidRPr="000D119D">
              <w:t>CALD</w:t>
            </w:r>
          </w:p>
        </w:tc>
        <w:tc>
          <w:tcPr>
            <w:tcW w:w="3289" w:type="pct"/>
          </w:tcPr>
          <w:p w14:paraId="2C687713" w14:textId="108E7418" w:rsidR="008B69D4" w:rsidRPr="000D119D" w:rsidRDefault="008B69D4" w:rsidP="00D87BA5">
            <w:pPr>
              <w:pStyle w:val="TableNText"/>
            </w:pPr>
            <w:r w:rsidRPr="000D119D">
              <w:t xml:space="preserve">Culturally and linguistically diverse </w:t>
            </w:r>
          </w:p>
        </w:tc>
      </w:tr>
      <w:tr w:rsidR="008B69D4" w:rsidRPr="00E978A2" w14:paraId="2C49102C" w14:textId="77777777" w:rsidTr="005B0EE0">
        <w:tc>
          <w:tcPr>
            <w:tcW w:w="1711" w:type="pct"/>
          </w:tcPr>
          <w:p w14:paraId="29C5E23B" w14:textId="45438BC1" w:rsidR="008B69D4" w:rsidRPr="000D119D" w:rsidRDefault="008B69D4" w:rsidP="00D87BA5">
            <w:pPr>
              <w:pStyle w:val="TableNText"/>
            </w:pPr>
            <w:r w:rsidRPr="000D119D">
              <w:t>CAH</w:t>
            </w:r>
            <w:r w:rsidR="007C7629" w:rsidRPr="000D119D">
              <w:t>MS</w:t>
            </w:r>
          </w:p>
        </w:tc>
        <w:tc>
          <w:tcPr>
            <w:tcW w:w="3289" w:type="pct"/>
          </w:tcPr>
          <w:p w14:paraId="2784CA13" w14:textId="405CFADC" w:rsidR="008B69D4" w:rsidRPr="000D119D" w:rsidRDefault="007C7629" w:rsidP="00D87BA5">
            <w:pPr>
              <w:pStyle w:val="TableNText"/>
            </w:pPr>
            <w:r w:rsidRPr="000D119D">
              <w:t>Child and Adolescent Mental Health Services</w:t>
            </w:r>
          </w:p>
        </w:tc>
      </w:tr>
      <w:tr w:rsidR="0083705A" w:rsidRPr="00E978A2" w14:paraId="6459D66C" w14:textId="77777777" w:rsidTr="005B0EE0">
        <w:tc>
          <w:tcPr>
            <w:tcW w:w="1711" w:type="pct"/>
          </w:tcPr>
          <w:p w14:paraId="79592D95" w14:textId="15BC5867" w:rsidR="0083705A" w:rsidRDefault="0083705A" w:rsidP="00D87BA5">
            <w:pPr>
              <w:pStyle w:val="TableNText"/>
            </w:pPr>
            <w:r w:rsidRPr="000D119D">
              <w:t>CHN</w:t>
            </w:r>
          </w:p>
        </w:tc>
        <w:tc>
          <w:tcPr>
            <w:tcW w:w="3289" w:type="pct"/>
          </w:tcPr>
          <w:p w14:paraId="6D36A4B6" w14:textId="34A550DF" w:rsidR="0083705A" w:rsidRDefault="0083705A" w:rsidP="00D87BA5">
            <w:pPr>
              <w:pStyle w:val="TableNText"/>
            </w:pPr>
            <w:r w:rsidRPr="005305CB">
              <w:t>Capital Health Network</w:t>
            </w:r>
          </w:p>
        </w:tc>
      </w:tr>
      <w:tr w:rsidR="00F166A6" w:rsidRPr="00E978A2" w14:paraId="615C6871" w14:textId="77777777" w:rsidTr="005B0EE0">
        <w:tc>
          <w:tcPr>
            <w:tcW w:w="1711" w:type="pct"/>
          </w:tcPr>
          <w:p w14:paraId="33CA87B8" w14:textId="1C684281" w:rsidR="00F166A6" w:rsidRDefault="002A58B5" w:rsidP="00D87BA5">
            <w:pPr>
              <w:pStyle w:val="TableNText"/>
            </w:pPr>
            <w:r w:rsidRPr="002A58B5">
              <w:t>DHHS</w:t>
            </w:r>
          </w:p>
        </w:tc>
        <w:tc>
          <w:tcPr>
            <w:tcW w:w="3289" w:type="pct"/>
          </w:tcPr>
          <w:p w14:paraId="7BC57668" w14:textId="6D98C97A" w:rsidR="00F166A6" w:rsidRDefault="00F96C2F" w:rsidP="00D87BA5">
            <w:pPr>
              <w:pStyle w:val="TableNText"/>
            </w:pPr>
            <w:r w:rsidRPr="00F96C2F">
              <w:t>Department of Health and Human Services</w:t>
            </w:r>
          </w:p>
        </w:tc>
      </w:tr>
      <w:tr w:rsidR="00A005B7" w:rsidRPr="00E978A2" w14:paraId="614B552F" w14:textId="77777777" w:rsidTr="005B0EE0">
        <w:tc>
          <w:tcPr>
            <w:tcW w:w="1711" w:type="pct"/>
          </w:tcPr>
          <w:p w14:paraId="37B5444E" w14:textId="6C957738" w:rsidR="00A005B7" w:rsidRPr="000D119D" w:rsidRDefault="00A005B7" w:rsidP="00D87BA5">
            <w:pPr>
              <w:pStyle w:val="TableNText"/>
            </w:pPr>
            <w:r>
              <w:t>ED</w:t>
            </w:r>
          </w:p>
        </w:tc>
        <w:tc>
          <w:tcPr>
            <w:tcW w:w="3289" w:type="pct"/>
          </w:tcPr>
          <w:p w14:paraId="400A2C1E" w14:textId="6CA00A5D" w:rsidR="00A005B7" w:rsidRPr="000D119D" w:rsidRDefault="00A005B7" w:rsidP="00D87BA5">
            <w:pPr>
              <w:pStyle w:val="TableNText"/>
            </w:pPr>
            <w:r>
              <w:t>E</w:t>
            </w:r>
            <w:r w:rsidRPr="00A005B7">
              <w:t>mergency departmen</w:t>
            </w:r>
            <w:r>
              <w:t>t</w:t>
            </w:r>
          </w:p>
        </w:tc>
      </w:tr>
      <w:tr w:rsidR="00AE018E" w:rsidRPr="00E978A2" w14:paraId="144FF749" w14:textId="77777777" w:rsidTr="005B0EE0">
        <w:tc>
          <w:tcPr>
            <w:tcW w:w="1711" w:type="pct"/>
          </w:tcPr>
          <w:p w14:paraId="468A8605" w14:textId="1E7BB770" w:rsidR="00AE018E" w:rsidRPr="000D119D" w:rsidRDefault="00AE018E" w:rsidP="00D87BA5">
            <w:pPr>
              <w:pStyle w:val="TableNText"/>
            </w:pPr>
            <w:r w:rsidRPr="000D119D">
              <w:t>EMPHN</w:t>
            </w:r>
          </w:p>
        </w:tc>
        <w:tc>
          <w:tcPr>
            <w:tcW w:w="3289" w:type="pct"/>
          </w:tcPr>
          <w:p w14:paraId="4B443FCA" w14:textId="5F3A362D" w:rsidR="00AE018E" w:rsidRPr="000D119D" w:rsidRDefault="00AE018E" w:rsidP="00D87BA5">
            <w:pPr>
              <w:pStyle w:val="TableNText"/>
            </w:pPr>
            <w:r w:rsidRPr="000D119D">
              <w:t xml:space="preserve">Eastern Melbourne Primary Health Network </w:t>
            </w:r>
          </w:p>
        </w:tc>
      </w:tr>
      <w:tr w:rsidR="007C7629" w:rsidRPr="00E978A2" w14:paraId="1811FDBE" w14:textId="77777777" w:rsidTr="005B0EE0">
        <w:tc>
          <w:tcPr>
            <w:tcW w:w="1711" w:type="pct"/>
          </w:tcPr>
          <w:p w14:paraId="0296BEA5" w14:textId="089E95F1" w:rsidR="007C7629" w:rsidRPr="000D119D" w:rsidRDefault="007C7629" w:rsidP="00D87BA5">
            <w:pPr>
              <w:pStyle w:val="TableNText"/>
            </w:pPr>
            <w:r w:rsidRPr="000D119D">
              <w:t>EOI</w:t>
            </w:r>
          </w:p>
        </w:tc>
        <w:tc>
          <w:tcPr>
            <w:tcW w:w="3289" w:type="pct"/>
          </w:tcPr>
          <w:p w14:paraId="6C1C6315" w14:textId="3B6A9432" w:rsidR="007C7629" w:rsidRPr="000D119D" w:rsidRDefault="007C7629" w:rsidP="00D87BA5">
            <w:pPr>
              <w:pStyle w:val="TableNText"/>
            </w:pPr>
            <w:r w:rsidRPr="000D119D">
              <w:t>Expression of interest</w:t>
            </w:r>
          </w:p>
        </w:tc>
      </w:tr>
      <w:tr w:rsidR="00541BB4" w:rsidRPr="00E978A2" w14:paraId="09A1673E" w14:textId="77777777" w:rsidTr="005B0EE0">
        <w:tc>
          <w:tcPr>
            <w:tcW w:w="1711" w:type="pct"/>
          </w:tcPr>
          <w:p w14:paraId="53F6640B" w14:textId="0E1450AD" w:rsidR="00541BB4" w:rsidRPr="000D119D" w:rsidRDefault="00541BB4" w:rsidP="00D87BA5">
            <w:pPr>
              <w:pStyle w:val="TableNText"/>
            </w:pPr>
            <w:r w:rsidRPr="000D119D">
              <w:t>FAQs</w:t>
            </w:r>
          </w:p>
        </w:tc>
        <w:tc>
          <w:tcPr>
            <w:tcW w:w="3289" w:type="pct"/>
          </w:tcPr>
          <w:p w14:paraId="2E68E838" w14:textId="0F12A0E1" w:rsidR="00541BB4" w:rsidRPr="000D119D" w:rsidRDefault="00541BB4" w:rsidP="00D87BA5">
            <w:pPr>
              <w:pStyle w:val="TableNText"/>
            </w:pPr>
            <w:r w:rsidRPr="000D119D">
              <w:t xml:space="preserve">Frequently </w:t>
            </w:r>
            <w:r w:rsidR="005C3359" w:rsidRPr="000D119D">
              <w:t>Asked Questions</w:t>
            </w:r>
          </w:p>
        </w:tc>
      </w:tr>
      <w:tr w:rsidR="001A40B8" w:rsidRPr="00E978A2" w14:paraId="1814988B" w14:textId="77777777" w:rsidTr="005B0EE0">
        <w:tc>
          <w:tcPr>
            <w:tcW w:w="1711" w:type="pct"/>
          </w:tcPr>
          <w:p w14:paraId="162C2761" w14:textId="691252F8" w:rsidR="001A40B8" w:rsidRPr="000D119D" w:rsidRDefault="001A40B8" w:rsidP="00D87BA5">
            <w:pPr>
              <w:pStyle w:val="TableNText"/>
            </w:pPr>
            <w:r>
              <w:t>FTE</w:t>
            </w:r>
          </w:p>
        </w:tc>
        <w:tc>
          <w:tcPr>
            <w:tcW w:w="3289" w:type="pct"/>
          </w:tcPr>
          <w:p w14:paraId="36EF5ECC" w14:textId="5C277032" w:rsidR="001A40B8" w:rsidRPr="000D119D" w:rsidRDefault="001A40B8" w:rsidP="00D87BA5">
            <w:pPr>
              <w:pStyle w:val="TableNText"/>
            </w:pPr>
            <w:r>
              <w:t>F</w:t>
            </w:r>
            <w:r w:rsidRPr="001A40B8">
              <w:t>ull time equivalent</w:t>
            </w:r>
          </w:p>
        </w:tc>
      </w:tr>
      <w:tr w:rsidR="00541BB4" w:rsidRPr="00E978A2" w14:paraId="190D5345" w14:textId="77777777" w:rsidTr="005B0EE0">
        <w:tc>
          <w:tcPr>
            <w:tcW w:w="1711" w:type="pct"/>
          </w:tcPr>
          <w:p w14:paraId="1236E63C" w14:textId="4C775624" w:rsidR="00541BB4" w:rsidRPr="000D119D" w:rsidRDefault="00541BB4" w:rsidP="00D87BA5">
            <w:pPr>
              <w:pStyle w:val="TableNText"/>
            </w:pPr>
            <w:r w:rsidRPr="000D119D">
              <w:t>GP</w:t>
            </w:r>
          </w:p>
        </w:tc>
        <w:tc>
          <w:tcPr>
            <w:tcW w:w="3289" w:type="pct"/>
          </w:tcPr>
          <w:p w14:paraId="5F2B3E99" w14:textId="6A821873" w:rsidR="00541BB4" w:rsidRPr="000D119D" w:rsidRDefault="00541BB4" w:rsidP="00D87BA5">
            <w:pPr>
              <w:pStyle w:val="TableNText"/>
            </w:pPr>
            <w:r w:rsidRPr="000D119D">
              <w:t>General Practitioners</w:t>
            </w:r>
          </w:p>
        </w:tc>
      </w:tr>
      <w:tr w:rsidR="00AE018E" w:rsidRPr="00E978A2" w14:paraId="1A96400D" w14:textId="77777777" w:rsidTr="005B0EE0">
        <w:tc>
          <w:tcPr>
            <w:tcW w:w="1711" w:type="pct"/>
          </w:tcPr>
          <w:p w14:paraId="5F791D21" w14:textId="6A4B03FF" w:rsidR="00AE018E" w:rsidRPr="000D119D" w:rsidRDefault="00AE018E" w:rsidP="00D87BA5">
            <w:pPr>
              <w:pStyle w:val="TableNText"/>
            </w:pPr>
            <w:r w:rsidRPr="000D119D">
              <w:t>GPHN</w:t>
            </w:r>
          </w:p>
        </w:tc>
        <w:tc>
          <w:tcPr>
            <w:tcW w:w="3289" w:type="pct"/>
          </w:tcPr>
          <w:p w14:paraId="445F6443" w14:textId="505785D1" w:rsidR="00AE018E" w:rsidRPr="000D119D" w:rsidRDefault="00AE018E" w:rsidP="00D87BA5">
            <w:pPr>
              <w:pStyle w:val="TableNText"/>
            </w:pPr>
            <w:r w:rsidRPr="000D119D">
              <w:t>Gippsland Primary Health Network</w:t>
            </w:r>
          </w:p>
        </w:tc>
      </w:tr>
      <w:tr w:rsidR="008B1453" w:rsidRPr="00141636" w14:paraId="61DBCD34" w14:textId="77777777" w:rsidTr="005B0EE0">
        <w:tc>
          <w:tcPr>
            <w:tcW w:w="1711" w:type="pct"/>
          </w:tcPr>
          <w:p w14:paraId="425E31AB" w14:textId="3E360E69" w:rsidR="008B1453" w:rsidRPr="000D119D" w:rsidRDefault="008B1453" w:rsidP="00D87BA5">
            <w:pPr>
              <w:pStyle w:val="TableNText"/>
            </w:pPr>
            <w:r>
              <w:t>HIE</w:t>
            </w:r>
          </w:p>
        </w:tc>
        <w:tc>
          <w:tcPr>
            <w:tcW w:w="3289" w:type="pct"/>
          </w:tcPr>
          <w:p w14:paraId="32A43D98" w14:textId="77DFF1D6" w:rsidR="008B1453" w:rsidRPr="000D119D" w:rsidRDefault="008B1453" w:rsidP="00D87BA5">
            <w:pPr>
              <w:pStyle w:val="TableNText"/>
            </w:pPr>
            <w:proofErr w:type="spellStart"/>
            <w:r w:rsidRPr="008B1453">
              <w:rPr>
                <w:i/>
                <w:iCs/>
              </w:rPr>
              <w:t>HeadtoHelp</w:t>
            </w:r>
            <w:proofErr w:type="spellEnd"/>
            <w:r>
              <w:t xml:space="preserve"> Intake Experience </w:t>
            </w:r>
            <w:r w:rsidR="00576AED">
              <w:t>s</w:t>
            </w:r>
            <w:r>
              <w:t>urvey</w:t>
            </w:r>
          </w:p>
        </w:tc>
      </w:tr>
      <w:tr w:rsidR="00AE4E7E" w:rsidRPr="00141636" w14:paraId="13151505" w14:textId="77777777" w:rsidTr="005B0EE0">
        <w:tc>
          <w:tcPr>
            <w:tcW w:w="1711" w:type="pct"/>
          </w:tcPr>
          <w:p w14:paraId="3D44F783" w14:textId="2FDBAE83" w:rsidR="00AE4E7E" w:rsidRPr="000D119D" w:rsidRDefault="00AE4E7E" w:rsidP="00D87BA5">
            <w:pPr>
              <w:pStyle w:val="TableNText"/>
            </w:pPr>
            <w:r w:rsidRPr="000D119D">
              <w:t>IAR</w:t>
            </w:r>
          </w:p>
        </w:tc>
        <w:tc>
          <w:tcPr>
            <w:tcW w:w="3289" w:type="pct"/>
          </w:tcPr>
          <w:p w14:paraId="19D81E74" w14:textId="58816B10" w:rsidR="00AE4E7E" w:rsidRPr="000D119D" w:rsidRDefault="00AE4E7E" w:rsidP="00D87BA5">
            <w:pPr>
              <w:pStyle w:val="TableNText"/>
            </w:pPr>
            <w:r w:rsidRPr="000D119D">
              <w:t>In</w:t>
            </w:r>
            <w:r w:rsidR="002B36CF" w:rsidRPr="000D119D">
              <w:t>itial</w:t>
            </w:r>
            <w:r w:rsidRPr="000D119D">
              <w:t xml:space="preserve"> Assessment and Referral</w:t>
            </w:r>
          </w:p>
        </w:tc>
      </w:tr>
      <w:tr w:rsidR="006B3C00" w:rsidRPr="00141636" w14:paraId="7F9585D6" w14:textId="77777777" w:rsidTr="005B0EE0">
        <w:tc>
          <w:tcPr>
            <w:tcW w:w="1711" w:type="pct"/>
          </w:tcPr>
          <w:p w14:paraId="11246D16" w14:textId="60A7A92B" w:rsidR="006B3C00" w:rsidRPr="000D119D" w:rsidRDefault="006B3C00" w:rsidP="00D87BA5">
            <w:pPr>
              <w:pStyle w:val="TableNText"/>
            </w:pPr>
            <w:r w:rsidRPr="000D119D">
              <w:t>IAR-DST</w:t>
            </w:r>
          </w:p>
        </w:tc>
        <w:tc>
          <w:tcPr>
            <w:tcW w:w="3289" w:type="pct"/>
          </w:tcPr>
          <w:p w14:paraId="3D79AAAD" w14:textId="48A360E0" w:rsidR="006B3C00" w:rsidRPr="000D119D" w:rsidRDefault="006B3C00" w:rsidP="00D87BA5">
            <w:pPr>
              <w:pStyle w:val="TableNText"/>
            </w:pPr>
            <w:r w:rsidRPr="000D119D">
              <w:t>In</w:t>
            </w:r>
            <w:r w:rsidR="002B36CF" w:rsidRPr="000D119D">
              <w:t xml:space="preserve">itial </w:t>
            </w:r>
            <w:r w:rsidRPr="000D119D">
              <w:t>Assessment and Referral Decision Support Tool</w:t>
            </w:r>
          </w:p>
        </w:tc>
      </w:tr>
      <w:tr w:rsidR="00A63A7F" w:rsidRPr="00141636" w14:paraId="4BCDAFAF" w14:textId="77777777" w:rsidTr="005B0EE0">
        <w:tc>
          <w:tcPr>
            <w:tcW w:w="1711" w:type="pct"/>
          </w:tcPr>
          <w:p w14:paraId="17B39F75" w14:textId="5712EE34" w:rsidR="00A63A7F" w:rsidRPr="000D119D" w:rsidRDefault="00E93588" w:rsidP="00D87BA5">
            <w:pPr>
              <w:pStyle w:val="TableNText"/>
            </w:pPr>
            <w:r w:rsidRPr="00E93588">
              <w:t>KEQs</w:t>
            </w:r>
          </w:p>
        </w:tc>
        <w:tc>
          <w:tcPr>
            <w:tcW w:w="3289" w:type="pct"/>
          </w:tcPr>
          <w:p w14:paraId="60F901FA" w14:textId="22E1BC5A" w:rsidR="00A63A7F" w:rsidRPr="000D119D" w:rsidRDefault="003D3AFA" w:rsidP="00D87BA5">
            <w:pPr>
              <w:pStyle w:val="TableNText"/>
            </w:pPr>
            <w:r>
              <w:t>K</w:t>
            </w:r>
            <w:r w:rsidRPr="003D3AFA">
              <w:t>ey evaluation questions</w:t>
            </w:r>
          </w:p>
        </w:tc>
      </w:tr>
      <w:tr w:rsidR="008B69D4" w:rsidRPr="00141636" w14:paraId="6753C13A" w14:textId="77777777" w:rsidTr="005B0EE0">
        <w:tc>
          <w:tcPr>
            <w:tcW w:w="1711" w:type="pct"/>
          </w:tcPr>
          <w:p w14:paraId="363E07DD" w14:textId="536D1AEC" w:rsidR="008B69D4" w:rsidRPr="000D119D" w:rsidRDefault="008B69D4" w:rsidP="00D87BA5">
            <w:pPr>
              <w:pStyle w:val="TableNText"/>
            </w:pPr>
            <w:r w:rsidRPr="000D119D">
              <w:t>KPI</w:t>
            </w:r>
          </w:p>
        </w:tc>
        <w:tc>
          <w:tcPr>
            <w:tcW w:w="3289" w:type="pct"/>
          </w:tcPr>
          <w:p w14:paraId="04C07BA3" w14:textId="36197613" w:rsidR="008B69D4" w:rsidRPr="000D119D" w:rsidRDefault="008B69D4" w:rsidP="00D87BA5">
            <w:pPr>
              <w:pStyle w:val="TableNText"/>
            </w:pPr>
            <w:r w:rsidRPr="000D119D">
              <w:t>Key performance indicator</w:t>
            </w:r>
          </w:p>
        </w:tc>
      </w:tr>
      <w:tr w:rsidR="006B3C00" w:rsidRPr="00141636" w14:paraId="38D5FD14" w14:textId="77777777" w:rsidTr="005B0EE0">
        <w:tc>
          <w:tcPr>
            <w:tcW w:w="1711" w:type="pct"/>
          </w:tcPr>
          <w:p w14:paraId="6AACF148" w14:textId="15D536E2" w:rsidR="006B3C00" w:rsidRPr="000D119D" w:rsidRDefault="006B3C00" w:rsidP="00D87BA5">
            <w:pPr>
              <w:pStyle w:val="TableNText"/>
            </w:pPr>
            <w:r w:rsidRPr="000D119D">
              <w:t>LHD</w:t>
            </w:r>
          </w:p>
        </w:tc>
        <w:tc>
          <w:tcPr>
            <w:tcW w:w="3289" w:type="pct"/>
          </w:tcPr>
          <w:p w14:paraId="07B15351" w14:textId="162CC03B" w:rsidR="006B3C00" w:rsidRPr="000D119D" w:rsidRDefault="006B3C00" w:rsidP="00D87BA5">
            <w:pPr>
              <w:pStyle w:val="TableNText"/>
            </w:pPr>
            <w:r w:rsidRPr="000D119D">
              <w:t>Local Health District</w:t>
            </w:r>
          </w:p>
        </w:tc>
      </w:tr>
      <w:tr w:rsidR="004A68CB" w:rsidRPr="00E978A2" w14:paraId="199F4B81" w14:textId="77777777" w:rsidTr="005B0EE0">
        <w:tc>
          <w:tcPr>
            <w:tcW w:w="1711" w:type="pct"/>
          </w:tcPr>
          <w:p w14:paraId="0540F64A" w14:textId="6168ACD9" w:rsidR="004A68CB" w:rsidRPr="000D119D" w:rsidRDefault="004A68CB" w:rsidP="00D87BA5">
            <w:pPr>
              <w:pStyle w:val="TableNText"/>
            </w:pPr>
            <w:r w:rsidRPr="000D119D">
              <w:t>MBS</w:t>
            </w:r>
          </w:p>
        </w:tc>
        <w:tc>
          <w:tcPr>
            <w:tcW w:w="3289" w:type="pct"/>
          </w:tcPr>
          <w:p w14:paraId="2835237D" w14:textId="03FD8120" w:rsidR="004A68CB" w:rsidRPr="000D119D" w:rsidRDefault="004A68CB" w:rsidP="00D87BA5">
            <w:pPr>
              <w:pStyle w:val="TableNText"/>
            </w:pPr>
            <w:r w:rsidRPr="000D119D">
              <w:t>Medicare Benefits Schedule</w:t>
            </w:r>
          </w:p>
        </w:tc>
      </w:tr>
      <w:tr w:rsidR="007C2A75" w:rsidRPr="00E978A2" w14:paraId="3C2EB30A" w14:textId="77777777" w:rsidTr="005B0EE0">
        <w:tc>
          <w:tcPr>
            <w:tcW w:w="1711" w:type="pct"/>
          </w:tcPr>
          <w:p w14:paraId="78F3A9AF" w14:textId="3B29BD6E" w:rsidR="007C2A75" w:rsidRPr="000D119D" w:rsidRDefault="007C2A75" w:rsidP="00D87BA5">
            <w:pPr>
              <w:pStyle w:val="TableNText"/>
            </w:pPr>
            <w:r w:rsidRPr="000D119D">
              <w:t>MPHN</w:t>
            </w:r>
          </w:p>
        </w:tc>
        <w:tc>
          <w:tcPr>
            <w:tcW w:w="3289" w:type="pct"/>
          </w:tcPr>
          <w:p w14:paraId="36C1999B" w14:textId="4FB6D7AA" w:rsidR="007C2A75" w:rsidRPr="000D119D" w:rsidRDefault="007C2A75" w:rsidP="00D87BA5">
            <w:pPr>
              <w:pStyle w:val="TableNText"/>
            </w:pPr>
            <w:r w:rsidRPr="000D119D">
              <w:t xml:space="preserve">Murray Primary Health Network </w:t>
            </w:r>
          </w:p>
        </w:tc>
      </w:tr>
      <w:tr w:rsidR="000355F7" w:rsidRPr="00E978A2" w14:paraId="4C042BB4" w14:textId="77777777" w:rsidTr="005B0EE0">
        <w:tc>
          <w:tcPr>
            <w:tcW w:w="1711" w:type="pct"/>
          </w:tcPr>
          <w:p w14:paraId="461EE8F4" w14:textId="37E461CA" w:rsidR="000355F7" w:rsidRPr="000D119D" w:rsidRDefault="000355F7" w:rsidP="00D87BA5">
            <w:pPr>
              <w:pStyle w:val="TableNText"/>
            </w:pPr>
            <w:r>
              <w:t>NBMPHN</w:t>
            </w:r>
          </w:p>
        </w:tc>
        <w:tc>
          <w:tcPr>
            <w:tcW w:w="3289" w:type="pct"/>
          </w:tcPr>
          <w:p w14:paraId="2ADBC43D" w14:textId="70FBECF0" w:rsidR="000355F7" w:rsidRPr="000D119D" w:rsidRDefault="000355F7" w:rsidP="00D87BA5">
            <w:pPr>
              <w:pStyle w:val="TableNText"/>
            </w:pPr>
            <w:r>
              <w:t xml:space="preserve">Nepean Blue Mountains </w:t>
            </w:r>
            <w:r w:rsidRPr="00EC2A16">
              <w:t>Primary Health Network</w:t>
            </w:r>
          </w:p>
        </w:tc>
      </w:tr>
      <w:tr w:rsidR="007C7629" w:rsidRPr="00E978A2" w14:paraId="35C80403" w14:textId="77777777" w:rsidTr="005B0EE0">
        <w:tc>
          <w:tcPr>
            <w:tcW w:w="1711" w:type="pct"/>
          </w:tcPr>
          <w:p w14:paraId="592DCD89" w14:textId="575FDE4E" w:rsidR="007C7629" w:rsidRPr="000D119D" w:rsidRDefault="007C7629" w:rsidP="00D87BA5">
            <w:pPr>
              <w:pStyle w:val="TableNText"/>
            </w:pPr>
            <w:r w:rsidRPr="000D119D">
              <w:t>NGO</w:t>
            </w:r>
          </w:p>
        </w:tc>
        <w:tc>
          <w:tcPr>
            <w:tcW w:w="3289" w:type="pct"/>
          </w:tcPr>
          <w:p w14:paraId="4D32ED57" w14:textId="585CBC24" w:rsidR="007C7629" w:rsidRPr="000D119D" w:rsidRDefault="007C7629" w:rsidP="00D87BA5">
            <w:pPr>
              <w:pStyle w:val="TableNText"/>
            </w:pPr>
            <w:r w:rsidRPr="000D119D">
              <w:t>Non-government organisation</w:t>
            </w:r>
          </w:p>
        </w:tc>
      </w:tr>
      <w:tr w:rsidR="00EC2A16" w:rsidRPr="00E978A2" w14:paraId="7CD12581" w14:textId="77777777" w:rsidTr="005B0EE0">
        <w:tc>
          <w:tcPr>
            <w:tcW w:w="1711" w:type="pct"/>
          </w:tcPr>
          <w:p w14:paraId="138DA5A2" w14:textId="4CC56CE8" w:rsidR="00EC2A16" w:rsidRPr="000D119D" w:rsidRDefault="00EC2A16" w:rsidP="00D87BA5">
            <w:pPr>
              <w:pStyle w:val="TableNText"/>
            </w:pPr>
            <w:r>
              <w:t>NQPHN</w:t>
            </w:r>
          </w:p>
        </w:tc>
        <w:tc>
          <w:tcPr>
            <w:tcW w:w="3289" w:type="pct"/>
          </w:tcPr>
          <w:p w14:paraId="3C17EC4D" w14:textId="64C1AD46" w:rsidR="00EC2A16" w:rsidRPr="000D119D" w:rsidRDefault="00EC2A16" w:rsidP="00D87BA5">
            <w:pPr>
              <w:pStyle w:val="TableNText"/>
            </w:pPr>
            <w:r w:rsidRPr="00EC2A16">
              <w:t>Northern Queensland Primary Health Network</w:t>
            </w:r>
          </w:p>
        </w:tc>
      </w:tr>
      <w:tr w:rsidR="004A50B5" w:rsidRPr="00E978A2" w14:paraId="387D994A" w14:textId="77777777" w:rsidTr="005B0EE0">
        <w:tc>
          <w:tcPr>
            <w:tcW w:w="1711" w:type="pct"/>
          </w:tcPr>
          <w:p w14:paraId="69C7CE31" w14:textId="629942FA" w:rsidR="004A50B5" w:rsidRPr="000D119D" w:rsidRDefault="004A50B5" w:rsidP="00D87BA5">
            <w:pPr>
              <w:pStyle w:val="TableNText"/>
            </w:pPr>
            <w:r w:rsidRPr="000D119D">
              <w:t>NTPHN</w:t>
            </w:r>
          </w:p>
        </w:tc>
        <w:tc>
          <w:tcPr>
            <w:tcW w:w="3289" w:type="pct"/>
          </w:tcPr>
          <w:p w14:paraId="313E277C" w14:textId="636DC050" w:rsidR="004A50B5" w:rsidRPr="000D119D" w:rsidRDefault="004A50B5" w:rsidP="00D87BA5">
            <w:pPr>
              <w:pStyle w:val="TableNText"/>
            </w:pPr>
            <w:r>
              <w:t xml:space="preserve">Northern Territory </w:t>
            </w:r>
            <w:r w:rsidRPr="00EC2A16">
              <w:t>Primary Health Network</w:t>
            </w:r>
          </w:p>
        </w:tc>
      </w:tr>
      <w:tr w:rsidR="009C2FA4" w:rsidRPr="00E978A2" w14:paraId="0DAF6C3E" w14:textId="77777777" w:rsidTr="005B0EE0">
        <w:tc>
          <w:tcPr>
            <w:tcW w:w="1711" w:type="pct"/>
          </w:tcPr>
          <w:p w14:paraId="0BB19ACA" w14:textId="4895F4D6" w:rsidR="009C2FA4" w:rsidRPr="000D119D" w:rsidRDefault="009C2FA4" w:rsidP="00D87BA5">
            <w:pPr>
              <w:pStyle w:val="TableNText"/>
            </w:pPr>
            <w:r w:rsidRPr="000D119D">
              <w:lastRenderedPageBreak/>
              <w:t>NWMPHN</w:t>
            </w:r>
          </w:p>
        </w:tc>
        <w:tc>
          <w:tcPr>
            <w:tcW w:w="3289" w:type="pct"/>
          </w:tcPr>
          <w:p w14:paraId="378BEA7C" w14:textId="5B9063DD" w:rsidR="009C2FA4" w:rsidRPr="000D119D" w:rsidRDefault="009C2FA4" w:rsidP="00D87BA5">
            <w:pPr>
              <w:pStyle w:val="TableNText"/>
            </w:pPr>
            <w:proofErr w:type="gramStart"/>
            <w:r w:rsidRPr="000D119D">
              <w:t>North Western</w:t>
            </w:r>
            <w:proofErr w:type="gramEnd"/>
            <w:r w:rsidRPr="000D119D">
              <w:t xml:space="preserve"> Melbourne Primary Health Network</w:t>
            </w:r>
          </w:p>
        </w:tc>
      </w:tr>
      <w:tr w:rsidR="00897ADE" w:rsidRPr="00141636" w14:paraId="14D42D3C" w14:textId="77777777" w:rsidTr="005B0EE0">
        <w:tc>
          <w:tcPr>
            <w:tcW w:w="1711" w:type="pct"/>
          </w:tcPr>
          <w:p w14:paraId="1C38FBBE" w14:textId="6C5E4337" w:rsidR="00897ADE" w:rsidRPr="000D119D" w:rsidRDefault="00897ADE" w:rsidP="00D87BA5">
            <w:pPr>
              <w:pStyle w:val="TableNText"/>
            </w:pPr>
            <w:r w:rsidRPr="00897ADE">
              <w:rPr>
                <w:rStyle w:val="Emphasis"/>
                <w:i w:val="0"/>
                <w:iCs w:val="0"/>
              </w:rPr>
              <w:t>PARCs</w:t>
            </w:r>
          </w:p>
        </w:tc>
        <w:tc>
          <w:tcPr>
            <w:tcW w:w="3289" w:type="pct"/>
          </w:tcPr>
          <w:p w14:paraId="511E5C9F" w14:textId="0856A79F" w:rsidR="00897ADE" w:rsidRPr="000D119D" w:rsidRDefault="00897ADE" w:rsidP="00D87BA5">
            <w:pPr>
              <w:pStyle w:val="TableNText"/>
            </w:pPr>
            <w:r w:rsidRPr="00897ADE">
              <w:t>Prevention and Recovery Care service</w:t>
            </w:r>
            <w:r>
              <w:t>s</w:t>
            </w:r>
          </w:p>
        </w:tc>
      </w:tr>
      <w:tr w:rsidR="00AE4E7E" w:rsidRPr="00141636" w14:paraId="32E06F1D" w14:textId="77777777" w:rsidTr="005B0EE0">
        <w:tc>
          <w:tcPr>
            <w:tcW w:w="1711" w:type="pct"/>
          </w:tcPr>
          <w:p w14:paraId="7F6F7EC7" w14:textId="77777777" w:rsidR="00AE4E7E" w:rsidRPr="000D119D" w:rsidRDefault="00AE4E7E" w:rsidP="00D87BA5">
            <w:pPr>
              <w:pStyle w:val="TableNText"/>
            </w:pPr>
            <w:r w:rsidRPr="000D119D">
              <w:t>PHN</w:t>
            </w:r>
          </w:p>
        </w:tc>
        <w:tc>
          <w:tcPr>
            <w:tcW w:w="3289" w:type="pct"/>
          </w:tcPr>
          <w:p w14:paraId="735F878F" w14:textId="77777777" w:rsidR="00AE4E7E" w:rsidRPr="000D119D" w:rsidRDefault="00AE4E7E" w:rsidP="00D87BA5">
            <w:pPr>
              <w:pStyle w:val="TableNText"/>
            </w:pPr>
            <w:r w:rsidRPr="000D119D">
              <w:t>Primary Health Network</w:t>
            </w:r>
          </w:p>
        </w:tc>
      </w:tr>
      <w:tr w:rsidR="00AE4E7E" w:rsidRPr="00141636" w14:paraId="16AF8016" w14:textId="77777777" w:rsidTr="005B0EE0">
        <w:tc>
          <w:tcPr>
            <w:tcW w:w="1711" w:type="pct"/>
          </w:tcPr>
          <w:p w14:paraId="6713703E" w14:textId="77777777" w:rsidR="00AE4E7E" w:rsidRPr="000D119D" w:rsidRDefault="00AE4E7E" w:rsidP="00D87BA5">
            <w:pPr>
              <w:pStyle w:val="TableNText"/>
            </w:pPr>
            <w:r w:rsidRPr="000D119D">
              <w:t xml:space="preserve">PMHC-MDS </w:t>
            </w:r>
          </w:p>
        </w:tc>
        <w:tc>
          <w:tcPr>
            <w:tcW w:w="3289" w:type="pct"/>
          </w:tcPr>
          <w:p w14:paraId="6FC5EA04" w14:textId="77777777" w:rsidR="00AE4E7E" w:rsidRPr="000D119D" w:rsidRDefault="00AE4E7E" w:rsidP="00D87BA5">
            <w:pPr>
              <w:pStyle w:val="TableNText"/>
            </w:pPr>
            <w:r w:rsidRPr="000D119D">
              <w:t>Primary Mental Health Care Minimum Dataset</w:t>
            </w:r>
          </w:p>
        </w:tc>
      </w:tr>
      <w:tr w:rsidR="00B27AE7" w:rsidRPr="00E978A2" w14:paraId="3A401944" w14:textId="77777777" w:rsidTr="005B0EE0">
        <w:tc>
          <w:tcPr>
            <w:tcW w:w="1711" w:type="pct"/>
          </w:tcPr>
          <w:p w14:paraId="58CC8FDC" w14:textId="3758B12B" w:rsidR="00B27AE7" w:rsidRPr="000D119D" w:rsidRDefault="00B27AE7" w:rsidP="00D87BA5">
            <w:pPr>
              <w:pStyle w:val="TableNText"/>
            </w:pPr>
            <w:r w:rsidRPr="000D119D">
              <w:t>PMO</w:t>
            </w:r>
          </w:p>
        </w:tc>
        <w:tc>
          <w:tcPr>
            <w:tcW w:w="3289" w:type="pct"/>
          </w:tcPr>
          <w:p w14:paraId="3AB7DA57" w14:textId="661EABCF" w:rsidR="00B27AE7" w:rsidRPr="000D119D" w:rsidRDefault="00286B58" w:rsidP="00D87BA5">
            <w:pPr>
              <w:pStyle w:val="TableNText"/>
            </w:pPr>
            <w:r w:rsidRPr="000D119D">
              <w:t>Project management office</w:t>
            </w:r>
          </w:p>
        </w:tc>
      </w:tr>
      <w:tr w:rsidR="008B69D4" w:rsidRPr="00E978A2" w14:paraId="2A895C40" w14:textId="77777777" w:rsidTr="005B0EE0">
        <w:tc>
          <w:tcPr>
            <w:tcW w:w="1711" w:type="pct"/>
          </w:tcPr>
          <w:p w14:paraId="3237978F" w14:textId="2CF4FE85" w:rsidR="008B69D4" w:rsidRPr="000D119D" w:rsidRDefault="008B69D4" w:rsidP="00D87BA5">
            <w:pPr>
              <w:pStyle w:val="TableNText"/>
            </w:pPr>
            <w:r w:rsidRPr="000D119D">
              <w:t>RCH</w:t>
            </w:r>
          </w:p>
        </w:tc>
        <w:tc>
          <w:tcPr>
            <w:tcW w:w="3289" w:type="pct"/>
          </w:tcPr>
          <w:p w14:paraId="19BE09C4" w14:textId="7485DA1A" w:rsidR="008B69D4" w:rsidRPr="000D119D" w:rsidRDefault="008B69D4" w:rsidP="00D87BA5">
            <w:pPr>
              <w:pStyle w:val="TableNText"/>
            </w:pPr>
            <w:r w:rsidRPr="000D119D">
              <w:t>The Royal Children’s Hospital</w:t>
            </w:r>
          </w:p>
        </w:tc>
      </w:tr>
      <w:tr w:rsidR="00966F7F" w:rsidRPr="00E978A2" w14:paraId="510D97D5" w14:textId="77777777" w:rsidTr="005B0EE0">
        <w:tc>
          <w:tcPr>
            <w:tcW w:w="1711" w:type="pct"/>
          </w:tcPr>
          <w:p w14:paraId="3C62A6DA" w14:textId="042FCE6E" w:rsidR="00966F7F" w:rsidRPr="000D119D" w:rsidRDefault="00E35BF9" w:rsidP="00D87BA5">
            <w:pPr>
              <w:pStyle w:val="TableNText"/>
            </w:pPr>
            <w:r w:rsidRPr="00E35BF9">
              <w:t>RFT</w:t>
            </w:r>
          </w:p>
        </w:tc>
        <w:tc>
          <w:tcPr>
            <w:tcW w:w="3289" w:type="pct"/>
          </w:tcPr>
          <w:p w14:paraId="2FA7BD15" w14:textId="555CFC25" w:rsidR="00966F7F" w:rsidRPr="000D119D" w:rsidRDefault="00E211FC" w:rsidP="00D87BA5">
            <w:pPr>
              <w:pStyle w:val="TableNText"/>
            </w:pPr>
            <w:r w:rsidRPr="00E211FC">
              <w:t>Request for tender</w:t>
            </w:r>
          </w:p>
        </w:tc>
      </w:tr>
      <w:tr w:rsidR="00AE018E" w:rsidRPr="00E978A2" w14:paraId="18C40CFE" w14:textId="77777777" w:rsidTr="005B0EE0">
        <w:tc>
          <w:tcPr>
            <w:tcW w:w="1711" w:type="pct"/>
          </w:tcPr>
          <w:p w14:paraId="5DA3850C" w14:textId="0C1CF5B2" w:rsidR="00AE018E" w:rsidRPr="000D119D" w:rsidRDefault="00AE018E" w:rsidP="00D87BA5">
            <w:pPr>
              <w:pStyle w:val="TableNText"/>
            </w:pPr>
            <w:r w:rsidRPr="000D119D">
              <w:t>SEMPHN</w:t>
            </w:r>
          </w:p>
        </w:tc>
        <w:tc>
          <w:tcPr>
            <w:tcW w:w="3289" w:type="pct"/>
          </w:tcPr>
          <w:p w14:paraId="65340C2D" w14:textId="7F0AA09D" w:rsidR="00AE018E" w:rsidRPr="000D119D" w:rsidRDefault="00AE018E" w:rsidP="00D87BA5">
            <w:pPr>
              <w:pStyle w:val="TableNText"/>
            </w:pPr>
            <w:proofErr w:type="gramStart"/>
            <w:r w:rsidRPr="000D119D">
              <w:t>South Eastern</w:t>
            </w:r>
            <w:proofErr w:type="gramEnd"/>
            <w:r w:rsidRPr="000D119D">
              <w:t xml:space="preserve"> Melbourne Primary Health Network </w:t>
            </w:r>
          </w:p>
        </w:tc>
      </w:tr>
      <w:tr w:rsidR="005320D3" w:rsidRPr="00E978A2" w14:paraId="5C7D78FF" w14:textId="77777777" w:rsidTr="005B0EE0">
        <w:tc>
          <w:tcPr>
            <w:tcW w:w="1711" w:type="pct"/>
          </w:tcPr>
          <w:p w14:paraId="7B8D1107" w14:textId="789A4469" w:rsidR="005320D3" w:rsidRPr="000D119D" w:rsidRDefault="005320D3" w:rsidP="00D87BA5">
            <w:pPr>
              <w:pStyle w:val="TableNText"/>
            </w:pPr>
            <w:r w:rsidRPr="005320D3">
              <w:t>UMHCC</w:t>
            </w:r>
          </w:p>
        </w:tc>
        <w:tc>
          <w:tcPr>
            <w:tcW w:w="3289" w:type="pct"/>
          </w:tcPr>
          <w:p w14:paraId="6DD34150" w14:textId="43B40CB0" w:rsidR="005320D3" w:rsidRPr="000D119D" w:rsidRDefault="005320D3" w:rsidP="00D87BA5">
            <w:pPr>
              <w:pStyle w:val="TableNText"/>
            </w:pPr>
            <w:r w:rsidRPr="005320D3">
              <w:t>Urgent Mental Healthcare Centre</w:t>
            </w:r>
          </w:p>
        </w:tc>
      </w:tr>
      <w:tr w:rsidR="00B5491D" w:rsidRPr="00E978A2" w14:paraId="5E452241" w14:textId="77777777" w:rsidTr="005B0EE0">
        <w:tc>
          <w:tcPr>
            <w:tcW w:w="1711" w:type="pct"/>
          </w:tcPr>
          <w:p w14:paraId="5D99ECED" w14:textId="452754FF" w:rsidR="00B5491D" w:rsidRPr="000D119D" w:rsidRDefault="00B5491D" w:rsidP="00D87BA5">
            <w:pPr>
              <w:pStyle w:val="TableNText"/>
            </w:pPr>
            <w:r w:rsidRPr="000D119D">
              <w:t>WAPHA</w:t>
            </w:r>
          </w:p>
        </w:tc>
        <w:tc>
          <w:tcPr>
            <w:tcW w:w="3289" w:type="pct"/>
          </w:tcPr>
          <w:p w14:paraId="75231763" w14:textId="60A94371" w:rsidR="00B5491D" w:rsidRPr="000D119D" w:rsidRDefault="00B5491D" w:rsidP="00D87BA5">
            <w:pPr>
              <w:pStyle w:val="TableNText"/>
            </w:pPr>
            <w:r w:rsidRPr="00B5491D">
              <w:t>WA Primary Health Alliance</w:t>
            </w:r>
          </w:p>
        </w:tc>
      </w:tr>
      <w:tr w:rsidR="009B153C" w:rsidRPr="00E978A2" w14:paraId="78AF6D65" w14:textId="77777777" w:rsidTr="005B0EE0">
        <w:tc>
          <w:tcPr>
            <w:tcW w:w="1711" w:type="pct"/>
          </w:tcPr>
          <w:p w14:paraId="2436E646" w14:textId="07585C4B" w:rsidR="009B153C" w:rsidRPr="000D119D" w:rsidRDefault="00DB2C0C" w:rsidP="00D87BA5">
            <w:pPr>
              <w:pStyle w:val="TableNText"/>
            </w:pPr>
            <w:r w:rsidRPr="00DB2C0C">
              <w:t>WEMWBS</w:t>
            </w:r>
          </w:p>
        </w:tc>
        <w:tc>
          <w:tcPr>
            <w:tcW w:w="3289" w:type="pct"/>
          </w:tcPr>
          <w:p w14:paraId="692CD9E1" w14:textId="3C3D38B1" w:rsidR="009B153C" w:rsidRPr="000D119D" w:rsidRDefault="00832AEA" w:rsidP="00D87BA5">
            <w:pPr>
              <w:pStyle w:val="TableNText"/>
            </w:pPr>
            <w:r w:rsidRPr="00832AEA">
              <w:t>The Warwick-Edinburgh Mental Well-being Scale</w:t>
            </w:r>
          </w:p>
        </w:tc>
      </w:tr>
      <w:tr w:rsidR="00286B58" w:rsidRPr="00E978A2" w14:paraId="6FA810DA" w14:textId="77777777" w:rsidTr="005B0EE0">
        <w:tc>
          <w:tcPr>
            <w:tcW w:w="1711" w:type="pct"/>
          </w:tcPr>
          <w:p w14:paraId="6CCDE25B" w14:textId="0C3E550D" w:rsidR="00286B58" w:rsidRPr="000D119D" w:rsidRDefault="00286B58" w:rsidP="00D87BA5">
            <w:pPr>
              <w:pStyle w:val="TableNText"/>
            </w:pPr>
            <w:r w:rsidRPr="000D119D">
              <w:t>WHO</w:t>
            </w:r>
          </w:p>
        </w:tc>
        <w:tc>
          <w:tcPr>
            <w:tcW w:w="3289" w:type="pct"/>
          </w:tcPr>
          <w:p w14:paraId="3171A3DD" w14:textId="60709463" w:rsidR="00286B58" w:rsidRPr="000D119D" w:rsidRDefault="00286B58" w:rsidP="00D87BA5">
            <w:pPr>
              <w:pStyle w:val="TableNText"/>
            </w:pPr>
            <w:r w:rsidRPr="000D119D">
              <w:t xml:space="preserve">World Health Organization </w:t>
            </w:r>
          </w:p>
        </w:tc>
      </w:tr>
      <w:tr w:rsidR="00E713C0" w:rsidRPr="00E978A2" w14:paraId="152434FB" w14:textId="77777777" w:rsidTr="005B0EE0">
        <w:tc>
          <w:tcPr>
            <w:tcW w:w="1711" w:type="pct"/>
          </w:tcPr>
          <w:p w14:paraId="34880126" w14:textId="275F2883" w:rsidR="00E713C0" w:rsidRPr="000D119D" w:rsidRDefault="00E713C0" w:rsidP="00D87BA5">
            <w:pPr>
              <w:pStyle w:val="TableNText"/>
            </w:pPr>
            <w:r w:rsidRPr="000D119D">
              <w:t>WVPHN</w:t>
            </w:r>
          </w:p>
        </w:tc>
        <w:tc>
          <w:tcPr>
            <w:tcW w:w="3289" w:type="pct"/>
          </w:tcPr>
          <w:p w14:paraId="60A0D54F" w14:textId="3CE1A90B" w:rsidR="00E713C0" w:rsidRPr="000D119D" w:rsidRDefault="00E713C0" w:rsidP="00D87BA5">
            <w:pPr>
              <w:pStyle w:val="TableNText"/>
            </w:pPr>
            <w:r w:rsidRPr="000D119D">
              <w:t>Western Victoria Primary Health Network</w:t>
            </w:r>
          </w:p>
        </w:tc>
      </w:tr>
      <w:tr w:rsidR="00AE4E7E" w:rsidRPr="00141636" w14:paraId="5541A527" w14:textId="77777777" w:rsidTr="005B0EE0">
        <w:tc>
          <w:tcPr>
            <w:tcW w:w="1711" w:type="pct"/>
          </w:tcPr>
          <w:p w14:paraId="65D17D5E" w14:textId="77777777" w:rsidR="00AE4E7E" w:rsidRPr="000D119D" w:rsidRDefault="00AE4E7E" w:rsidP="00D87BA5">
            <w:pPr>
              <w:pStyle w:val="TableNText"/>
            </w:pPr>
            <w:r w:rsidRPr="000D119D">
              <w:t>YES</w:t>
            </w:r>
          </w:p>
        </w:tc>
        <w:tc>
          <w:tcPr>
            <w:tcW w:w="3289" w:type="pct"/>
          </w:tcPr>
          <w:p w14:paraId="30C373E3" w14:textId="65FA7966" w:rsidR="00AE4E7E" w:rsidRPr="000D119D" w:rsidRDefault="00AE4E7E" w:rsidP="00D87BA5">
            <w:pPr>
              <w:pStyle w:val="TableNText"/>
            </w:pPr>
            <w:r w:rsidRPr="000D119D">
              <w:t xml:space="preserve">Your Experience of Service </w:t>
            </w:r>
            <w:r w:rsidR="00EF6EC3">
              <w:t>s</w:t>
            </w:r>
            <w:r w:rsidRPr="000D119D">
              <w:t>urvey</w:t>
            </w:r>
          </w:p>
        </w:tc>
      </w:tr>
    </w:tbl>
    <w:p w14:paraId="15A16D15" w14:textId="77777777" w:rsidR="00CF46C4" w:rsidRPr="00BE0860" w:rsidRDefault="00CF46C4" w:rsidP="00BE0860">
      <w:r w:rsidRPr="000D119D">
        <w:rPr>
          <w:lang w:val="en-AU"/>
        </w:rPr>
        <w:br w:type="page"/>
      </w:r>
    </w:p>
    <w:p w14:paraId="4F7D8A34" w14:textId="2DAB09BD" w:rsidR="00BC0F96" w:rsidRDefault="00D5539F" w:rsidP="00D5539F">
      <w:pPr>
        <w:pStyle w:val="Heading1"/>
        <w:numPr>
          <w:ilvl w:val="0"/>
          <w:numId w:val="0"/>
        </w:numPr>
      </w:pPr>
      <w:bookmarkStart w:id="4" w:name="_Toc99650325"/>
      <w:r w:rsidRPr="000D119D">
        <w:lastRenderedPageBreak/>
        <w:t>Executive Summary</w:t>
      </w:r>
      <w:bookmarkEnd w:id="4"/>
    </w:p>
    <w:p w14:paraId="52560989" w14:textId="2B13ADA3" w:rsidR="00E42902" w:rsidRPr="000D119D" w:rsidRDefault="00E42902" w:rsidP="00BE0860">
      <w:pPr>
        <w:rPr>
          <w:lang w:val="en-AU"/>
        </w:rPr>
      </w:pPr>
      <w:r w:rsidRPr="000D119D">
        <w:rPr>
          <w:lang w:val="en-AU"/>
        </w:rPr>
        <w:t>Nous Group (Nous)</w:t>
      </w:r>
      <w:r w:rsidR="00472A45">
        <w:rPr>
          <w:lang w:val="en-AU"/>
        </w:rPr>
        <w:t>, with support from the University of Sydney,</w:t>
      </w:r>
      <w:r w:rsidRPr="000D119D">
        <w:rPr>
          <w:lang w:val="en-AU"/>
        </w:rPr>
        <w:t xml:space="preserve"> was commissioned by the Australian Government Department of Health to conduct an independent two-part evaluation of the establishment and implementation of the Victorian </w:t>
      </w:r>
      <w:proofErr w:type="spellStart"/>
      <w:r w:rsidRPr="000D119D">
        <w:rPr>
          <w:i/>
          <w:lang w:val="en-AU"/>
        </w:rPr>
        <w:t>HeadtoHelp</w:t>
      </w:r>
      <w:proofErr w:type="spellEnd"/>
      <w:r w:rsidRPr="000D119D">
        <w:rPr>
          <w:lang w:val="en-AU"/>
        </w:rPr>
        <w:t xml:space="preserve"> initiative, and the establishment of the Head</w:t>
      </w:r>
      <w:r w:rsidR="001D5DA6">
        <w:rPr>
          <w:lang w:val="en-AU"/>
        </w:rPr>
        <w:t xml:space="preserve"> </w:t>
      </w:r>
      <w:r w:rsidRPr="000D119D">
        <w:rPr>
          <w:lang w:val="en-AU"/>
        </w:rPr>
        <w:t>to</w:t>
      </w:r>
      <w:r w:rsidR="001D5DA6">
        <w:rPr>
          <w:lang w:val="en-AU"/>
        </w:rPr>
        <w:t xml:space="preserve"> </w:t>
      </w:r>
      <w:r w:rsidRPr="000D119D">
        <w:rPr>
          <w:lang w:val="en-AU"/>
        </w:rPr>
        <w:t xml:space="preserve">Health Adult Mental Health Centre (AMHC) trial. </w:t>
      </w:r>
    </w:p>
    <w:p w14:paraId="4945E699" w14:textId="49B89E37" w:rsidR="00E42902" w:rsidRDefault="00E42902" w:rsidP="00E42902">
      <w:pPr>
        <w:rPr>
          <w:lang w:val="en-AU" w:eastAsia="en-AU"/>
        </w:rPr>
      </w:pPr>
      <w:r w:rsidRPr="000D119D">
        <w:rPr>
          <w:lang w:val="en-AU"/>
        </w:rPr>
        <w:t xml:space="preserve">The evaluation ran from January 2021 to March 2022. This Final Report showcases key findings from the evaluation which includes qualitative data collected through interviews and other artefacts, and a quantitative analysis of the Primary Mental Health Care Minimum Dataset (PMHC-MDS) data. Recommendations are provided in relation to intake and use of the Initial Assessment and Referral Decision Support Tool (IAR-DST), the remaining operation of </w:t>
      </w:r>
      <w:proofErr w:type="spellStart"/>
      <w:r w:rsidRPr="000D119D">
        <w:rPr>
          <w:i/>
          <w:lang w:val="en-AU"/>
        </w:rPr>
        <w:t>HeadtoHelp</w:t>
      </w:r>
      <w:proofErr w:type="spellEnd"/>
      <w:r w:rsidRPr="000D119D">
        <w:rPr>
          <w:lang w:val="en-AU"/>
        </w:rPr>
        <w:t>, as well as the current and future establishment and implementation of the AMHCs across Australia.</w:t>
      </w:r>
    </w:p>
    <w:p w14:paraId="329DB4F6" w14:textId="0DE1FA81" w:rsidR="00E42902" w:rsidRPr="00E42902" w:rsidRDefault="00CE5245" w:rsidP="00E42902">
      <w:pPr>
        <w:rPr>
          <w:lang w:val="en-AU" w:eastAsia="en-AU"/>
        </w:rPr>
      </w:pPr>
      <w:r w:rsidRPr="00CE5245">
        <w:rPr>
          <w:noProof/>
        </w:rPr>
        <w:drawing>
          <wp:inline distT="0" distB="0" distL="0" distR="0" wp14:anchorId="2650927A" wp14:editId="060DB6EE">
            <wp:extent cx="5670550" cy="5262245"/>
            <wp:effectExtent l="0" t="0" r="6350" b="0"/>
            <wp:docPr id="32" name="Picture 32" descr="Infographic showing the Head to Help and Adult Mental Health Centres background and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nfographic showing the Head to Help and Adult Mental Health Centres background and contex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0550" cy="5262245"/>
                    </a:xfrm>
                    <a:prstGeom prst="rect">
                      <a:avLst/>
                    </a:prstGeom>
                    <a:noFill/>
                    <a:ln>
                      <a:noFill/>
                    </a:ln>
                  </pic:spPr>
                </pic:pic>
              </a:graphicData>
            </a:graphic>
          </wp:inline>
        </w:drawing>
      </w:r>
    </w:p>
    <w:p w14:paraId="2385720E" w14:textId="1A675788" w:rsidR="00143A98" w:rsidRPr="00BE0860" w:rsidRDefault="00143A98" w:rsidP="00BE0860">
      <w:r w:rsidRPr="000D119D">
        <w:rPr>
          <w:lang w:val="en-AU"/>
        </w:rPr>
        <w:br w:type="page"/>
      </w:r>
    </w:p>
    <w:p w14:paraId="09EA182E" w14:textId="6096321F" w:rsidR="000658C6" w:rsidRPr="000D119D" w:rsidRDefault="000658C6" w:rsidP="004846E4">
      <w:pPr>
        <w:pStyle w:val="Heading2"/>
      </w:pPr>
      <w:r w:rsidRPr="000D119D">
        <w:lastRenderedPageBreak/>
        <w:t>Evaluation findings</w:t>
      </w:r>
    </w:p>
    <w:p w14:paraId="580D026F" w14:textId="6E20E260" w:rsidR="00AE22A3" w:rsidRDefault="009B3DF2" w:rsidP="00632CB7">
      <w:pPr>
        <w:rPr>
          <w:lang w:val="en-AU" w:eastAsia="en-AU"/>
        </w:rPr>
      </w:pPr>
      <w:r w:rsidRPr="000D119D">
        <w:rPr>
          <w:lang w:val="en-AU" w:eastAsia="en-AU"/>
        </w:rPr>
        <w:t>Evaluation findings</w:t>
      </w:r>
      <w:r w:rsidRPr="000D119D" w:rsidDel="00C376DD">
        <w:rPr>
          <w:lang w:val="en-AU" w:eastAsia="en-AU"/>
        </w:rPr>
        <w:t xml:space="preserve"> </w:t>
      </w:r>
      <w:r w:rsidR="00C376DD" w:rsidRPr="000D119D">
        <w:rPr>
          <w:lang w:val="en-AU" w:eastAsia="en-AU"/>
        </w:rPr>
        <w:t xml:space="preserve">were drawn from comprehensive qualitative and quantitative analysis, including service provider, </w:t>
      </w:r>
      <w:proofErr w:type="gramStart"/>
      <w:r w:rsidR="00C376DD" w:rsidRPr="000D119D">
        <w:rPr>
          <w:lang w:val="en-AU" w:eastAsia="en-AU"/>
        </w:rPr>
        <w:t>stakeholder</w:t>
      </w:r>
      <w:proofErr w:type="gramEnd"/>
      <w:r w:rsidR="00C376DD" w:rsidRPr="000D119D">
        <w:rPr>
          <w:lang w:val="en-AU" w:eastAsia="en-AU"/>
        </w:rPr>
        <w:t xml:space="preserve"> and </w:t>
      </w:r>
      <w:r w:rsidR="007C43A1">
        <w:rPr>
          <w:lang w:val="en-AU" w:eastAsia="en-AU"/>
        </w:rPr>
        <w:t>participant</w:t>
      </w:r>
      <w:r w:rsidR="00C376DD" w:rsidRPr="000D119D">
        <w:rPr>
          <w:lang w:val="en-AU" w:eastAsia="en-AU"/>
        </w:rPr>
        <w:t xml:space="preserve"> interviews</w:t>
      </w:r>
      <w:r w:rsidR="00A77695">
        <w:rPr>
          <w:lang w:val="en-AU" w:eastAsia="en-AU"/>
        </w:rPr>
        <w:t>,</w:t>
      </w:r>
      <w:r w:rsidR="00C376DD" w:rsidRPr="000D119D">
        <w:rPr>
          <w:lang w:val="en-AU" w:eastAsia="en-AU"/>
        </w:rPr>
        <w:t xml:space="preserve"> as well as analysis of the PMHC-MDS, </w:t>
      </w:r>
      <w:r w:rsidR="00DB63FC" w:rsidRPr="00DB63FC">
        <w:rPr>
          <w:lang w:val="en-AU" w:eastAsia="en-AU"/>
        </w:rPr>
        <w:t xml:space="preserve">Your Experience of Service </w:t>
      </w:r>
      <w:r w:rsidR="00DB63FC">
        <w:rPr>
          <w:lang w:val="en-AU" w:eastAsia="en-AU"/>
        </w:rPr>
        <w:t>(</w:t>
      </w:r>
      <w:r w:rsidR="00C376DD" w:rsidRPr="000D119D">
        <w:rPr>
          <w:lang w:val="en-AU" w:eastAsia="en-AU"/>
        </w:rPr>
        <w:t>YES</w:t>
      </w:r>
      <w:r w:rsidR="00DB63FC">
        <w:rPr>
          <w:lang w:val="en-AU" w:eastAsia="en-AU"/>
        </w:rPr>
        <w:t>)</w:t>
      </w:r>
      <w:r w:rsidR="00EF6EC3" w:rsidRPr="000D119D">
        <w:rPr>
          <w:lang w:val="en-AU" w:eastAsia="en-AU"/>
        </w:rPr>
        <w:t xml:space="preserve"> </w:t>
      </w:r>
      <w:r w:rsidR="00EF6EC3">
        <w:rPr>
          <w:lang w:val="en-AU" w:eastAsia="en-AU"/>
        </w:rPr>
        <w:t>s</w:t>
      </w:r>
      <w:r w:rsidR="00DB63FC" w:rsidRPr="00DB63FC">
        <w:rPr>
          <w:lang w:val="en-AU" w:eastAsia="en-AU"/>
        </w:rPr>
        <w:t>urvey</w:t>
      </w:r>
      <w:r w:rsidR="00C376DD" w:rsidRPr="000D119D">
        <w:rPr>
          <w:lang w:val="en-AU" w:eastAsia="en-AU"/>
        </w:rPr>
        <w:t xml:space="preserve"> and </w:t>
      </w:r>
      <w:proofErr w:type="spellStart"/>
      <w:r w:rsidR="00355E8E" w:rsidRPr="00355E8E">
        <w:rPr>
          <w:i/>
          <w:iCs/>
          <w:lang w:val="en-AU" w:eastAsia="en-AU"/>
        </w:rPr>
        <w:t>HeadtoHelp</w:t>
      </w:r>
      <w:proofErr w:type="spellEnd"/>
      <w:r w:rsidR="00652129">
        <w:rPr>
          <w:lang w:val="en-AU" w:eastAsia="en-AU"/>
        </w:rPr>
        <w:t xml:space="preserve"> Intake Experience (HIE</w:t>
      </w:r>
      <w:r w:rsidR="00EF6EC3">
        <w:rPr>
          <w:lang w:val="en-AU" w:eastAsia="en-AU"/>
        </w:rPr>
        <w:t>)</w:t>
      </w:r>
      <w:r w:rsidR="006E6365" w:rsidRPr="000D119D">
        <w:rPr>
          <w:lang w:val="en-AU" w:eastAsia="en-AU"/>
        </w:rPr>
        <w:t xml:space="preserve"> </w:t>
      </w:r>
      <w:r w:rsidR="00C376DD" w:rsidRPr="000D119D">
        <w:rPr>
          <w:lang w:val="en-AU" w:eastAsia="en-AU"/>
        </w:rPr>
        <w:t xml:space="preserve">survey findings. </w:t>
      </w:r>
      <w:r w:rsidR="001840C3" w:rsidRPr="000D119D">
        <w:rPr>
          <w:lang w:val="en-AU" w:eastAsia="en-AU"/>
        </w:rPr>
        <w:t>H</w:t>
      </w:r>
      <w:r w:rsidR="00DB3AA0" w:rsidRPr="000D119D">
        <w:rPr>
          <w:lang w:val="en-AU" w:eastAsia="en-AU"/>
        </w:rPr>
        <w:t xml:space="preserve">ighlights are included below, with detailed analysis </w:t>
      </w:r>
      <w:r w:rsidR="0020090B" w:rsidRPr="000D119D">
        <w:rPr>
          <w:lang w:val="en-AU" w:eastAsia="en-AU"/>
        </w:rPr>
        <w:t xml:space="preserve">in the body of this document. </w:t>
      </w:r>
    </w:p>
    <w:p w14:paraId="175788A3" w14:textId="64B5A50D" w:rsidR="002C2FEC" w:rsidRDefault="00384B07" w:rsidP="00632CB7">
      <w:pPr>
        <w:rPr>
          <w:iCs/>
        </w:rPr>
      </w:pPr>
      <w:r>
        <w:rPr>
          <w:lang w:val="en-AU" w:eastAsia="en-AU"/>
        </w:rPr>
        <w:t>It is important to note that while this</w:t>
      </w:r>
      <w:r w:rsidR="00AE22A3">
        <w:rPr>
          <w:lang w:val="en-AU" w:eastAsia="en-AU"/>
        </w:rPr>
        <w:t xml:space="preserve"> evaluation </w:t>
      </w:r>
      <w:r w:rsidR="003739D7">
        <w:rPr>
          <w:lang w:val="en-AU" w:eastAsia="en-AU"/>
        </w:rPr>
        <w:t>includes</w:t>
      </w:r>
      <w:r w:rsidR="002323E9">
        <w:rPr>
          <w:lang w:val="en-AU" w:eastAsia="en-AU"/>
        </w:rPr>
        <w:t xml:space="preserve"> short term outcomes</w:t>
      </w:r>
      <w:r w:rsidR="003739D7">
        <w:rPr>
          <w:lang w:val="en-AU" w:eastAsia="en-AU"/>
        </w:rPr>
        <w:t xml:space="preserve"> findings</w:t>
      </w:r>
      <w:r w:rsidR="002323E9">
        <w:rPr>
          <w:lang w:val="en-AU" w:eastAsia="en-AU"/>
        </w:rPr>
        <w:t xml:space="preserve"> for </w:t>
      </w:r>
      <w:proofErr w:type="spellStart"/>
      <w:r w:rsidR="002323E9">
        <w:rPr>
          <w:i/>
          <w:iCs/>
          <w:lang w:val="en-AU" w:eastAsia="en-AU"/>
        </w:rPr>
        <w:t>HeadtoHelp</w:t>
      </w:r>
      <w:proofErr w:type="spellEnd"/>
      <w:r w:rsidRPr="00C35049">
        <w:rPr>
          <w:lang w:val="en-AU" w:eastAsia="en-AU"/>
        </w:rPr>
        <w:t>,</w:t>
      </w:r>
      <w:r>
        <w:rPr>
          <w:u w:val="single"/>
          <w:lang w:val="en-AU" w:eastAsia="en-AU"/>
        </w:rPr>
        <w:t xml:space="preserve"> </w:t>
      </w:r>
      <w:r w:rsidRPr="006C2E61">
        <w:rPr>
          <w:lang w:val="en-AU" w:eastAsia="en-AU"/>
        </w:rPr>
        <w:t>findings in relation to AMHCs are limited to</w:t>
      </w:r>
      <w:r w:rsidR="00BD2FCE" w:rsidRPr="006C2E61">
        <w:rPr>
          <w:lang w:val="en-AU" w:eastAsia="en-AU"/>
        </w:rPr>
        <w:t xml:space="preserve"> the </w:t>
      </w:r>
      <w:r w:rsidRPr="006C2E61">
        <w:rPr>
          <w:lang w:val="en-AU" w:eastAsia="en-AU"/>
        </w:rPr>
        <w:t>establishment</w:t>
      </w:r>
      <w:r w:rsidR="00BD2FCE" w:rsidRPr="006C2E61">
        <w:rPr>
          <w:lang w:val="en-AU" w:eastAsia="en-AU"/>
        </w:rPr>
        <w:t xml:space="preserve"> phase</w:t>
      </w:r>
      <w:r w:rsidR="00BD2FCE" w:rsidRPr="00C35049">
        <w:rPr>
          <w:lang w:val="en-AU" w:eastAsia="en-AU"/>
        </w:rPr>
        <w:t xml:space="preserve">. </w:t>
      </w:r>
      <w:r w:rsidR="002323E9">
        <w:t xml:space="preserve">Despite being similar programs, we cannot infer </w:t>
      </w:r>
      <w:proofErr w:type="gramStart"/>
      <w:r w:rsidR="002323E9">
        <w:t>that outcome</w:t>
      </w:r>
      <w:r w:rsidR="00C35049">
        <w:t>s</w:t>
      </w:r>
      <w:proofErr w:type="gramEnd"/>
      <w:r w:rsidR="002323E9">
        <w:t xml:space="preserve"> achieved through </w:t>
      </w:r>
      <w:proofErr w:type="spellStart"/>
      <w:r w:rsidR="002323E9">
        <w:rPr>
          <w:i/>
        </w:rPr>
        <w:t>HeadtoHelp</w:t>
      </w:r>
      <w:proofErr w:type="spellEnd"/>
      <w:r w:rsidR="002323E9">
        <w:rPr>
          <w:i/>
        </w:rPr>
        <w:t xml:space="preserve"> </w:t>
      </w:r>
      <w:r w:rsidR="002323E9">
        <w:rPr>
          <w:iCs/>
        </w:rPr>
        <w:t xml:space="preserve">will be the same as outcomes achieved through AMHC. </w:t>
      </w:r>
    </w:p>
    <w:p w14:paraId="2789DDA2" w14:textId="4892EB38" w:rsidR="00BE0860" w:rsidRPr="00BE0860" w:rsidRDefault="00BE0860" w:rsidP="00BE0860">
      <w:pPr>
        <w:pStyle w:val="Heading2"/>
      </w:pPr>
      <w:r w:rsidRPr="00BE0860">
        <w:t>HEADTOHELP FINDINGS</w:t>
      </w:r>
    </w:p>
    <w:p w14:paraId="03B08847" w14:textId="527EBFDA" w:rsidR="005746CF" w:rsidRPr="00AA2387" w:rsidRDefault="005746CF" w:rsidP="00BE0860">
      <w:pPr>
        <w:pStyle w:val="Heading3"/>
        <w:rPr>
          <w:u w:val="single"/>
        </w:rPr>
      </w:pPr>
      <w:r w:rsidRPr="00AA2387">
        <w:t xml:space="preserve">Establishment (Section </w:t>
      </w:r>
      <w:r w:rsidRPr="00AA2387">
        <w:fldChar w:fldCharType="begin"/>
      </w:r>
      <w:r w:rsidRPr="00AA2387">
        <w:instrText xml:space="preserve"> REF _Ref96612101 \w \h  \* MERGEFORMAT </w:instrText>
      </w:r>
      <w:r w:rsidRPr="00AA2387">
        <w:fldChar w:fldCharType="separate"/>
      </w:r>
      <w:r w:rsidR="00562174">
        <w:t>3</w:t>
      </w:r>
      <w:r w:rsidRPr="00AA2387">
        <w:fldChar w:fldCharType="end"/>
      </w:r>
      <w:r w:rsidRPr="00AA2387">
        <w:t>)</w:t>
      </w:r>
    </w:p>
    <w:p w14:paraId="0FF36EE9" w14:textId="18467724" w:rsidR="00734FC1" w:rsidRPr="000D119D" w:rsidRDefault="00734FC1" w:rsidP="00E616FF">
      <w:pPr>
        <w:rPr>
          <w:b/>
          <w:bCs/>
          <w:lang w:val="en-AU" w:eastAsia="en-AU"/>
        </w:rPr>
      </w:pPr>
      <w:r w:rsidRPr="006C2E61">
        <w:rPr>
          <w:rStyle w:val="Strong"/>
        </w:rPr>
        <w:t>How appropriate is the program design to deliver the program outcomes?</w:t>
      </w:r>
      <w:r w:rsidR="0020090B" w:rsidRPr="00BE0860">
        <w:t xml:space="preserve"> </w:t>
      </w:r>
      <w:r w:rsidR="0020090B" w:rsidRPr="00BE0860">
        <w:rPr>
          <w:rStyle w:val="Strong"/>
        </w:rPr>
        <w:t xml:space="preserve">(Section </w:t>
      </w:r>
      <w:r w:rsidR="0020090B" w:rsidRPr="00BE0860">
        <w:rPr>
          <w:rStyle w:val="Strong"/>
        </w:rPr>
        <w:fldChar w:fldCharType="begin"/>
      </w:r>
      <w:r w:rsidR="0020090B" w:rsidRPr="00BE0860">
        <w:rPr>
          <w:rStyle w:val="Strong"/>
        </w:rPr>
        <w:instrText xml:space="preserve"> REF _Ref96612121 \w \h  \* MERGEFORMAT </w:instrText>
      </w:r>
      <w:r w:rsidR="0020090B" w:rsidRPr="00BE0860">
        <w:rPr>
          <w:rStyle w:val="Strong"/>
        </w:rPr>
      </w:r>
      <w:r w:rsidR="0020090B" w:rsidRPr="00BE0860">
        <w:rPr>
          <w:rStyle w:val="Strong"/>
        </w:rPr>
        <w:fldChar w:fldCharType="separate"/>
      </w:r>
      <w:r w:rsidR="00562174" w:rsidRPr="00BE0860">
        <w:rPr>
          <w:rStyle w:val="Strong"/>
        </w:rPr>
        <w:t>3.1</w:t>
      </w:r>
      <w:r w:rsidR="0020090B" w:rsidRPr="00BE0860">
        <w:rPr>
          <w:rStyle w:val="Strong"/>
        </w:rPr>
        <w:fldChar w:fldCharType="end"/>
      </w:r>
      <w:r w:rsidR="0020090B" w:rsidRPr="00BE0860">
        <w:rPr>
          <w:rStyle w:val="Strong"/>
        </w:rPr>
        <w:t>)</w:t>
      </w:r>
    </w:p>
    <w:p w14:paraId="40CA198E" w14:textId="3B7989CF" w:rsidR="007A4500" w:rsidRPr="000D119D" w:rsidRDefault="007A4500" w:rsidP="00E616FF">
      <w:pPr>
        <w:rPr>
          <w:lang w:val="en-AU" w:eastAsia="en-AU"/>
        </w:rPr>
      </w:pPr>
      <w:proofErr w:type="spellStart"/>
      <w:r w:rsidRPr="000D2E9D">
        <w:rPr>
          <w:rStyle w:val="Emphasis"/>
        </w:rPr>
        <w:t>HeadtoHelp</w:t>
      </w:r>
      <w:proofErr w:type="spellEnd"/>
      <w:r w:rsidRPr="000D119D">
        <w:rPr>
          <w:lang w:val="en-AU" w:eastAsia="en-AU"/>
        </w:rPr>
        <w:t xml:space="preserve"> was appropriately designed to increase access to and support navigation of mental health services during a time of heightened need. Specific design features, such as mechanisms to remove barriers </w:t>
      </w:r>
      <w:r w:rsidR="001A6FB7">
        <w:rPr>
          <w:lang w:val="en-AU" w:eastAsia="en-AU"/>
        </w:rPr>
        <w:t xml:space="preserve">to </w:t>
      </w:r>
      <w:r w:rsidRPr="000D119D">
        <w:rPr>
          <w:lang w:val="en-AU" w:eastAsia="en-AU"/>
        </w:rPr>
        <w:t xml:space="preserve">access, use of the IAR-DST and role of multi-disciplinary teams were key to this finding. There were limitations in relation to the opportunity for co-design and the ability of </w:t>
      </w:r>
      <w:proofErr w:type="spellStart"/>
      <w:r w:rsidRPr="000D2E9D">
        <w:rPr>
          <w:rStyle w:val="Emphasis"/>
        </w:rPr>
        <w:t>HeadtoHelp</w:t>
      </w:r>
      <w:proofErr w:type="spellEnd"/>
      <w:r w:rsidRPr="000D119D">
        <w:rPr>
          <w:lang w:val="en-AU" w:eastAsia="en-AU"/>
        </w:rPr>
        <w:t xml:space="preserve"> to operate as a stand-alone response to system fragmentation.</w:t>
      </w:r>
    </w:p>
    <w:p w14:paraId="6F21771B" w14:textId="1C6B4B73" w:rsidR="00734FC1" w:rsidRPr="000D119D" w:rsidRDefault="00734FC1" w:rsidP="00E616FF">
      <w:pPr>
        <w:rPr>
          <w:b/>
          <w:bCs/>
          <w:lang w:val="en-AU" w:eastAsia="en-AU"/>
        </w:rPr>
      </w:pPr>
      <w:r w:rsidRPr="006C2E61">
        <w:rPr>
          <w:rStyle w:val="Strong"/>
        </w:rPr>
        <w:t>How effective was the establishment of the program?</w:t>
      </w:r>
      <w:r w:rsidR="0020090B" w:rsidRPr="00BE0860">
        <w:t xml:space="preserve"> </w:t>
      </w:r>
      <w:r w:rsidR="0020090B" w:rsidRPr="00BE0860">
        <w:rPr>
          <w:rStyle w:val="Strong"/>
        </w:rPr>
        <w:t>(Section</w:t>
      </w:r>
      <w:r w:rsidR="00075BF8" w:rsidRPr="00BE0860">
        <w:rPr>
          <w:rStyle w:val="Strong"/>
        </w:rPr>
        <w:t xml:space="preserve"> </w:t>
      </w:r>
      <w:r w:rsidR="00075BF8" w:rsidRPr="00BE0860">
        <w:rPr>
          <w:rStyle w:val="Strong"/>
        </w:rPr>
        <w:fldChar w:fldCharType="begin"/>
      </w:r>
      <w:r w:rsidR="00075BF8" w:rsidRPr="00BE0860">
        <w:rPr>
          <w:rStyle w:val="Strong"/>
        </w:rPr>
        <w:instrText xml:space="preserve"> REF _Ref96612404 \n \h </w:instrText>
      </w:r>
      <w:r w:rsidR="00E616FF" w:rsidRPr="00BE0860">
        <w:rPr>
          <w:rStyle w:val="Strong"/>
        </w:rPr>
        <w:instrText xml:space="preserve"> \* MERGEFORMAT </w:instrText>
      </w:r>
      <w:r w:rsidR="00075BF8" w:rsidRPr="00BE0860">
        <w:rPr>
          <w:rStyle w:val="Strong"/>
        </w:rPr>
      </w:r>
      <w:r w:rsidR="00075BF8" w:rsidRPr="00BE0860">
        <w:rPr>
          <w:rStyle w:val="Strong"/>
        </w:rPr>
        <w:fldChar w:fldCharType="separate"/>
      </w:r>
      <w:r w:rsidR="00562174" w:rsidRPr="00BE0860">
        <w:rPr>
          <w:rStyle w:val="Strong"/>
        </w:rPr>
        <w:t>3.2</w:t>
      </w:r>
      <w:r w:rsidR="00075BF8" w:rsidRPr="00BE0860">
        <w:rPr>
          <w:rStyle w:val="Strong"/>
        </w:rPr>
        <w:fldChar w:fldCharType="end"/>
      </w:r>
      <w:r w:rsidR="00075BF8" w:rsidRPr="00BE0860">
        <w:rPr>
          <w:rStyle w:val="Strong"/>
        </w:rPr>
        <w:t>)</w:t>
      </w:r>
    </w:p>
    <w:p w14:paraId="3598A6D4" w14:textId="38E94DF7" w:rsidR="000658C6" w:rsidRPr="000D119D" w:rsidRDefault="00D71126" w:rsidP="00E616FF">
      <w:pPr>
        <w:rPr>
          <w:lang w:val="en-AU" w:eastAsia="en-AU"/>
        </w:rPr>
      </w:pPr>
      <w:proofErr w:type="spellStart"/>
      <w:r w:rsidRPr="000D2E9D">
        <w:rPr>
          <w:rStyle w:val="Emphasis"/>
        </w:rPr>
        <w:t>HeadtoHelp</w:t>
      </w:r>
      <w:proofErr w:type="spellEnd"/>
      <w:r w:rsidRPr="000D119D">
        <w:rPr>
          <w:rFonts w:eastAsiaTheme="minorEastAsia"/>
          <w:lang w:val="en-AU"/>
        </w:rPr>
        <w:t xml:space="preserve"> hubs were rapidly established </w:t>
      </w:r>
      <w:r w:rsidRPr="000D119D">
        <w:rPr>
          <w:lang w:val="en-AU"/>
        </w:rPr>
        <w:t xml:space="preserve">in a commendable </w:t>
      </w:r>
      <w:r w:rsidR="00543883">
        <w:rPr>
          <w:lang w:val="en-AU"/>
        </w:rPr>
        <w:t>and highly effective</w:t>
      </w:r>
      <w:r w:rsidRPr="000D119D">
        <w:rPr>
          <w:lang w:val="en-AU"/>
        </w:rPr>
        <w:t xml:space="preserve"> display of </w:t>
      </w:r>
      <w:r w:rsidR="00E616FF" w:rsidRPr="000D119D">
        <w:rPr>
          <w:lang w:val="en-AU"/>
        </w:rPr>
        <w:t>Primary Health Network (</w:t>
      </w:r>
      <w:r w:rsidRPr="000D119D">
        <w:rPr>
          <w:lang w:val="en-AU"/>
        </w:rPr>
        <w:t>PHN</w:t>
      </w:r>
      <w:r w:rsidR="00E616FF" w:rsidRPr="000D119D">
        <w:rPr>
          <w:lang w:val="en-AU"/>
        </w:rPr>
        <w:t>)</w:t>
      </w:r>
      <w:r w:rsidRPr="000D119D">
        <w:rPr>
          <w:lang w:val="en-AU"/>
        </w:rPr>
        <w:t xml:space="preserve"> collaboration and effort. The approach to commissioning was pragmatic and effective, although some components of contracts could be improved, and the requirement for rapid establishment resulted more in movement fo</w:t>
      </w:r>
      <w:r w:rsidR="00E616FF" w:rsidRPr="000D119D">
        <w:rPr>
          <w:lang w:val="en-AU"/>
        </w:rPr>
        <w:t>r</w:t>
      </w:r>
      <w:r w:rsidRPr="000D119D">
        <w:rPr>
          <w:lang w:val="en-AU"/>
        </w:rPr>
        <w:t xml:space="preserve"> </w:t>
      </w:r>
      <w:r w:rsidRPr="000D119D">
        <w:rPr>
          <w:rFonts w:eastAsiaTheme="minorEastAsia"/>
          <w:lang w:val="en-AU"/>
        </w:rPr>
        <w:t xml:space="preserve">existing staff across the system, rather than a net increase in staff for Victoria. Positively, </w:t>
      </w:r>
      <w:proofErr w:type="spellStart"/>
      <w:r w:rsidRPr="000D2E9D">
        <w:rPr>
          <w:rStyle w:val="Emphasis"/>
        </w:rPr>
        <w:t>HeadtoHelp</w:t>
      </w:r>
      <w:proofErr w:type="spellEnd"/>
      <w:r w:rsidRPr="000D119D">
        <w:rPr>
          <w:rFonts w:eastAsiaTheme="minorEastAsia"/>
          <w:i/>
          <w:iCs/>
          <w:lang w:val="en-AU"/>
        </w:rPr>
        <w:t xml:space="preserve"> </w:t>
      </w:r>
      <w:r w:rsidRPr="000D119D">
        <w:rPr>
          <w:rFonts w:eastAsiaTheme="minorEastAsia"/>
          <w:lang w:val="en-AU"/>
        </w:rPr>
        <w:t>drove an unprecedented degree of collaboration – through both governance and goodwill – that PHNs are keen to replicate in other programs. In particular, the shared-service model was positively viewed by stakeholders as a pragmatic</w:t>
      </w:r>
      <w:r w:rsidR="007649EA">
        <w:rPr>
          <w:rFonts w:eastAsiaTheme="minorEastAsia"/>
          <w:lang w:val="en-AU"/>
        </w:rPr>
        <w:t>, efficient</w:t>
      </w:r>
      <w:r w:rsidR="000A3004">
        <w:rPr>
          <w:rFonts w:eastAsiaTheme="minorEastAsia"/>
          <w:lang w:val="en-AU"/>
        </w:rPr>
        <w:t xml:space="preserve"> </w:t>
      </w:r>
      <w:r w:rsidRPr="000D119D">
        <w:rPr>
          <w:rFonts w:eastAsiaTheme="minorEastAsia"/>
          <w:lang w:val="en-AU"/>
        </w:rPr>
        <w:t>and effective structure to support establishment, that entrenched trust, joint ownership, and collaborative ways of working.</w:t>
      </w:r>
    </w:p>
    <w:p w14:paraId="1218005E" w14:textId="378CAD41" w:rsidR="0020090B" w:rsidRPr="005746CF" w:rsidRDefault="0020090B" w:rsidP="00BE0860">
      <w:pPr>
        <w:pStyle w:val="Heading3"/>
      </w:pPr>
      <w:r w:rsidRPr="005746CF">
        <w:t>Implementation</w:t>
      </w:r>
      <w:r w:rsidR="003B3272" w:rsidRPr="005746CF">
        <w:t xml:space="preserve"> (Section 4)</w:t>
      </w:r>
    </w:p>
    <w:p w14:paraId="5C8F47AB" w14:textId="77777777" w:rsidR="0020090B" w:rsidRPr="006C2E61" w:rsidRDefault="0020090B" w:rsidP="006C2E61">
      <w:pPr>
        <w:rPr>
          <w:rStyle w:val="Strong"/>
        </w:rPr>
      </w:pPr>
      <w:r w:rsidRPr="006C2E61">
        <w:rPr>
          <w:rStyle w:val="Strong"/>
        </w:rPr>
        <w:t xml:space="preserve">How effective has the implementation of the </w:t>
      </w:r>
      <w:proofErr w:type="spellStart"/>
      <w:r w:rsidRPr="006C2E61">
        <w:rPr>
          <w:rStyle w:val="Strong"/>
        </w:rPr>
        <w:t>HeadtoHelp</w:t>
      </w:r>
      <w:proofErr w:type="spellEnd"/>
      <w:r w:rsidRPr="006C2E61">
        <w:rPr>
          <w:rStyle w:val="Strong"/>
        </w:rPr>
        <w:t xml:space="preserve"> initiative been to date and what can we learn from it?</w:t>
      </w:r>
    </w:p>
    <w:p w14:paraId="48BDA124" w14:textId="3C371C77" w:rsidR="00B17F66" w:rsidRPr="000D119D" w:rsidRDefault="00E56894" w:rsidP="00A10E7A">
      <w:pPr>
        <w:rPr>
          <w:lang w:val="en-AU"/>
        </w:rPr>
      </w:pPr>
      <w:proofErr w:type="spellStart"/>
      <w:r w:rsidRPr="000D2E9D">
        <w:rPr>
          <w:rStyle w:val="Emphasis"/>
        </w:rPr>
        <w:t>HeadtoHelp</w:t>
      </w:r>
      <w:proofErr w:type="spellEnd"/>
      <w:r w:rsidRPr="00E56894">
        <w:rPr>
          <w:rFonts w:eastAsiaTheme="minorEastAsia"/>
        </w:rPr>
        <w:t xml:space="preserve"> is being accessed by the ‘missing middle’, however, aspects of service use have differed from what was anticipated</w:t>
      </w:r>
      <w:r w:rsidR="00AD5453">
        <w:rPr>
          <w:rFonts w:eastAsiaTheme="minorEastAsia"/>
        </w:rPr>
        <w:t>.</w:t>
      </w:r>
      <w:r w:rsidR="00AD5453" w:rsidRPr="000D119D">
        <w:rPr>
          <w:lang w:val="en-AU"/>
        </w:rPr>
        <w:t xml:space="preserve"> </w:t>
      </w:r>
      <w:r w:rsidR="00AD5453" w:rsidRPr="00AD5453">
        <w:rPr>
          <w:rFonts w:eastAsiaTheme="minorEastAsia"/>
        </w:rPr>
        <w:t>Qualitatively, hubs reported that over time, participants were younger, with more severe needs</w:t>
      </w:r>
      <w:r w:rsidR="007649EA">
        <w:rPr>
          <w:rFonts w:eastAsiaTheme="minorEastAsia"/>
        </w:rPr>
        <w:t xml:space="preserve"> than expected</w:t>
      </w:r>
      <w:r w:rsidR="00AD5453" w:rsidRPr="00AD5453">
        <w:rPr>
          <w:rFonts w:eastAsiaTheme="minorEastAsia"/>
        </w:rPr>
        <w:t xml:space="preserve">. </w:t>
      </w:r>
      <w:r w:rsidR="004F28D4">
        <w:rPr>
          <w:rFonts w:eastAsiaTheme="minorEastAsia"/>
        </w:rPr>
        <w:t xml:space="preserve">The level of variation among </w:t>
      </w:r>
      <w:r w:rsidR="007C43A1">
        <w:rPr>
          <w:rFonts w:eastAsiaTheme="minorEastAsia"/>
        </w:rPr>
        <w:t>participant</w:t>
      </w:r>
      <w:r w:rsidR="004F28D4">
        <w:rPr>
          <w:rFonts w:eastAsiaTheme="minorEastAsia"/>
        </w:rPr>
        <w:t>s, together with higher than anticipated</w:t>
      </w:r>
      <w:r w:rsidR="00EA7B64">
        <w:rPr>
          <w:rFonts w:eastAsiaTheme="minorEastAsia"/>
        </w:rPr>
        <w:t xml:space="preserve"> complexity</w:t>
      </w:r>
      <w:r w:rsidR="00544D2E" w:rsidRPr="000D119D">
        <w:rPr>
          <w:lang w:val="en-AU"/>
        </w:rPr>
        <w:t xml:space="preserve"> has posed a significant challenge for each </w:t>
      </w:r>
      <w:r w:rsidR="00324A2A">
        <w:rPr>
          <w:lang w:val="en-AU"/>
        </w:rPr>
        <w:t>h</w:t>
      </w:r>
      <w:r w:rsidR="00544D2E" w:rsidRPr="000D119D">
        <w:rPr>
          <w:lang w:val="en-AU"/>
        </w:rPr>
        <w:t xml:space="preserve">ub’s small </w:t>
      </w:r>
      <w:proofErr w:type="spellStart"/>
      <w:r w:rsidR="00544D2E" w:rsidRPr="000D2E9D">
        <w:rPr>
          <w:rStyle w:val="Emphasis"/>
        </w:rPr>
        <w:t>HeadtoHelp</w:t>
      </w:r>
      <w:proofErr w:type="spellEnd"/>
      <w:r w:rsidR="00544D2E" w:rsidRPr="000D119D">
        <w:rPr>
          <w:lang w:val="en-AU"/>
        </w:rPr>
        <w:t xml:space="preserve"> workforce and its ability to provide the right level of care and support tailored to each cohort. </w:t>
      </w:r>
    </w:p>
    <w:p w14:paraId="12F6CF0C" w14:textId="6A2A5F7E" w:rsidR="00544D2E" w:rsidRPr="000D119D" w:rsidRDefault="00EA7B64" w:rsidP="00A10E7A">
      <w:pPr>
        <w:rPr>
          <w:lang w:val="en-AU"/>
        </w:rPr>
      </w:pPr>
      <w:r w:rsidRPr="000D119D">
        <w:rPr>
          <w:lang w:val="en-AU"/>
        </w:rPr>
        <w:t>Key findings</w:t>
      </w:r>
      <w:r w:rsidR="00AD5453" w:rsidRPr="000D119D">
        <w:rPr>
          <w:lang w:val="en-AU"/>
        </w:rPr>
        <w:t xml:space="preserve"> from the </w:t>
      </w:r>
      <w:r w:rsidR="00B17F66" w:rsidRPr="000D119D">
        <w:rPr>
          <w:lang w:val="en-AU"/>
        </w:rPr>
        <w:t xml:space="preserve">service </w:t>
      </w:r>
      <w:r w:rsidR="00AD5453" w:rsidRPr="000D119D">
        <w:rPr>
          <w:lang w:val="en-AU"/>
        </w:rPr>
        <w:t>data</w:t>
      </w:r>
      <w:r w:rsidRPr="000D119D">
        <w:rPr>
          <w:lang w:val="en-AU"/>
        </w:rPr>
        <w:t xml:space="preserve"> include:</w:t>
      </w:r>
    </w:p>
    <w:p w14:paraId="47F3E924" w14:textId="290510D6" w:rsidR="004A3F9A" w:rsidRPr="000D119D" w:rsidRDefault="00B91A44" w:rsidP="006C2E61">
      <w:pPr>
        <w:pStyle w:val="ListBullet"/>
        <w:rPr>
          <w:rFonts w:eastAsiaTheme="minorEastAsia"/>
        </w:rPr>
      </w:pPr>
      <w:r w:rsidRPr="000D119D">
        <w:t xml:space="preserve">Service numbers were concentrated in the regional and remote PHNs </w:t>
      </w:r>
      <w:r w:rsidR="00EE237A" w:rsidRPr="000D119D">
        <w:t>–</w:t>
      </w:r>
      <w:r w:rsidRPr="000D119D">
        <w:t xml:space="preserve"> </w:t>
      </w:r>
      <w:r w:rsidR="004A3F9A" w:rsidRPr="000D119D">
        <w:t>Murray PHN (</w:t>
      </w:r>
      <w:r w:rsidR="00160D51" w:rsidRPr="000D119D">
        <w:t>MPHN</w:t>
      </w:r>
      <w:r w:rsidR="00160D51">
        <w:t xml:space="preserve">) </w:t>
      </w:r>
      <w:r w:rsidR="004A3F9A" w:rsidRPr="000D119D">
        <w:t>(23 per cent) and Gippsland PHN (</w:t>
      </w:r>
      <w:r w:rsidR="00160D51" w:rsidRPr="000D119D">
        <w:t>GPHN</w:t>
      </w:r>
      <w:r w:rsidR="00160D51">
        <w:t xml:space="preserve">) </w:t>
      </w:r>
      <w:r w:rsidR="004A3F9A" w:rsidRPr="000D119D">
        <w:t xml:space="preserve">(23 per cent) accounted for almost half of all </w:t>
      </w:r>
      <w:proofErr w:type="spellStart"/>
      <w:r w:rsidR="004A3F9A" w:rsidRPr="000D2E9D">
        <w:rPr>
          <w:rStyle w:val="Emphasis"/>
        </w:rPr>
        <w:t>HeadtoHelp</w:t>
      </w:r>
      <w:proofErr w:type="spellEnd"/>
      <w:r w:rsidR="004A3F9A" w:rsidRPr="000D119D">
        <w:t xml:space="preserve"> episodes</w:t>
      </w:r>
      <w:r w:rsidR="00EE237A" w:rsidRPr="000D119D">
        <w:t>.</w:t>
      </w:r>
    </w:p>
    <w:p w14:paraId="2432BC4A" w14:textId="3092880A" w:rsidR="00B91A44" w:rsidRPr="000D119D" w:rsidRDefault="00AD5453" w:rsidP="006C2E61">
      <w:pPr>
        <w:pStyle w:val="ListBullet"/>
      </w:pPr>
      <w:proofErr w:type="spellStart"/>
      <w:r w:rsidRPr="000D2E9D">
        <w:rPr>
          <w:rStyle w:val="Emphasis"/>
        </w:rPr>
        <w:t>HeadtoHelp</w:t>
      </w:r>
      <w:proofErr w:type="spellEnd"/>
      <w:r w:rsidRPr="000D119D">
        <w:t xml:space="preserve"> </w:t>
      </w:r>
      <w:r w:rsidR="00B91A44" w:rsidRPr="000D119D">
        <w:t xml:space="preserve">participants were typically female, </w:t>
      </w:r>
      <w:proofErr w:type="gramStart"/>
      <w:r w:rsidR="00B91A44" w:rsidRPr="000D119D">
        <w:t>English-speaking</w:t>
      </w:r>
      <w:proofErr w:type="gramEnd"/>
      <w:r w:rsidR="00B91A44" w:rsidRPr="000D119D">
        <w:t xml:space="preserve"> and aged over 25</w:t>
      </w:r>
      <w:r w:rsidR="00A42E80" w:rsidRPr="000D119D">
        <w:t xml:space="preserve">. While the proportion of </w:t>
      </w:r>
      <w:r w:rsidR="00A42E80">
        <w:t>client</w:t>
      </w:r>
      <w:r w:rsidR="00E40A42">
        <w:t>s</w:t>
      </w:r>
      <w:r w:rsidR="00A42E80" w:rsidRPr="000D119D">
        <w:t xml:space="preserve"> seen across each age group was broadly similar across PHNs, there were some notable exceptions</w:t>
      </w:r>
      <w:r w:rsidR="00544D2E" w:rsidRPr="000D119D">
        <w:t xml:space="preserve">: approximately a quarter of services in </w:t>
      </w:r>
      <w:r w:rsidR="00160D51" w:rsidRPr="000D119D">
        <w:t>GPHN</w:t>
      </w:r>
      <w:r w:rsidR="00544D2E" w:rsidRPr="000D119D">
        <w:t xml:space="preserve"> were delivered to under-18</w:t>
      </w:r>
      <w:r w:rsidR="00850DC2" w:rsidRPr="000D119D">
        <w:t xml:space="preserve">-year-old </w:t>
      </w:r>
      <w:r w:rsidR="00544D2E" w:rsidRPr="000D119D">
        <w:t>participants (26 per cent) relative to other PHN</w:t>
      </w:r>
      <w:r w:rsidR="00850DC2" w:rsidRPr="000D119D">
        <w:t>s</w:t>
      </w:r>
      <w:r w:rsidR="00544D2E" w:rsidRPr="000D119D">
        <w:t xml:space="preserve"> (range of </w:t>
      </w:r>
      <w:r w:rsidR="00850DC2" w:rsidRPr="000D119D">
        <w:t xml:space="preserve">nine to </w:t>
      </w:r>
      <w:r w:rsidR="00544D2E" w:rsidRPr="000D119D">
        <w:t xml:space="preserve">17 percent). </w:t>
      </w:r>
    </w:p>
    <w:p w14:paraId="551E0C19" w14:textId="4B145DD0" w:rsidR="00C15F95" w:rsidRPr="000D119D" w:rsidRDefault="00F7454D" w:rsidP="006C2E61">
      <w:pPr>
        <w:pStyle w:val="ListBullet"/>
      </w:pPr>
      <w:r w:rsidRPr="000D119D">
        <w:t xml:space="preserve">Level </w:t>
      </w:r>
      <w:r w:rsidR="00850DC2" w:rsidRPr="000D119D">
        <w:t>three</w:t>
      </w:r>
      <w:r w:rsidRPr="000D119D">
        <w:t xml:space="preserve"> </w:t>
      </w:r>
      <w:r w:rsidR="00C8794E" w:rsidRPr="00C8794E">
        <w:t xml:space="preserve">Initial Assessment and Referral </w:t>
      </w:r>
      <w:r w:rsidR="00C8794E">
        <w:t>(</w:t>
      </w:r>
      <w:r w:rsidRPr="000D119D">
        <w:t>IAR</w:t>
      </w:r>
      <w:r w:rsidR="00C8794E">
        <w:t>)</w:t>
      </w:r>
      <w:r w:rsidRPr="000D119D">
        <w:t xml:space="preserve"> ratings formed the bulk of ratings (ranging from 68 per cent to 81 per cent). There were also more level </w:t>
      </w:r>
      <w:r w:rsidR="00850DC2" w:rsidRPr="000D119D">
        <w:t>four</w:t>
      </w:r>
      <w:r w:rsidRPr="000D119D">
        <w:t xml:space="preserve"> and </w:t>
      </w:r>
      <w:r w:rsidR="00850DC2" w:rsidRPr="000D119D">
        <w:t>five</w:t>
      </w:r>
      <w:r w:rsidRPr="000D119D">
        <w:t xml:space="preserve"> ratings </w:t>
      </w:r>
      <w:r w:rsidR="00CF0BE9" w:rsidRPr="000D119D">
        <w:t>(15</w:t>
      </w:r>
      <w:r w:rsidR="00850DC2" w:rsidRPr="000D119D">
        <w:t xml:space="preserve"> per cent</w:t>
      </w:r>
      <w:r w:rsidR="00CF0BE9" w:rsidRPr="000D119D">
        <w:t xml:space="preserve">) </w:t>
      </w:r>
      <w:r w:rsidRPr="000D119D">
        <w:t xml:space="preserve">relative </w:t>
      </w:r>
      <w:r w:rsidRPr="000D119D">
        <w:lastRenderedPageBreak/>
        <w:t xml:space="preserve">to level </w:t>
      </w:r>
      <w:r w:rsidR="00850DC2" w:rsidRPr="000D119D">
        <w:t>one</w:t>
      </w:r>
      <w:r w:rsidRPr="000D119D">
        <w:t xml:space="preserve"> and </w:t>
      </w:r>
      <w:r w:rsidR="00850DC2" w:rsidRPr="000D119D">
        <w:t>two</w:t>
      </w:r>
      <w:r w:rsidRPr="000D119D">
        <w:t xml:space="preserve"> ratings</w:t>
      </w:r>
      <w:r w:rsidR="00CF0BE9" w:rsidRPr="000D119D">
        <w:t xml:space="preserve"> (10</w:t>
      </w:r>
      <w:r w:rsidR="00850DC2" w:rsidRPr="000D119D">
        <w:t xml:space="preserve"> per cent</w:t>
      </w:r>
      <w:r w:rsidR="00CF0BE9" w:rsidRPr="000D119D">
        <w:t>)</w:t>
      </w:r>
      <w:r w:rsidRPr="000D119D">
        <w:t xml:space="preserve"> across all PHNs</w:t>
      </w:r>
      <w:r w:rsidR="00850DC2" w:rsidRPr="000D119D">
        <w:t xml:space="preserve">. </w:t>
      </w:r>
      <w:r w:rsidR="00166761">
        <w:t>Measuring the severity of psychological distress, the m</w:t>
      </w:r>
      <w:r w:rsidR="00C268C5" w:rsidRPr="000D119D">
        <w:t xml:space="preserve">ean K10 scores </w:t>
      </w:r>
      <w:r w:rsidR="00787278">
        <w:t>of clients</w:t>
      </w:r>
      <w:r w:rsidR="006D261B">
        <w:t xml:space="preserve"> on entry into the service</w:t>
      </w:r>
      <w:r w:rsidR="00787278">
        <w:t xml:space="preserve"> </w:t>
      </w:r>
      <w:r w:rsidR="00C268C5" w:rsidRPr="000D119D">
        <w:t>ranged from 29.5 (</w:t>
      </w:r>
      <w:r w:rsidR="00160D51" w:rsidRPr="000D119D">
        <w:t>MPHN</w:t>
      </w:r>
      <w:r w:rsidR="00C268C5" w:rsidRPr="000D119D">
        <w:t>) to 33.4 (Western Victoria PHN</w:t>
      </w:r>
      <w:r w:rsidR="00160D51">
        <w:t xml:space="preserve"> (</w:t>
      </w:r>
      <w:r w:rsidR="00160D51" w:rsidRPr="000D119D">
        <w:t>WVPHN</w:t>
      </w:r>
      <w:r w:rsidR="00160D51">
        <w:t>)</w:t>
      </w:r>
      <w:r w:rsidR="00C268C5" w:rsidRPr="000D119D">
        <w:t xml:space="preserve">). Scores above 30 on the K10 indicate very high psychological distress, suggesting participants of </w:t>
      </w:r>
      <w:proofErr w:type="spellStart"/>
      <w:r w:rsidR="00C268C5" w:rsidRPr="000D2E9D">
        <w:rPr>
          <w:rStyle w:val="Emphasis"/>
        </w:rPr>
        <w:t>HeadtoHelp</w:t>
      </w:r>
      <w:proofErr w:type="spellEnd"/>
      <w:r w:rsidR="00C268C5" w:rsidRPr="000D119D">
        <w:t xml:space="preserve"> were, on average, severely unwell on entering the service. </w:t>
      </w:r>
    </w:p>
    <w:p w14:paraId="3986A54F" w14:textId="294BC9B0" w:rsidR="00D61170" w:rsidRPr="000D119D" w:rsidRDefault="00C15F95" w:rsidP="006C2E61">
      <w:pPr>
        <w:pStyle w:val="ListBullet"/>
      </w:pPr>
      <w:r w:rsidRPr="000D119D">
        <w:t xml:space="preserve">Participants and support people sought </w:t>
      </w:r>
      <w:proofErr w:type="spellStart"/>
      <w:r w:rsidRPr="000D2E9D">
        <w:rPr>
          <w:rStyle w:val="Emphasis"/>
        </w:rPr>
        <w:t>HeadtoHelp</w:t>
      </w:r>
      <w:proofErr w:type="spellEnd"/>
      <w:r w:rsidRPr="000D119D">
        <w:t xml:space="preserve"> services for a variety of reasons – with COVID</w:t>
      </w:r>
      <w:r w:rsidR="00850DC2" w:rsidRPr="000D119D">
        <w:t>-19</w:t>
      </w:r>
      <w:r w:rsidRPr="000D119D">
        <w:t xml:space="preserve"> a primary contributing factor</w:t>
      </w:r>
      <w:r w:rsidR="003B74EB" w:rsidRPr="000D119D">
        <w:t xml:space="preserve"> for around two </w:t>
      </w:r>
      <w:r w:rsidR="003B74EB">
        <w:t>third</w:t>
      </w:r>
      <w:r w:rsidR="007A27D8">
        <w:t>s</w:t>
      </w:r>
      <w:r w:rsidR="003B74EB" w:rsidRPr="000D119D">
        <w:t xml:space="preserve"> of </w:t>
      </w:r>
      <w:r w:rsidR="007C43A1">
        <w:t>participant</w:t>
      </w:r>
      <w:r w:rsidR="003B74EB" w:rsidRPr="000D119D">
        <w:t>s and support persons</w:t>
      </w:r>
      <w:r w:rsidR="00850DC2" w:rsidRPr="000D119D">
        <w:t>.</w:t>
      </w:r>
    </w:p>
    <w:p w14:paraId="6C384E2E" w14:textId="5B853137" w:rsidR="00E23648" w:rsidRPr="000D119D" w:rsidRDefault="00E23648" w:rsidP="006C2E61">
      <w:pPr>
        <w:pStyle w:val="ListBullet"/>
      </w:pPr>
      <w:r w:rsidRPr="000D119D">
        <w:t>Psychological therapy and clinical care co-ordination were the most common services delivered by hubs, with six in ten service contacts remote</w:t>
      </w:r>
      <w:r w:rsidR="0064609D">
        <w:t xml:space="preserve"> (</w:t>
      </w:r>
      <w:r w:rsidR="0064609D" w:rsidRPr="000D119D">
        <w:t>comprising telephone, video and internet-based)</w:t>
      </w:r>
      <w:r w:rsidRPr="000D119D">
        <w:t xml:space="preserve">. </w:t>
      </w:r>
      <w:r w:rsidR="00F900C3" w:rsidRPr="000D119D">
        <w:t xml:space="preserve">Interestingly, data from the </w:t>
      </w:r>
      <w:r w:rsidR="007C43A1">
        <w:t>participant</w:t>
      </w:r>
      <w:r w:rsidR="00F900C3" w:rsidRPr="000D119D">
        <w:t xml:space="preserve"> and support person interviews </w:t>
      </w:r>
      <w:r w:rsidR="007A27D8">
        <w:t xml:space="preserve">contradicted </w:t>
      </w:r>
      <w:r w:rsidR="00F900C3" w:rsidRPr="000D119D">
        <w:t xml:space="preserve">the view often held by service providers that clients overwhelmingly prefer </w:t>
      </w:r>
      <w:r w:rsidR="007A27D8">
        <w:t xml:space="preserve">services delivered </w:t>
      </w:r>
      <w:r w:rsidR="00F900C3" w:rsidRPr="000D119D">
        <w:t>face‐to‐face.</w:t>
      </w:r>
    </w:p>
    <w:p w14:paraId="6E4932EB" w14:textId="30572B71" w:rsidR="00B17F66" w:rsidRPr="000D119D" w:rsidRDefault="00B17F66" w:rsidP="006C2E61">
      <w:pPr>
        <w:pStyle w:val="ListBullet"/>
      </w:pPr>
      <w:r w:rsidRPr="000D119D">
        <w:t xml:space="preserve">Self and </w:t>
      </w:r>
      <w:r w:rsidR="00280C61" w:rsidRPr="00280C61">
        <w:t xml:space="preserve">General Practitioner </w:t>
      </w:r>
      <w:r w:rsidR="00280C61">
        <w:t>(</w:t>
      </w:r>
      <w:r w:rsidRPr="000D119D">
        <w:t>GP</w:t>
      </w:r>
      <w:r w:rsidR="00280C61">
        <w:t>)</w:t>
      </w:r>
      <w:r w:rsidRPr="000D119D">
        <w:t xml:space="preserve"> referrals are the most common pathway to </w:t>
      </w:r>
      <w:proofErr w:type="spellStart"/>
      <w:r w:rsidRPr="000D2E9D">
        <w:rPr>
          <w:rStyle w:val="Emphasis"/>
        </w:rPr>
        <w:t>HeadtoHelp</w:t>
      </w:r>
      <w:proofErr w:type="spellEnd"/>
      <w:r w:rsidR="0055064A">
        <w:rPr>
          <w:i/>
        </w:rPr>
        <w:t xml:space="preserve"> (although the</w:t>
      </w:r>
      <w:r w:rsidR="00667256">
        <w:rPr>
          <w:i/>
        </w:rPr>
        <w:t xml:space="preserve"> self-referrals are often prompted by GP advice and information</w:t>
      </w:r>
      <w:r w:rsidR="008A56D1">
        <w:rPr>
          <w:i/>
        </w:rPr>
        <w:t>)</w:t>
      </w:r>
      <w:r w:rsidR="00B94B36" w:rsidRPr="000D119D">
        <w:rPr>
          <w:i/>
          <w:iCs/>
        </w:rPr>
        <w:t>.</w:t>
      </w:r>
    </w:p>
    <w:p w14:paraId="378D01B2" w14:textId="6245CCFA" w:rsidR="00E56894" w:rsidRPr="000D119D" w:rsidRDefault="00E56894" w:rsidP="00837884">
      <w:pPr>
        <w:rPr>
          <w:lang w:val="en-AU"/>
        </w:rPr>
      </w:pPr>
      <w:r w:rsidRPr="000D119D">
        <w:rPr>
          <w:lang w:val="en-AU"/>
        </w:rPr>
        <w:t xml:space="preserve">Overall, there has been appropriate fidelity to the original </w:t>
      </w:r>
      <w:r w:rsidR="00103751">
        <w:rPr>
          <w:lang w:val="en-AU"/>
        </w:rPr>
        <w:t xml:space="preserve">service </w:t>
      </w:r>
      <w:r w:rsidRPr="000D119D">
        <w:rPr>
          <w:lang w:val="en-AU"/>
        </w:rPr>
        <w:t xml:space="preserve">model, although some areas of delivery have differed from what was anticipated – </w:t>
      </w:r>
      <w:proofErr w:type="gramStart"/>
      <w:r w:rsidRPr="000D119D">
        <w:rPr>
          <w:lang w:val="en-AU"/>
        </w:rPr>
        <w:t>in particular there</w:t>
      </w:r>
      <w:proofErr w:type="gramEnd"/>
      <w:r w:rsidRPr="000D119D">
        <w:rPr>
          <w:lang w:val="en-AU"/>
        </w:rPr>
        <w:t xml:space="preserve"> has been less use of warm referrals (both in and out of the hubs) than anticipated.</w:t>
      </w:r>
      <w:r w:rsidR="00BF6E04" w:rsidRPr="000D119D">
        <w:rPr>
          <w:lang w:val="en-AU"/>
        </w:rPr>
        <w:t xml:space="preserve"> </w:t>
      </w:r>
      <w:r w:rsidR="00F36A6B">
        <w:rPr>
          <w:lang w:val="en-AU"/>
        </w:rPr>
        <w:t>The</w:t>
      </w:r>
      <w:r w:rsidR="00BF6E04" w:rsidRPr="000D119D">
        <w:rPr>
          <w:lang w:val="en-AU"/>
        </w:rPr>
        <w:t xml:space="preserve"> average length of service is much longer than the model envisioned, where most participants </w:t>
      </w:r>
      <w:r w:rsidR="00103751">
        <w:rPr>
          <w:lang w:val="en-AU"/>
        </w:rPr>
        <w:t>entering</w:t>
      </w:r>
      <w:r w:rsidR="00BF6E04" w:rsidRPr="000D119D">
        <w:rPr>
          <w:lang w:val="en-AU"/>
        </w:rPr>
        <w:t xml:space="preserve"> the </w:t>
      </w:r>
      <w:r w:rsidR="00103751">
        <w:rPr>
          <w:lang w:val="en-AU"/>
        </w:rPr>
        <w:t xml:space="preserve">service </w:t>
      </w:r>
      <w:r w:rsidR="00BF6E04" w:rsidRPr="000D119D">
        <w:rPr>
          <w:lang w:val="en-AU"/>
        </w:rPr>
        <w:t>continue to be serviced by the hub. The quantitative evidence for this is mixed</w:t>
      </w:r>
      <w:r w:rsidR="000B41DF" w:rsidRPr="000D119D">
        <w:rPr>
          <w:lang w:val="en-AU"/>
        </w:rPr>
        <w:t xml:space="preserve">. Rural and regional PHNs tend to deliver shorter episodes of care, however length of episode care has increased over time. As referrals to </w:t>
      </w:r>
      <w:proofErr w:type="spellStart"/>
      <w:r w:rsidR="000B41DF" w:rsidRPr="000D2E9D">
        <w:rPr>
          <w:rStyle w:val="Emphasis"/>
        </w:rPr>
        <w:t>HeadtoHelp</w:t>
      </w:r>
      <w:proofErr w:type="spellEnd"/>
      <w:r w:rsidR="000B41DF" w:rsidRPr="000D119D">
        <w:rPr>
          <w:lang w:val="en-AU"/>
        </w:rPr>
        <w:t xml:space="preserve"> grow, there is a clear risk that it could become another oversubscribed service that is unavailable to community members when they need immediate, accessible, no cost support. </w:t>
      </w:r>
      <w:r w:rsidRPr="000D119D">
        <w:rPr>
          <w:lang w:val="en-AU"/>
        </w:rPr>
        <w:t>In addition, satellite hubs present a potential risk to model fidelity th</w:t>
      </w:r>
      <w:r w:rsidR="00B94B36" w:rsidRPr="000D119D">
        <w:rPr>
          <w:lang w:val="en-AU"/>
        </w:rPr>
        <w:t>r</w:t>
      </w:r>
      <w:r w:rsidRPr="000D119D">
        <w:rPr>
          <w:lang w:val="en-AU"/>
        </w:rPr>
        <w:t xml:space="preserve">ough challenges in ensuring a multi-disciplinary service approach and consistent experience for participants within the constraints of a very small staffing profile. </w:t>
      </w:r>
      <w:r w:rsidR="009D7D82" w:rsidRPr="000D119D">
        <w:rPr>
          <w:lang w:val="en-AU"/>
        </w:rPr>
        <w:t xml:space="preserve">While choice may not be able to be provided in all aspects of </w:t>
      </w:r>
      <w:r w:rsidR="00FF5056" w:rsidRPr="000D119D">
        <w:rPr>
          <w:lang w:val="en-AU"/>
        </w:rPr>
        <w:t>service provision</w:t>
      </w:r>
      <w:r w:rsidR="009D7D82" w:rsidRPr="000D119D">
        <w:rPr>
          <w:lang w:val="en-AU"/>
        </w:rPr>
        <w:t xml:space="preserve">, well‐funded and well‐staffed services will have greater propensity to provide </w:t>
      </w:r>
      <w:r w:rsidR="00D56B10">
        <w:rPr>
          <w:lang w:val="en-AU"/>
        </w:rPr>
        <w:t xml:space="preserve">the service and support </w:t>
      </w:r>
      <w:r w:rsidR="009D7D82" w:rsidRPr="000D119D">
        <w:rPr>
          <w:lang w:val="en-AU"/>
        </w:rPr>
        <w:t>options</w:t>
      </w:r>
      <w:r w:rsidR="00D56B10">
        <w:rPr>
          <w:lang w:val="en-AU"/>
        </w:rPr>
        <w:t xml:space="preserve"> participants require</w:t>
      </w:r>
      <w:r w:rsidR="009D7D82" w:rsidRPr="000D119D">
        <w:rPr>
          <w:lang w:val="en-AU"/>
        </w:rPr>
        <w:t>.</w:t>
      </w:r>
    </w:p>
    <w:p w14:paraId="04B0DA07" w14:textId="35910846" w:rsidR="004A1D14" w:rsidRDefault="00EE71B8" w:rsidP="00837884">
      <w:pPr>
        <w:rPr>
          <w:rFonts w:eastAsiaTheme="minorEastAsia"/>
        </w:rPr>
      </w:pPr>
      <w:r w:rsidRPr="000D119D">
        <w:rPr>
          <w:rFonts w:eastAsiaTheme="minorEastAsia"/>
          <w:lang w:val="en-AU"/>
        </w:rPr>
        <w:t>Other</w:t>
      </w:r>
      <w:r w:rsidR="00E56894" w:rsidRPr="000D119D">
        <w:rPr>
          <w:rFonts w:eastAsiaTheme="minorEastAsia"/>
          <w:lang w:val="en-AU"/>
        </w:rPr>
        <w:t xml:space="preserve"> implementation challenges have included service promotion and communication, both with communities and other service providers</w:t>
      </w:r>
      <w:r w:rsidR="00D56B10">
        <w:rPr>
          <w:rFonts w:eastAsiaTheme="minorEastAsia"/>
          <w:lang w:val="en-AU"/>
        </w:rPr>
        <w:t>,</w:t>
      </w:r>
      <w:r w:rsidR="00521683" w:rsidRPr="000D119D">
        <w:rPr>
          <w:rFonts w:eastAsiaTheme="minorEastAsia"/>
          <w:lang w:val="en-AU"/>
        </w:rPr>
        <w:t xml:space="preserve"> and</w:t>
      </w:r>
      <w:r w:rsidR="00E56894" w:rsidRPr="000D119D">
        <w:rPr>
          <w:rFonts w:eastAsiaTheme="minorEastAsia"/>
          <w:lang w:val="en-AU"/>
        </w:rPr>
        <w:t xml:space="preserve"> </w:t>
      </w:r>
      <w:r w:rsidR="00D56B10">
        <w:rPr>
          <w:rFonts w:eastAsiaTheme="minorEastAsia"/>
          <w:lang w:val="en-AU"/>
        </w:rPr>
        <w:t xml:space="preserve">the </w:t>
      </w:r>
      <w:r w:rsidR="00E56894" w:rsidRPr="000D119D">
        <w:rPr>
          <w:rFonts w:eastAsiaTheme="minorEastAsia"/>
          <w:lang w:val="en-AU"/>
        </w:rPr>
        <w:t>ability to attract and retain workforce</w:t>
      </w:r>
      <w:r w:rsidR="00521683" w:rsidRPr="000D119D">
        <w:rPr>
          <w:rFonts w:eastAsiaTheme="minorEastAsia"/>
          <w:lang w:val="en-AU"/>
        </w:rPr>
        <w:t xml:space="preserve">. </w:t>
      </w:r>
      <w:r w:rsidR="00BC1BE1" w:rsidRPr="000D119D">
        <w:rPr>
          <w:rFonts w:eastAsiaTheme="minorEastAsia"/>
          <w:lang w:val="en-AU"/>
        </w:rPr>
        <w:t>Specifically,</w:t>
      </w:r>
      <w:r w:rsidR="00E56894" w:rsidRPr="000D119D">
        <w:rPr>
          <w:rFonts w:eastAsiaTheme="minorEastAsia"/>
          <w:lang w:val="en-AU"/>
        </w:rPr>
        <w:t xml:space="preserve"> </w:t>
      </w:r>
      <w:r w:rsidR="00521683" w:rsidRPr="000D119D">
        <w:rPr>
          <w:rFonts w:eastAsiaTheme="minorEastAsia"/>
          <w:lang w:val="en-AU"/>
        </w:rPr>
        <w:t xml:space="preserve">sector-wide workforce competition coupled with </w:t>
      </w:r>
      <w:r w:rsidR="00D56B10">
        <w:rPr>
          <w:rFonts w:eastAsiaTheme="minorEastAsia"/>
          <w:lang w:val="en-AU"/>
        </w:rPr>
        <w:t xml:space="preserve">short-term contracts for service providers and </w:t>
      </w:r>
      <w:r w:rsidR="00521683" w:rsidRPr="000D119D">
        <w:rPr>
          <w:rFonts w:eastAsiaTheme="minorEastAsia"/>
          <w:lang w:val="en-AU"/>
        </w:rPr>
        <w:t xml:space="preserve">the </w:t>
      </w:r>
      <w:r w:rsidR="00D56B10">
        <w:rPr>
          <w:rFonts w:eastAsiaTheme="minorEastAsia"/>
          <w:lang w:val="en-AU"/>
        </w:rPr>
        <w:t xml:space="preserve">associated </w:t>
      </w:r>
      <w:r w:rsidR="00521683" w:rsidRPr="000D119D">
        <w:rPr>
          <w:rFonts w:eastAsiaTheme="minorEastAsia"/>
          <w:lang w:val="en-AU"/>
        </w:rPr>
        <w:t xml:space="preserve">prolonged uncertainty of </w:t>
      </w:r>
      <w:proofErr w:type="spellStart"/>
      <w:r w:rsidR="00521683" w:rsidRPr="000D2E9D">
        <w:rPr>
          <w:rStyle w:val="Emphasis"/>
        </w:rPr>
        <w:t>HeadtoHelp’s</w:t>
      </w:r>
      <w:proofErr w:type="spellEnd"/>
      <w:r w:rsidR="00521683" w:rsidRPr="000D119D">
        <w:rPr>
          <w:rFonts w:eastAsiaTheme="minorEastAsia"/>
          <w:lang w:val="en-AU"/>
        </w:rPr>
        <w:t xml:space="preserve"> future has made it extremely challenging </w:t>
      </w:r>
      <w:r w:rsidR="00917210">
        <w:rPr>
          <w:rFonts w:eastAsiaTheme="minorEastAsia"/>
          <w:lang w:val="en-AU"/>
        </w:rPr>
        <w:t>for service providers</w:t>
      </w:r>
      <w:r w:rsidR="00521683" w:rsidRPr="000D119D">
        <w:rPr>
          <w:rFonts w:eastAsiaTheme="minorEastAsia"/>
          <w:lang w:val="en-AU"/>
        </w:rPr>
        <w:t xml:space="preserve"> to recruit and retain staf</w:t>
      </w:r>
      <w:r w:rsidR="00BC1BE1" w:rsidRPr="000D119D">
        <w:rPr>
          <w:rFonts w:eastAsiaTheme="minorEastAsia"/>
          <w:lang w:val="en-AU"/>
        </w:rPr>
        <w:t>f</w:t>
      </w:r>
      <w:r w:rsidR="00FD738F">
        <w:rPr>
          <w:rFonts w:eastAsiaTheme="minorEastAsia"/>
          <w:lang w:val="en-AU"/>
        </w:rPr>
        <w:t>, which is important as participants value the consistency of relationships</w:t>
      </w:r>
      <w:r w:rsidR="00BC1BE1" w:rsidRPr="000D119D">
        <w:rPr>
          <w:rFonts w:eastAsiaTheme="minorEastAsia"/>
          <w:lang w:val="en-AU"/>
        </w:rPr>
        <w:t>.</w:t>
      </w:r>
      <w:r w:rsidR="00521683" w:rsidRPr="000D119D">
        <w:rPr>
          <w:rFonts w:eastAsiaTheme="minorEastAsia"/>
          <w:lang w:val="en-AU"/>
        </w:rPr>
        <w:t xml:space="preserve"> A</w:t>
      </w:r>
      <w:r w:rsidR="00E56894" w:rsidRPr="000D119D">
        <w:rPr>
          <w:rFonts w:eastAsiaTheme="minorEastAsia"/>
          <w:lang w:val="en-AU"/>
        </w:rPr>
        <w:t>dministrative burden</w:t>
      </w:r>
      <w:r w:rsidR="00B94B36" w:rsidRPr="000D119D">
        <w:rPr>
          <w:rFonts w:eastAsiaTheme="minorEastAsia"/>
          <w:lang w:val="en-AU"/>
        </w:rPr>
        <w:t>s</w:t>
      </w:r>
      <w:r w:rsidR="00E56894" w:rsidRPr="000D119D">
        <w:rPr>
          <w:rFonts w:eastAsiaTheme="minorEastAsia"/>
          <w:lang w:val="en-AU"/>
        </w:rPr>
        <w:t xml:space="preserve"> </w:t>
      </w:r>
      <w:r w:rsidR="00E56894" w:rsidRPr="00E56894">
        <w:rPr>
          <w:rFonts w:eastAsiaTheme="minorEastAsia"/>
        </w:rPr>
        <w:t>associated with data and reporting</w:t>
      </w:r>
      <w:r w:rsidR="00521683" w:rsidRPr="00E56894">
        <w:rPr>
          <w:rFonts w:eastAsiaTheme="minorEastAsia"/>
        </w:rPr>
        <w:t xml:space="preserve"> </w:t>
      </w:r>
      <w:r w:rsidR="00521683">
        <w:rPr>
          <w:rFonts w:eastAsiaTheme="minorEastAsia"/>
        </w:rPr>
        <w:t>has also been a key challenge</w:t>
      </w:r>
      <w:r w:rsidR="00E56894" w:rsidRPr="00E56894">
        <w:rPr>
          <w:rFonts w:eastAsiaTheme="minorEastAsia"/>
        </w:rPr>
        <w:t xml:space="preserve"> (though this </w:t>
      </w:r>
      <w:r w:rsidR="00917210">
        <w:rPr>
          <w:rFonts w:eastAsiaTheme="minorEastAsia"/>
        </w:rPr>
        <w:t>has</w:t>
      </w:r>
      <w:r w:rsidR="00E56894" w:rsidRPr="00E56894">
        <w:rPr>
          <w:rFonts w:eastAsiaTheme="minorEastAsia"/>
        </w:rPr>
        <w:t xml:space="preserve"> improved over time). </w:t>
      </w:r>
    </w:p>
    <w:p w14:paraId="3786D5B8" w14:textId="1F7EBD8C" w:rsidR="00E56894" w:rsidRPr="00E56894" w:rsidRDefault="00E56894" w:rsidP="00837884">
      <w:pPr>
        <w:rPr>
          <w:rFonts w:eastAsiaTheme="minorEastAsia"/>
        </w:rPr>
      </w:pPr>
      <w:r w:rsidRPr="000D119D">
        <w:rPr>
          <w:rFonts w:eastAsiaTheme="minorEastAsia"/>
          <w:lang w:val="en-AU"/>
        </w:rPr>
        <w:t>Th</w:t>
      </w:r>
      <w:r w:rsidR="004A1D14">
        <w:rPr>
          <w:rFonts w:eastAsiaTheme="minorEastAsia"/>
        </w:rPr>
        <w:t xml:space="preserve">ese challenges </w:t>
      </w:r>
      <w:r w:rsidRPr="00E56894">
        <w:rPr>
          <w:rFonts w:eastAsiaTheme="minorEastAsia"/>
        </w:rPr>
        <w:t xml:space="preserve">highlight the importance of clear responsibility and remit for service integration, contracts with flexibility and certainty, and the need to manage tension in reporting requirements, as well as build </w:t>
      </w:r>
      <w:r w:rsidR="00266AE3">
        <w:rPr>
          <w:rFonts w:eastAsiaTheme="minorEastAsia"/>
        </w:rPr>
        <w:t xml:space="preserve">the </w:t>
      </w:r>
      <w:r w:rsidRPr="00E56894">
        <w:rPr>
          <w:rFonts w:eastAsiaTheme="minorEastAsia"/>
        </w:rPr>
        <w:t>capability</w:t>
      </w:r>
      <w:r w:rsidR="00266AE3">
        <w:rPr>
          <w:rFonts w:eastAsiaTheme="minorEastAsia"/>
        </w:rPr>
        <w:t xml:space="preserve"> and capacity of the mental health workforce</w:t>
      </w:r>
      <w:r w:rsidRPr="00E56894">
        <w:rPr>
          <w:rFonts w:eastAsiaTheme="minorEastAsia"/>
        </w:rPr>
        <w:t>.</w:t>
      </w:r>
    </w:p>
    <w:p w14:paraId="5D6CA1F1" w14:textId="77777777" w:rsidR="0020090B" w:rsidRPr="006C2E61" w:rsidRDefault="0020090B" w:rsidP="006C2E61">
      <w:pPr>
        <w:rPr>
          <w:rStyle w:val="Strong"/>
        </w:rPr>
      </w:pPr>
      <w:r w:rsidRPr="006C2E61">
        <w:rPr>
          <w:rStyle w:val="Strong"/>
        </w:rPr>
        <w:t xml:space="preserve">Has the </w:t>
      </w:r>
      <w:proofErr w:type="spellStart"/>
      <w:r w:rsidRPr="006C2E61">
        <w:rPr>
          <w:rStyle w:val="Strong"/>
        </w:rPr>
        <w:t>HeadtoHelp</w:t>
      </w:r>
      <w:proofErr w:type="spellEnd"/>
      <w:r w:rsidRPr="006C2E61">
        <w:rPr>
          <w:rStyle w:val="Strong"/>
        </w:rPr>
        <w:t xml:space="preserve"> service implemented effective IAR intake practices? </w:t>
      </w:r>
    </w:p>
    <w:p w14:paraId="3F67582E" w14:textId="4B71879D" w:rsidR="0020090B" w:rsidRPr="000D119D" w:rsidRDefault="00E56894" w:rsidP="00837884">
      <w:pPr>
        <w:rPr>
          <w:lang w:val="en-AU" w:eastAsia="en-AU"/>
        </w:rPr>
      </w:pPr>
      <w:r w:rsidRPr="000D119D">
        <w:rPr>
          <w:lang w:val="en-AU" w:eastAsia="en-AU"/>
        </w:rPr>
        <w:t xml:space="preserve">The roll out of the IAR across </w:t>
      </w:r>
      <w:proofErr w:type="spellStart"/>
      <w:r w:rsidRPr="000D2E9D">
        <w:rPr>
          <w:rStyle w:val="Emphasis"/>
        </w:rPr>
        <w:t>HeadtoHelp</w:t>
      </w:r>
      <w:proofErr w:type="spellEnd"/>
      <w:r w:rsidRPr="000D119D">
        <w:rPr>
          <w:lang w:val="en-AU" w:eastAsia="en-AU"/>
        </w:rPr>
        <w:t xml:space="preserve"> was the first large-scale use of the tool, with largely positive feedback across all stakeholder groups. The IAR has the potential to become a national, standardised approach to conducting an initial intake process for participants of mental health services</w:t>
      </w:r>
      <w:r w:rsidR="0006690A">
        <w:rPr>
          <w:lang w:val="en-AU" w:eastAsia="en-AU"/>
        </w:rPr>
        <w:t xml:space="preserve"> </w:t>
      </w:r>
      <w:r w:rsidR="00390D09">
        <w:rPr>
          <w:lang w:val="en-AU" w:eastAsia="en-AU"/>
        </w:rPr>
        <w:t>(</w:t>
      </w:r>
      <w:r w:rsidR="0006690A">
        <w:rPr>
          <w:lang w:val="en-AU" w:eastAsia="en-AU"/>
        </w:rPr>
        <w:t xml:space="preserve">except </w:t>
      </w:r>
      <w:r w:rsidR="002A4E56">
        <w:rPr>
          <w:lang w:val="en-AU" w:eastAsia="en-AU"/>
        </w:rPr>
        <w:t xml:space="preserve">emergency department </w:t>
      </w:r>
      <w:r w:rsidR="009564A1">
        <w:rPr>
          <w:lang w:val="en-AU" w:eastAsia="en-AU"/>
        </w:rPr>
        <w:t xml:space="preserve">(ED) </w:t>
      </w:r>
      <w:r w:rsidR="002A4E56">
        <w:rPr>
          <w:lang w:val="en-AU" w:eastAsia="en-AU"/>
        </w:rPr>
        <w:t xml:space="preserve">presentations </w:t>
      </w:r>
      <w:r w:rsidR="0006690A">
        <w:rPr>
          <w:lang w:val="en-AU" w:eastAsia="en-AU"/>
        </w:rPr>
        <w:t>in circumstances of severe acute distress</w:t>
      </w:r>
      <w:r w:rsidR="002A4E56">
        <w:rPr>
          <w:lang w:val="en-AU" w:eastAsia="en-AU"/>
        </w:rPr>
        <w:t xml:space="preserve"> where </w:t>
      </w:r>
      <w:r w:rsidR="00672FB5">
        <w:rPr>
          <w:lang w:val="en-AU" w:eastAsia="en-AU"/>
        </w:rPr>
        <w:t xml:space="preserve">assessment </w:t>
      </w:r>
      <w:r w:rsidR="00DE3EBB">
        <w:rPr>
          <w:lang w:val="en-AU" w:eastAsia="en-AU"/>
        </w:rPr>
        <w:t xml:space="preserve">necessarily has a greater focus on risk and </w:t>
      </w:r>
      <w:r w:rsidR="003B5C03">
        <w:rPr>
          <w:lang w:val="en-AU" w:eastAsia="en-AU"/>
        </w:rPr>
        <w:t xml:space="preserve">timeframe required for </w:t>
      </w:r>
      <w:r w:rsidR="009C318B">
        <w:rPr>
          <w:lang w:val="en-AU" w:eastAsia="en-AU"/>
        </w:rPr>
        <w:t>stabilisation</w:t>
      </w:r>
      <w:r w:rsidR="008F652F">
        <w:rPr>
          <w:lang w:val="en-AU" w:eastAsia="en-AU"/>
        </w:rPr>
        <w:t xml:space="preserve"> and treatment</w:t>
      </w:r>
      <w:r w:rsidR="00390D09">
        <w:rPr>
          <w:lang w:val="en-AU" w:eastAsia="en-AU"/>
        </w:rPr>
        <w:t>)</w:t>
      </w:r>
      <w:r w:rsidRPr="00E56894">
        <w:rPr>
          <w:lang w:val="en-AU" w:eastAsia="en-AU"/>
        </w:rPr>
        <w:t>.</w:t>
      </w:r>
      <w:r w:rsidRPr="000D119D">
        <w:rPr>
          <w:lang w:val="en-AU" w:eastAsia="en-AU"/>
        </w:rPr>
        <w:t xml:space="preserve"> This has important implications for how participants enter and navigate/are referred through the system. There have been some limitations on the extent to which the IAR-DST has reduced ‘re-telling’ of participant stories</w:t>
      </w:r>
      <w:r w:rsidR="008F652F">
        <w:rPr>
          <w:lang w:val="en-AU" w:eastAsia="en-AU"/>
        </w:rPr>
        <w:t xml:space="preserve"> and opportunities remain to minimise this adverse experie</w:t>
      </w:r>
      <w:r w:rsidR="00B33610">
        <w:rPr>
          <w:lang w:val="en-AU" w:eastAsia="en-AU"/>
        </w:rPr>
        <w:t xml:space="preserve">nce for those seeking </w:t>
      </w:r>
      <w:r w:rsidR="00122FD4">
        <w:rPr>
          <w:lang w:val="en-AU" w:eastAsia="en-AU"/>
        </w:rPr>
        <w:t>treatment and support</w:t>
      </w:r>
      <w:r w:rsidR="00837884" w:rsidRPr="000D119D">
        <w:rPr>
          <w:lang w:val="en-AU" w:eastAsia="en-AU"/>
        </w:rPr>
        <w:t>.</w:t>
      </w:r>
    </w:p>
    <w:p w14:paraId="57C925A5" w14:textId="06489567" w:rsidR="0020090B" w:rsidRPr="004456C3" w:rsidRDefault="00272185" w:rsidP="00BE0860">
      <w:pPr>
        <w:pStyle w:val="Heading3"/>
      </w:pPr>
      <w:r w:rsidRPr="004456C3">
        <w:t xml:space="preserve">Outcomes </w:t>
      </w:r>
      <w:r w:rsidR="003B3272" w:rsidRPr="004456C3">
        <w:t>(Section 5)</w:t>
      </w:r>
    </w:p>
    <w:p w14:paraId="059F5FE5" w14:textId="77777777" w:rsidR="00272185" w:rsidRPr="006C2E61" w:rsidRDefault="00272185" w:rsidP="006C2E61">
      <w:pPr>
        <w:rPr>
          <w:rStyle w:val="Strong"/>
        </w:rPr>
      </w:pPr>
      <w:r w:rsidRPr="006C2E61">
        <w:rPr>
          <w:rStyle w:val="Strong"/>
        </w:rPr>
        <w:t>How effective is the program in achieving outcomes for Victorians?</w:t>
      </w:r>
    </w:p>
    <w:p w14:paraId="10B3DC41" w14:textId="74B7627C" w:rsidR="000B41DF" w:rsidRPr="000D119D" w:rsidRDefault="000B41DF" w:rsidP="00837884">
      <w:pPr>
        <w:rPr>
          <w:lang w:val="en-AU" w:eastAsia="en-AU"/>
        </w:rPr>
      </w:pPr>
      <w:r w:rsidRPr="000D119D">
        <w:rPr>
          <w:lang w:val="en-AU" w:eastAsia="en-AU"/>
        </w:rPr>
        <w:lastRenderedPageBreak/>
        <w:t xml:space="preserve">On average, participants experienced a statistically significant reduction in </w:t>
      </w:r>
      <w:r w:rsidR="00166761">
        <w:rPr>
          <w:lang w:val="en-AU" w:eastAsia="en-AU"/>
        </w:rPr>
        <w:t>psychological distress</w:t>
      </w:r>
      <w:r w:rsidR="009C00D6">
        <w:rPr>
          <w:lang w:val="en-AU" w:eastAsia="en-AU"/>
        </w:rPr>
        <w:t xml:space="preserve">, as measured by </w:t>
      </w:r>
      <w:r w:rsidRPr="000D119D">
        <w:rPr>
          <w:lang w:val="en-AU" w:eastAsia="en-AU"/>
        </w:rPr>
        <w:t>K10 scores</w:t>
      </w:r>
      <w:r w:rsidR="009C00D6">
        <w:rPr>
          <w:lang w:val="en-AU" w:eastAsia="en-AU"/>
        </w:rPr>
        <w:t>,</w:t>
      </w:r>
      <w:r w:rsidRPr="000D119D">
        <w:rPr>
          <w:lang w:val="en-AU" w:eastAsia="en-AU"/>
        </w:rPr>
        <w:t xml:space="preserve"> from the beginning of their engagement with </w:t>
      </w:r>
      <w:proofErr w:type="spellStart"/>
      <w:r w:rsidRPr="000D2E9D">
        <w:rPr>
          <w:rStyle w:val="Emphasis"/>
        </w:rPr>
        <w:t>HeadtoHelp</w:t>
      </w:r>
      <w:proofErr w:type="spellEnd"/>
      <w:r w:rsidRPr="000D119D">
        <w:rPr>
          <w:lang w:val="en-AU" w:eastAsia="en-AU"/>
        </w:rPr>
        <w:t xml:space="preserve"> to the end of service, which </w:t>
      </w:r>
      <w:r w:rsidR="00C959E3">
        <w:rPr>
          <w:lang w:val="en-AU" w:eastAsia="en-AU"/>
        </w:rPr>
        <w:t>indicates reduced</w:t>
      </w:r>
      <w:r w:rsidRPr="000D119D">
        <w:rPr>
          <w:lang w:val="en-AU" w:eastAsia="en-AU"/>
        </w:rPr>
        <w:t xml:space="preserve"> psychological distress. It is worth noting that the 10.5 reduction in scores only represents the average change and further analysis reveals that while 84</w:t>
      </w:r>
      <w:r w:rsidR="00520400" w:rsidRPr="000D119D">
        <w:rPr>
          <w:lang w:val="en-AU" w:eastAsia="en-AU"/>
        </w:rPr>
        <w:t xml:space="preserve"> per cent</w:t>
      </w:r>
      <w:r w:rsidRPr="000D119D">
        <w:rPr>
          <w:lang w:val="en-AU" w:eastAsia="en-AU"/>
        </w:rPr>
        <w:t xml:space="preserve"> of participants ultimately had a lower mean post-K10 score, 11 per cent of participants did not see a</w:t>
      </w:r>
      <w:r w:rsidR="00C959E3">
        <w:rPr>
          <w:lang w:val="en-AU" w:eastAsia="en-AU"/>
        </w:rPr>
        <w:t xml:space="preserve"> statistically significant</w:t>
      </w:r>
      <w:r w:rsidRPr="000D119D">
        <w:rPr>
          <w:lang w:val="en-AU" w:eastAsia="en-AU"/>
        </w:rPr>
        <w:t xml:space="preserve"> improvement and </w:t>
      </w:r>
      <w:r w:rsidR="006E457E" w:rsidRPr="000D119D">
        <w:rPr>
          <w:lang w:val="en-AU" w:eastAsia="en-AU"/>
        </w:rPr>
        <w:t>six</w:t>
      </w:r>
      <w:r w:rsidRPr="000D119D">
        <w:rPr>
          <w:lang w:val="en-AU" w:eastAsia="en-AU"/>
        </w:rPr>
        <w:t xml:space="preserve"> per cent had an increase in their post-K10 score. Similarly, </w:t>
      </w:r>
      <w:r w:rsidR="005A050A">
        <w:rPr>
          <w:lang w:val="en-AU" w:eastAsia="en-AU"/>
        </w:rPr>
        <w:t>based on K</w:t>
      </w:r>
      <w:r w:rsidR="00EA2113">
        <w:rPr>
          <w:lang w:val="en-AU" w:eastAsia="en-AU"/>
        </w:rPr>
        <w:t xml:space="preserve">essler </w:t>
      </w:r>
      <w:r w:rsidR="005A050A">
        <w:rPr>
          <w:lang w:val="en-AU" w:eastAsia="en-AU"/>
        </w:rPr>
        <w:t xml:space="preserve">5 </w:t>
      </w:r>
      <w:r w:rsidR="00E05421">
        <w:rPr>
          <w:lang w:val="en-AU" w:eastAsia="en-AU"/>
        </w:rPr>
        <w:t>assessment</w:t>
      </w:r>
      <w:r w:rsidR="00EA2113">
        <w:rPr>
          <w:lang w:val="en-AU" w:eastAsia="en-AU"/>
        </w:rPr>
        <w:t>s, an adapt</w:t>
      </w:r>
      <w:r w:rsidR="009D0179">
        <w:rPr>
          <w:lang w:val="en-AU" w:eastAsia="en-AU"/>
        </w:rPr>
        <w:t xml:space="preserve">ation of K10 </w:t>
      </w:r>
      <w:r w:rsidR="00795510">
        <w:rPr>
          <w:lang w:val="en-AU" w:eastAsia="en-AU"/>
        </w:rPr>
        <w:t xml:space="preserve">that </w:t>
      </w:r>
      <w:r w:rsidR="00B511B1" w:rsidRPr="000D119D">
        <w:rPr>
          <w:lang w:val="en-AU" w:eastAsia="en-AU"/>
        </w:rPr>
        <w:t>tends to be used with Aboriginal and/or Torres Strait Islanders</w:t>
      </w:r>
      <w:r w:rsidR="00B511B1">
        <w:rPr>
          <w:lang w:val="en-AU" w:eastAsia="en-AU"/>
        </w:rPr>
        <w:t>,</w:t>
      </w:r>
      <w:r w:rsidR="001615C8">
        <w:rPr>
          <w:lang w:val="en-AU" w:eastAsia="en-AU"/>
        </w:rPr>
        <w:t xml:space="preserve"> </w:t>
      </w:r>
      <w:r w:rsidRPr="000D119D">
        <w:rPr>
          <w:lang w:val="en-AU" w:eastAsia="en-AU"/>
        </w:rPr>
        <w:t xml:space="preserve">on average, participants experienced a statistically significant improvement in self-reported psychological distress. </w:t>
      </w:r>
    </w:p>
    <w:p w14:paraId="45EB69F7" w14:textId="67441E33" w:rsidR="009927D6" w:rsidRDefault="000B41DF" w:rsidP="00074556">
      <w:r w:rsidRPr="000D119D">
        <w:t xml:space="preserve">Demographic and service factors do not typically impact outcomes of participating in </w:t>
      </w:r>
      <w:proofErr w:type="spellStart"/>
      <w:r w:rsidRPr="000D2E9D">
        <w:rPr>
          <w:rStyle w:val="Emphasis"/>
        </w:rPr>
        <w:t>HeadtoHelp</w:t>
      </w:r>
      <w:proofErr w:type="spellEnd"/>
      <w:r w:rsidRPr="000D119D">
        <w:t xml:space="preserve">. </w:t>
      </w:r>
      <w:r w:rsidR="00E67472">
        <w:t>Of all factors considered</w:t>
      </w:r>
      <w:r w:rsidRPr="000D119D">
        <w:t xml:space="preserve">, </w:t>
      </w:r>
      <w:r w:rsidR="00B95407">
        <w:t xml:space="preserve">only three were </w:t>
      </w:r>
      <w:r w:rsidR="00B95407" w:rsidRPr="000D119D">
        <w:t>statistically significant at the 90 per cent significant level</w:t>
      </w:r>
      <w:r w:rsidR="00B95407">
        <w:t>:</w:t>
      </w:r>
      <w:r w:rsidR="00B95407" w:rsidRPr="000D119D">
        <w:t xml:space="preserve"> </w:t>
      </w:r>
      <w:r w:rsidRPr="000D119D">
        <w:t xml:space="preserve">the PHN where the </w:t>
      </w:r>
      <w:r w:rsidR="00064248" w:rsidRPr="00C42AAB">
        <w:t xml:space="preserve">service </w:t>
      </w:r>
      <w:r w:rsidRPr="000D119D">
        <w:t xml:space="preserve">episode took place, </w:t>
      </w:r>
      <w:proofErr w:type="spellStart"/>
      <w:r w:rsidRPr="000D119D">
        <w:t>Labour</w:t>
      </w:r>
      <w:proofErr w:type="spellEnd"/>
      <w:r w:rsidRPr="000D119D">
        <w:t xml:space="preserve"> force status (unemployed) and main service contact type (psychosocial</w:t>
      </w:r>
      <w:r w:rsidR="00537A79">
        <w:rPr>
          <w:rStyle w:val="FootnoteReference"/>
        </w:rPr>
        <w:footnoteReference w:id="2"/>
      </w:r>
      <w:r w:rsidRPr="000D119D">
        <w:t xml:space="preserve"> support)</w:t>
      </w:r>
      <w:r w:rsidR="00C42AAB">
        <w:t>:</w:t>
      </w:r>
      <w:r w:rsidRPr="00C42AAB">
        <w:t xml:space="preserve"> </w:t>
      </w:r>
    </w:p>
    <w:p w14:paraId="2072170C" w14:textId="25CD7DB9" w:rsidR="00B217F9" w:rsidRDefault="000B41DF" w:rsidP="006C2E61">
      <w:pPr>
        <w:pStyle w:val="ListBullet"/>
      </w:pPr>
      <w:r w:rsidRPr="009927D6">
        <w:t>While</w:t>
      </w:r>
      <w:r w:rsidRPr="000D119D">
        <w:t xml:space="preserve"> the relationship between PHNs and change in K10 scores varied among PHNs</w:t>
      </w:r>
      <w:r w:rsidR="00CA55FE" w:rsidRPr="000D119D">
        <w:t>,</w:t>
      </w:r>
      <w:r w:rsidRPr="000D119D">
        <w:t xml:space="preserve"> the model shows unambiguously that regardless of PHN, participants tended to have </w:t>
      </w:r>
      <w:r w:rsidR="00CD61F0" w:rsidRPr="00C42AAB">
        <w:t xml:space="preserve">statistically significant improvement in </w:t>
      </w:r>
      <w:r w:rsidRPr="000D119D">
        <w:t xml:space="preserve">outcomes through </w:t>
      </w:r>
      <w:proofErr w:type="spellStart"/>
      <w:r w:rsidRPr="000D2E9D">
        <w:rPr>
          <w:rStyle w:val="Emphasis"/>
        </w:rPr>
        <w:t>HeadtoHelp</w:t>
      </w:r>
      <w:proofErr w:type="spellEnd"/>
      <w:r w:rsidR="0016066B">
        <w:t xml:space="preserve"> (</w:t>
      </w:r>
      <w:r w:rsidR="0016066B" w:rsidRPr="000D119D">
        <w:t>mean difference in K10 scores from pre- to post-episode was 10.5 points</w:t>
      </w:r>
      <w:r w:rsidR="0016066B">
        <w:t>)</w:t>
      </w:r>
      <w:r w:rsidR="00F92785">
        <w:t>.</w:t>
      </w:r>
    </w:p>
    <w:p w14:paraId="5632BA51" w14:textId="661DB27A" w:rsidR="00E92F14" w:rsidRDefault="008E5D89" w:rsidP="006C2E61">
      <w:pPr>
        <w:pStyle w:val="ListBullet"/>
      </w:pPr>
      <w:r w:rsidRPr="009927D6">
        <w:t xml:space="preserve">For individuals identifying as unemployed, </w:t>
      </w:r>
      <w:r w:rsidR="0016066B" w:rsidRPr="009927D6">
        <w:t>while</w:t>
      </w:r>
      <w:r w:rsidR="00C93B4A" w:rsidRPr="009927D6">
        <w:t xml:space="preserve"> they still demonstrated an </w:t>
      </w:r>
      <w:r w:rsidR="00683A3E">
        <w:t xml:space="preserve">improvement </w:t>
      </w:r>
      <w:r w:rsidR="00C93B4A" w:rsidRPr="009927D6">
        <w:t xml:space="preserve">in K10 scores, </w:t>
      </w:r>
      <w:r w:rsidR="00CE295D" w:rsidRPr="009927D6">
        <w:t>this was a</w:t>
      </w:r>
      <w:r w:rsidR="00E95C54" w:rsidRPr="009927D6">
        <w:t xml:space="preserve"> </w:t>
      </w:r>
      <w:r w:rsidR="003E6293" w:rsidRPr="009927D6">
        <w:t>statistically significant</w:t>
      </w:r>
      <w:r w:rsidR="00733C87" w:rsidRPr="009927D6">
        <w:t xml:space="preserve"> lower improvement relative to those </w:t>
      </w:r>
      <w:r w:rsidR="00E92F14">
        <w:t>employed.</w:t>
      </w:r>
    </w:p>
    <w:p w14:paraId="4FE0A134" w14:textId="0EC54CE2" w:rsidR="000B41DF" w:rsidRPr="009927D6" w:rsidRDefault="00882F6E" w:rsidP="006C2E61">
      <w:pPr>
        <w:pStyle w:val="ListBullet"/>
      </w:pPr>
      <w:r w:rsidRPr="009927D6">
        <w:t xml:space="preserve">For individuals who had a main service contact type of psychosocial support, they </w:t>
      </w:r>
      <w:r w:rsidR="009927D6" w:rsidRPr="009927D6">
        <w:t xml:space="preserve">similarly experienced a statistically significant lower improvement </w:t>
      </w:r>
      <w:r w:rsidR="008E5D89" w:rsidRPr="009927D6">
        <w:t xml:space="preserve">relative to individuals </w:t>
      </w:r>
      <w:r w:rsidR="009927D6" w:rsidRPr="009927D6">
        <w:t xml:space="preserve">receiving other main service contact </w:t>
      </w:r>
      <w:r w:rsidR="009927D6" w:rsidRPr="00F043CE">
        <w:t>types</w:t>
      </w:r>
      <w:r w:rsidR="004D3A0E" w:rsidRPr="00F043CE">
        <w:t xml:space="preserve"> </w:t>
      </w:r>
      <w:r w:rsidR="00C63E43" w:rsidRPr="00F043CE">
        <w:t>(</w:t>
      </w:r>
      <w:r w:rsidR="004D3A0E" w:rsidRPr="00F043CE">
        <w:t>e.g.</w:t>
      </w:r>
      <w:r w:rsidR="00C63E43" w:rsidRPr="00F043CE">
        <w:t>,</w:t>
      </w:r>
      <w:r w:rsidR="004D3A0E" w:rsidRPr="00F043CE">
        <w:t xml:space="preserve"> clinical support, referrals to other services</w:t>
      </w:r>
      <w:r w:rsidR="00C63E43" w:rsidRPr="00F043CE">
        <w:t>)</w:t>
      </w:r>
      <w:r w:rsidR="008E5D89" w:rsidRPr="00F043CE">
        <w:t>.</w:t>
      </w:r>
      <w:r w:rsidR="00CA55FE" w:rsidRPr="00F043CE">
        <w:t xml:space="preserve"> </w:t>
      </w:r>
      <w:r w:rsidR="000B41DF" w:rsidRPr="00F043CE">
        <w:t>The</w:t>
      </w:r>
      <w:r w:rsidR="000B41DF" w:rsidRPr="009927D6">
        <w:t xml:space="preserve"> reasons behind this are unclear but may reflect specific service capabilities and connection to other intersecting service types. </w:t>
      </w:r>
    </w:p>
    <w:p w14:paraId="2DC6256B" w14:textId="25112E6A" w:rsidR="000B41DF" w:rsidRPr="000D119D" w:rsidRDefault="000B41DF" w:rsidP="00837884">
      <w:pPr>
        <w:rPr>
          <w:lang w:val="en-AU" w:eastAsia="en-AU"/>
        </w:rPr>
      </w:pPr>
      <w:r w:rsidRPr="000D119D">
        <w:rPr>
          <w:lang w:val="en-AU" w:eastAsia="en-AU"/>
        </w:rPr>
        <w:t xml:space="preserve">In addition to the quantitative metrics, this evaluation also considered the qualitative benefits of </w:t>
      </w:r>
      <w:proofErr w:type="spellStart"/>
      <w:r w:rsidRPr="000D2E9D">
        <w:rPr>
          <w:rStyle w:val="Emphasis"/>
        </w:rPr>
        <w:t>HeadtoHelp</w:t>
      </w:r>
      <w:proofErr w:type="spellEnd"/>
      <w:r w:rsidRPr="000D119D">
        <w:rPr>
          <w:lang w:val="en-AU" w:eastAsia="en-AU"/>
        </w:rPr>
        <w:t xml:space="preserve">. Interviews with </w:t>
      </w:r>
      <w:r w:rsidR="007C43A1">
        <w:rPr>
          <w:lang w:val="en-AU" w:eastAsia="en-AU"/>
        </w:rPr>
        <w:t>participant</w:t>
      </w:r>
      <w:r w:rsidRPr="000D119D">
        <w:rPr>
          <w:lang w:val="en-AU" w:eastAsia="en-AU"/>
        </w:rPr>
        <w:t xml:space="preserve">s and support people identified </w:t>
      </w:r>
      <w:proofErr w:type="gramStart"/>
      <w:r w:rsidRPr="000D119D">
        <w:rPr>
          <w:lang w:val="en-AU" w:eastAsia="en-AU"/>
        </w:rPr>
        <w:t>a number of</w:t>
      </w:r>
      <w:proofErr w:type="gramEnd"/>
      <w:r w:rsidRPr="000D119D">
        <w:rPr>
          <w:lang w:val="en-AU" w:eastAsia="en-AU"/>
        </w:rPr>
        <w:t xml:space="preserve"> benefits for</w:t>
      </w:r>
      <w:r w:rsidR="001363DF" w:rsidRPr="000D119D">
        <w:rPr>
          <w:lang w:val="en-AU" w:eastAsia="en-AU"/>
        </w:rPr>
        <w:t xml:space="preserve"> </w:t>
      </w:r>
      <w:r w:rsidRPr="000D119D">
        <w:rPr>
          <w:lang w:val="en-AU" w:eastAsia="en-AU"/>
        </w:rPr>
        <w:t xml:space="preserve">clients including </w:t>
      </w:r>
      <w:r w:rsidR="007C43A1">
        <w:rPr>
          <w:lang w:val="en-AU" w:eastAsia="en-AU"/>
        </w:rPr>
        <w:t>participant</w:t>
      </w:r>
      <w:r w:rsidRPr="000D119D">
        <w:rPr>
          <w:lang w:val="en-AU" w:eastAsia="en-AU"/>
        </w:rPr>
        <w:t>s being able to think differently,</w:t>
      </w:r>
      <w:r w:rsidR="009D2E0D" w:rsidRPr="000D119D">
        <w:rPr>
          <w:lang w:val="en-AU" w:eastAsia="en-AU"/>
        </w:rPr>
        <w:t xml:space="preserve"> for example</w:t>
      </w:r>
      <w:r w:rsidRPr="000D119D">
        <w:rPr>
          <w:lang w:val="en-AU" w:eastAsia="en-AU"/>
        </w:rPr>
        <w:t xml:space="preserve">, having a better understanding of their mental health situation and being better able to use the services that they need. </w:t>
      </w:r>
    </w:p>
    <w:p w14:paraId="1307C829" w14:textId="6BAAD980" w:rsidR="0020090B" w:rsidRPr="006C2E61" w:rsidRDefault="0020090B" w:rsidP="006C2E61">
      <w:pPr>
        <w:rPr>
          <w:rStyle w:val="Strong"/>
        </w:rPr>
      </w:pPr>
      <w:r w:rsidRPr="006C2E61">
        <w:rPr>
          <w:rStyle w:val="Strong"/>
        </w:rPr>
        <w:t xml:space="preserve">What has been and is the likely impact of the implementation of </w:t>
      </w:r>
      <w:proofErr w:type="spellStart"/>
      <w:r w:rsidRPr="006C2E61">
        <w:rPr>
          <w:rStyle w:val="Strong"/>
        </w:rPr>
        <w:t>HeadtoHelp</w:t>
      </w:r>
      <w:proofErr w:type="spellEnd"/>
      <w:r w:rsidRPr="006C2E61">
        <w:rPr>
          <w:rStyle w:val="Strong"/>
        </w:rPr>
        <w:t>?</w:t>
      </w:r>
    </w:p>
    <w:p w14:paraId="465D26E2" w14:textId="77777777" w:rsidR="00425180" w:rsidRPr="000D119D" w:rsidRDefault="00425180" w:rsidP="006C2E61">
      <w:pPr>
        <w:rPr>
          <w:lang w:val="en-AU"/>
        </w:rPr>
      </w:pPr>
      <w:proofErr w:type="gramStart"/>
      <w:r w:rsidRPr="000D119D">
        <w:rPr>
          <w:lang w:val="en-AU"/>
        </w:rPr>
        <w:t>The majority of</w:t>
      </w:r>
      <w:proofErr w:type="gramEnd"/>
      <w:r w:rsidRPr="000D119D">
        <w:rPr>
          <w:lang w:val="en-AU"/>
        </w:rPr>
        <w:t xml:space="preserve"> </w:t>
      </w:r>
      <w:r>
        <w:rPr>
          <w:lang w:val="en-AU"/>
        </w:rPr>
        <w:t>participant</w:t>
      </w:r>
      <w:r w:rsidRPr="000D119D">
        <w:rPr>
          <w:lang w:val="en-AU"/>
        </w:rPr>
        <w:t>s and support people were satisfied with the service they received. Factors determining high satisfaction included a client-centric system, staff competence</w:t>
      </w:r>
      <w:r>
        <w:rPr>
          <w:lang w:val="en-AU"/>
        </w:rPr>
        <w:t xml:space="preserve"> and personal qualities</w:t>
      </w:r>
      <w:r w:rsidRPr="000D119D">
        <w:rPr>
          <w:lang w:val="en-AU"/>
        </w:rPr>
        <w:t>, timeliness</w:t>
      </w:r>
      <w:r>
        <w:rPr>
          <w:lang w:val="en-AU"/>
        </w:rPr>
        <w:t>, cost, proactive communication and follow up, responsiveness to diversity,</w:t>
      </w:r>
      <w:r w:rsidRPr="000D119D">
        <w:rPr>
          <w:lang w:val="en-AU"/>
        </w:rPr>
        <w:t xml:space="preserve"> and the ease with which clients were able to access </w:t>
      </w:r>
      <w:proofErr w:type="spellStart"/>
      <w:r w:rsidRPr="000D2E9D">
        <w:rPr>
          <w:rStyle w:val="Emphasis"/>
        </w:rPr>
        <w:t>HeadtoHelp</w:t>
      </w:r>
      <w:proofErr w:type="spellEnd"/>
      <w:r w:rsidRPr="000D119D">
        <w:rPr>
          <w:lang w:val="en-AU"/>
        </w:rPr>
        <w:t xml:space="preserve">. </w:t>
      </w:r>
      <w:r>
        <w:rPr>
          <w:lang w:val="en-AU"/>
        </w:rPr>
        <w:t>The intake experience was usually positive but</w:t>
      </w:r>
      <w:r w:rsidRPr="000D119D">
        <w:rPr>
          <w:lang w:val="en-AU"/>
        </w:rPr>
        <w:t xml:space="preserve"> depended on the intake clinician</w:t>
      </w:r>
      <w:r>
        <w:rPr>
          <w:lang w:val="en-AU"/>
        </w:rPr>
        <w:t>.</w:t>
      </w:r>
      <w:r w:rsidRPr="000D119D">
        <w:rPr>
          <w:lang w:val="en-AU"/>
        </w:rPr>
        <w:t xml:space="preserve"> </w:t>
      </w:r>
      <w:r>
        <w:rPr>
          <w:lang w:val="en-AU"/>
        </w:rPr>
        <w:t>W</w:t>
      </w:r>
      <w:r w:rsidRPr="000D119D">
        <w:rPr>
          <w:lang w:val="en-AU"/>
        </w:rPr>
        <w:t xml:space="preserve">here clients indicated dissatisfaction with intake this was usually due to what they felt was a superficial intake conversation </w:t>
      </w:r>
      <w:r>
        <w:rPr>
          <w:lang w:val="en-AU"/>
        </w:rPr>
        <w:t>or</w:t>
      </w:r>
      <w:r w:rsidRPr="000D119D">
        <w:rPr>
          <w:lang w:val="en-AU"/>
        </w:rPr>
        <w:t xml:space="preserve"> an intake staff member who lacked experience</w:t>
      </w:r>
      <w:r>
        <w:rPr>
          <w:lang w:val="en-AU"/>
        </w:rPr>
        <w:t xml:space="preserve"> or the ability to build rapport</w:t>
      </w:r>
      <w:r w:rsidRPr="000D119D">
        <w:rPr>
          <w:lang w:val="en-AU"/>
        </w:rPr>
        <w:t>.</w:t>
      </w:r>
    </w:p>
    <w:p w14:paraId="7EA9771A" w14:textId="77777777" w:rsidR="00425180" w:rsidRPr="000D119D" w:rsidRDefault="00425180" w:rsidP="006C2E61">
      <w:pPr>
        <w:rPr>
          <w:lang w:val="en-AU"/>
        </w:rPr>
      </w:pPr>
      <w:r w:rsidRPr="000D119D">
        <w:rPr>
          <w:lang w:val="en-AU"/>
        </w:rPr>
        <w:t>There were slight differences in satisfaction depending on whether the client received a service at the hub or only a referral,</w:t>
      </w:r>
      <w:r>
        <w:rPr>
          <w:lang w:val="en-AU"/>
        </w:rPr>
        <w:t xml:space="preserve"> and qualitative data indicated that referrals were often seen as generic or inappropriate. </w:t>
      </w:r>
      <w:r w:rsidRPr="000D119D">
        <w:rPr>
          <w:lang w:val="en-AU"/>
        </w:rPr>
        <w:t xml:space="preserve"> </w:t>
      </w:r>
      <w:r>
        <w:rPr>
          <w:lang w:val="en-AU"/>
        </w:rPr>
        <w:t>There is evidence of</w:t>
      </w:r>
      <w:r w:rsidRPr="000D119D">
        <w:rPr>
          <w:lang w:val="en-AU"/>
        </w:rPr>
        <w:t xml:space="preserve"> differences in service experience ratings between PHNs.</w:t>
      </w:r>
    </w:p>
    <w:p w14:paraId="464B19D4" w14:textId="77777777" w:rsidR="00425180" w:rsidRPr="000D119D" w:rsidRDefault="00425180" w:rsidP="006C2E61">
      <w:pPr>
        <w:rPr>
          <w:lang w:val="en-AU" w:eastAsia="en-AU"/>
        </w:rPr>
      </w:pPr>
      <w:r w:rsidRPr="000D119D">
        <w:rPr>
          <w:lang w:val="en-AU"/>
        </w:rPr>
        <w:t xml:space="preserve">Interviews with both service partners and </w:t>
      </w:r>
      <w:r>
        <w:rPr>
          <w:lang w:val="en-AU"/>
        </w:rPr>
        <w:t>participant</w:t>
      </w:r>
      <w:r w:rsidRPr="000D119D">
        <w:rPr>
          <w:lang w:val="en-AU"/>
        </w:rPr>
        <w:t xml:space="preserve">s indicated that integration between </w:t>
      </w:r>
      <w:proofErr w:type="spellStart"/>
      <w:r w:rsidRPr="000D2E9D">
        <w:rPr>
          <w:rStyle w:val="Emphasis"/>
        </w:rPr>
        <w:t>HeadtoHelp</w:t>
      </w:r>
      <w:proofErr w:type="spellEnd"/>
      <w:r w:rsidRPr="000D119D">
        <w:rPr>
          <w:lang w:val="en-AU"/>
        </w:rPr>
        <w:t xml:space="preserve"> and other services could be improved, and the importance of this for achieving positive outcomes was emphasised by </w:t>
      </w:r>
      <w:r>
        <w:rPr>
          <w:lang w:val="en-AU"/>
        </w:rPr>
        <w:t>participant</w:t>
      </w:r>
      <w:r w:rsidRPr="000D119D">
        <w:rPr>
          <w:lang w:val="en-AU"/>
        </w:rPr>
        <w:t xml:space="preserve">s. Where service integration was achieved, some success factors included co-location and establishing genuine partnerships to build trust in </w:t>
      </w:r>
      <w:proofErr w:type="spellStart"/>
      <w:r w:rsidRPr="000D2E9D">
        <w:rPr>
          <w:rStyle w:val="Emphasis"/>
        </w:rPr>
        <w:t>HeadtoHelp</w:t>
      </w:r>
      <w:proofErr w:type="spellEnd"/>
      <w:r w:rsidRPr="000D119D">
        <w:rPr>
          <w:lang w:val="en-AU"/>
        </w:rPr>
        <w:t>.</w:t>
      </w:r>
    </w:p>
    <w:p w14:paraId="7970B50D" w14:textId="2FFAB4BA" w:rsidR="0020090B" w:rsidRPr="006C2E61" w:rsidRDefault="0020090B" w:rsidP="006C2E61">
      <w:pPr>
        <w:rPr>
          <w:rStyle w:val="Strong"/>
        </w:rPr>
      </w:pPr>
      <w:r w:rsidRPr="006C2E61">
        <w:rPr>
          <w:rStyle w:val="Strong"/>
        </w:rPr>
        <w:t>How efficient is the program?</w:t>
      </w:r>
    </w:p>
    <w:p w14:paraId="51DD7037" w14:textId="47DEDBFB" w:rsidR="008A7665" w:rsidRPr="000D119D" w:rsidRDefault="008A7665" w:rsidP="00837884">
      <w:pPr>
        <w:rPr>
          <w:lang w:val="en-AU" w:eastAsia="en-AU"/>
        </w:rPr>
      </w:pPr>
      <w:r w:rsidRPr="000D119D">
        <w:rPr>
          <w:lang w:val="en-AU" w:eastAsia="en-AU"/>
        </w:rPr>
        <w:lastRenderedPageBreak/>
        <w:t xml:space="preserve">Noting the limitations of the approach, analysis of costs per service contact and costs per episode of care indicate that while efficiencies are largely dependent on service volumes, some PHNs appear to be more cost efficient than others. </w:t>
      </w:r>
    </w:p>
    <w:p w14:paraId="3726CD24" w14:textId="77777777" w:rsidR="008A7665" w:rsidRPr="000D119D" w:rsidRDefault="008A7665" w:rsidP="00837884">
      <w:pPr>
        <w:rPr>
          <w:lang w:val="en-AU" w:eastAsia="en-AU"/>
        </w:rPr>
      </w:pPr>
      <w:r w:rsidRPr="000D119D">
        <w:rPr>
          <w:lang w:val="en-AU" w:eastAsia="en-AU"/>
        </w:rPr>
        <w:t xml:space="preserve">Comparison of overall </w:t>
      </w:r>
      <w:proofErr w:type="spellStart"/>
      <w:r w:rsidRPr="000D2E9D">
        <w:rPr>
          <w:rStyle w:val="Emphasis"/>
        </w:rPr>
        <w:t>HeadtoHelp</w:t>
      </w:r>
      <w:proofErr w:type="spellEnd"/>
      <w:r w:rsidRPr="000D119D">
        <w:rPr>
          <w:lang w:val="en-AU" w:eastAsia="en-AU"/>
        </w:rPr>
        <w:t xml:space="preserve"> efficiency with headspace costs per occasion of service indicates that despite differences in efficiencies between PHNs, </w:t>
      </w:r>
      <w:proofErr w:type="spellStart"/>
      <w:r w:rsidRPr="000D2E9D">
        <w:rPr>
          <w:rStyle w:val="Emphasis"/>
        </w:rPr>
        <w:t>HeadtoHelp</w:t>
      </w:r>
      <w:proofErr w:type="spellEnd"/>
      <w:r w:rsidRPr="000D119D">
        <w:rPr>
          <w:lang w:val="en-AU" w:eastAsia="en-AU"/>
        </w:rPr>
        <w:t xml:space="preserve"> is reasonably efficient across the board.</w:t>
      </w:r>
    </w:p>
    <w:p w14:paraId="719DAD3C" w14:textId="7ACBEDAA" w:rsidR="002C2FEC" w:rsidRDefault="008A7665" w:rsidP="008A5AD9">
      <w:pPr>
        <w:rPr>
          <w:lang w:val="en-AU" w:eastAsia="en-AU"/>
        </w:rPr>
      </w:pPr>
      <w:r w:rsidRPr="000D119D">
        <w:rPr>
          <w:lang w:val="en-AU" w:eastAsia="en-AU"/>
        </w:rPr>
        <w:t xml:space="preserve">The slow uptake in service provision is also likely to have impacted </w:t>
      </w:r>
      <w:r w:rsidR="003B7FFC">
        <w:rPr>
          <w:lang w:val="en-AU" w:eastAsia="en-AU"/>
        </w:rPr>
        <w:t xml:space="preserve">the </w:t>
      </w:r>
      <w:r w:rsidR="00AC2DB0">
        <w:rPr>
          <w:lang w:val="en-AU" w:eastAsia="en-AU"/>
        </w:rPr>
        <w:t xml:space="preserve">level of confidence in </w:t>
      </w:r>
      <w:r w:rsidRPr="000D119D">
        <w:rPr>
          <w:lang w:val="en-AU" w:eastAsia="en-AU"/>
        </w:rPr>
        <w:t>this efficiency analysis. Repeating this analysis with data and service activity from the final December 2021 to June 2022 extension, where funding was distributed based on actuals from the preceding year, would address this limitation and likely to be more reflective</w:t>
      </w:r>
      <w:r w:rsidR="00AC2DB0">
        <w:rPr>
          <w:lang w:val="en-AU" w:eastAsia="en-AU"/>
        </w:rPr>
        <w:t xml:space="preserve"> of </w:t>
      </w:r>
      <w:r w:rsidR="00336E6D">
        <w:rPr>
          <w:lang w:val="en-AU" w:eastAsia="en-AU"/>
        </w:rPr>
        <w:t xml:space="preserve">a </w:t>
      </w:r>
      <w:r w:rsidR="005D014F">
        <w:rPr>
          <w:lang w:val="en-AU" w:eastAsia="en-AU"/>
        </w:rPr>
        <w:t>‘stabilised’ service profile</w:t>
      </w:r>
      <w:r w:rsidRPr="000D119D">
        <w:rPr>
          <w:lang w:val="en-AU" w:eastAsia="en-AU"/>
        </w:rPr>
        <w:t>.</w:t>
      </w:r>
    </w:p>
    <w:p w14:paraId="41E6D51F" w14:textId="026CB012" w:rsidR="004456C3" w:rsidRPr="000D119D" w:rsidRDefault="006C2E61" w:rsidP="006C2E61">
      <w:pPr>
        <w:pStyle w:val="Heading2"/>
      </w:pPr>
      <w:r w:rsidRPr="006C2E61">
        <w:t>AMHC FINDINGS</w:t>
      </w:r>
    </w:p>
    <w:p w14:paraId="468F69BF" w14:textId="67BED6DE" w:rsidR="003B3272" w:rsidRPr="004456C3" w:rsidRDefault="003B3272" w:rsidP="00BE0860">
      <w:pPr>
        <w:pStyle w:val="Heading3"/>
      </w:pPr>
      <w:r w:rsidRPr="004456C3">
        <w:t>Establishment (Section 6)</w:t>
      </w:r>
    </w:p>
    <w:p w14:paraId="42FA4AE0" w14:textId="7875BC82" w:rsidR="00356E42" w:rsidRPr="006C2E61" w:rsidRDefault="003B3272" w:rsidP="006C2E61">
      <w:pPr>
        <w:rPr>
          <w:rStyle w:val="Strong"/>
        </w:rPr>
      </w:pPr>
      <w:r w:rsidRPr="006C2E61">
        <w:rPr>
          <w:rStyle w:val="Strong"/>
        </w:rPr>
        <w:t>How effective has the establishment of the program been to date and what we can learn from it?</w:t>
      </w:r>
    </w:p>
    <w:p w14:paraId="219D4B58" w14:textId="30458551" w:rsidR="003B3272" w:rsidRPr="000D119D" w:rsidRDefault="003B3272" w:rsidP="007047E8">
      <w:pPr>
        <w:rPr>
          <w:lang w:val="en-AU"/>
        </w:rPr>
      </w:pPr>
      <w:r w:rsidRPr="000D119D">
        <w:rPr>
          <w:lang w:val="en-AU"/>
        </w:rPr>
        <w:t xml:space="preserve">There </w:t>
      </w:r>
      <w:proofErr w:type="gramStart"/>
      <w:r w:rsidR="002576CA">
        <w:rPr>
          <w:lang w:val="en-AU"/>
        </w:rPr>
        <w:t>has</w:t>
      </w:r>
      <w:proofErr w:type="gramEnd"/>
      <w:r w:rsidR="002576CA" w:rsidRPr="000D119D">
        <w:rPr>
          <w:lang w:val="en-AU"/>
        </w:rPr>
        <w:t xml:space="preserve"> </w:t>
      </w:r>
      <w:r w:rsidRPr="000D119D">
        <w:rPr>
          <w:lang w:val="en-AU"/>
        </w:rPr>
        <w:t>been a thorough and robust commissioning process</w:t>
      </w:r>
      <w:r w:rsidR="00E20D8E">
        <w:rPr>
          <w:lang w:val="en-AU"/>
        </w:rPr>
        <w:t>es across the PHNs</w:t>
      </w:r>
      <w:r w:rsidRPr="000D119D">
        <w:rPr>
          <w:lang w:val="en-AU"/>
        </w:rPr>
        <w:t>, with appropriate levels of co-design and funding in place to support effective establishment. While PHNs generally found timelines appropriate, this did not necessarily extend to service providers, many of whom could not meet PHN expectations to open by December 202</w:t>
      </w:r>
      <w:r w:rsidR="00B046F4">
        <w:rPr>
          <w:lang w:val="en-AU"/>
        </w:rPr>
        <w:t>1</w:t>
      </w:r>
      <w:r w:rsidRPr="000D119D">
        <w:rPr>
          <w:lang w:val="en-AU"/>
        </w:rPr>
        <w:t>. Most major delays to establishment resulted from difficulty in securing the right physical location – recognising an appropriate space as a key feature of the AMHC model</w:t>
      </w:r>
      <w:r w:rsidR="00E20D8E">
        <w:rPr>
          <w:lang w:val="en-AU"/>
        </w:rPr>
        <w:t xml:space="preserve"> and element of </w:t>
      </w:r>
      <w:r w:rsidR="00B8026B">
        <w:rPr>
          <w:lang w:val="en-AU"/>
        </w:rPr>
        <w:t>co-design</w:t>
      </w:r>
      <w:r w:rsidRPr="000D119D">
        <w:rPr>
          <w:lang w:val="en-AU"/>
        </w:rPr>
        <w:t xml:space="preserve">. </w:t>
      </w:r>
    </w:p>
    <w:p w14:paraId="2A60297D" w14:textId="015B318B" w:rsidR="003B3272" w:rsidRPr="000D119D" w:rsidRDefault="003B3272" w:rsidP="007047E8">
      <w:pPr>
        <w:rPr>
          <w:lang w:val="en-AU"/>
        </w:rPr>
      </w:pPr>
      <w:r w:rsidRPr="000D119D">
        <w:rPr>
          <w:lang w:val="en-AU"/>
        </w:rPr>
        <w:t xml:space="preserve">Workforce recruitment throughout the establishment phase has been effectively managed, with innovative models being adapted for the </w:t>
      </w:r>
      <w:r w:rsidR="00B8026B">
        <w:rPr>
          <w:lang w:val="en-AU"/>
        </w:rPr>
        <w:t>establishment of</w:t>
      </w:r>
      <w:r w:rsidRPr="000D119D">
        <w:rPr>
          <w:lang w:val="en-AU"/>
        </w:rPr>
        <w:t xml:space="preserve"> peer workforce</w:t>
      </w:r>
      <w:r w:rsidR="00B8026B">
        <w:rPr>
          <w:lang w:val="en-AU"/>
        </w:rPr>
        <w:t>s across services</w:t>
      </w:r>
      <w:r w:rsidRPr="000D119D">
        <w:rPr>
          <w:lang w:val="en-AU"/>
        </w:rPr>
        <w:t xml:space="preserve">. AMHCs do however, remain concerned about </w:t>
      </w:r>
      <w:r w:rsidR="00A67684">
        <w:rPr>
          <w:lang w:val="en-AU"/>
        </w:rPr>
        <w:t xml:space="preserve">the </w:t>
      </w:r>
      <w:r w:rsidRPr="000D119D">
        <w:rPr>
          <w:lang w:val="en-AU"/>
        </w:rPr>
        <w:t xml:space="preserve">ability to manage future demand and system-level integration in a complex service and funding environment, particularly in Victoria. </w:t>
      </w:r>
    </w:p>
    <w:p w14:paraId="462474EE" w14:textId="5D65E606" w:rsidR="003B3272" w:rsidRPr="000D119D" w:rsidRDefault="003B3272" w:rsidP="007047E8">
      <w:pPr>
        <w:rPr>
          <w:lang w:val="en-AU"/>
        </w:rPr>
      </w:pPr>
      <w:r w:rsidRPr="000D119D">
        <w:rPr>
          <w:lang w:val="en-AU"/>
        </w:rPr>
        <w:t xml:space="preserve">There </w:t>
      </w:r>
      <w:r w:rsidR="00B8026B">
        <w:rPr>
          <w:lang w:val="en-AU"/>
        </w:rPr>
        <w:t>also</w:t>
      </w:r>
      <w:r w:rsidRPr="000D119D">
        <w:rPr>
          <w:lang w:val="en-AU"/>
        </w:rPr>
        <w:t xml:space="preserve"> remain</w:t>
      </w:r>
      <w:r w:rsidR="00626240">
        <w:rPr>
          <w:lang w:val="en-AU"/>
        </w:rPr>
        <w:t>s</w:t>
      </w:r>
      <w:r w:rsidRPr="000D119D">
        <w:rPr>
          <w:lang w:val="en-AU"/>
        </w:rPr>
        <w:t xml:space="preserve"> opportunities to improve collaboration as a complete ‘network’ of AMHCs.</w:t>
      </w:r>
    </w:p>
    <w:p w14:paraId="71A4238D" w14:textId="527DF34A" w:rsidR="00356E42" w:rsidRPr="006C2E61" w:rsidRDefault="003B3272" w:rsidP="006C2E61">
      <w:pPr>
        <w:rPr>
          <w:rStyle w:val="Strong"/>
        </w:rPr>
      </w:pPr>
      <w:r w:rsidRPr="006C2E61">
        <w:rPr>
          <w:rStyle w:val="Strong"/>
        </w:rPr>
        <w:t>How appropriate is the IAR intake process that has been developed?</w:t>
      </w:r>
    </w:p>
    <w:p w14:paraId="682A1856" w14:textId="2936537D" w:rsidR="003B3272" w:rsidRPr="000D119D" w:rsidRDefault="003B3272" w:rsidP="007047E8">
      <w:pPr>
        <w:rPr>
          <w:lang w:val="en-AU"/>
        </w:rPr>
      </w:pPr>
      <w:r w:rsidRPr="000D119D">
        <w:rPr>
          <w:lang w:val="en-AU" w:eastAsia="en-AU"/>
        </w:rPr>
        <w:t xml:space="preserve">The IAR-DST has been or will be adopted by all the AMHCs in some form, with some states having plans to adopt the </w:t>
      </w:r>
      <w:r w:rsidR="00626240">
        <w:rPr>
          <w:lang w:val="en-AU" w:eastAsia="en-AU"/>
        </w:rPr>
        <w:t>tool</w:t>
      </w:r>
      <w:r w:rsidR="00626240" w:rsidRPr="003B3272">
        <w:rPr>
          <w:lang w:val="en-AU" w:eastAsia="en-AU"/>
        </w:rPr>
        <w:t xml:space="preserve"> </w:t>
      </w:r>
      <w:r w:rsidRPr="000D119D">
        <w:rPr>
          <w:lang w:val="en-AU" w:eastAsia="en-AU"/>
        </w:rPr>
        <w:t xml:space="preserve">across state mental health services. Where IAR has already been implemented, for example in the pop-up </w:t>
      </w:r>
      <w:r w:rsidRPr="003B3272">
        <w:rPr>
          <w:lang w:val="en-AU" w:eastAsia="en-AU"/>
        </w:rPr>
        <w:t>clinic</w:t>
      </w:r>
      <w:r w:rsidR="008014FA">
        <w:rPr>
          <w:lang w:val="en-AU" w:eastAsia="en-AU"/>
        </w:rPr>
        <w:t>s</w:t>
      </w:r>
      <w:r w:rsidRPr="000D119D">
        <w:rPr>
          <w:lang w:val="en-AU" w:eastAsia="en-AU"/>
        </w:rPr>
        <w:t xml:space="preserve"> in NSW, it has received positive feedback. To improve the intake process and ensure consistency for clients, there needs to be further </w:t>
      </w:r>
      <w:r w:rsidR="00F53878">
        <w:rPr>
          <w:lang w:val="en-AU" w:eastAsia="en-AU"/>
        </w:rPr>
        <w:t xml:space="preserve">broadening of </w:t>
      </w:r>
      <w:r w:rsidRPr="000D119D">
        <w:rPr>
          <w:lang w:val="en-AU" w:eastAsia="en-AU"/>
        </w:rPr>
        <w:t xml:space="preserve">training in the use of the IAR, as well as consolidation of the intake pathways (phone lines and walk in processes) across AMHCs. The effectiveness of the IAR would increase significantly if supported by an up-to-date directory of services as this would improve the experience of clients </w:t>
      </w:r>
      <w:r w:rsidR="001B5012">
        <w:rPr>
          <w:lang w:val="en-AU" w:eastAsia="en-AU"/>
        </w:rPr>
        <w:t>and the AMHCs</w:t>
      </w:r>
      <w:r w:rsidRPr="003B3272">
        <w:rPr>
          <w:lang w:val="en-AU" w:eastAsia="en-AU"/>
        </w:rPr>
        <w:t xml:space="preserve"> </w:t>
      </w:r>
      <w:r w:rsidRPr="000D119D">
        <w:rPr>
          <w:lang w:val="en-AU" w:eastAsia="en-AU"/>
        </w:rPr>
        <w:t>attempting to navigate the mental health system.</w:t>
      </w:r>
    </w:p>
    <w:p w14:paraId="4E11EDF2" w14:textId="64598A2D" w:rsidR="003B3272" w:rsidRPr="006C2E61" w:rsidRDefault="003B3272" w:rsidP="000D2E9D">
      <w:pPr>
        <w:keepNext/>
        <w:rPr>
          <w:rStyle w:val="Strong"/>
        </w:rPr>
      </w:pPr>
      <w:r w:rsidRPr="006C2E61">
        <w:rPr>
          <w:rStyle w:val="Strong"/>
        </w:rPr>
        <w:t>How efficiently were AMHCs established?</w:t>
      </w:r>
    </w:p>
    <w:p w14:paraId="09857AC1" w14:textId="180A8822" w:rsidR="00871A81" w:rsidRPr="000D119D" w:rsidRDefault="00871A81" w:rsidP="007047E8">
      <w:pPr>
        <w:rPr>
          <w:lang w:val="en-AU"/>
        </w:rPr>
      </w:pPr>
      <w:r w:rsidRPr="000D119D">
        <w:rPr>
          <w:lang w:val="en-AU"/>
        </w:rPr>
        <w:t xml:space="preserve">Funds allocated for the establishment of AMHCs varied across states and territories at the discretion of </w:t>
      </w:r>
      <w:r w:rsidR="00641398">
        <w:rPr>
          <w:lang w:val="en-AU"/>
        </w:rPr>
        <w:t xml:space="preserve">the </w:t>
      </w:r>
      <w:r w:rsidR="003B4C10">
        <w:rPr>
          <w:lang w:val="en-AU"/>
        </w:rPr>
        <w:t>Government</w:t>
      </w:r>
      <w:r w:rsidRPr="000D119D">
        <w:rPr>
          <w:lang w:val="en-AU"/>
        </w:rPr>
        <w:t xml:space="preserve">, appearing to be made </w:t>
      </w:r>
      <w:proofErr w:type="gramStart"/>
      <w:r w:rsidRPr="000D119D">
        <w:rPr>
          <w:lang w:val="en-AU"/>
        </w:rPr>
        <w:t>on the basis of</w:t>
      </w:r>
      <w:proofErr w:type="gramEnd"/>
      <w:r w:rsidRPr="000D119D">
        <w:rPr>
          <w:lang w:val="en-AU"/>
        </w:rPr>
        <w:t xml:space="preserve"> population size</w:t>
      </w:r>
      <w:r w:rsidR="00E75CCE">
        <w:rPr>
          <w:lang w:val="en-AU"/>
        </w:rPr>
        <w:t xml:space="preserve"> (</w:t>
      </w:r>
      <w:r w:rsidR="00E75CCE">
        <w:t>$10.5 or $14</w:t>
      </w:r>
      <w:r w:rsidR="00F60BE7">
        <w:t xml:space="preserve"> </w:t>
      </w:r>
      <w:r w:rsidR="00E75CCE">
        <w:t>m</w:t>
      </w:r>
      <w:r w:rsidR="00F60BE7">
        <w:t>illion</w:t>
      </w:r>
      <w:r w:rsidR="00E75CCE">
        <w:t xml:space="preserve"> across </w:t>
      </w:r>
      <w:r w:rsidR="00F60BE7">
        <w:t>four</w:t>
      </w:r>
      <w:r w:rsidR="00E75CCE">
        <w:t xml:space="preserve"> years). All sites were allocated $1.74</w:t>
      </w:r>
      <w:r w:rsidR="00F60BE7">
        <w:t xml:space="preserve"> </w:t>
      </w:r>
      <w:r w:rsidR="00E75CCE">
        <w:t>m</w:t>
      </w:r>
      <w:r w:rsidR="00F60BE7">
        <w:t>illion</w:t>
      </w:r>
      <w:r w:rsidR="00E75CCE">
        <w:t xml:space="preserve"> in establishment costs. Of these establishment costs, </w:t>
      </w:r>
      <w:r w:rsidR="00065231">
        <w:t>the reported expenditure associated</w:t>
      </w:r>
      <w:r w:rsidR="00842620">
        <w:t xml:space="preserve"> </w:t>
      </w:r>
      <w:r w:rsidR="000C3A6F">
        <w:t xml:space="preserve">with </w:t>
      </w:r>
      <w:r w:rsidR="00842620" w:rsidRPr="000D119D">
        <w:rPr>
          <w:lang w:val="en-AU"/>
        </w:rPr>
        <w:t xml:space="preserve">making facilities fit-for-purpose was similar across AMHCs, ranging from $1 million to $1.5 million. Compared with other similar services commissioned, this appears reasonable. In general, PHNs found that establishment funding for the AMHCs was adequate to meet these and other establishment </w:t>
      </w:r>
      <w:r w:rsidR="001B5012">
        <w:rPr>
          <w:lang w:val="en-AU"/>
        </w:rPr>
        <w:t xml:space="preserve">and operating </w:t>
      </w:r>
      <w:r w:rsidR="00842620" w:rsidRPr="000D119D">
        <w:rPr>
          <w:lang w:val="en-AU"/>
        </w:rPr>
        <w:t>costs such as staffing.</w:t>
      </w:r>
    </w:p>
    <w:p w14:paraId="08786966" w14:textId="1DB2ECD1" w:rsidR="00871A81" w:rsidRPr="000D119D" w:rsidRDefault="00871A81" w:rsidP="007047E8">
      <w:pPr>
        <w:rPr>
          <w:lang w:val="en-AU"/>
        </w:rPr>
      </w:pPr>
      <w:r w:rsidRPr="000D119D">
        <w:rPr>
          <w:lang w:val="en-AU"/>
        </w:rPr>
        <w:t xml:space="preserve">Interviews with AMHC service providers and managers in the early stages of operation have revealed some inefficiencies, partly due to delayed information flow between </w:t>
      </w:r>
      <w:r w:rsidR="00641398">
        <w:rPr>
          <w:lang w:val="en-AU"/>
        </w:rPr>
        <w:t>the Department</w:t>
      </w:r>
      <w:r w:rsidRPr="000D119D">
        <w:rPr>
          <w:lang w:val="en-AU"/>
        </w:rPr>
        <w:t xml:space="preserve"> and service providers</w:t>
      </w:r>
      <w:r w:rsidRPr="567956DF">
        <w:rPr>
          <w:lang w:val="en-AU"/>
        </w:rPr>
        <w:t>, usually due to indirect communications through PHNs.</w:t>
      </w:r>
      <w:r w:rsidRPr="000D119D">
        <w:rPr>
          <w:lang w:val="en-AU"/>
        </w:rPr>
        <w:t xml:space="preserve"> Slow </w:t>
      </w:r>
      <w:r w:rsidR="001B5012">
        <w:rPr>
          <w:lang w:val="en-AU"/>
        </w:rPr>
        <w:t xml:space="preserve">growth in </w:t>
      </w:r>
      <w:r w:rsidRPr="000D119D">
        <w:rPr>
          <w:lang w:val="en-AU"/>
        </w:rPr>
        <w:t xml:space="preserve">intake numbers </w:t>
      </w:r>
      <w:r w:rsidR="001B5012">
        <w:rPr>
          <w:lang w:val="en-AU"/>
        </w:rPr>
        <w:t>during</w:t>
      </w:r>
      <w:r w:rsidR="00FF580F">
        <w:rPr>
          <w:lang w:val="en-AU"/>
        </w:rPr>
        <w:t xml:space="preserve"> service establishment and </w:t>
      </w:r>
      <w:r w:rsidR="00A44D7E">
        <w:rPr>
          <w:lang w:val="en-AU"/>
        </w:rPr>
        <w:t>maturing</w:t>
      </w:r>
      <w:r w:rsidRPr="000D119D">
        <w:rPr>
          <w:lang w:val="en-AU"/>
        </w:rPr>
        <w:t xml:space="preserve"> also limit efficiency, however many AMHCs have </w:t>
      </w:r>
      <w:r w:rsidRPr="000D119D">
        <w:rPr>
          <w:lang w:val="en-AU"/>
        </w:rPr>
        <w:lastRenderedPageBreak/>
        <w:t>developed strategies to mitigate this</w:t>
      </w:r>
      <w:r w:rsidR="00C12CD2">
        <w:rPr>
          <w:lang w:val="en-AU"/>
        </w:rPr>
        <w:t xml:space="preserve">. </w:t>
      </w:r>
      <w:r w:rsidR="00AF749C">
        <w:rPr>
          <w:lang w:val="en-AU"/>
        </w:rPr>
        <w:t xml:space="preserve">Efficiency is expected to improve and stabilise as </w:t>
      </w:r>
      <w:r w:rsidRPr="000D119D">
        <w:rPr>
          <w:lang w:val="en-AU"/>
        </w:rPr>
        <w:t>service</w:t>
      </w:r>
      <w:r w:rsidR="00AF749C">
        <w:rPr>
          <w:lang w:val="en-AU"/>
        </w:rPr>
        <w:t>s</w:t>
      </w:r>
      <w:r w:rsidRPr="000D119D">
        <w:rPr>
          <w:lang w:val="en-AU"/>
        </w:rPr>
        <w:t xml:space="preserve"> become more embedded in the community and intake numbers increase</w:t>
      </w:r>
      <w:r w:rsidR="00C12CD2">
        <w:rPr>
          <w:lang w:val="en-AU"/>
        </w:rPr>
        <w:t xml:space="preserve"> to </w:t>
      </w:r>
      <w:r w:rsidR="00AF749C">
        <w:rPr>
          <w:lang w:val="en-AU"/>
        </w:rPr>
        <w:t>full operating capacity</w:t>
      </w:r>
      <w:r w:rsidRPr="000D119D">
        <w:rPr>
          <w:lang w:val="en-AU"/>
        </w:rPr>
        <w:t>.</w:t>
      </w:r>
    </w:p>
    <w:p w14:paraId="2402E6CB" w14:textId="580C0813" w:rsidR="00DC0533" w:rsidRPr="000D119D" w:rsidRDefault="00DC0533" w:rsidP="007047E8">
      <w:pPr>
        <w:rPr>
          <w:lang w:val="en-AU"/>
        </w:rPr>
      </w:pPr>
      <w:r w:rsidRPr="000D119D">
        <w:rPr>
          <w:lang w:val="en-AU"/>
        </w:rPr>
        <w:t xml:space="preserve">It is too early in the roll-out of AMHCs to draw any definitive findings on efficiency. For those services that have commenced operations, initial activity data from December 2021 and January 2022 is both incomplete and inconsistent across </w:t>
      </w:r>
      <w:r w:rsidR="000D119D" w:rsidRPr="000D119D">
        <w:rPr>
          <w:lang w:val="en-AU"/>
        </w:rPr>
        <w:t>centres and</w:t>
      </w:r>
      <w:r w:rsidRPr="000D119D">
        <w:rPr>
          <w:lang w:val="en-AU"/>
        </w:rPr>
        <w:t xml:space="preserve"> is of a too small sample size to draw meaningful conclusions. </w:t>
      </w:r>
    </w:p>
    <w:p w14:paraId="1A114434" w14:textId="1DC22BF7" w:rsidR="006C2BDA" w:rsidRPr="006C2E61" w:rsidRDefault="006C2BDA" w:rsidP="006C2E61">
      <w:pPr>
        <w:pStyle w:val="Recommendations"/>
      </w:pPr>
      <w:r w:rsidRPr="006C2E61">
        <w:t>Recommendations</w:t>
      </w:r>
    </w:p>
    <w:p w14:paraId="0551B44D" w14:textId="35802606" w:rsidR="006C2BDA" w:rsidRPr="000D119D" w:rsidRDefault="006C2BDA" w:rsidP="006C2BDA">
      <w:pPr>
        <w:rPr>
          <w:lang w:val="en-AU" w:eastAsia="en-AU"/>
        </w:rPr>
      </w:pPr>
      <w:r w:rsidRPr="000D119D">
        <w:rPr>
          <w:lang w:val="en-AU" w:eastAsia="en-AU"/>
        </w:rPr>
        <w:t xml:space="preserve">This </w:t>
      </w:r>
      <w:r>
        <w:rPr>
          <w:lang w:val="en-AU" w:eastAsia="en-AU"/>
        </w:rPr>
        <w:t>r</w:t>
      </w:r>
      <w:r w:rsidRPr="000D119D">
        <w:rPr>
          <w:lang w:val="en-AU" w:eastAsia="en-AU"/>
        </w:rPr>
        <w:t xml:space="preserve">eport seeks to assist </w:t>
      </w:r>
      <w:r w:rsidR="00641398">
        <w:rPr>
          <w:lang w:val="en-AU" w:eastAsia="en-AU"/>
        </w:rPr>
        <w:t>the Department</w:t>
      </w:r>
      <w:r w:rsidRPr="000D119D">
        <w:rPr>
          <w:lang w:val="en-AU" w:eastAsia="en-AU"/>
        </w:rPr>
        <w:t xml:space="preserve"> to make decisions</w:t>
      </w:r>
      <w:r w:rsidRPr="000D119D" w:rsidDel="00052EA3">
        <w:rPr>
          <w:lang w:val="en-AU" w:eastAsia="en-AU"/>
        </w:rPr>
        <w:t xml:space="preserve">, </w:t>
      </w:r>
      <w:r w:rsidRPr="000D119D">
        <w:rPr>
          <w:lang w:val="en-AU" w:eastAsia="en-AU"/>
        </w:rPr>
        <w:t xml:space="preserve">including about the use of the IAR-DST, transitions for the Victorian </w:t>
      </w:r>
      <w:proofErr w:type="spellStart"/>
      <w:r w:rsidRPr="000D2E9D">
        <w:rPr>
          <w:rStyle w:val="Emphasis"/>
        </w:rPr>
        <w:t>HeadtoHelp</w:t>
      </w:r>
      <w:proofErr w:type="spellEnd"/>
      <w:r w:rsidRPr="000D119D">
        <w:rPr>
          <w:lang w:val="en-AU" w:eastAsia="en-AU"/>
        </w:rPr>
        <w:t xml:space="preserve"> service as well as the current and future roll-out of AMHCs across Australia. At a broader system level, this evaluation seeks to support policy decisions in relation to better integration of services and addressing service gaps, which are relevant to </w:t>
      </w:r>
      <w:r w:rsidR="00641398">
        <w:rPr>
          <w:lang w:val="en-AU" w:eastAsia="en-AU"/>
        </w:rPr>
        <w:t xml:space="preserve">the </w:t>
      </w:r>
      <w:r w:rsidR="00085339">
        <w:rPr>
          <w:lang w:val="en-AU" w:eastAsia="en-AU"/>
        </w:rPr>
        <w:t>Australian Government</w:t>
      </w:r>
      <w:r w:rsidR="00085339" w:rsidRPr="000D119D">
        <w:rPr>
          <w:lang w:val="en-AU" w:eastAsia="en-AU"/>
        </w:rPr>
        <w:t xml:space="preserve"> </w:t>
      </w:r>
      <w:r w:rsidRPr="000D119D">
        <w:rPr>
          <w:lang w:val="en-AU" w:eastAsia="en-AU"/>
        </w:rPr>
        <w:t xml:space="preserve">and state governments’ </w:t>
      </w:r>
      <w:r w:rsidR="009240E9">
        <w:rPr>
          <w:lang w:val="en-AU" w:eastAsia="en-AU"/>
        </w:rPr>
        <w:t>National Mental Health and Suicide Prevention Agreement</w:t>
      </w:r>
      <w:r w:rsidRPr="000D119D">
        <w:rPr>
          <w:lang w:val="en-AU" w:eastAsia="en-AU"/>
        </w:rPr>
        <w:t>.</w:t>
      </w:r>
    </w:p>
    <w:p w14:paraId="0D3B3D32" w14:textId="133C4062" w:rsidR="006C2BDA" w:rsidRPr="00CA394A" w:rsidRDefault="006C2BDA" w:rsidP="00CA394A">
      <w:pPr>
        <w:rPr>
          <w:lang w:val="en-AU" w:eastAsia="en-AU"/>
        </w:rPr>
      </w:pPr>
      <w:r w:rsidRPr="000D119D">
        <w:rPr>
          <w:lang w:val="en-AU" w:eastAsia="en-AU"/>
        </w:rPr>
        <w:t xml:space="preserve">A summary of the </w:t>
      </w:r>
      <w:r>
        <w:rPr>
          <w:lang w:val="en-AU" w:eastAsia="en-AU"/>
        </w:rPr>
        <w:t>r</w:t>
      </w:r>
      <w:r w:rsidRPr="000D119D">
        <w:rPr>
          <w:lang w:val="en-AU" w:eastAsia="en-AU"/>
        </w:rPr>
        <w:t>ecommendations in this report is outlined below.</w:t>
      </w:r>
      <w:r w:rsidR="00420444">
        <w:rPr>
          <w:lang w:val="en-AU" w:eastAsia="en-AU"/>
        </w:rPr>
        <w:t xml:space="preserve"> Further detail on each is included in Section </w:t>
      </w:r>
      <w:r w:rsidR="00420444">
        <w:rPr>
          <w:lang w:val="en-AU" w:eastAsia="en-AU"/>
        </w:rPr>
        <w:fldChar w:fldCharType="begin"/>
      </w:r>
      <w:r w:rsidR="00420444">
        <w:rPr>
          <w:lang w:val="en-AU" w:eastAsia="en-AU"/>
        </w:rPr>
        <w:instrText xml:space="preserve"> REF _Ref97096590 \r \h </w:instrText>
      </w:r>
      <w:r w:rsidR="00420444">
        <w:rPr>
          <w:lang w:val="en-AU" w:eastAsia="en-AU"/>
        </w:rPr>
      </w:r>
      <w:r w:rsidR="00420444">
        <w:rPr>
          <w:lang w:val="en-AU" w:eastAsia="en-AU"/>
        </w:rPr>
        <w:fldChar w:fldCharType="separate"/>
      </w:r>
      <w:r w:rsidR="00562174">
        <w:rPr>
          <w:lang w:val="en-AU" w:eastAsia="en-AU"/>
        </w:rPr>
        <w:t>7</w:t>
      </w:r>
      <w:r w:rsidR="00420444">
        <w:rPr>
          <w:lang w:val="en-AU" w:eastAsia="en-AU"/>
        </w:rPr>
        <w:fldChar w:fldCharType="end"/>
      </w:r>
      <w:r w:rsidR="00420444">
        <w:rPr>
          <w:lang w:val="en-AU" w:eastAsia="en-AU"/>
        </w:rPr>
        <w:t xml:space="preserve"> in this </w:t>
      </w:r>
      <w:r w:rsidR="00AB775E">
        <w:rPr>
          <w:lang w:val="en-AU" w:eastAsia="en-AU"/>
        </w:rPr>
        <w:t>r</w:t>
      </w:r>
      <w:r w:rsidR="00E8749A">
        <w:rPr>
          <w:lang w:val="en-AU" w:eastAsia="en-AU"/>
        </w:rPr>
        <w:t>eport.</w:t>
      </w:r>
    </w:p>
    <w:p w14:paraId="1A860F79" w14:textId="5522AB65" w:rsidR="00C44652" w:rsidRPr="000D119D" w:rsidRDefault="00C44652" w:rsidP="00C44652">
      <w:pPr>
        <w:pStyle w:val="Caption"/>
      </w:pPr>
      <w:r w:rsidRPr="000D119D">
        <w:t xml:space="preserve">Figure </w:t>
      </w:r>
      <w:r w:rsidR="00C90990">
        <w:fldChar w:fldCharType="begin"/>
      </w:r>
      <w:r w:rsidR="00C90990">
        <w:instrText xml:space="preserve"> SEQ Figure \* ARABIC </w:instrText>
      </w:r>
      <w:r w:rsidR="00C90990">
        <w:fldChar w:fldCharType="separate"/>
      </w:r>
      <w:r w:rsidR="00562174">
        <w:rPr>
          <w:noProof/>
        </w:rPr>
        <w:t>1</w:t>
      </w:r>
      <w:r w:rsidR="00C90990">
        <w:fldChar w:fldCharType="end"/>
      </w:r>
      <w:r w:rsidRPr="000D119D">
        <w:t xml:space="preserve"> | Summary of Recommendations</w:t>
      </w:r>
    </w:p>
    <w:p w14:paraId="6E0DA922" w14:textId="36D01AAF" w:rsidR="00211B85" w:rsidRDefault="001B336B" w:rsidP="003F4AD8">
      <w:pPr>
        <w:rPr>
          <w:noProof/>
          <w:lang w:val="en-AU" w:eastAsia="en-AU"/>
        </w:rPr>
      </w:pPr>
      <w:r>
        <w:rPr>
          <w:noProof/>
          <w:lang w:val="en-AU" w:eastAsia="en-AU"/>
        </w:rPr>
        <w:drawing>
          <wp:inline distT="0" distB="0" distL="0" distR="0" wp14:anchorId="2F5CC6A0" wp14:editId="0659EADD">
            <wp:extent cx="5654732" cy="3568889"/>
            <wp:effectExtent l="0" t="0" r="3175" b="0"/>
            <wp:docPr id="41" name="Picture 41" descr="Figure 1 is an image of the summary of recommendations for centralised intake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1 is an image of the summary of recommendations for centralised intake process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4146" cy="3581142"/>
                    </a:xfrm>
                    <a:prstGeom prst="rect">
                      <a:avLst/>
                    </a:prstGeom>
                    <a:noFill/>
                  </pic:spPr>
                </pic:pic>
              </a:graphicData>
            </a:graphic>
          </wp:inline>
        </w:drawing>
      </w:r>
    </w:p>
    <w:p w14:paraId="3E5913F7" w14:textId="7E054B6A" w:rsidR="006B4D9D" w:rsidRPr="000D119D" w:rsidRDefault="009927AE" w:rsidP="003F4AD8">
      <w:pPr>
        <w:rPr>
          <w:noProof/>
          <w:lang w:val="en-AU" w:eastAsia="en-AU"/>
        </w:rPr>
      </w:pPr>
      <w:r w:rsidRPr="009927AE">
        <w:rPr>
          <w:noProof/>
        </w:rPr>
        <w:drawing>
          <wp:inline distT="0" distB="0" distL="0" distR="0" wp14:anchorId="1761C10C" wp14:editId="406AA20A">
            <wp:extent cx="5670550" cy="1785693"/>
            <wp:effectExtent l="0" t="0" r="6350" b="5080"/>
            <wp:docPr id="9" name="Picture 9" descr="Figure 1 is an image of the summary of recommendations for remaining operation and withdrawal of Head to Help h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is an image of the summary of recommendations for remaining operation and withdrawal of Head to Help hubs"/>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670550" cy="1785693"/>
                    </a:xfrm>
                    <a:prstGeom prst="rect">
                      <a:avLst/>
                    </a:prstGeom>
                    <a:noFill/>
                    <a:ln>
                      <a:noFill/>
                    </a:ln>
                  </pic:spPr>
                </pic:pic>
              </a:graphicData>
            </a:graphic>
          </wp:inline>
        </w:drawing>
      </w:r>
    </w:p>
    <w:p w14:paraId="44B4628D" w14:textId="3B81145D" w:rsidR="00F14BF5" w:rsidRDefault="00CD11A9">
      <w:pPr>
        <w:spacing w:after="160" w:line="259" w:lineRule="auto"/>
        <w:rPr>
          <w:lang w:val="en-AU" w:eastAsia="en-AU"/>
        </w:rPr>
      </w:pPr>
      <w:r>
        <w:rPr>
          <w:noProof/>
          <w:lang w:val="en-AU" w:eastAsia="en-AU"/>
        </w:rPr>
        <w:lastRenderedPageBreak/>
        <w:drawing>
          <wp:inline distT="0" distB="0" distL="0" distR="0" wp14:anchorId="11AD14A7" wp14:editId="57D38F46">
            <wp:extent cx="5647140" cy="5377217"/>
            <wp:effectExtent l="0" t="0" r="0" b="0"/>
            <wp:docPr id="43" name="Picture 43" descr="Figure 1 is an image of the summary of recommendations for supporting the successful implementation of Adult Mental Health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1 is an image of the summary of recommendations for supporting the successful implementation of Adult Mental Health Centr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808" cy="5396897"/>
                    </a:xfrm>
                    <a:prstGeom prst="rect">
                      <a:avLst/>
                    </a:prstGeom>
                    <a:noFill/>
                  </pic:spPr>
                </pic:pic>
              </a:graphicData>
            </a:graphic>
          </wp:inline>
        </w:drawing>
      </w:r>
    </w:p>
    <w:p w14:paraId="7CB02341" w14:textId="3547854C" w:rsidR="00641398" w:rsidRPr="000D119D" w:rsidRDefault="00BC75A9">
      <w:pPr>
        <w:spacing w:after="160" w:line="259" w:lineRule="auto"/>
        <w:rPr>
          <w:lang w:val="en-AU" w:eastAsia="en-AU"/>
        </w:rPr>
      </w:pPr>
      <w:r w:rsidRPr="00BC75A9">
        <w:rPr>
          <w:noProof/>
        </w:rPr>
        <w:drawing>
          <wp:inline distT="0" distB="0" distL="0" distR="0" wp14:anchorId="681990CF" wp14:editId="420123E1">
            <wp:extent cx="5670550" cy="2557476"/>
            <wp:effectExtent l="0" t="0" r="6350" b="0"/>
            <wp:docPr id="17" name="Picture 17" descr="Figure 1 is an image of the summary of recommendations for supporting the establishment and implementation of future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 is an image of the summary of recommendations for supporting the establishment and implementation of future programs"/>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670550" cy="2557476"/>
                    </a:xfrm>
                    <a:prstGeom prst="rect">
                      <a:avLst/>
                    </a:prstGeom>
                    <a:noFill/>
                    <a:ln>
                      <a:noFill/>
                    </a:ln>
                  </pic:spPr>
                </pic:pic>
              </a:graphicData>
            </a:graphic>
          </wp:inline>
        </w:drawing>
      </w:r>
    </w:p>
    <w:p w14:paraId="73BF1CE4" w14:textId="120388C1" w:rsidR="00D5539F" w:rsidRPr="000D119D" w:rsidRDefault="00434ED2" w:rsidP="00D5539F">
      <w:pPr>
        <w:pStyle w:val="Heading1"/>
      </w:pPr>
      <w:bookmarkStart w:id="5" w:name="_Toc99650326"/>
      <w:r w:rsidRPr="000D119D">
        <w:lastRenderedPageBreak/>
        <w:t>Background to the evaluation</w:t>
      </w:r>
      <w:bookmarkEnd w:id="5"/>
    </w:p>
    <w:p w14:paraId="2CA218D3" w14:textId="19639AC9" w:rsidR="009043D7" w:rsidRPr="000D119D" w:rsidRDefault="009043D7" w:rsidP="009043D7">
      <w:pPr>
        <w:pStyle w:val="Heading2"/>
      </w:pPr>
      <w:bookmarkStart w:id="6" w:name="_Toc99650327"/>
      <w:r w:rsidRPr="000D119D">
        <w:t>Purpose of the evaluation</w:t>
      </w:r>
      <w:bookmarkEnd w:id="6"/>
    </w:p>
    <w:p w14:paraId="2BE531B0" w14:textId="671993C8" w:rsidR="00AB6955" w:rsidRPr="000D119D" w:rsidRDefault="00110FED" w:rsidP="00110FED">
      <w:pPr>
        <w:rPr>
          <w:lang w:val="en-AU" w:eastAsia="en-AU"/>
        </w:rPr>
      </w:pPr>
      <w:r w:rsidRPr="000D119D">
        <w:rPr>
          <w:lang w:val="en-AU" w:eastAsia="en-AU"/>
        </w:rPr>
        <w:t xml:space="preserve">The </w:t>
      </w:r>
      <w:r w:rsidR="004F4E3C">
        <w:rPr>
          <w:lang w:val="en-AU" w:eastAsia="en-AU"/>
        </w:rPr>
        <w:t xml:space="preserve">Australian </w:t>
      </w:r>
      <w:r w:rsidRPr="000D119D">
        <w:rPr>
          <w:lang w:val="en-AU" w:eastAsia="en-AU"/>
        </w:rPr>
        <w:t>Department of Health</w:t>
      </w:r>
      <w:r w:rsidR="004F4E3C">
        <w:rPr>
          <w:lang w:val="en-AU" w:eastAsia="en-AU"/>
        </w:rPr>
        <w:t xml:space="preserve"> (the Department</w:t>
      </w:r>
      <w:r w:rsidR="008E489A">
        <w:rPr>
          <w:lang w:val="en-AU" w:eastAsia="en-AU"/>
        </w:rPr>
        <w:t xml:space="preserve"> or Commonwealth)</w:t>
      </w:r>
      <w:r w:rsidRPr="000D119D">
        <w:rPr>
          <w:lang w:val="en-AU" w:eastAsia="en-AU"/>
        </w:rPr>
        <w:t xml:space="preserve"> commissioned Nous</w:t>
      </w:r>
      <w:r w:rsidR="001F7073">
        <w:rPr>
          <w:lang w:val="en-AU" w:eastAsia="en-AU"/>
        </w:rPr>
        <w:t xml:space="preserve">, </w:t>
      </w:r>
      <w:r w:rsidR="00BC75A9">
        <w:rPr>
          <w:lang w:val="en-AU" w:eastAsia="en-AU"/>
        </w:rPr>
        <w:t>supported</w:t>
      </w:r>
      <w:r w:rsidR="001F7073">
        <w:rPr>
          <w:lang w:val="en-AU" w:eastAsia="en-AU"/>
        </w:rPr>
        <w:t xml:space="preserve"> by the University of Sydney,</w:t>
      </w:r>
      <w:r w:rsidRPr="000D119D">
        <w:rPr>
          <w:lang w:val="en-AU" w:eastAsia="en-AU"/>
        </w:rPr>
        <w:t xml:space="preserve"> to conduct an independent evaluation of the Victorian </w:t>
      </w:r>
      <w:proofErr w:type="spellStart"/>
      <w:r w:rsidRPr="000D119D">
        <w:rPr>
          <w:i/>
          <w:iCs/>
          <w:lang w:val="en-AU" w:eastAsia="en-AU"/>
        </w:rPr>
        <w:t>HeadtoHelp</w:t>
      </w:r>
      <w:proofErr w:type="spellEnd"/>
      <w:r w:rsidRPr="000D119D">
        <w:rPr>
          <w:i/>
          <w:iCs/>
          <w:lang w:val="en-AU" w:eastAsia="en-AU"/>
        </w:rPr>
        <w:t xml:space="preserve"> </w:t>
      </w:r>
      <w:r w:rsidRPr="000D119D">
        <w:rPr>
          <w:lang w:val="en-AU" w:eastAsia="en-AU"/>
        </w:rPr>
        <w:t>initiative and the establishment of the</w:t>
      </w:r>
      <w:r w:rsidR="00D11B30">
        <w:rPr>
          <w:lang w:val="en-AU" w:eastAsia="en-AU"/>
        </w:rPr>
        <w:t xml:space="preserve"> </w:t>
      </w:r>
      <w:r w:rsidR="00D11B30" w:rsidRPr="000D119D">
        <w:rPr>
          <w:lang w:val="en-AU"/>
        </w:rPr>
        <w:t>Head</w:t>
      </w:r>
      <w:r w:rsidR="006279CE">
        <w:rPr>
          <w:lang w:val="en-AU"/>
        </w:rPr>
        <w:t xml:space="preserve"> </w:t>
      </w:r>
      <w:r w:rsidR="00D11B30" w:rsidRPr="000D119D">
        <w:rPr>
          <w:lang w:val="en-AU"/>
        </w:rPr>
        <w:t>to</w:t>
      </w:r>
      <w:r w:rsidR="006279CE">
        <w:rPr>
          <w:lang w:val="en-AU"/>
        </w:rPr>
        <w:t xml:space="preserve"> </w:t>
      </w:r>
      <w:r w:rsidR="00D11B30" w:rsidRPr="000D119D">
        <w:rPr>
          <w:lang w:val="en-AU"/>
        </w:rPr>
        <w:t>Health</w:t>
      </w:r>
      <w:r w:rsidRPr="000D119D">
        <w:rPr>
          <w:lang w:val="en-AU" w:eastAsia="en-AU"/>
        </w:rPr>
        <w:t xml:space="preserve"> </w:t>
      </w:r>
      <w:r w:rsidR="00D11B30">
        <w:rPr>
          <w:lang w:val="en-AU" w:eastAsia="en-AU"/>
        </w:rPr>
        <w:t xml:space="preserve">AMHC </w:t>
      </w:r>
      <w:r w:rsidRPr="000D119D">
        <w:rPr>
          <w:lang w:val="en-AU" w:eastAsia="en-AU"/>
        </w:rPr>
        <w:t xml:space="preserve">trial. </w:t>
      </w:r>
      <w:r w:rsidR="003A20E5" w:rsidRPr="000D119D">
        <w:rPr>
          <w:lang w:val="en-AU" w:eastAsia="en-AU"/>
        </w:rPr>
        <w:t>Nous partnered with the University of Sydney in undertaking this evaluation</w:t>
      </w:r>
      <w:r w:rsidR="00E92CF5" w:rsidRPr="000D119D">
        <w:rPr>
          <w:lang w:val="en-AU" w:eastAsia="en-AU"/>
        </w:rPr>
        <w:t xml:space="preserve">. The evaluation </w:t>
      </w:r>
      <w:r w:rsidR="003A20E5" w:rsidRPr="000D119D">
        <w:rPr>
          <w:lang w:val="en-AU" w:eastAsia="en-AU"/>
        </w:rPr>
        <w:t>commenc</w:t>
      </w:r>
      <w:r w:rsidR="00E92CF5" w:rsidRPr="000D119D">
        <w:rPr>
          <w:lang w:val="en-AU" w:eastAsia="en-AU"/>
        </w:rPr>
        <w:t>ed</w:t>
      </w:r>
      <w:r w:rsidRPr="000D119D">
        <w:rPr>
          <w:lang w:val="en-AU" w:eastAsia="en-AU"/>
        </w:rPr>
        <w:t xml:space="preserve"> in late </w:t>
      </w:r>
      <w:r w:rsidR="00E92CF5" w:rsidRPr="000D119D">
        <w:rPr>
          <w:lang w:val="en-AU" w:eastAsia="en-AU"/>
        </w:rPr>
        <w:t>January 2021 and concluded</w:t>
      </w:r>
      <w:r w:rsidRPr="000D119D">
        <w:rPr>
          <w:lang w:val="en-AU" w:eastAsia="en-AU"/>
        </w:rPr>
        <w:t xml:space="preserve"> in March 2022. </w:t>
      </w:r>
    </w:p>
    <w:p w14:paraId="5A02BA07" w14:textId="0FFE5A91" w:rsidR="00110FED" w:rsidRPr="000D119D" w:rsidRDefault="00110FED" w:rsidP="00110FED">
      <w:pPr>
        <w:rPr>
          <w:lang w:val="en-AU" w:eastAsia="en-AU"/>
        </w:rPr>
      </w:pPr>
      <w:r w:rsidRPr="000D119D">
        <w:rPr>
          <w:lang w:val="en-AU" w:eastAsia="en-AU"/>
        </w:rPr>
        <w:t>The evaluation is being considered in two parts:</w:t>
      </w:r>
    </w:p>
    <w:p w14:paraId="35A7863F" w14:textId="72CD40C8" w:rsidR="00110FED" w:rsidRPr="000D2E9D" w:rsidRDefault="00110FED" w:rsidP="006C2E61">
      <w:pPr>
        <w:pStyle w:val="ListBullet"/>
      </w:pPr>
      <w:r w:rsidRPr="00BC75A9">
        <w:rPr>
          <w:rFonts w:asciiTheme="majorHAnsi" w:hAnsiTheme="majorHAnsi" w:cstheme="majorHAnsi"/>
        </w:rPr>
        <w:t>Part A</w:t>
      </w:r>
      <w:r w:rsidRPr="00BC75A9">
        <w:t xml:space="preserve">, which seeks to assess the establishment, </w:t>
      </w:r>
      <w:proofErr w:type="gramStart"/>
      <w:r w:rsidRPr="00BC75A9">
        <w:t>implementation</w:t>
      </w:r>
      <w:proofErr w:type="gramEnd"/>
      <w:r w:rsidRPr="00BC75A9">
        <w:t xml:space="preserve"> and early outcomes of the </w:t>
      </w:r>
      <w:proofErr w:type="spellStart"/>
      <w:r w:rsidRPr="000D2E9D">
        <w:rPr>
          <w:rStyle w:val="Emphasis"/>
        </w:rPr>
        <w:t>HeadtoHelp</w:t>
      </w:r>
      <w:proofErr w:type="spellEnd"/>
      <w:r w:rsidRPr="000D2E9D">
        <w:rPr>
          <w:bCs/>
        </w:rPr>
        <w:t xml:space="preserve"> </w:t>
      </w:r>
      <w:r w:rsidR="00324A2A" w:rsidRPr="00BC75A9">
        <w:t>hubs</w:t>
      </w:r>
      <w:r w:rsidRPr="00BC75A9">
        <w:t>.</w:t>
      </w:r>
    </w:p>
    <w:p w14:paraId="57768E82" w14:textId="40CA4BB9" w:rsidR="00702F0B" w:rsidRPr="000D2E9D" w:rsidRDefault="00110FED" w:rsidP="006C2E61">
      <w:pPr>
        <w:pStyle w:val="ListBullet"/>
      </w:pPr>
      <w:r w:rsidRPr="00BC75A9">
        <w:rPr>
          <w:rFonts w:asciiTheme="majorHAnsi" w:hAnsiTheme="majorHAnsi" w:cstheme="majorHAnsi"/>
        </w:rPr>
        <w:t>Part B</w:t>
      </w:r>
      <w:r w:rsidRPr="00BC75A9">
        <w:t xml:space="preserve">, which seeks to understand the effectiveness of the establishment of </w:t>
      </w:r>
      <w:r w:rsidR="00E92CF5" w:rsidRPr="00BC75A9">
        <w:t>eight</w:t>
      </w:r>
      <w:r w:rsidR="00E92CF5" w:rsidRPr="00027C07">
        <w:rPr>
          <w:color w:val="00264D" w:themeColor="background2"/>
        </w:rPr>
        <w:t xml:space="preserve"> </w:t>
      </w:r>
      <w:r w:rsidR="00E92CF5" w:rsidRPr="00B65F27">
        <w:rPr>
          <w:rStyle w:val="Strong"/>
        </w:rPr>
        <w:t>initial A</w:t>
      </w:r>
      <w:r w:rsidRPr="00B65F27">
        <w:rPr>
          <w:rStyle w:val="Strong"/>
        </w:rPr>
        <w:t>MHC</w:t>
      </w:r>
      <w:r w:rsidR="00AB4AC0" w:rsidRPr="00B65F27">
        <w:rPr>
          <w:rStyle w:val="Strong"/>
        </w:rPr>
        <w:t>s</w:t>
      </w:r>
      <w:r w:rsidRPr="00BC75A9">
        <w:t>.</w:t>
      </w:r>
    </w:p>
    <w:p w14:paraId="4B161774" w14:textId="6BB93FC2" w:rsidR="00702F0B" w:rsidRDefault="002038B4" w:rsidP="00074556">
      <w:r w:rsidRPr="000D119D">
        <w:t>During</w:t>
      </w:r>
      <w:r w:rsidR="009A0D1F" w:rsidRPr="000D119D">
        <w:t xml:space="preserve"> this evaluation </w:t>
      </w:r>
      <w:r w:rsidR="0000635E" w:rsidRPr="000D119D">
        <w:t xml:space="preserve">the branding of both the </w:t>
      </w:r>
      <w:proofErr w:type="spellStart"/>
      <w:r w:rsidR="0000635E" w:rsidRPr="000D2E9D">
        <w:rPr>
          <w:rStyle w:val="Emphasis"/>
        </w:rPr>
        <w:t>HeadtoHelp</w:t>
      </w:r>
      <w:proofErr w:type="spellEnd"/>
      <w:r w:rsidR="00F50A93" w:rsidRPr="000D119D">
        <w:t xml:space="preserve"> and AMHC programs </w:t>
      </w:r>
      <w:r w:rsidR="000375BA" w:rsidRPr="000D119D">
        <w:t>has</w:t>
      </w:r>
      <w:r w:rsidR="002823EA" w:rsidRPr="000D119D">
        <w:t xml:space="preserve"> or is in the process of transitioning to </w:t>
      </w:r>
      <w:r w:rsidRPr="000D119D">
        <w:t xml:space="preserve">be known as </w:t>
      </w:r>
      <w:r w:rsidRPr="00AE4C55">
        <w:t>Head</w:t>
      </w:r>
      <w:r w:rsidR="006279CE">
        <w:t xml:space="preserve"> </w:t>
      </w:r>
      <w:r w:rsidRPr="00AE4C55">
        <w:t>to</w:t>
      </w:r>
      <w:r w:rsidR="006279CE">
        <w:t xml:space="preserve"> </w:t>
      </w:r>
      <w:r w:rsidRPr="00AE4C55">
        <w:t>Health</w:t>
      </w:r>
      <w:r w:rsidRPr="000D119D">
        <w:t xml:space="preserve">. </w:t>
      </w:r>
      <w:r w:rsidR="004F1584" w:rsidRPr="000D119D">
        <w:t xml:space="preserve">To </w:t>
      </w:r>
      <w:r w:rsidR="009C231B" w:rsidRPr="000D119D">
        <w:t>reflect stakeholder feedback</w:t>
      </w:r>
      <w:r w:rsidR="004F1584" w:rsidRPr="000D119D">
        <w:t xml:space="preserve"> and avoid</w:t>
      </w:r>
      <w:r w:rsidR="000A7318">
        <w:t xml:space="preserve"> </w:t>
      </w:r>
      <w:r w:rsidR="007232DD">
        <w:t>confusion</w:t>
      </w:r>
      <w:r w:rsidR="004F1584" w:rsidRPr="000D119D">
        <w:t xml:space="preserve">, this report </w:t>
      </w:r>
      <w:r w:rsidR="004F1584">
        <w:t>use</w:t>
      </w:r>
      <w:r w:rsidR="007D0965">
        <w:t>s</w:t>
      </w:r>
      <w:r w:rsidR="004F1584" w:rsidRPr="000D119D">
        <w:t xml:space="preserve"> the terminology of </w:t>
      </w:r>
      <w:proofErr w:type="spellStart"/>
      <w:r w:rsidR="004F1584" w:rsidRPr="000D2E9D">
        <w:rPr>
          <w:rStyle w:val="Emphasis"/>
        </w:rPr>
        <w:t>HeadtoHelp</w:t>
      </w:r>
      <w:proofErr w:type="spellEnd"/>
      <w:r w:rsidR="004F1584" w:rsidRPr="000D119D">
        <w:t xml:space="preserve"> and AMHC</w:t>
      </w:r>
      <w:r w:rsidR="00746E15">
        <w:t xml:space="preserve"> </w:t>
      </w:r>
      <w:r w:rsidR="004F1584" w:rsidRPr="000D119D">
        <w:t xml:space="preserve">for each program respectively. </w:t>
      </w:r>
    </w:p>
    <w:p w14:paraId="0D706FA9" w14:textId="77777777" w:rsidR="006C2E61" w:rsidRPr="000D119D" w:rsidRDefault="006C2E61" w:rsidP="00F04BA2">
      <w:pPr>
        <w:pStyle w:val="Highlighttext"/>
      </w:pPr>
      <w:r w:rsidRPr="000D119D">
        <w:t>This evaluation seeks to understand what has been achieved through these programs to date to enable informed future Commonwealth Government decisions, including about the:</w:t>
      </w:r>
    </w:p>
    <w:p w14:paraId="2D784DCF" w14:textId="77777777" w:rsidR="006C2E61" w:rsidRPr="000D119D" w:rsidRDefault="006C2E61" w:rsidP="00074556">
      <w:pPr>
        <w:pStyle w:val="Highlighttext"/>
        <w:numPr>
          <w:ilvl w:val="0"/>
          <w:numId w:val="32"/>
        </w:numPr>
        <w:ind w:left="0" w:firstLine="0"/>
      </w:pPr>
      <w:r w:rsidRPr="000D119D">
        <w:t xml:space="preserve">continuation and/or transition of funding for the Victorian </w:t>
      </w:r>
      <w:proofErr w:type="spellStart"/>
      <w:r w:rsidRPr="000D2E9D">
        <w:rPr>
          <w:rStyle w:val="Emphasis"/>
        </w:rPr>
        <w:t>HeadtoHelp</w:t>
      </w:r>
      <w:proofErr w:type="spellEnd"/>
      <w:r w:rsidRPr="00BC75A9">
        <w:t xml:space="preserve"> </w:t>
      </w:r>
      <w:r w:rsidRPr="000D119D">
        <w:t>service and hubs</w:t>
      </w:r>
    </w:p>
    <w:p w14:paraId="7B4DC680" w14:textId="77777777" w:rsidR="006C2E61" w:rsidRPr="000D119D" w:rsidRDefault="006C2E61" w:rsidP="00074556">
      <w:pPr>
        <w:pStyle w:val="Highlighttext"/>
        <w:numPr>
          <w:ilvl w:val="0"/>
          <w:numId w:val="32"/>
        </w:numPr>
        <w:ind w:left="0" w:firstLine="0"/>
      </w:pPr>
      <w:r w:rsidRPr="000D119D">
        <w:t xml:space="preserve">current and future roll-out of AMHCs across Australia, including site location, key features of the service, its </w:t>
      </w:r>
      <w:proofErr w:type="gramStart"/>
      <w:r w:rsidRPr="000D119D">
        <w:t>funding</w:t>
      </w:r>
      <w:proofErr w:type="gramEnd"/>
      <w:r w:rsidRPr="000D119D">
        <w:t xml:space="preserve"> and data to be collected</w:t>
      </w:r>
    </w:p>
    <w:p w14:paraId="71C52790" w14:textId="77777777" w:rsidR="006C2E61" w:rsidRPr="000D119D" w:rsidRDefault="006C2E61" w:rsidP="00074556">
      <w:pPr>
        <w:pStyle w:val="Highlighttext"/>
        <w:numPr>
          <w:ilvl w:val="0"/>
          <w:numId w:val="32"/>
        </w:numPr>
        <w:ind w:left="0" w:firstLine="0"/>
      </w:pPr>
      <w:r w:rsidRPr="000D119D">
        <w:t>extension of the utilisation of the IAR-DST</w:t>
      </w:r>
    </w:p>
    <w:p w14:paraId="338BC450" w14:textId="77777777" w:rsidR="006C2E61" w:rsidRPr="000D119D" w:rsidRDefault="006C2E61" w:rsidP="00074556">
      <w:pPr>
        <w:pStyle w:val="Highlighttext"/>
        <w:numPr>
          <w:ilvl w:val="0"/>
          <w:numId w:val="32"/>
        </w:numPr>
        <w:ind w:left="0" w:firstLine="0"/>
      </w:pPr>
      <w:r w:rsidRPr="000D119D">
        <w:t>addressing of service gaps and navigation</w:t>
      </w:r>
    </w:p>
    <w:p w14:paraId="3CCFDD7A" w14:textId="13F6F46D" w:rsidR="006C2E61" w:rsidRPr="000D119D" w:rsidRDefault="006C2E61" w:rsidP="00074556">
      <w:pPr>
        <w:pStyle w:val="Highlighttext"/>
        <w:numPr>
          <w:ilvl w:val="0"/>
          <w:numId w:val="32"/>
        </w:numPr>
        <w:ind w:left="0" w:firstLine="0"/>
      </w:pPr>
      <w:r w:rsidRPr="000D119D">
        <w:t>Commonwealth and state government’s national partnership agreement for mental health.</w:t>
      </w:r>
    </w:p>
    <w:p w14:paraId="19DFE3C1" w14:textId="41DFA11C" w:rsidR="00702F0B" w:rsidRPr="000D119D" w:rsidRDefault="00702F0B" w:rsidP="00162702">
      <w:pPr>
        <w:pStyle w:val="Heading2"/>
        <w:rPr>
          <w:rFonts w:eastAsia="Segoe UI"/>
        </w:rPr>
      </w:pPr>
      <w:bookmarkStart w:id="7" w:name="_Toc99650328"/>
      <w:r w:rsidRPr="000D119D">
        <w:rPr>
          <w:rFonts w:eastAsia="Segoe UI"/>
        </w:rPr>
        <w:t>Evaluation approach</w:t>
      </w:r>
      <w:bookmarkEnd w:id="7"/>
    </w:p>
    <w:p w14:paraId="2E585362" w14:textId="377A14F2" w:rsidR="00702F0B" w:rsidRPr="000D119D" w:rsidRDefault="00702F0B" w:rsidP="00BE0860">
      <w:pPr>
        <w:pStyle w:val="Heading3"/>
      </w:pPr>
      <w:r w:rsidRPr="000D119D">
        <w:rPr>
          <w:rFonts w:eastAsia="Segoe UI"/>
        </w:rPr>
        <w:t>The evaluation focuses on four domains</w:t>
      </w:r>
    </w:p>
    <w:p w14:paraId="085AD8C4" w14:textId="4AD2D445" w:rsidR="00110FED" w:rsidRPr="000D119D" w:rsidRDefault="00A74FFA" w:rsidP="00110FED">
      <w:pPr>
        <w:rPr>
          <w:lang w:val="en-AU" w:eastAsia="en-AU"/>
        </w:rPr>
      </w:pPr>
      <w:r w:rsidRPr="000D119D">
        <w:rPr>
          <w:lang w:val="en-AU" w:eastAsia="en-AU"/>
        </w:rPr>
        <w:t xml:space="preserve">The domains are: </w:t>
      </w:r>
    </w:p>
    <w:p w14:paraId="203A862F" w14:textId="6DFB3B22" w:rsidR="00110FED" w:rsidRPr="000D119D" w:rsidRDefault="00110FED" w:rsidP="00110FED">
      <w:pPr>
        <w:pStyle w:val="Listnumbered"/>
        <w:rPr>
          <w:lang w:val="en-AU" w:eastAsia="en-AU"/>
        </w:rPr>
      </w:pPr>
      <w:bookmarkStart w:id="8" w:name="_Hlk73613892"/>
      <w:r w:rsidRPr="000D119D">
        <w:rPr>
          <w:lang w:val="en-AU" w:eastAsia="en-AU"/>
        </w:rPr>
        <w:t>Appropriateness</w:t>
      </w:r>
      <w:r w:rsidR="00AE4C55">
        <w:rPr>
          <w:lang w:val="en-AU" w:eastAsia="en-AU"/>
        </w:rPr>
        <w:t>. T</w:t>
      </w:r>
      <w:r w:rsidRPr="000D119D">
        <w:rPr>
          <w:lang w:val="en-AU" w:eastAsia="en-AU"/>
        </w:rPr>
        <w:t>his looks at whether the approach to establishment and implementation was well-designed, evidence</w:t>
      </w:r>
      <w:r w:rsidR="00A12DD9">
        <w:rPr>
          <w:lang w:val="en-AU" w:eastAsia="en-AU"/>
        </w:rPr>
        <w:t>-</w:t>
      </w:r>
      <w:proofErr w:type="gramStart"/>
      <w:r w:rsidRPr="000D119D">
        <w:rPr>
          <w:lang w:val="en-AU" w:eastAsia="en-AU"/>
        </w:rPr>
        <w:t>based</w:t>
      </w:r>
      <w:proofErr w:type="gramEnd"/>
      <w:r w:rsidRPr="000D119D">
        <w:rPr>
          <w:lang w:val="en-AU" w:eastAsia="en-AU"/>
        </w:rPr>
        <w:t xml:space="preserve"> and responsive to consultation/co-design within the establishment context. </w:t>
      </w:r>
    </w:p>
    <w:p w14:paraId="003A8EA6" w14:textId="4385AD2D" w:rsidR="00110FED" w:rsidRPr="000D119D" w:rsidRDefault="00110FED" w:rsidP="00110FED">
      <w:pPr>
        <w:pStyle w:val="Listnumbered"/>
        <w:rPr>
          <w:lang w:val="en-AU" w:eastAsia="en-AU"/>
        </w:rPr>
      </w:pPr>
      <w:r w:rsidRPr="000D119D">
        <w:rPr>
          <w:lang w:val="en-AU" w:eastAsia="en-AU"/>
        </w:rPr>
        <w:t>Effectiveness</w:t>
      </w:r>
      <w:r w:rsidR="00AE4C55">
        <w:rPr>
          <w:lang w:val="en-AU" w:eastAsia="en-AU"/>
        </w:rPr>
        <w:t>. T</w:t>
      </w:r>
      <w:r w:rsidRPr="000D119D">
        <w:rPr>
          <w:lang w:val="en-AU" w:eastAsia="en-AU"/>
        </w:rPr>
        <w:t xml:space="preserve">his includes if the establishment and implementation met stakeholder expectations and planned times, and whether the short-term outcomes were achieved. </w:t>
      </w:r>
    </w:p>
    <w:p w14:paraId="617F140D" w14:textId="0A3CDC0E" w:rsidR="00110FED" w:rsidRPr="000D119D" w:rsidRDefault="00110FED" w:rsidP="00110FED">
      <w:pPr>
        <w:pStyle w:val="Listnumbered"/>
        <w:rPr>
          <w:lang w:val="en-AU" w:eastAsia="en-AU"/>
        </w:rPr>
      </w:pPr>
      <w:r w:rsidRPr="000D119D">
        <w:rPr>
          <w:lang w:val="en-AU" w:eastAsia="en-AU"/>
        </w:rPr>
        <w:t>Efficiency</w:t>
      </w:r>
      <w:r w:rsidR="00AE4C55">
        <w:rPr>
          <w:lang w:val="en-AU" w:eastAsia="en-AU"/>
        </w:rPr>
        <w:t>. T</w:t>
      </w:r>
      <w:r w:rsidRPr="000D119D">
        <w:rPr>
          <w:lang w:val="en-AU" w:eastAsia="en-AU"/>
        </w:rPr>
        <w:t xml:space="preserve">his assesses if the resources used to set up the services were spent efficiently and if the outcomes achieved represent value for money. </w:t>
      </w:r>
    </w:p>
    <w:p w14:paraId="633114D5" w14:textId="677E0575" w:rsidR="00110FED" w:rsidRPr="000D119D" w:rsidRDefault="00110FED" w:rsidP="00110FED">
      <w:pPr>
        <w:pStyle w:val="Listnumbered"/>
        <w:rPr>
          <w:lang w:val="en-AU" w:eastAsia="en-AU"/>
        </w:rPr>
      </w:pPr>
      <w:r w:rsidRPr="000D119D">
        <w:rPr>
          <w:lang w:val="en-AU" w:eastAsia="en-AU"/>
        </w:rPr>
        <w:t>Impact</w:t>
      </w:r>
      <w:r w:rsidR="00AE4C55">
        <w:rPr>
          <w:lang w:val="en-AU" w:eastAsia="en-AU"/>
        </w:rPr>
        <w:t>. T</w:t>
      </w:r>
      <w:r w:rsidRPr="000D119D">
        <w:rPr>
          <w:lang w:val="en-AU" w:eastAsia="en-AU"/>
        </w:rPr>
        <w:t xml:space="preserve">his assesses the likely achievement of the longer-term outcomes expected from the initiatives in the future (as neither services will have been operational long enough to have achieved ‘long-term outcomes’) and how the initiatives influence the broader service system. </w:t>
      </w:r>
    </w:p>
    <w:p w14:paraId="7E21C9C9" w14:textId="1ACF2073" w:rsidR="00702F0B" w:rsidRPr="00BE0860" w:rsidRDefault="00702F0B" w:rsidP="00BE0860">
      <w:pPr>
        <w:pStyle w:val="Heading3"/>
        <w:rPr>
          <w:rFonts w:eastAsiaTheme="minorHAnsi"/>
        </w:rPr>
      </w:pPr>
      <w:r w:rsidRPr="00BE0860">
        <w:rPr>
          <w:rFonts w:eastAsiaTheme="minorHAnsi"/>
        </w:rPr>
        <w:t>Ten KEQs structured the evaluation and guided data collection and analysis</w:t>
      </w:r>
    </w:p>
    <w:p w14:paraId="5F9A0267" w14:textId="7EEB4A74" w:rsidR="00A74FFA" w:rsidRPr="00B65F27" w:rsidRDefault="00A74FFA" w:rsidP="00A74FFA">
      <w:r w:rsidRPr="000D119D">
        <w:rPr>
          <w:rStyle w:val="Heading5Char"/>
          <w:rFonts w:eastAsiaTheme="minorHAnsi"/>
          <w:b w:val="0"/>
          <w:bCs/>
        </w:rPr>
        <w:t xml:space="preserve">These key evaluation questions (KEQs) and their alignment to Part A and B of the evaluation is shown in </w:t>
      </w:r>
      <w:r w:rsidRPr="000D119D">
        <w:rPr>
          <w:rStyle w:val="Heading5Char"/>
          <w:rFonts w:eastAsiaTheme="minorHAnsi"/>
          <w:bCs/>
        </w:rPr>
        <w:fldChar w:fldCharType="begin"/>
      </w:r>
      <w:r w:rsidRPr="000D119D">
        <w:rPr>
          <w:rStyle w:val="Heading5Char"/>
          <w:rFonts w:eastAsiaTheme="minorHAnsi"/>
          <w:bCs/>
        </w:rPr>
        <w:instrText xml:space="preserve"> REF _Ref96426513 \h  \* MERGEFORMAT </w:instrText>
      </w:r>
      <w:r w:rsidRPr="000D119D">
        <w:rPr>
          <w:rStyle w:val="Heading5Char"/>
          <w:rFonts w:eastAsiaTheme="minorHAnsi"/>
          <w:bCs/>
        </w:rPr>
      </w:r>
      <w:r w:rsidRPr="000D119D">
        <w:rPr>
          <w:rStyle w:val="Heading5Char"/>
          <w:rFonts w:eastAsiaTheme="minorHAnsi"/>
          <w:bCs/>
        </w:rPr>
        <w:fldChar w:fldCharType="separate"/>
      </w:r>
      <w:r w:rsidR="00562174" w:rsidRPr="00562174">
        <w:rPr>
          <w:bCs/>
          <w:lang w:val="en-AU"/>
        </w:rPr>
        <w:t xml:space="preserve">Table </w:t>
      </w:r>
      <w:r w:rsidR="00562174" w:rsidRPr="00562174">
        <w:rPr>
          <w:bCs/>
          <w:noProof/>
          <w:lang w:val="en-AU"/>
        </w:rPr>
        <w:t>1</w:t>
      </w:r>
      <w:r w:rsidRPr="000D119D">
        <w:rPr>
          <w:rStyle w:val="Heading5Char"/>
          <w:rFonts w:eastAsiaTheme="minorHAnsi"/>
          <w:bCs/>
        </w:rPr>
        <w:fldChar w:fldCharType="end"/>
      </w:r>
      <w:r w:rsidRPr="000D119D">
        <w:rPr>
          <w:rStyle w:val="Heading5Char"/>
          <w:rFonts w:eastAsiaTheme="minorHAnsi"/>
          <w:b w:val="0"/>
          <w:bCs/>
        </w:rPr>
        <w:t xml:space="preserve">. Findings in this report are structured around these ten questions. </w:t>
      </w:r>
    </w:p>
    <w:p w14:paraId="6EC5461E" w14:textId="09C613E5" w:rsidR="00A74FFA" w:rsidRPr="000D119D" w:rsidRDefault="00A74FFA" w:rsidP="00A74FFA">
      <w:pPr>
        <w:pStyle w:val="Caption"/>
      </w:pPr>
      <w:bookmarkStart w:id="9" w:name="_Ref96426513"/>
      <w:r w:rsidRPr="000D119D">
        <w:lastRenderedPageBreak/>
        <w:t xml:space="preserve">Table </w:t>
      </w:r>
      <w:r w:rsidRPr="000D119D">
        <w:fldChar w:fldCharType="begin"/>
      </w:r>
      <w:r w:rsidRPr="000D119D">
        <w:instrText xml:space="preserve"> SEQ Table \* ARABIC </w:instrText>
      </w:r>
      <w:r w:rsidRPr="000D119D">
        <w:fldChar w:fldCharType="separate"/>
      </w:r>
      <w:r w:rsidR="00562174">
        <w:rPr>
          <w:noProof/>
        </w:rPr>
        <w:t>1</w:t>
      </w:r>
      <w:r w:rsidRPr="000D119D">
        <w:fldChar w:fldCharType="end"/>
      </w:r>
      <w:bookmarkEnd w:id="9"/>
      <w:r w:rsidRPr="000D119D">
        <w:t xml:space="preserve"> | </w:t>
      </w:r>
      <w:r w:rsidR="001C3C0C">
        <w:t>KEQs</w:t>
      </w:r>
    </w:p>
    <w:tbl>
      <w:tblPr>
        <w:tblStyle w:val="NOUS1"/>
        <w:tblW w:w="9016" w:type="dxa"/>
        <w:tblLook w:val="04A0" w:firstRow="1" w:lastRow="0" w:firstColumn="1" w:lastColumn="0" w:noHBand="0" w:noVBand="1"/>
        <w:tblDescription w:val="Table 1 is a list of Key Evaluation Question (KEQs)"/>
      </w:tblPr>
      <w:tblGrid>
        <w:gridCol w:w="422"/>
        <w:gridCol w:w="8508"/>
        <w:gridCol w:w="86"/>
      </w:tblGrid>
      <w:tr w:rsidR="00702F0B" w:rsidRPr="00141636" w14:paraId="3EF5F4B9" w14:textId="77777777" w:rsidTr="00F344CE">
        <w:trPr>
          <w:gridAfter w:val="1"/>
          <w:cnfStyle w:val="100000000000" w:firstRow="1" w:lastRow="0" w:firstColumn="0" w:lastColumn="0" w:oddVBand="0" w:evenVBand="0" w:oddHBand="0" w:evenHBand="0" w:firstRowFirstColumn="0" w:firstRowLastColumn="0" w:lastRowFirstColumn="0" w:lastRowLastColumn="0"/>
          <w:wAfter w:w="86" w:type="dxa"/>
          <w:trHeight w:val="283"/>
        </w:trPr>
        <w:tc>
          <w:tcPr>
            <w:cnfStyle w:val="001000000000" w:firstRow="0" w:lastRow="0" w:firstColumn="1" w:lastColumn="0" w:oddVBand="0" w:evenVBand="0" w:oddHBand="0" w:evenHBand="0" w:firstRowFirstColumn="0" w:firstRowLastColumn="0" w:lastRowFirstColumn="0" w:lastRowLastColumn="0"/>
            <w:tcW w:w="8930" w:type="dxa"/>
            <w:gridSpan w:val="2"/>
            <w:tcBorders>
              <w:top w:val="nil"/>
              <w:bottom w:val="single" w:sz="18" w:space="0" w:color="0070C0"/>
              <w:right w:val="single" w:sz="4" w:space="0" w:color="FFFFFF" w:themeColor="background1"/>
            </w:tcBorders>
          </w:tcPr>
          <w:p w14:paraId="34B92CBC" w14:textId="77777777" w:rsidR="00702F0B" w:rsidRPr="00B65F27" w:rsidRDefault="00702F0B" w:rsidP="00B65F27">
            <w:pPr>
              <w:pStyle w:val="TableNheader"/>
            </w:pPr>
            <w:r w:rsidRPr="000D119D">
              <w:t xml:space="preserve">Part A: </w:t>
            </w:r>
            <w:proofErr w:type="spellStart"/>
            <w:r w:rsidRPr="00B65F27">
              <w:rPr>
                <w:rStyle w:val="Emphasis"/>
              </w:rPr>
              <w:t>HeadtoHelp</w:t>
            </w:r>
            <w:proofErr w:type="spellEnd"/>
          </w:p>
        </w:tc>
      </w:tr>
      <w:tr w:rsidR="00702F0B" w:rsidRPr="00141636" w14:paraId="107106EE" w14:textId="77777777" w:rsidTr="00F344CE">
        <w:trPr>
          <w:gridAfter w:val="1"/>
          <w:wAfter w:w="86" w:type="dxa"/>
          <w:trHeight w:val="283"/>
        </w:trPr>
        <w:tc>
          <w:tcPr>
            <w:cnfStyle w:val="001000000000" w:firstRow="0" w:lastRow="0" w:firstColumn="1" w:lastColumn="0" w:oddVBand="0" w:evenVBand="0" w:oddHBand="0" w:evenHBand="0" w:firstRowFirstColumn="0" w:firstRowLastColumn="0" w:lastRowFirstColumn="0" w:lastRowLastColumn="0"/>
            <w:tcW w:w="8930" w:type="dxa"/>
            <w:gridSpan w:val="2"/>
            <w:tcBorders>
              <w:top w:val="single" w:sz="18" w:space="0" w:color="0070C0"/>
              <w:right w:val="nil"/>
            </w:tcBorders>
            <w:shd w:val="clear" w:color="auto" w:fill="F2F2F2" w:themeFill="background1" w:themeFillShade="F2"/>
          </w:tcPr>
          <w:p w14:paraId="7CBA4188" w14:textId="28B2ED95" w:rsidR="00702F0B" w:rsidRPr="000D119D" w:rsidRDefault="00D27E21" w:rsidP="00B65F27">
            <w:pPr>
              <w:pStyle w:val="TableNheader2"/>
            </w:pPr>
            <w:r w:rsidRPr="00D27E21">
              <w:t>Establishment</w:t>
            </w:r>
          </w:p>
        </w:tc>
      </w:tr>
      <w:tr w:rsidR="00702F0B" w:rsidRPr="00141636" w14:paraId="6483AEEF" w14:textId="77777777" w:rsidTr="00F344CE">
        <w:trPr>
          <w:gridAfter w:val="1"/>
          <w:wAfter w:w="86" w:type="dxa"/>
          <w:trHeight w:val="20"/>
        </w:trPr>
        <w:tc>
          <w:tcPr>
            <w:cnfStyle w:val="001000000000" w:firstRow="0" w:lastRow="0" w:firstColumn="1" w:lastColumn="0" w:oddVBand="0" w:evenVBand="0" w:oddHBand="0" w:evenHBand="0" w:firstRowFirstColumn="0" w:firstRowLastColumn="0" w:lastRowFirstColumn="0" w:lastRowLastColumn="0"/>
            <w:tcW w:w="422" w:type="dxa"/>
            <w:shd w:val="clear" w:color="auto" w:fill="FFFFFF" w:themeFill="background1"/>
          </w:tcPr>
          <w:p w14:paraId="5B238A23" w14:textId="77777777" w:rsidR="00702F0B" w:rsidRPr="000D119D" w:rsidRDefault="00702F0B" w:rsidP="00262679">
            <w:pPr>
              <w:pStyle w:val="TableNText"/>
              <w:rPr>
                <w:sz w:val="18"/>
                <w:szCs w:val="18"/>
              </w:rPr>
            </w:pPr>
            <w:r w:rsidRPr="000D119D">
              <w:rPr>
                <w:sz w:val="18"/>
                <w:szCs w:val="18"/>
              </w:rPr>
              <w:t>1.</w:t>
            </w:r>
          </w:p>
        </w:tc>
        <w:tc>
          <w:tcPr>
            <w:tcW w:w="8508" w:type="dxa"/>
            <w:shd w:val="clear" w:color="auto" w:fill="FFFFFF" w:themeFill="background1"/>
          </w:tcPr>
          <w:p w14:paraId="7D774AF6" w14:textId="77777777" w:rsidR="00702F0B" w:rsidRPr="00B65F27" w:rsidRDefault="00702F0B" w:rsidP="00B65F27">
            <w:pPr>
              <w:pStyle w:val="TableNText"/>
              <w:cnfStyle w:val="000000000000" w:firstRow="0" w:lastRow="0" w:firstColumn="0" w:lastColumn="0" w:oddVBand="0" w:evenVBand="0" w:oddHBand="0" w:evenHBand="0" w:firstRowFirstColumn="0" w:firstRowLastColumn="0" w:lastRowFirstColumn="0" w:lastRowLastColumn="0"/>
            </w:pPr>
            <w:r w:rsidRPr="00B65F27">
              <w:t>How appropriate is the program design to deliver the program outcomes?</w:t>
            </w:r>
          </w:p>
        </w:tc>
      </w:tr>
      <w:tr w:rsidR="00702F0B" w:rsidRPr="00141636" w14:paraId="09D8E655" w14:textId="77777777" w:rsidTr="00F344CE">
        <w:trPr>
          <w:gridAfter w:val="1"/>
          <w:wAfter w:w="86" w:type="dxa"/>
          <w:trHeight w:val="20"/>
        </w:trPr>
        <w:tc>
          <w:tcPr>
            <w:cnfStyle w:val="001000000000" w:firstRow="0" w:lastRow="0" w:firstColumn="1" w:lastColumn="0" w:oddVBand="0" w:evenVBand="0" w:oddHBand="0" w:evenHBand="0" w:firstRowFirstColumn="0" w:firstRowLastColumn="0" w:lastRowFirstColumn="0" w:lastRowLastColumn="0"/>
            <w:tcW w:w="422" w:type="dxa"/>
            <w:shd w:val="clear" w:color="auto" w:fill="FFFFFF" w:themeFill="background1"/>
          </w:tcPr>
          <w:p w14:paraId="2ADAF27F" w14:textId="77777777" w:rsidR="00702F0B" w:rsidRPr="000D119D" w:rsidRDefault="00702F0B" w:rsidP="00262679">
            <w:pPr>
              <w:pStyle w:val="TableNText"/>
              <w:rPr>
                <w:sz w:val="18"/>
                <w:szCs w:val="18"/>
              </w:rPr>
            </w:pPr>
            <w:r w:rsidRPr="000D119D">
              <w:rPr>
                <w:sz w:val="18"/>
                <w:szCs w:val="18"/>
              </w:rPr>
              <w:t>2.</w:t>
            </w:r>
          </w:p>
        </w:tc>
        <w:tc>
          <w:tcPr>
            <w:tcW w:w="8508" w:type="dxa"/>
            <w:shd w:val="clear" w:color="auto" w:fill="FFFFFF" w:themeFill="background1"/>
          </w:tcPr>
          <w:p w14:paraId="2C95CCA7" w14:textId="77777777" w:rsidR="00702F0B" w:rsidRPr="00B65F27" w:rsidRDefault="00702F0B" w:rsidP="00B65F27">
            <w:pPr>
              <w:pStyle w:val="TableNText"/>
              <w:cnfStyle w:val="000000000000" w:firstRow="0" w:lastRow="0" w:firstColumn="0" w:lastColumn="0" w:oddVBand="0" w:evenVBand="0" w:oddHBand="0" w:evenHBand="0" w:firstRowFirstColumn="0" w:firstRowLastColumn="0" w:lastRowFirstColumn="0" w:lastRowLastColumn="0"/>
            </w:pPr>
            <w:r w:rsidRPr="00B65F27">
              <w:t>How effective was the establishment of the program?</w:t>
            </w:r>
          </w:p>
        </w:tc>
      </w:tr>
      <w:tr w:rsidR="00702F0B" w:rsidRPr="00141636" w14:paraId="3132594F" w14:textId="77777777" w:rsidTr="00F344CE">
        <w:trPr>
          <w:gridAfter w:val="1"/>
          <w:wAfter w:w="86" w:type="dxa"/>
          <w:trHeight w:val="283"/>
        </w:trPr>
        <w:tc>
          <w:tcPr>
            <w:cnfStyle w:val="001000000000" w:firstRow="0" w:lastRow="0" w:firstColumn="1" w:lastColumn="0" w:oddVBand="0" w:evenVBand="0" w:oddHBand="0" w:evenHBand="0" w:firstRowFirstColumn="0" w:firstRowLastColumn="0" w:lastRowFirstColumn="0" w:lastRowLastColumn="0"/>
            <w:tcW w:w="8930" w:type="dxa"/>
            <w:gridSpan w:val="2"/>
            <w:shd w:val="clear" w:color="auto" w:fill="F2F2F2" w:themeFill="background1" w:themeFillShade="F2"/>
          </w:tcPr>
          <w:p w14:paraId="6108FF2D" w14:textId="73513A27" w:rsidR="00702F0B" w:rsidRPr="00D27E21" w:rsidRDefault="00D27E21" w:rsidP="00B65F27">
            <w:pPr>
              <w:pStyle w:val="TableNheader2"/>
            </w:pPr>
            <w:r w:rsidRPr="00D27E21">
              <w:t>Implementation</w:t>
            </w:r>
          </w:p>
        </w:tc>
      </w:tr>
      <w:tr w:rsidR="00702F0B" w:rsidRPr="00141636" w14:paraId="40CBD520" w14:textId="77777777" w:rsidTr="00F344CE">
        <w:trPr>
          <w:gridAfter w:val="1"/>
          <w:wAfter w:w="86" w:type="dxa"/>
          <w:trHeight w:val="20"/>
        </w:trPr>
        <w:tc>
          <w:tcPr>
            <w:cnfStyle w:val="001000000000" w:firstRow="0" w:lastRow="0" w:firstColumn="1" w:lastColumn="0" w:oddVBand="0" w:evenVBand="0" w:oddHBand="0" w:evenHBand="0" w:firstRowFirstColumn="0" w:firstRowLastColumn="0" w:lastRowFirstColumn="0" w:lastRowLastColumn="0"/>
            <w:tcW w:w="422" w:type="dxa"/>
            <w:shd w:val="clear" w:color="auto" w:fill="FFFFFF" w:themeFill="background1"/>
          </w:tcPr>
          <w:p w14:paraId="7398FE1E" w14:textId="77777777" w:rsidR="00702F0B" w:rsidRPr="000D119D" w:rsidRDefault="00702F0B" w:rsidP="00262679">
            <w:pPr>
              <w:rPr>
                <w:sz w:val="18"/>
                <w:szCs w:val="18"/>
                <w:lang w:val="en-AU" w:eastAsia="en-AU"/>
              </w:rPr>
            </w:pPr>
            <w:r w:rsidRPr="000D119D">
              <w:rPr>
                <w:sz w:val="18"/>
                <w:szCs w:val="18"/>
                <w:lang w:val="en-AU" w:eastAsia="en-AU"/>
              </w:rPr>
              <w:t>3.</w:t>
            </w:r>
          </w:p>
        </w:tc>
        <w:tc>
          <w:tcPr>
            <w:tcW w:w="8508" w:type="dxa"/>
            <w:shd w:val="clear" w:color="auto" w:fill="FFFFFF" w:themeFill="background1"/>
          </w:tcPr>
          <w:p w14:paraId="4F59BD9B" w14:textId="77777777" w:rsidR="00702F0B" w:rsidRPr="00B65F27" w:rsidRDefault="00702F0B" w:rsidP="00B65F27">
            <w:pPr>
              <w:pStyle w:val="TableNText"/>
              <w:cnfStyle w:val="000000000000" w:firstRow="0" w:lastRow="0" w:firstColumn="0" w:lastColumn="0" w:oddVBand="0" w:evenVBand="0" w:oddHBand="0" w:evenHBand="0" w:firstRowFirstColumn="0" w:firstRowLastColumn="0" w:lastRowFirstColumn="0" w:lastRowLastColumn="0"/>
            </w:pPr>
            <w:r w:rsidRPr="00B65F27">
              <w:t xml:space="preserve">How effective has the implementation of the </w:t>
            </w:r>
            <w:proofErr w:type="spellStart"/>
            <w:r w:rsidRPr="00B65F27">
              <w:rPr>
                <w:rStyle w:val="Emphasis"/>
              </w:rPr>
              <w:t>HeadtoHelp</w:t>
            </w:r>
            <w:proofErr w:type="spellEnd"/>
            <w:r w:rsidRPr="00B65F27">
              <w:t xml:space="preserve"> initiative been to date and what can we learn from it?</w:t>
            </w:r>
          </w:p>
        </w:tc>
      </w:tr>
      <w:tr w:rsidR="00702F0B" w:rsidRPr="00141636" w14:paraId="13A3DE3B" w14:textId="77777777" w:rsidTr="00F344CE">
        <w:trPr>
          <w:gridAfter w:val="1"/>
          <w:wAfter w:w="86" w:type="dxa"/>
          <w:trHeight w:val="20"/>
        </w:trPr>
        <w:tc>
          <w:tcPr>
            <w:cnfStyle w:val="001000000000" w:firstRow="0" w:lastRow="0" w:firstColumn="1" w:lastColumn="0" w:oddVBand="0" w:evenVBand="0" w:oddHBand="0" w:evenHBand="0" w:firstRowFirstColumn="0" w:firstRowLastColumn="0" w:lastRowFirstColumn="0" w:lastRowLastColumn="0"/>
            <w:tcW w:w="422" w:type="dxa"/>
            <w:shd w:val="clear" w:color="auto" w:fill="FFFFFF" w:themeFill="background1"/>
          </w:tcPr>
          <w:p w14:paraId="66BC0317" w14:textId="77777777" w:rsidR="00702F0B" w:rsidRPr="000D119D" w:rsidRDefault="00702F0B" w:rsidP="00262679">
            <w:pPr>
              <w:pStyle w:val="TableNText"/>
              <w:rPr>
                <w:sz w:val="18"/>
                <w:szCs w:val="18"/>
              </w:rPr>
            </w:pPr>
            <w:r w:rsidRPr="000D119D">
              <w:rPr>
                <w:sz w:val="18"/>
                <w:szCs w:val="18"/>
              </w:rPr>
              <w:t>4.</w:t>
            </w:r>
          </w:p>
        </w:tc>
        <w:tc>
          <w:tcPr>
            <w:tcW w:w="8508" w:type="dxa"/>
            <w:shd w:val="clear" w:color="auto" w:fill="FFFFFF" w:themeFill="background1"/>
          </w:tcPr>
          <w:p w14:paraId="55CF7AB9" w14:textId="77777777" w:rsidR="00702F0B" w:rsidRPr="00B65F27" w:rsidRDefault="00702F0B" w:rsidP="00B65F27">
            <w:pPr>
              <w:pStyle w:val="TableNText"/>
              <w:cnfStyle w:val="000000000000" w:firstRow="0" w:lastRow="0" w:firstColumn="0" w:lastColumn="0" w:oddVBand="0" w:evenVBand="0" w:oddHBand="0" w:evenHBand="0" w:firstRowFirstColumn="0" w:firstRowLastColumn="0" w:lastRowFirstColumn="0" w:lastRowLastColumn="0"/>
            </w:pPr>
            <w:r w:rsidRPr="00B65F27">
              <w:t xml:space="preserve">Has the </w:t>
            </w:r>
            <w:proofErr w:type="spellStart"/>
            <w:r w:rsidRPr="00B65F27">
              <w:rPr>
                <w:rStyle w:val="Emphasis"/>
              </w:rPr>
              <w:t>HeadtoHelp</w:t>
            </w:r>
            <w:proofErr w:type="spellEnd"/>
            <w:r w:rsidRPr="00B65F27">
              <w:t xml:space="preserve"> service implemented effective IAR intake practices?</w:t>
            </w:r>
          </w:p>
        </w:tc>
      </w:tr>
      <w:tr w:rsidR="00702F0B" w:rsidRPr="00141636" w14:paraId="2E899B3F" w14:textId="77777777" w:rsidTr="00F344CE">
        <w:trPr>
          <w:gridAfter w:val="1"/>
          <w:wAfter w:w="86" w:type="dxa"/>
          <w:trHeight w:val="289"/>
        </w:trPr>
        <w:tc>
          <w:tcPr>
            <w:cnfStyle w:val="001000000000" w:firstRow="0" w:lastRow="0" w:firstColumn="1" w:lastColumn="0" w:oddVBand="0" w:evenVBand="0" w:oddHBand="0" w:evenHBand="0" w:firstRowFirstColumn="0" w:firstRowLastColumn="0" w:lastRowFirstColumn="0" w:lastRowLastColumn="0"/>
            <w:tcW w:w="8930" w:type="dxa"/>
            <w:gridSpan w:val="2"/>
            <w:shd w:val="clear" w:color="auto" w:fill="F2F2F2" w:themeFill="background1" w:themeFillShade="F2"/>
          </w:tcPr>
          <w:p w14:paraId="10913ACE" w14:textId="6AB2B31B" w:rsidR="00702F0B" w:rsidRPr="00B65F27" w:rsidRDefault="00D27E21" w:rsidP="00B65F27">
            <w:pPr>
              <w:pStyle w:val="TableNheader2"/>
            </w:pPr>
            <w:r w:rsidRPr="00D27E21">
              <w:t>Outcomes</w:t>
            </w:r>
          </w:p>
        </w:tc>
      </w:tr>
      <w:tr w:rsidR="00702F0B" w:rsidRPr="00141636" w14:paraId="661A08A0" w14:textId="77777777" w:rsidTr="00F344CE">
        <w:trPr>
          <w:gridAfter w:val="1"/>
          <w:wAfter w:w="86" w:type="dxa"/>
          <w:trHeight w:val="20"/>
        </w:trPr>
        <w:tc>
          <w:tcPr>
            <w:cnfStyle w:val="001000000000" w:firstRow="0" w:lastRow="0" w:firstColumn="1" w:lastColumn="0" w:oddVBand="0" w:evenVBand="0" w:oddHBand="0" w:evenHBand="0" w:firstRowFirstColumn="0" w:firstRowLastColumn="0" w:lastRowFirstColumn="0" w:lastRowLastColumn="0"/>
            <w:tcW w:w="422" w:type="dxa"/>
            <w:tcBorders>
              <w:bottom w:val="single" w:sz="8" w:space="0" w:color="E6E6E1" w:themeColor="accent5"/>
            </w:tcBorders>
            <w:shd w:val="clear" w:color="auto" w:fill="FFFFFF" w:themeFill="background1"/>
          </w:tcPr>
          <w:p w14:paraId="70159261" w14:textId="77777777" w:rsidR="00702F0B" w:rsidRPr="000D119D" w:rsidRDefault="00702F0B" w:rsidP="00262679">
            <w:pPr>
              <w:pStyle w:val="TableNText"/>
              <w:rPr>
                <w:sz w:val="18"/>
                <w:szCs w:val="18"/>
              </w:rPr>
            </w:pPr>
            <w:r w:rsidRPr="000D119D">
              <w:rPr>
                <w:sz w:val="18"/>
                <w:szCs w:val="18"/>
              </w:rPr>
              <w:t>5.</w:t>
            </w:r>
          </w:p>
        </w:tc>
        <w:tc>
          <w:tcPr>
            <w:tcW w:w="8508" w:type="dxa"/>
            <w:tcBorders>
              <w:bottom w:val="single" w:sz="8" w:space="0" w:color="E6E6E1" w:themeColor="accent5"/>
            </w:tcBorders>
            <w:shd w:val="clear" w:color="auto" w:fill="FFFFFF" w:themeFill="background1"/>
          </w:tcPr>
          <w:p w14:paraId="069D92EB" w14:textId="77777777" w:rsidR="00702F0B" w:rsidRPr="00B65F27" w:rsidRDefault="00702F0B" w:rsidP="00B65F27">
            <w:pPr>
              <w:pStyle w:val="TableNText"/>
              <w:cnfStyle w:val="000000000000" w:firstRow="0" w:lastRow="0" w:firstColumn="0" w:lastColumn="0" w:oddVBand="0" w:evenVBand="0" w:oddHBand="0" w:evenHBand="0" w:firstRowFirstColumn="0" w:firstRowLastColumn="0" w:lastRowFirstColumn="0" w:lastRowLastColumn="0"/>
            </w:pPr>
            <w:r w:rsidRPr="00B65F27">
              <w:t>How effective is the program in achieving outcomes for Victorians?</w:t>
            </w:r>
          </w:p>
        </w:tc>
      </w:tr>
      <w:tr w:rsidR="00702F0B" w:rsidRPr="00141636" w14:paraId="7D86415E" w14:textId="77777777" w:rsidTr="00F344CE">
        <w:trPr>
          <w:gridAfter w:val="1"/>
          <w:wAfter w:w="86" w:type="dxa"/>
          <w:trHeight w:val="20"/>
        </w:trPr>
        <w:tc>
          <w:tcPr>
            <w:cnfStyle w:val="001000000000" w:firstRow="0" w:lastRow="0" w:firstColumn="1" w:lastColumn="0" w:oddVBand="0" w:evenVBand="0" w:oddHBand="0" w:evenHBand="0" w:firstRowFirstColumn="0" w:firstRowLastColumn="0" w:lastRowFirstColumn="0" w:lastRowLastColumn="0"/>
            <w:tcW w:w="422" w:type="dxa"/>
            <w:shd w:val="clear" w:color="auto" w:fill="FFFFFF" w:themeFill="background1"/>
          </w:tcPr>
          <w:p w14:paraId="0FC9D85D" w14:textId="77777777" w:rsidR="00702F0B" w:rsidRPr="000D119D" w:rsidRDefault="00702F0B" w:rsidP="00262679">
            <w:pPr>
              <w:pStyle w:val="TableNText"/>
              <w:rPr>
                <w:sz w:val="18"/>
                <w:szCs w:val="18"/>
              </w:rPr>
            </w:pPr>
            <w:r w:rsidRPr="000D119D">
              <w:rPr>
                <w:sz w:val="18"/>
                <w:szCs w:val="18"/>
              </w:rPr>
              <w:t>6.</w:t>
            </w:r>
          </w:p>
        </w:tc>
        <w:tc>
          <w:tcPr>
            <w:tcW w:w="8508" w:type="dxa"/>
            <w:shd w:val="clear" w:color="auto" w:fill="FFFFFF" w:themeFill="background1"/>
          </w:tcPr>
          <w:p w14:paraId="4D7E3363" w14:textId="77777777" w:rsidR="00702F0B" w:rsidRPr="00B65F27" w:rsidRDefault="00702F0B" w:rsidP="00B65F27">
            <w:pPr>
              <w:pStyle w:val="TableNText"/>
              <w:cnfStyle w:val="000000000000" w:firstRow="0" w:lastRow="0" w:firstColumn="0" w:lastColumn="0" w:oddVBand="0" w:evenVBand="0" w:oddHBand="0" w:evenHBand="0" w:firstRowFirstColumn="0" w:firstRowLastColumn="0" w:lastRowFirstColumn="0" w:lastRowLastColumn="0"/>
            </w:pPr>
            <w:r w:rsidRPr="00B65F27">
              <w:t xml:space="preserve">What has been and is the likely impact of the implementation of the </w:t>
            </w:r>
            <w:proofErr w:type="spellStart"/>
            <w:r w:rsidRPr="00B65F27">
              <w:rPr>
                <w:rStyle w:val="Emphasis"/>
              </w:rPr>
              <w:t>HeadtoHelp</w:t>
            </w:r>
            <w:proofErr w:type="spellEnd"/>
            <w:r w:rsidRPr="00B65F27">
              <w:t>?</w:t>
            </w:r>
          </w:p>
        </w:tc>
      </w:tr>
      <w:tr w:rsidR="00702F0B" w:rsidRPr="00141636" w14:paraId="49724A16" w14:textId="77777777" w:rsidTr="00F344CE">
        <w:trPr>
          <w:gridAfter w:val="1"/>
          <w:wAfter w:w="86" w:type="dxa"/>
          <w:trHeight w:val="20"/>
        </w:trPr>
        <w:tc>
          <w:tcPr>
            <w:cnfStyle w:val="001000000000" w:firstRow="0" w:lastRow="0" w:firstColumn="1" w:lastColumn="0" w:oddVBand="0" w:evenVBand="0" w:oddHBand="0" w:evenHBand="0" w:firstRowFirstColumn="0" w:firstRowLastColumn="0" w:lastRowFirstColumn="0" w:lastRowLastColumn="0"/>
            <w:tcW w:w="422" w:type="dxa"/>
            <w:tcBorders>
              <w:bottom w:val="single" w:sz="8" w:space="0" w:color="E6E6E1" w:themeColor="accent5"/>
            </w:tcBorders>
            <w:shd w:val="clear" w:color="auto" w:fill="FFFFFF" w:themeFill="background1"/>
          </w:tcPr>
          <w:p w14:paraId="22869C46" w14:textId="77777777" w:rsidR="00702F0B" w:rsidRPr="000D119D" w:rsidRDefault="00702F0B" w:rsidP="00262679">
            <w:pPr>
              <w:pStyle w:val="TableNText"/>
              <w:rPr>
                <w:sz w:val="18"/>
                <w:szCs w:val="18"/>
              </w:rPr>
            </w:pPr>
            <w:r w:rsidRPr="000D119D">
              <w:rPr>
                <w:sz w:val="18"/>
                <w:szCs w:val="18"/>
              </w:rPr>
              <w:t>7.</w:t>
            </w:r>
          </w:p>
        </w:tc>
        <w:tc>
          <w:tcPr>
            <w:tcW w:w="8508" w:type="dxa"/>
            <w:tcBorders>
              <w:bottom w:val="single" w:sz="8" w:space="0" w:color="E6E6E1" w:themeColor="accent5"/>
            </w:tcBorders>
            <w:shd w:val="clear" w:color="auto" w:fill="FFFFFF" w:themeFill="background1"/>
          </w:tcPr>
          <w:p w14:paraId="2125FD47" w14:textId="77777777" w:rsidR="00702F0B" w:rsidRPr="00B65F27" w:rsidRDefault="00702F0B" w:rsidP="00B65F27">
            <w:pPr>
              <w:pStyle w:val="TableNText"/>
              <w:cnfStyle w:val="000000000000" w:firstRow="0" w:lastRow="0" w:firstColumn="0" w:lastColumn="0" w:oddVBand="0" w:evenVBand="0" w:oddHBand="0" w:evenHBand="0" w:firstRowFirstColumn="0" w:firstRowLastColumn="0" w:lastRowFirstColumn="0" w:lastRowLastColumn="0"/>
            </w:pPr>
            <w:r w:rsidRPr="00B65F27">
              <w:t>How efficient is the program?</w:t>
            </w:r>
          </w:p>
        </w:tc>
      </w:tr>
      <w:tr w:rsidR="00567A94" w:rsidRPr="000D119D" w14:paraId="5E8B1385" w14:textId="77777777" w:rsidTr="00F344CE">
        <w:trPr>
          <w:gridAfter w:val="1"/>
          <w:wAfter w:w="86" w:type="dxa"/>
          <w:trHeight w:val="323"/>
        </w:trPr>
        <w:tc>
          <w:tcPr>
            <w:cnfStyle w:val="001000000000" w:firstRow="0" w:lastRow="0" w:firstColumn="1" w:lastColumn="0" w:oddVBand="0" w:evenVBand="0" w:oddHBand="0" w:evenHBand="0" w:firstRowFirstColumn="0" w:firstRowLastColumn="0" w:lastRowFirstColumn="0" w:lastRowLastColumn="0"/>
            <w:tcW w:w="8930" w:type="dxa"/>
            <w:gridSpan w:val="2"/>
            <w:tcBorders>
              <w:top w:val="single" w:sz="8" w:space="0" w:color="E6E6E1" w:themeColor="accent5"/>
              <w:bottom w:val="single" w:sz="18" w:space="0" w:color="F25E21" w:themeColor="accent2"/>
            </w:tcBorders>
            <w:shd w:val="clear" w:color="auto" w:fill="00264D" w:themeFill="background2"/>
          </w:tcPr>
          <w:p w14:paraId="4D26A4BF" w14:textId="77777777" w:rsidR="00567A94" w:rsidRPr="000D119D" w:rsidRDefault="00567A94" w:rsidP="0072285E">
            <w:pPr>
              <w:pStyle w:val="TableNText"/>
              <w:rPr>
                <w:rFonts w:asciiTheme="majorHAnsi" w:hAnsiTheme="majorHAnsi" w:cstheme="majorHAnsi"/>
                <w:sz w:val="18"/>
                <w:szCs w:val="18"/>
              </w:rPr>
            </w:pPr>
            <w:bookmarkStart w:id="10" w:name="_Ref74758487"/>
            <w:bookmarkEnd w:id="8"/>
            <w:r w:rsidRPr="000D119D">
              <w:rPr>
                <w:rFonts w:asciiTheme="majorHAnsi" w:hAnsiTheme="majorHAnsi" w:cstheme="majorHAnsi"/>
                <w:sz w:val="18"/>
                <w:szCs w:val="18"/>
              </w:rPr>
              <w:t xml:space="preserve">Part B: </w:t>
            </w:r>
            <w:r w:rsidRPr="00567A94">
              <w:rPr>
                <w:rFonts w:asciiTheme="majorHAnsi" w:hAnsiTheme="majorHAnsi" w:cstheme="majorHAnsi"/>
                <w:color w:val="F25E21" w:themeColor="accent2"/>
                <w:sz w:val="18"/>
                <w:szCs w:val="18"/>
              </w:rPr>
              <w:t>AMHC</w:t>
            </w:r>
          </w:p>
        </w:tc>
      </w:tr>
      <w:tr w:rsidR="00567A94" w:rsidRPr="000D119D" w14:paraId="6926803A" w14:textId="77777777" w:rsidTr="00F344CE">
        <w:trPr>
          <w:trHeight w:val="2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18" w:space="0" w:color="F25E21" w:themeColor="accent2"/>
            </w:tcBorders>
            <w:shd w:val="clear" w:color="auto" w:fill="F2F2F2" w:themeFill="background1" w:themeFillShade="F2"/>
          </w:tcPr>
          <w:p w14:paraId="1878B0E2" w14:textId="0548E3C1" w:rsidR="00567A94" w:rsidRPr="00B65F27" w:rsidRDefault="00D27E21" w:rsidP="00B65F27">
            <w:pPr>
              <w:pStyle w:val="TableNText"/>
            </w:pPr>
            <w:r w:rsidRPr="00B65F27">
              <w:t xml:space="preserve">8. </w:t>
            </w:r>
            <w:r w:rsidR="00567A94" w:rsidRPr="00B65F27">
              <w:t>How effective has the establishment of the program been to date and what we can learn from it?</w:t>
            </w:r>
          </w:p>
        </w:tc>
      </w:tr>
      <w:tr w:rsidR="00567A94" w:rsidRPr="000D119D" w14:paraId="23331C0C" w14:textId="77777777" w:rsidTr="00F344CE">
        <w:trPr>
          <w:trHeight w:val="2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F2F2F2" w:themeFill="background1" w:themeFillShade="F2"/>
          </w:tcPr>
          <w:p w14:paraId="05121EC5" w14:textId="59BD9579" w:rsidR="00567A94" w:rsidRPr="00B65F27" w:rsidRDefault="00D27E21" w:rsidP="00B65F27">
            <w:pPr>
              <w:pStyle w:val="TableNText"/>
            </w:pPr>
            <w:r w:rsidRPr="00B65F27">
              <w:t xml:space="preserve">9. </w:t>
            </w:r>
            <w:r w:rsidR="00567A94" w:rsidRPr="00B65F27">
              <w:t>How appropriate is the IAR intake process that has been developed?</w:t>
            </w:r>
          </w:p>
        </w:tc>
      </w:tr>
      <w:tr w:rsidR="00567A94" w:rsidRPr="000D119D" w14:paraId="5C177FE2" w14:textId="77777777" w:rsidTr="00F344CE">
        <w:trPr>
          <w:trHeight w:val="2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F2F2F2" w:themeFill="background1" w:themeFillShade="F2"/>
          </w:tcPr>
          <w:p w14:paraId="7AC7BFD6" w14:textId="17BA03D6" w:rsidR="00567A94" w:rsidRPr="00B65F27" w:rsidRDefault="00D27E21" w:rsidP="00B65F27">
            <w:pPr>
              <w:pStyle w:val="TableNText"/>
            </w:pPr>
            <w:r w:rsidRPr="00B65F27">
              <w:t xml:space="preserve">10. </w:t>
            </w:r>
            <w:r w:rsidR="00567A94" w:rsidRPr="00B65F27">
              <w:t>How efficiently were AMHCs established?</w:t>
            </w:r>
          </w:p>
        </w:tc>
      </w:tr>
    </w:tbl>
    <w:p w14:paraId="26EEF3F0" w14:textId="02A46E98" w:rsidR="00857B70" w:rsidRPr="00EA33C6" w:rsidRDefault="00857B70" w:rsidP="00B65F27">
      <w:pPr>
        <w:pStyle w:val="Heading2"/>
        <w:pageBreakBefore/>
        <w:rPr>
          <w:rFonts w:eastAsia="Segoe UI"/>
        </w:rPr>
      </w:pPr>
      <w:bookmarkStart w:id="11" w:name="_Toc99650329"/>
      <w:r>
        <w:rPr>
          <w:rFonts w:eastAsia="Segoe UI"/>
        </w:rPr>
        <w:lastRenderedPageBreak/>
        <w:t>Methodology</w:t>
      </w:r>
      <w:bookmarkEnd w:id="11"/>
    </w:p>
    <w:p w14:paraId="3810F33D" w14:textId="77777777" w:rsidR="00857B70" w:rsidRDefault="00857B70" w:rsidP="00BE0860">
      <w:pPr>
        <w:pStyle w:val="Heading3"/>
      </w:pPr>
      <w:r>
        <w:t>The evaluation was informed by a theory of change and guided by a program logic model</w:t>
      </w:r>
    </w:p>
    <w:p w14:paraId="7D5035B6" w14:textId="70EC9957" w:rsidR="00857B70" w:rsidRPr="00C96EC5" w:rsidRDefault="00857B70" w:rsidP="00857B70">
      <w:r>
        <w:rPr>
          <w:lang w:val="en-AU" w:eastAsia="en-AU"/>
        </w:rPr>
        <w:t xml:space="preserve">The theory of change for </w:t>
      </w:r>
      <w:proofErr w:type="spellStart"/>
      <w:r w:rsidRPr="00B65F27">
        <w:rPr>
          <w:rStyle w:val="Emphasis"/>
        </w:rPr>
        <w:t>HeadtoHelp</w:t>
      </w:r>
      <w:proofErr w:type="spellEnd"/>
      <w:r>
        <w:rPr>
          <w:lang w:val="en-AU" w:eastAsia="en-AU"/>
        </w:rPr>
        <w:t xml:space="preserve"> and the AMHCs is shown in </w:t>
      </w:r>
      <w:r>
        <w:rPr>
          <w:lang w:val="en-AU" w:eastAsia="en-AU"/>
        </w:rPr>
        <w:fldChar w:fldCharType="begin"/>
      </w:r>
      <w:r>
        <w:rPr>
          <w:lang w:val="en-AU" w:eastAsia="en-AU"/>
        </w:rPr>
        <w:instrText xml:space="preserve"> REF _Ref99032354 \h </w:instrText>
      </w:r>
      <w:r>
        <w:rPr>
          <w:lang w:val="en-AU" w:eastAsia="en-AU"/>
        </w:rPr>
      </w:r>
      <w:r>
        <w:rPr>
          <w:lang w:val="en-AU" w:eastAsia="en-AU"/>
        </w:rPr>
        <w:fldChar w:fldCharType="separate"/>
      </w:r>
      <w:r w:rsidR="00562174">
        <w:t xml:space="preserve">Figure </w:t>
      </w:r>
      <w:r w:rsidR="00562174">
        <w:rPr>
          <w:noProof/>
        </w:rPr>
        <w:t>2</w:t>
      </w:r>
      <w:r>
        <w:rPr>
          <w:lang w:val="en-AU" w:eastAsia="en-AU"/>
        </w:rPr>
        <w:fldChar w:fldCharType="end"/>
      </w:r>
      <w:r>
        <w:rPr>
          <w:lang w:val="en-AU" w:eastAsia="en-AU"/>
        </w:rPr>
        <w:t xml:space="preserve">. This theory of change is expanded on in the program logics for each program, which can be found in Appendix C of the attached Appendix. The program logics provide further detail on how the </w:t>
      </w:r>
      <w:proofErr w:type="spellStart"/>
      <w:proofErr w:type="gramStart"/>
      <w:r w:rsidRPr="00B65F27">
        <w:rPr>
          <w:rStyle w:val="Emphasis"/>
        </w:rPr>
        <w:t>HeadtoHelp</w:t>
      </w:r>
      <w:proofErr w:type="spellEnd"/>
      <w:proofErr w:type="gramEnd"/>
      <w:r>
        <w:rPr>
          <w:lang w:val="en-AU" w:eastAsia="en-AU"/>
        </w:rPr>
        <w:t xml:space="preserve"> and AMHC activities are intended to achieve the desired outcomes.</w:t>
      </w:r>
    </w:p>
    <w:p w14:paraId="09297D0F" w14:textId="3B18C349" w:rsidR="00857B70" w:rsidRDefault="00857B70" w:rsidP="00857B70">
      <w:pPr>
        <w:pStyle w:val="Caption"/>
      </w:pPr>
      <w:bookmarkStart w:id="12" w:name="_Ref99032354"/>
      <w:r>
        <w:t xml:space="preserve">Figure </w:t>
      </w:r>
      <w:r>
        <w:fldChar w:fldCharType="begin"/>
      </w:r>
      <w:r>
        <w:instrText xml:space="preserve"> SEQ Figure \* ARABIC </w:instrText>
      </w:r>
      <w:r>
        <w:fldChar w:fldCharType="separate"/>
      </w:r>
      <w:r w:rsidR="00562174">
        <w:rPr>
          <w:noProof/>
        </w:rPr>
        <w:t>2</w:t>
      </w:r>
      <w:r>
        <w:fldChar w:fldCharType="end"/>
      </w:r>
      <w:bookmarkEnd w:id="12"/>
      <w:r>
        <w:t xml:space="preserve"> | Theory of change for </w:t>
      </w:r>
      <w:proofErr w:type="spellStart"/>
      <w:r>
        <w:rPr>
          <w:i/>
          <w:iCs/>
        </w:rPr>
        <w:t>HeadtoHelp</w:t>
      </w:r>
      <w:proofErr w:type="spellEnd"/>
      <w:r>
        <w:t xml:space="preserve"> and AMHCs</w:t>
      </w:r>
    </w:p>
    <w:p w14:paraId="17AF5855" w14:textId="2AEE8586" w:rsidR="00857B70" w:rsidRPr="000D119D" w:rsidRDefault="00707462" w:rsidP="008E489A">
      <w:r w:rsidRPr="00707462">
        <w:rPr>
          <w:noProof/>
        </w:rPr>
        <w:drawing>
          <wp:inline distT="0" distB="0" distL="0" distR="0" wp14:anchorId="4FCBFA2F" wp14:editId="43EA3993">
            <wp:extent cx="5670550" cy="4906645"/>
            <wp:effectExtent l="0" t="0" r="6350" b="8255"/>
            <wp:docPr id="21" name="Picture 21" descr="Figure 2 is an infographic showing the theory of change for Head to Help and Adult Mental Health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2 is an infographic showing the theory of change for Head to Help and Adult Mental Health Centr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0550" cy="4906645"/>
                    </a:xfrm>
                    <a:prstGeom prst="rect">
                      <a:avLst/>
                    </a:prstGeom>
                    <a:noFill/>
                    <a:ln>
                      <a:noFill/>
                    </a:ln>
                  </pic:spPr>
                </pic:pic>
              </a:graphicData>
            </a:graphic>
          </wp:inline>
        </w:drawing>
      </w:r>
    </w:p>
    <w:p w14:paraId="6F00D834" w14:textId="77777777" w:rsidR="00857B70" w:rsidRDefault="00857B70" w:rsidP="00BE0860">
      <w:pPr>
        <w:pStyle w:val="Heading3"/>
      </w:pPr>
      <w:r>
        <w:t>The evaluation involved three data collection stages using a mixed-methods data collection approach</w:t>
      </w:r>
    </w:p>
    <w:p w14:paraId="0E732580" w14:textId="7C89BFA2" w:rsidR="00857B70" w:rsidRDefault="00857B70" w:rsidP="00857B70">
      <w:pPr>
        <w:rPr>
          <w:lang w:val="en-AU" w:eastAsia="en-AU"/>
        </w:rPr>
      </w:pPr>
      <w:r>
        <w:rPr>
          <w:lang w:val="en-AU" w:eastAsia="en-AU"/>
        </w:rPr>
        <w:t xml:space="preserve">Data collection and analysis activities included consultations and workshops with various </w:t>
      </w:r>
      <w:proofErr w:type="spellStart"/>
      <w:r w:rsidRPr="001765F4">
        <w:rPr>
          <w:rStyle w:val="Emphasis"/>
        </w:rPr>
        <w:t>HeadtoHelp</w:t>
      </w:r>
      <w:proofErr w:type="spellEnd"/>
      <w:r>
        <w:rPr>
          <w:lang w:val="en-AU" w:eastAsia="en-AU"/>
        </w:rPr>
        <w:t xml:space="preserve"> and AMHC stakeholders as well as analysis of survey results and linked data sets. A summary of these activities is given in </w:t>
      </w:r>
      <w:r>
        <w:rPr>
          <w:lang w:val="en-AU" w:eastAsia="en-AU"/>
        </w:rPr>
        <w:fldChar w:fldCharType="begin"/>
      </w:r>
      <w:r>
        <w:rPr>
          <w:lang w:val="en-AU" w:eastAsia="en-AU"/>
        </w:rPr>
        <w:instrText xml:space="preserve"> REF _Ref99034327 \h </w:instrText>
      </w:r>
      <w:r>
        <w:rPr>
          <w:lang w:val="en-AU" w:eastAsia="en-AU"/>
        </w:rPr>
      </w:r>
      <w:r>
        <w:rPr>
          <w:lang w:val="en-AU" w:eastAsia="en-AU"/>
        </w:rPr>
        <w:fldChar w:fldCharType="separate"/>
      </w:r>
      <w:r w:rsidR="00562174">
        <w:t xml:space="preserve">Figure </w:t>
      </w:r>
      <w:r w:rsidR="00562174">
        <w:rPr>
          <w:noProof/>
        </w:rPr>
        <w:t>3</w:t>
      </w:r>
      <w:r>
        <w:rPr>
          <w:lang w:val="en-AU" w:eastAsia="en-AU"/>
        </w:rPr>
        <w:fldChar w:fldCharType="end"/>
      </w:r>
      <w:r>
        <w:rPr>
          <w:lang w:val="en-AU" w:eastAsia="en-AU"/>
        </w:rPr>
        <w:t>, followed by a summary of the primary and secondary data sources collected by the evaluation. Full details on these sources can be found in the attached Appendix in Sections 1.11 and 1.12.</w:t>
      </w:r>
    </w:p>
    <w:p w14:paraId="72725479" w14:textId="5421E2B6" w:rsidR="00857B70" w:rsidRDefault="00857B70" w:rsidP="00857B70">
      <w:pPr>
        <w:pStyle w:val="Caption"/>
      </w:pPr>
      <w:bookmarkStart w:id="13" w:name="_Ref99034327"/>
      <w:r>
        <w:lastRenderedPageBreak/>
        <w:t xml:space="preserve">Figure </w:t>
      </w:r>
      <w:r>
        <w:fldChar w:fldCharType="begin"/>
      </w:r>
      <w:r>
        <w:instrText xml:space="preserve"> SEQ Figure \* ARABIC </w:instrText>
      </w:r>
      <w:r>
        <w:fldChar w:fldCharType="separate"/>
      </w:r>
      <w:r w:rsidR="00562174">
        <w:rPr>
          <w:noProof/>
        </w:rPr>
        <w:t>3</w:t>
      </w:r>
      <w:r>
        <w:fldChar w:fldCharType="end"/>
      </w:r>
      <w:bookmarkEnd w:id="13"/>
      <w:r>
        <w:t xml:space="preserve"> | </w:t>
      </w:r>
      <w:r w:rsidRPr="00C946A3">
        <w:t>Summary of data collection and analysis activities</w:t>
      </w:r>
    </w:p>
    <w:p w14:paraId="271F8FE8" w14:textId="619AC638" w:rsidR="00857B70" w:rsidRDefault="008D203E" w:rsidP="00857B70">
      <w:pPr>
        <w:rPr>
          <w:lang w:val="en-AU" w:eastAsia="en-AU"/>
        </w:rPr>
      </w:pPr>
      <w:r w:rsidRPr="008D203E">
        <w:rPr>
          <w:noProof/>
        </w:rPr>
        <w:drawing>
          <wp:inline distT="0" distB="0" distL="0" distR="0" wp14:anchorId="3D9B4208" wp14:editId="0014567A">
            <wp:extent cx="5670550" cy="7099300"/>
            <wp:effectExtent l="0" t="0" r="6350" b="6350"/>
            <wp:docPr id="22" name="Picture 22" descr="Figure 3 is an infographic giving a summary of data collection and analysi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3 is an infographic giving a summary of data collection and analysis activiti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70550" cy="7099300"/>
                    </a:xfrm>
                    <a:prstGeom prst="rect">
                      <a:avLst/>
                    </a:prstGeom>
                    <a:noFill/>
                    <a:ln>
                      <a:noFill/>
                    </a:ln>
                  </pic:spPr>
                </pic:pic>
              </a:graphicData>
            </a:graphic>
          </wp:inline>
        </w:drawing>
      </w:r>
    </w:p>
    <w:p w14:paraId="62077375" w14:textId="1B781B7C" w:rsidR="00857B70" w:rsidRDefault="00857B70" w:rsidP="00857B70">
      <w:pPr>
        <w:pStyle w:val="Caption"/>
      </w:pPr>
      <w:r>
        <w:t xml:space="preserve">Table </w:t>
      </w:r>
      <w:r>
        <w:fldChar w:fldCharType="begin"/>
      </w:r>
      <w:r>
        <w:instrText xml:space="preserve"> SEQ Table \* ARABIC </w:instrText>
      </w:r>
      <w:r>
        <w:fldChar w:fldCharType="separate"/>
      </w:r>
      <w:r w:rsidR="00562174">
        <w:rPr>
          <w:noProof/>
        </w:rPr>
        <w:t>2</w:t>
      </w:r>
      <w:r>
        <w:fldChar w:fldCharType="end"/>
      </w:r>
      <w:r>
        <w:t xml:space="preserve"> | Overview of data sources</w:t>
      </w:r>
    </w:p>
    <w:tbl>
      <w:tblPr>
        <w:tblStyle w:val="NousTableStyletopandsideheading"/>
        <w:tblW w:w="0" w:type="auto"/>
        <w:tblLook w:val="04A0" w:firstRow="1" w:lastRow="0" w:firstColumn="1" w:lastColumn="0" w:noHBand="0" w:noVBand="1"/>
      </w:tblPr>
      <w:tblGrid>
        <w:gridCol w:w="1022"/>
        <w:gridCol w:w="3070"/>
        <w:gridCol w:w="5008"/>
      </w:tblGrid>
      <w:tr w:rsidR="00857B70" w:rsidRPr="00141636" w14:paraId="473B8A69" w14:textId="77777777" w:rsidTr="001765F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55" w:type="dxa"/>
          </w:tcPr>
          <w:p w14:paraId="52E546F0" w14:textId="77777777" w:rsidR="00857B70" w:rsidRPr="00141636" w:rsidRDefault="00857B70" w:rsidP="001A15A9">
            <w:pPr>
              <w:spacing w:before="60" w:after="60"/>
              <w:rPr>
                <w:lang w:val="en-AU" w:eastAsia="en-AU"/>
              </w:rPr>
            </w:pPr>
          </w:p>
        </w:tc>
        <w:tc>
          <w:tcPr>
            <w:tcW w:w="3216" w:type="dxa"/>
          </w:tcPr>
          <w:p w14:paraId="40DF538F" w14:textId="77777777" w:rsidR="00857B70" w:rsidRPr="00141636" w:rsidRDefault="00857B70" w:rsidP="001A15A9">
            <w:pPr>
              <w:pStyle w:val="TableNheader"/>
              <w:cnfStyle w:val="100000000000" w:firstRow="1" w:lastRow="0" w:firstColumn="0" w:lastColumn="0" w:oddVBand="0" w:evenVBand="0" w:oddHBand="0" w:evenHBand="0" w:firstRowFirstColumn="0" w:firstRowLastColumn="0" w:lastRowFirstColumn="0" w:lastRowLastColumn="0"/>
              <w:rPr>
                <w:b w:val="0"/>
                <w:bCs/>
              </w:rPr>
            </w:pPr>
            <w:r w:rsidRPr="00141636">
              <w:rPr>
                <w:b w:val="0"/>
                <w:bCs/>
              </w:rPr>
              <w:t>Data Source</w:t>
            </w:r>
          </w:p>
        </w:tc>
        <w:tc>
          <w:tcPr>
            <w:tcW w:w="5329" w:type="dxa"/>
          </w:tcPr>
          <w:p w14:paraId="52955DC7" w14:textId="77777777" w:rsidR="00857B70" w:rsidRPr="00141636" w:rsidRDefault="00857B70" w:rsidP="001A15A9">
            <w:pPr>
              <w:pStyle w:val="TableNheader"/>
              <w:cnfStyle w:val="100000000000" w:firstRow="1" w:lastRow="0" w:firstColumn="0" w:lastColumn="0" w:oddVBand="0" w:evenVBand="0" w:oddHBand="0" w:evenHBand="0" w:firstRowFirstColumn="0" w:firstRowLastColumn="0" w:lastRowFirstColumn="0" w:lastRowLastColumn="0"/>
              <w:rPr>
                <w:b w:val="0"/>
                <w:bCs/>
              </w:rPr>
            </w:pPr>
            <w:r w:rsidRPr="00141636">
              <w:rPr>
                <w:b w:val="0"/>
                <w:bCs/>
              </w:rPr>
              <w:t>Purpose</w:t>
            </w:r>
          </w:p>
        </w:tc>
      </w:tr>
      <w:tr w:rsidR="00857B70" w:rsidRPr="00141636" w14:paraId="73AE8A3F" w14:textId="77777777" w:rsidTr="001765F4">
        <w:trPr>
          <w:trHeight w:val="20"/>
        </w:trPr>
        <w:tc>
          <w:tcPr>
            <w:cnfStyle w:val="001000000000" w:firstRow="0" w:lastRow="0" w:firstColumn="1" w:lastColumn="0" w:oddVBand="0" w:evenVBand="0" w:oddHBand="0" w:evenHBand="0" w:firstRowFirstColumn="0" w:firstRowLastColumn="0" w:lastRowFirstColumn="0" w:lastRowLastColumn="0"/>
            <w:tcW w:w="555" w:type="dxa"/>
            <w:vMerge w:val="restart"/>
          </w:tcPr>
          <w:p w14:paraId="5239C64B" w14:textId="77777777" w:rsidR="00857B70" w:rsidRPr="00141636" w:rsidRDefault="00857B70" w:rsidP="001A15A9">
            <w:pPr>
              <w:pStyle w:val="TableNheader"/>
              <w:rPr>
                <w:b w:val="0"/>
                <w:bCs/>
              </w:rPr>
            </w:pPr>
            <w:r w:rsidRPr="00141636">
              <w:rPr>
                <w:b w:val="0"/>
                <w:bCs/>
              </w:rPr>
              <w:t>Secondary Sources</w:t>
            </w:r>
          </w:p>
        </w:tc>
        <w:tc>
          <w:tcPr>
            <w:tcW w:w="3216" w:type="dxa"/>
          </w:tcPr>
          <w:p w14:paraId="0D791785"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bookmarkStart w:id="14" w:name="_Hlk73707001"/>
            <w:proofErr w:type="spellStart"/>
            <w:r w:rsidRPr="00141636">
              <w:rPr>
                <w:i/>
                <w:iCs/>
              </w:rPr>
              <w:t>HeadtoHelp</w:t>
            </w:r>
            <w:proofErr w:type="spellEnd"/>
            <w:r w:rsidRPr="00141636">
              <w:rPr>
                <w:i/>
                <w:iCs/>
              </w:rPr>
              <w:t xml:space="preserve"> </w:t>
            </w:r>
            <w:r w:rsidRPr="00141636">
              <w:t>intake and service data</w:t>
            </w:r>
            <w:bookmarkEnd w:id="14"/>
          </w:p>
        </w:tc>
        <w:tc>
          <w:tcPr>
            <w:tcW w:w="5329" w:type="dxa"/>
          </w:tcPr>
          <w:p w14:paraId="79880ED9" w14:textId="5E358A4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 xml:space="preserve">Understand service delivery trends, including number of </w:t>
            </w:r>
            <w:r>
              <w:t>participants</w:t>
            </w:r>
            <w:r w:rsidRPr="00141636">
              <w:t xml:space="preserve">, referral pathways in and out of </w:t>
            </w:r>
            <w:proofErr w:type="spellStart"/>
            <w:r w:rsidRPr="00141636">
              <w:rPr>
                <w:i/>
              </w:rPr>
              <w:t>HeadtoHelp</w:t>
            </w:r>
            <w:proofErr w:type="spellEnd"/>
            <w:r w:rsidR="002D266D">
              <w:rPr>
                <w:i/>
              </w:rPr>
              <w:t>,</w:t>
            </w:r>
            <w:r w:rsidRPr="00141636">
              <w:t xml:space="preserve"> and episodes of care.</w:t>
            </w:r>
          </w:p>
        </w:tc>
      </w:tr>
      <w:tr w:rsidR="00857B70" w:rsidRPr="00141636" w14:paraId="34B7C7A2" w14:textId="77777777" w:rsidTr="001765F4">
        <w:trPr>
          <w:trHeight w:val="20"/>
        </w:trPr>
        <w:tc>
          <w:tcPr>
            <w:cnfStyle w:val="001000000000" w:firstRow="0" w:lastRow="0" w:firstColumn="1" w:lastColumn="0" w:oddVBand="0" w:evenVBand="0" w:oddHBand="0" w:evenHBand="0" w:firstRowFirstColumn="0" w:firstRowLastColumn="0" w:lastRowFirstColumn="0" w:lastRowLastColumn="0"/>
            <w:tcW w:w="555" w:type="dxa"/>
            <w:vMerge/>
            <w:textDirection w:val="btLr"/>
          </w:tcPr>
          <w:p w14:paraId="09FA96FD" w14:textId="77777777" w:rsidR="00857B70" w:rsidRPr="00141636" w:rsidRDefault="00857B70" w:rsidP="001A15A9">
            <w:pPr>
              <w:spacing w:before="40" w:after="40"/>
              <w:ind w:left="113" w:right="113"/>
              <w:rPr>
                <w:lang w:val="en-AU" w:eastAsia="en-AU"/>
              </w:rPr>
            </w:pPr>
          </w:p>
        </w:tc>
        <w:tc>
          <w:tcPr>
            <w:tcW w:w="3216" w:type="dxa"/>
          </w:tcPr>
          <w:p w14:paraId="6D7F2460"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 xml:space="preserve">PMHC-MDS and </w:t>
            </w:r>
            <w:proofErr w:type="spellStart"/>
            <w:r w:rsidRPr="00141636">
              <w:rPr>
                <w:i/>
                <w:iCs/>
              </w:rPr>
              <w:t>HeadtoHelp</w:t>
            </w:r>
            <w:proofErr w:type="spellEnd"/>
            <w:r w:rsidRPr="00141636">
              <w:rPr>
                <w:i/>
                <w:iCs/>
              </w:rPr>
              <w:t xml:space="preserve"> </w:t>
            </w:r>
            <w:r w:rsidRPr="00141636">
              <w:lastRenderedPageBreak/>
              <w:t>extension</w:t>
            </w:r>
          </w:p>
        </w:tc>
        <w:tc>
          <w:tcPr>
            <w:tcW w:w="5329" w:type="dxa"/>
          </w:tcPr>
          <w:p w14:paraId="41A3671E"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lastRenderedPageBreak/>
              <w:t xml:space="preserve">Understand </w:t>
            </w:r>
            <w:r>
              <w:t>participant</w:t>
            </w:r>
            <w:r w:rsidRPr="00141636">
              <w:t xml:space="preserve"> demographics, presenting need and </w:t>
            </w:r>
            <w:r w:rsidRPr="00141636">
              <w:lastRenderedPageBreak/>
              <w:t xml:space="preserve">outcomes. </w:t>
            </w:r>
          </w:p>
        </w:tc>
      </w:tr>
      <w:tr w:rsidR="00857B70" w:rsidRPr="00141636" w14:paraId="00E7E631" w14:textId="77777777" w:rsidTr="001765F4">
        <w:trPr>
          <w:trHeight w:val="20"/>
        </w:trPr>
        <w:tc>
          <w:tcPr>
            <w:cnfStyle w:val="001000000000" w:firstRow="0" w:lastRow="0" w:firstColumn="1" w:lastColumn="0" w:oddVBand="0" w:evenVBand="0" w:oddHBand="0" w:evenHBand="0" w:firstRowFirstColumn="0" w:firstRowLastColumn="0" w:lastRowFirstColumn="0" w:lastRowLastColumn="0"/>
            <w:tcW w:w="555" w:type="dxa"/>
            <w:vMerge/>
            <w:textDirection w:val="btLr"/>
          </w:tcPr>
          <w:p w14:paraId="0972749C" w14:textId="77777777" w:rsidR="00857B70" w:rsidRPr="00141636" w:rsidRDefault="00857B70" w:rsidP="001A15A9">
            <w:pPr>
              <w:spacing w:before="40" w:after="40"/>
              <w:ind w:left="113" w:right="113"/>
              <w:rPr>
                <w:lang w:val="en-AU" w:eastAsia="en-AU"/>
              </w:rPr>
            </w:pPr>
          </w:p>
        </w:tc>
        <w:tc>
          <w:tcPr>
            <w:tcW w:w="3216" w:type="dxa"/>
          </w:tcPr>
          <w:p w14:paraId="06F04796" w14:textId="7877EDE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proofErr w:type="gramStart"/>
            <w:r w:rsidRPr="00141636">
              <w:t>YES</w:t>
            </w:r>
            <w:proofErr w:type="gramEnd"/>
            <w:r w:rsidRPr="00141636">
              <w:t xml:space="preserve"> and </w:t>
            </w:r>
            <w:r w:rsidR="00FE06CF">
              <w:t>HIE</w:t>
            </w:r>
            <w:r w:rsidRPr="00141636">
              <w:t xml:space="preserve"> survey data (when implemented)</w:t>
            </w:r>
          </w:p>
        </w:tc>
        <w:tc>
          <w:tcPr>
            <w:tcW w:w="5329" w:type="dxa"/>
          </w:tcPr>
          <w:p w14:paraId="4AF700D6"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 xml:space="preserve">Understand </w:t>
            </w:r>
            <w:r>
              <w:t>participant</w:t>
            </w:r>
            <w:r w:rsidRPr="00141636">
              <w:t xml:space="preserve"> satisfaction with the service received from </w:t>
            </w:r>
            <w:proofErr w:type="spellStart"/>
            <w:r w:rsidRPr="00141636">
              <w:rPr>
                <w:i/>
              </w:rPr>
              <w:t>HeadtoHelp</w:t>
            </w:r>
            <w:proofErr w:type="spellEnd"/>
            <w:r w:rsidRPr="00141636">
              <w:rPr>
                <w:i/>
              </w:rPr>
              <w:t>.</w:t>
            </w:r>
          </w:p>
        </w:tc>
      </w:tr>
      <w:tr w:rsidR="00857B70" w:rsidRPr="00141636" w14:paraId="070FD011" w14:textId="77777777" w:rsidTr="001765F4">
        <w:trPr>
          <w:trHeight w:val="20"/>
        </w:trPr>
        <w:tc>
          <w:tcPr>
            <w:cnfStyle w:val="001000000000" w:firstRow="0" w:lastRow="0" w:firstColumn="1" w:lastColumn="0" w:oddVBand="0" w:evenVBand="0" w:oddHBand="0" w:evenHBand="0" w:firstRowFirstColumn="0" w:firstRowLastColumn="0" w:lastRowFirstColumn="0" w:lastRowLastColumn="0"/>
            <w:tcW w:w="555" w:type="dxa"/>
            <w:vMerge/>
            <w:textDirection w:val="btLr"/>
          </w:tcPr>
          <w:p w14:paraId="5B768E1C" w14:textId="77777777" w:rsidR="00857B70" w:rsidRPr="00141636" w:rsidRDefault="00857B70" w:rsidP="001A15A9">
            <w:pPr>
              <w:spacing w:before="40" w:after="40"/>
              <w:ind w:left="113" w:right="113"/>
              <w:rPr>
                <w:lang w:val="en-AU" w:eastAsia="en-AU"/>
              </w:rPr>
            </w:pPr>
          </w:p>
        </w:tc>
        <w:tc>
          <w:tcPr>
            <w:tcW w:w="3216" w:type="dxa"/>
          </w:tcPr>
          <w:p w14:paraId="6E36BDBC"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Communications data (e.g., media coverage, website hits, linked calls, Google search, sentiment data)</w:t>
            </w:r>
          </w:p>
        </w:tc>
        <w:tc>
          <w:tcPr>
            <w:tcW w:w="5329" w:type="dxa"/>
          </w:tcPr>
          <w:p w14:paraId="4519BA60"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 xml:space="preserve">Understand key awareness raising activities implemented by </w:t>
            </w:r>
            <w:proofErr w:type="spellStart"/>
            <w:r w:rsidRPr="00141636">
              <w:rPr>
                <w:i/>
              </w:rPr>
              <w:t>HeadtoHelp</w:t>
            </w:r>
            <w:proofErr w:type="spellEnd"/>
            <w:r w:rsidRPr="00141636">
              <w:rPr>
                <w:i/>
              </w:rPr>
              <w:t>.</w:t>
            </w:r>
          </w:p>
        </w:tc>
      </w:tr>
      <w:tr w:rsidR="00857B70" w:rsidRPr="00141636" w14:paraId="1216D7BF" w14:textId="77777777" w:rsidTr="001765F4">
        <w:trPr>
          <w:trHeight w:val="20"/>
        </w:trPr>
        <w:tc>
          <w:tcPr>
            <w:cnfStyle w:val="001000000000" w:firstRow="0" w:lastRow="0" w:firstColumn="1" w:lastColumn="0" w:oddVBand="0" w:evenVBand="0" w:oddHBand="0" w:evenHBand="0" w:firstRowFirstColumn="0" w:firstRowLastColumn="0" w:lastRowFirstColumn="0" w:lastRowLastColumn="0"/>
            <w:tcW w:w="555" w:type="dxa"/>
            <w:vMerge/>
          </w:tcPr>
          <w:p w14:paraId="04ADD1D4" w14:textId="77777777" w:rsidR="00857B70" w:rsidRPr="00141636" w:rsidRDefault="00857B70" w:rsidP="001A15A9">
            <w:pPr>
              <w:spacing w:before="40" w:after="40"/>
              <w:rPr>
                <w:lang w:val="en-AU" w:eastAsia="en-AU"/>
              </w:rPr>
            </w:pPr>
          </w:p>
        </w:tc>
        <w:tc>
          <w:tcPr>
            <w:tcW w:w="3216" w:type="dxa"/>
          </w:tcPr>
          <w:p w14:paraId="1B576798" w14:textId="2E6FCB2C"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MBS data on GP and other service use</w:t>
            </w:r>
          </w:p>
        </w:tc>
        <w:tc>
          <w:tcPr>
            <w:tcW w:w="5329" w:type="dxa"/>
          </w:tcPr>
          <w:p w14:paraId="032DE0D4"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 xml:space="preserve">Understand historical and current mental health services need. </w:t>
            </w:r>
          </w:p>
        </w:tc>
      </w:tr>
      <w:tr w:rsidR="00857B70" w:rsidRPr="00141636" w14:paraId="30FE524F" w14:textId="77777777" w:rsidTr="001765F4">
        <w:trPr>
          <w:trHeight w:val="20"/>
        </w:trPr>
        <w:tc>
          <w:tcPr>
            <w:cnfStyle w:val="001000000000" w:firstRow="0" w:lastRow="0" w:firstColumn="1" w:lastColumn="0" w:oddVBand="0" w:evenVBand="0" w:oddHBand="0" w:evenHBand="0" w:firstRowFirstColumn="0" w:firstRowLastColumn="0" w:lastRowFirstColumn="0" w:lastRowLastColumn="0"/>
            <w:tcW w:w="555" w:type="dxa"/>
            <w:vMerge/>
          </w:tcPr>
          <w:p w14:paraId="115F6CBE" w14:textId="77777777" w:rsidR="00857B70" w:rsidRPr="00141636" w:rsidRDefault="00857B70" w:rsidP="001A15A9">
            <w:pPr>
              <w:spacing w:before="40" w:after="40"/>
              <w:rPr>
                <w:lang w:val="en-AU" w:eastAsia="en-AU"/>
              </w:rPr>
            </w:pPr>
          </w:p>
        </w:tc>
        <w:tc>
          <w:tcPr>
            <w:tcW w:w="3216" w:type="dxa"/>
          </w:tcPr>
          <w:p w14:paraId="14DB81E7"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 xml:space="preserve">Published mental health data on </w:t>
            </w:r>
            <w:r>
              <w:t>participant</w:t>
            </w:r>
            <w:r w:rsidRPr="00141636">
              <w:t xml:space="preserve">, </w:t>
            </w:r>
            <w:r>
              <w:t>support person</w:t>
            </w:r>
            <w:r w:rsidRPr="00141636">
              <w:t xml:space="preserve"> and family demand and access</w:t>
            </w:r>
          </w:p>
        </w:tc>
        <w:tc>
          <w:tcPr>
            <w:tcW w:w="5329" w:type="dxa"/>
          </w:tcPr>
          <w:p w14:paraId="44133C55"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 xml:space="preserve">Understand broader trends in mental health service system access. </w:t>
            </w:r>
          </w:p>
        </w:tc>
      </w:tr>
      <w:tr w:rsidR="00857B70" w:rsidRPr="00141636" w14:paraId="4122B11B" w14:textId="77777777" w:rsidTr="001765F4">
        <w:trPr>
          <w:trHeight w:val="20"/>
        </w:trPr>
        <w:tc>
          <w:tcPr>
            <w:cnfStyle w:val="001000000000" w:firstRow="0" w:lastRow="0" w:firstColumn="1" w:lastColumn="0" w:oddVBand="0" w:evenVBand="0" w:oddHBand="0" w:evenHBand="0" w:firstRowFirstColumn="0" w:firstRowLastColumn="0" w:lastRowFirstColumn="0" w:lastRowLastColumn="0"/>
            <w:tcW w:w="555" w:type="dxa"/>
            <w:vMerge w:val="restart"/>
          </w:tcPr>
          <w:p w14:paraId="27A87AD7" w14:textId="77777777" w:rsidR="00857B70" w:rsidRPr="00141636" w:rsidRDefault="00857B70" w:rsidP="001A15A9">
            <w:pPr>
              <w:pStyle w:val="TableNheader"/>
              <w:rPr>
                <w:b w:val="0"/>
                <w:bCs/>
              </w:rPr>
            </w:pPr>
            <w:r w:rsidRPr="00141636">
              <w:rPr>
                <w:b w:val="0"/>
                <w:bCs/>
              </w:rPr>
              <w:t>Primary Sources</w:t>
            </w:r>
          </w:p>
        </w:tc>
        <w:tc>
          <w:tcPr>
            <w:tcW w:w="3216" w:type="dxa"/>
          </w:tcPr>
          <w:p w14:paraId="057D514B"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Interviews with</w:t>
            </w:r>
            <w:r>
              <w:t xml:space="preserve"> and surveys of</w:t>
            </w:r>
            <w:r w:rsidRPr="00141636">
              <w:t xml:space="preserve"> </w:t>
            </w:r>
            <w:proofErr w:type="spellStart"/>
            <w:r w:rsidRPr="00141636">
              <w:rPr>
                <w:i/>
                <w:iCs/>
              </w:rPr>
              <w:t>HeadtoHelp</w:t>
            </w:r>
            <w:proofErr w:type="spellEnd"/>
            <w:r w:rsidRPr="00141636">
              <w:t xml:space="preserve"> </w:t>
            </w:r>
            <w:r>
              <w:t>participants</w:t>
            </w:r>
            <w:r w:rsidRPr="00141636">
              <w:t xml:space="preserve"> (led by the University of Sydney)</w:t>
            </w:r>
          </w:p>
        </w:tc>
        <w:tc>
          <w:tcPr>
            <w:tcW w:w="5329" w:type="dxa"/>
          </w:tcPr>
          <w:p w14:paraId="33A44CCA"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 xml:space="preserve">Understand </w:t>
            </w:r>
            <w:r>
              <w:t>participant</w:t>
            </w:r>
            <w:r w:rsidRPr="00141636">
              <w:t xml:space="preserve"> experience, </w:t>
            </w:r>
            <w:proofErr w:type="gramStart"/>
            <w:r w:rsidRPr="00141636">
              <w:t>outcomes</w:t>
            </w:r>
            <w:proofErr w:type="gramEnd"/>
            <w:r w:rsidRPr="00141636">
              <w:t xml:space="preserve"> and ideas for improvement.</w:t>
            </w:r>
          </w:p>
        </w:tc>
      </w:tr>
      <w:tr w:rsidR="00857B70" w:rsidRPr="00141636" w14:paraId="23D74429" w14:textId="77777777" w:rsidTr="001765F4">
        <w:trPr>
          <w:trHeight w:val="20"/>
        </w:trPr>
        <w:tc>
          <w:tcPr>
            <w:cnfStyle w:val="001000000000" w:firstRow="0" w:lastRow="0" w:firstColumn="1" w:lastColumn="0" w:oddVBand="0" w:evenVBand="0" w:oddHBand="0" w:evenHBand="0" w:firstRowFirstColumn="0" w:firstRowLastColumn="0" w:lastRowFirstColumn="0" w:lastRowLastColumn="0"/>
            <w:tcW w:w="555" w:type="dxa"/>
            <w:vMerge/>
            <w:textDirection w:val="btLr"/>
          </w:tcPr>
          <w:p w14:paraId="6AF13CD6" w14:textId="77777777" w:rsidR="00857B70" w:rsidRPr="00141636" w:rsidRDefault="00857B70" w:rsidP="001A15A9">
            <w:pPr>
              <w:rPr>
                <w:lang w:val="en-AU" w:eastAsia="en-AU"/>
              </w:rPr>
            </w:pPr>
          </w:p>
        </w:tc>
        <w:tc>
          <w:tcPr>
            <w:tcW w:w="3216" w:type="dxa"/>
          </w:tcPr>
          <w:p w14:paraId="43B7CA63"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Interviews with</w:t>
            </w:r>
            <w:r>
              <w:t xml:space="preserve"> and surveys of</w:t>
            </w:r>
            <w:r w:rsidRPr="00141636">
              <w:t xml:space="preserve"> </w:t>
            </w:r>
            <w:proofErr w:type="spellStart"/>
            <w:r w:rsidRPr="00141636">
              <w:rPr>
                <w:i/>
                <w:iCs/>
              </w:rPr>
              <w:t>HeadtoHelp</w:t>
            </w:r>
            <w:proofErr w:type="spellEnd"/>
            <w:r w:rsidRPr="00141636">
              <w:t xml:space="preserve"> </w:t>
            </w:r>
            <w:r>
              <w:t>participants</w:t>
            </w:r>
            <w:r w:rsidRPr="00E978A2">
              <w:t>’</w:t>
            </w:r>
            <w:r w:rsidRPr="00141636">
              <w:t xml:space="preserve"> </w:t>
            </w:r>
            <w:r>
              <w:t>support people</w:t>
            </w:r>
            <w:r w:rsidRPr="00141636">
              <w:t xml:space="preserve"> (led by the University of Sydney)</w:t>
            </w:r>
          </w:p>
        </w:tc>
        <w:tc>
          <w:tcPr>
            <w:tcW w:w="5329" w:type="dxa"/>
          </w:tcPr>
          <w:p w14:paraId="7CDC207D"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 xml:space="preserve">Understand </w:t>
            </w:r>
            <w:r>
              <w:t>support person</w:t>
            </w:r>
            <w:r w:rsidRPr="00141636">
              <w:t xml:space="preserve"> experiences and the experience and outcomes of the person they supported, and ideas for improvement.</w:t>
            </w:r>
          </w:p>
        </w:tc>
      </w:tr>
      <w:tr w:rsidR="00857B70" w:rsidRPr="00141636" w14:paraId="6F1392C8" w14:textId="77777777" w:rsidTr="001765F4">
        <w:trPr>
          <w:trHeight w:val="20"/>
        </w:trPr>
        <w:tc>
          <w:tcPr>
            <w:cnfStyle w:val="001000000000" w:firstRow="0" w:lastRow="0" w:firstColumn="1" w:lastColumn="0" w:oddVBand="0" w:evenVBand="0" w:oddHBand="0" w:evenHBand="0" w:firstRowFirstColumn="0" w:firstRowLastColumn="0" w:lastRowFirstColumn="0" w:lastRowLastColumn="0"/>
            <w:tcW w:w="555" w:type="dxa"/>
            <w:vMerge/>
            <w:textDirection w:val="btLr"/>
          </w:tcPr>
          <w:p w14:paraId="145EB057" w14:textId="77777777" w:rsidR="00857B70" w:rsidRPr="00141636" w:rsidRDefault="00857B70" w:rsidP="001A15A9">
            <w:pPr>
              <w:rPr>
                <w:lang w:val="en-AU" w:eastAsia="en-AU"/>
              </w:rPr>
            </w:pPr>
          </w:p>
        </w:tc>
        <w:tc>
          <w:tcPr>
            <w:tcW w:w="3216" w:type="dxa"/>
          </w:tcPr>
          <w:p w14:paraId="0F9FAC1C"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 xml:space="preserve">Interviews with and surveys of </w:t>
            </w:r>
            <w:proofErr w:type="spellStart"/>
            <w:r w:rsidRPr="00141636">
              <w:rPr>
                <w:i/>
                <w:iCs/>
              </w:rPr>
              <w:t>HeadtoHelp</w:t>
            </w:r>
            <w:proofErr w:type="spellEnd"/>
            <w:r w:rsidRPr="00141636">
              <w:rPr>
                <w:i/>
                <w:iCs/>
              </w:rPr>
              <w:t xml:space="preserve"> </w:t>
            </w:r>
            <w:r w:rsidRPr="00141636">
              <w:t xml:space="preserve">hubs – managers and staff </w:t>
            </w:r>
          </w:p>
        </w:tc>
        <w:tc>
          <w:tcPr>
            <w:tcW w:w="5329" w:type="dxa"/>
          </w:tcPr>
          <w:p w14:paraId="7B9A71FB"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 xml:space="preserve">Understand what worked well and what was challenging in establishment and implementation, and outcomes being observed for </w:t>
            </w:r>
            <w:r>
              <w:t>participants</w:t>
            </w:r>
            <w:r w:rsidRPr="00141636">
              <w:t>.</w:t>
            </w:r>
          </w:p>
        </w:tc>
      </w:tr>
      <w:tr w:rsidR="00857B70" w:rsidRPr="00141636" w14:paraId="452DA754" w14:textId="77777777" w:rsidTr="001765F4">
        <w:trPr>
          <w:trHeight w:val="20"/>
        </w:trPr>
        <w:tc>
          <w:tcPr>
            <w:cnfStyle w:val="001000000000" w:firstRow="0" w:lastRow="0" w:firstColumn="1" w:lastColumn="0" w:oddVBand="0" w:evenVBand="0" w:oddHBand="0" w:evenHBand="0" w:firstRowFirstColumn="0" w:firstRowLastColumn="0" w:lastRowFirstColumn="0" w:lastRowLastColumn="0"/>
            <w:tcW w:w="555" w:type="dxa"/>
            <w:vMerge/>
          </w:tcPr>
          <w:p w14:paraId="5CF2F25F" w14:textId="77777777" w:rsidR="00857B70" w:rsidRPr="00141636" w:rsidRDefault="00857B70" w:rsidP="001A15A9">
            <w:pPr>
              <w:rPr>
                <w:lang w:val="en-AU" w:eastAsia="en-AU"/>
              </w:rPr>
            </w:pPr>
          </w:p>
        </w:tc>
        <w:tc>
          <w:tcPr>
            <w:tcW w:w="3216" w:type="dxa"/>
          </w:tcPr>
          <w:p w14:paraId="6F49201E"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rPr>
                <w:i/>
                <w:iCs/>
              </w:rPr>
            </w:pPr>
            <w:r w:rsidRPr="00141636">
              <w:t xml:space="preserve">Interviews with and surveys of </w:t>
            </w:r>
            <w:proofErr w:type="spellStart"/>
            <w:r w:rsidRPr="00141636">
              <w:rPr>
                <w:i/>
                <w:iCs/>
              </w:rPr>
              <w:t>HeadtoHelp</w:t>
            </w:r>
            <w:proofErr w:type="spellEnd"/>
            <w:r w:rsidRPr="00141636">
              <w:rPr>
                <w:i/>
                <w:iCs/>
              </w:rPr>
              <w:t xml:space="preserve"> </w:t>
            </w:r>
            <w:r w:rsidRPr="00141636">
              <w:t>intake clinicians</w:t>
            </w:r>
          </w:p>
        </w:tc>
        <w:tc>
          <w:tcPr>
            <w:tcW w:w="5329" w:type="dxa"/>
          </w:tcPr>
          <w:p w14:paraId="63621788"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 xml:space="preserve">Understand how the intake process works, and any challenges and opportunities. </w:t>
            </w:r>
          </w:p>
        </w:tc>
      </w:tr>
      <w:tr w:rsidR="00857B70" w:rsidRPr="00141636" w14:paraId="289F2144" w14:textId="77777777" w:rsidTr="001765F4">
        <w:trPr>
          <w:trHeight w:val="20"/>
        </w:trPr>
        <w:tc>
          <w:tcPr>
            <w:cnfStyle w:val="001000000000" w:firstRow="0" w:lastRow="0" w:firstColumn="1" w:lastColumn="0" w:oddVBand="0" w:evenVBand="0" w:oddHBand="0" w:evenHBand="0" w:firstRowFirstColumn="0" w:firstRowLastColumn="0" w:lastRowFirstColumn="0" w:lastRowLastColumn="0"/>
            <w:tcW w:w="555" w:type="dxa"/>
            <w:vMerge/>
          </w:tcPr>
          <w:p w14:paraId="03792314" w14:textId="77777777" w:rsidR="00857B70" w:rsidRPr="00141636" w:rsidRDefault="00857B70" w:rsidP="001A15A9">
            <w:pPr>
              <w:rPr>
                <w:lang w:val="en-AU" w:eastAsia="en-AU"/>
              </w:rPr>
            </w:pPr>
          </w:p>
        </w:tc>
        <w:tc>
          <w:tcPr>
            <w:tcW w:w="3216" w:type="dxa"/>
          </w:tcPr>
          <w:p w14:paraId="59435669" w14:textId="58311216"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rPr>
                <w:i/>
                <w:iCs/>
              </w:rPr>
            </w:pPr>
            <w:r w:rsidRPr="00141636">
              <w:t xml:space="preserve">Interviews with </w:t>
            </w:r>
            <w:proofErr w:type="spellStart"/>
            <w:r w:rsidRPr="00141636">
              <w:rPr>
                <w:i/>
              </w:rPr>
              <w:t>HeadtoHelp</w:t>
            </w:r>
            <w:proofErr w:type="spellEnd"/>
            <w:r w:rsidRPr="00141636">
              <w:t xml:space="preserve"> Service partners and </w:t>
            </w:r>
            <w:r w:rsidR="0062732F" w:rsidRPr="0062732F">
              <w:t>Area Mental Health Service</w:t>
            </w:r>
            <w:r w:rsidR="0062732F">
              <w:t>s</w:t>
            </w:r>
            <w:r w:rsidR="0062732F" w:rsidRPr="0062732F">
              <w:t xml:space="preserve"> </w:t>
            </w:r>
            <w:r w:rsidR="0062732F">
              <w:t>(</w:t>
            </w:r>
            <w:r w:rsidRPr="00141636">
              <w:t>AMHSs</w:t>
            </w:r>
            <w:r w:rsidR="0062732F">
              <w:t>)</w:t>
            </w:r>
          </w:p>
        </w:tc>
        <w:tc>
          <w:tcPr>
            <w:tcW w:w="5329" w:type="dxa"/>
          </w:tcPr>
          <w:p w14:paraId="0756D111"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 xml:space="preserve">Understand how </w:t>
            </w:r>
            <w:proofErr w:type="spellStart"/>
            <w:r w:rsidRPr="00141636">
              <w:rPr>
                <w:i/>
                <w:iCs/>
              </w:rPr>
              <w:t>HeadtoHelp</w:t>
            </w:r>
            <w:proofErr w:type="spellEnd"/>
            <w:r w:rsidRPr="00141636">
              <w:rPr>
                <w:i/>
                <w:iCs/>
              </w:rPr>
              <w:t xml:space="preserve"> </w:t>
            </w:r>
            <w:r w:rsidRPr="00141636">
              <w:t xml:space="preserve">has integrated with the existing service system, including acting as an effective ‘front door’, assisting with system </w:t>
            </w:r>
            <w:proofErr w:type="gramStart"/>
            <w:r w:rsidRPr="00141636">
              <w:t>navigation</w:t>
            </w:r>
            <w:proofErr w:type="gramEnd"/>
            <w:r w:rsidRPr="00141636">
              <w:t xml:space="preserve"> and increasing service capacity for people with moderate mental health conditions.</w:t>
            </w:r>
          </w:p>
        </w:tc>
      </w:tr>
      <w:tr w:rsidR="00857B70" w:rsidRPr="00141636" w14:paraId="7621F3D1" w14:textId="77777777" w:rsidTr="001765F4">
        <w:trPr>
          <w:trHeight w:val="20"/>
        </w:trPr>
        <w:tc>
          <w:tcPr>
            <w:cnfStyle w:val="001000000000" w:firstRow="0" w:lastRow="0" w:firstColumn="1" w:lastColumn="0" w:oddVBand="0" w:evenVBand="0" w:oddHBand="0" w:evenHBand="0" w:firstRowFirstColumn="0" w:firstRowLastColumn="0" w:lastRowFirstColumn="0" w:lastRowLastColumn="0"/>
            <w:tcW w:w="555" w:type="dxa"/>
            <w:vMerge/>
          </w:tcPr>
          <w:p w14:paraId="7BCBE7FE" w14:textId="77777777" w:rsidR="00857B70" w:rsidRPr="00141636" w:rsidRDefault="00857B70" w:rsidP="001A15A9">
            <w:pPr>
              <w:rPr>
                <w:lang w:val="en-AU" w:eastAsia="en-AU"/>
              </w:rPr>
            </w:pPr>
          </w:p>
        </w:tc>
        <w:tc>
          <w:tcPr>
            <w:tcW w:w="3216" w:type="dxa"/>
          </w:tcPr>
          <w:p w14:paraId="5890079D"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 xml:space="preserve">Interviews with Victorian PHNs for </w:t>
            </w:r>
            <w:proofErr w:type="spellStart"/>
            <w:r w:rsidRPr="00141636">
              <w:rPr>
                <w:i/>
                <w:iCs/>
              </w:rPr>
              <w:t>HeadtoHelp</w:t>
            </w:r>
            <w:proofErr w:type="spellEnd"/>
          </w:p>
        </w:tc>
        <w:tc>
          <w:tcPr>
            <w:tcW w:w="5329" w:type="dxa"/>
          </w:tcPr>
          <w:p w14:paraId="2880F41E"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 xml:space="preserve">Understand establishment and implementation processes, enablers and blockers, and the role of </w:t>
            </w:r>
            <w:proofErr w:type="spellStart"/>
            <w:r w:rsidRPr="00141636">
              <w:rPr>
                <w:i/>
                <w:iCs/>
              </w:rPr>
              <w:t>HeadtoHelp</w:t>
            </w:r>
            <w:proofErr w:type="spellEnd"/>
            <w:r w:rsidRPr="00141636">
              <w:t xml:space="preserve"> in the service system.</w:t>
            </w:r>
          </w:p>
        </w:tc>
      </w:tr>
      <w:tr w:rsidR="00857B70" w:rsidRPr="00141636" w14:paraId="4665FCFB" w14:textId="77777777" w:rsidTr="001765F4">
        <w:trPr>
          <w:trHeight w:val="20"/>
        </w:trPr>
        <w:tc>
          <w:tcPr>
            <w:cnfStyle w:val="001000000000" w:firstRow="0" w:lastRow="0" w:firstColumn="1" w:lastColumn="0" w:oddVBand="0" w:evenVBand="0" w:oddHBand="0" w:evenHBand="0" w:firstRowFirstColumn="0" w:firstRowLastColumn="0" w:lastRowFirstColumn="0" w:lastRowLastColumn="0"/>
            <w:tcW w:w="555" w:type="dxa"/>
            <w:vMerge/>
          </w:tcPr>
          <w:p w14:paraId="0F939FBA" w14:textId="77777777" w:rsidR="00857B70" w:rsidRPr="00141636" w:rsidRDefault="00857B70" w:rsidP="001A15A9">
            <w:pPr>
              <w:rPr>
                <w:lang w:val="en-AU" w:eastAsia="en-AU"/>
              </w:rPr>
            </w:pPr>
          </w:p>
        </w:tc>
        <w:tc>
          <w:tcPr>
            <w:tcW w:w="3216" w:type="dxa"/>
          </w:tcPr>
          <w:p w14:paraId="2D634D5B"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Interviews with and surveys of AMHCs – managers and staff</w:t>
            </w:r>
          </w:p>
        </w:tc>
        <w:tc>
          <w:tcPr>
            <w:tcW w:w="5329" w:type="dxa"/>
          </w:tcPr>
          <w:p w14:paraId="559B6B08"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Understand establishment and implementation processes, enablers and blockers, and the role of AMHCs in the service system.</w:t>
            </w:r>
          </w:p>
        </w:tc>
      </w:tr>
      <w:tr w:rsidR="00857B70" w:rsidRPr="00141636" w14:paraId="4F451D80" w14:textId="77777777" w:rsidTr="001765F4">
        <w:trPr>
          <w:trHeight w:val="20"/>
        </w:trPr>
        <w:tc>
          <w:tcPr>
            <w:cnfStyle w:val="001000000000" w:firstRow="0" w:lastRow="0" w:firstColumn="1" w:lastColumn="0" w:oddVBand="0" w:evenVBand="0" w:oddHBand="0" w:evenHBand="0" w:firstRowFirstColumn="0" w:firstRowLastColumn="0" w:lastRowFirstColumn="0" w:lastRowLastColumn="0"/>
            <w:tcW w:w="555" w:type="dxa"/>
            <w:vMerge/>
          </w:tcPr>
          <w:p w14:paraId="51A6F250" w14:textId="77777777" w:rsidR="00857B70" w:rsidRPr="00141636" w:rsidRDefault="00857B70" w:rsidP="001A15A9">
            <w:pPr>
              <w:rPr>
                <w:lang w:val="en-AU" w:eastAsia="en-AU"/>
              </w:rPr>
            </w:pPr>
          </w:p>
        </w:tc>
        <w:tc>
          <w:tcPr>
            <w:tcW w:w="3216" w:type="dxa"/>
          </w:tcPr>
          <w:p w14:paraId="0CAACBB2"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Interviews with PHNs and SA Health for the AMHCs</w:t>
            </w:r>
          </w:p>
        </w:tc>
        <w:tc>
          <w:tcPr>
            <w:tcW w:w="5329" w:type="dxa"/>
          </w:tcPr>
          <w:p w14:paraId="0F551CF8"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Understand establishment and implementation processes, enablers and blockers, and the role of AMHCs in the service system.</w:t>
            </w:r>
          </w:p>
        </w:tc>
      </w:tr>
      <w:tr w:rsidR="00857B70" w:rsidRPr="00141636" w14:paraId="2CEAA50C" w14:textId="77777777" w:rsidTr="001765F4">
        <w:trPr>
          <w:trHeight w:val="20"/>
        </w:trPr>
        <w:tc>
          <w:tcPr>
            <w:cnfStyle w:val="001000000000" w:firstRow="0" w:lastRow="0" w:firstColumn="1" w:lastColumn="0" w:oddVBand="0" w:evenVBand="0" w:oddHBand="0" w:evenHBand="0" w:firstRowFirstColumn="0" w:firstRowLastColumn="0" w:lastRowFirstColumn="0" w:lastRowLastColumn="0"/>
            <w:tcW w:w="555" w:type="dxa"/>
            <w:vMerge/>
          </w:tcPr>
          <w:p w14:paraId="29899550" w14:textId="77777777" w:rsidR="00857B70" w:rsidRPr="00141636" w:rsidRDefault="00857B70" w:rsidP="001A15A9">
            <w:pPr>
              <w:rPr>
                <w:lang w:val="en-AU" w:eastAsia="en-AU"/>
              </w:rPr>
            </w:pPr>
          </w:p>
        </w:tc>
        <w:tc>
          <w:tcPr>
            <w:tcW w:w="3216" w:type="dxa"/>
          </w:tcPr>
          <w:p w14:paraId="1E31E16D"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Interviews with officials from the respective state and territory health departments in all jurisdictions</w:t>
            </w:r>
          </w:p>
        </w:tc>
        <w:tc>
          <w:tcPr>
            <w:tcW w:w="5329" w:type="dxa"/>
          </w:tcPr>
          <w:p w14:paraId="7AA1D162"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 xml:space="preserve">Understand local mental health priorities, operating context for AMHCs and establishment progress, </w:t>
            </w:r>
            <w:proofErr w:type="gramStart"/>
            <w:r w:rsidRPr="00141636">
              <w:t>barriers</w:t>
            </w:r>
            <w:proofErr w:type="gramEnd"/>
            <w:r w:rsidRPr="00141636">
              <w:t xml:space="preserve"> and opportunities. </w:t>
            </w:r>
          </w:p>
        </w:tc>
      </w:tr>
      <w:tr w:rsidR="00857B70" w:rsidRPr="00141636" w14:paraId="5E1E0FAB" w14:textId="77777777" w:rsidTr="001765F4">
        <w:trPr>
          <w:trHeight w:val="20"/>
        </w:trPr>
        <w:tc>
          <w:tcPr>
            <w:cnfStyle w:val="001000000000" w:firstRow="0" w:lastRow="0" w:firstColumn="1" w:lastColumn="0" w:oddVBand="0" w:evenVBand="0" w:oddHBand="0" w:evenHBand="0" w:firstRowFirstColumn="0" w:firstRowLastColumn="0" w:lastRowFirstColumn="0" w:lastRowLastColumn="0"/>
            <w:tcW w:w="555" w:type="dxa"/>
            <w:vMerge/>
          </w:tcPr>
          <w:p w14:paraId="40CA8E5B" w14:textId="77777777" w:rsidR="00857B70" w:rsidRPr="00141636" w:rsidRDefault="00857B70" w:rsidP="001A15A9">
            <w:pPr>
              <w:rPr>
                <w:lang w:val="en-AU" w:eastAsia="en-AU"/>
              </w:rPr>
            </w:pPr>
          </w:p>
        </w:tc>
        <w:tc>
          <w:tcPr>
            <w:tcW w:w="3216" w:type="dxa"/>
          </w:tcPr>
          <w:p w14:paraId="35C42076"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 xml:space="preserve">Interviews with peak bodies </w:t>
            </w:r>
          </w:p>
        </w:tc>
        <w:tc>
          <w:tcPr>
            <w:tcW w:w="5329" w:type="dxa"/>
          </w:tcPr>
          <w:p w14:paraId="401E1BD2"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 xml:space="preserve">Understand priorities, role and fit for AMHCs and </w:t>
            </w:r>
            <w:proofErr w:type="spellStart"/>
            <w:r w:rsidRPr="00141636">
              <w:rPr>
                <w:i/>
                <w:iCs/>
              </w:rPr>
              <w:t>HeadtoHelp</w:t>
            </w:r>
            <w:proofErr w:type="spellEnd"/>
            <w:r w:rsidRPr="00141636">
              <w:t>, including challenges and opportunities for AMHCs.</w:t>
            </w:r>
          </w:p>
        </w:tc>
      </w:tr>
      <w:tr w:rsidR="00857B70" w:rsidRPr="00141636" w14:paraId="5A7D9CBD" w14:textId="77777777" w:rsidTr="001765F4">
        <w:trPr>
          <w:trHeight w:val="20"/>
        </w:trPr>
        <w:tc>
          <w:tcPr>
            <w:cnfStyle w:val="001000000000" w:firstRow="0" w:lastRow="0" w:firstColumn="1" w:lastColumn="0" w:oddVBand="0" w:evenVBand="0" w:oddHBand="0" w:evenHBand="0" w:firstRowFirstColumn="0" w:firstRowLastColumn="0" w:lastRowFirstColumn="0" w:lastRowLastColumn="0"/>
            <w:tcW w:w="555" w:type="dxa"/>
            <w:vMerge/>
          </w:tcPr>
          <w:p w14:paraId="424BFECB" w14:textId="77777777" w:rsidR="00857B70" w:rsidRPr="00141636" w:rsidRDefault="00857B70" w:rsidP="001A15A9">
            <w:pPr>
              <w:rPr>
                <w:lang w:val="en-AU" w:eastAsia="en-AU"/>
              </w:rPr>
            </w:pPr>
          </w:p>
        </w:tc>
        <w:tc>
          <w:tcPr>
            <w:tcW w:w="3216" w:type="dxa"/>
          </w:tcPr>
          <w:p w14:paraId="787A8C42"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Workshop with multiple stakeholders</w:t>
            </w:r>
          </w:p>
        </w:tc>
        <w:tc>
          <w:tcPr>
            <w:tcW w:w="5329" w:type="dxa"/>
          </w:tcPr>
          <w:p w14:paraId="1063AA01" w14:textId="77777777" w:rsidR="00857B70" w:rsidRPr="00141636" w:rsidRDefault="00857B70" w:rsidP="001A15A9">
            <w:pPr>
              <w:pStyle w:val="TableNText"/>
              <w:cnfStyle w:val="000000000000" w:firstRow="0" w:lastRow="0" w:firstColumn="0" w:lastColumn="0" w:oddVBand="0" w:evenVBand="0" w:oddHBand="0" w:evenHBand="0" w:firstRowFirstColumn="0" w:firstRowLastColumn="0" w:lastRowFirstColumn="0" w:lastRowLastColumn="0"/>
            </w:pPr>
            <w:r w:rsidRPr="00141636">
              <w:t xml:space="preserve">Test evaluation insights and findings with staff from PHNs, AMHCs and </w:t>
            </w:r>
            <w:proofErr w:type="spellStart"/>
            <w:r w:rsidRPr="00141636">
              <w:rPr>
                <w:i/>
              </w:rPr>
              <w:t>HeadtoHelp</w:t>
            </w:r>
            <w:proofErr w:type="spellEnd"/>
            <w:r w:rsidRPr="00141636">
              <w:t xml:space="preserve">, peak bodies and </w:t>
            </w:r>
            <w:r>
              <w:t>participant</w:t>
            </w:r>
            <w:r w:rsidRPr="00141636">
              <w:t xml:space="preserve"> representatives, discussing their implication for ongoing and future service establishment, implementation, </w:t>
            </w:r>
            <w:proofErr w:type="gramStart"/>
            <w:r w:rsidRPr="00141636">
              <w:t>operation</w:t>
            </w:r>
            <w:proofErr w:type="gramEnd"/>
            <w:r w:rsidRPr="00141636">
              <w:t xml:space="preserve"> and improvement.</w:t>
            </w:r>
          </w:p>
        </w:tc>
      </w:tr>
    </w:tbl>
    <w:p w14:paraId="1FF2D73A" w14:textId="77777777" w:rsidR="00857B70" w:rsidRDefault="00857B70" w:rsidP="00BE0860">
      <w:pPr>
        <w:pStyle w:val="Heading3"/>
      </w:pPr>
      <w:r>
        <w:lastRenderedPageBreak/>
        <w:t xml:space="preserve">Participant and support people’s perspectives for </w:t>
      </w:r>
      <w:proofErr w:type="spellStart"/>
      <w:r w:rsidRPr="00EA33C6">
        <w:rPr>
          <w:i/>
          <w:iCs/>
        </w:rPr>
        <w:t>HeadtoHelp</w:t>
      </w:r>
      <w:proofErr w:type="spellEnd"/>
      <w:r>
        <w:t xml:space="preserve"> were collected in a two-part approach</w:t>
      </w:r>
    </w:p>
    <w:p w14:paraId="42379A5F" w14:textId="77777777" w:rsidR="00857B70" w:rsidRDefault="00857B70" w:rsidP="00857B70">
      <w:pPr>
        <w:rPr>
          <w:lang w:val="en-AU" w:eastAsia="en-AU"/>
        </w:rPr>
      </w:pPr>
      <w:r>
        <w:rPr>
          <w:lang w:val="en-AU" w:eastAsia="en-AU"/>
        </w:rPr>
        <w:t xml:space="preserve">Participants who participated in interviews and surveys </w:t>
      </w:r>
      <w:proofErr w:type="gramStart"/>
      <w:r>
        <w:rPr>
          <w:lang w:val="en-AU" w:eastAsia="en-AU"/>
        </w:rPr>
        <w:t>were people who were</w:t>
      </w:r>
      <w:proofErr w:type="gramEnd"/>
      <w:r>
        <w:rPr>
          <w:lang w:val="en-AU" w:eastAsia="en-AU"/>
        </w:rPr>
        <w:t xml:space="preserve"> 16 years and older who had accessed </w:t>
      </w:r>
      <w:proofErr w:type="spellStart"/>
      <w:r w:rsidRPr="001765F4">
        <w:rPr>
          <w:rStyle w:val="Emphasis"/>
        </w:rPr>
        <w:t>HeadtoHelp</w:t>
      </w:r>
      <w:proofErr w:type="spellEnd"/>
      <w:r>
        <w:rPr>
          <w:lang w:val="en-AU" w:eastAsia="en-AU"/>
        </w:rPr>
        <w:t xml:space="preserve"> services, and support people who had been involved with facilitating participants of any age to access or use </w:t>
      </w:r>
      <w:proofErr w:type="spellStart"/>
      <w:r w:rsidRPr="001765F4">
        <w:rPr>
          <w:rStyle w:val="Emphasis"/>
        </w:rPr>
        <w:t>HeadtoHelp</w:t>
      </w:r>
      <w:proofErr w:type="spellEnd"/>
      <w:r>
        <w:rPr>
          <w:lang w:val="en-AU" w:eastAsia="en-AU"/>
        </w:rPr>
        <w:t xml:space="preserve"> services.</w:t>
      </w:r>
    </w:p>
    <w:p w14:paraId="6A2A013B" w14:textId="77777777" w:rsidR="00857B70" w:rsidRDefault="00857B70" w:rsidP="00857B70">
      <w:pPr>
        <w:rPr>
          <w:lang w:val="en-AU" w:eastAsia="en-AU"/>
        </w:rPr>
      </w:pPr>
      <w:r>
        <w:rPr>
          <w:lang w:val="en-AU" w:eastAsia="en-AU"/>
        </w:rPr>
        <w:t>The first part of obtaining the perspectives of participants and support people involved qualitative interviews with a purposively selected group, and the second involved primarily quantitative analysis of deidentified participant provided data collected by PHNs as part of their standard service evaluation.</w:t>
      </w:r>
    </w:p>
    <w:p w14:paraId="687E22A7" w14:textId="77777777" w:rsidR="00857B70" w:rsidRPr="00C96EC5" w:rsidRDefault="00857B70" w:rsidP="00857B70">
      <w:r>
        <w:rPr>
          <w:lang w:val="en-AU" w:eastAsia="en-AU"/>
        </w:rPr>
        <w:t xml:space="preserve">Interview </w:t>
      </w:r>
      <w:r w:rsidRPr="00724565">
        <w:rPr>
          <w:lang w:val="en-AU" w:eastAsia="en-AU"/>
        </w:rPr>
        <w:t>data</w:t>
      </w:r>
      <w:r>
        <w:rPr>
          <w:lang w:val="en-AU" w:eastAsia="en-AU"/>
        </w:rPr>
        <w:t xml:space="preserve"> was analysed using constant comparative analysis, details of which can be found in the accompanying university of Sydney ‘Voices of lived Experience’ report. </w:t>
      </w:r>
    </w:p>
    <w:p w14:paraId="4A0441ED" w14:textId="77777777" w:rsidR="00857B70" w:rsidRPr="00F63539" w:rsidRDefault="00857B70" w:rsidP="00BE0860">
      <w:pPr>
        <w:pStyle w:val="Heading3"/>
      </w:pPr>
      <w:r>
        <w:t>The statistical analysis of the PMHC-MDS data involved two stages</w:t>
      </w:r>
    </w:p>
    <w:p w14:paraId="2061F219" w14:textId="19A2C16B" w:rsidR="00857B70" w:rsidRDefault="00857B70" w:rsidP="00857B70">
      <w:r>
        <w:t xml:space="preserve">The first stage of the statistical analysis of the PMHC-MDS data was hypothesis testing. This testing helped to determine whether the </w:t>
      </w:r>
      <w:proofErr w:type="spellStart"/>
      <w:r w:rsidRPr="001765F4">
        <w:rPr>
          <w:rStyle w:val="Emphasis"/>
        </w:rPr>
        <w:t>HeadtoHelp</w:t>
      </w:r>
      <w:proofErr w:type="spellEnd"/>
      <w:r>
        <w:t xml:space="preserve"> service led to a statistically significant effect on the change in the outcome measure (K-10) scores from the start to the end of an episode. </w:t>
      </w:r>
    </w:p>
    <w:p w14:paraId="68916A1E" w14:textId="7013168B" w:rsidR="00857B70" w:rsidRDefault="00857B70" w:rsidP="001765F4">
      <w:pPr>
        <w:rPr>
          <w:lang w:val="en-AU" w:eastAsia="en-AU"/>
        </w:rPr>
      </w:pPr>
      <w:r>
        <w:t xml:space="preserve">The second stage involved regression analysis to determine the factors that had a statistically significant effect on the change in outcome measure scores from the start to end of an episode. A linear regression was used for simplicity in interpretation with relevant steps taken to ensure the underlying data satisfied assumptions for linear regression, such as no or low collinearity of the chosen factors, homoscedasticity and no or low correlation of residuals. </w:t>
      </w:r>
      <w:r>
        <w:rPr>
          <w:lang w:val="en-AU" w:eastAsia="en-AU"/>
        </w:rPr>
        <w:t>The factors included in the regression model include:</w:t>
      </w:r>
    </w:p>
    <w:p w14:paraId="2DA0F437" w14:textId="77777777" w:rsidR="00857B70" w:rsidRPr="000D119D" w:rsidRDefault="00857B70" w:rsidP="001765F4">
      <w:pPr>
        <w:pStyle w:val="Heading4"/>
      </w:pPr>
      <w:r w:rsidRPr="000D119D">
        <w:t>Service</w:t>
      </w:r>
      <w:r w:rsidRPr="000D119D">
        <w:rPr>
          <w:rStyle w:val="FootnoteReference"/>
          <w:rFonts w:asciiTheme="majorHAnsi" w:hAnsiTheme="majorHAnsi" w:cstheme="majorHAnsi"/>
        </w:rPr>
        <w:footnoteReference w:id="3"/>
      </w:r>
    </w:p>
    <w:p w14:paraId="12C5AA5D" w14:textId="7AD0BE08" w:rsidR="00857B70" w:rsidRPr="000D119D" w:rsidRDefault="00936D9A" w:rsidP="00BE0860">
      <w:pPr>
        <w:pStyle w:val="ListBullet"/>
      </w:pPr>
      <w:r w:rsidRPr="000D119D">
        <w:t>number</w:t>
      </w:r>
      <w:r w:rsidR="00857B70" w:rsidRPr="000D119D">
        <w:t xml:space="preserve"> of service contacts</w:t>
      </w:r>
    </w:p>
    <w:p w14:paraId="44257718" w14:textId="77777777" w:rsidR="00857B70" w:rsidRPr="000D119D" w:rsidRDefault="00857B70" w:rsidP="00BE0860">
      <w:pPr>
        <w:pStyle w:val="ListBullet"/>
      </w:pPr>
      <w:r w:rsidRPr="000D119D">
        <w:t>PHN where the episode occurred</w:t>
      </w:r>
    </w:p>
    <w:p w14:paraId="6C56AE3B" w14:textId="5613A30F" w:rsidR="00857B70" w:rsidRPr="000D119D" w:rsidRDefault="00936D9A" w:rsidP="00BE0860">
      <w:pPr>
        <w:pStyle w:val="ListBullet"/>
      </w:pPr>
      <w:r w:rsidRPr="000D119D">
        <w:t>main</w:t>
      </w:r>
      <w:r w:rsidR="00857B70" w:rsidRPr="000D119D">
        <w:t xml:space="preserve"> modality of service contacts</w:t>
      </w:r>
    </w:p>
    <w:p w14:paraId="5466F775" w14:textId="61C67920" w:rsidR="00857B70" w:rsidRPr="000D119D" w:rsidRDefault="00936D9A" w:rsidP="00BE0860">
      <w:pPr>
        <w:pStyle w:val="ListBullet"/>
      </w:pPr>
      <w:r w:rsidRPr="000D119D">
        <w:t>main</w:t>
      </w:r>
      <w:r w:rsidR="00857B70" w:rsidRPr="000D119D">
        <w:t xml:space="preserve"> type of service contact type</w:t>
      </w:r>
      <w:r w:rsidR="00857B70">
        <w:t>.</w:t>
      </w:r>
    </w:p>
    <w:p w14:paraId="0D301E3F" w14:textId="77777777" w:rsidR="00857B70" w:rsidRPr="000D119D" w:rsidRDefault="00857B70" w:rsidP="001765F4">
      <w:pPr>
        <w:pStyle w:val="Heading4"/>
      </w:pPr>
      <w:r w:rsidRPr="000D119D">
        <w:t>Demographic</w:t>
      </w:r>
    </w:p>
    <w:p w14:paraId="0A050918" w14:textId="2745BE52" w:rsidR="00857B70" w:rsidRPr="000D119D" w:rsidRDefault="00936D9A" w:rsidP="00BE0860">
      <w:pPr>
        <w:pStyle w:val="ListBullet"/>
      </w:pPr>
      <w:proofErr w:type="spellStart"/>
      <w:r w:rsidRPr="000D119D">
        <w:t>labour</w:t>
      </w:r>
      <w:proofErr w:type="spellEnd"/>
      <w:r w:rsidR="00857B70" w:rsidRPr="000D119D">
        <w:t xml:space="preserve"> force status</w:t>
      </w:r>
    </w:p>
    <w:p w14:paraId="7E3A85A7" w14:textId="3FA123C7" w:rsidR="00857B70" w:rsidRDefault="00936D9A" w:rsidP="00BE0860">
      <w:pPr>
        <w:pStyle w:val="ListBullet"/>
      </w:pPr>
      <w:r w:rsidRPr="000D119D">
        <w:t>main</w:t>
      </w:r>
      <w:r w:rsidR="00857B70" w:rsidRPr="000D119D">
        <w:t xml:space="preserve"> language at home</w:t>
      </w:r>
    </w:p>
    <w:p w14:paraId="262650C1" w14:textId="58BDBDCA" w:rsidR="00857B70" w:rsidRPr="000D119D" w:rsidRDefault="00936D9A" w:rsidP="00BE0860">
      <w:pPr>
        <w:pStyle w:val="ListBullet"/>
      </w:pPr>
      <w:r w:rsidRPr="000D119D">
        <w:t>homelessness</w:t>
      </w:r>
    </w:p>
    <w:p w14:paraId="26F4C3F9" w14:textId="26999056" w:rsidR="00857B70" w:rsidRDefault="00936D9A" w:rsidP="00BE0860">
      <w:pPr>
        <w:pStyle w:val="ListBullet"/>
      </w:pPr>
      <w:r w:rsidRPr="000D119D">
        <w:t>gender</w:t>
      </w:r>
    </w:p>
    <w:p w14:paraId="170EE25A" w14:textId="5F8B5325" w:rsidR="00857B70" w:rsidRPr="000D119D" w:rsidRDefault="00936D9A" w:rsidP="00BE0860">
      <w:pPr>
        <w:pStyle w:val="ListBullet"/>
      </w:pPr>
      <w:r w:rsidRPr="000D119D">
        <w:t>age</w:t>
      </w:r>
      <w:r w:rsidR="00857B70">
        <w:t>.</w:t>
      </w:r>
    </w:p>
    <w:p w14:paraId="276C5343" w14:textId="672BA25F" w:rsidR="00702F0B" w:rsidRPr="000D119D" w:rsidRDefault="00702F0B" w:rsidP="0059310D">
      <w:pPr>
        <w:pStyle w:val="Heading2"/>
      </w:pPr>
      <w:bookmarkStart w:id="15" w:name="_Toc99650330"/>
      <w:r w:rsidRPr="000D119D">
        <w:t>Program context</w:t>
      </w:r>
      <w:bookmarkEnd w:id="15"/>
      <w:r w:rsidR="0059310D" w:rsidRPr="000D119D">
        <w:t xml:space="preserve"> </w:t>
      </w:r>
    </w:p>
    <w:p w14:paraId="3BC36F7B" w14:textId="0B8C8EE7" w:rsidR="0059310D" w:rsidRPr="000D119D" w:rsidRDefault="00702F0B" w:rsidP="00BE0860">
      <w:pPr>
        <w:pStyle w:val="Heading3"/>
      </w:pPr>
      <w:r w:rsidRPr="000D119D">
        <w:t xml:space="preserve">Background to the </w:t>
      </w:r>
      <w:proofErr w:type="spellStart"/>
      <w:r w:rsidR="0059310D" w:rsidRPr="00AE4C55">
        <w:rPr>
          <w:i/>
        </w:rPr>
        <w:t>HeadtoHelp</w:t>
      </w:r>
      <w:proofErr w:type="spellEnd"/>
      <w:r w:rsidR="0059310D" w:rsidRPr="000D119D">
        <w:t xml:space="preserve"> </w:t>
      </w:r>
      <w:bookmarkEnd w:id="10"/>
      <w:r w:rsidR="00711D17" w:rsidRPr="000D119D">
        <w:t>hubs</w:t>
      </w:r>
    </w:p>
    <w:p w14:paraId="010206AC" w14:textId="2BB8C8F2" w:rsidR="00C87E39" w:rsidRPr="000D119D" w:rsidRDefault="00BD1EF0" w:rsidP="00982582">
      <w:pPr>
        <w:rPr>
          <w:lang w:val="en-AU" w:eastAsia="en-AU"/>
        </w:rPr>
      </w:pPr>
      <w:r w:rsidRPr="000D119D">
        <w:rPr>
          <w:lang w:val="en-AU" w:eastAsia="en-AU"/>
        </w:rPr>
        <w:t>Between 9 July and 8 November 2020, metropolitan Melbourne and the Shire of Mitchell re-entered lockdown following a spike in community transmitted cases of COVID-19. The Victorian lockdown in response to the COVID-19 pandemic brought substantial hardship and a significant increase in demand for mental health services.</w:t>
      </w:r>
    </w:p>
    <w:p w14:paraId="7EA4C49C" w14:textId="6B01BD82" w:rsidR="00BA3245" w:rsidRPr="000D119D" w:rsidRDefault="00DE6827" w:rsidP="00BA3245">
      <w:pPr>
        <w:rPr>
          <w:lang w:val="en-AU" w:eastAsia="en-AU"/>
        </w:rPr>
      </w:pPr>
      <w:proofErr w:type="spellStart"/>
      <w:r w:rsidRPr="001765F4">
        <w:rPr>
          <w:rStyle w:val="Emphasis"/>
        </w:rPr>
        <w:lastRenderedPageBreak/>
        <w:t>HeadtoHelp</w:t>
      </w:r>
      <w:proofErr w:type="spellEnd"/>
      <w:r w:rsidRPr="000D119D">
        <w:rPr>
          <w:lang w:val="en-AU"/>
        </w:rPr>
        <w:t xml:space="preserve"> was established to respond to the urgent and rising mental health need in Victoria, experienced </w:t>
      </w:r>
      <w:r w:rsidR="0049531C" w:rsidRPr="000D119D">
        <w:rPr>
          <w:lang w:val="en-AU"/>
        </w:rPr>
        <w:t xml:space="preserve">due to this prolonged lockdown. What was unanticipated was that lockdowns would continue as a prominent strategy </w:t>
      </w:r>
      <w:r w:rsidR="00BA3245" w:rsidRPr="000D119D">
        <w:rPr>
          <w:lang w:val="en-AU"/>
        </w:rPr>
        <w:t xml:space="preserve">to contain COVID-19 </w:t>
      </w:r>
      <w:r w:rsidR="0049531C" w:rsidRPr="000D119D">
        <w:rPr>
          <w:lang w:val="en-AU"/>
        </w:rPr>
        <w:t>throughout 2021</w:t>
      </w:r>
      <w:r w:rsidR="00BA3245" w:rsidRPr="000D119D">
        <w:rPr>
          <w:lang w:val="en-AU"/>
        </w:rPr>
        <w:t xml:space="preserve">. </w:t>
      </w:r>
      <w:r w:rsidR="00BA3245" w:rsidRPr="000D119D">
        <w:rPr>
          <w:lang w:val="en-AU" w:eastAsia="en-AU"/>
        </w:rPr>
        <w:t xml:space="preserve">In August 2020, the Australian Government responded by announcing funding of $26.9 million for 15 </w:t>
      </w:r>
      <w:proofErr w:type="spellStart"/>
      <w:r w:rsidR="00BA3245" w:rsidRPr="001765F4">
        <w:rPr>
          <w:rStyle w:val="Emphasis"/>
        </w:rPr>
        <w:t>HeadtoHelp</w:t>
      </w:r>
      <w:proofErr w:type="spellEnd"/>
      <w:r w:rsidR="00BA3245" w:rsidRPr="000D119D">
        <w:rPr>
          <w:lang w:val="en-AU" w:eastAsia="en-AU"/>
        </w:rPr>
        <w:t xml:space="preserve"> hubs in Victoria to operate until September 2021. There have been two formal extensions to the program: an initial extension from </w:t>
      </w:r>
      <w:r w:rsidR="00BA3245" w:rsidRPr="000D119D">
        <w:rPr>
          <w:lang w:val="en-AU"/>
        </w:rPr>
        <w:t>September 2021 to December 2021 based on underspend and a subsequent successful bid for additional funding for an extension from December 2021 to June 2022.</w:t>
      </w:r>
    </w:p>
    <w:p w14:paraId="5AABC22A" w14:textId="32493DAE" w:rsidR="00DE6827" w:rsidRPr="000D119D" w:rsidRDefault="00DE6827" w:rsidP="00DE6827">
      <w:pPr>
        <w:rPr>
          <w:lang w:val="en-AU"/>
        </w:rPr>
      </w:pPr>
      <w:proofErr w:type="spellStart"/>
      <w:r w:rsidRPr="001765F4">
        <w:rPr>
          <w:rStyle w:val="Emphasis"/>
        </w:rPr>
        <w:t>HeadtoHelp</w:t>
      </w:r>
      <w:proofErr w:type="spellEnd"/>
      <w:r w:rsidRPr="000D119D">
        <w:rPr>
          <w:lang w:val="en-AU"/>
        </w:rPr>
        <w:t xml:space="preserve"> intended to meet mental health needs of Victorians by reflecting system-wide changes in mental health service delivery as outlined by the National Mental Health Commission and Royal Commission into Victoria’s Mental Health System.</w:t>
      </w:r>
      <w:r w:rsidRPr="000D119D">
        <w:rPr>
          <w:rStyle w:val="FootnoteReference"/>
          <w:lang w:val="en-AU"/>
        </w:rPr>
        <w:footnoteReference w:id="4"/>
      </w:r>
      <w:r w:rsidRPr="000D119D">
        <w:rPr>
          <w:lang w:val="en-AU"/>
        </w:rPr>
        <w:t xml:space="preserve"> The service aimed to be a ‘front door’ to the mental health system, providing </w:t>
      </w:r>
      <w:r w:rsidR="00601722" w:rsidRPr="000D119D">
        <w:rPr>
          <w:lang w:val="en-AU"/>
        </w:rPr>
        <w:t>client-centric</w:t>
      </w:r>
      <w:r w:rsidRPr="000D119D">
        <w:rPr>
          <w:lang w:val="en-AU"/>
        </w:rPr>
        <w:t>, recovery-focused and needs-based care delivered by a multi-disciplinary team.</w:t>
      </w:r>
      <w:r w:rsidRPr="000D119D">
        <w:rPr>
          <w:rStyle w:val="FootnoteReference"/>
          <w:lang w:val="en-AU"/>
        </w:rPr>
        <w:footnoteReference w:id="5"/>
      </w:r>
      <w:r w:rsidRPr="000D119D">
        <w:rPr>
          <w:lang w:val="en-AU"/>
        </w:rPr>
        <w:t xml:space="preserve"> The intent was for Victorians to be able to access services commensurate to their needs, which may have been pre-existing mental health conditions exacerbated by COVID-19 or mental health issues brought on by COVID-19.</w:t>
      </w:r>
    </w:p>
    <w:p w14:paraId="3EE089A2" w14:textId="761FFA7F" w:rsidR="00D61DE8" w:rsidRPr="000D119D" w:rsidRDefault="00D61DE8" w:rsidP="00BD1EF0">
      <w:pPr>
        <w:rPr>
          <w:lang w:val="en-AU"/>
        </w:rPr>
      </w:pPr>
      <w:r w:rsidRPr="000D119D">
        <w:rPr>
          <w:lang w:val="en-AU" w:eastAsia="en-AU"/>
        </w:rPr>
        <w:t xml:space="preserve">The purpose and key activities of the </w:t>
      </w:r>
      <w:proofErr w:type="spellStart"/>
      <w:r w:rsidRPr="001765F4">
        <w:rPr>
          <w:rStyle w:val="Emphasis"/>
        </w:rPr>
        <w:t>HeadtoHelp</w:t>
      </w:r>
      <w:proofErr w:type="spellEnd"/>
      <w:r w:rsidRPr="000D119D">
        <w:rPr>
          <w:i/>
          <w:iCs/>
          <w:lang w:val="en-AU" w:eastAsia="en-AU"/>
        </w:rPr>
        <w:t xml:space="preserve"> </w:t>
      </w:r>
      <w:r w:rsidRPr="000D119D">
        <w:rPr>
          <w:lang w:val="en-AU" w:eastAsia="en-AU"/>
        </w:rPr>
        <w:t xml:space="preserve">service and hubs is outlined in </w:t>
      </w:r>
      <w:r w:rsidRPr="000D119D">
        <w:rPr>
          <w:lang w:val="en-AU" w:eastAsia="en-AU"/>
        </w:rPr>
        <w:fldChar w:fldCharType="begin"/>
      </w:r>
      <w:r w:rsidRPr="000D119D">
        <w:rPr>
          <w:lang w:val="en-AU" w:eastAsia="en-AU"/>
        </w:rPr>
        <w:instrText xml:space="preserve"> REF _Ref79349633 \h </w:instrText>
      </w:r>
      <w:r w:rsidRPr="000D119D">
        <w:rPr>
          <w:lang w:val="en-AU" w:eastAsia="en-AU"/>
        </w:rPr>
      </w:r>
      <w:r w:rsidRPr="000D119D">
        <w:rPr>
          <w:lang w:val="en-AU" w:eastAsia="en-AU"/>
        </w:rPr>
        <w:fldChar w:fldCharType="separate"/>
      </w:r>
      <w:r w:rsidR="00562174" w:rsidRPr="000D119D">
        <w:t xml:space="preserve">Figure </w:t>
      </w:r>
      <w:r w:rsidR="00562174">
        <w:rPr>
          <w:noProof/>
        </w:rPr>
        <w:t>4</w:t>
      </w:r>
      <w:r w:rsidRPr="000D119D">
        <w:rPr>
          <w:lang w:val="en-AU" w:eastAsia="en-AU"/>
        </w:rPr>
        <w:fldChar w:fldCharType="end"/>
      </w:r>
      <w:r w:rsidRPr="000D119D">
        <w:rPr>
          <w:lang w:val="en-AU" w:eastAsia="en-AU"/>
        </w:rPr>
        <w:t xml:space="preserve">. </w:t>
      </w:r>
      <w:r w:rsidRPr="000D119D">
        <w:rPr>
          <w:lang w:val="en-AU"/>
        </w:rPr>
        <w:t xml:space="preserve">Further information on the </w:t>
      </w:r>
      <w:proofErr w:type="spellStart"/>
      <w:r w:rsidRPr="001765F4">
        <w:rPr>
          <w:rStyle w:val="Emphasis"/>
        </w:rPr>
        <w:t>HeadtoHelp</w:t>
      </w:r>
      <w:proofErr w:type="spellEnd"/>
      <w:r w:rsidRPr="000D119D">
        <w:rPr>
          <w:i/>
          <w:iCs/>
          <w:lang w:val="en-AU"/>
        </w:rPr>
        <w:t xml:space="preserve"> </w:t>
      </w:r>
      <w:r w:rsidRPr="000D119D">
        <w:rPr>
          <w:lang w:val="en-AU"/>
        </w:rPr>
        <w:t xml:space="preserve">service pathway is available in </w:t>
      </w:r>
      <w:hyperlink w:anchor="_Appendices" w:history="1">
        <w:r w:rsidR="00063994" w:rsidRPr="00F344CE">
          <w:rPr>
            <w:rStyle w:val="Hyperlink"/>
            <w:lang w:val="en-AU"/>
          </w:rPr>
          <w:t>Appendix</w:t>
        </w:r>
        <w:r w:rsidR="0012523D" w:rsidRPr="00F344CE">
          <w:rPr>
            <w:rStyle w:val="Hyperlink"/>
            <w:lang w:val="en-AU"/>
          </w:rPr>
          <w:t xml:space="preserve"> </w:t>
        </w:r>
        <w:r w:rsidR="0063482E" w:rsidRPr="00F344CE">
          <w:rPr>
            <w:rStyle w:val="Hyperlink"/>
            <w:lang w:val="en-AU"/>
          </w:rPr>
          <w:t>A</w:t>
        </w:r>
      </w:hyperlink>
      <w:r w:rsidR="003D51D5" w:rsidRPr="00141636">
        <w:rPr>
          <w:lang w:val="en-AU"/>
        </w:rPr>
        <w:t>.</w:t>
      </w:r>
    </w:p>
    <w:p w14:paraId="7AF99A61" w14:textId="18560EE3" w:rsidR="00D61DE8" w:rsidRPr="000D119D" w:rsidRDefault="00D61DE8" w:rsidP="00D61DE8">
      <w:pPr>
        <w:pStyle w:val="Caption"/>
        <w:rPr>
          <w:i/>
          <w:iCs/>
        </w:rPr>
      </w:pPr>
      <w:bookmarkStart w:id="16" w:name="_Ref96979431"/>
      <w:bookmarkStart w:id="17" w:name="_Ref79349633"/>
      <w:r w:rsidRPr="000D119D">
        <w:t xml:space="preserve">Figure </w:t>
      </w:r>
      <w:r w:rsidR="00C90990">
        <w:fldChar w:fldCharType="begin"/>
      </w:r>
      <w:r w:rsidR="00C90990">
        <w:instrText xml:space="preserve"> SEQ Figure \* ARABIC </w:instrText>
      </w:r>
      <w:r w:rsidR="00C90990">
        <w:fldChar w:fldCharType="separate"/>
      </w:r>
      <w:r w:rsidR="00562174">
        <w:rPr>
          <w:noProof/>
        </w:rPr>
        <w:t>4</w:t>
      </w:r>
      <w:r w:rsidR="00C90990">
        <w:fldChar w:fldCharType="end"/>
      </w:r>
      <w:bookmarkEnd w:id="16"/>
      <w:bookmarkEnd w:id="17"/>
      <w:r w:rsidRPr="000D119D">
        <w:t xml:space="preserve"> | Overview of </w:t>
      </w:r>
      <w:proofErr w:type="spellStart"/>
      <w:r w:rsidRPr="000D119D">
        <w:rPr>
          <w:i/>
          <w:iCs/>
        </w:rPr>
        <w:t>HeadtoHelp</w:t>
      </w:r>
      <w:proofErr w:type="spellEnd"/>
    </w:p>
    <w:p w14:paraId="12E9E261" w14:textId="0E248896" w:rsidR="00941B1F" w:rsidRPr="000D119D" w:rsidRDefault="00280E84" w:rsidP="00BB4108">
      <w:pPr>
        <w:rPr>
          <w:lang w:val="en-AU"/>
        </w:rPr>
      </w:pPr>
      <w:r w:rsidRPr="00280E84">
        <w:rPr>
          <w:noProof/>
        </w:rPr>
        <w:drawing>
          <wp:inline distT="0" distB="0" distL="0" distR="0" wp14:anchorId="0B254426" wp14:editId="297CF6AE">
            <wp:extent cx="5670550" cy="5036820"/>
            <wp:effectExtent l="0" t="0" r="6350" b="0"/>
            <wp:docPr id="23" name="Picture 23" descr="Figure 4 is an image of the overview about Head to Help, including purpose an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4 is an image of the overview about Head to Help, including purpose and activiti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0550" cy="5036820"/>
                    </a:xfrm>
                    <a:prstGeom prst="rect">
                      <a:avLst/>
                    </a:prstGeom>
                    <a:noFill/>
                    <a:ln>
                      <a:noFill/>
                    </a:ln>
                  </pic:spPr>
                </pic:pic>
              </a:graphicData>
            </a:graphic>
          </wp:inline>
        </w:drawing>
      </w:r>
    </w:p>
    <w:p w14:paraId="346CF282" w14:textId="40BCCABF" w:rsidR="0059310D" w:rsidRPr="000D119D" w:rsidRDefault="0059310D" w:rsidP="00BE0860">
      <w:pPr>
        <w:pStyle w:val="Heading3"/>
      </w:pPr>
      <w:r w:rsidRPr="000D119D">
        <w:lastRenderedPageBreak/>
        <w:t>Background to the A</w:t>
      </w:r>
      <w:r w:rsidR="00610636" w:rsidRPr="000D119D">
        <w:t>MHCs</w:t>
      </w:r>
    </w:p>
    <w:p w14:paraId="6277706C" w14:textId="1CC15EE3" w:rsidR="00DA2EBF" w:rsidRPr="000D119D" w:rsidRDefault="00DA2EBF" w:rsidP="00DA2EBF">
      <w:pPr>
        <w:rPr>
          <w:lang w:val="en-AU"/>
        </w:rPr>
      </w:pPr>
      <w:r w:rsidRPr="000D119D">
        <w:rPr>
          <w:lang w:val="en-AU"/>
        </w:rPr>
        <w:t xml:space="preserve">Prior to the COVID-19 pandemic (May 2019 budget), the Australian Government announced it would invest $114.5 million over five years to trial eight AMHCs – one in each state and territory. The AMHCs </w:t>
      </w:r>
      <w:r w:rsidR="00414B25" w:rsidRPr="000D119D">
        <w:rPr>
          <w:lang w:val="en-AU"/>
        </w:rPr>
        <w:t>have been commissioned in</w:t>
      </w:r>
      <w:r w:rsidRPr="000D119D">
        <w:rPr>
          <w:lang w:val="en-AU"/>
        </w:rPr>
        <w:t xml:space="preserve"> </w:t>
      </w:r>
      <w:r w:rsidR="00FB20CE">
        <w:rPr>
          <w:lang w:val="en-AU"/>
        </w:rPr>
        <w:t>seven</w:t>
      </w:r>
      <w:r w:rsidRPr="000D119D">
        <w:rPr>
          <w:lang w:val="en-AU"/>
        </w:rPr>
        <w:t xml:space="preserve"> states and territories by PHNs</w:t>
      </w:r>
      <w:r w:rsidR="00C53CDC">
        <w:rPr>
          <w:lang w:val="en-AU"/>
        </w:rPr>
        <w:t>,</w:t>
      </w:r>
      <w:r w:rsidRPr="000D119D">
        <w:rPr>
          <w:lang w:val="en-AU"/>
        </w:rPr>
        <w:t xml:space="preserve"> and the final AMHC </w:t>
      </w:r>
      <w:r w:rsidR="00DA7EB2" w:rsidRPr="000D119D">
        <w:rPr>
          <w:lang w:val="en-AU"/>
        </w:rPr>
        <w:t xml:space="preserve">has been commissioned </w:t>
      </w:r>
      <w:r w:rsidRPr="000D119D">
        <w:rPr>
          <w:lang w:val="en-AU"/>
        </w:rPr>
        <w:t xml:space="preserve">by the South Australian Government (SA Health). Like </w:t>
      </w:r>
      <w:proofErr w:type="spellStart"/>
      <w:r w:rsidRPr="000D119D">
        <w:rPr>
          <w:i/>
          <w:lang w:val="en-AU"/>
        </w:rPr>
        <w:t>HeadtoHelp</w:t>
      </w:r>
      <w:proofErr w:type="spellEnd"/>
      <w:r w:rsidRPr="000D119D">
        <w:rPr>
          <w:lang w:val="en-AU"/>
        </w:rPr>
        <w:t xml:space="preserve">, the Centres aim to make it easier for people to access the mental health advice, information, </w:t>
      </w:r>
      <w:proofErr w:type="gramStart"/>
      <w:r w:rsidRPr="000D119D">
        <w:rPr>
          <w:lang w:val="en-AU"/>
        </w:rPr>
        <w:t>support</w:t>
      </w:r>
      <w:proofErr w:type="gramEnd"/>
      <w:r w:rsidRPr="000D119D">
        <w:rPr>
          <w:lang w:val="en-AU"/>
        </w:rPr>
        <w:t xml:space="preserve"> and referrals they need in the community. By integrating with other local community services and assisting people to access related health and social services, their aim is to provide a more readily identifiable and accessible ‘front door’ to the mental health system, as well as immediate treatment and de-escalation of distress or crisis, and support to navigate to other services. The service model is not one of long-term care, however, to ‘deliver packages of evidence-based care and family support to cover the short</w:t>
      </w:r>
      <w:r w:rsidR="00B07434" w:rsidRPr="000D119D">
        <w:rPr>
          <w:lang w:val="en-AU"/>
        </w:rPr>
        <w:t>-</w:t>
      </w:r>
      <w:r w:rsidRPr="000D119D">
        <w:rPr>
          <w:lang w:val="en-AU"/>
        </w:rPr>
        <w:t xml:space="preserve"> to medium-term, which could last from a few weeks to several months based on clinical judgement and individual need’.</w:t>
      </w:r>
      <w:bookmarkStart w:id="18" w:name="_Ref73453900"/>
      <w:r w:rsidRPr="000D119D">
        <w:rPr>
          <w:rStyle w:val="FootnoteReference"/>
          <w:lang w:val="en-AU"/>
        </w:rPr>
        <w:footnoteReference w:id="6"/>
      </w:r>
      <w:bookmarkEnd w:id="18"/>
    </w:p>
    <w:p w14:paraId="7DE920DC" w14:textId="103F7452" w:rsidR="00B8379C" w:rsidRPr="000D119D" w:rsidRDefault="00DA2EBF" w:rsidP="00DA2EBF">
      <w:pPr>
        <w:rPr>
          <w:lang w:val="en-AU" w:eastAsia="en-AU"/>
        </w:rPr>
      </w:pPr>
      <w:r w:rsidRPr="000D119D">
        <w:rPr>
          <w:lang w:val="en-AU"/>
        </w:rPr>
        <w:t xml:space="preserve">While there are several similarities between the </w:t>
      </w:r>
      <w:proofErr w:type="spellStart"/>
      <w:r w:rsidRPr="001765F4">
        <w:rPr>
          <w:rStyle w:val="Emphasis"/>
        </w:rPr>
        <w:t>HeadtoHelp</w:t>
      </w:r>
      <w:proofErr w:type="spellEnd"/>
      <w:r w:rsidRPr="000D119D">
        <w:rPr>
          <w:lang w:val="en-AU"/>
        </w:rPr>
        <w:t xml:space="preserve"> and AMHC models, it is envisioned that with the greater amount of funding provided to AMHCs (</w:t>
      </w:r>
      <w:r w:rsidR="00EF720D" w:rsidRPr="000D119D">
        <w:rPr>
          <w:lang w:val="en-AU"/>
        </w:rPr>
        <w:t xml:space="preserve">a range of </w:t>
      </w:r>
      <w:r w:rsidRPr="000D119D">
        <w:rPr>
          <w:lang w:val="en-AU"/>
        </w:rPr>
        <w:t>$2.</w:t>
      </w:r>
      <w:r w:rsidR="00EF720D" w:rsidRPr="000D119D">
        <w:rPr>
          <w:lang w:val="en-AU"/>
        </w:rPr>
        <w:t>9</w:t>
      </w:r>
      <w:r w:rsidR="00C53CDC">
        <w:rPr>
          <w:lang w:val="en-AU"/>
        </w:rPr>
        <w:t xml:space="preserve"> million to </w:t>
      </w:r>
      <w:r w:rsidR="00EF720D" w:rsidRPr="000D119D">
        <w:rPr>
          <w:lang w:val="en-AU"/>
        </w:rPr>
        <w:t>$4</w:t>
      </w:r>
      <w:r w:rsidRPr="000D119D">
        <w:rPr>
          <w:lang w:val="en-AU"/>
        </w:rPr>
        <w:t xml:space="preserve"> million per AMHC per annum compared to $1 million per </w:t>
      </w:r>
      <w:proofErr w:type="spellStart"/>
      <w:r w:rsidRPr="001765F4">
        <w:rPr>
          <w:rStyle w:val="Emphasis"/>
        </w:rPr>
        <w:t>HeadtoHelp</w:t>
      </w:r>
      <w:proofErr w:type="spellEnd"/>
      <w:r w:rsidRPr="000D119D">
        <w:rPr>
          <w:lang w:val="en-AU"/>
        </w:rPr>
        <w:t xml:space="preserve"> hub per annum on average)</w:t>
      </w:r>
      <w:r w:rsidR="00482199" w:rsidRPr="000D119D">
        <w:rPr>
          <w:rStyle w:val="FootnoteReference"/>
          <w:lang w:val="en-AU"/>
        </w:rPr>
        <w:footnoteReference w:id="7"/>
      </w:r>
      <w:r w:rsidRPr="000D119D">
        <w:rPr>
          <w:lang w:val="en-AU"/>
        </w:rPr>
        <w:t xml:space="preserve">, they will have greater in-house service capacity to deliver services that are limited in the current delivery of </w:t>
      </w:r>
      <w:proofErr w:type="spellStart"/>
      <w:r w:rsidRPr="001765F4">
        <w:rPr>
          <w:rStyle w:val="Emphasis"/>
        </w:rPr>
        <w:t>HeadtoHelp</w:t>
      </w:r>
      <w:proofErr w:type="spellEnd"/>
      <w:r w:rsidRPr="000D119D">
        <w:rPr>
          <w:lang w:val="en-AU"/>
        </w:rPr>
        <w:t xml:space="preserve"> (</w:t>
      </w:r>
      <w:r w:rsidR="00997C58" w:rsidRPr="000D119D">
        <w:rPr>
          <w:lang w:val="en-AU"/>
        </w:rPr>
        <w:t>e.g.,</w:t>
      </w:r>
      <w:r w:rsidRPr="000D119D">
        <w:rPr>
          <w:lang w:val="en-AU"/>
        </w:rPr>
        <w:t xml:space="preserve"> medication and psychiatric reviews</w:t>
      </w:r>
      <w:r w:rsidR="00A32C80">
        <w:rPr>
          <w:lang w:val="en-AU"/>
        </w:rPr>
        <w:t>,</w:t>
      </w:r>
      <w:r w:rsidRPr="000D119D" w:rsidDel="00A32C80">
        <w:rPr>
          <w:lang w:val="en-AU"/>
        </w:rPr>
        <w:t xml:space="preserve"> </w:t>
      </w:r>
      <w:r w:rsidRPr="000D119D">
        <w:rPr>
          <w:lang w:val="en-AU"/>
        </w:rPr>
        <w:t>telephone de-escalation</w:t>
      </w:r>
      <w:r w:rsidR="00A32C80">
        <w:rPr>
          <w:lang w:val="en-AU"/>
        </w:rPr>
        <w:t xml:space="preserve"> and walk-in capacity</w:t>
      </w:r>
      <w:r w:rsidRPr="000D119D">
        <w:rPr>
          <w:lang w:val="en-AU"/>
        </w:rPr>
        <w:t xml:space="preserve">). In addition, </w:t>
      </w:r>
      <w:proofErr w:type="spellStart"/>
      <w:r w:rsidRPr="001765F4">
        <w:rPr>
          <w:rStyle w:val="Emphasis"/>
        </w:rPr>
        <w:t>HeadtoHelp</w:t>
      </w:r>
      <w:proofErr w:type="spellEnd"/>
      <w:r w:rsidRPr="001765F4">
        <w:rPr>
          <w:rStyle w:val="Emphasis"/>
        </w:rPr>
        <w:t xml:space="preserve"> </w:t>
      </w:r>
      <w:r w:rsidRPr="000D119D">
        <w:rPr>
          <w:lang w:val="en-AU"/>
        </w:rPr>
        <w:t>hubs are commonly part of existing services (</w:t>
      </w:r>
      <w:r w:rsidR="00997C58" w:rsidRPr="000D119D">
        <w:rPr>
          <w:lang w:val="en-AU"/>
        </w:rPr>
        <w:t>e.g.,</w:t>
      </w:r>
      <w:r w:rsidRPr="000D119D">
        <w:rPr>
          <w:lang w:val="en-AU"/>
        </w:rPr>
        <w:t xml:space="preserve"> GP practices), whereas </w:t>
      </w:r>
      <w:r w:rsidR="006A6033" w:rsidRPr="000D119D">
        <w:rPr>
          <w:lang w:val="en-AU"/>
        </w:rPr>
        <w:t xml:space="preserve">most </w:t>
      </w:r>
      <w:r w:rsidR="0046162A" w:rsidRPr="000D119D">
        <w:rPr>
          <w:lang w:val="en-AU"/>
        </w:rPr>
        <w:t xml:space="preserve">AMHCs will </w:t>
      </w:r>
      <w:r w:rsidR="00E63998" w:rsidRPr="000D119D">
        <w:rPr>
          <w:lang w:val="en-AU"/>
        </w:rPr>
        <w:t>be in</w:t>
      </w:r>
      <w:r w:rsidR="0046162A" w:rsidRPr="000D119D">
        <w:rPr>
          <w:lang w:val="en-AU"/>
        </w:rPr>
        <w:t xml:space="preserve"> </w:t>
      </w:r>
      <w:r w:rsidR="00E63998" w:rsidRPr="000D119D">
        <w:rPr>
          <w:lang w:val="en-AU"/>
        </w:rPr>
        <w:t>standalone</w:t>
      </w:r>
      <w:r w:rsidR="0046162A" w:rsidRPr="000D119D">
        <w:rPr>
          <w:lang w:val="en-AU"/>
        </w:rPr>
        <w:t xml:space="preserve"> facilities</w:t>
      </w:r>
      <w:r w:rsidR="00190E91" w:rsidRPr="000D119D">
        <w:rPr>
          <w:lang w:val="en-AU"/>
        </w:rPr>
        <w:t>.</w:t>
      </w:r>
    </w:p>
    <w:p w14:paraId="739E8A42" w14:textId="16FB113B" w:rsidR="00B8379C" w:rsidRPr="000D119D" w:rsidRDefault="00B8379C" w:rsidP="00B8379C">
      <w:pPr>
        <w:pStyle w:val="Caption"/>
      </w:pPr>
      <w:r w:rsidRPr="000D119D">
        <w:lastRenderedPageBreak/>
        <w:t xml:space="preserve">Figure </w:t>
      </w:r>
      <w:r w:rsidR="00C90990">
        <w:fldChar w:fldCharType="begin"/>
      </w:r>
      <w:r w:rsidR="00C90990">
        <w:instrText xml:space="preserve"> SEQ Figure \* ARABIC </w:instrText>
      </w:r>
      <w:r w:rsidR="00C90990">
        <w:fldChar w:fldCharType="separate"/>
      </w:r>
      <w:r w:rsidR="00562174">
        <w:rPr>
          <w:noProof/>
        </w:rPr>
        <w:t>5</w:t>
      </w:r>
      <w:r w:rsidR="00C90990">
        <w:fldChar w:fldCharType="end"/>
      </w:r>
      <w:r w:rsidRPr="000D119D">
        <w:t xml:space="preserve"> | Summary of AMHCs</w:t>
      </w:r>
    </w:p>
    <w:p w14:paraId="1AA0CC27" w14:textId="3D41FFCC" w:rsidR="00705307" w:rsidRPr="000D119D" w:rsidRDefault="009A752C" w:rsidP="00074556">
      <w:pPr>
        <w:rPr>
          <w:noProof/>
          <w:lang w:val="en-AU" w:eastAsia="en-AU"/>
        </w:rPr>
      </w:pPr>
      <w:r w:rsidRPr="009A752C">
        <w:rPr>
          <w:noProof/>
        </w:rPr>
        <w:drawing>
          <wp:inline distT="0" distB="0" distL="0" distR="0" wp14:anchorId="74C3335D" wp14:editId="2EA81573">
            <wp:extent cx="5670550" cy="5698490"/>
            <wp:effectExtent l="0" t="0" r="6350" b="0"/>
            <wp:docPr id="25" name="Picture 25" descr="Figure 5 is a visual image of the summary of Adult Mental Health Centres, including purpose and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5 is a visual image of the summary of Adult Mental Health Centres, including purpose and activitie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0550" cy="5698490"/>
                    </a:xfrm>
                    <a:prstGeom prst="rect">
                      <a:avLst/>
                    </a:prstGeom>
                    <a:noFill/>
                    <a:ln>
                      <a:noFill/>
                    </a:ln>
                  </pic:spPr>
                </pic:pic>
              </a:graphicData>
            </a:graphic>
          </wp:inline>
        </w:drawing>
      </w:r>
    </w:p>
    <w:p w14:paraId="537F9121" w14:textId="3495E07E" w:rsidR="00434ED2" w:rsidRPr="000D119D" w:rsidRDefault="001D0EC1" w:rsidP="00252DAB">
      <w:pPr>
        <w:pStyle w:val="Heading1"/>
        <w:numPr>
          <w:ilvl w:val="0"/>
          <w:numId w:val="0"/>
        </w:numPr>
        <w:spacing w:after="360"/>
        <w:ind w:left="360" w:hanging="360"/>
        <w:rPr>
          <w:color w:val="FFFFFF" w:themeColor="background1"/>
        </w:rPr>
      </w:pPr>
      <w:bookmarkStart w:id="19" w:name="_Toc99650331"/>
      <w:r w:rsidRPr="000D119D">
        <w:rPr>
          <w:noProof/>
          <w:color w:val="FFFFFF" w:themeColor="background1"/>
        </w:rPr>
        <w:lastRenderedPageBreak/>
        <w:drawing>
          <wp:anchor distT="0" distB="0" distL="114300" distR="114300" simplePos="0" relativeHeight="251737088" behindDoc="1" locked="0" layoutInCell="1" allowOverlap="1" wp14:anchorId="7FF08706" wp14:editId="73F7C165">
            <wp:simplePos x="0" y="0"/>
            <wp:positionH relativeFrom="column">
              <wp:posOffset>-984168</wp:posOffset>
            </wp:positionH>
            <wp:positionV relativeFrom="paragraph">
              <wp:posOffset>-793115</wp:posOffset>
            </wp:positionV>
            <wp:extent cx="7578090" cy="1310640"/>
            <wp:effectExtent l="0" t="0" r="3810" b="3810"/>
            <wp:wrapNone/>
            <wp:docPr id="14350" name="Picture 14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 name="Picture 1435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78090" cy="1310640"/>
                    </a:xfrm>
                    <a:prstGeom prst="rect">
                      <a:avLst/>
                    </a:prstGeom>
                    <a:noFill/>
                  </pic:spPr>
                </pic:pic>
              </a:graphicData>
            </a:graphic>
          </wp:anchor>
        </w:drawing>
      </w:r>
      <w:r w:rsidR="001765F4">
        <w:rPr>
          <w:color w:val="FFFFFF" w:themeColor="background1"/>
        </w:rPr>
        <w:t>PART A</w:t>
      </w:r>
      <w:r w:rsidR="00434ED2" w:rsidRPr="000D119D">
        <w:rPr>
          <w:color w:val="FFFFFF" w:themeColor="background1"/>
        </w:rPr>
        <w:t xml:space="preserve"> </w:t>
      </w:r>
      <w:proofErr w:type="spellStart"/>
      <w:r w:rsidR="00434ED2" w:rsidRPr="00E6136D">
        <w:rPr>
          <w:i/>
          <w:iCs/>
          <w:color w:val="0070C0"/>
        </w:rPr>
        <w:t>HeadtoHelp</w:t>
      </w:r>
      <w:proofErr w:type="spellEnd"/>
      <w:r w:rsidR="0029260F" w:rsidRPr="000D119D">
        <w:rPr>
          <w:i/>
          <w:iCs/>
          <w:color w:val="FFFFFF" w:themeColor="background1"/>
        </w:rPr>
        <w:t xml:space="preserve"> </w:t>
      </w:r>
      <w:r w:rsidR="0029260F" w:rsidRPr="000D119D">
        <w:rPr>
          <w:color w:val="FFFFFF" w:themeColor="background1"/>
          <w:u w:val="single"/>
        </w:rPr>
        <w:t>Findings</w:t>
      </w:r>
      <w:bookmarkEnd w:id="19"/>
    </w:p>
    <w:p w14:paraId="237EE340" w14:textId="0ADDD63A" w:rsidR="00434ED2" w:rsidRPr="000D119D" w:rsidRDefault="00434ED2" w:rsidP="005302BF">
      <w:pPr>
        <w:pStyle w:val="Heading1"/>
        <w:pageBreakBefore w:val="0"/>
      </w:pPr>
      <w:bookmarkStart w:id="20" w:name="_Ref96612101"/>
      <w:bookmarkStart w:id="21" w:name="_Toc99650332"/>
      <w:bookmarkStart w:id="22" w:name="_Ref78905089"/>
      <w:r w:rsidRPr="000D119D">
        <w:t xml:space="preserve">Establishment of </w:t>
      </w:r>
      <w:proofErr w:type="spellStart"/>
      <w:r w:rsidRPr="000D119D">
        <w:rPr>
          <w:i/>
          <w:iCs/>
        </w:rPr>
        <w:t>HeadtoHelp</w:t>
      </w:r>
      <w:bookmarkEnd w:id="20"/>
      <w:bookmarkEnd w:id="21"/>
      <w:bookmarkEnd w:id="22"/>
      <w:proofErr w:type="spellEnd"/>
    </w:p>
    <w:p w14:paraId="10545DA4" w14:textId="3AD00FF2" w:rsidR="00F013B5" w:rsidRPr="005E310D" w:rsidRDefault="00F013B5" w:rsidP="00E6136D">
      <w:pPr>
        <w:rPr>
          <w:lang w:val="en-AU" w:eastAsia="en-AU"/>
        </w:rPr>
      </w:pPr>
      <w:r w:rsidRPr="005E310D">
        <w:rPr>
          <w:lang w:val="en-AU" w:eastAsia="en-AU"/>
        </w:rPr>
        <w:t>This section addresses KE</w:t>
      </w:r>
      <w:r w:rsidR="001604B1" w:rsidRPr="005E310D">
        <w:rPr>
          <w:lang w:val="en-AU" w:eastAsia="en-AU"/>
        </w:rPr>
        <w:t>Q</w:t>
      </w:r>
      <w:r w:rsidR="00C50D89" w:rsidRPr="005E310D">
        <w:rPr>
          <w:lang w:val="en-AU" w:eastAsia="en-AU"/>
        </w:rPr>
        <w:t xml:space="preserve"> </w:t>
      </w:r>
      <w:r w:rsidRPr="005E310D">
        <w:rPr>
          <w:lang w:val="en-AU" w:eastAsia="en-AU"/>
        </w:rPr>
        <w:t>1 (How appropriate is the program design to deliver the program outcomes?) and KE</w:t>
      </w:r>
      <w:r w:rsidR="001604B1" w:rsidRPr="005E310D">
        <w:rPr>
          <w:lang w:val="en-AU" w:eastAsia="en-AU"/>
        </w:rPr>
        <w:t>Q</w:t>
      </w:r>
      <w:r w:rsidR="00C50D89" w:rsidRPr="005E310D">
        <w:rPr>
          <w:lang w:val="en-AU" w:eastAsia="en-AU"/>
        </w:rPr>
        <w:t xml:space="preserve"> </w:t>
      </w:r>
      <w:r w:rsidRPr="005E310D">
        <w:rPr>
          <w:lang w:val="en-AU" w:eastAsia="en-AU"/>
        </w:rPr>
        <w:t>2 (How effective was the establishment of the program?)</w:t>
      </w:r>
      <w:r w:rsidR="00544892" w:rsidRPr="005E310D">
        <w:rPr>
          <w:lang w:val="en-AU" w:eastAsia="en-AU"/>
        </w:rPr>
        <w:t xml:space="preserve"> and is concerned only with the initial design and establishment findings.</w:t>
      </w:r>
      <w:r w:rsidRPr="005E310D">
        <w:rPr>
          <w:lang w:val="en-AU" w:eastAsia="en-AU"/>
        </w:rPr>
        <w:t xml:space="preserve"> </w:t>
      </w:r>
      <w:r w:rsidR="00AF0C57" w:rsidRPr="005E310D">
        <w:rPr>
          <w:lang w:val="en-AU" w:eastAsia="en-AU"/>
        </w:rPr>
        <w:t>Adaptations</w:t>
      </w:r>
      <w:r w:rsidR="0019218B" w:rsidRPr="005E310D">
        <w:rPr>
          <w:lang w:val="en-AU" w:eastAsia="en-AU"/>
        </w:rPr>
        <w:t xml:space="preserve"> to </w:t>
      </w:r>
      <w:r w:rsidR="00AF0C57" w:rsidRPr="005E310D">
        <w:rPr>
          <w:lang w:val="en-AU" w:eastAsia="en-AU"/>
        </w:rPr>
        <w:t xml:space="preserve">the </w:t>
      </w:r>
      <w:r w:rsidR="0019218B" w:rsidRPr="005E310D">
        <w:rPr>
          <w:lang w:val="en-AU" w:eastAsia="en-AU"/>
        </w:rPr>
        <w:t>model</w:t>
      </w:r>
      <w:r w:rsidR="007E5B9B" w:rsidRPr="005E310D">
        <w:rPr>
          <w:lang w:val="en-AU" w:eastAsia="en-AU"/>
        </w:rPr>
        <w:t xml:space="preserve"> as the program has become more established</w:t>
      </w:r>
      <w:r w:rsidR="0019218B" w:rsidRPr="005E310D">
        <w:rPr>
          <w:lang w:val="en-AU" w:eastAsia="en-AU"/>
        </w:rPr>
        <w:t xml:space="preserve"> are addressed in Section </w:t>
      </w:r>
      <w:r w:rsidR="008B0A00">
        <w:rPr>
          <w:lang w:val="en-AU" w:eastAsia="en-AU"/>
        </w:rPr>
        <w:fldChar w:fldCharType="begin"/>
      </w:r>
      <w:r w:rsidR="008B0A00">
        <w:rPr>
          <w:lang w:val="en-AU" w:eastAsia="en-AU"/>
        </w:rPr>
        <w:instrText xml:space="preserve"> REF _Ref97036437 \w \h </w:instrText>
      </w:r>
      <w:r w:rsidR="008B0A00">
        <w:rPr>
          <w:lang w:val="en-AU" w:eastAsia="en-AU"/>
        </w:rPr>
      </w:r>
      <w:r w:rsidR="008B0A00">
        <w:rPr>
          <w:lang w:val="en-AU" w:eastAsia="en-AU"/>
        </w:rPr>
        <w:fldChar w:fldCharType="separate"/>
      </w:r>
      <w:r w:rsidR="00562174">
        <w:rPr>
          <w:lang w:val="en-AU" w:eastAsia="en-AU"/>
        </w:rPr>
        <w:t>4</w:t>
      </w:r>
      <w:r w:rsidR="008B0A00">
        <w:rPr>
          <w:lang w:val="en-AU" w:eastAsia="en-AU"/>
        </w:rPr>
        <w:fldChar w:fldCharType="end"/>
      </w:r>
      <w:r w:rsidR="0019218B" w:rsidRPr="005E310D">
        <w:rPr>
          <w:lang w:val="en-AU" w:eastAsia="en-AU"/>
        </w:rPr>
        <w:t xml:space="preserve"> </w:t>
      </w:r>
      <w:r w:rsidR="00CA583F" w:rsidRPr="005E310D">
        <w:rPr>
          <w:lang w:val="en-AU" w:eastAsia="en-AU"/>
        </w:rPr>
        <w:t>(Implementation)</w:t>
      </w:r>
      <w:r w:rsidR="0088451F" w:rsidRPr="005E310D">
        <w:rPr>
          <w:lang w:val="en-AU" w:eastAsia="en-AU"/>
        </w:rPr>
        <w:t>.</w:t>
      </w:r>
    </w:p>
    <w:p w14:paraId="4A7B1665" w14:textId="0CDD2BBA" w:rsidR="002C01B6" w:rsidRDefault="0098739A" w:rsidP="00B406C6">
      <w:pPr>
        <w:pStyle w:val="Heading2"/>
        <w:keepNext w:val="0"/>
      </w:pPr>
      <w:bookmarkStart w:id="23" w:name="_Ref96612121"/>
      <w:bookmarkStart w:id="24" w:name="_Toc99650333"/>
      <w:bookmarkStart w:id="25" w:name="_Ref79394072"/>
      <w:bookmarkStart w:id="26" w:name="_Ref79394151"/>
      <w:bookmarkStart w:id="27" w:name="_Ref79394210"/>
      <w:bookmarkStart w:id="28" w:name="_Ref79394399"/>
      <w:r w:rsidRPr="000D119D">
        <w:t>How appropriate is the program design to deliver the program outcomes?</w:t>
      </w:r>
      <w:bookmarkEnd w:id="23"/>
      <w:bookmarkEnd w:id="24"/>
    </w:p>
    <w:p w14:paraId="1BE3417C" w14:textId="6BA844D3" w:rsidR="001765F4" w:rsidRPr="001765F4" w:rsidRDefault="00E6136D" w:rsidP="001765F4">
      <w:pPr>
        <w:pStyle w:val="Callout"/>
      </w:pPr>
      <w:r w:rsidRPr="001A15D8">
        <w:rPr>
          <w:b/>
          <w:bCs/>
          <w:color w:val="25B3E0" w:themeColor="accent6"/>
        </w:rPr>
        <w:t xml:space="preserve">Key </w:t>
      </w:r>
      <w:proofErr w:type="spellStart"/>
      <w:proofErr w:type="gramStart"/>
      <w:r w:rsidRPr="001A15D8">
        <w:rPr>
          <w:b/>
          <w:bCs/>
          <w:color w:val="25B3E0" w:themeColor="accent6"/>
        </w:rPr>
        <w:t>findings</w:t>
      </w:r>
      <w:r w:rsidRPr="001A15D8">
        <w:rPr>
          <w:color w:val="25B3E0" w:themeColor="accent6"/>
        </w:rPr>
        <w:t>:</w:t>
      </w:r>
      <w:r w:rsidR="001765F4" w:rsidRPr="001765F4">
        <w:rPr>
          <w:rStyle w:val="Emphasis"/>
        </w:rPr>
        <w:t>HeadtoHelp</w:t>
      </w:r>
      <w:proofErr w:type="spellEnd"/>
      <w:proofErr w:type="gramEnd"/>
      <w:r w:rsidR="001765F4" w:rsidRPr="000D119D">
        <w:t xml:space="preserve"> was appropriately designed to increase access to and support navigation of mental health services during a time of heightened need. Specific design features, such as mechanisms to remove barriers </w:t>
      </w:r>
      <w:r w:rsidR="001765F4">
        <w:t xml:space="preserve">to </w:t>
      </w:r>
      <w:r w:rsidR="001765F4" w:rsidRPr="000D119D">
        <w:t xml:space="preserve">access, use of the IAR-DST and role of multi-disciplinary teams were key to this finding. There were limitations in relation to the opportunity for co-design and the ability of </w:t>
      </w:r>
      <w:proofErr w:type="spellStart"/>
      <w:r w:rsidR="001765F4" w:rsidRPr="001765F4">
        <w:rPr>
          <w:rStyle w:val="Emphasis"/>
        </w:rPr>
        <w:t>HeadtoHelp</w:t>
      </w:r>
      <w:proofErr w:type="spellEnd"/>
      <w:r w:rsidR="001765F4" w:rsidRPr="000D119D">
        <w:t xml:space="preserve"> to operate as a stand-alone response to system fragmentation.</w:t>
      </w:r>
    </w:p>
    <w:p w14:paraId="6428A8E0" w14:textId="77777777" w:rsidR="004474F8" w:rsidRPr="000D119D" w:rsidRDefault="004474F8" w:rsidP="00904688">
      <w:pPr>
        <w:pStyle w:val="Heading3"/>
        <w:rPr>
          <w:rFonts w:eastAsiaTheme="minorEastAsia"/>
        </w:rPr>
      </w:pPr>
      <w:bookmarkStart w:id="29" w:name="_Toc99650334"/>
      <w:bookmarkEnd w:id="25"/>
      <w:bookmarkEnd w:id="26"/>
      <w:bookmarkEnd w:id="27"/>
      <w:bookmarkEnd w:id="28"/>
      <w:r w:rsidRPr="000D119D">
        <w:rPr>
          <w:rFonts w:eastAsiaTheme="minorEastAsia"/>
          <w:iCs/>
        </w:rPr>
        <w:t>Key design features</w:t>
      </w:r>
      <w:bookmarkEnd w:id="29"/>
    </w:p>
    <w:p w14:paraId="0EADB23F" w14:textId="6FC498D9" w:rsidR="00657A1E" w:rsidRPr="000D119D" w:rsidRDefault="00657A1E" w:rsidP="00BE0860">
      <w:pPr>
        <w:pStyle w:val="Heading4"/>
        <w:rPr>
          <w:rFonts w:eastAsiaTheme="minorEastAsia"/>
        </w:rPr>
      </w:pPr>
      <w:proofErr w:type="spellStart"/>
      <w:r w:rsidRPr="000D119D">
        <w:rPr>
          <w:rFonts w:eastAsiaTheme="minorEastAsia"/>
          <w:i/>
        </w:rPr>
        <w:t>HeadtoHelp</w:t>
      </w:r>
      <w:proofErr w:type="spellEnd"/>
      <w:r w:rsidRPr="000D119D">
        <w:rPr>
          <w:rFonts w:eastAsiaTheme="minorEastAsia"/>
        </w:rPr>
        <w:t xml:space="preserve"> </w:t>
      </w:r>
      <w:r w:rsidR="00390BEE" w:rsidRPr="000D119D">
        <w:rPr>
          <w:rFonts w:eastAsiaTheme="minorEastAsia"/>
        </w:rPr>
        <w:t xml:space="preserve">was appropriately designed to </w:t>
      </w:r>
      <w:r w:rsidR="004C6BD6" w:rsidRPr="000D119D">
        <w:rPr>
          <w:rFonts w:eastAsiaTheme="minorEastAsia"/>
        </w:rPr>
        <w:t>re</w:t>
      </w:r>
      <w:r w:rsidR="00390BEE" w:rsidRPr="000D119D">
        <w:rPr>
          <w:rFonts w:eastAsiaTheme="minorEastAsia"/>
        </w:rPr>
        <w:t>d</w:t>
      </w:r>
      <w:r w:rsidR="004C6BD6" w:rsidRPr="000D119D">
        <w:rPr>
          <w:rFonts w:eastAsiaTheme="minorEastAsia"/>
        </w:rPr>
        <w:t xml:space="preserve">uce barriers to access </w:t>
      </w:r>
    </w:p>
    <w:p w14:paraId="39458309" w14:textId="32DE1FA5" w:rsidR="00A21560" w:rsidRPr="000D119D" w:rsidRDefault="00A60EB4" w:rsidP="007F09B3">
      <w:pPr>
        <w:rPr>
          <w:lang w:val="en-AU"/>
        </w:rPr>
      </w:pPr>
      <w:proofErr w:type="spellStart"/>
      <w:r w:rsidRPr="001765F4">
        <w:rPr>
          <w:rStyle w:val="Emphasis"/>
        </w:rPr>
        <w:t>H</w:t>
      </w:r>
      <w:r w:rsidR="009377D0" w:rsidRPr="001765F4">
        <w:rPr>
          <w:rStyle w:val="Emphasis"/>
        </w:rPr>
        <w:t>eadtoHelp</w:t>
      </w:r>
      <w:proofErr w:type="spellEnd"/>
      <w:r w:rsidR="009377D0" w:rsidRPr="000D119D">
        <w:rPr>
          <w:lang w:val="en-AU"/>
        </w:rPr>
        <w:t xml:space="preserve"> </w:t>
      </w:r>
      <w:r w:rsidR="00B07183" w:rsidRPr="000D119D">
        <w:rPr>
          <w:lang w:val="en-AU"/>
        </w:rPr>
        <w:t xml:space="preserve">was designed to </w:t>
      </w:r>
      <w:r w:rsidR="009377D0" w:rsidRPr="000D119D">
        <w:rPr>
          <w:lang w:val="en-AU"/>
        </w:rPr>
        <w:t>reduce</w:t>
      </w:r>
      <w:r w:rsidR="0034267E" w:rsidRPr="000D119D">
        <w:rPr>
          <w:lang w:val="en-AU"/>
        </w:rPr>
        <w:t xml:space="preserve"> a range</w:t>
      </w:r>
      <w:r w:rsidR="009377D0" w:rsidRPr="000D119D">
        <w:rPr>
          <w:lang w:val="en-AU"/>
        </w:rPr>
        <w:t xml:space="preserve"> </w:t>
      </w:r>
      <w:r w:rsidR="00335A2D" w:rsidRPr="000D119D">
        <w:rPr>
          <w:lang w:val="en-AU"/>
        </w:rPr>
        <w:t xml:space="preserve">of </w:t>
      </w:r>
      <w:r w:rsidR="0034267E" w:rsidRPr="000D119D">
        <w:rPr>
          <w:lang w:val="en-AU"/>
        </w:rPr>
        <w:t xml:space="preserve">service </w:t>
      </w:r>
      <w:r w:rsidR="00335A2D" w:rsidRPr="000D119D">
        <w:rPr>
          <w:lang w:val="en-AU"/>
        </w:rPr>
        <w:t>access</w:t>
      </w:r>
      <w:r w:rsidR="0034267E" w:rsidRPr="000D119D">
        <w:rPr>
          <w:lang w:val="en-AU"/>
        </w:rPr>
        <w:t xml:space="preserve"> </w:t>
      </w:r>
      <w:r w:rsidR="00093855" w:rsidRPr="000D119D">
        <w:rPr>
          <w:lang w:val="en-AU"/>
        </w:rPr>
        <w:t>barriers</w:t>
      </w:r>
      <w:r w:rsidR="0034267E" w:rsidRPr="000D119D">
        <w:rPr>
          <w:lang w:val="en-AU"/>
        </w:rPr>
        <w:t xml:space="preserve"> </w:t>
      </w:r>
      <w:r w:rsidR="00335A2D" w:rsidRPr="000D119D">
        <w:rPr>
          <w:lang w:val="en-AU"/>
        </w:rPr>
        <w:t>that are</w:t>
      </w:r>
      <w:r w:rsidR="0034267E" w:rsidRPr="000D119D">
        <w:rPr>
          <w:lang w:val="en-AU"/>
        </w:rPr>
        <w:t xml:space="preserve"> often experienced by </w:t>
      </w:r>
      <w:r w:rsidR="00F40845" w:rsidRPr="000D119D">
        <w:rPr>
          <w:lang w:val="en-AU"/>
        </w:rPr>
        <w:t>participants</w:t>
      </w:r>
      <w:r w:rsidR="0034267E" w:rsidRPr="000D119D">
        <w:rPr>
          <w:lang w:val="en-AU"/>
        </w:rPr>
        <w:t>. These are de</w:t>
      </w:r>
      <w:r w:rsidR="00433B65" w:rsidRPr="000D119D">
        <w:rPr>
          <w:lang w:val="en-AU"/>
        </w:rPr>
        <w:t>tailed in</w:t>
      </w:r>
      <w:r w:rsidR="00433B65" w:rsidRPr="000D119D" w:rsidDel="001363DF">
        <w:rPr>
          <w:lang w:val="en-AU"/>
        </w:rPr>
        <w:t xml:space="preserve"> </w:t>
      </w:r>
      <w:r w:rsidR="00FA76BB" w:rsidRPr="000D119D">
        <w:rPr>
          <w:lang w:val="en-AU"/>
        </w:rPr>
        <w:fldChar w:fldCharType="begin"/>
      </w:r>
      <w:r w:rsidR="00FA76BB" w:rsidRPr="000D119D">
        <w:rPr>
          <w:lang w:val="en-AU"/>
        </w:rPr>
        <w:instrText xml:space="preserve"> REF _Ref96960513 \h </w:instrText>
      </w:r>
      <w:r w:rsidR="00FA76BB" w:rsidRPr="000D119D">
        <w:rPr>
          <w:lang w:val="en-AU"/>
        </w:rPr>
      </w:r>
      <w:r w:rsidR="00FA76BB" w:rsidRPr="000D119D">
        <w:rPr>
          <w:lang w:val="en-AU"/>
        </w:rPr>
        <w:fldChar w:fldCharType="separate"/>
      </w:r>
      <w:r w:rsidR="00562174" w:rsidRPr="000D119D">
        <w:t xml:space="preserve">Figure </w:t>
      </w:r>
      <w:r w:rsidR="00562174">
        <w:rPr>
          <w:noProof/>
        </w:rPr>
        <w:t>6</w:t>
      </w:r>
      <w:r w:rsidR="00FA76BB" w:rsidRPr="000D119D">
        <w:rPr>
          <w:lang w:val="en-AU"/>
        </w:rPr>
        <w:fldChar w:fldCharType="end"/>
      </w:r>
      <w:r w:rsidR="00D07FDD" w:rsidRPr="000D119D">
        <w:rPr>
          <w:lang w:val="en-AU"/>
        </w:rPr>
        <w:t>.</w:t>
      </w:r>
    </w:p>
    <w:p w14:paraId="573D2DDD" w14:textId="05C83962" w:rsidR="00E64982" w:rsidRPr="000D119D" w:rsidRDefault="00E64982" w:rsidP="00E64982">
      <w:pPr>
        <w:pStyle w:val="Caption"/>
      </w:pPr>
      <w:bookmarkStart w:id="30" w:name="_Ref96960513"/>
      <w:bookmarkStart w:id="31" w:name="_Ref78891846"/>
      <w:r w:rsidRPr="000D119D">
        <w:t>Figure</w:t>
      </w:r>
      <w:r w:rsidR="001F08AF" w:rsidRPr="000D119D">
        <w:t xml:space="preserve"> </w:t>
      </w:r>
      <w:r w:rsidR="00C90990">
        <w:fldChar w:fldCharType="begin"/>
      </w:r>
      <w:r w:rsidR="00C90990">
        <w:instrText xml:space="preserve"> SEQ Figure \* ARABIC </w:instrText>
      </w:r>
      <w:r w:rsidR="00C90990">
        <w:fldChar w:fldCharType="separate"/>
      </w:r>
      <w:r w:rsidR="00562174">
        <w:rPr>
          <w:noProof/>
        </w:rPr>
        <w:t>6</w:t>
      </w:r>
      <w:r w:rsidR="00C90990">
        <w:fldChar w:fldCharType="end"/>
      </w:r>
      <w:bookmarkEnd w:id="30"/>
      <w:bookmarkEnd w:id="31"/>
      <w:r w:rsidRPr="000D119D">
        <w:t xml:space="preserve"> | Barriers to access</w:t>
      </w:r>
    </w:p>
    <w:p w14:paraId="33206218" w14:textId="0DB53F8D" w:rsidR="00E64982" w:rsidRPr="000D119D" w:rsidRDefault="00262431" w:rsidP="007F09B3">
      <w:pPr>
        <w:rPr>
          <w:lang w:val="en-AU"/>
        </w:rPr>
      </w:pPr>
      <w:r w:rsidRPr="00262431">
        <w:rPr>
          <w:noProof/>
        </w:rPr>
        <w:drawing>
          <wp:inline distT="0" distB="0" distL="0" distR="0" wp14:anchorId="0AB9A740" wp14:editId="337D8F30">
            <wp:extent cx="5662386" cy="2974975"/>
            <wp:effectExtent l="0" t="0" r="0" b="0"/>
            <wp:docPr id="27858" name="Picture 27858" descr="Figure 6 is an infographic showing the barriers to access, including service entry pathways, cost, timeliness of services, geography and service off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8" name="Picture 27858" descr="Figure 6 is an infographic showing the barriers to access, including service entry pathways, cost, timeliness of services, geography and service offering. "/>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662386" cy="2974975"/>
                    </a:xfrm>
                    <a:prstGeom prst="rect">
                      <a:avLst/>
                    </a:prstGeom>
                    <a:noFill/>
                    <a:ln>
                      <a:noFill/>
                    </a:ln>
                  </pic:spPr>
                </pic:pic>
              </a:graphicData>
            </a:graphic>
          </wp:inline>
        </w:drawing>
      </w:r>
    </w:p>
    <w:p w14:paraId="1C5D9A21" w14:textId="42050E7D" w:rsidR="00E413E1" w:rsidRPr="000D119D" w:rsidRDefault="0062751D" w:rsidP="00074556">
      <w:pPr>
        <w:pStyle w:val="ListBullet"/>
      </w:pPr>
      <w:r w:rsidRPr="000D119D">
        <w:rPr>
          <w:rFonts w:asciiTheme="majorHAnsi" w:hAnsiTheme="majorHAnsi" w:cstheme="majorHAnsi"/>
        </w:rPr>
        <w:t>Service entry</w:t>
      </w:r>
      <w:r w:rsidR="0079207B" w:rsidRPr="000D119D">
        <w:rPr>
          <w:rFonts w:asciiTheme="majorHAnsi" w:hAnsiTheme="majorHAnsi" w:cstheme="majorHAnsi"/>
        </w:rPr>
        <w:t xml:space="preserve"> pathways</w:t>
      </w:r>
      <w:r w:rsidR="00E413E1" w:rsidRPr="000D119D">
        <w:rPr>
          <w:rFonts w:asciiTheme="majorHAnsi" w:hAnsiTheme="majorHAnsi" w:cstheme="majorHAnsi"/>
        </w:rPr>
        <w:t>.</w:t>
      </w:r>
      <w:r w:rsidR="00E413E1" w:rsidRPr="000D119D">
        <w:t xml:space="preserve"> </w:t>
      </w:r>
      <w:r w:rsidR="006B505E" w:rsidRPr="000D119D">
        <w:t>M</w:t>
      </w:r>
      <w:r w:rsidR="00682670" w:rsidRPr="000D119D">
        <w:t>ultiple entry</w:t>
      </w:r>
      <w:r w:rsidR="006D19EE" w:rsidRPr="000D119D">
        <w:t xml:space="preserve"> pathways (</w:t>
      </w:r>
      <w:r w:rsidR="00043874" w:rsidRPr="000D119D">
        <w:t>e.g.,</w:t>
      </w:r>
      <w:r w:rsidR="006D19EE" w:rsidRPr="000D119D">
        <w:t xml:space="preserve"> </w:t>
      </w:r>
      <w:r w:rsidR="0099205B" w:rsidRPr="000D119D">
        <w:t>phone call</w:t>
      </w:r>
      <w:r w:rsidR="006D19EE" w:rsidRPr="000D119D">
        <w:t>, walk-in)</w:t>
      </w:r>
      <w:r w:rsidR="00C87065" w:rsidRPr="000D119D">
        <w:t xml:space="preserve"> </w:t>
      </w:r>
      <w:r w:rsidR="006B505E" w:rsidRPr="000D119D">
        <w:t xml:space="preserve">into the service allows </w:t>
      </w:r>
      <w:r w:rsidR="00F40845" w:rsidRPr="000D119D">
        <w:t>participants</w:t>
      </w:r>
      <w:r w:rsidR="00A71BF2" w:rsidRPr="000D119D">
        <w:t xml:space="preserve"> </w:t>
      </w:r>
      <w:r w:rsidR="00133996" w:rsidRPr="000D119D">
        <w:t>to access</w:t>
      </w:r>
      <w:r w:rsidR="00E05C61" w:rsidRPr="000D119D">
        <w:t xml:space="preserve"> the service in a way that meets their preferences</w:t>
      </w:r>
      <w:r w:rsidR="006D19EE" w:rsidRPr="000D119D">
        <w:t xml:space="preserve">. Importantly, </w:t>
      </w:r>
      <w:proofErr w:type="spellStart"/>
      <w:r w:rsidR="00AF52A2" w:rsidRPr="000D119D">
        <w:rPr>
          <w:i/>
        </w:rPr>
        <w:t>HeadtoHelp</w:t>
      </w:r>
      <w:proofErr w:type="spellEnd"/>
      <w:r w:rsidR="00AF52A2" w:rsidRPr="000D119D">
        <w:t xml:space="preserve"> </w:t>
      </w:r>
      <w:r w:rsidR="00584C86" w:rsidRPr="000D119D">
        <w:lastRenderedPageBreak/>
        <w:t xml:space="preserve">does not require </w:t>
      </w:r>
      <w:r w:rsidR="00F40845" w:rsidRPr="000D119D">
        <w:t>participants</w:t>
      </w:r>
      <w:r w:rsidR="00584C86" w:rsidRPr="000D119D">
        <w:t xml:space="preserve"> to </w:t>
      </w:r>
      <w:r w:rsidR="00A31304" w:rsidRPr="000D119D">
        <w:t xml:space="preserve">first consult with a </w:t>
      </w:r>
      <w:r w:rsidR="00AF52A2" w:rsidRPr="000D119D">
        <w:t>GP to develop a mental health plan</w:t>
      </w:r>
      <w:r w:rsidR="0069276E" w:rsidRPr="000D119D">
        <w:t xml:space="preserve">, which </w:t>
      </w:r>
      <w:r w:rsidR="00F40845" w:rsidRPr="000D119D">
        <w:t>participants</w:t>
      </w:r>
      <w:r w:rsidR="0069276E" w:rsidRPr="000D119D">
        <w:t xml:space="preserve"> have</w:t>
      </w:r>
      <w:r w:rsidR="00A31304" w:rsidRPr="000D119D">
        <w:t xml:space="preserve"> previously</w:t>
      </w:r>
      <w:r w:rsidR="0069276E" w:rsidRPr="000D119D">
        <w:t xml:space="preserve"> reported to the Royal Commission can be a barrier to seeking help.</w:t>
      </w:r>
      <w:r w:rsidR="009F3492" w:rsidRPr="000D119D">
        <w:rPr>
          <w:rStyle w:val="FootnoteReference"/>
        </w:rPr>
        <w:footnoteReference w:id="8"/>
      </w:r>
      <w:r w:rsidR="00AF52A2" w:rsidRPr="000D119D">
        <w:t xml:space="preserve"> </w:t>
      </w:r>
    </w:p>
    <w:p w14:paraId="0E79B112" w14:textId="22DECD4B" w:rsidR="00E40E9F" w:rsidRPr="000D119D" w:rsidRDefault="002120B7" w:rsidP="00074556">
      <w:pPr>
        <w:pStyle w:val="ListBullet"/>
      </w:pPr>
      <w:r w:rsidRPr="000D119D">
        <w:rPr>
          <w:noProof/>
        </w:rPr>
        <mc:AlternateContent>
          <mc:Choice Requires="wps">
            <w:drawing>
              <wp:anchor distT="0" distB="0" distL="114300" distR="114300" simplePos="0" relativeHeight="251546624" behindDoc="0" locked="0" layoutInCell="1" allowOverlap="1" wp14:anchorId="3000E1FA" wp14:editId="00425FC4">
                <wp:simplePos x="0" y="0"/>
                <wp:positionH relativeFrom="column">
                  <wp:posOffset>3729355</wp:posOffset>
                </wp:positionH>
                <wp:positionV relativeFrom="paragraph">
                  <wp:posOffset>52705</wp:posOffset>
                </wp:positionV>
                <wp:extent cx="2042795" cy="2867025"/>
                <wp:effectExtent l="0" t="0" r="0" b="9525"/>
                <wp:wrapSquare wrapText="bothSides"/>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42795" cy="286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BDC21" w14:textId="43B31467" w:rsidR="000B1BD4" w:rsidRPr="00BD1658" w:rsidRDefault="000B1BD4" w:rsidP="000B1BD4">
                            <w:pPr>
                              <w:pStyle w:val="Callout"/>
                              <w:rPr>
                                <w:color w:val="0070C0"/>
                              </w:rPr>
                            </w:pPr>
                            <w:r w:rsidRPr="00BD1658">
                              <w:rPr>
                                <w:color w:val="0070C0"/>
                              </w:rPr>
                              <w:t>“</w:t>
                            </w:r>
                            <w:r w:rsidR="00470277" w:rsidRPr="00BD1658">
                              <w:rPr>
                                <w:color w:val="0070C0"/>
                              </w:rPr>
                              <w:t xml:space="preserve">I think the most important thing about </w:t>
                            </w:r>
                            <w:proofErr w:type="spellStart"/>
                            <w:r w:rsidR="00470277" w:rsidRPr="00BD1658">
                              <w:rPr>
                                <w:i/>
                                <w:color w:val="0070C0"/>
                              </w:rPr>
                              <w:t>HeadtoHelp</w:t>
                            </w:r>
                            <w:proofErr w:type="spellEnd"/>
                            <w:r w:rsidR="00470277" w:rsidRPr="00BD1658">
                              <w:rPr>
                                <w:color w:val="0070C0"/>
                              </w:rPr>
                              <w:t xml:space="preserve"> is the financial accessibility of it, like mental health is such a privilege to get support on, it’s a humongous privilege </w:t>
                            </w:r>
                            <w:r w:rsidR="00D011B3" w:rsidRPr="00BD1658">
                              <w:rPr>
                                <w:color w:val="0070C0"/>
                              </w:rPr>
                              <w:t xml:space="preserve">that only some people can afford. And when it’s financially accessible, when people can </w:t>
                            </w:r>
                            <w:proofErr w:type="gramStart"/>
                            <w:r w:rsidR="00D011B3" w:rsidRPr="00BD1658">
                              <w:rPr>
                                <w:color w:val="0070C0"/>
                              </w:rPr>
                              <w:t>actually get</w:t>
                            </w:r>
                            <w:proofErr w:type="gramEnd"/>
                            <w:r w:rsidR="00D011B3" w:rsidRPr="00BD1658">
                              <w:rPr>
                                <w:color w:val="0070C0"/>
                              </w:rPr>
                              <w:t xml:space="preserve"> long-term help, like it can be such an invaluable service. It can change someone’s life</w:t>
                            </w:r>
                            <w:r w:rsidRPr="00BD1658">
                              <w:rPr>
                                <w:color w:val="0070C0"/>
                              </w:rPr>
                              <w:t>.” –</w:t>
                            </w:r>
                            <w:r w:rsidR="00D011B3" w:rsidRPr="00BD1658">
                              <w:rPr>
                                <w:color w:val="0070C0"/>
                              </w:rPr>
                              <w:t xml:space="preserve"> </w:t>
                            </w:r>
                            <w:r w:rsidR="00D011B3" w:rsidRPr="005D5F50">
                              <w:rPr>
                                <w:i/>
                                <w:color w:val="0070C0"/>
                              </w:rPr>
                              <w:t>Support person</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00E1FA" id="Text Box 18" o:spid="_x0000_s1027" type="#_x0000_t202" alt="&quot;&quot;" style="position:absolute;left:0;text-align:left;margin-left:293.65pt;margin-top:4.15pt;width:160.85pt;height:225.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" fillcolor="white [3201]" stroked="f" strokeweight=".5pt">
                <v:textbox inset="0,,1mm">
                  <w:txbxContent>
                    <w:p w14:paraId="09EBDC21" w14:textId="43B31467" w:rsidR="000B1BD4" w:rsidRPr="00BD1658" w:rsidRDefault="000B1BD4" w:rsidP="000B1BD4">
                      <w:pPr>
                        <w:pStyle w:val="Callout"/>
                        <w:rPr>
                          <w:color w:val="0070C0"/>
                        </w:rPr>
                      </w:pPr>
                      <w:r w:rsidRPr="00BD1658">
                        <w:rPr>
                          <w:color w:val="0070C0"/>
                        </w:rPr>
                        <w:t>“</w:t>
                      </w:r>
                      <w:r w:rsidR="00470277" w:rsidRPr="00BD1658">
                        <w:rPr>
                          <w:color w:val="0070C0"/>
                        </w:rPr>
                        <w:t xml:space="preserve">I think the most important thing about </w:t>
                      </w:r>
                      <w:proofErr w:type="spellStart"/>
                      <w:r w:rsidR="00470277" w:rsidRPr="00BD1658">
                        <w:rPr>
                          <w:i/>
                          <w:color w:val="0070C0"/>
                        </w:rPr>
                        <w:t>HeadtoHelp</w:t>
                      </w:r>
                      <w:proofErr w:type="spellEnd"/>
                      <w:r w:rsidR="00470277" w:rsidRPr="00BD1658">
                        <w:rPr>
                          <w:color w:val="0070C0"/>
                        </w:rPr>
                        <w:t xml:space="preserve"> is the financial accessibility of it, like mental health is such a privilege to get support on, it’s a humongous privilege </w:t>
                      </w:r>
                      <w:r w:rsidR="00D011B3" w:rsidRPr="00BD1658">
                        <w:rPr>
                          <w:color w:val="0070C0"/>
                        </w:rPr>
                        <w:t xml:space="preserve">that only some people can afford. And when it’s financially accessible, when people can </w:t>
                      </w:r>
                      <w:proofErr w:type="gramStart"/>
                      <w:r w:rsidR="00D011B3" w:rsidRPr="00BD1658">
                        <w:rPr>
                          <w:color w:val="0070C0"/>
                        </w:rPr>
                        <w:t>actually get</w:t>
                      </w:r>
                      <w:proofErr w:type="gramEnd"/>
                      <w:r w:rsidR="00D011B3" w:rsidRPr="00BD1658">
                        <w:rPr>
                          <w:color w:val="0070C0"/>
                        </w:rPr>
                        <w:t xml:space="preserve"> long-term help, like it can be such an invaluable service. It can change someone’s life</w:t>
                      </w:r>
                      <w:r w:rsidRPr="00BD1658">
                        <w:rPr>
                          <w:color w:val="0070C0"/>
                        </w:rPr>
                        <w:t>.” –</w:t>
                      </w:r>
                      <w:r w:rsidR="00D011B3" w:rsidRPr="00BD1658">
                        <w:rPr>
                          <w:color w:val="0070C0"/>
                        </w:rPr>
                        <w:t xml:space="preserve"> </w:t>
                      </w:r>
                      <w:r w:rsidR="00D011B3" w:rsidRPr="005D5F50">
                        <w:rPr>
                          <w:i/>
                          <w:color w:val="0070C0"/>
                        </w:rPr>
                        <w:t>Support person</w:t>
                      </w:r>
                    </w:p>
                  </w:txbxContent>
                </v:textbox>
                <w10:wrap type="square"/>
              </v:shape>
            </w:pict>
          </mc:Fallback>
        </mc:AlternateContent>
      </w:r>
      <w:r w:rsidR="00327B92" w:rsidRPr="000D119D">
        <w:rPr>
          <w:rFonts w:asciiTheme="majorHAnsi" w:hAnsiTheme="majorHAnsi" w:cstheme="majorHAnsi"/>
        </w:rPr>
        <w:t>Cost.</w:t>
      </w:r>
      <w:r w:rsidR="00327B92" w:rsidRPr="000D119D">
        <w:t xml:space="preserve"> </w:t>
      </w:r>
      <w:r w:rsidR="00E40E9F" w:rsidRPr="000D119D">
        <w:t xml:space="preserve">Free service </w:t>
      </w:r>
      <w:r w:rsidR="00794464" w:rsidRPr="000D119D">
        <w:t xml:space="preserve">was a key </w:t>
      </w:r>
      <w:r w:rsidR="00A145D6" w:rsidRPr="000D119D">
        <w:t xml:space="preserve">feature </w:t>
      </w:r>
      <w:r w:rsidR="00EE45D1" w:rsidRPr="000D119D">
        <w:t xml:space="preserve">of </w:t>
      </w:r>
      <w:proofErr w:type="spellStart"/>
      <w:r w:rsidR="00E40E9F" w:rsidRPr="001765F4">
        <w:rPr>
          <w:rStyle w:val="Emphasis"/>
        </w:rPr>
        <w:t>HeadtoHelp</w:t>
      </w:r>
      <w:proofErr w:type="spellEnd"/>
      <w:r w:rsidR="00327B92" w:rsidRPr="000D119D">
        <w:t xml:space="preserve">. </w:t>
      </w:r>
      <w:r w:rsidR="00A21560" w:rsidRPr="000D119D">
        <w:t>The Royal Commission</w:t>
      </w:r>
      <w:r w:rsidR="00666A29" w:rsidRPr="000D119D">
        <w:t xml:space="preserve"> identified low socioeconomic status groups as people who have historically been unable to access mental health services</w:t>
      </w:r>
      <w:r w:rsidR="00B617D0" w:rsidRPr="000D119D">
        <w:t xml:space="preserve"> due to financial barriers</w:t>
      </w:r>
      <w:r w:rsidR="00666A29" w:rsidRPr="000D119D">
        <w:t>.</w:t>
      </w:r>
      <w:r w:rsidR="00571302" w:rsidRPr="000D119D">
        <w:rPr>
          <w:rStyle w:val="FootnoteReference"/>
        </w:rPr>
        <w:footnoteReference w:id="9"/>
      </w:r>
      <w:r w:rsidR="00666A29" w:rsidRPr="000D119D">
        <w:t xml:space="preserve"> </w:t>
      </w:r>
      <w:r w:rsidR="00F40845" w:rsidRPr="000D119D">
        <w:t>Participants</w:t>
      </w:r>
      <w:r w:rsidR="00BB09EA" w:rsidRPr="000D119D">
        <w:t xml:space="preserve"> who would have previously been unable to afford or justify costs of mental health services were able to access </w:t>
      </w:r>
      <w:r w:rsidR="00A21560" w:rsidRPr="000D119D">
        <w:t>services they needed</w:t>
      </w:r>
      <w:r w:rsidR="00E40E9F" w:rsidRPr="000D119D">
        <w:t>, including people accessing mental health services for the first time</w:t>
      </w:r>
      <w:r w:rsidR="00C608C3" w:rsidRPr="000D119D">
        <w:t>.</w:t>
      </w:r>
    </w:p>
    <w:p w14:paraId="5CA42FD7" w14:textId="764AAC3A" w:rsidR="00E56BF0" w:rsidRPr="000D119D" w:rsidRDefault="008D066E" w:rsidP="00074556">
      <w:pPr>
        <w:pStyle w:val="ListBullet"/>
      </w:pPr>
      <w:r w:rsidRPr="000D119D">
        <w:rPr>
          <w:rFonts w:asciiTheme="majorHAnsi" w:hAnsiTheme="majorHAnsi" w:cstheme="majorHAnsi"/>
        </w:rPr>
        <w:t>Timeliness.</w:t>
      </w:r>
      <w:r w:rsidRPr="000D119D">
        <w:t xml:space="preserve"> </w:t>
      </w:r>
      <w:proofErr w:type="spellStart"/>
      <w:r w:rsidR="00A11194" w:rsidRPr="001765F4">
        <w:rPr>
          <w:rStyle w:val="Emphasis"/>
        </w:rPr>
        <w:t>HeadtoHelp</w:t>
      </w:r>
      <w:proofErr w:type="spellEnd"/>
      <w:r w:rsidR="00A11194" w:rsidRPr="000D119D">
        <w:t xml:space="preserve"> aimed for n</w:t>
      </w:r>
      <w:r w:rsidR="00857A12" w:rsidRPr="000D119D">
        <w:t xml:space="preserve">o </w:t>
      </w:r>
      <w:r w:rsidR="00D509F0" w:rsidRPr="000D119D">
        <w:t>waitlists</w:t>
      </w:r>
      <w:r w:rsidR="00857A12" w:rsidRPr="000D119D">
        <w:t xml:space="preserve"> </w:t>
      </w:r>
      <w:r w:rsidR="00B57C29" w:rsidRPr="000D119D">
        <w:t xml:space="preserve">and </w:t>
      </w:r>
      <w:r w:rsidR="009D35B0" w:rsidRPr="000D119D">
        <w:t>l</w:t>
      </w:r>
      <w:r w:rsidR="00B57C29" w:rsidRPr="000D119D">
        <w:t>imited time between intake and service delivery</w:t>
      </w:r>
      <w:r w:rsidR="00504636" w:rsidRPr="000D119D">
        <w:t xml:space="preserve">. </w:t>
      </w:r>
      <w:proofErr w:type="spellStart"/>
      <w:r w:rsidR="00F73F65" w:rsidRPr="001765F4">
        <w:rPr>
          <w:rStyle w:val="Emphasis"/>
        </w:rPr>
        <w:t>HeadtoHelp</w:t>
      </w:r>
      <w:proofErr w:type="spellEnd"/>
      <w:r w:rsidR="00F73F65" w:rsidRPr="000D119D">
        <w:t xml:space="preserve"> </w:t>
      </w:r>
      <w:r w:rsidR="004204BB">
        <w:t>h</w:t>
      </w:r>
      <w:r w:rsidR="00F73F65" w:rsidRPr="000D119D">
        <w:t xml:space="preserve">ubs aimed to contact </w:t>
      </w:r>
      <w:r w:rsidR="00F40845" w:rsidRPr="000D119D">
        <w:t>participants</w:t>
      </w:r>
      <w:r w:rsidR="00F73F65" w:rsidRPr="000D119D">
        <w:t xml:space="preserve"> within </w:t>
      </w:r>
      <w:r w:rsidR="009C14C8" w:rsidRPr="000D119D">
        <w:t>one</w:t>
      </w:r>
      <w:r w:rsidR="00F73F65" w:rsidRPr="000D119D">
        <w:t xml:space="preserve"> </w:t>
      </w:r>
      <w:r w:rsidR="00504636" w:rsidRPr="000D119D">
        <w:t xml:space="preserve">day </w:t>
      </w:r>
      <w:r w:rsidR="00F73F65" w:rsidRPr="000D119D">
        <w:t xml:space="preserve">of their intake to </w:t>
      </w:r>
      <w:proofErr w:type="spellStart"/>
      <w:r w:rsidR="007B0B21" w:rsidRPr="000D119D">
        <w:t>organise</w:t>
      </w:r>
      <w:proofErr w:type="spellEnd"/>
      <w:r w:rsidR="00F73F65" w:rsidRPr="000D119D">
        <w:t xml:space="preserve"> appropriate services </w:t>
      </w:r>
      <w:r w:rsidR="009C14C8" w:rsidRPr="000D119D">
        <w:t>soon after</w:t>
      </w:r>
      <w:r w:rsidR="00E413E1" w:rsidRPr="000D119D">
        <w:t xml:space="preserve">. </w:t>
      </w:r>
      <w:r w:rsidR="002037C2" w:rsidRPr="000D119D">
        <w:t xml:space="preserve">This </w:t>
      </w:r>
      <w:proofErr w:type="spellStart"/>
      <w:r w:rsidR="002037C2" w:rsidRPr="000D119D">
        <w:t>recognises</w:t>
      </w:r>
      <w:proofErr w:type="spellEnd"/>
      <w:r w:rsidR="002037C2" w:rsidRPr="000D119D">
        <w:t xml:space="preserve"> that a long waiting time between deciding to seek help and receiving help can be a significant </w:t>
      </w:r>
      <w:r w:rsidR="00504636" w:rsidRPr="000D119D" w:rsidDel="002037C2">
        <w:t xml:space="preserve">barrier </w:t>
      </w:r>
      <w:r w:rsidR="00504636" w:rsidRPr="000D119D">
        <w:t>to accessing mental health services.</w:t>
      </w:r>
      <w:r w:rsidR="00504636" w:rsidRPr="000D119D">
        <w:rPr>
          <w:rStyle w:val="FootnoteReference"/>
        </w:rPr>
        <w:footnoteReference w:id="10"/>
      </w:r>
      <w:r w:rsidR="00504636" w:rsidRPr="000D119D">
        <w:t xml:space="preserve"> </w:t>
      </w:r>
      <w:r w:rsidR="00196F4A" w:rsidRPr="000D119D">
        <w:t>Anecdotally, waiting</w:t>
      </w:r>
      <w:r w:rsidR="006E4E2B" w:rsidRPr="000D119D">
        <w:t xml:space="preserve"> lists for psychologists in Victoria </w:t>
      </w:r>
      <w:r w:rsidR="00196F4A" w:rsidRPr="000D119D">
        <w:t xml:space="preserve">in late 2020 </w:t>
      </w:r>
      <w:r w:rsidR="006E4E2B" w:rsidRPr="000D119D">
        <w:t xml:space="preserve">were </w:t>
      </w:r>
      <w:r w:rsidR="00196F4A" w:rsidRPr="000D119D">
        <w:t xml:space="preserve">between five weeks to six months, and many services </w:t>
      </w:r>
      <w:r w:rsidR="00EB7BB9" w:rsidRPr="000D119D">
        <w:t>no longer had the capacity to accept</w:t>
      </w:r>
      <w:r w:rsidR="00196F4A" w:rsidRPr="000D119D">
        <w:t xml:space="preserve"> new referrals</w:t>
      </w:r>
      <w:r w:rsidR="00504636" w:rsidRPr="000D119D">
        <w:t>.</w:t>
      </w:r>
      <w:r w:rsidR="0001048D" w:rsidRPr="000D119D">
        <w:rPr>
          <w:rStyle w:val="FootnoteReference"/>
        </w:rPr>
        <w:footnoteReference w:id="11"/>
      </w:r>
      <w:r w:rsidR="00504636" w:rsidRPr="000D119D">
        <w:t xml:space="preserve"> </w:t>
      </w:r>
    </w:p>
    <w:p w14:paraId="220054A6" w14:textId="3447E40A" w:rsidR="00E413E1" w:rsidRPr="000D119D" w:rsidRDefault="00E413E1" w:rsidP="00074556">
      <w:pPr>
        <w:pStyle w:val="ListBullet"/>
      </w:pPr>
      <w:r w:rsidRPr="000D119D">
        <w:rPr>
          <w:rFonts w:asciiTheme="majorHAnsi" w:hAnsiTheme="majorHAnsi" w:cstheme="majorHAnsi"/>
        </w:rPr>
        <w:t>Geograph</w:t>
      </w:r>
      <w:r w:rsidR="00F00B92" w:rsidRPr="000D119D">
        <w:rPr>
          <w:rFonts w:asciiTheme="majorHAnsi" w:hAnsiTheme="majorHAnsi" w:cstheme="majorHAnsi"/>
        </w:rPr>
        <w:t>ic</w:t>
      </w:r>
      <w:r w:rsidRPr="000D119D">
        <w:rPr>
          <w:rFonts w:asciiTheme="majorHAnsi" w:hAnsiTheme="majorHAnsi" w:cstheme="majorHAnsi"/>
        </w:rPr>
        <w:t>.</w:t>
      </w:r>
      <w:r w:rsidRPr="000D119D">
        <w:t xml:space="preserve"> </w:t>
      </w:r>
      <w:r w:rsidR="00A0199F">
        <w:t>A</w:t>
      </w:r>
      <w:r w:rsidR="00E56BF0" w:rsidRPr="000D119D">
        <w:t xml:space="preserve"> physical location which </w:t>
      </w:r>
      <w:r w:rsidR="00A0199F">
        <w:t>provides the option to present for face</w:t>
      </w:r>
      <w:r w:rsidR="00BB5234">
        <w:t>-</w:t>
      </w:r>
      <w:r w:rsidR="00A0199F">
        <w:t>to</w:t>
      </w:r>
      <w:r w:rsidR="00BB5234">
        <w:t>-</w:t>
      </w:r>
      <w:r w:rsidR="00A0199F">
        <w:t>face</w:t>
      </w:r>
      <w:r w:rsidR="005324E6">
        <w:t xml:space="preserve"> </w:t>
      </w:r>
      <w:r w:rsidR="0092321A" w:rsidRPr="000D119D">
        <w:t>was</w:t>
      </w:r>
      <w:r w:rsidR="00E56BF0" w:rsidRPr="000D119D">
        <w:t xml:space="preserve"> key to meeting the needs and preferences of </w:t>
      </w:r>
      <w:r w:rsidR="00F40845" w:rsidRPr="000D119D">
        <w:t>participants</w:t>
      </w:r>
      <w:r w:rsidR="00E56BF0" w:rsidRPr="000D119D">
        <w:t xml:space="preserve">. </w:t>
      </w:r>
      <w:r w:rsidR="00A43828" w:rsidRPr="000D119D">
        <w:t>The importance of p</w:t>
      </w:r>
      <w:r w:rsidR="0032242F" w:rsidRPr="000D119D">
        <w:t>hysical access to services</w:t>
      </w:r>
      <w:r w:rsidR="008F58A5" w:rsidRPr="000D119D">
        <w:t xml:space="preserve"> </w:t>
      </w:r>
      <w:r w:rsidR="003B6C06" w:rsidRPr="000D119D">
        <w:t xml:space="preserve">was </w:t>
      </w:r>
      <w:proofErr w:type="spellStart"/>
      <w:r w:rsidR="003B6C06" w:rsidRPr="000D119D">
        <w:t>emphasised</w:t>
      </w:r>
      <w:proofErr w:type="spellEnd"/>
      <w:r w:rsidR="003B6C06" w:rsidRPr="000D119D">
        <w:t xml:space="preserve"> in rural and regional </w:t>
      </w:r>
      <w:proofErr w:type="spellStart"/>
      <w:r w:rsidR="003B6C06" w:rsidRPr="001765F4">
        <w:rPr>
          <w:rStyle w:val="Emphasis"/>
        </w:rPr>
        <w:t>HeadtoHelp</w:t>
      </w:r>
      <w:proofErr w:type="spellEnd"/>
      <w:r w:rsidR="003B6C06" w:rsidRPr="000D119D">
        <w:t xml:space="preserve"> </w:t>
      </w:r>
      <w:r w:rsidR="003648D8">
        <w:t>h</w:t>
      </w:r>
      <w:r w:rsidR="003B6C06" w:rsidRPr="000D119D">
        <w:t>ubs</w:t>
      </w:r>
      <w:r w:rsidR="008576F8" w:rsidRPr="000D119D">
        <w:t xml:space="preserve">. </w:t>
      </w:r>
      <w:r w:rsidR="002757DB" w:rsidRPr="00F043CE">
        <w:t>Several rural and regional hubs elected to operate an outreach service for participants that could not easily access a hub in person.</w:t>
      </w:r>
      <w:r w:rsidR="002757DB">
        <w:t xml:space="preserve"> </w:t>
      </w:r>
    </w:p>
    <w:p w14:paraId="29FB200A" w14:textId="3CE582DC" w:rsidR="001E6D5A" w:rsidRDefault="00F40DF1" w:rsidP="00074556">
      <w:pPr>
        <w:pStyle w:val="ListBullet"/>
      </w:pPr>
      <w:r w:rsidRPr="000D119D">
        <w:rPr>
          <w:noProof/>
        </w:rPr>
        <mc:AlternateContent>
          <mc:Choice Requires="wps">
            <w:drawing>
              <wp:anchor distT="0" distB="0" distL="114300" distR="114300" simplePos="0" relativeHeight="251465728" behindDoc="0" locked="0" layoutInCell="1" allowOverlap="1" wp14:anchorId="43034606" wp14:editId="7068E776">
                <wp:simplePos x="0" y="0"/>
                <wp:positionH relativeFrom="column">
                  <wp:posOffset>171118</wp:posOffset>
                </wp:positionH>
                <wp:positionV relativeFrom="paragraph">
                  <wp:posOffset>607254</wp:posOffset>
                </wp:positionV>
                <wp:extent cx="1746250" cy="1838325"/>
                <wp:effectExtent l="0" t="0" r="6350" b="9525"/>
                <wp:wrapSquare wrapText="bothSides"/>
                <wp:docPr id="24" name="Text Box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6250" cy="1838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3A94BD" w14:textId="0174ABB7" w:rsidR="00D011B3" w:rsidRPr="00BD1658" w:rsidRDefault="00D011B3" w:rsidP="00D011B3">
                            <w:pPr>
                              <w:pStyle w:val="Callout"/>
                              <w:rPr>
                                <w:color w:val="0070C0"/>
                              </w:rPr>
                            </w:pPr>
                            <w:r w:rsidRPr="00BD1658">
                              <w:rPr>
                                <w:color w:val="0070C0"/>
                              </w:rPr>
                              <w:t>“</w:t>
                            </w:r>
                            <w:r w:rsidR="00F6038C" w:rsidRPr="00BD1658">
                              <w:rPr>
                                <w:color w:val="0070C0"/>
                              </w:rPr>
                              <w:t>If I had to go to Melbourne for something like that, I just wouldn’t go because that takes too much out of me and I’m recovering for days just from all the stress of travelling to the city</w:t>
                            </w:r>
                            <w:r w:rsidRPr="00BD1658">
                              <w:rPr>
                                <w:color w:val="0070C0"/>
                              </w:rPr>
                              <w:t xml:space="preserve">.” – </w:t>
                            </w:r>
                            <w:r w:rsidR="007C43A1">
                              <w:rPr>
                                <w:i/>
                                <w:color w:val="0070C0"/>
                              </w:rPr>
                              <w:t>Participant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034606" id="Text Box 24" o:spid="_x0000_s1028" type="#_x0000_t202" alt="&quot;&quot;" style="position:absolute;left:0;text-align:left;margin-left:13.45pt;margin-top:47.8pt;width:137.5pt;height:144.7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" fillcolor="white [3201]" stroked="f" strokeweight=".5pt">
                <v:textbox inset="0,,1mm">
                  <w:txbxContent>
                    <w:p w14:paraId="243A94BD" w14:textId="0174ABB7" w:rsidR="00D011B3" w:rsidRPr="00BD1658" w:rsidRDefault="00D011B3" w:rsidP="00D011B3">
                      <w:pPr>
                        <w:pStyle w:val="Callout"/>
                        <w:rPr>
                          <w:color w:val="0070C0"/>
                        </w:rPr>
                      </w:pPr>
                      <w:r w:rsidRPr="00BD1658">
                        <w:rPr>
                          <w:color w:val="0070C0"/>
                        </w:rPr>
                        <w:t>“</w:t>
                      </w:r>
                      <w:r w:rsidR="00F6038C" w:rsidRPr="00BD1658">
                        <w:rPr>
                          <w:color w:val="0070C0"/>
                        </w:rPr>
                        <w:t>If I had to go to Melbourne for something like that, I just wouldn’t go because that takes too much out of me and I’m recovering for days just from all the stress of travelling to the city</w:t>
                      </w:r>
                      <w:r w:rsidRPr="00BD1658">
                        <w:rPr>
                          <w:color w:val="0070C0"/>
                        </w:rPr>
                        <w:t xml:space="preserve">.” – </w:t>
                      </w:r>
                      <w:r w:rsidR="007C43A1">
                        <w:rPr>
                          <w:i/>
                          <w:color w:val="0070C0"/>
                        </w:rPr>
                        <w:t>Participant</w:t>
                      </w:r>
                    </w:p>
                  </w:txbxContent>
                </v:textbox>
                <w10:wrap type="square"/>
              </v:shape>
            </w:pict>
          </mc:Fallback>
        </mc:AlternateContent>
      </w:r>
      <w:r w:rsidR="001E6D5A" w:rsidRPr="000D119D">
        <w:rPr>
          <w:rFonts w:asciiTheme="majorHAnsi" w:hAnsiTheme="majorHAnsi" w:cstheme="majorHAnsi"/>
        </w:rPr>
        <w:t>Service offerings.</w:t>
      </w:r>
      <w:r w:rsidR="001E6D5A" w:rsidRPr="000D119D">
        <w:t xml:space="preserve"> </w:t>
      </w:r>
      <w:proofErr w:type="spellStart"/>
      <w:r w:rsidR="008D3127" w:rsidRPr="001765F4">
        <w:rPr>
          <w:rStyle w:val="Emphasis"/>
        </w:rPr>
        <w:t>HeadtoHelp</w:t>
      </w:r>
      <w:proofErr w:type="spellEnd"/>
      <w:r w:rsidR="008D3127" w:rsidRPr="000D119D">
        <w:t xml:space="preserve"> </w:t>
      </w:r>
      <w:r w:rsidR="00D00C09" w:rsidRPr="000D119D">
        <w:t>i</w:t>
      </w:r>
      <w:r w:rsidR="008D3127" w:rsidRPr="000D119D">
        <w:t xml:space="preserve">s advertised as </w:t>
      </w:r>
      <w:r w:rsidR="0083563C" w:rsidRPr="000D119D">
        <w:t>welcoming</w:t>
      </w:r>
      <w:r w:rsidR="008841FB" w:rsidRPr="000D119D">
        <w:t xml:space="preserve"> all </w:t>
      </w:r>
      <w:r w:rsidR="00F40845" w:rsidRPr="000D119D">
        <w:t>participants</w:t>
      </w:r>
      <w:r w:rsidR="008841FB" w:rsidRPr="000D119D">
        <w:t xml:space="preserve"> and/or </w:t>
      </w:r>
      <w:r w:rsidR="005925AA" w:rsidRPr="000D119D">
        <w:t>support people</w:t>
      </w:r>
      <w:r w:rsidR="008841FB" w:rsidRPr="000D119D">
        <w:t xml:space="preserve"> that contact the service, in line with the ‘no wrong door’ approach. </w:t>
      </w:r>
      <w:r w:rsidR="00F40845" w:rsidRPr="000D119D">
        <w:t>Participants</w:t>
      </w:r>
      <w:r w:rsidR="008841FB" w:rsidRPr="000D119D">
        <w:t xml:space="preserve"> were told that </w:t>
      </w:r>
      <w:proofErr w:type="spellStart"/>
      <w:r w:rsidR="008841FB" w:rsidRPr="001765F4">
        <w:rPr>
          <w:rStyle w:val="Emphasis"/>
        </w:rPr>
        <w:t>HeadtoHelp</w:t>
      </w:r>
      <w:proofErr w:type="spellEnd"/>
      <w:r w:rsidR="008841FB" w:rsidRPr="000D119D">
        <w:t xml:space="preserve"> is for </w:t>
      </w:r>
      <w:r w:rsidR="00D00C09" w:rsidRPr="000D119D">
        <w:t>‘</w:t>
      </w:r>
      <w:r w:rsidR="008841FB" w:rsidRPr="000D119D">
        <w:t xml:space="preserve">anyone of any age experiencing emotional distress, crises, mental ill-health and/or addiction along with their families and </w:t>
      </w:r>
      <w:r w:rsidR="005925AA" w:rsidRPr="000D119D">
        <w:t>support people</w:t>
      </w:r>
      <w:r w:rsidR="008841FB" w:rsidRPr="000D119D">
        <w:t>.’</w:t>
      </w:r>
      <w:r w:rsidR="008841FB" w:rsidRPr="000D119D">
        <w:rPr>
          <w:rStyle w:val="FootnoteReference"/>
        </w:rPr>
        <w:footnoteReference w:id="12"/>
      </w:r>
      <w:r w:rsidR="008841FB" w:rsidRPr="000D119D">
        <w:t xml:space="preserve"> </w:t>
      </w:r>
      <w:r w:rsidR="003D49F3" w:rsidRPr="000D119D">
        <w:t xml:space="preserve">Not excluding </w:t>
      </w:r>
      <w:r w:rsidR="00F40845" w:rsidRPr="000D119D">
        <w:t>participants</w:t>
      </w:r>
      <w:r w:rsidR="003D49F3" w:rsidRPr="000D119D">
        <w:t xml:space="preserve"> based on their presenting needs </w:t>
      </w:r>
      <w:r w:rsidR="00EF37A5" w:rsidRPr="000D119D">
        <w:t>(</w:t>
      </w:r>
      <w:r w:rsidR="00747072" w:rsidRPr="000D119D">
        <w:t>e.g.,</w:t>
      </w:r>
      <w:r w:rsidR="00EF37A5" w:rsidRPr="000D119D">
        <w:t xml:space="preserve"> addiction) heavily reduces barriers to access. This is important considering the m</w:t>
      </w:r>
      <w:r w:rsidR="00CF767E" w:rsidRPr="000D119D">
        <w:t xml:space="preserve">any submissions into the Royal Commission </w:t>
      </w:r>
      <w:r w:rsidR="00EF37A5" w:rsidRPr="000D119D">
        <w:t>that noted the need to</w:t>
      </w:r>
      <w:r w:rsidR="00CF767E" w:rsidRPr="000D119D">
        <w:t xml:space="preserve"> integrat</w:t>
      </w:r>
      <w:r w:rsidR="00EF37A5" w:rsidRPr="000D119D">
        <w:t>e</w:t>
      </w:r>
      <w:r w:rsidR="00CF767E" w:rsidRPr="000D119D">
        <w:t xml:space="preserve"> </w:t>
      </w:r>
      <w:r w:rsidR="005E0E77" w:rsidRPr="000D119D">
        <w:t>the</w:t>
      </w:r>
      <w:r w:rsidR="00CF767E" w:rsidRPr="000D119D">
        <w:t xml:space="preserve"> mental health and addiction service systems</w:t>
      </w:r>
      <w:r w:rsidR="00BD04AE" w:rsidRPr="000D119D">
        <w:t>.</w:t>
      </w:r>
      <w:r w:rsidR="00BD04AE" w:rsidRPr="000D119D">
        <w:rPr>
          <w:rStyle w:val="FootnoteReference"/>
        </w:rPr>
        <w:footnoteReference w:id="13"/>
      </w:r>
      <w:r w:rsidR="003016CC" w:rsidRPr="000D119D">
        <w:t xml:space="preserve"> </w:t>
      </w:r>
    </w:p>
    <w:p w14:paraId="40D9CAC3" w14:textId="2B7F6AF4" w:rsidR="002120B7" w:rsidRDefault="002120B7">
      <w:pPr>
        <w:spacing w:after="160" w:line="259" w:lineRule="auto"/>
        <w:rPr>
          <w:rFonts w:eastAsia="Times New Roman" w:cs="Times New Roman"/>
          <w:szCs w:val="19"/>
          <w:lang w:val="en-AU" w:eastAsia="en-AU"/>
        </w:rPr>
      </w:pPr>
      <w:r>
        <w:br w:type="page"/>
      </w:r>
    </w:p>
    <w:p w14:paraId="70BAAB3D" w14:textId="3465249E" w:rsidR="00793A0D" w:rsidRPr="000D119D" w:rsidRDefault="00793A0D" w:rsidP="00BE0860">
      <w:pPr>
        <w:pStyle w:val="Heading4"/>
        <w:rPr>
          <w:rFonts w:eastAsiaTheme="minorEastAsia"/>
        </w:rPr>
      </w:pPr>
      <w:r w:rsidRPr="000D119D">
        <w:rPr>
          <w:rFonts w:eastAsiaTheme="minorEastAsia"/>
        </w:rPr>
        <w:lastRenderedPageBreak/>
        <w:t xml:space="preserve">The consistent approach to intake </w:t>
      </w:r>
      <w:r w:rsidR="00D5665B" w:rsidRPr="000D119D">
        <w:rPr>
          <w:rFonts w:eastAsiaTheme="minorEastAsia"/>
        </w:rPr>
        <w:t>is a</w:t>
      </w:r>
      <w:r w:rsidRPr="000D119D">
        <w:rPr>
          <w:rFonts w:eastAsiaTheme="minorEastAsia"/>
        </w:rPr>
        <w:t xml:space="preserve"> transformative component of program design</w:t>
      </w:r>
      <w:r w:rsidR="001A3A6C" w:rsidRPr="000D119D">
        <w:rPr>
          <w:rFonts w:eastAsiaTheme="minorEastAsia"/>
        </w:rPr>
        <w:t xml:space="preserve"> </w:t>
      </w:r>
    </w:p>
    <w:p w14:paraId="0A081FB3" w14:textId="03849D38" w:rsidR="00205F40" w:rsidRPr="000D119D" w:rsidRDefault="00205F40" w:rsidP="00205F40">
      <w:pPr>
        <w:rPr>
          <w:lang w:val="en-AU"/>
        </w:rPr>
      </w:pPr>
      <w:r w:rsidRPr="000D119D">
        <w:rPr>
          <w:lang w:val="en-AU"/>
        </w:rPr>
        <w:t xml:space="preserve">The IAR-DST was a key part of the design of the intake, assessment and referral process which reflected a stepped care and </w:t>
      </w:r>
      <w:r w:rsidR="00601722" w:rsidRPr="000D119D">
        <w:rPr>
          <w:lang w:val="en-AU"/>
        </w:rPr>
        <w:t>client-centric</w:t>
      </w:r>
      <w:r w:rsidRPr="000D119D">
        <w:rPr>
          <w:lang w:val="en-AU"/>
        </w:rPr>
        <w:t xml:space="preserve"> approach, matching the level of mental health intervention to the individual’s needs.</w:t>
      </w:r>
      <w:r w:rsidR="005571A5" w:rsidRPr="000D119D">
        <w:rPr>
          <w:rStyle w:val="FootnoteReference"/>
          <w:lang w:val="en-AU"/>
        </w:rPr>
        <w:footnoteReference w:id="14"/>
      </w:r>
      <w:r w:rsidRPr="000D119D">
        <w:rPr>
          <w:lang w:val="en-AU"/>
        </w:rPr>
        <w:t xml:space="preserve"> </w:t>
      </w:r>
      <w:r w:rsidR="006F2F26" w:rsidRPr="000D119D">
        <w:rPr>
          <w:lang w:val="en-AU"/>
        </w:rPr>
        <w:t xml:space="preserve">A </w:t>
      </w:r>
      <w:r w:rsidR="005571A5" w:rsidRPr="000D119D">
        <w:rPr>
          <w:lang w:val="en-AU"/>
        </w:rPr>
        <w:t>consistent</w:t>
      </w:r>
      <w:r w:rsidR="003E18E0" w:rsidRPr="000D119D">
        <w:rPr>
          <w:lang w:val="en-AU"/>
        </w:rPr>
        <w:t xml:space="preserve"> model at </w:t>
      </w:r>
      <w:r w:rsidR="005571A5" w:rsidRPr="000D119D">
        <w:rPr>
          <w:lang w:val="en-AU"/>
        </w:rPr>
        <w:t xml:space="preserve">a </w:t>
      </w:r>
      <w:r w:rsidR="003E18E0" w:rsidRPr="000D119D">
        <w:rPr>
          <w:lang w:val="en-AU"/>
        </w:rPr>
        <w:t>state level is a significant departure from previous approaches.</w:t>
      </w:r>
    </w:p>
    <w:p w14:paraId="557838FC" w14:textId="4C81C9C3" w:rsidR="00205F40" w:rsidRPr="000D119D" w:rsidRDefault="00205F40" w:rsidP="00205F40">
      <w:pPr>
        <w:rPr>
          <w:lang w:val="en-AU"/>
        </w:rPr>
      </w:pPr>
      <w:r w:rsidRPr="000D119D">
        <w:rPr>
          <w:lang w:val="en-AU"/>
        </w:rPr>
        <w:t>Approximately $1.4 million in funding supported the establishment of central intake services, including the 1800 number (</w:t>
      </w:r>
      <w:r w:rsidR="0064091E" w:rsidRPr="000D119D">
        <w:rPr>
          <w:lang w:val="en-AU"/>
        </w:rPr>
        <w:t>see further</w:t>
      </w:r>
      <w:r w:rsidRPr="006B1D80">
        <w:rPr>
          <w:lang w:val="en-AU"/>
        </w:rPr>
        <w:t xml:space="preserve"> Section </w:t>
      </w:r>
      <w:r w:rsidR="006B1D80" w:rsidRPr="006B1D80">
        <w:rPr>
          <w:lang w:val="en-AU"/>
        </w:rPr>
        <w:fldChar w:fldCharType="begin"/>
      </w:r>
      <w:r w:rsidR="006B1D80" w:rsidRPr="006B1D80">
        <w:rPr>
          <w:lang w:val="en-AU"/>
        </w:rPr>
        <w:instrText xml:space="preserve"> REF _Ref97019037 \w \h </w:instrText>
      </w:r>
      <w:r w:rsidR="006B1D80">
        <w:rPr>
          <w:lang w:val="en-AU"/>
        </w:rPr>
        <w:instrText xml:space="preserve"> \* MERGEFORMAT </w:instrText>
      </w:r>
      <w:r w:rsidR="006B1D80" w:rsidRPr="006B1D80">
        <w:rPr>
          <w:lang w:val="en-AU"/>
        </w:rPr>
      </w:r>
      <w:r w:rsidR="006B1D80" w:rsidRPr="006B1D80">
        <w:rPr>
          <w:lang w:val="en-AU"/>
        </w:rPr>
        <w:fldChar w:fldCharType="separate"/>
      </w:r>
      <w:r w:rsidR="00562174">
        <w:rPr>
          <w:lang w:val="en-AU"/>
        </w:rPr>
        <w:t>3.2.3</w:t>
      </w:r>
      <w:r w:rsidR="006B1D80" w:rsidRPr="006B1D80">
        <w:rPr>
          <w:lang w:val="en-AU"/>
        </w:rPr>
        <w:fldChar w:fldCharType="end"/>
      </w:r>
      <w:r w:rsidRPr="006B1D80">
        <w:rPr>
          <w:lang w:val="en-AU"/>
        </w:rPr>
        <w:t>).</w:t>
      </w:r>
      <w:r w:rsidRPr="000D119D">
        <w:rPr>
          <w:lang w:val="en-AU"/>
        </w:rPr>
        <w:t xml:space="preserve"> Participants calling the 1800 number were routed to the appropriate intake team, typically located in the PHN, through a process of geocoding. Intake clinicians then engaged participants, provided </w:t>
      </w:r>
      <w:proofErr w:type="gramStart"/>
      <w:r w:rsidRPr="000D119D">
        <w:rPr>
          <w:lang w:val="en-AU"/>
        </w:rPr>
        <w:t>assessments</w:t>
      </w:r>
      <w:proofErr w:type="gramEnd"/>
      <w:r w:rsidRPr="000D119D">
        <w:rPr>
          <w:lang w:val="en-AU"/>
        </w:rPr>
        <w:t xml:space="preserve"> and supported service navigation to meet their needs and preferences. In instances where callers were distressed, intake staff reported providing mental health first aid and other supports. </w:t>
      </w:r>
    </w:p>
    <w:p w14:paraId="1FA6E3EC" w14:textId="12925DF2" w:rsidR="00205F40" w:rsidRPr="000D119D" w:rsidRDefault="00205F40" w:rsidP="00205F40">
      <w:pPr>
        <w:rPr>
          <w:lang w:val="en-AU" w:eastAsia="en-AU"/>
        </w:rPr>
      </w:pPr>
      <w:r w:rsidRPr="000D119D">
        <w:rPr>
          <w:lang w:val="en-AU"/>
        </w:rPr>
        <w:t xml:space="preserve">The design of the model includes two options for intake: internal, where intake is conducted entirely in-house, and centralised or external, where intake is conducted for more than one hub by another PHN or external organisation. Hubs applied the intake options differently during establishment </w:t>
      </w:r>
      <w:r w:rsidR="00CD27B1" w:rsidRPr="000D119D">
        <w:rPr>
          <w:lang w:val="en-AU"/>
        </w:rPr>
        <w:t xml:space="preserve">and </w:t>
      </w:r>
      <w:r w:rsidRPr="000D119D">
        <w:rPr>
          <w:lang w:val="en-AU"/>
        </w:rPr>
        <w:t xml:space="preserve">the success, </w:t>
      </w:r>
      <w:proofErr w:type="gramStart"/>
      <w:r w:rsidRPr="000D119D">
        <w:rPr>
          <w:lang w:val="en-AU"/>
        </w:rPr>
        <w:t>challenges</w:t>
      </w:r>
      <w:proofErr w:type="gramEnd"/>
      <w:r w:rsidRPr="000D119D">
        <w:rPr>
          <w:lang w:val="en-AU"/>
        </w:rPr>
        <w:t xml:space="preserve"> and variations to intake during implementation are discussed in Section </w:t>
      </w:r>
      <w:r w:rsidR="00284431" w:rsidRPr="000D119D">
        <w:rPr>
          <w:lang w:val="en-AU"/>
        </w:rPr>
        <w:fldChar w:fldCharType="begin"/>
      </w:r>
      <w:r w:rsidR="00284431" w:rsidRPr="000D119D">
        <w:rPr>
          <w:lang w:val="en-AU"/>
        </w:rPr>
        <w:instrText xml:space="preserve"> REF _Ref96960883 \r \h </w:instrText>
      </w:r>
      <w:r w:rsidR="00284431" w:rsidRPr="000D119D">
        <w:rPr>
          <w:lang w:val="en-AU"/>
        </w:rPr>
      </w:r>
      <w:r w:rsidR="00284431" w:rsidRPr="000D119D">
        <w:rPr>
          <w:lang w:val="en-AU"/>
        </w:rPr>
        <w:fldChar w:fldCharType="separate"/>
      </w:r>
      <w:r w:rsidR="00562174">
        <w:rPr>
          <w:lang w:val="en-AU"/>
        </w:rPr>
        <w:t>4.2</w:t>
      </w:r>
      <w:r w:rsidR="00284431" w:rsidRPr="000D119D">
        <w:rPr>
          <w:lang w:val="en-AU"/>
        </w:rPr>
        <w:fldChar w:fldCharType="end"/>
      </w:r>
      <w:r w:rsidR="00284431" w:rsidRPr="00666CD8">
        <w:rPr>
          <w:lang w:val="en-AU"/>
        </w:rPr>
        <w:t>.</w:t>
      </w:r>
    </w:p>
    <w:p w14:paraId="09F1847F" w14:textId="36EC4B80" w:rsidR="00A976FD" w:rsidRPr="000D119D" w:rsidRDefault="00A175A0" w:rsidP="00BE0860">
      <w:pPr>
        <w:pStyle w:val="Heading4"/>
        <w:rPr>
          <w:rFonts w:eastAsiaTheme="minorEastAsia"/>
        </w:rPr>
      </w:pPr>
      <w:r w:rsidRPr="000D119D">
        <w:rPr>
          <w:rFonts w:eastAsiaTheme="minorEastAsia"/>
        </w:rPr>
        <w:t>M</w:t>
      </w:r>
      <w:r w:rsidR="00A976FD" w:rsidRPr="000D119D">
        <w:rPr>
          <w:rFonts w:eastAsiaTheme="minorEastAsia"/>
        </w:rPr>
        <w:t>ultidisciplinary team</w:t>
      </w:r>
      <w:r w:rsidR="007E5EFB" w:rsidRPr="000D119D">
        <w:rPr>
          <w:rFonts w:eastAsiaTheme="minorEastAsia"/>
        </w:rPr>
        <w:t>s</w:t>
      </w:r>
      <w:r w:rsidR="00A976FD" w:rsidRPr="000D119D">
        <w:rPr>
          <w:rFonts w:eastAsiaTheme="minorEastAsia"/>
        </w:rPr>
        <w:t xml:space="preserve"> </w:t>
      </w:r>
      <w:r w:rsidR="00793A0D" w:rsidRPr="000D119D">
        <w:rPr>
          <w:rFonts w:eastAsiaTheme="minorEastAsia"/>
        </w:rPr>
        <w:t xml:space="preserve">are </w:t>
      </w:r>
      <w:r w:rsidR="00B408E3" w:rsidRPr="000D119D" w:rsidDel="00A06F7D">
        <w:rPr>
          <w:rFonts w:eastAsiaTheme="minorEastAsia"/>
        </w:rPr>
        <w:t xml:space="preserve">an </w:t>
      </w:r>
      <w:r w:rsidR="009E7877" w:rsidRPr="000D119D">
        <w:rPr>
          <w:rFonts w:eastAsiaTheme="minorEastAsia"/>
        </w:rPr>
        <w:t xml:space="preserve">ideal </w:t>
      </w:r>
      <w:r w:rsidR="00B408E3" w:rsidRPr="000D119D">
        <w:rPr>
          <w:rFonts w:eastAsiaTheme="minorEastAsia"/>
        </w:rPr>
        <w:t xml:space="preserve">design </w:t>
      </w:r>
      <w:r w:rsidR="00793A0D" w:rsidRPr="000D119D">
        <w:rPr>
          <w:rFonts w:eastAsiaTheme="minorEastAsia"/>
        </w:rPr>
        <w:t>mechanism to support</w:t>
      </w:r>
      <w:r w:rsidR="00A976FD" w:rsidRPr="000D119D">
        <w:rPr>
          <w:rFonts w:eastAsiaTheme="minorEastAsia"/>
        </w:rPr>
        <w:t xml:space="preserve"> </w:t>
      </w:r>
      <w:r w:rsidR="00205F40" w:rsidRPr="000D119D">
        <w:rPr>
          <w:rFonts w:eastAsiaTheme="minorEastAsia"/>
        </w:rPr>
        <w:t xml:space="preserve">a </w:t>
      </w:r>
      <w:r w:rsidR="0077743C" w:rsidRPr="000D119D">
        <w:rPr>
          <w:rFonts w:eastAsiaTheme="minorEastAsia"/>
        </w:rPr>
        <w:t xml:space="preserve">whole-of-person </w:t>
      </w:r>
      <w:r w:rsidR="0028671E" w:rsidRPr="000D119D">
        <w:rPr>
          <w:rFonts w:eastAsiaTheme="minorEastAsia"/>
        </w:rPr>
        <w:t xml:space="preserve">service </w:t>
      </w:r>
      <w:r w:rsidR="00205F40" w:rsidRPr="000D119D">
        <w:rPr>
          <w:rFonts w:eastAsiaTheme="minorEastAsia"/>
        </w:rPr>
        <w:t>response</w:t>
      </w:r>
    </w:p>
    <w:p w14:paraId="66FBC48B" w14:textId="516F3F88" w:rsidR="002037C2" w:rsidRPr="000D119D" w:rsidRDefault="002037C2" w:rsidP="002037C2">
      <w:pPr>
        <w:rPr>
          <w:lang w:val="en-AU"/>
        </w:rPr>
      </w:pPr>
      <w:r w:rsidRPr="000D119D">
        <w:rPr>
          <w:lang w:val="en-AU"/>
        </w:rPr>
        <w:t xml:space="preserve">The </w:t>
      </w:r>
      <w:proofErr w:type="spellStart"/>
      <w:r w:rsidRPr="001765F4">
        <w:rPr>
          <w:rStyle w:val="Emphasis"/>
        </w:rPr>
        <w:t>HeadtoHelp</w:t>
      </w:r>
      <w:proofErr w:type="spellEnd"/>
      <w:r w:rsidRPr="000D119D">
        <w:rPr>
          <w:lang w:val="en-AU"/>
        </w:rPr>
        <w:t xml:space="preserve"> </w:t>
      </w:r>
      <w:r w:rsidR="00324A2A" w:rsidRPr="000D119D">
        <w:rPr>
          <w:lang w:val="en-AU"/>
        </w:rPr>
        <w:t>hub</w:t>
      </w:r>
      <w:r w:rsidR="005C40C1" w:rsidRPr="000D119D">
        <w:rPr>
          <w:lang w:val="en-AU"/>
        </w:rPr>
        <w:t xml:space="preserve"> model of care was</w:t>
      </w:r>
      <w:r w:rsidRPr="000D119D">
        <w:rPr>
          <w:lang w:val="en-AU"/>
        </w:rPr>
        <w:t xml:space="preserve"> prescriptive with regards to the workforce. The model requires service providers to hire an appropriate mix of qualified staff, with at least one or more clinical workers (</w:t>
      </w:r>
      <w:r w:rsidR="00517064" w:rsidRPr="000D119D">
        <w:rPr>
          <w:lang w:val="en-AU"/>
        </w:rPr>
        <w:t>e.g.,</w:t>
      </w:r>
      <w:r w:rsidRPr="000D119D">
        <w:rPr>
          <w:lang w:val="en-AU"/>
        </w:rPr>
        <w:t xml:space="preserve"> Psychologists, Division 1 Nurses). In all </w:t>
      </w:r>
      <w:r w:rsidR="00324A2A" w:rsidRPr="000D119D">
        <w:rPr>
          <w:lang w:val="en-AU"/>
        </w:rPr>
        <w:t>hub</w:t>
      </w:r>
      <w:r w:rsidRPr="000D119D">
        <w:rPr>
          <w:lang w:val="en-AU"/>
        </w:rPr>
        <w:t>s, there is a mix of clinical and non-clinical staff. Some providers varied the model to better meet needs in their local area, such as adding a psychiatrist.</w:t>
      </w:r>
    </w:p>
    <w:p w14:paraId="1174B8AF" w14:textId="14CF4CD9" w:rsidR="00A976FD" w:rsidRPr="000D119D" w:rsidRDefault="002037C2" w:rsidP="000C43C4">
      <w:pPr>
        <w:rPr>
          <w:rFonts w:eastAsiaTheme="minorEastAsia"/>
          <w:highlight w:val="yellow"/>
          <w:lang w:val="en-AU"/>
        </w:rPr>
      </w:pPr>
      <w:proofErr w:type="spellStart"/>
      <w:r w:rsidRPr="001765F4">
        <w:rPr>
          <w:rStyle w:val="Emphasis"/>
        </w:rPr>
        <w:t>HeadtoHelp</w:t>
      </w:r>
      <w:proofErr w:type="spellEnd"/>
      <w:r w:rsidR="00A976FD" w:rsidRPr="000D119D">
        <w:rPr>
          <w:lang w:val="en-AU"/>
        </w:rPr>
        <w:t xml:space="preserve"> </w:t>
      </w:r>
      <w:r w:rsidRPr="000D119D">
        <w:rPr>
          <w:lang w:val="en-AU"/>
        </w:rPr>
        <w:t xml:space="preserve">also </w:t>
      </w:r>
      <w:r w:rsidR="00A976FD" w:rsidRPr="000D119D">
        <w:rPr>
          <w:lang w:val="en-AU"/>
        </w:rPr>
        <w:t xml:space="preserve">required qualified intake clinicians to perform intake and a </w:t>
      </w:r>
      <w:r w:rsidR="001D3933" w:rsidRPr="000D119D">
        <w:rPr>
          <w:lang w:val="en-AU"/>
        </w:rPr>
        <w:t>multi-disciplinary team</w:t>
      </w:r>
      <w:r w:rsidR="00A976FD" w:rsidRPr="000D119D">
        <w:rPr>
          <w:lang w:val="en-AU"/>
        </w:rPr>
        <w:t xml:space="preserve"> to deliver services within the </w:t>
      </w:r>
      <w:r w:rsidR="00022267">
        <w:rPr>
          <w:lang w:val="en-AU"/>
        </w:rPr>
        <w:t>h</w:t>
      </w:r>
      <w:r w:rsidR="00A976FD" w:rsidRPr="000D119D">
        <w:rPr>
          <w:lang w:val="en-AU"/>
        </w:rPr>
        <w:t xml:space="preserve">ub. </w:t>
      </w:r>
      <w:r w:rsidR="00A976FD" w:rsidRPr="000D119D">
        <w:rPr>
          <w:rFonts w:eastAsiaTheme="minorEastAsia"/>
          <w:lang w:val="en-AU"/>
        </w:rPr>
        <w:t xml:space="preserve">Intake clinicians were required to </w:t>
      </w:r>
      <w:r w:rsidR="00BA6F4E" w:rsidRPr="000D119D">
        <w:rPr>
          <w:rFonts w:eastAsiaTheme="minorEastAsia"/>
          <w:lang w:val="en-AU"/>
        </w:rPr>
        <w:t xml:space="preserve">be </w:t>
      </w:r>
      <w:r w:rsidR="000C43C4" w:rsidRPr="000D119D">
        <w:rPr>
          <w:rFonts w:eastAsiaTheme="minorEastAsia"/>
          <w:lang w:val="en-AU"/>
        </w:rPr>
        <w:t xml:space="preserve">registered with an appropriate professional association or possess post graduate education in mental health. </w:t>
      </w:r>
      <w:r w:rsidR="00B92DD6" w:rsidRPr="000D119D">
        <w:rPr>
          <w:rFonts w:eastAsiaTheme="minorEastAsia"/>
          <w:lang w:val="en-AU"/>
        </w:rPr>
        <w:t>Possessing these requirements</w:t>
      </w:r>
      <w:r w:rsidR="00BA6F4E" w:rsidRPr="000D119D">
        <w:rPr>
          <w:rFonts w:eastAsiaTheme="minorEastAsia"/>
          <w:lang w:val="en-AU"/>
        </w:rPr>
        <w:t xml:space="preserve"> allows </w:t>
      </w:r>
      <w:r w:rsidR="00B92DD6" w:rsidRPr="000D119D">
        <w:rPr>
          <w:rFonts w:eastAsiaTheme="minorEastAsia"/>
          <w:lang w:val="en-AU"/>
        </w:rPr>
        <w:t>intake clinicians t</w:t>
      </w:r>
      <w:r w:rsidR="00BA6F4E" w:rsidRPr="000D119D">
        <w:rPr>
          <w:rFonts w:eastAsiaTheme="minorEastAsia"/>
          <w:lang w:val="en-AU"/>
        </w:rPr>
        <w:t xml:space="preserve">o effectively assess </w:t>
      </w:r>
      <w:r w:rsidR="00F40845" w:rsidRPr="000D119D">
        <w:rPr>
          <w:rFonts w:eastAsiaTheme="minorEastAsia"/>
          <w:lang w:val="en-AU"/>
        </w:rPr>
        <w:t>participants</w:t>
      </w:r>
      <w:r w:rsidR="0082686E" w:rsidRPr="000D119D">
        <w:rPr>
          <w:rFonts w:eastAsiaTheme="minorEastAsia"/>
          <w:lang w:val="en-AU"/>
        </w:rPr>
        <w:t xml:space="preserve"> using the IAR-DST and provide </w:t>
      </w:r>
      <w:r w:rsidR="00E24691" w:rsidRPr="000D119D">
        <w:rPr>
          <w:rFonts w:eastAsiaTheme="minorEastAsia"/>
          <w:lang w:val="en-AU"/>
        </w:rPr>
        <w:t xml:space="preserve">de-escalation support where </w:t>
      </w:r>
      <w:r w:rsidR="00F40845" w:rsidRPr="000D119D">
        <w:rPr>
          <w:rFonts w:eastAsiaTheme="minorEastAsia"/>
          <w:lang w:val="en-AU"/>
        </w:rPr>
        <w:t>participants</w:t>
      </w:r>
      <w:r w:rsidR="00E24691" w:rsidRPr="000D119D">
        <w:rPr>
          <w:rFonts w:eastAsiaTheme="minorEastAsia"/>
          <w:lang w:val="en-AU"/>
        </w:rPr>
        <w:t xml:space="preserve"> call in crisis. </w:t>
      </w:r>
    </w:p>
    <w:p w14:paraId="340DD507" w14:textId="494E550A" w:rsidR="000963F0" w:rsidRPr="000D119D" w:rsidRDefault="006031D1" w:rsidP="00C16C1D">
      <w:pPr>
        <w:rPr>
          <w:lang w:val="en-AU"/>
        </w:rPr>
      </w:pPr>
      <w:r w:rsidRPr="000D119D">
        <w:rPr>
          <w:lang w:val="en-AU"/>
        </w:rPr>
        <w:t xml:space="preserve">Service providers noted the requirement of </w:t>
      </w:r>
      <w:proofErr w:type="gramStart"/>
      <w:r w:rsidRPr="000D119D">
        <w:rPr>
          <w:lang w:val="en-AU"/>
        </w:rPr>
        <w:t>particular qualifications</w:t>
      </w:r>
      <w:proofErr w:type="gramEnd"/>
      <w:r w:rsidRPr="000D119D">
        <w:rPr>
          <w:lang w:val="en-AU"/>
        </w:rPr>
        <w:t xml:space="preserve"> (</w:t>
      </w:r>
      <w:r w:rsidR="002010A9" w:rsidRPr="000D119D">
        <w:rPr>
          <w:lang w:val="en-AU"/>
        </w:rPr>
        <w:t>e.g.,</w:t>
      </w:r>
      <w:r w:rsidRPr="000D119D">
        <w:rPr>
          <w:lang w:val="en-AU"/>
        </w:rPr>
        <w:t xml:space="preserve"> </w:t>
      </w:r>
      <w:r w:rsidR="000B767B" w:rsidRPr="000D119D">
        <w:rPr>
          <w:lang w:val="en-AU"/>
        </w:rPr>
        <w:t>Australian Health Practitioner Regulation Agency (</w:t>
      </w:r>
      <w:r w:rsidRPr="000D119D">
        <w:rPr>
          <w:lang w:val="en-AU"/>
        </w:rPr>
        <w:t>AHPRA</w:t>
      </w:r>
      <w:r w:rsidR="001D27B1" w:rsidRPr="000D119D">
        <w:rPr>
          <w:lang w:val="en-AU"/>
        </w:rPr>
        <w:t>)</w:t>
      </w:r>
      <w:r w:rsidRPr="000D119D">
        <w:rPr>
          <w:lang w:val="en-AU"/>
        </w:rPr>
        <w:t xml:space="preserve"> registration) has been a barrier to recruitment</w:t>
      </w:r>
      <w:r w:rsidR="00FB0693">
        <w:rPr>
          <w:lang w:val="en-AU"/>
        </w:rPr>
        <w:t xml:space="preserve">, however the </w:t>
      </w:r>
      <w:r w:rsidR="00794313">
        <w:rPr>
          <w:lang w:val="en-AU"/>
        </w:rPr>
        <w:t>expertise of staff is critical to participants’ experience</w:t>
      </w:r>
      <w:r w:rsidR="00AE168A" w:rsidRPr="000D119D">
        <w:rPr>
          <w:lang w:val="en-AU"/>
        </w:rPr>
        <w:t xml:space="preserve">. </w:t>
      </w:r>
      <w:r w:rsidR="0040199B" w:rsidRPr="000D119D">
        <w:rPr>
          <w:lang w:val="en-AU"/>
        </w:rPr>
        <w:t xml:space="preserve">There is also a need to </w:t>
      </w:r>
      <w:r w:rsidR="00AE168A" w:rsidRPr="000D119D">
        <w:rPr>
          <w:lang w:val="en-AU"/>
        </w:rPr>
        <w:t xml:space="preserve">balance the level of prescription of </w:t>
      </w:r>
      <w:proofErr w:type="gramStart"/>
      <w:r w:rsidR="00AE168A" w:rsidRPr="000D119D">
        <w:rPr>
          <w:lang w:val="en-AU"/>
        </w:rPr>
        <w:t>particular roles</w:t>
      </w:r>
      <w:proofErr w:type="gramEnd"/>
      <w:r w:rsidR="00AE168A" w:rsidRPr="000D119D">
        <w:rPr>
          <w:lang w:val="en-AU"/>
        </w:rPr>
        <w:t xml:space="preserve">, versus staffing within local constraints and with a focus on outcomes sought. These points are expanded further in </w:t>
      </w:r>
      <w:r w:rsidR="00666CD8">
        <w:rPr>
          <w:lang w:val="en-AU"/>
        </w:rPr>
        <w:t>S</w:t>
      </w:r>
      <w:r w:rsidR="00AE168A" w:rsidRPr="000D119D">
        <w:rPr>
          <w:lang w:val="en-AU"/>
        </w:rPr>
        <w:t xml:space="preserve">ection </w:t>
      </w:r>
      <w:r w:rsidR="00F25894">
        <w:rPr>
          <w:lang w:val="en-AU"/>
        </w:rPr>
        <w:fldChar w:fldCharType="begin"/>
      </w:r>
      <w:r w:rsidR="00F25894">
        <w:rPr>
          <w:lang w:val="en-AU"/>
        </w:rPr>
        <w:instrText xml:space="preserve"> REF _Ref96961029 \r \h </w:instrText>
      </w:r>
      <w:r w:rsidR="00F25894">
        <w:rPr>
          <w:lang w:val="en-AU"/>
        </w:rPr>
      </w:r>
      <w:r w:rsidR="00F25894">
        <w:rPr>
          <w:lang w:val="en-AU"/>
        </w:rPr>
        <w:fldChar w:fldCharType="separate"/>
      </w:r>
      <w:r w:rsidR="00562174">
        <w:rPr>
          <w:lang w:val="en-AU"/>
        </w:rPr>
        <w:t>4.1.8</w:t>
      </w:r>
      <w:r w:rsidR="00F25894">
        <w:rPr>
          <w:lang w:val="en-AU"/>
        </w:rPr>
        <w:fldChar w:fldCharType="end"/>
      </w:r>
      <w:r w:rsidR="00AE168A" w:rsidRPr="00F25894">
        <w:rPr>
          <w:lang w:val="en-AU"/>
        </w:rPr>
        <w:t>.</w:t>
      </w:r>
    </w:p>
    <w:p w14:paraId="2712CD1E" w14:textId="7E629618" w:rsidR="007F6E39" w:rsidRPr="000D119D" w:rsidRDefault="00CD3A07" w:rsidP="007F6E39">
      <w:pPr>
        <w:pStyle w:val="Heading3"/>
        <w:rPr>
          <w:rFonts w:eastAsiaTheme="minorEastAsia"/>
        </w:rPr>
      </w:pPr>
      <w:bookmarkStart w:id="32" w:name="_Toc99650335"/>
      <w:r w:rsidRPr="000D119D">
        <w:rPr>
          <w:rFonts w:eastAsiaTheme="minorEastAsia"/>
        </w:rPr>
        <w:t>Design l</w:t>
      </w:r>
      <w:r w:rsidR="007F6E39" w:rsidRPr="000D119D">
        <w:rPr>
          <w:rFonts w:eastAsiaTheme="minorEastAsia"/>
        </w:rPr>
        <w:t>imitations</w:t>
      </w:r>
      <w:bookmarkEnd w:id="32"/>
    </w:p>
    <w:p w14:paraId="5272255C" w14:textId="77777777" w:rsidR="007F6E39" w:rsidRPr="000D119D" w:rsidRDefault="007F6E39" w:rsidP="00BE0860">
      <w:pPr>
        <w:pStyle w:val="Heading4"/>
      </w:pPr>
      <w:r w:rsidRPr="000D119D">
        <w:t xml:space="preserve">Short implementation timeframes limited direct involvement of people with lived experience </w:t>
      </w:r>
    </w:p>
    <w:p w14:paraId="00100BA6" w14:textId="3F9A25C5" w:rsidR="007F6E39" w:rsidRPr="000D119D" w:rsidRDefault="007F6E39" w:rsidP="007F6E39">
      <w:pPr>
        <w:rPr>
          <w:lang w:val="en-AU"/>
        </w:rPr>
      </w:pPr>
      <w:r w:rsidRPr="000D119D">
        <w:rPr>
          <w:lang w:val="en-AU"/>
        </w:rPr>
        <w:t xml:space="preserve">PHNs recognise there was limited co-design of the </w:t>
      </w:r>
      <w:proofErr w:type="spellStart"/>
      <w:r w:rsidRPr="001765F4">
        <w:rPr>
          <w:rStyle w:val="Emphasis"/>
        </w:rPr>
        <w:t>HeadtoHelp</w:t>
      </w:r>
      <w:proofErr w:type="spellEnd"/>
      <w:r w:rsidRPr="000D119D">
        <w:rPr>
          <w:i/>
          <w:iCs/>
          <w:lang w:val="en-AU"/>
        </w:rPr>
        <w:t xml:space="preserve"> </w:t>
      </w:r>
      <w:r w:rsidRPr="000D119D">
        <w:rPr>
          <w:lang w:val="en-AU"/>
        </w:rPr>
        <w:t xml:space="preserve">service with people with lived experience and with the local service system. This was entirely due to the timeframes in which the service had to be stood up. While </w:t>
      </w:r>
      <w:proofErr w:type="spellStart"/>
      <w:r w:rsidRPr="001765F4">
        <w:rPr>
          <w:rStyle w:val="Emphasis"/>
        </w:rPr>
        <w:t>HeadtoHelp</w:t>
      </w:r>
      <w:proofErr w:type="spellEnd"/>
      <w:r w:rsidRPr="000D119D">
        <w:rPr>
          <w:lang w:val="en-AU"/>
        </w:rPr>
        <w:t xml:space="preserve"> itself was not co-designed, the clinical design team drew on a rich evidence base </w:t>
      </w:r>
      <w:proofErr w:type="gramStart"/>
      <w:r w:rsidRPr="000D119D">
        <w:rPr>
          <w:lang w:val="en-AU"/>
        </w:rPr>
        <w:t>from</w:t>
      </w:r>
      <w:proofErr w:type="gramEnd"/>
      <w:r w:rsidRPr="000D119D">
        <w:rPr>
          <w:lang w:val="en-AU"/>
        </w:rPr>
        <w:t xml:space="preserve"> recently conducted co-design activities to include the perspective of people with lived experience as best as possible. With more time, co-design would have been feasible and useful. However, the inputs to the </w:t>
      </w:r>
      <w:proofErr w:type="spellStart"/>
      <w:r w:rsidRPr="001765F4">
        <w:rPr>
          <w:rStyle w:val="Emphasis"/>
        </w:rPr>
        <w:t>HeadtoHelp</w:t>
      </w:r>
      <w:proofErr w:type="spellEnd"/>
      <w:r w:rsidRPr="000D119D">
        <w:rPr>
          <w:lang w:val="en-AU"/>
        </w:rPr>
        <w:t xml:space="preserve"> model, including the Eastern Melbourne PHN </w:t>
      </w:r>
      <w:r w:rsidR="00160D51">
        <w:rPr>
          <w:lang w:val="en-AU"/>
        </w:rPr>
        <w:t>(</w:t>
      </w:r>
      <w:r w:rsidR="00160D51" w:rsidRPr="000D119D">
        <w:rPr>
          <w:lang w:val="en-AU"/>
        </w:rPr>
        <w:t>EMPHN</w:t>
      </w:r>
      <w:r w:rsidR="00160D51">
        <w:rPr>
          <w:lang w:val="en-AU"/>
        </w:rPr>
        <w:t xml:space="preserve">) </w:t>
      </w:r>
      <w:r w:rsidRPr="000D119D">
        <w:rPr>
          <w:lang w:val="en-AU"/>
        </w:rPr>
        <w:t xml:space="preserve">stepped care model, </w:t>
      </w:r>
      <w:proofErr w:type="gramStart"/>
      <w:r w:rsidRPr="000D119D">
        <w:rPr>
          <w:lang w:val="en-AU"/>
        </w:rPr>
        <w:t>North West</w:t>
      </w:r>
      <w:r w:rsidR="00151400">
        <w:rPr>
          <w:lang w:val="en-AU"/>
        </w:rPr>
        <w:t>ern</w:t>
      </w:r>
      <w:proofErr w:type="gramEnd"/>
      <w:r w:rsidRPr="000D119D">
        <w:rPr>
          <w:lang w:val="en-AU"/>
        </w:rPr>
        <w:t xml:space="preserve"> Melbourne</w:t>
      </w:r>
      <w:r w:rsidR="00151400">
        <w:rPr>
          <w:lang w:val="en-AU"/>
        </w:rPr>
        <w:t xml:space="preserve"> PHN’</w:t>
      </w:r>
      <w:r w:rsidRPr="000D119D">
        <w:rPr>
          <w:lang w:val="en-AU"/>
        </w:rPr>
        <w:t xml:space="preserve">s </w:t>
      </w:r>
      <w:r w:rsidR="000E663E">
        <w:rPr>
          <w:lang w:val="en-AU"/>
        </w:rPr>
        <w:t>(</w:t>
      </w:r>
      <w:r w:rsidR="000E663E" w:rsidRPr="000D119D">
        <w:t>NWMPHN</w:t>
      </w:r>
      <w:r w:rsidR="000E663E">
        <w:t xml:space="preserve">) </w:t>
      </w:r>
      <w:r w:rsidRPr="000D119D">
        <w:rPr>
          <w:lang w:val="en-AU"/>
        </w:rPr>
        <w:t xml:space="preserve">planning for mental health, AOD and the AMHC model of care all included extensive co-design processes. </w:t>
      </w:r>
    </w:p>
    <w:p w14:paraId="58C4A9CF" w14:textId="65508A48" w:rsidR="008B54A4" w:rsidRPr="000D119D" w:rsidRDefault="005B7BF6" w:rsidP="00BE0860">
      <w:pPr>
        <w:pStyle w:val="Heading4"/>
        <w:rPr>
          <w:rFonts w:eastAsiaTheme="minorEastAsia"/>
        </w:rPr>
      </w:pPr>
      <w:r w:rsidRPr="000D119D">
        <w:rPr>
          <w:rFonts w:eastAsiaTheme="minorEastAsia"/>
        </w:rPr>
        <w:lastRenderedPageBreak/>
        <w:t>While well-</w:t>
      </w:r>
      <w:r w:rsidR="006E5924" w:rsidRPr="000D119D">
        <w:rPr>
          <w:rFonts w:eastAsiaTheme="minorEastAsia"/>
        </w:rPr>
        <w:t>designed</w:t>
      </w:r>
      <w:r w:rsidR="006548E0">
        <w:rPr>
          <w:rFonts w:eastAsiaTheme="minorEastAsia"/>
        </w:rPr>
        <w:t>,</w:t>
      </w:r>
      <w:r w:rsidR="00627EAA" w:rsidRPr="000D119D">
        <w:rPr>
          <w:rFonts w:eastAsiaTheme="minorEastAsia"/>
        </w:rPr>
        <w:t xml:space="preserve"> </w:t>
      </w:r>
      <w:proofErr w:type="spellStart"/>
      <w:r w:rsidRPr="000D119D">
        <w:rPr>
          <w:rFonts w:eastAsiaTheme="minorEastAsia"/>
          <w:i/>
          <w:iCs/>
        </w:rPr>
        <w:t>HeadtoHelp</w:t>
      </w:r>
      <w:proofErr w:type="spellEnd"/>
      <w:r w:rsidR="00273586" w:rsidRPr="000D119D">
        <w:rPr>
          <w:rFonts w:eastAsiaTheme="minorEastAsia"/>
        </w:rPr>
        <w:t xml:space="preserve"> </w:t>
      </w:r>
      <w:r w:rsidR="002037C2" w:rsidRPr="000D119D">
        <w:rPr>
          <w:rFonts w:eastAsiaTheme="minorEastAsia"/>
        </w:rPr>
        <w:t xml:space="preserve">is </w:t>
      </w:r>
      <w:r w:rsidR="00DA11D7" w:rsidRPr="000D119D">
        <w:rPr>
          <w:rFonts w:eastAsiaTheme="minorEastAsia"/>
        </w:rPr>
        <w:t>not a</w:t>
      </w:r>
      <w:r w:rsidR="00F11255" w:rsidRPr="000D119D">
        <w:rPr>
          <w:rFonts w:eastAsiaTheme="minorEastAsia"/>
        </w:rPr>
        <w:t xml:space="preserve"> stand-alone</w:t>
      </w:r>
      <w:r w:rsidR="00DA11D7" w:rsidRPr="000D119D">
        <w:rPr>
          <w:rFonts w:eastAsiaTheme="minorEastAsia"/>
        </w:rPr>
        <w:t xml:space="preserve"> solution to </w:t>
      </w:r>
      <w:r w:rsidR="00723FC5" w:rsidRPr="000D119D">
        <w:rPr>
          <w:rFonts w:eastAsiaTheme="minorEastAsia"/>
        </w:rPr>
        <w:t xml:space="preserve">mental health </w:t>
      </w:r>
      <w:r w:rsidR="00DA11D7" w:rsidRPr="000D119D">
        <w:rPr>
          <w:rFonts w:eastAsiaTheme="minorEastAsia"/>
        </w:rPr>
        <w:t>system</w:t>
      </w:r>
      <w:r w:rsidR="00F11255" w:rsidRPr="000D119D">
        <w:rPr>
          <w:rFonts w:eastAsiaTheme="minorEastAsia"/>
        </w:rPr>
        <w:t xml:space="preserve"> fragmentation</w:t>
      </w:r>
    </w:p>
    <w:p w14:paraId="4C578458" w14:textId="137A84BA" w:rsidR="003C6835" w:rsidRPr="000D119D" w:rsidRDefault="003C6835" w:rsidP="003C6835">
      <w:pPr>
        <w:rPr>
          <w:lang w:val="en-AU"/>
        </w:rPr>
      </w:pPr>
      <w:r w:rsidRPr="000D119D">
        <w:rPr>
          <w:lang w:val="en-AU"/>
        </w:rPr>
        <w:t xml:space="preserve">Challenges with service navigation in the mental health system are well recognised. The Royal Commission </w:t>
      </w:r>
      <w:r w:rsidR="006F24EC" w:rsidRPr="000D119D">
        <w:rPr>
          <w:lang w:val="en-AU"/>
        </w:rPr>
        <w:t xml:space="preserve">and the Productivity Commission </w:t>
      </w:r>
      <w:r w:rsidRPr="000D119D">
        <w:rPr>
          <w:lang w:val="en-AU"/>
        </w:rPr>
        <w:t xml:space="preserve">noted the need to have improved access and navigation support for </w:t>
      </w:r>
      <w:r w:rsidR="00F40845" w:rsidRPr="000D119D">
        <w:rPr>
          <w:lang w:val="en-AU"/>
        </w:rPr>
        <w:t>participants</w:t>
      </w:r>
      <w:r w:rsidRPr="000D119D">
        <w:rPr>
          <w:lang w:val="en-AU"/>
        </w:rPr>
        <w:t>.</w:t>
      </w:r>
      <w:r w:rsidRPr="000D119D">
        <w:rPr>
          <w:rStyle w:val="FootnoteReference"/>
          <w:rFonts w:eastAsiaTheme="minorEastAsia"/>
          <w:lang w:val="en-AU"/>
        </w:rPr>
        <w:footnoteReference w:id="15"/>
      </w:r>
      <w:r w:rsidRPr="000D119D">
        <w:rPr>
          <w:lang w:val="en-AU"/>
        </w:rPr>
        <w:t xml:space="preserve"> </w:t>
      </w:r>
      <w:r w:rsidR="00C004A5" w:rsidRPr="000D119D">
        <w:rPr>
          <w:lang w:val="en-AU"/>
        </w:rPr>
        <w:t xml:space="preserve">The service model of </w:t>
      </w:r>
      <w:proofErr w:type="spellStart"/>
      <w:r w:rsidR="00C004A5" w:rsidRPr="001765F4">
        <w:rPr>
          <w:rStyle w:val="Emphasis"/>
        </w:rPr>
        <w:t>HeadtoHelp</w:t>
      </w:r>
      <w:proofErr w:type="spellEnd"/>
      <w:r w:rsidR="00C004A5" w:rsidRPr="000D119D">
        <w:rPr>
          <w:lang w:val="en-AU"/>
        </w:rPr>
        <w:t xml:space="preserve"> enabled it to provide essential service navigation to </w:t>
      </w:r>
      <w:r w:rsidR="00F40845" w:rsidRPr="000D119D">
        <w:rPr>
          <w:lang w:val="en-AU"/>
        </w:rPr>
        <w:t>participants</w:t>
      </w:r>
      <w:r w:rsidR="00C004A5" w:rsidRPr="000D119D">
        <w:rPr>
          <w:lang w:val="en-AU"/>
        </w:rPr>
        <w:t>.</w:t>
      </w:r>
    </w:p>
    <w:p w14:paraId="260F57A0" w14:textId="119030DB" w:rsidR="00B34FB2" w:rsidRPr="000D119D" w:rsidRDefault="00273586" w:rsidP="006C5191">
      <w:pPr>
        <w:rPr>
          <w:lang w:val="en-AU"/>
        </w:rPr>
      </w:pPr>
      <w:proofErr w:type="spellStart"/>
      <w:r w:rsidRPr="001765F4">
        <w:rPr>
          <w:rStyle w:val="Emphasis"/>
        </w:rPr>
        <w:t>HeadtoHelp</w:t>
      </w:r>
      <w:proofErr w:type="spellEnd"/>
      <w:r w:rsidRPr="000D119D">
        <w:rPr>
          <w:lang w:val="en-AU"/>
        </w:rPr>
        <w:t xml:space="preserve"> provided service navigation to </w:t>
      </w:r>
      <w:r w:rsidR="00F40845" w:rsidRPr="000D119D">
        <w:rPr>
          <w:lang w:val="en-AU"/>
        </w:rPr>
        <w:t>participants</w:t>
      </w:r>
      <w:r w:rsidRPr="000D119D">
        <w:rPr>
          <w:lang w:val="en-AU"/>
        </w:rPr>
        <w:t xml:space="preserve"> through various intake functions (</w:t>
      </w:r>
      <w:r w:rsidR="00667FCA" w:rsidRPr="000D119D">
        <w:rPr>
          <w:lang w:val="en-AU"/>
        </w:rPr>
        <w:t>e.g.,</w:t>
      </w:r>
      <w:r w:rsidRPr="000D119D">
        <w:rPr>
          <w:lang w:val="en-AU"/>
        </w:rPr>
        <w:t xml:space="preserve"> central intake team, dedicated intake clinicians in various </w:t>
      </w:r>
      <w:r w:rsidR="00324A2A" w:rsidRPr="000D119D">
        <w:rPr>
          <w:lang w:val="en-AU"/>
        </w:rPr>
        <w:t>hub</w:t>
      </w:r>
      <w:r w:rsidRPr="000D119D">
        <w:rPr>
          <w:lang w:val="en-AU"/>
        </w:rPr>
        <w:t xml:space="preserve">s) </w:t>
      </w:r>
      <w:r w:rsidR="003C6835" w:rsidRPr="000D119D">
        <w:rPr>
          <w:lang w:val="en-AU"/>
        </w:rPr>
        <w:t>supported by available</w:t>
      </w:r>
      <w:r w:rsidRPr="000D119D">
        <w:rPr>
          <w:lang w:val="en-AU"/>
        </w:rPr>
        <w:t xml:space="preserve"> PHN documentation. </w:t>
      </w:r>
      <w:r w:rsidR="00C822D0" w:rsidRPr="000D119D">
        <w:rPr>
          <w:lang w:val="en-AU"/>
        </w:rPr>
        <w:t>Following administration of the IAR, i</w:t>
      </w:r>
      <w:r w:rsidR="008C774E" w:rsidRPr="000D119D">
        <w:rPr>
          <w:lang w:val="en-AU"/>
        </w:rPr>
        <w:t xml:space="preserve">ntake clinicians </w:t>
      </w:r>
      <w:r w:rsidR="008D1118" w:rsidRPr="000D119D">
        <w:rPr>
          <w:lang w:val="en-AU"/>
        </w:rPr>
        <w:t>were tasked with</w:t>
      </w:r>
      <w:r w:rsidR="008C774E" w:rsidRPr="000D119D">
        <w:rPr>
          <w:lang w:val="en-AU"/>
        </w:rPr>
        <w:t xml:space="preserve"> </w:t>
      </w:r>
      <w:r w:rsidR="00946502" w:rsidRPr="000D119D">
        <w:rPr>
          <w:lang w:val="en-AU"/>
        </w:rPr>
        <w:t xml:space="preserve">identifying appropriate services </w:t>
      </w:r>
      <w:r w:rsidR="00C822D0" w:rsidRPr="000D119D">
        <w:rPr>
          <w:lang w:val="en-AU"/>
        </w:rPr>
        <w:t xml:space="preserve">that matched </w:t>
      </w:r>
      <w:r w:rsidR="00F40845" w:rsidRPr="000D119D">
        <w:rPr>
          <w:lang w:val="en-AU"/>
        </w:rPr>
        <w:t>participants</w:t>
      </w:r>
      <w:r w:rsidR="00C822D0" w:rsidRPr="000D119D">
        <w:rPr>
          <w:lang w:val="en-AU"/>
        </w:rPr>
        <w:t>’ level of need</w:t>
      </w:r>
      <w:r w:rsidR="00295B50" w:rsidRPr="000D119D">
        <w:rPr>
          <w:lang w:val="en-AU"/>
        </w:rPr>
        <w:t xml:space="preserve"> and access to various services.</w:t>
      </w:r>
    </w:p>
    <w:p w14:paraId="07D0FE3F" w14:textId="6FABE3D8" w:rsidR="008C774E" w:rsidRPr="000D119D" w:rsidRDefault="000D6ADB" w:rsidP="006C5191">
      <w:pPr>
        <w:rPr>
          <w:lang w:val="en-AU"/>
        </w:rPr>
      </w:pPr>
      <w:r w:rsidRPr="000D119D">
        <w:rPr>
          <w:lang w:val="en-AU"/>
        </w:rPr>
        <w:t xml:space="preserve">PHNs provided navigation support </w:t>
      </w:r>
      <w:r w:rsidR="002B4F3D" w:rsidRPr="000D119D">
        <w:rPr>
          <w:lang w:val="en-AU"/>
        </w:rPr>
        <w:t>through various means to aid intake clinicians. In some instances, PHNs had detailed service map</w:t>
      </w:r>
      <w:r w:rsidR="001048EE" w:rsidRPr="000D119D">
        <w:rPr>
          <w:lang w:val="en-AU"/>
        </w:rPr>
        <w:t>s</w:t>
      </w:r>
      <w:r w:rsidR="002B4F3D" w:rsidRPr="000D119D">
        <w:rPr>
          <w:lang w:val="en-AU"/>
        </w:rPr>
        <w:t xml:space="preserve"> </w:t>
      </w:r>
      <w:r w:rsidR="00D52ADC" w:rsidRPr="000D119D">
        <w:rPr>
          <w:lang w:val="en-AU"/>
        </w:rPr>
        <w:t>that were interactive</w:t>
      </w:r>
      <w:r w:rsidR="00770A94" w:rsidRPr="000D119D">
        <w:rPr>
          <w:lang w:val="en-AU"/>
        </w:rPr>
        <w:t xml:space="preserve"> </w:t>
      </w:r>
      <w:r w:rsidR="005D7147" w:rsidRPr="000D119D">
        <w:rPr>
          <w:lang w:val="en-AU"/>
        </w:rPr>
        <w:t>and greatly</w:t>
      </w:r>
      <w:r w:rsidR="00897038" w:rsidRPr="000D119D">
        <w:rPr>
          <w:lang w:val="en-AU"/>
        </w:rPr>
        <w:t xml:space="preserve"> support</w:t>
      </w:r>
      <w:r w:rsidR="005D7147" w:rsidRPr="000D119D">
        <w:rPr>
          <w:lang w:val="en-AU"/>
        </w:rPr>
        <w:t>ed</w:t>
      </w:r>
      <w:r w:rsidR="00897038" w:rsidRPr="000D119D">
        <w:rPr>
          <w:lang w:val="en-AU"/>
        </w:rPr>
        <w:t xml:space="preserve"> clinicians i</w:t>
      </w:r>
      <w:r w:rsidR="00770A94" w:rsidRPr="000D119D">
        <w:rPr>
          <w:lang w:val="en-AU"/>
        </w:rPr>
        <w:t xml:space="preserve">n identifying services. Other PHNs had less sophisticated </w:t>
      </w:r>
      <w:r w:rsidR="002F5D36" w:rsidRPr="000D119D">
        <w:rPr>
          <w:lang w:val="en-AU"/>
        </w:rPr>
        <w:t>service documentation for their catchment</w:t>
      </w:r>
      <w:r w:rsidR="00A00FEF" w:rsidRPr="000D119D">
        <w:rPr>
          <w:lang w:val="en-AU"/>
        </w:rPr>
        <w:t xml:space="preserve"> (</w:t>
      </w:r>
      <w:r w:rsidR="00667FCA" w:rsidRPr="000D119D">
        <w:rPr>
          <w:lang w:val="en-AU"/>
        </w:rPr>
        <w:t>e.g</w:t>
      </w:r>
      <w:r w:rsidR="00896ADB" w:rsidRPr="000D119D">
        <w:rPr>
          <w:lang w:val="en-AU"/>
        </w:rPr>
        <w:t>.,</w:t>
      </w:r>
      <w:r w:rsidR="00A00FEF" w:rsidRPr="000D119D">
        <w:rPr>
          <w:lang w:val="en-AU"/>
        </w:rPr>
        <w:t xml:space="preserve"> an excel</w:t>
      </w:r>
      <w:r w:rsidR="006D14FE" w:rsidRPr="000D119D">
        <w:rPr>
          <w:lang w:val="en-AU"/>
        </w:rPr>
        <w:t xml:space="preserve"> document</w:t>
      </w:r>
      <w:r w:rsidR="00A00FEF" w:rsidRPr="000D119D">
        <w:rPr>
          <w:lang w:val="en-AU"/>
        </w:rPr>
        <w:t>)</w:t>
      </w:r>
      <w:r w:rsidR="00876584" w:rsidRPr="000D119D">
        <w:rPr>
          <w:lang w:val="en-AU"/>
        </w:rPr>
        <w:t xml:space="preserve"> that forced clinicians to </w:t>
      </w:r>
      <w:r w:rsidR="005D7147" w:rsidRPr="000D119D">
        <w:rPr>
          <w:lang w:val="en-AU"/>
        </w:rPr>
        <w:t>navigate</w:t>
      </w:r>
      <w:r w:rsidR="00876584" w:rsidRPr="000D119D">
        <w:rPr>
          <w:lang w:val="en-AU"/>
        </w:rPr>
        <w:t xml:space="preserve"> services through </w:t>
      </w:r>
      <w:r w:rsidR="00E3673E" w:rsidRPr="000D119D">
        <w:rPr>
          <w:lang w:val="en-AU"/>
        </w:rPr>
        <w:t xml:space="preserve">any means available to them, such as online search </w:t>
      </w:r>
      <w:r w:rsidR="002037C2" w:rsidRPr="000D119D">
        <w:rPr>
          <w:lang w:val="en-AU"/>
        </w:rPr>
        <w:t>engines</w:t>
      </w:r>
      <w:r w:rsidR="00E3673E" w:rsidRPr="000D119D">
        <w:rPr>
          <w:lang w:val="en-AU"/>
        </w:rPr>
        <w:t>.</w:t>
      </w:r>
    </w:p>
    <w:p w14:paraId="5D355E8B" w14:textId="0AC2103B" w:rsidR="00155559" w:rsidRPr="000D119D" w:rsidRDefault="008C774E" w:rsidP="006C5191">
      <w:pPr>
        <w:rPr>
          <w:lang w:val="en-AU"/>
        </w:rPr>
      </w:pPr>
      <w:r w:rsidRPr="000D119D">
        <w:rPr>
          <w:lang w:val="en-AU"/>
        </w:rPr>
        <w:t xml:space="preserve">However, </w:t>
      </w:r>
      <w:r w:rsidR="00770A94" w:rsidRPr="000D119D">
        <w:rPr>
          <w:lang w:val="en-AU"/>
        </w:rPr>
        <w:t>attempting</w:t>
      </w:r>
      <w:r w:rsidR="0051053C" w:rsidRPr="000D119D">
        <w:rPr>
          <w:lang w:val="en-AU"/>
        </w:rPr>
        <w:t xml:space="preserve"> to be a </w:t>
      </w:r>
      <w:r w:rsidR="00614A9D" w:rsidRPr="000D119D">
        <w:rPr>
          <w:lang w:val="en-AU"/>
        </w:rPr>
        <w:t>‘</w:t>
      </w:r>
      <w:r w:rsidR="0051053C" w:rsidRPr="000D119D">
        <w:rPr>
          <w:lang w:val="en-AU"/>
        </w:rPr>
        <w:t>front door</w:t>
      </w:r>
      <w:r w:rsidR="00614A9D" w:rsidRPr="000D119D">
        <w:rPr>
          <w:lang w:val="en-AU"/>
        </w:rPr>
        <w:t>’</w:t>
      </w:r>
      <w:r w:rsidR="0051053C" w:rsidRPr="000D119D">
        <w:rPr>
          <w:lang w:val="en-AU"/>
        </w:rPr>
        <w:t xml:space="preserve"> was ambitious</w:t>
      </w:r>
      <w:r w:rsidR="00770A94" w:rsidRPr="000D119D">
        <w:rPr>
          <w:lang w:val="en-AU"/>
        </w:rPr>
        <w:t xml:space="preserve"> and required</w:t>
      </w:r>
      <w:r w:rsidR="00CD3A61" w:rsidRPr="000D119D">
        <w:rPr>
          <w:lang w:val="en-AU"/>
        </w:rPr>
        <w:t xml:space="preserve"> greater</w:t>
      </w:r>
      <w:r w:rsidR="00770A94" w:rsidRPr="000D119D">
        <w:rPr>
          <w:lang w:val="en-AU"/>
        </w:rPr>
        <w:t xml:space="preserve"> consolidation of existing </w:t>
      </w:r>
      <w:r w:rsidR="00CD3A61" w:rsidRPr="000D119D">
        <w:rPr>
          <w:lang w:val="en-AU"/>
        </w:rPr>
        <w:t>‘1800’/’1300’</w:t>
      </w:r>
      <w:r w:rsidR="00155559" w:rsidRPr="000D119D">
        <w:rPr>
          <w:lang w:val="en-AU"/>
        </w:rPr>
        <w:t xml:space="preserve"> or other purported </w:t>
      </w:r>
      <w:r w:rsidR="00CD3A61" w:rsidRPr="000D119D">
        <w:rPr>
          <w:lang w:val="en-AU"/>
        </w:rPr>
        <w:t>’front door’ numbers</w:t>
      </w:r>
      <w:r w:rsidR="00EB626B" w:rsidRPr="000D119D">
        <w:rPr>
          <w:lang w:val="en-AU"/>
        </w:rPr>
        <w:t>, backed by a stronger promotion campaign.</w:t>
      </w:r>
      <w:r w:rsidR="00D05E4E" w:rsidRPr="000D119D">
        <w:rPr>
          <w:lang w:val="en-AU"/>
        </w:rPr>
        <w:t xml:space="preserve"> There are numerous </w:t>
      </w:r>
      <w:r w:rsidR="0035629F" w:rsidRPr="000D119D">
        <w:rPr>
          <w:lang w:val="en-AU"/>
        </w:rPr>
        <w:t>services</w:t>
      </w:r>
      <w:r w:rsidR="00D05E4E" w:rsidRPr="000D119D">
        <w:rPr>
          <w:lang w:val="en-AU"/>
        </w:rPr>
        <w:t xml:space="preserve"> that claim to be the ‘front door’</w:t>
      </w:r>
      <w:r w:rsidR="00231FB8" w:rsidRPr="000D119D">
        <w:rPr>
          <w:lang w:val="en-AU"/>
        </w:rPr>
        <w:t xml:space="preserve">, Victoria’s state-based local community </w:t>
      </w:r>
      <w:r w:rsidR="00324A2A" w:rsidRPr="000D119D">
        <w:rPr>
          <w:lang w:val="en-AU"/>
        </w:rPr>
        <w:t>hub</w:t>
      </w:r>
      <w:r w:rsidR="00231FB8" w:rsidRPr="000D119D">
        <w:rPr>
          <w:lang w:val="en-AU"/>
        </w:rPr>
        <w:t>s being the latest to announce as such</w:t>
      </w:r>
      <w:r w:rsidR="00D05E4E" w:rsidRPr="000D119D">
        <w:rPr>
          <w:lang w:val="en-AU"/>
        </w:rPr>
        <w:t>.</w:t>
      </w:r>
      <w:r w:rsidR="002749DD" w:rsidRPr="000D119D">
        <w:rPr>
          <w:rStyle w:val="FootnoteReference"/>
          <w:rFonts w:eastAsiaTheme="minorEastAsia"/>
          <w:lang w:val="en-AU"/>
        </w:rPr>
        <w:footnoteReference w:id="16"/>
      </w:r>
      <w:r w:rsidR="00D05E4E" w:rsidRPr="000D119D">
        <w:rPr>
          <w:lang w:val="en-AU"/>
        </w:rPr>
        <w:t xml:space="preserve"> While </w:t>
      </w:r>
      <w:r w:rsidR="00115327" w:rsidRPr="000D119D">
        <w:rPr>
          <w:lang w:val="en-AU"/>
        </w:rPr>
        <w:t>multiple services</w:t>
      </w:r>
      <w:r w:rsidR="003F674D" w:rsidRPr="000D119D">
        <w:rPr>
          <w:lang w:val="en-AU"/>
        </w:rPr>
        <w:t xml:space="preserve"> support</w:t>
      </w:r>
      <w:r w:rsidR="007242B3" w:rsidRPr="000D119D">
        <w:rPr>
          <w:lang w:val="en-AU"/>
        </w:rPr>
        <w:t>ing</w:t>
      </w:r>
      <w:r w:rsidR="003F674D" w:rsidRPr="000D119D">
        <w:rPr>
          <w:lang w:val="en-AU"/>
        </w:rPr>
        <w:t xml:space="preserve"> navigation and service access is not an</w:t>
      </w:r>
      <w:r w:rsidR="00D05E4E" w:rsidRPr="000D119D">
        <w:rPr>
          <w:lang w:val="en-AU"/>
        </w:rPr>
        <w:t xml:space="preserve"> </w:t>
      </w:r>
      <w:proofErr w:type="gramStart"/>
      <w:r w:rsidR="00D05E4E" w:rsidRPr="000D119D">
        <w:rPr>
          <w:lang w:val="en-AU"/>
        </w:rPr>
        <w:t xml:space="preserve">issue in itself, </w:t>
      </w:r>
      <w:r w:rsidR="003F674D" w:rsidRPr="000D119D">
        <w:rPr>
          <w:lang w:val="en-AU"/>
        </w:rPr>
        <w:t>conflicting</w:t>
      </w:r>
      <w:proofErr w:type="gramEnd"/>
      <w:r w:rsidR="003F674D" w:rsidRPr="000D119D">
        <w:rPr>
          <w:lang w:val="en-AU"/>
        </w:rPr>
        <w:t xml:space="preserve"> ‘front door’ claims m</w:t>
      </w:r>
      <w:r w:rsidR="00115327" w:rsidRPr="000D119D">
        <w:rPr>
          <w:lang w:val="en-AU"/>
        </w:rPr>
        <w:t xml:space="preserve">ay </w:t>
      </w:r>
      <w:r w:rsidR="002749DD" w:rsidRPr="000D119D">
        <w:rPr>
          <w:lang w:val="en-AU"/>
        </w:rPr>
        <w:t>confuse</w:t>
      </w:r>
      <w:r w:rsidR="00B43BFB" w:rsidRPr="000D119D">
        <w:rPr>
          <w:lang w:val="en-AU"/>
        </w:rPr>
        <w:t xml:space="preserve"> </w:t>
      </w:r>
      <w:r w:rsidR="00F40845" w:rsidRPr="000D119D">
        <w:rPr>
          <w:lang w:val="en-AU"/>
        </w:rPr>
        <w:t>participants</w:t>
      </w:r>
      <w:r w:rsidR="00B43BFB" w:rsidRPr="000D119D">
        <w:rPr>
          <w:lang w:val="en-AU"/>
        </w:rPr>
        <w:t xml:space="preserve"> </w:t>
      </w:r>
      <w:r w:rsidR="002749DD" w:rsidRPr="000D119D">
        <w:rPr>
          <w:lang w:val="en-AU"/>
        </w:rPr>
        <w:t>and delay the time to which they seek</w:t>
      </w:r>
      <w:r w:rsidR="00B43BFB" w:rsidRPr="000D119D">
        <w:rPr>
          <w:lang w:val="en-AU"/>
        </w:rPr>
        <w:t xml:space="preserve"> help.</w:t>
      </w:r>
    </w:p>
    <w:p w14:paraId="1BD9AB9C" w14:textId="604594AF" w:rsidR="0051053C" w:rsidRPr="000D119D" w:rsidRDefault="00B43BFB" w:rsidP="006C5191">
      <w:pPr>
        <w:rPr>
          <w:lang w:val="en-AU"/>
        </w:rPr>
      </w:pPr>
      <w:r w:rsidRPr="000D119D">
        <w:rPr>
          <w:lang w:val="en-AU"/>
        </w:rPr>
        <w:t xml:space="preserve">In addition, </w:t>
      </w:r>
      <w:proofErr w:type="spellStart"/>
      <w:r w:rsidR="0077610B" w:rsidRPr="001765F4">
        <w:rPr>
          <w:rStyle w:val="Emphasis"/>
        </w:rPr>
        <w:t>HeadtoHelp</w:t>
      </w:r>
      <w:proofErr w:type="spellEnd"/>
      <w:r w:rsidR="0077610B" w:rsidRPr="000D119D">
        <w:rPr>
          <w:lang w:val="en-AU"/>
        </w:rPr>
        <w:t xml:space="preserve"> needed better </w:t>
      </w:r>
      <w:r w:rsidR="00CD3A61" w:rsidRPr="000D119D">
        <w:rPr>
          <w:lang w:val="en-AU"/>
        </w:rPr>
        <w:t xml:space="preserve">promotion to ensure </w:t>
      </w:r>
      <w:r w:rsidR="00F40845" w:rsidRPr="000D119D">
        <w:rPr>
          <w:lang w:val="en-AU"/>
        </w:rPr>
        <w:t>participants</w:t>
      </w:r>
      <w:r w:rsidR="00CD3A61" w:rsidRPr="000D119D">
        <w:rPr>
          <w:lang w:val="en-AU"/>
        </w:rPr>
        <w:t xml:space="preserve"> and service providers were aware of </w:t>
      </w:r>
      <w:r w:rsidR="0077610B" w:rsidRPr="000D119D">
        <w:rPr>
          <w:lang w:val="en-AU"/>
        </w:rPr>
        <w:t>the service and</w:t>
      </w:r>
      <w:r w:rsidR="00CD3A61" w:rsidRPr="000D119D">
        <w:rPr>
          <w:lang w:val="en-AU"/>
        </w:rPr>
        <w:t xml:space="preserve"> its offerings. </w:t>
      </w:r>
      <w:r w:rsidR="0077610B" w:rsidRPr="000D119D">
        <w:rPr>
          <w:lang w:val="en-AU"/>
        </w:rPr>
        <w:t>This is discussed further in Section</w:t>
      </w:r>
      <w:r w:rsidR="0077610B" w:rsidRPr="000D119D" w:rsidDel="009E237A">
        <w:rPr>
          <w:lang w:val="en-AU"/>
        </w:rPr>
        <w:t xml:space="preserve"> </w:t>
      </w:r>
      <w:r w:rsidR="00D86B52" w:rsidRPr="000D119D">
        <w:rPr>
          <w:lang w:val="en-AU"/>
        </w:rPr>
        <w:fldChar w:fldCharType="begin"/>
      </w:r>
      <w:r w:rsidR="00D86B52" w:rsidRPr="000D119D">
        <w:rPr>
          <w:lang w:val="en-AU"/>
        </w:rPr>
        <w:instrText xml:space="preserve"> REF _Ref96961450 \r \h </w:instrText>
      </w:r>
      <w:r w:rsidR="00D86B52" w:rsidRPr="000D119D">
        <w:rPr>
          <w:lang w:val="en-AU"/>
        </w:rPr>
      </w:r>
      <w:r w:rsidR="00D86B52" w:rsidRPr="000D119D">
        <w:rPr>
          <w:lang w:val="en-AU"/>
        </w:rPr>
        <w:fldChar w:fldCharType="separate"/>
      </w:r>
      <w:r w:rsidR="00562174">
        <w:rPr>
          <w:lang w:val="en-AU"/>
        </w:rPr>
        <w:t>4.1.7</w:t>
      </w:r>
      <w:r w:rsidR="00D86B52" w:rsidRPr="000D119D">
        <w:rPr>
          <w:lang w:val="en-AU"/>
        </w:rPr>
        <w:fldChar w:fldCharType="end"/>
      </w:r>
      <w:r w:rsidR="002A7F34" w:rsidRPr="000D119D">
        <w:rPr>
          <w:lang w:val="en-AU"/>
        </w:rPr>
        <w:t>.</w:t>
      </w:r>
    </w:p>
    <w:p w14:paraId="3B476E35" w14:textId="4DC3E05C" w:rsidR="00847D9E" w:rsidRDefault="00847D9E" w:rsidP="00252DAB">
      <w:pPr>
        <w:pStyle w:val="Heading2"/>
        <w:rPr>
          <w:rFonts w:eastAsiaTheme="minorEastAsia"/>
        </w:rPr>
      </w:pPr>
      <w:bookmarkStart w:id="33" w:name="_Ref96612404"/>
      <w:bookmarkStart w:id="34" w:name="_Toc99650336"/>
      <w:bookmarkStart w:id="35" w:name="_Ref79054968"/>
      <w:bookmarkStart w:id="36" w:name="_Ref79394440"/>
      <w:bookmarkStart w:id="37" w:name="_Ref79394494"/>
      <w:bookmarkStart w:id="38" w:name="_Ref79394545"/>
      <w:bookmarkStart w:id="39" w:name="_Ref79394609"/>
      <w:r w:rsidRPr="000D119D">
        <w:rPr>
          <w:rFonts w:eastAsiaTheme="minorEastAsia"/>
        </w:rPr>
        <w:t>How effective was the establishment of the program?</w:t>
      </w:r>
      <w:bookmarkEnd w:id="33"/>
      <w:bookmarkEnd w:id="34"/>
    </w:p>
    <w:p w14:paraId="6E82FB17" w14:textId="6749384B" w:rsidR="001765F4" w:rsidRPr="001765F4" w:rsidRDefault="00E6136D" w:rsidP="001765F4">
      <w:pPr>
        <w:pStyle w:val="Callout"/>
      </w:pPr>
      <w:r w:rsidRPr="006F460C">
        <w:rPr>
          <w:b/>
          <w:color w:val="25B3E0" w:themeColor="accent6"/>
        </w:rPr>
        <w:t>Key findings:</w:t>
      </w:r>
      <w:r w:rsidR="001765F4" w:rsidRPr="001765F4">
        <w:t xml:space="preserve"> </w:t>
      </w:r>
      <w:proofErr w:type="spellStart"/>
      <w:r w:rsidR="001765F4" w:rsidRPr="001765F4">
        <w:rPr>
          <w:rStyle w:val="Emphasis"/>
        </w:rPr>
        <w:t>HeadtoHelp</w:t>
      </w:r>
      <w:proofErr w:type="spellEnd"/>
      <w:r w:rsidR="001765F4" w:rsidRPr="000D119D">
        <w:rPr>
          <w:rFonts w:eastAsiaTheme="minorEastAsia"/>
        </w:rPr>
        <w:t xml:space="preserve"> hubs were rapidly established </w:t>
      </w:r>
      <w:r w:rsidR="001765F4" w:rsidRPr="000D119D">
        <w:t xml:space="preserve">in a commendable display of PHN collaboration and effort. The approach to commissioning was pragmatic and effective, although some components of contracts could be improved, and the requirement for rapid establishment resulted more in movement of </w:t>
      </w:r>
      <w:r w:rsidR="001765F4" w:rsidRPr="000D119D">
        <w:rPr>
          <w:rFonts w:eastAsiaTheme="minorEastAsia"/>
        </w:rPr>
        <w:t xml:space="preserve">existing staff across the system, rather than a net increase in staff for Victoria. Positively, </w:t>
      </w:r>
      <w:proofErr w:type="spellStart"/>
      <w:r w:rsidR="001765F4" w:rsidRPr="001765F4">
        <w:rPr>
          <w:rStyle w:val="Emphasis"/>
        </w:rPr>
        <w:t>HeadtoHelp</w:t>
      </w:r>
      <w:proofErr w:type="spellEnd"/>
      <w:r w:rsidR="001765F4" w:rsidRPr="000D119D">
        <w:rPr>
          <w:rFonts w:eastAsiaTheme="minorEastAsia"/>
          <w:i/>
          <w:iCs/>
        </w:rPr>
        <w:t xml:space="preserve"> </w:t>
      </w:r>
      <w:r w:rsidR="001765F4" w:rsidRPr="000D119D">
        <w:rPr>
          <w:rFonts w:eastAsiaTheme="minorEastAsia"/>
        </w:rPr>
        <w:t xml:space="preserve">drove an unprecedented degree of collaboration – through both governance and goodwill – that PHNs are keen to replicate in other programs. In particular, the shared-service model was positively viewed by stakeholders as a pragmatic and effective structure to support establishment, that entrenched trust, joint </w:t>
      </w:r>
      <w:proofErr w:type="gramStart"/>
      <w:r w:rsidR="001765F4" w:rsidRPr="000D119D">
        <w:rPr>
          <w:rFonts w:eastAsiaTheme="minorEastAsia"/>
        </w:rPr>
        <w:t>ownership</w:t>
      </w:r>
      <w:proofErr w:type="gramEnd"/>
      <w:r w:rsidR="001765F4" w:rsidRPr="000D119D">
        <w:rPr>
          <w:rFonts w:eastAsiaTheme="minorEastAsia"/>
        </w:rPr>
        <w:t xml:space="preserve"> and collaborative ways of working.</w:t>
      </w:r>
    </w:p>
    <w:p w14:paraId="0A9252BB" w14:textId="0BB7666B" w:rsidR="004A5367" w:rsidRPr="000D119D" w:rsidRDefault="00763088" w:rsidP="00F972BD">
      <w:pPr>
        <w:pStyle w:val="Heading3"/>
        <w:rPr>
          <w:rFonts w:eastAsiaTheme="minorEastAsia"/>
        </w:rPr>
      </w:pPr>
      <w:bookmarkStart w:id="40" w:name="_Toc99650337"/>
      <w:bookmarkEnd w:id="35"/>
      <w:bookmarkEnd w:id="36"/>
      <w:bookmarkEnd w:id="37"/>
      <w:bookmarkEnd w:id="38"/>
      <w:bookmarkEnd w:id="39"/>
      <w:r w:rsidRPr="000D119D">
        <w:rPr>
          <w:rFonts w:eastAsiaTheme="minorEastAsia"/>
        </w:rPr>
        <w:t>Hub commissioning and set-up</w:t>
      </w:r>
      <w:bookmarkEnd w:id="40"/>
    </w:p>
    <w:p w14:paraId="4DEF2881" w14:textId="69FDE68C" w:rsidR="0005218E" w:rsidRPr="000D119D" w:rsidRDefault="001370A6" w:rsidP="00BE0860">
      <w:pPr>
        <w:pStyle w:val="Heading4"/>
        <w:rPr>
          <w:rFonts w:eastAsiaTheme="minorEastAsia"/>
        </w:rPr>
      </w:pPr>
      <w:r w:rsidRPr="000D119D">
        <w:t>Fifteen</w:t>
      </w:r>
      <w:r w:rsidR="006B1CC1" w:rsidRPr="000D119D">
        <w:t xml:space="preserve"> </w:t>
      </w:r>
      <w:proofErr w:type="spellStart"/>
      <w:r w:rsidR="0005218E" w:rsidRPr="000D119D">
        <w:rPr>
          <w:i/>
        </w:rPr>
        <w:t>HeadtoHelp</w:t>
      </w:r>
      <w:proofErr w:type="spellEnd"/>
      <w:r w:rsidR="0005218E" w:rsidRPr="000D119D">
        <w:t xml:space="preserve"> </w:t>
      </w:r>
      <w:r w:rsidR="00324A2A" w:rsidRPr="000D119D">
        <w:t>hub</w:t>
      </w:r>
      <w:r w:rsidR="0005218E" w:rsidRPr="000D119D">
        <w:t xml:space="preserve">s </w:t>
      </w:r>
      <w:r w:rsidR="00F15241" w:rsidRPr="000D119D">
        <w:t>across six PHNs</w:t>
      </w:r>
      <w:r w:rsidR="0005218E" w:rsidRPr="000D119D">
        <w:t xml:space="preserve"> were stood up in less than four weeks</w:t>
      </w:r>
    </w:p>
    <w:p w14:paraId="2B555C4E" w14:textId="462ABD16" w:rsidR="00B10B6D" w:rsidRPr="000D119D" w:rsidRDefault="00641398" w:rsidP="00B10B6D">
      <w:pPr>
        <w:rPr>
          <w:lang w:val="en-AU"/>
        </w:rPr>
      </w:pPr>
      <w:r>
        <w:rPr>
          <w:lang w:val="en-AU"/>
        </w:rPr>
        <w:t>The Department</w:t>
      </w:r>
      <w:r w:rsidR="00B10B6D" w:rsidRPr="000D119D">
        <w:rPr>
          <w:lang w:val="en-AU"/>
        </w:rPr>
        <w:t xml:space="preserve"> provided funding for PHNs in metropolitan areas to each establish three </w:t>
      </w:r>
      <w:r w:rsidR="000667BD" w:rsidRPr="000D119D">
        <w:rPr>
          <w:lang w:val="en-AU"/>
        </w:rPr>
        <w:t>h</w:t>
      </w:r>
      <w:r w:rsidR="00B10B6D" w:rsidRPr="000D119D">
        <w:rPr>
          <w:lang w:val="en-AU"/>
        </w:rPr>
        <w:t xml:space="preserve">ubs and </w:t>
      </w:r>
      <w:r w:rsidR="00DE0C24" w:rsidRPr="000D119D">
        <w:rPr>
          <w:lang w:val="en-AU"/>
        </w:rPr>
        <w:t xml:space="preserve">to </w:t>
      </w:r>
      <w:r w:rsidR="00B10B6D" w:rsidRPr="000D119D">
        <w:rPr>
          <w:lang w:val="en-AU"/>
        </w:rPr>
        <w:t xml:space="preserve">PHNs in rural/regional areas to each establish two </w:t>
      </w:r>
      <w:r w:rsidR="00324A2A" w:rsidRPr="000D119D">
        <w:rPr>
          <w:lang w:val="en-AU"/>
        </w:rPr>
        <w:t>hub</w:t>
      </w:r>
      <w:r w:rsidR="00B10B6D" w:rsidRPr="000D119D">
        <w:rPr>
          <w:lang w:val="en-AU"/>
        </w:rPr>
        <w:t>s</w:t>
      </w:r>
      <w:r w:rsidR="00B90919" w:rsidRPr="000D119D">
        <w:rPr>
          <w:lang w:val="en-AU"/>
        </w:rPr>
        <w:t xml:space="preserve"> (</w:t>
      </w:r>
      <w:r w:rsidR="00B90919" w:rsidRPr="000D119D">
        <w:rPr>
          <w:lang w:val="en-AU"/>
        </w:rPr>
        <w:fldChar w:fldCharType="begin"/>
      </w:r>
      <w:r w:rsidR="00B90919">
        <w:instrText xml:space="preserve"> REF _Ref78967184 \h </w:instrText>
      </w:r>
      <w:r w:rsidR="00B90919" w:rsidRPr="000D119D">
        <w:rPr>
          <w:lang w:val="en-AU"/>
        </w:rPr>
      </w:r>
      <w:r w:rsidR="00B90919" w:rsidRPr="000D119D">
        <w:rPr>
          <w:lang w:val="en-AU"/>
        </w:rPr>
        <w:fldChar w:fldCharType="separate"/>
      </w:r>
      <w:r w:rsidR="00562174" w:rsidRPr="000D119D">
        <w:t xml:space="preserve">Figure </w:t>
      </w:r>
      <w:r w:rsidR="00562174">
        <w:rPr>
          <w:noProof/>
        </w:rPr>
        <w:t>7</w:t>
      </w:r>
      <w:r w:rsidR="00B90919" w:rsidRPr="000D119D">
        <w:rPr>
          <w:lang w:val="en-AU"/>
        </w:rPr>
        <w:fldChar w:fldCharType="end"/>
      </w:r>
      <w:r w:rsidR="00B90919" w:rsidRPr="000D119D">
        <w:rPr>
          <w:lang w:val="en-AU"/>
        </w:rPr>
        <w:t>)</w:t>
      </w:r>
      <w:r w:rsidR="00B10B6D" w:rsidRPr="000D119D">
        <w:rPr>
          <w:lang w:val="en-AU"/>
        </w:rPr>
        <w:t xml:space="preserve">. </w:t>
      </w:r>
      <w:r w:rsidR="00732547" w:rsidRPr="000D119D">
        <w:rPr>
          <w:lang w:val="en-AU"/>
        </w:rPr>
        <w:t xml:space="preserve">A total of 15 </w:t>
      </w:r>
      <w:proofErr w:type="spellStart"/>
      <w:r w:rsidR="00B10B6D" w:rsidRPr="00E6136D">
        <w:rPr>
          <w:rStyle w:val="Emphasis"/>
        </w:rPr>
        <w:t>HeadtoHelp</w:t>
      </w:r>
      <w:proofErr w:type="spellEnd"/>
      <w:r w:rsidR="00B10B6D" w:rsidRPr="000D119D">
        <w:rPr>
          <w:lang w:val="en-AU"/>
        </w:rPr>
        <w:t xml:space="preserve"> </w:t>
      </w:r>
      <w:r w:rsidR="000A0F17" w:rsidRPr="000D119D">
        <w:rPr>
          <w:lang w:val="en-AU"/>
        </w:rPr>
        <w:t>h</w:t>
      </w:r>
      <w:r w:rsidR="00B10B6D" w:rsidRPr="000D119D">
        <w:rPr>
          <w:lang w:val="en-AU"/>
        </w:rPr>
        <w:t>ubs were stood up in less than four weeks.</w:t>
      </w:r>
      <w:r w:rsidR="00282691" w:rsidRPr="000D119D">
        <w:rPr>
          <w:lang w:val="en-AU"/>
        </w:rPr>
        <w:t xml:space="preserve"> </w:t>
      </w:r>
      <w:r w:rsidR="00330580" w:rsidRPr="000D119D">
        <w:rPr>
          <w:lang w:val="en-AU"/>
        </w:rPr>
        <w:t xml:space="preserve">Nine satellites </w:t>
      </w:r>
      <w:r w:rsidR="00282691" w:rsidRPr="000D119D">
        <w:rPr>
          <w:lang w:val="en-AU"/>
        </w:rPr>
        <w:t xml:space="preserve">were </w:t>
      </w:r>
      <w:r w:rsidR="00EE4A8E" w:rsidRPr="000D119D">
        <w:rPr>
          <w:lang w:val="en-AU"/>
        </w:rPr>
        <w:t>subsequently</w:t>
      </w:r>
      <w:r w:rsidR="00282691" w:rsidRPr="000D119D">
        <w:rPr>
          <w:lang w:val="en-AU"/>
        </w:rPr>
        <w:t xml:space="preserve"> established based on discretionary spending of a flexible tranche of funding during implementation, s</w:t>
      </w:r>
      <w:r w:rsidR="00282691" w:rsidRPr="00D95A21">
        <w:rPr>
          <w:lang w:val="en-AU"/>
        </w:rPr>
        <w:t>ee Section</w:t>
      </w:r>
      <w:r w:rsidR="00282691">
        <w:rPr>
          <w:lang w:val="en-AU"/>
        </w:rPr>
        <w:t xml:space="preserve"> </w:t>
      </w:r>
      <w:r w:rsidR="00D95A21">
        <w:rPr>
          <w:highlight w:val="yellow"/>
          <w:lang w:val="en-AU"/>
        </w:rPr>
        <w:fldChar w:fldCharType="begin"/>
      </w:r>
      <w:r w:rsidR="00D95A21">
        <w:rPr>
          <w:lang w:val="en-AU"/>
        </w:rPr>
        <w:instrText xml:space="preserve"> REF _Ref97009260 \r \h </w:instrText>
      </w:r>
      <w:r w:rsidR="00D95A21">
        <w:rPr>
          <w:highlight w:val="yellow"/>
          <w:lang w:val="en-AU"/>
        </w:rPr>
      </w:r>
      <w:r w:rsidR="00D95A21">
        <w:rPr>
          <w:highlight w:val="yellow"/>
          <w:lang w:val="en-AU"/>
        </w:rPr>
        <w:fldChar w:fldCharType="separate"/>
      </w:r>
      <w:r w:rsidR="00562174">
        <w:rPr>
          <w:lang w:val="en-AU"/>
        </w:rPr>
        <w:t>4.1.6</w:t>
      </w:r>
      <w:r w:rsidR="00D95A21">
        <w:rPr>
          <w:highlight w:val="yellow"/>
          <w:lang w:val="en-AU"/>
        </w:rPr>
        <w:fldChar w:fldCharType="end"/>
      </w:r>
      <w:r w:rsidR="00982D39" w:rsidRPr="00252111">
        <w:rPr>
          <w:lang w:val="en-AU"/>
        </w:rPr>
        <w:t>.</w:t>
      </w:r>
    </w:p>
    <w:p w14:paraId="5A7469C5" w14:textId="05B2BCB8" w:rsidR="005B719E" w:rsidRPr="000D119D" w:rsidRDefault="005B719E" w:rsidP="00B10B6D">
      <w:pPr>
        <w:rPr>
          <w:lang w:val="en-AU"/>
        </w:rPr>
      </w:pPr>
      <w:r w:rsidRPr="000D119D">
        <w:rPr>
          <w:lang w:val="en-AU"/>
        </w:rPr>
        <w:t>Hubs were located across four different settings</w:t>
      </w:r>
      <w:r w:rsidR="00932F18" w:rsidRPr="000D119D">
        <w:rPr>
          <w:lang w:val="en-AU"/>
        </w:rPr>
        <w:t xml:space="preserve">: general practices, community mental health services, </w:t>
      </w:r>
      <w:proofErr w:type="gramStart"/>
      <w:r w:rsidR="00932F18" w:rsidRPr="000D119D">
        <w:rPr>
          <w:lang w:val="en-AU"/>
        </w:rPr>
        <w:t>hospitals</w:t>
      </w:r>
      <w:proofErr w:type="gramEnd"/>
      <w:r w:rsidR="00932F18" w:rsidRPr="000D119D">
        <w:rPr>
          <w:lang w:val="en-AU"/>
        </w:rPr>
        <w:t xml:space="preserve"> and </w:t>
      </w:r>
      <w:r w:rsidR="00FD15B7" w:rsidRPr="000D119D">
        <w:rPr>
          <w:lang w:val="en-AU"/>
        </w:rPr>
        <w:t xml:space="preserve">other mental health service practices, with the majority being located within a general practice setting as illustrated in </w:t>
      </w:r>
      <w:r w:rsidR="00C31DBE">
        <w:rPr>
          <w:lang w:val="en-AU"/>
        </w:rPr>
        <w:fldChar w:fldCharType="begin"/>
      </w:r>
      <w:r w:rsidR="00C31DBE">
        <w:rPr>
          <w:lang w:val="en-AU"/>
        </w:rPr>
        <w:instrText xml:space="preserve"> REF _Ref78967184 \h </w:instrText>
      </w:r>
      <w:r w:rsidR="00C31DBE">
        <w:rPr>
          <w:lang w:val="en-AU"/>
        </w:rPr>
      </w:r>
      <w:r w:rsidR="00C31DBE">
        <w:rPr>
          <w:lang w:val="en-AU"/>
        </w:rPr>
        <w:fldChar w:fldCharType="separate"/>
      </w:r>
      <w:r w:rsidR="00562174" w:rsidRPr="000D119D">
        <w:t xml:space="preserve">Figure </w:t>
      </w:r>
      <w:r w:rsidR="00562174">
        <w:rPr>
          <w:noProof/>
        </w:rPr>
        <w:t>7</w:t>
      </w:r>
      <w:r w:rsidR="00C31DBE">
        <w:rPr>
          <w:lang w:val="en-AU"/>
        </w:rPr>
        <w:fldChar w:fldCharType="end"/>
      </w:r>
      <w:r w:rsidR="00FD15B7" w:rsidRPr="000D119D">
        <w:rPr>
          <w:lang w:val="en-AU"/>
        </w:rPr>
        <w:t>.</w:t>
      </w:r>
    </w:p>
    <w:p w14:paraId="6E0BCF7B" w14:textId="7FA22FC4" w:rsidR="006673AA" w:rsidRPr="000D119D" w:rsidRDefault="006673AA" w:rsidP="006673AA">
      <w:pPr>
        <w:pStyle w:val="Caption"/>
      </w:pPr>
      <w:bookmarkStart w:id="41" w:name="_Ref78967184"/>
      <w:r w:rsidRPr="000D119D">
        <w:lastRenderedPageBreak/>
        <w:t xml:space="preserve">Figure </w:t>
      </w:r>
      <w:r w:rsidR="00C90990">
        <w:fldChar w:fldCharType="begin"/>
      </w:r>
      <w:r w:rsidR="00C90990">
        <w:instrText xml:space="preserve"> SEQ Figure \* ARABIC </w:instrText>
      </w:r>
      <w:r w:rsidR="00C90990">
        <w:fldChar w:fldCharType="separate"/>
      </w:r>
      <w:r w:rsidR="00562174">
        <w:rPr>
          <w:noProof/>
        </w:rPr>
        <w:t>7</w:t>
      </w:r>
      <w:r w:rsidR="00C90990">
        <w:fldChar w:fldCharType="end"/>
      </w:r>
      <w:bookmarkEnd w:id="41"/>
      <w:r w:rsidRPr="000D119D">
        <w:t xml:space="preserve"> | Map of </w:t>
      </w:r>
      <w:proofErr w:type="spellStart"/>
      <w:r w:rsidRPr="000D119D">
        <w:rPr>
          <w:i/>
        </w:rPr>
        <w:t>HeadtoHelp</w:t>
      </w:r>
      <w:proofErr w:type="spellEnd"/>
      <w:r w:rsidRPr="000D119D">
        <w:t xml:space="preserve"> hubs</w:t>
      </w:r>
      <w:r w:rsidR="00B111ED" w:rsidRPr="000D119D">
        <w:t xml:space="preserve"> and satellites</w:t>
      </w:r>
    </w:p>
    <w:p w14:paraId="34AD013D" w14:textId="106980B5" w:rsidR="00845850" w:rsidRPr="000D119D" w:rsidRDefault="00351EFE" w:rsidP="00356838">
      <w:pPr>
        <w:pStyle w:val="CommentText"/>
        <w:rPr>
          <w:lang w:val="en-AU"/>
        </w:rPr>
      </w:pPr>
      <w:r w:rsidRPr="00351EFE">
        <w:rPr>
          <w:noProof/>
        </w:rPr>
        <w:drawing>
          <wp:inline distT="0" distB="0" distL="0" distR="0" wp14:anchorId="48422F8B" wp14:editId="1BED24AB">
            <wp:extent cx="5670550" cy="5674995"/>
            <wp:effectExtent l="0" t="0" r="6350" b="1905"/>
            <wp:docPr id="30" name="Picture 30" descr="Figure 7 is an image of a map showing the Head to Help hubs and satellites locations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7 is an image of a map showing the Head to Help hubs and satellites locations in Victor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70550" cy="5674995"/>
                    </a:xfrm>
                    <a:prstGeom prst="rect">
                      <a:avLst/>
                    </a:prstGeom>
                    <a:noFill/>
                    <a:ln>
                      <a:noFill/>
                    </a:ln>
                  </pic:spPr>
                </pic:pic>
              </a:graphicData>
            </a:graphic>
          </wp:inline>
        </w:drawing>
      </w:r>
    </w:p>
    <w:p w14:paraId="3369FF33" w14:textId="1ED5D9AB" w:rsidR="002F5C9B" w:rsidRPr="000D119D" w:rsidRDefault="00FB5651" w:rsidP="008D7349">
      <w:pPr>
        <w:rPr>
          <w:lang w:val="en-AU"/>
        </w:rPr>
      </w:pPr>
      <w:r w:rsidRPr="000D119D">
        <w:rPr>
          <w:lang w:val="en-AU"/>
        </w:rPr>
        <w:t xml:space="preserve">Given the brief timeline, PHNs </w:t>
      </w:r>
      <w:r w:rsidR="00241C91" w:rsidRPr="000D119D">
        <w:rPr>
          <w:lang w:val="en-AU"/>
        </w:rPr>
        <w:t xml:space="preserve">took a pragmatic approach to commissioning </w:t>
      </w:r>
      <w:r w:rsidRPr="000D119D">
        <w:rPr>
          <w:lang w:val="en-AU"/>
        </w:rPr>
        <w:t>service providers</w:t>
      </w:r>
      <w:r w:rsidR="00241C91" w:rsidRPr="000D119D">
        <w:rPr>
          <w:lang w:val="en-AU"/>
        </w:rPr>
        <w:t xml:space="preserve">, prioritising </w:t>
      </w:r>
      <w:r w:rsidR="00F642C8" w:rsidRPr="000D119D">
        <w:rPr>
          <w:lang w:val="en-AU"/>
        </w:rPr>
        <w:t xml:space="preserve">providers </w:t>
      </w:r>
      <w:r w:rsidRPr="000D119D">
        <w:rPr>
          <w:lang w:val="en-AU"/>
        </w:rPr>
        <w:t xml:space="preserve">that already had access to a </w:t>
      </w:r>
      <w:r w:rsidR="00F642C8" w:rsidRPr="000D119D">
        <w:rPr>
          <w:lang w:val="en-AU"/>
        </w:rPr>
        <w:t xml:space="preserve">physical </w:t>
      </w:r>
      <w:r w:rsidRPr="000D119D">
        <w:rPr>
          <w:lang w:val="en-AU"/>
        </w:rPr>
        <w:t xml:space="preserve">space or were able to co-locate </w:t>
      </w:r>
      <w:r w:rsidR="00241C91" w:rsidRPr="000D119D">
        <w:rPr>
          <w:lang w:val="en-AU"/>
        </w:rPr>
        <w:t>quickly</w:t>
      </w:r>
      <w:r w:rsidRPr="000D119D">
        <w:rPr>
          <w:lang w:val="en-AU"/>
        </w:rPr>
        <w:t xml:space="preserve">. </w:t>
      </w:r>
      <w:r w:rsidR="00412538" w:rsidRPr="000D119D">
        <w:rPr>
          <w:lang w:val="en-AU"/>
        </w:rPr>
        <w:t xml:space="preserve">Commissioning </w:t>
      </w:r>
      <w:r w:rsidR="00B360A7" w:rsidRPr="000D119D">
        <w:rPr>
          <w:lang w:val="en-AU"/>
        </w:rPr>
        <w:t xml:space="preserve">approaches </w:t>
      </w:r>
      <w:r w:rsidR="0092321A" w:rsidRPr="000D119D">
        <w:rPr>
          <w:lang w:val="en-AU"/>
        </w:rPr>
        <w:t>are</w:t>
      </w:r>
      <w:r w:rsidR="00412538" w:rsidRPr="000D119D">
        <w:rPr>
          <w:lang w:val="en-AU"/>
        </w:rPr>
        <w:t xml:space="preserve"> discussed </w:t>
      </w:r>
      <w:r w:rsidR="007D0041" w:rsidRPr="000D119D">
        <w:rPr>
          <w:lang w:val="en-AU"/>
        </w:rPr>
        <w:t>below</w:t>
      </w:r>
      <w:r w:rsidR="00245723" w:rsidRPr="000D119D">
        <w:rPr>
          <w:lang w:val="en-AU"/>
        </w:rPr>
        <w:t>.</w:t>
      </w:r>
    </w:p>
    <w:p w14:paraId="71B71019" w14:textId="57A155C1" w:rsidR="00F1668E" w:rsidRPr="000D119D" w:rsidRDefault="00456212" w:rsidP="008D7349">
      <w:pPr>
        <w:rPr>
          <w:rFonts w:eastAsia="Times New Roman"/>
          <w:szCs w:val="19"/>
          <w:lang w:val="en-AU"/>
        </w:rPr>
      </w:pPr>
      <w:r w:rsidRPr="004846E4">
        <w:t xml:space="preserve">The </w:t>
      </w:r>
      <w:r w:rsidR="00F1668E" w:rsidRPr="004846E4">
        <w:t xml:space="preserve">service providers </w:t>
      </w:r>
      <w:r w:rsidRPr="004846E4">
        <w:t xml:space="preserve">that were initially commissioned </w:t>
      </w:r>
      <w:r w:rsidR="00F1668E" w:rsidRPr="004846E4">
        <w:t xml:space="preserve">were </w:t>
      </w:r>
      <w:r w:rsidR="008D7349" w:rsidRPr="004846E4">
        <w:t xml:space="preserve">a mix between government </w:t>
      </w:r>
      <w:proofErr w:type="spellStart"/>
      <w:r w:rsidR="008D7349" w:rsidRPr="004846E4">
        <w:t>organisations</w:t>
      </w:r>
      <w:proofErr w:type="spellEnd"/>
      <w:r w:rsidR="008D7349" w:rsidRPr="004846E4">
        <w:t xml:space="preserve"> (tertiary health care, primary health care) and </w:t>
      </w:r>
      <w:r w:rsidR="00E404A1" w:rsidRPr="004846E4">
        <w:t xml:space="preserve">non-government </w:t>
      </w:r>
      <w:proofErr w:type="spellStart"/>
      <w:r w:rsidR="00E404A1" w:rsidRPr="004846E4">
        <w:t>organisations</w:t>
      </w:r>
      <w:proofErr w:type="spellEnd"/>
      <w:r w:rsidR="00E404A1" w:rsidRPr="004846E4">
        <w:t xml:space="preserve"> (</w:t>
      </w:r>
      <w:r w:rsidR="00DA6E7A" w:rsidRPr="004846E4">
        <w:t>NGO</w:t>
      </w:r>
      <w:r w:rsidR="008D7349" w:rsidRPr="004846E4">
        <w:t>s</w:t>
      </w:r>
      <w:r w:rsidR="00E404A1" w:rsidRPr="004846E4">
        <w:t>)</w:t>
      </w:r>
      <w:r w:rsidR="008D7349" w:rsidRPr="004846E4">
        <w:t xml:space="preserve"> (community health). </w:t>
      </w:r>
      <w:r w:rsidR="009A5C50" w:rsidRPr="000D119D">
        <w:rPr>
          <w:rFonts w:eastAsiaTheme="minorEastAsia"/>
          <w:lang w:val="en-AU"/>
        </w:rPr>
        <w:t xml:space="preserve">The </w:t>
      </w:r>
      <w:r w:rsidR="004B635A" w:rsidRPr="000D119D">
        <w:rPr>
          <w:rFonts w:eastAsiaTheme="minorEastAsia"/>
          <w:lang w:val="en-AU"/>
        </w:rPr>
        <w:t xml:space="preserve">type of organisation greatly impacted the ability to stand-up a multidisciplinary workforce rapidly. For example, community health services had relatively less access to a clinical workforce than </w:t>
      </w:r>
      <w:r w:rsidR="00372E41" w:rsidRPr="000D119D">
        <w:rPr>
          <w:rFonts w:eastAsiaTheme="minorEastAsia"/>
          <w:lang w:val="en-AU"/>
        </w:rPr>
        <w:t>tertiary</w:t>
      </w:r>
      <w:r w:rsidR="004B635A" w:rsidRPr="000D119D">
        <w:rPr>
          <w:rFonts w:eastAsiaTheme="minorEastAsia"/>
          <w:lang w:val="en-AU"/>
        </w:rPr>
        <w:t xml:space="preserve"> health care services and as such could not tap into an existing pool of clinical staff to meet the rapid stand-up </w:t>
      </w:r>
      <w:r w:rsidR="00372E41" w:rsidRPr="000D119D">
        <w:rPr>
          <w:rFonts w:eastAsiaTheme="minorEastAsia"/>
          <w:lang w:val="en-AU"/>
        </w:rPr>
        <w:t>required</w:t>
      </w:r>
      <w:r w:rsidR="004B635A" w:rsidRPr="000D119D">
        <w:rPr>
          <w:rFonts w:eastAsiaTheme="minorEastAsia"/>
          <w:lang w:val="en-AU"/>
        </w:rPr>
        <w:t xml:space="preserve"> for </w:t>
      </w:r>
      <w:proofErr w:type="spellStart"/>
      <w:r w:rsidR="004B635A" w:rsidRPr="00AB1B9C">
        <w:rPr>
          <w:rStyle w:val="Emphasis"/>
        </w:rPr>
        <w:t>HeadtoHelp</w:t>
      </w:r>
      <w:proofErr w:type="spellEnd"/>
      <w:r w:rsidR="004B635A" w:rsidRPr="000D119D">
        <w:rPr>
          <w:rFonts w:eastAsiaTheme="minorEastAsia"/>
          <w:lang w:val="en-AU"/>
        </w:rPr>
        <w:t xml:space="preserve">. </w:t>
      </w:r>
      <w:r w:rsidR="00533A55" w:rsidRPr="000D119D">
        <w:rPr>
          <w:rFonts w:eastAsiaTheme="minorEastAsia"/>
          <w:lang w:val="en-AU"/>
        </w:rPr>
        <w:t xml:space="preserve">However, they were able to </w:t>
      </w:r>
      <w:r w:rsidR="001C21BB" w:rsidRPr="000D119D">
        <w:rPr>
          <w:rFonts w:eastAsiaTheme="minorEastAsia"/>
          <w:lang w:val="en-AU"/>
        </w:rPr>
        <w:t xml:space="preserve">transfer non-clinical/multidisciplinary staff to </w:t>
      </w:r>
      <w:proofErr w:type="spellStart"/>
      <w:r w:rsidR="001C21BB" w:rsidRPr="00AB1B9C">
        <w:rPr>
          <w:rStyle w:val="Emphasis"/>
        </w:rPr>
        <w:t>HeadtoHelp</w:t>
      </w:r>
      <w:proofErr w:type="spellEnd"/>
      <w:r w:rsidR="001C21BB" w:rsidRPr="000D119D">
        <w:rPr>
          <w:rFonts w:eastAsiaTheme="minorEastAsia"/>
          <w:lang w:val="en-AU"/>
        </w:rPr>
        <w:t xml:space="preserve"> from other areas of their services</w:t>
      </w:r>
      <w:r w:rsidR="004B635A" w:rsidRPr="000D119D">
        <w:rPr>
          <w:rFonts w:eastAsiaTheme="minorEastAsia"/>
          <w:lang w:val="en-AU"/>
        </w:rPr>
        <w:t xml:space="preserve">. </w:t>
      </w:r>
      <w:r w:rsidR="00372E41" w:rsidRPr="000D119D">
        <w:rPr>
          <w:rFonts w:eastAsiaTheme="minorEastAsia"/>
          <w:lang w:val="en-AU"/>
        </w:rPr>
        <w:t xml:space="preserve">Establishing the workforce is discussed </w:t>
      </w:r>
      <w:r w:rsidR="009D382A" w:rsidRPr="000D119D">
        <w:rPr>
          <w:rFonts w:eastAsiaTheme="minorEastAsia"/>
          <w:lang w:val="en-AU"/>
        </w:rPr>
        <w:t>at the end of this</w:t>
      </w:r>
      <w:r w:rsidR="00372E41" w:rsidRPr="000D119D">
        <w:rPr>
          <w:rFonts w:eastAsiaTheme="minorEastAsia"/>
          <w:lang w:val="en-AU"/>
        </w:rPr>
        <w:t xml:space="preserve"> </w:t>
      </w:r>
      <w:r w:rsidR="002D47DB">
        <w:rPr>
          <w:rFonts w:eastAsiaTheme="minorEastAsia"/>
          <w:lang w:val="en-AU"/>
        </w:rPr>
        <w:t>s</w:t>
      </w:r>
      <w:r w:rsidR="00372E41" w:rsidRPr="000D119D">
        <w:rPr>
          <w:rFonts w:eastAsiaTheme="minorEastAsia"/>
          <w:lang w:val="en-AU"/>
        </w:rPr>
        <w:t>ection</w:t>
      </w:r>
      <w:r w:rsidR="009D382A" w:rsidRPr="000D119D">
        <w:rPr>
          <w:rFonts w:eastAsiaTheme="minorEastAsia"/>
          <w:lang w:val="en-AU"/>
        </w:rPr>
        <w:t>.</w:t>
      </w:r>
    </w:p>
    <w:p w14:paraId="1B50856E" w14:textId="461CB9C5" w:rsidR="007A743D" w:rsidRPr="000D119D" w:rsidRDefault="00043BBC" w:rsidP="00BE0860">
      <w:pPr>
        <w:pStyle w:val="Heading4"/>
      </w:pPr>
      <w:r w:rsidRPr="000D119D">
        <w:t>Contracts enabled rapid establishment</w:t>
      </w:r>
      <w:r w:rsidR="00EF2C34" w:rsidRPr="000D119D">
        <w:t xml:space="preserve">; </w:t>
      </w:r>
      <w:r w:rsidR="00F53262" w:rsidRPr="000D119D">
        <w:t>but</w:t>
      </w:r>
      <w:r w:rsidR="008B082E" w:rsidRPr="000D119D">
        <w:t xml:space="preserve"> </w:t>
      </w:r>
      <w:r w:rsidR="008F0607" w:rsidRPr="000D119D">
        <w:t xml:space="preserve">some </w:t>
      </w:r>
      <w:r w:rsidR="00330580" w:rsidRPr="000D119D">
        <w:t>terms hindered</w:t>
      </w:r>
      <w:r w:rsidR="00CB2BB3" w:rsidRPr="000D119D">
        <w:t xml:space="preserve"> successful operation</w:t>
      </w:r>
    </w:p>
    <w:p w14:paraId="66BE7DB3" w14:textId="3E01E5F0" w:rsidR="00A53F0F" w:rsidRPr="000D119D" w:rsidRDefault="00444ECB" w:rsidP="00E24793">
      <w:pPr>
        <w:rPr>
          <w:lang w:val="en-AU"/>
        </w:rPr>
      </w:pPr>
      <w:r w:rsidRPr="000D119D">
        <w:rPr>
          <w:lang w:val="en-AU"/>
        </w:rPr>
        <w:t>The</w:t>
      </w:r>
      <w:r w:rsidR="00CA1772" w:rsidRPr="000D119D">
        <w:rPr>
          <w:lang w:val="en-AU"/>
        </w:rPr>
        <w:t xml:space="preserve"> c</w:t>
      </w:r>
      <w:r w:rsidR="006673AA" w:rsidRPr="000D119D">
        <w:rPr>
          <w:lang w:val="en-AU"/>
        </w:rPr>
        <w:t>ontractual terms for service providers varied across PHNs</w:t>
      </w:r>
      <w:r w:rsidR="009F0C78" w:rsidRPr="000D119D">
        <w:rPr>
          <w:lang w:val="en-AU"/>
        </w:rPr>
        <w:t xml:space="preserve">. </w:t>
      </w:r>
      <w:r w:rsidR="002F5C9B" w:rsidRPr="000D119D">
        <w:rPr>
          <w:lang w:val="en-AU"/>
        </w:rPr>
        <w:t xml:space="preserve">Common contractual terms related to clinical and non-clinical staff requirements, and a linking of funding and </w:t>
      </w:r>
      <w:r w:rsidR="001A40B8">
        <w:rPr>
          <w:lang w:val="en-AU"/>
        </w:rPr>
        <w:t>full time equivalent (</w:t>
      </w:r>
      <w:r w:rsidR="002F5C9B" w:rsidRPr="000D119D">
        <w:rPr>
          <w:lang w:val="en-AU"/>
        </w:rPr>
        <w:t>FTE</w:t>
      </w:r>
      <w:r w:rsidR="001A40B8">
        <w:rPr>
          <w:lang w:val="en-AU"/>
        </w:rPr>
        <w:t>)</w:t>
      </w:r>
      <w:r w:rsidR="002F5C9B" w:rsidRPr="000D119D">
        <w:rPr>
          <w:lang w:val="en-AU"/>
        </w:rPr>
        <w:t xml:space="preserve"> allowances to service volumes through individual hubs.</w:t>
      </w:r>
    </w:p>
    <w:p w14:paraId="08681A8A" w14:textId="7C4D56A5" w:rsidR="00444ECB" w:rsidRPr="000D119D" w:rsidRDefault="007E0E62" w:rsidP="00CA1E42">
      <w:pPr>
        <w:rPr>
          <w:lang w:val="en-AU"/>
        </w:rPr>
      </w:pPr>
      <w:r w:rsidRPr="000D119D">
        <w:rPr>
          <w:lang w:val="en-AU"/>
        </w:rPr>
        <w:lastRenderedPageBreak/>
        <w:t xml:space="preserve">Contracts also included </w:t>
      </w:r>
      <w:r w:rsidR="003C012B" w:rsidRPr="000D119D">
        <w:rPr>
          <w:lang w:val="en-AU"/>
        </w:rPr>
        <w:t xml:space="preserve">14 </w:t>
      </w:r>
      <w:r w:rsidR="00DE7801" w:rsidRPr="000D119D">
        <w:rPr>
          <w:lang w:val="en-AU"/>
        </w:rPr>
        <w:t xml:space="preserve">key performance indicators </w:t>
      </w:r>
      <w:r w:rsidR="00DE7801">
        <w:rPr>
          <w:lang w:val="en-AU"/>
        </w:rPr>
        <w:t>(</w:t>
      </w:r>
      <w:r w:rsidR="003C012B" w:rsidRPr="000D119D">
        <w:rPr>
          <w:lang w:val="en-AU"/>
        </w:rPr>
        <w:t>KPIs</w:t>
      </w:r>
      <w:r w:rsidR="00DE7801">
        <w:rPr>
          <w:lang w:val="en-AU"/>
        </w:rPr>
        <w:t>)</w:t>
      </w:r>
      <w:r w:rsidR="003C012B" w:rsidRPr="000D119D">
        <w:rPr>
          <w:lang w:val="en-AU"/>
        </w:rPr>
        <w:t xml:space="preserve"> which were tracked and reported </w:t>
      </w:r>
      <w:proofErr w:type="gramStart"/>
      <w:r w:rsidR="003C012B" w:rsidRPr="000D119D">
        <w:rPr>
          <w:lang w:val="en-AU"/>
        </w:rPr>
        <w:t>on a monthly basis</w:t>
      </w:r>
      <w:proofErr w:type="gramEnd"/>
      <w:r w:rsidR="003C012B" w:rsidRPr="000D119D">
        <w:rPr>
          <w:lang w:val="en-AU"/>
        </w:rPr>
        <w:t xml:space="preserve"> </w:t>
      </w:r>
      <w:r w:rsidR="00A1245C" w:rsidRPr="000D119D">
        <w:rPr>
          <w:lang w:val="en-AU"/>
        </w:rPr>
        <w:t xml:space="preserve">using a </w:t>
      </w:r>
      <w:r w:rsidR="002D47DB">
        <w:rPr>
          <w:lang w:val="en-AU"/>
        </w:rPr>
        <w:t>zero-to-two</w:t>
      </w:r>
      <w:r w:rsidR="00A1245C" w:rsidRPr="000D119D">
        <w:rPr>
          <w:lang w:val="en-AU"/>
        </w:rPr>
        <w:t xml:space="preserve"> scoring method</w:t>
      </w:r>
      <w:r w:rsidR="004026E5" w:rsidRPr="000D119D">
        <w:rPr>
          <w:lang w:val="en-AU"/>
        </w:rPr>
        <w:t xml:space="preserve">. </w:t>
      </w:r>
      <w:r w:rsidR="0052756A" w:rsidRPr="000D119D">
        <w:rPr>
          <w:lang w:val="en-AU"/>
        </w:rPr>
        <w:t xml:space="preserve">The number of KPIs reflected an attempt to </w:t>
      </w:r>
      <w:r w:rsidR="002B7201" w:rsidRPr="000D119D">
        <w:rPr>
          <w:lang w:val="en-AU"/>
        </w:rPr>
        <w:t xml:space="preserve">meet the needs and preferences of six different PHNs. </w:t>
      </w:r>
      <w:r w:rsidR="00ED711B" w:rsidRPr="000D119D">
        <w:rPr>
          <w:lang w:val="en-AU"/>
        </w:rPr>
        <w:t>Following feedback from service providers on the relative burden and value of these metrics, they were subsequently reviewed and reduced to nine indicators</w:t>
      </w:r>
      <w:r w:rsidR="003C012B" w:rsidRPr="000D119D">
        <w:rPr>
          <w:lang w:val="en-AU"/>
        </w:rPr>
        <w:t xml:space="preserve"> (see</w:t>
      </w:r>
      <w:r w:rsidR="00ED711B" w:rsidRPr="000D119D">
        <w:rPr>
          <w:lang w:val="en-AU"/>
        </w:rPr>
        <w:t xml:space="preserve"> final KPI list in</w:t>
      </w:r>
      <w:r w:rsidR="003C012B" w:rsidRPr="000D119D">
        <w:rPr>
          <w:lang w:val="en-AU"/>
        </w:rPr>
        <w:t xml:space="preserve"> </w:t>
      </w:r>
      <w:hyperlink w:anchor="_Appendices" w:history="1">
        <w:r w:rsidR="00063994" w:rsidRPr="00AB1B9C">
          <w:rPr>
            <w:rStyle w:val="Hyperlink"/>
            <w:lang w:val="en-AU"/>
          </w:rPr>
          <w:t>Appendix G</w:t>
        </w:r>
      </w:hyperlink>
      <w:r w:rsidR="003C012B">
        <w:rPr>
          <w:lang w:val="en-AU"/>
        </w:rPr>
        <w:t>).</w:t>
      </w:r>
    </w:p>
    <w:p w14:paraId="74D43B54" w14:textId="69DEF48A" w:rsidR="00757F58" w:rsidRPr="000D119D" w:rsidRDefault="00A1245C" w:rsidP="00E24793">
      <w:pPr>
        <w:rPr>
          <w:lang w:val="en-AU"/>
        </w:rPr>
      </w:pPr>
      <w:r>
        <w:rPr>
          <w:lang w:val="en-AU"/>
        </w:rPr>
        <w:t>Stakeholders</w:t>
      </w:r>
      <w:r w:rsidRPr="000D119D">
        <w:rPr>
          <w:lang w:val="en-AU"/>
        </w:rPr>
        <w:t xml:space="preserve"> reported </w:t>
      </w:r>
      <w:proofErr w:type="gramStart"/>
      <w:r w:rsidRPr="000D119D">
        <w:rPr>
          <w:lang w:val="en-AU"/>
        </w:rPr>
        <w:t>a</w:t>
      </w:r>
      <w:r w:rsidR="00757F58" w:rsidRPr="000D119D">
        <w:rPr>
          <w:lang w:val="en-AU"/>
        </w:rPr>
        <w:t xml:space="preserve"> number of</w:t>
      </w:r>
      <w:proofErr w:type="gramEnd"/>
      <w:r w:rsidR="00757F58" w:rsidRPr="000D119D">
        <w:rPr>
          <w:lang w:val="en-AU"/>
        </w:rPr>
        <w:t xml:space="preserve"> </w:t>
      </w:r>
      <w:r w:rsidRPr="000D119D">
        <w:rPr>
          <w:lang w:val="en-AU"/>
        </w:rPr>
        <w:t>specific</w:t>
      </w:r>
      <w:r w:rsidR="00757F58" w:rsidRPr="000D119D">
        <w:rPr>
          <w:lang w:val="en-AU"/>
        </w:rPr>
        <w:t xml:space="preserve"> issues with individual contracts, with contract terms being a barrier to effective establishment and operation in some cases. </w:t>
      </w:r>
      <w:r w:rsidR="00610A7E" w:rsidRPr="000D119D">
        <w:rPr>
          <w:lang w:val="en-AU"/>
        </w:rPr>
        <w:t>There has been frustration around the short length of contracts</w:t>
      </w:r>
      <w:r w:rsidR="008974BB" w:rsidRPr="000D119D">
        <w:rPr>
          <w:lang w:val="en-AU"/>
        </w:rPr>
        <w:t>, which were initially 12 months,</w:t>
      </w:r>
      <w:r w:rsidR="00610A7E" w:rsidRPr="000D119D">
        <w:rPr>
          <w:lang w:val="en-AU"/>
        </w:rPr>
        <w:t xml:space="preserve"> and the short notice provided around changes to contracts, </w:t>
      </w:r>
      <w:r w:rsidR="008974BB" w:rsidRPr="000D119D">
        <w:rPr>
          <w:lang w:val="en-AU"/>
        </w:rPr>
        <w:t xml:space="preserve">including the extension </w:t>
      </w:r>
      <w:r w:rsidR="00517EEE" w:rsidRPr="000D119D">
        <w:rPr>
          <w:lang w:val="en-AU"/>
        </w:rPr>
        <w:t xml:space="preserve">of the program to June 2022, </w:t>
      </w:r>
      <w:r w:rsidR="00610A7E" w:rsidRPr="000D119D">
        <w:rPr>
          <w:lang w:val="en-AU"/>
        </w:rPr>
        <w:t xml:space="preserve">from both a PHN and hub perspective. Having short and unstable </w:t>
      </w:r>
      <w:r w:rsidR="00273A05" w:rsidRPr="000D119D">
        <w:rPr>
          <w:lang w:val="en-AU"/>
        </w:rPr>
        <w:t>contracts</w:t>
      </w:r>
      <w:r w:rsidR="004D4AFD" w:rsidRPr="000D119D">
        <w:rPr>
          <w:lang w:val="en-AU"/>
        </w:rPr>
        <w:t xml:space="preserve"> has resulted in challenges including </w:t>
      </w:r>
      <w:r w:rsidR="004E0D86" w:rsidRPr="000D119D">
        <w:rPr>
          <w:lang w:val="en-AU"/>
        </w:rPr>
        <w:t xml:space="preserve">difficulty in recruiting and retaining staff, due to </w:t>
      </w:r>
      <w:r w:rsidR="00B94673" w:rsidRPr="000D119D">
        <w:rPr>
          <w:lang w:val="en-AU"/>
        </w:rPr>
        <w:t xml:space="preserve">short-term employment contracts raising concerns around </w:t>
      </w:r>
      <w:r w:rsidR="00E50DCC" w:rsidRPr="000D119D">
        <w:rPr>
          <w:lang w:val="en-AU"/>
        </w:rPr>
        <w:t>job security which compounds the issue of fier</w:t>
      </w:r>
      <w:r w:rsidR="003675DC" w:rsidRPr="000D119D">
        <w:rPr>
          <w:lang w:val="en-AU"/>
        </w:rPr>
        <w:t>ce</w:t>
      </w:r>
      <w:r w:rsidR="00E50DCC" w:rsidRPr="000D119D">
        <w:rPr>
          <w:lang w:val="en-AU"/>
        </w:rPr>
        <w:t xml:space="preserve"> competition for mental health staff in the region. One PHN </w:t>
      </w:r>
      <w:r w:rsidR="00BD2F24" w:rsidRPr="000D119D">
        <w:rPr>
          <w:lang w:val="en-AU"/>
        </w:rPr>
        <w:t>reported that</w:t>
      </w:r>
      <w:r w:rsidR="00E50DCC" w:rsidRPr="000D119D">
        <w:rPr>
          <w:lang w:val="en-AU"/>
        </w:rPr>
        <w:t xml:space="preserve"> ‘Increasing FTE as business ramps up has been a challenge, as the longitudinal aspect of the program gets shorter when you need more staff.</w:t>
      </w:r>
      <w:r w:rsidR="00BD2F24" w:rsidRPr="000D119D">
        <w:rPr>
          <w:lang w:val="en-AU"/>
        </w:rPr>
        <w:t>’</w:t>
      </w:r>
    </w:p>
    <w:p w14:paraId="507F0B27" w14:textId="7CDC0514" w:rsidR="00E50DCC" w:rsidRPr="000D119D" w:rsidRDefault="00181F51" w:rsidP="00E24793">
      <w:pPr>
        <w:rPr>
          <w:lang w:val="en-AU"/>
        </w:rPr>
      </w:pPr>
      <w:r w:rsidRPr="000D119D">
        <w:rPr>
          <w:lang w:val="en-AU"/>
        </w:rPr>
        <w:t xml:space="preserve">Having </w:t>
      </w:r>
      <w:r w:rsidR="007C1AD3" w:rsidRPr="000D119D">
        <w:rPr>
          <w:lang w:val="en-AU"/>
        </w:rPr>
        <w:t>last-minute</w:t>
      </w:r>
      <w:r w:rsidRPr="000D119D">
        <w:rPr>
          <w:lang w:val="en-AU"/>
        </w:rPr>
        <w:t xml:space="preserve"> communication surrounding contracts has hindered long-term planning. One hub reported being surprised about the extension of the </w:t>
      </w:r>
      <w:r w:rsidR="00AD6E96" w:rsidRPr="000D119D">
        <w:rPr>
          <w:lang w:val="en-AU"/>
        </w:rPr>
        <w:t xml:space="preserve">program until June 2022, as they had not received any direct information on this, relying on a media release and word of mouth for information. Another hub reported only being given </w:t>
      </w:r>
      <w:r w:rsidR="009F4EC9">
        <w:rPr>
          <w:lang w:val="en-AU"/>
        </w:rPr>
        <w:t>ten</w:t>
      </w:r>
      <w:r w:rsidR="00AD6E96" w:rsidRPr="000D119D">
        <w:rPr>
          <w:lang w:val="en-AU"/>
        </w:rPr>
        <w:t xml:space="preserve"> days’ notice for having to prepare an exit plan.</w:t>
      </w:r>
    </w:p>
    <w:p w14:paraId="62C168FF" w14:textId="29582F7F" w:rsidR="0036324B" w:rsidRPr="000D119D" w:rsidRDefault="00AB0FA5" w:rsidP="00E24793">
      <w:pPr>
        <w:rPr>
          <w:lang w:val="en-AU"/>
        </w:rPr>
      </w:pPr>
      <w:r w:rsidRPr="000D119D">
        <w:rPr>
          <w:lang w:val="en-AU"/>
        </w:rPr>
        <w:t xml:space="preserve">There was also a </w:t>
      </w:r>
      <w:r w:rsidR="00BD2F24" w:rsidRPr="000D119D">
        <w:rPr>
          <w:lang w:val="en-AU"/>
        </w:rPr>
        <w:t>lack</w:t>
      </w:r>
      <w:r w:rsidRPr="000D119D">
        <w:rPr>
          <w:lang w:val="en-AU"/>
        </w:rPr>
        <w:t xml:space="preserve"> of </w:t>
      </w:r>
      <w:r w:rsidR="004026E5" w:rsidRPr="000D119D">
        <w:rPr>
          <w:lang w:val="en-AU"/>
        </w:rPr>
        <w:t xml:space="preserve">dedicated </w:t>
      </w:r>
      <w:r w:rsidRPr="000D119D">
        <w:rPr>
          <w:lang w:val="en-AU"/>
        </w:rPr>
        <w:t xml:space="preserve">resourcing for relationship building, service integration, </w:t>
      </w:r>
      <w:proofErr w:type="gramStart"/>
      <w:r w:rsidRPr="000D119D">
        <w:rPr>
          <w:lang w:val="en-AU"/>
        </w:rPr>
        <w:t>promotion</w:t>
      </w:r>
      <w:proofErr w:type="gramEnd"/>
      <w:r w:rsidRPr="000D119D">
        <w:rPr>
          <w:lang w:val="en-AU"/>
        </w:rPr>
        <w:t xml:space="preserve"> and clinical governance within contracts, despite these being expected and necessary to operate successfully.</w:t>
      </w:r>
    </w:p>
    <w:p w14:paraId="1112DF6C" w14:textId="77777777" w:rsidR="00B60BA6" w:rsidRPr="000D119D" w:rsidRDefault="00B60BA6" w:rsidP="00BE0860">
      <w:pPr>
        <w:pStyle w:val="Heading4"/>
        <w:rPr>
          <w:rFonts w:eastAsiaTheme="minorEastAsia"/>
        </w:rPr>
      </w:pPr>
      <w:r w:rsidRPr="000D119D">
        <w:rPr>
          <w:rFonts w:eastAsiaTheme="minorEastAsia"/>
        </w:rPr>
        <w:t>The rapid establishment of the services required movement of existing staff across the system, rather than a net increase in staff for Victoria</w:t>
      </w:r>
    </w:p>
    <w:p w14:paraId="1C11E4BD" w14:textId="3722DB0D" w:rsidR="00B60BA6" w:rsidRPr="000D119D" w:rsidRDefault="00B60BA6" w:rsidP="00B60BA6">
      <w:pPr>
        <w:rPr>
          <w:lang w:val="en-AU"/>
        </w:rPr>
      </w:pPr>
      <w:r w:rsidRPr="000D119D">
        <w:rPr>
          <w:lang w:val="en-AU"/>
        </w:rPr>
        <w:t xml:space="preserve">PHNs managed to stand up their </w:t>
      </w:r>
      <w:proofErr w:type="spellStart"/>
      <w:r w:rsidRPr="00AB1B9C">
        <w:rPr>
          <w:rStyle w:val="Emphasis"/>
        </w:rPr>
        <w:t>HeadtoHelp</w:t>
      </w:r>
      <w:proofErr w:type="spellEnd"/>
      <w:r w:rsidRPr="000D119D">
        <w:rPr>
          <w:i/>
          <w:iCs/>
          <w:lang w:val="en-AU"/>
        </w:rPr>
        <w:t xml:space="preserve"> </w:t>
      </w:r>
      <w:r w:rsidRPr="000D119D">
        <w:rPr>
          <w:lang w:val="en-AU"/>
        </w:rPr>
        <w:t xml:space="preserve">intake and hub services in four weeks; however, many hubs found the short commissioning timeframes extremely challenging to recruit competent and qualified mental health workers and satisfy the multidisciplinary team requirements of the hub model. These challenges were exacerbated by existing workforce shortages across Victoria. Some hubs noted that they were competing with up to eight other organisations or health services who were recruiting for mental health clinicians and staff at the same time as </w:t>
      </w:r>
      <w:proofErr w:type="spellStart"/>
      <w:r w:rsidRPr="00AB1B9C">
        <w:rPr>
          <w:rStyle w:val="Emphasis"/>
        </w:rPr>
        <w:t>HeadtoHelp</w:t>
      </w:r>
      <w:proofErr w:type="spellEnd"/>
      <w:r w:rsidRPr="000D119D">
        <w:rPr>
          <w:lang w:val="en-AU"/>
        </w:rPr>
        <w:t>.</w:t>
      </w:r>
    </w:p>
    <w:p w14:paraId="7580EA78" w14:textId="3C2B521F" w:rsidR="00B60BA6" w:rsidRPr="000D119D" w:rsidRDefault="00B60BA6" w:rsidP="00B60BA6">
      <w:pPr>
        <w:rPr>
          <w:lang w:val="en-AU"/>
        </w:rPr>
      </w:pPr>
      <w:r w:rsidRPr="000D119D">
        <w:rPr>
          <w:lang w:val="en-AU"/>
        </w:rPr>
        <w:t xml:space="preserve">For hubs that were able to recruit, there was often a considerable time lag between when staff were recruited and when they could start in their new role. Some hub providers already offering PHN programs took a pragmatic approach and were able to second staff to support the establishment of their hubs. Hubs also reported that staff moved from other parts of the service system to the </w:t>
      </w:r>
      <w:proofErr w:type="spellStart"/>
      <w:r w:rsidRPr="00AB1B9C">
        <w:rPr>
          <w:rStyle w:val="Emphasis"/>
        </w:rPr>
        <w:t>HeadtoHelp</w:t>
      </w:r>
      <w:proofErr w:type="spellEnd"/>
      <w:r w:rsidRPr="000D119D">
        <w:rPr>
          <w:lang w:val="en-AU"/>
        </w:rPr>
        <w:t xml:space="preserve"> program, including from AMHSs. </w:t>
      </w:r>
    </w:p>
    <w:p w14:paraId="6DAFE631" w14:textId="0E778849" w:rsidR="00B60BA6" w:rsidRPr="000D119D" w:rsidRDefault="00B60BA6" w:rsidP="00B60BA6">
      <w:pPr>
        <w:rPr>
          <w:rFonts w:eastAsiaTheme="minorEastAsia"/>
          <w:lang w:val="en-AU"/>
        </w:rPr>
      </w:pPr>
      <w:r w:rsidRPr="000D119D">
        <w:rPr>
          <w:lang w:val="en-AU"/>
        </w:rPr>
        <w:t xml:space="preserve">Service providers noted the requirement of </w:t>
      </w:r>
      <w:proofErr w:type="gramStart"/>
      <w:r w:rsidRPr="000D119D">
        <w:rPr>
          <w:lang w:val="en-AU"/>
        </w:rPr>
        <w:t>particular qualifications</w:t>
      </w:r>
      <w:proofErr w:type="gramEnd"/>
      <w:r w:rsidRPr="000D119D">
        <w:rPr>
          <w:lang w:val="en-AU"/>
        </w:rPr>
        <w:t xml:space="preserve"> (e.g., AHPRA registration) has been a barrier to recruitment. Instead, it has been posed that </w:t>
      </w:r>
      <w:r w:rsidR="000A0C02" w:rsidRPr="000D119D">
        <w:rPr>
          <w:lang w:val="en-AU"/>
        </w:rPr>
        <w:t>a</w:t>
      </w:r>
      <w:r w:rsidRPr="000D119D">
        <w:rPr>
          <w:lang w:val="en-AU"/>
        </w:rPr>
        <w:t xml:space="preserve"> flexible approach to commissioning would be preferred (with reference to factors such as local need, evidence-based care, collaboration, clinical governance expectations, clinical treatment expectations</w:t>
      </w:r>
      <w:r w:rsidR="007E3B50">
        <w:rPr>
          <w:lang w:val="en-AU"/>
        </w:rPr>
        <w:t>,</w:t>
      </w:r>
      <w:r w:rsidRPr="000D119D">
        <w:rPr>
          <w:lang w:val="en-AU"/>
        </w:rPr>
        <w:t xml:space="preserve"> etc). </w:t>
      </w:r>
    </w:p>
    <w:p w14:paraId="101ED586" w14:textId="77777777" w:rsidR="00B60BA6" w:rsidRPr="000D119D" w:rsidRDefault="00B60BA6" w:rsidP="00B60BA6">
      <w:pPr>
        <w:rPr>
          <w:lang w:val="en-AU"/>
        </w:rPr>
      </w:pPr>
      <w:r w:rsidRPr="000D119D">
        <w:rPr>
          <w:lang w:val="en-AU"/>
        </w:rPr>
        <w:t xml:space="preserve">However, peer workforce is a critical component of mental health services that </w:t>
      </w:r>
      <w:proofErr w:type="spellStart"/>
      <w:r w:rsidRPr="00AB1B9C">
        <w:rPr>
          <w:rStyle w:val="Emphasis"/>
        </w:rPr>
        <w:t>HeadtoHelp</w:t>
      </w:r>
      <w:proofErr w:type="spellEnd"/>
      <w:r w:rsidRPr="00AB1B9C">
        <w:rPr>
          <w:rStyle w:val="Emphasis"/>
        </w:rPr>
        <w:t xml:space="preserve"> </w:t>
      </w:r>
      <w:r w:rsidRPr="000D119D">
        <w:rPr>
          <w:lang w:val="en-AU"/>
        </w:rPr>
        <w:t>was largely unable to achieve in the short stand-up time frame. The Royal Commission has emphasised the need to integrate peer workers and peer-led support into an array of mental health services (community mental health, crisis response, trauma centres).</w:t>
      </w:r>
      <w:r w:rsidRPr="000D119D">
        <w:rPr>
          <w:vertAlign w:val="superscript"/>
          <w:lang w:val="en-AU"/>
        </w:rPr>
        <w:t>1</w:t>
      </w:r>
      <w:r w:rsidRPr="000D119D">
        <w:rPr>
          <w:lang w:val="en-AU"/>
        </w:rPr>
        <w:t xml:space="preserve"> Effective clinical governance measures are required to train and oversee a peer workforce. Where possible, </w:t>
      </w:r>
      <w:proofErr w:type="spellStart"/>
      <w:r w:rsidRPr="00AB1B9C">
        <w:rPr>
          <w:rStyle w:val="Emphasis"/>
        </w:rPr>
        <w:t>HeadtoHelp</w:t>
      </w:r>
      <w:proofErr w:type="spellEnd"/>
      <w:r w:rsidRPr="000D119D">
        <w:rPr>
          <w:lang w:val="en-AU"/>
        </w:rPr>
        <w:t xml:space="preserve"> should be seeking to boost its peer </w:t>
      </w:r>
      <w:proofErr w:type="gramStart"/>
      <w:r w:rsidRPr="000D119D">
        <w:rPr>
          <w:lang w:val="en-AU"/>
        </w:rPr>
        <w:t>workforce</w:t>
      </w:r>
      <w:proofErr w:type="gramEnd"/>
      <w:r w:rsidRPr="000D119D">
        <w:rPr>
          <w:lang w:val="en-AU"/>
        </w:rPr>
        <w:t xml:space="preserve"> and this has also been a key consideration for the AMHCs. </w:t>
      </w:r>
    </w:p>
    <w:p w14:paraId="09F22291" w14:textId="6CDE7029" w:rsidR="00B60BA6" w:rsidRPr="000D119D" w:rsidRDefault="00B60BA6" w:rsidP="00B60BA6">
      <w:pPr>
        <w:rPr>
          <w:lang w:val="en-AU"/>
        </w:rPr>
      </w:pPr>
      <w:r w:rsidRPr="000D119D">
        <w:rPr>
          <w:lang w:val="en-AU"/>
        </w:rPr>
        <w:t xml:space="preserve">Challenges around ensuring the model of care is staffed appropriately in terms of clinical expertise is discussed in </w:t>
      </w:r>
      <w:r w:rsidRPr="00D95A21">
        <w:rPr>
          <w:lang w:val="en-AU"/>
        </w:rPr>
        <w:t xml:space="preserve">Section </w:t>
      </w:r>
      <w:r w:rsidR="00D95A21" w:rsidRPr="00D95A21">
        <w:rPr>
          <w:lang w:val="en-AU"/>
        </w:rPr>
        <w:fldChar w:fldCharType="begin"/>
      </w:r>
      <w:r w:rsidR="00D95A21" w:rsidRPr="00D95A21">
        <w:rPr>
          <w:lang w:val="en-AU"/>
        </w:rPr>
        <w:instrText xml:space="preserve"> REF _Ref96961029 \r \h </w:instrText>
      </w:r>
      <w:r w:rsidR="00D95A21">
        <w:rPr>
          <w:lang w:val="en-AU"/>
        </w:rPr>
        <w:instrText xml:space="preserve"> \* MERGEFORMAT </w:instrText>
      </w:r>
      <w:r w:rsidR="00D95A21" w:rsidRPr="00D95A21">
        <w:rPr>
          <w:lang w:val="en-AU"/>
        </w:rPr>
      </w:r>
      <w:r w:rsidR="00D95A21" w:rsidRPr="00D95A21">
        <w:rPr>
          <w:lang w:val="en-AU"/>
        </w:rPr>
        <w:fldChar w:fldCharType="separate"/>
      </w:r>
      <w:r w:rsidR="00562174">
        <w:rPr>
          <w:lang w:val="en-AU"/>
        </w:rPr>
        <w:t>4.1.8</w:t>
      </w:r>
      <w:r w:rsidR="00D95A21" w:rsidRPr="00D95A21">
        <w:rPr>
          <w:lang w:val="en-AU"/>
        </w:rPr>
        <w:fldChar w:fldCharType="end"/>
      </w:r>
      <w:r w:rsidRPr="00D95A21">
        <w:rPr>
          <w:lang w:val="en-AU"/>
        </w:rPr>
        <w:t>.</w:t>
      </w:r>
    </w:p>
    <w:p w14:paraId="3F3C44F9" w14:textId="47A08839" w:rsidR="00AF7828" w:rsidRPr="000D119D" w:rsidRDefault="00C86D35" w:rsidP="001F35C4">
      <w:pPr>
        <w:pStyle w:val="Heading3"/>
      </w:pPr>
      <w:bookmarkStart w:id="42" w:name="_Ref97018981"/>
      <w:bookmarkStart w:id="43" w:name="_Toc99650338"/>
      <w:r w:rsidRPr="000D119D">
        <w:lastRenderedPageBreak/>
        <w:t>G</w:t>
      </w:r>
      <w:r w:rsidR="009A1BF5" w:rsidRPr="000D119D">
        <w:t>overnance and c</w:t>
      </w:r>
      <w:r w:rsidR="004A5367" w:rsidRPr="000D119D">
        <w:t>ollaboration</w:t>
      </w:r>
      <w:bookmarkEnd w:id="42"/>
      <w:bookmarkEnd w:id="43"/>
    </w:p>
    <w:p w14:paraId="2E587BFD" w14:textId="6B51E147" w:rsidR="00F141D0" w:rsidRPr="000D119D" w:rsidRDefault="00F141D0" w:rsidP="00BE0860">
      <w:pPr>
        <w:pStyle w:val="Heading4"/>
      </w:pPr>
      <w:proofErr w:type="spellStart"/>
      <w:r w:rsidRPr="000D119D">
        <w:rPr>
          <w:i/>
          <w:iCs/>
        </w:rPr>
        <w:t>HeadtoHelp</w:t>
      </w:r>
      <w:proofErr w:type="spellEnd"/>
      <w:r w:rsidRPr="000D119D">
        <w:t xml:space="preserve"> drove a</w:t>
      </w:r>
      <w:r w:rsidR="0005218E" w:rsidRPr="000D119D">
        <w:t>n unprecedented</w:t>
      </w:r>
      <w:r w:rsidRPr="000D119D">
        <w:t xml:space="preserve"> degree of collaboration </w:t>
      </w:r>
      <w:r w:rsidR="005938B3" w:rsidRPr="000D119D">
        <w:t>– through</w:t>
      </w:r>
      <w:r w:rsidR="00801AFE" w:rsidRPr="000D119D">
        <w:t xml:space="preserve"> both</w:t>
      </w:r>
      <w:r w:rsidR="005938B3" w:rsidRPr="000D119D">
        <w:t xml:space="preserve"> governance and goodwill</w:t>
      </w:r>
    </w:p>
    <w:p w14:paraId="68B2C188" w14:textId="5E8C9D41" w:rsidR="006870F2" w:rsidRPr="000D119D" w:rsidRDefault="00F141D0" w:rsidP="005D2ABD">
      <w:pPr>
        <w:rPr>
          <w:lang w:val="en-AU"/>
        </w:rPr>
      </w:pPr>
      <w:r w:rsidRPr="000D119D">
        <w:rPr>
          <w:lang w:val="en-AU"/>
        </w:rPr>
        <w:t xml:space="preserve">Following the announcement of </w:t>
      </w:r>
      <w:proofErr w:type="spellStart"/>
      <w:r w:rsidRPr="00AB1B9C">
        <w:rPr>
          <w:rStyle w:val="Emphasis"/>
        </w:rPr>
        <w:t>HeadtoHelp</w:t>
      </w:r>
      <w:proofErr w:type="spellEnd"/>
      <w:r w:rsidRPr="000D119D">
        <w:rPr>
          <w:lang w:val="en-AU"/>
        </w:rPr>
        <w:t xml:space="preserve">, all six Victorian PHNs worked collaboratively to rapidly coordinate and deliver the </w:t>
      </w:r>
      <w:proofErr w:type="spellStart"/>
      <w:r w:rsidRPr="00AB1B9C">
        <w:rPr>
          <w:rStyle w:val="Emphasis"/>
        </w:rPr>
        <w:t>HeadtoHelp</w:t>
      </w:r>
      <w:proofErr w:type="spellEnd"/>
      <w:r w:rsidRPr="000D119D">
        <w:rPr>
          <w:i/>
          <w:iCs/>
          <w:lang w:val="en-AU"/>
        </w:rPr>
        <w:t xml:space="preserve"> </w:t>
      </w:r>
      <w:r w:rsidRPr="000D119D">
        <w:rPr>
          <w:lang w:val="en-AU"/>
        </w:rPr>
        <w:t>service and hubs</w:t>
      </w:r>
      <w:r w:rsidR="001E76CE" w:rsidRPr="000D119D">
        <w:rPr>
          <w:lang w:val="en-AU"/>
        </w:rPr>
        <w:t xml:space="preserve">. This </w:t>
      </w:r>
      <w:r w:rsidR="002E692C" w:rsidRPr="000D119D">
        <w:rPr>
          <w:lang w:val="en-AU"/>
        </w:rPr>
        <w:t>was formalised through</w:t>
      </w:r>
      <w:r w:rsidR="001E76CE" w:rsidRPr="000D119D">
        <w:rPr>
          <w:lang w:val="en-AU"/>
        </w:rPr>
        <w:t xml:space="preserve"> establishment of a clear governance model</w:t>
      </w:r>
      <w:r w:rsidR="005D2ABD" w:rsidRPr="000D119D">
        <w:rPr>
          <w:lang w:val="en-AU"/>
        </w:rPr>
        <w:t xml:space="preserve"> (</w:t>
      </w:r>
      <w:r w:rsidR="005D2ABD" w:rsidRPr="000D119D">
        <w:rPr>
          <w:lang w:val="en-AU"/>
        </w:rPr>
        <w:fldChar w:fldCharType="begin"/>
      </w:r>
      <w:r w:rsidR="005D2ABD" w:rsidRPr="000D119D">
        <w:rPr>
          <w:lang w:val="en-AU"/>
        </w:rPr>
        <w:instrText xml:space="preserve"> REF _Ref95129719 \h </w:instrText>
      </w:r>
      <w:r w:rsidR="005D2ABD" w:rsidRPr="000D119D">
        <w:rPr>
          <w:lang w:val="en-AU"/>
        </w:rPr>
      </w:r>
      <w:r w:rsidR="005D2ABD" w:rsidRPr="000D119D">
        <w:rPr>
          <w:lang w:val="en-AU"/>
        </w:rPr>
        <w:fldChar w:fldCharType="separate"/>
      </w:r>
      <w:r w:rsidR="00562174" w:rsidRPr="000D119D">
        <w:t xml:space="preserve">Figure </w:t>
      </w:r>
      <w:r w:rsidR="00562174">
        <w:rPr>
          <w:noProof/>
        </w:rPr>
        <w:t>8</w:t>
      </w:r>
      <w:r w:rsidR="005D2ABD" w:rsidRPr="000D119D">
        <w:rPr>
          <w:lang w:val="en-AU"/>
        </w:rPr>
        <w:fldChar w:fldCharType="end"/>
      </w:r>
      <w:r w:rsidR="005D2ABD" w:rsidRPr="000D119D">
        <w:rPr>
          <w:lang w:val="en-AU"/>
        </w:rPr>
        <w:t>)</w:t>
      </w:r>
      <w:r w:rsidR="00C24A87" w:rsidRPr="000D119D">
        <w:rPr>
          <w:lang w:val="en-AU"/>
        </w:rPr>
        <w:t xml:space="preserve">, </w:t>
      </w:r>
      <w:r w:rsidR="00B95855" w:rsidRPr="000D119D">
        <w:rPr>
          <w:lang w:val="en-AU"/>
        </w:rPr>
        <w:t xml:space="preserve">which promoted </w:t>
      </w:r>
      <w:r w:rsidR="003F39FD" w:rsidRPr="000D119D">
        <w:rPr>
          <w:lang w:val="en-AU"/>
        </w:rPr>
        <w:t>information sharing</w:t>
      </w:r>
      <w:r w:rsidR="00B95855" w:rsidRPr="000D119D">
        <w:rPr>
          <w:lang w:val="en-AU"/>
        </w:rPr>
        <w:t xml:space="preserve">, pragmatic use of combined resources </w:t>
      </w:r>
      <w:r w:rsidR="003F39FD" w:rsidRPr="000D119D">
        <w:rPr>
          <w:lang w:val="en-AU"/>
        </w:rPr>
        <w:t>and joint problem solving</w:t>
      </w:r>
      <w:r w:rsidR="005D2ABD" w:rsidRPr="000D119D">
        <w:rPr>
          <w:lang w:val="en-AU"/>
        </w:rPr>
        <w:t>.</w:t>
      </w:r>
    </w:p>
    <w:p w14:paraId="4FB244F1" w14:textId="5379BEF2" w:rsidR="005D2ABD" w:rsidRPr="000D119D" w:rsidRDefault="005938B3" w:rsidP="005D2ABD">
      <w:pPr>
        <w:rPr>
          <w:lang w:val="en-AU"/>
        </w:rPr>
      </w:pPr>
      <w:r w:rsidRPr="000D119D">
        <w:rPr>
          <w:lang w:val="en-AU"/>
        </w:rPr>
        <w:t xml:space="preserve">While supported by governance, </w:t>
      </w:r>
      <w:r w:rsidR="00801AFE" w:rsidRPr="000D119D">
        <w:rPr>
          <w:lang w:val="en-AU"/>
        </w:rPr>
        <w:t xml:space="preserve">PHN CEOs </w:t>
      </w:r>
      <w:r w:rsidRPr="000D119D">
        <w:rPr>
          <w:lang w:val="en-AU"/>
        </w:rPr>
        <w:t xml:space="preserve">emphasised the level of goodwill that has been </w:t>
      </w:r>
      <w:r w:rsidR="00801AFE" w:rsidRPr="000D119D">
        <w:rPr>
          <w:lang w:val="en-AU"/>
        </w:rPr>
        <w:t xml:space="preserve">critical in establishment success. </w:t>
      </w:r>
      <w:r w:rsidR="005D2ABD" w:rsidRPr="000D119D">
        <w:rPr>
          <w:lang w:val="en-AU"/>
        </w:rPr>
        <w:t xml:space="preserve">PHN stakeholders </w:t>
      </w:r>
      <w:r w:rsidR="00801AFE" w:rsidRPr="000D119D">
        <w:rPr>
          <w:lang w:val="en-AU"/>
        </w:rPr>
        <w:t xml:space="preserve">similarly </w:t>
      </w:r>
      <w:r w:rsidR="005D2ABD" w:rsidRPr="000D119D">
        <w:rPr>
          <w:lang w:val="en-AU"/>
        </w:rPr>
        <w:t>commended the trust and willingness to relinquish control over some aspects of the program, and the deep connections that evolved between PHNs.</w:t>
      </w:r>
    </w:p>
    <w:p w14:paraId="4A11F8B9" w14:textId="1C70FAA2" w:rsidR="00801AFE" w:rsidRPr="000D119D" w:rsidRDefault="00801AFE" w:rsidP="00801AFE">
      <w:pPr>
        <w:pStyle w:val="Caption"/>
        <w:rPr>
          <w:i/>
          <w:iCs/>
        </w:rPr>
      </w:pPr>
      <w:bookmarkStart w:id="44" w:name="_Ref95129719"/>
      <w:r w:rsidRPr="000D119D">
        <w:t xml:space="preserve">Figure </w:t>
      </w:r>
      <w:r w:rsidR="00C90990">
        <w:fldChar w:fldCharType="begin"/>
      </w:r>
      <w:r w:rsidR="00C90990">
        <w:instrText xml:space="preserve"> SEQ Figure \* ARABIC </w:instrText>
      </w:r>
      <w:r w:rsidR="00C90990">
        <w:fldChar w:fldCharType="separate"/>
      </w:r>
      <w:r w:rsidR="00562174">
        <w:rPr>
          <w:noProof/>
        </w:rPr>
        <w:t>8</w:t>
      </w:r>
      <w:r w:rsidR="00C90990">
        <w:fldChar w:fldCharType="end"/>
      </w:r>
      <w:bookmarkEnd w:id="44"/>
      <w:r w:rsidRPr="000D119D">
        <w:t xml:space="preserve"> | Governance arrangements for </w:t>
      </w:r>
      <w:proofErr w:type="spellStart"/>
      <w:r w:rsidRPr="000D119D">
        <w:rPr>
          <w:i/>
          <w:iCs/>
        </w:rPr>
        <w:t>HeadtoHelp</w:t>
      </w:r>
      <w:proofErr w:type="spellEnd"/>
    </w:p>
    <w:p w14:paraId="2E499278" w14:textId="3BD5B24D" w:rsidR="00801AFE" w:rsidRPr="000D119D" w:rsidRDefault="00BD0024" w:rsidP="005D2ABD">
      <w:pPr>
        <w:rPr>
          <w:lang w:val="en-AU"/>
        </w:rPr>
      </w:pPr>
      <w:r w:rsidRPr="00BD0024">
        <w:rPr>
          <w:noProof/>
        </w:rPr>
        <w:drawing>
          <wp:inline distT="0" distB="0" distL="0" distR="0" wp14:anchorId="732A8A70" wp14:editId="63AC2822">
            <wp:extent cx="5670550" cy="4318000"/>
            <wp:effectExtent l="0" t="0" r="6350" b="6350"/>
            <wp:docPr id="31" name="Picture 31" descr="Figure 8 is a flowchart showing the Governance arrangements for Head to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8 is a flowchart showing the Governance arrangements for Head to Hel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0550" cy="4318000"/>
                    </a:xfrm>
                    <a:prstGeom prst="rect">
                      <a:avLst/>
                    </a:prstGeom>
                    <a:noFill/>
                    <a:ln>
                      <a:noFill/>
                    </a:ln>
                  </pic:spPr>
                </pic:pic>
              </a:graphicData>
            </a:graphic>
          </wp:inline>
        </w:drawing>
      </w:r>
    </w:p>
    <w:p w14:paraId="19F7C3EA" w14:textId="1D3ED046" w:rsidR="005D2ABD" w:rsidRPr="000D119D" w:rsidRDefault="00B93D71" w:rsidP="005D2ABD">
      <w:pPr>
        <w:rPr>
          <w:lang w:val="en-AU"/>
        </w:rPr>
      </w:pPr>
      <w:r w:rsidRPr="000D119D">
        <w:rPr>
          <w:lang w:val="en-AU"/>
        </w:rPr>
        <w:t xml:space="preserve">The </w:t>
      </w:r>
      <w:proofErr w:type="spellStart"/>
      <w:r w:rsidRPr="00AB1B9C">
        <w:rPr>
          <w:rStyle w:val="Emphasis"/>
        </w:rPr>
        <w:t>HeadtoHelp</w:t>
      </w:r>
      <w:proofErr w:type="spellEnd"/>
      <w:r w:rsidRPr="000D119D">
        <w:rPr>
          <w:lang w:val="en-AU"/>
        </w:rPr>
        <w:t xml:space="preserve"> governance model </w:t>
      </w:r>
      <w:r w:rsidR="00010223" w:rsidRPr="000D119D">
        <w:rPr>
          <w:lang w:val="en-AU"/>
        </w:rPr>
        <w:t>(</w:t>
      </w:r>
      <w:r w:rsidR="00010223" w:rsidRPr="000D119D">
        <w:rPr>
          <w:lang w:val="en-AU"/>
        </w:rPr>
        <w:fldChar w:fldCharType="begin"/>
      </w:r>
      <w:r w:rsidR="00010223" w:rsidRPr="000D119D">
        <w:rPr>
          <w:lang w:val="en-AU"/>
        </w:rPr>
        <w:instrText xml:space="preserve"> REF _Ref95129719 \h </w:instrText>
      </w:r>
      <w:r w:rsidR="00010223" w:rsidRPr="000D119D">
        <w:rPr>
          <w:lang w:val="en-AU"/>
        </w:rPr>
      </w:r>
      <w:r w:rsidR="00010223" w:rsidRPr="000D119D">
        <w:rPr>
          <w:lang w:val="en-AU"/>
        </w:rPr>
        <w:fldChar w:fldCharType="separate"/>
      </w:r>
      <w:r w:rsidR="00562174" w:rsidRPr="000D119D">
        <w:t xml:space="preserve">Figure </w:t>
      </w:r>
      <w:r w:rsidR="00562174">
        <w:rPr>
          <w:noProof/>
        </w:rPr>
        <w:t>8</w:t>
      </w:r>
      <w:r w:rsidR="00010223" w:rsidRPr="000D119D">
        <w:rPr>
          <w:lang w:val="en-AU"/>
        </w:rPr>
        <w:fldChar w:fldCharType="end"/>
      </w:r>
      <w:r w:rsidR="00010223" w:rsidRPr="000D119D">
        <w:rPr>
          <w:lang w:val="en-AU"/>
        </w:rPr>
        <w:t xml:space="preserve">) </w:t>
      </w:r>
      <w:r w:rsidRPr="000D119D">
        <w:rPr>
          <w:lang w:val="en-AU"/>
        </w:rPr>
        <w:t>had four key features designed to support collaboration</w:t>
      </w:r>
      <w:r w:rsidR="00010223" w:rsidRPr="000D119D">
        <w:rPr>
          <w:lang w:val="en-AU"/>
        </w:rPr>
        <w:t>:</w:t>
      </w:r>
    </w:p>
    <w:p w14:paraId="5123AB84" w14:textId="00BB188C" w:rsidR="005D2ABD" w:rsidRPr="000D119D" w:rsidRDefault="005D2ABD" w:rsidP="006C2E61">
      <w:pPr>
        <w:pStyle w:val="Listnumbered"/>
        <w:numPr>
          <w:ilvl w:val="0"/>
          <w:numId w:val="19"/>
        </w:numPr>
      </w:pPr>
      <w:r w:rsidRPr="003633BD">
        <w:rPr>
          <w:rFonts w:asciiTheme="majorHAnsi" w:hAnsiTheme="majorHAnsi" w:cstheme="majorHAnsi"/>
        </w:rPr>
        <w:t>CEO attention and investment</w:t>
      </w:r>
      <w:r w:rsidR="004A6FAE" w:rsidRPr="003633BD">
        <w:rPr>
          <w:rFonts w:asciiTheme="majorHAnsi" w:hAnsiTheme="majorHAnsi" w:cstheme="majorHAnsi"/>
        </w:rPr>
        <w:t>.</w:t>
      </w:r>
      <w:r w:rsidRPr="000D119D">
        <w:t xml:space="preserve"> The six Victorian PHN CEOs established a CEO forum which met regularly to enable efficient decision making and find solutions to ongoing challenges. During the establishment phase, CEOs had daily </w:t>
      </w:r>
      <w:r w:rsidR="003F7421">
        <w:t>15</w:t>
      </w:r>
      <w:r w:rsidRPr="000D119D">
        <w:t xml:space="preserve">-minute stand ups. </w:t>
      </w:r>
      <w:r w:rsidR="001B5F71" w:rsidRPr="000D119D">
        <w:t>T</w:t>
      </w:r>
      <w:r w:rsidRPr="000D119D">
        <w:t xml:space="preserve">he frequency of the </w:t>
      </w:r>
      <w:proofErr w:type="spellStart"/>
      <w:r w:rsidR="001B5F71" w:rsidRPr="00AB1B9C">
        <w:rPr>
          <w:rStyle w:val="Emphasis"/>
        </w:rPr>
        <w:t>HeadtoHelp</w:t>
      </w:r>
      <w:proofErr w:type="spellEnd"/>
      <w:r w:rsidR="001B5F71" w:rsidRPr="000D119D">
        <w:t xml:space="preserve"> </w:t>
      </w:r>
      <w:r w:rsidRPr="000D119D">
        <w:t xml:space="preserve">CEO forum meetings </w:t>
      </w:r>
      <w:r w:rsidR="001B5F71" w:rsidRPr="000D119D">
        <w:t xml:space="preserve">naturally </w:t>
      </w:r>
      <w:r w:rsidRPr="000D119D">
        <w:t>decreased as hubs became more established</w:t>
      </w:r>
      <w:r w:rsidR="001B5F71" w:rsidRPr="000D119D">
        <w:t>, but it remains an item on monthly PHN CEO meetings.</w:t>
      </w:r>
    </w:p>
    <w:p w14:paraId="4BDF7C96" w14:textId="4C60E0C9" w:rsidR="005D2ABD" w:rsidRPr="000D119D" w:rsidRDefault="005D2ABD" w:rsidP="0074735E">
      <w:pPr>
        <w:pStyle w:val="Listnumbered"/>
      </w:pPr>
      <w:r w:rsidRPr="003633BD">
        <w:rPr>
          <w:rFonts w:asciiTheme="majorHAnsi" w:hAnsiTheme="majorHAnsi" w:cstheme="majorHAnsi"/>
        </w:rPr>
        <w:t xml:space="preserve">Dedicated </w:t>
      </w:r>
      <w:r w:rsidR="00866217" w:rsidRPr="003633BD">
        <w:rPr>
          <w:rFonts w:asciiTheme="majorHAnsi" w:hAnsiTheme="majorHAnsi" w:cstheme="majorHAnsi"/>
        </w:rPr>
        <w:t>project management office (</w:t>
      </w:r>
      <w:r w:rsidRPr="003633BD">
        <w:rPr>
          <w:rFonts w:asciiTheme="majorHAnsi" w:hAnsiTheme="majorHAnsi" w:cstheme="majorHAnsi"/>
        </w:rPr>
        <w:t>PMO</w:t>
      </w:r>
      <w:r w:rsidR="00866217" w:rsidRPr="003633BD">
        <w:rPr>
          <w:rFonts w:asciiTheme="majorHAnsi" w:hAnsiTheme="majorHAnsi" w:cstheme="majorHAnsi"/>
        </w:rPr>
        <w:t>)</w:t>
      </w:r>
      <w:r w:rsidRPr="003633BD">
        <w:rPr>
          <w:rFonts w:asciiTheme="majorHAnsi" w:hAnsiTheme="majorHAnsi" w:cstheme="majorHAnsi"/>
        </w:rPr>
        <w:t xml:space="preserve"> resources</w:t>
      </w:r>
      <w:r w:rsidR="00BB3236" w:rsidRPr="003633BD">
        <w:rPr>
          <w:rFonts w:asciiTheme="majorHAnsi" w:hAnsiTheme="majorHAnsi" w:cstheme="majorHAnsi"/>
        </w:rPr>
        <w:t>.</w:t>
      </w:r>
      <w:r w:rsidRPr="000D119D">
        <w:t xml:space="preserve"> A PMO was created to establish the </w:t>
      </w:r>
      <w:proofErr w:type="spellStart"/>
      <w:r w:rsidRPr="00AB1B9C">
        <w:rPr>
          <w:rStyle w:val="Emphasis"/>
        </w:rPr>
        <w:t>HeadtoHelp</w:t>
      </w:r>
      <w:proofErr w:type="spellEnd"/>
      <w:r w:rsidRPr="000D119D">
        <w:rPr>
          <w:i/>
          <w:iCs/>
        </w:rPr>
        <w:t xml:space="preserve"> </w:t>
      </w:r>
      <w:r w:rsidRPr="000D119D">
        <w:t xml:space="preserve">service and hubs. For the first three months there </w:t>
      </w:r>
      <w:r w:rsidR="003C194C" w:rsidRPr="000D119D">
        <w:t>was regular contact between the PMO and CEO groups</w:t>
      </w:r>
      <w:r w:rsidR="00FE1A0C" w:rsidRPr="000D119D">
        <w:t xml:space="preserve"> (commencing with daily updates, before settling to a fortnightly governance meeting and bringing in the stream leads as appropriate)</w:t>
      </w:r>
      <w:r w:rsidR="00FB455B">
        <w:t>.</w:t>
      </w:r>
      <w:r w:rsidRPr="000D119D">
        <w:t xml:space="preserve"> Initially this role was </w:t>
      </w:r>
      <w:r w:rsidRPr="000D119D">
        <w:lastRenderedPageBreak/>
        <w:t>supported by two project management resources from the Darling Downs and West Moreton PHN before transitioning back to the six Victorian PHNs following recruitment activities</w:t>
      </w:r>
      <w:r w:rsidR="0099425C" w:rsidRPr="000D119D">
        <w:t xml:space="preserve">, with the PMO role being run out of </w:t>
      </w:r>
      <w:proofErr w:type="gramStart"/>
      <w:r w:rsidR="00660E8F" w:rsidRPr="00660E8F">
        <w:t>South Eastern</w:t>
      </w:r>
      <w:proofErr w:type="gramEnd"/>
      <w:r w:rsidR="00660E8F" w:rsidRPr="00660E8F">
        <w:t xml:space="preserve"> Melbourne </w:t>
      </w:r>
      <w:r w:rsidR="00660E8F">
        <w:t>PHN (</w:t>
      </w:r>
      <w:r w:rsidR="0099425C" w:rsidRPr="000D119D">
        <w:t>SEMPHN</w:t>
      </w:r>
      <w:r w:rsidR="00660E8F">
        <w:t>)</w:t>
      </w:r>
      <w:r w:rsidRPr="000D119D">
        <w:t>.</w:t>
      </w:r>
    </w:p>
    <w:p w14:paraId="53C1B79F" w14:textId="6A1EB022" w:rsidR="00E0578B" w:rsidRPr="000D119D" w:rsidRDefault="00AB5DDB" w:rsidP="0074735E">
      <w:pPr>
        <w:pStyle w:val="Listnumbered"/>
      </w:pPr>
      <w:r w:rsidRPr="003633BD">
        <w:rPr>
          <w:rFonts w:asciiTheme="majorHAnsi" w:hAnsiTheme="majorHAnsi" w:cstheme="majorHAnsi"/>
        </w:rPr>
        <w:t>Senior government reporting lines</w:t>
      </w:r>
      <w:r w:rsidR="00961943" w:rsidRPr="003633BD">
        <w:rPr>
          <w:rFonts w:asciiTheme="majorHAnsi" w:hAnsiTheme="majorHAnsi" w:cstheme="majorHAnsi"/>
        </w:rPr>
        <w:t>.</w:t>
      </w:r>
      <w:r w:rsidRPr="000D119D">
        <w:rPr>
          <w:b/>
          <w:bCs/>
        </w:rPr>
        <w:t xml:space="preserve"> </w:t>
      </w:r>
      <w:proofErr w:type="spellStart"/>
      <w:r w:rsidR="005938B3" w:rsidRPr="00AB1B9C">
        <w:rPr>
          <w:rStyle w:val="Emphasis"/>
        </w:rPr>
        <w:t>HeadtoHelp</w:t>
      </w:r>
      <w:proofErr w:type="spellEnd"/>
      <w:r w:rsidR="005938B3" w:rsidRPr="000D119D">
        <w:rPr>
          <w:i/>
          <w:iCs/>
        </w:rPr>
        <w:t xml:space="preserve"> </w:t>
      </w:r>
      <w:r w:rsidR="005938B3" w:rsidRPr="000D119D">
        <w:t xml:space="preserve">establishment and implementation was overseen by the Victorian Mental Health Pandemic Response Taskforce. Discussion on the </w:t>
      </w:r>
      <w:r w:rsidR="00961943" w:rsidRPr="000D119D">
        <w:t>effectiveness</w:t>
      </w:r>
      <w:r w:rsidR="005938B3" w:rsidRPr="000D119D">
        <w:t xml:space="preserve"> of the Taskforce is included in </w:t>
      </w:r>
      <w:r w:rsidR="00D95A21">
        <w:t xml:space="preserve">Section </w:t>
      </w:r>
      <w:r w:rsidR="00D95A21">
        <w:fldChar w:fldCharType="begin"/>
      </w:r>
      <w:r w:rsidR="00D95A21">
        <w:instrText xml:space="preserve"> REF _Ref97018981 \r \h </w:instrText>
      </w:r>
      <w:r w:rsidR="00D95A21">
        <w:fldChar w:fldCharType="separate"/>
      </w:r>
      <w:r w:rsidR="00562174">
        <w:t>3.2.2</w:t>
      </w:r>
      <w:r w:rsidR="00D95A21">
        <w:fldChar w:fldCharType="end"/>
      </w:r>
      <w:r w:rsidR="003633BD">
        <w:t>.</w:t>
      </w:r>
    </w:p>
    <w:p w14:paraId="31C7CCC1" w14:textId="65705941" w:rsidR="00AB5DDB" w:rsidRPr="000D119D" w:rsidRDefault="005D2ABD" w:rsidP="0074735E">
      <w:pPr>
        <w:pStyle w:val="Listnumbered"/>
      </w:pPr>
      <w:r w:rsidRPr="003633BD">
        <w:rPr>
          <w:rFonts w:asciiTheme="majorHAnsi" w:hAnsiTheme="majorHAnsi" w:cstheme="majorHAnsi"/>
        </w:rPr>
        <w:t>An appropriately delegated shared-services model</w:t>
      </w:r>
      <w:r w:rsidR="00961943" w:rsidRPr="003633BD">
        <w:rPr>
          <w:rFonts w:asciiTheme="majorHAnsi" w:hAnsiTheme="majorHAnsi" w:cstheme="majorHAnsi"/>
        </w:rPr>
        <w:t>.</w:t>
      </w:r>
      <w:r w:rsidRPr="000D119D">
        <w:t xml:space="preserve"> The six PHNs developed a shared-services model </w:t>
      </w:r>
      <w:r w:rsidRPr="00141636">
        <w:t>(</w:t>
      </w:r>
      <w:r w:rsidR="00A702DD">
        <w:t xml:space="preserve">Section </w:t>
      </w:r>
      <w:r w:rsidR="00A702DD">
        <w:fldChar w:fldCharType="begin"/>
      </w:r>
      <w:r w:rsidR="00A702DD">
        <w:instrText xml:space="preserve"> REF _Ref97019098 \r \h </w:instrText>
      </w:r>
      <w:r w:rsidR="00A702DD">
        <w:fldChar w:fldCharType="separate"/>
      </w:r>
      <w:r w:rsidR="00562174">
        <w:t>3.2.3</w:t>
      </w:r>
      <w:r w:rsidR="00A702DD">
        <w:fldChar w:fldCharType="end"/>
      </w:r>
      <w:r w:rsidRPr="000D119D">
        <w:t xml:space="preserve">) </w:t>
      </w:r>
      <w:r w:rsidR="00AB5DDB" w:rsidRPr="000D119D">
        <w:t xml:space="preserve">to support consistency and efficiency in the establishment and operation of </w:t>
      </w:r>
      <w:proofErr w:type="spellStart"/>
      <w:r w:rsidR="00AB5DDB" w:rsidRPr="00AB1B9C">
        <w:rPr>
          <w:rStyle w:val="Emphasis"/>
        </w:rPr>
        <w:t>HeadtoHelp</w:t>
      </w:r>
      <w:proofErr w:type="spellEnd"/>
      <w:r w:rsidRPr="000D119D">
        <w:t xml:space="preserve">. </w:t>
      </w:r>
    </w:p>
    <w:p w14:paraId="0E90A94C" w14:textId="77777777" w:rsidR="0068211E" w:rsidRPr="000D119D" w:rsidRDefault="0068211E" w:rsidP="00BE0860">
      <w:pPr>
        <w:pStyle w:val="Heading4"/>
      </w:pPr>
      <w:proofErr w:type="spellStart"/>
      <w:r w:rsidRPr="00961943">
        <w:rPr>
          <w:i/>
        </w:rPr>
        <w:t>HeadtoHelp</w:t>
      </w:r>
      <w:proofErr w:type="spellEnd"/>
      <w:r w:rsidRPr="000D119D">
        <w:t xml:space="preserve"> has provided a precedent for collaborative working among PHNs</w:t>
      </w:r>
    </w:p>
    <w:p w14:paraId="7B8347AB" w14:textId="05BA8B81" w:rsidR="0068211E" w:rsidRPr="000D119D" w:rsidRDefault="00746C14" w:rsidP="0068211E">
      <w:pPr>
        <w:rPr>
          <w:iCs/>
          <w:lang w:val="en-AU"/>
        </w:rPr>
      </w:pPr>
      <w:r w:rsidRPr="000D119D">
        <w:rPr>
          <w:lang w:val="en-AU"/>
        </w:rPr>
        <w:t>I</w:t>
      </w:r>
      <w:r w:rsidR="0068211E" w:rsidRPr="000D119D">
        <w:rPr>
          <w:lang w:val="en-AU"/>
        </w:rPr>
        <w:t xml:space="preserve">t was initially hypothesized that the </w:t>
      </w:r>
      <w:r w:rsidRPr="000D119D">
        <w:rPr>
          <w:lang w:val="en-AU"/>
        </w:rPr>
        <w:t xml:space="preserve">PHN </w:t>
      </w:r>
      <w:r w:rsidR="0068211E" w:rsidRPr="000D119D">
        <w:rPr>
          <w:lang w:val="en-AU"/>
        </w:rPr>
        <w:t xml:space="preserve">collaboration </w:t>
      </w:r>
      <w:r w:rsidRPr="000D119D">
        <w:rPr>
          <w:lang w:val="en-AU"/>
        </w:rPr>
        <w:t>in</w:t>
      </w:r>
      <w:r w:rsidR="0068211E" w:rsidRPr="000D119D">
        <w:rPr>
          <w:lang w:val="en-AU"/>
        </w:rPr>
        <w:t xml:space="preserve"> establishing </w:t>
      </w:r>
      <w:proofErr w:type="spellStart"/>
      <w:r w:rsidR="0068211E" w:rsidRPr="00AB1B9C">
        <w:rPr>
          <w:rStyle w:val="Emphasis"/>
        </w:rPr>
        <w:t>HeadtoHelp</w:t>
      </w:r>
      <w:proofErr w:type="spellEnd"/>
      <w:r w:rsidR="0068211E" w:rsidRPr="000D119D">
        <w:rPr>
          <w:lang w:val="en-AU"/>
        </w:rPr>
        <w:t xml:space="preserve"> was crisis-driven and therefore might be difficult to replicate in other circumstances</w:t>
      </w:r>
      <w:r w:rsidRPr="000D119D">
        <w:rPr>
          <w:lang w:val="en-AU"/>
        </w:rPr>
        <w:t>. However</w:t>
      </w:r>
      <w:r w:rsidR="00961943" w:rsidRPr="000D119D">
        <w:rPr>
          <w:lang w:val="en-AU"/>
        </w:rPr>
        <w:t>,</w:t>
      </w:r>
      <w:r w:rsidR="0068211E" w:rsidRPr="000D119D">
        <w:rPr>
          <w:lang w:val="en-AU"/>
        </w:rPr>
        <w:t xml:space="preserve"> PHN CEOs and </w:t>
      </w:r>
      <w:r w:rsidR="00961943">
        <w:rPr>
          <w:lang w:val="en-AU"/>
        </w:rPr>
        <w:t>s</w:t>
      </w:r>
      <w:r w:rsidR="0068211E" w:rsidRPr="000D119D">
        <w:rPr>
          <w:lang w:val="en-AU"/>
        </w:rPr>
        <w:t xml:space="preserve">tream leads </w:t>
      </w:r>
      <w:r w:rsidRPr="000D119D">
        <w:rPr>
          <w:lang w:val="en-AU"/>
        </w:rPr>
        <w:t>oppose this view, noting</w:t>
      </w:r>
      <w:r w:rsidR="00961943">
        <w:rPr>
          <w:lang w:val="en-AU"/>
        </w:rPr>
        <w:t xml:space="preserve"> </w:t>
      </w:r>
      <w:r w:rsidR="0068211E" w:rsidRPr="000D119D">
        <w:rPr>
          <w:lang w:val="en-AU"/>
        </w:rPr>
        <w:t xml:space="preserve">that this collaboration has already begun to extend beyond </w:t>
      </w:r>
      <w:proofErr w:type="spellStart"/>
      <w:r w:rsidR="0068211E" w:rsidRPr="00AB1B9C">
        <w:rPr>
          <w:rStyle w:val="Emphasis"/>
        </w:rPr>
        <w:t>HeadtoHelp</w:t>
      </w:r>
      <w:proofErr w:type="spellEnd"/>
      <w:r w:rsidR="0068211E" w:rsidRPr="000D119D">
        <w:rPr>
          <w:lang w:val="en-AU"/>
        </w:rPr>
        <w:t xml:space="preserve">. Stakeholders have reflected that the PHN approach to collaboration (governance groups, resource sharing) to establish and operate </w:t>
      </w:r>
      <w:proofErr w:type="spellStart"/>
      <w:r w:rsidR="0068211E" w:rsidRPr="00AB1B9C">
        <w:rPr>
          <w:rStyle w:val="Emphasis"/>
        </w:rPr>
        <w:t>HeadtoHelp</w:t>
      </w:r>
      <w:proofErr w:type="spellEnd"/>
      <w:r w:rsidR="0068211E" w:rsidRPr="000D119D">
        <w:rPr>
          <w:lang w:val="en-AU"/>
        </w:rPr>
        <w:t xml:space="preserve"> can serve as a model for working together on other projects and are determined to retain the efficiencies realised from shared services arrangements to support the progress and outcomes of other PHN activities now and in future.</w:t>
      </w:r>
    </w:p>
    <w:p w14:paraId="4FD9D8E6" w14:textId="37B6D12C" w:rsidR="00114B6D" w:rsidRPr="000D119D" w:rsidRDefault="00114B6D" w:rsidP="00BE0860">
      <w:pPr>
        <w:pStyle w:val="Heading4"/>
      </w:pPr>
      <w:r w:rsidRPr="000D119D">
        <w:t xml:space="preserve">The Taskforce </w:t>
      </w:r>
      <w:r w:rsidR="00E27FAA" w:rsidRPr="000D119D">
        <w:t>was</w:t>
      </w:r>
      <w:r w:rsidRPr="000D119D">
        <w:t xml:space="preserve"> </w:t>
      </w:r>
      <w:r w:rsidR="00E0578B" w:rsidRPr="000D119D">
        <w:t>a useful</w:t>
      </w:r>
      <w:r w:rsidRPr="000D119D">
        <w:t xml:space="preserve"> mechanism to stand up </w:t>
      </w:r>
      <w:proofErr w:type="spellStart"/>
      <w:r w:rsidRPr="000D119D">
        <w:rPr>
          <w:i/>
        </w:rPr>
        <w:t>HeadtoHelp</w:t>
      </w:r>
      <w:proofErr w:type="spellEnd"/>
      <w:r w:rsidR="000256A6" w:rsidRPr="000D119D">
        <w:rPr>
          <w:i/>
        </w:rPr>
        <w:t xml:space="preserve">, </w:t>
      </w:r>
      <w:r w:rsidR="000256A6" w:rsidRPr="000D119D">
        <w:t xml:space="preserve">however its </w:t>
      </w:r>
      <w:r w:rsidR="007E165E" w:rsidRPr="000D119D">
        <w:t>value</w:t>
      </w:r>
      <w:r w:rsidR="000256A6" w:rsidRPr="000D119D">
        <w:t xml:space="preserve"> decreased </w:t>
      </w:r>
      <w:r w:rsidR="007E165E" w:rsidRPr="000D119D">
        <w:t>over time</w:t>
      </w:r>
    </w:p>
    <w:p w14:paraId="7362D9CD" w14:textId="0B37247A" w:rsidR="00114B6D" w:rsidRPr="000D119D" w:rsidRDefault="00834B34" w:rsidP="00114B6D">
      <w:pPr>
        <w:rPr>
          <w:lang w:val="en-AU"/>
        </w:rPr>
      </w:pPr>
      <w:r w:rsidRPr="000D119D">
        <w:rPr>
          <w:lang w:val="en-AU"/>
        </w:rPr>
        <w:t>The</w:t>
      </w:r>
      <w:r w:rsidR="00114B6D" w:rsidRPr="000D119D">
        <w:rPr>
          <w:lang w:val="en-AU"/>
        </w:rPr>
        <w:t xml:space="preserve"> Taskforce, </w:t>
      </w:r>
      <w:r w:rsidRPr="000D119D">
        <w:rPr>
          <w:lang w:val="en-AU"/>
        </w:rPr>
        <w:t>comprising of PHN, Commonwealth and Victorian Government representatives was set up to provide advice and oversight during establishment and implementation.</w:t>
      </w:r>
      <w:r w:rsidR="00114B6D" w:rsidRPr="000D119D">
        <w:rPr>
          <w:lang w:val="en-AU"/>
        </w:rPr>
        <w:t xml:space="preserve"> The Taskforce </w:t>
      </w:r>
      <w:r w:rsidR="008805F5" w:rsidRPr="000D119D">
        <w:rPr>
          <w:lang w:val="en-AU"/>
        </w:rPr>
        <w:t>was</w:t>
      </w:r>
      <w:r w:rsidR="00114B6D" w:rsidRPr="000D119D">
        <w:rPr>
          <w:lang w:val="en-AU"/>
        </w:rPr>
        <w:t xml:space="preserve"> co-chaired by </w:t>
      </w:r>
      <w:r w:rsidR="00CE0FF4" w:rsidRPr="000D119D">
        <w:rPr>
          <w:lang w:val="en-AU"/>
        </w:rPr>
        <w:t>Dr</w:t>
      </w:r>
      <w:r w:rsidR="00463477" w:rsidRPr="000D119D">
        <w:rPr>
          <w:lang w:val="en-AU"/>
        </w:rPr>
        <w:t>.</w:t>
      </w:r>
      <w:r w:rsidR="00114B6D" w:rsidRPr="000D119D">
        <w:rPr>
          <w:lang w:val="en-AU"/>
        </w:rPr>
        <w:t xml:space="preserve"> Ruth Vine, Deputy Chief Medical Officer and Pam Anders, CEO of Mental Health Reform Victoria</w:t>
      </w:r>
      <w:r w:rsidR="008805F5" w:rsidRPr="000D119D">
        <w:rPr>
          <w:rStyle w:val="FootnoteReference"/>
          <w:lang w:val="en-AU"/>
        </w:rPr>
        <w:footnoteReference w:id="17"/>
      </w:r>
      <w:r w:rsidR="00114B6D" w:rsidRPr="000D119D">
        <w:rPr>
          <w:lang w:val="en-AU"/>
        </w:rPr>
        <w:t xml:space="preserve">, and worked alongside the Victorian PHN CEO forum to support </w:t>
      </w:r>
      <w:proofErr w:type="spellStart"/>
      <w:r w:rsidR="00114B6D" w:rsidRPr="00AB1B9C">
        <w:rPr>
          <w:rStyle w:val="Emphasis"/>
        </w:rPr>
        <w:t>HeadtoHelp’s</w:t>
      </w:r>
      <w:proofErr w:type="spellEnd"/>
      <w:r w:rsidR="00114B6D" w:rsidRPr="000D119D">
        <w:rPr>
          <w:lang w:val="en-AU"/>
        </w:rPr>
        <w:t xml:space="preserve"> rapid stand up and implementation. In the early stages of </w:t>
      </w:r>
      <w:proofErr w:type="spellStart"/>
      <w:r w:rsidR="00114B6D" w:rsidRPr="00AB1B9C">
        <w:rPr>
          <w:rStyle w:val="Emphasis"/>
        </w:rPr>
        <w:t>HeadtoHelp</w:t>
      </w:r>
      <w:proofErr w:type="spellEnd"/>
      <w:r w:rsidR="00114B6D" w:rsidRPr="000D119D">
        <w:rPr>
          <w:lang w:val="en-AU"/>
        </w:rPr>
        <w:t xml:space="preserve">, the Taskforce met weekly, </w:t>
      </w:r>
      <w:r w:rsidR="00751EBA" w:rsidRPr="000D119D">
        <w:rPr>
          <w:lang w:val="en-AU"/>
        </w:rPr>
        <w:t xml:space="preserve">then </w:t>
      </w:r>
      <w:r w:rsidR="00114B6D" w:rsidRPr="000D119D">
        <w:rPr>
          <w:lang w:val="en-AU"/>
        </w:rPr>
        <w:t>transition</w:t>
      </w:r>
      <w:r w:rsidR="00751EBA" w:rsidRPr="000D119D">
        <w:rPr>
          <w:lang w:val="en-AU"/>
        </w:rPr>
        <w:t>ing</w:t>
      </w:r>
      <w:r w:rsidR="00114B6D" w:rsidRPr="000D119D">
        <w:rPr>
          <w:lang w:val="en-AU"/>
        </w:rPr>
        <w:t xml:space="preserve"> to meeting monthly</w:t>
      </w:r>
      <w:r w:rsidR="00751EBA" w:rsidRPr="000D119D">
        <w:rPr>
          <w:lang w:val="en-AU"/>
        </w:rPr>
        <w:t xml:space="preserve"> </w:t>
      </w:r>
      <w:r w:rsidR="009F48AF" w:rsidRPr="000D119D">
        <w:rPr>
          <w:lang w:val="en-AU"/>
        </w:rPr>
        <w:t>with a broader agenda</w:t>
      </w:r>
      <w:r w:rsidR="00E0578B" w:rsidRPr="000D119D">
        <w:rPr>
          <w:lang w:val="en-AU"/>
        </w:rPr>
        <w:t>.</w:t>
      </w:r>
      <w:r w:rsidR="00114B6D" w:rsidRPr="000D119D">
        <w:rPr>
          <w:lang w:val="en-AU"/>
        </w:rPr>
        <w:t xml:space="preserve"> The Taskforce receives monthly reporting prepared by the PHN </w:t>
      </w:r>
      <w:r w:rsidR="00FD3562" w:rsidRPr="000D119D">
        <w:rPr>
          <w:lang w:val="en-AU"/>
        </w:rPr>
        <w:t>D</w:t>
      </w:r>
      <w:r w:rsidR="00114B6D" w:rsidRPr="000D119D">
        <w:rPr>
          <w:lang w:val="en-AU"/>
        </w:rPr>
        <w:t>ata</w:t>
      </w:r>
      <w:r w:rsidR="00FD3562" w:rsidRPr="000D119D">
        <w:rPr>
          <w:lang w:val="en-AU"/>
        </w:rPr>
        <w:t xml:space="preserve"> and R</w:t>
      </w:r>
      <w:r w:rsidR="00114B6D" w:rsidRPr="000D119D">
        <w:rPr>
          <w:lang w:val="en-AU"/>
        </w:rPr>
        <w:t xml:space="preserve">eporting stream lead and the </w:t>
      </w:r>
      <w:proofErr w:type="spellStart"/>
      <w:r w:rsidR="00114B6D" w:rsidRPr="00AB1B9C">
        <w:rPr>
          <w:rStyle w:val="Emphasis"/>
        </w:rPr>
        <w:t>HeadtoHelp</w:t>
      </w:r>
      <w:proofErr w:type="spellEnd"/>
      <w:r w:rsidR="00114B6D" w:rsidRPr="000D119D">
        <w:rPr>
          <w:lang w:val="en-AU"/>
        </w:rPr>
        <w:t xml:space="preserve"> PMO. </w:t>
      </w:r>
    </w:p>
    <w:p w14:paraId="324A7D0B" w14:textId="26C60401" w:rsidR="000C15A5" w:rsidRPr="000D119D" w:rsidRDefault="00114B6D" w:rsidP="00114B6D">
      <w:pPr>
        <w:rPr>
          <w:lang w:val="en-AU"/>
        </w:rPr>
      </w:pPr>
      <w:r w:rsidRPr="000D119D">
        <w:rPr>
          <w:lang w:val="en-AU"/>
        </w:rPr>
        <w:t xml:space="preserve">Joint Victorian and Commonwealth leadership has been a vital governance mechanism to steer the rapid establishment and implementation of </w:t>
      </w:r>
      <w:proofErr w:type="spellStart"/>
      <w:r w:rsidRPr="00AB1B9C">
        <w:rPr>
          <w:rStyle w:val="Emphasis"/>
        </w:rPr>
        <w:t>HeadtoHelp</w:t>
      </w:r>
      <w:proofErr w:type="spellEnd"/>
      <w:r w:rsidRPr="000D119D">
        <w:rPr>
          <w:lang w:val="en-AU"/>
        </w:rPr>
        <w:t>. Stakeholders noted</w:t>
      </w:r>
      <w:r w:rsidR="00BA1516" w:rsidRPr="000D119D">
        <w:rPr>
          <w:lang w:val="en-AU"/>
        </w:rPr>
        <w:t xml:space="preserve"> that, initially, the</w:t>
      </w:r>
      <w:r w:rsidRPr="000D119D">
        <w:rPr>
          <w:lang w:val="en-AU"/>
        </w:rPr>
        <w:t xml:space="preserve"> Taskforce </w:t>
      </w:r>
      <w:r w:rsidR="00BA1516" w:rsidRPr="000D119D">
        <w:rPr>
          <w:lang w:val="en-AU"/>
        </w:rPr>
        <w:t xml:space="preserve">was </w:t>
      </w:r>
      <w:r w:rsidRPr="000D119D">
        <w:rPr>
          <w:lang w:val="en-AU"/>
        </w:rPr>
        <w:t xml:space="preserve">a valuable forum to support decision making and </w:t>
      </w:r>
      <w:r w:rsidR="00BA1516" w:rsidRPr="000D119D">
        <w:rPr>
          <w:lang w:val="en-AU"/>
        </w:rPr>
        <w:t xml:space="preserve">provided </w:t>
      </w:r>
      <w:r w:rsidRPr="000D119D">
        <w:rPr>
          <w:lang w:val="en-AU"/>
        </w:rPr>
        <w:t xml:space="preserve">a unique opportunity to bring together the Commonwealth and </w:t>
      </w:r>
      <w:r w:rsidR="006D4759" w:rsidRPr="000D119D">
        <w:rPr>
          <w:lang w:val="en-AU"/>
        </w:rPr>
        <w:t>state governme</w:t>
      </w:r>
      <w:r w:rsidRPr="000D119D">
        <w:rPr>
          <w:lang w:val="en-AU"/>
        </w:rPr>
        <w:t xml:space="preserve">nt for deep collaboration. </w:t>
      </w:r>
      <w:r w:rsidR="00237689" w:rsidRPr="000D119D">
        <w:rPr>
          <w:lang w:val="en-AU"/>
        </w:rPr>
        <w:t xml:space="preserve">However, </w:t>
      </w:r>
      <w:r w:rsidR="00FD3562" w:rsidRPr="000D119D">
        <w:rPr>
          <w:lang w:val="en-AU"/>
        </w:rPr>
        <w:t>stakeholders reflected</w:t>
      </w:r>
      <w:r w:rsidR="00237689" w:rsidRPr="000D119D">
        <w:rPr>
          <w:lang w:val="en-AU"/>
        </w:rPr>
        <w:t xml:space="preserve"> </w:t>
      </w:r>
      <w:r w:rsidR="00B7240E" w:rsidRPr="000D119D">
        <w:rPr>
          <w:lang w:val="en-AU"/>
        </w:rPr>
        <w:t xml:space="preserve">the value of the Taskforce has diminished as establishment has progressed, which may be due to a lack of clarity around its ongoing purpose and role after the initial establishment phase. </w:t>
      </w:r>
      <w:r w:rsidRPr="000D119D">
        <w:rPr>
          <w:lang w:val="en-AU"/>
        </w:rPr>
        <w:t xml:space="preserve">Unfortunately, there </w:t>
      </w:r>
      <w:r w:rsidR="00EC4099" w:rsidRPr="000D119D">
        <w:rPr>
          <w:lang w:val="en-AU"/>
        </w:rPr>
        <w:t>is</w:t>
      </w:r>
      <w:r w:rsidRPr="000D119D">
        <w:rPr>
          <w:lang w:val="en-AU"/>
        </w:rPr>
        <w:t xml:space="preserve"> no explicit </w:t>
      </w:r>
      <w:r w:rsidR="00E243F8" w:rsidRPr="000D119D">
        <w:rPr>
          <w:lang w:val="en-AU"/>
        </w:rPr>
        <w:t>l</w:t>
      </w:r>
      <w:r w:rsidRPr="000D119D">
        <w:rPr>
          <w:lang w:val="en-AU"/>
        </w:rPr>
        <w:t xml:space="preserve">ived </w:t>
      </w:r>
      <w:r w:rsidR="00E243F8" w:rsidRPr="000D119D">
        <w:rPr>
          <w:lang w:val="en-AU"/>
        </w:rPr>
        <w:t>e</w:t>
      </w:r>
      <w:r w:rsidRPr="000D119D">
        <w:rPr>
          <w:lang w:val="en-AU"/>
        </w:rPr>
        <w:t xml:space="preserve">xperience representation on the Taskforce. </w:t>
      </w:r>
      <w:r w:rsidR="00BD3582" w:rsidRPr="000D119D">
        <w:rPr>
          <w:lang w:val="en-AU"/>
        </w:rPr>
        <w:t xml:space="preserve">This is a limitation that must be rectified </w:t>
      </w:r>
      <w:r w:rsidR="00F97F88" w:rsidRPr="000D119D">
        <w:rPr>
          <w:lang w:val="en-AU"/>
        </w:rPr>
        <w:t>in similar governance mechanisms going forward.</w:t>
      </w:r>
      <w:r w:rsidRPr="000D119D">
        <w:rPr>
          <w:lang w:val="en-AU"/>
        </w:rPr>
        <w:t xml:space="preserve"> </w:t>
      </w:r>
    </w:p>
    <w:p w14:paraId="6EABD44D" w14:textId="16EA5E3C" w:rsidR="00114B6D" w:rsidRPr="000D119D" w:rsidRDefault="00114B6D" w:rsidP="00114B6D">
      <w:pPr>
        <w:rPr>
          <w:lang w:val="en-AU"/>
        </w:rPr>
      </w:pPr>
      <w:r w:rsidRPr="000D119D">
        <w:rPr>
          <w:lang w:val="en-AU"/>
        </w:rPr>
        <w:t xml:space="preserve">Whilst the Victorian Government was appropriately represented on the Taskforce, </w:t>
      </w:r>
      <w:r w:rsidR="00E04CBC" w:rsidRPr="000D119D">
        <w:rPr>
          <w:lang w:val="en-AU"/>
        </w:rPr>
        <w:t>in</w:t>
      </w:r>
      <w:r w:rsidRPr="000D119D">
        <w:rPr>
          <w:lang w:val="en-AU"/>
        </w:rPr>
        <w:t xml:space="preserve"> effect </w:t>
      </w:r>
      <w:r w:rsidR="00E04CBC" w:rsidRPr="000D119D">
        <w:rPr>
          <w:lang w:val="en-AU"/>
        </w:rPr>
        <w:t xml:space="preserve">it </w:t>
      </w:r>
      <w:r w:rsidRPr="000D119D">
        <w:rPr>
          <w:lang w:val="en-AU"/>
        </w:rPr>
        <w:t>had limited ability to influence</w:t>
      </w:r>
      <w:r w:rsidR="008E199E" w:rsidRPr="000D119D">
        <w:rPr>
          <w:lang w:val="en-AU"/>
        </w:rPr>
        <w:t xml:space="preserve">, </w:t>
      </w:r>
      <w:r w:rsidR="00573679" w:rsidRPr="000D119D">
        <w:rPr>
          <w:lang w:val="en-AU"/>
        </w:rPr>
        <w:t>which</w:t>
      </w:r>
      <w:r w:rsidR="008E199E" w:rsidRPr="000D119D">
        <w:rPr>
          <w:lang w:val="en-AU"/>
        </w:rPr>
        <w:t xml:space="preserve"> </w:t>
      </w:r>
      <w:r w:rsidR="00573679" w:rsidRPr="000D119D">
        <w:rPr>
          <w:lang w:val="en-AU"/>
        </w:rPr>
        <w:t>impacted engagement</w:t>
      </w:r>
      <w:r w:rsidRPr="000D119D">
        <w:rPr>
          <w:lang w:val="en-AU"/>
        </w:rPr>
        <w:t xml:space="preserve">. Authority and influence sat primarily with </w:t>
      </w:r>
      <w:r w:rsidR="00641398">
        <w:rPr>
          <w:lang w:val="en-AU"/>
        </w:rPr>
        <w:t>the Department</w:t>
      </w:r>
      <w:r w:rsidRPr="000D119D">
        <w:rPr>
          <w:lang w:val="en-AU"/>
        </w:rPr>
        <w:t xml:space="preserve">, </w:t>
      </w:r>
      <w:proofErr w:type="gramStart"/>
      <w:r w:rsidRPr="000D119D">
        <w:rPr>
          <w:lang w:val="en-AU"/>
        </w:rPr>
        <w:t>as a result of</w:t>
      </w:r>
      <w:proofErr w:type="gramEnd"/>
      <w:r w:rsidRPr="000D119D">
        <w:rPr>
          <w:lang w:val="en-AU"/>
        </w:rPr>
        <w:t xml:space="preserve"> Commonwealth funding and PHN implementation. The flow of decision making and engagement at an operational level has varied, particularly with AMHSs who did not have representation on the Taskforce. Some stakeholders reflected on the need for greater involvement and action by the Victorian Government to drive the level of coordination and collaboration with state services that was originally envisioned. It was also noted that effective coordination and integration needs to be appropriately resourced, rather than just mandated.</w:t>
      </w:r>
    </w:p>
    <w:p w14:paraId="50FC8ED9" w14:textId="7AAEBB4C" w:rsidR="00114B6D" w:rsidRPr="000D119D" w:rsidRDefault="00D508C9" w:rsidP="00C06B29">
      <w:pPr>
        <w:rPr>
          <w:lang w:val="en-AU"/>
        </w:rPr>
      </w:pPr>
      <w:bookmarkStart w:id="45" w:name="_Ref97031106"/>
      <w:r w:rsidRPr="000D119D">
        <w:rPr>
          <w:lang w:val="en-AU"/>
        </w:rPr>
        <w:t>Several s</w:t>
      </w:r>
      <w:r w:rsidR="00114B6D" w:rsidRPr="000D119D">
        <w:rPr>
          <w:lang w:val="en-AU"/>
        </w:rPr>
        <w:t>takeholders highlighted the need</w:t>
      </w:r>
      <w:r w:rsidR="00657C23" w:rsidRPr="000D119D">
        <w:rPr>
          <w:lang w:val="en-AU"/>
        </w:rPr>
        <w:t>/</w:t>
      </w:r>
      <w:r w:rsidR="003B4459" w:rsidRPr="000D119D">
        <w:rPr>
          <w:lang w:val="en-AU"/>
        </w:rPr>
        <w:t>opportunity</w:t>
      </w:r>
      <w:r w:rsidR="00EB6F12" w:rsidRPr="000D119D">
        <w:rPr>
          <w:lang w:val="en-AU"/>
        </w:rPr>
        <w:t xml:space="preserve"> for the Taskf</w:t>
      </w:r>
      <w:r w:rsidR="003B4459" w:rsidRPr="000D119D">
        <w:rPr>
          <w:lang w:val="en-AU"/>
        </w:rPr>
        <w:t>orce</w:t>
      </w:r>
      <w:r w:rsidR="00114B6D" w:rsidRPr="000D119D">
        <w:rPr>
          <w:lang w:val="en-AU"/>
        </w:rPr>
        <w:t xml:space="preserve"> to focus on integration with the broader mental health service system, which includes identifying alignment between Commonwealth-funded initiatives, state mental health initiatives and royal commission findings. </w:t>
      </w:r>
      <w:r w:rsidR="00114B6D" w:rsidRPr="000D119D">
        <w:rPr>
          <w:lang w:val="en-AU"/>
        </w:rPr>
        <w:lastRenderedPageBreak/>
        <w:t xml:space="preserve">Some stakeholders noted that a combination of </w:t>
      </w:r>
      <w:proofErr w:type="spellStart"/>
      <w:r w:rsidR="00114B6D" w:rsidRPr="00AB1B9C">
        <w:rPr>
          <w:rStyle w:val="Emphasis"/>
        </w:rPr>
        <w:t>HeadtoHelp</w:t>
      </w:r>
      <w:proofErr w:type="spellEnd"/>
      <w:r w:rsidR="00114B6D" w:rsidRPr="000D119D">
        <w:rPr>
          <w:lang w:val="en-AU"/>
        </w:rPr>
        <w:t>, local community mental health services (a recommendation of the recently announced Victorian Mental Health Royal Commission)</w:t>
      </w:r>
      <w:r w:rsidR="00C06B29" w:rsidRPr="000D119D">
        <w:rPr>
          <w:lang w:val="en-AU"/>
        </w:rPr>
        <w:t>, and the additional Head</w:t>
      </w:r>
      <w:r w:rsidR="00720CC5">
        <w:rPr>
          <w:lang w:val="en-AU"/>
        </w:rPr>
        <w:t xml:space="preserve"> </w:t>
      </w:r>
      <w:r w:rsidR="00C06B29" w:rsidRPr="000D119D">
        <w:rPr>
          <w:lang w:val="en-AU"/>
        </w:rPr>
        <w:t>to</w:t>
      </w:r>
      <w:r w:rsidR="00720CC5">
        <w:rPr>
          <w:lang w:val="en-AU"/>
        </w:rPr>
        <w:t xml:space="preserve"> </w:t>
      </w:r>
      <w:r w:rsidR="00C06B29" w:rsidRPr="000D119D">
        <w:rPr>
          <w:lang w:val="en-AU"/>
        </w:rPr>
        <w:t xml:space="preserve">Health </w:t>
      </w:r>
      <w:r w:rsidR="006C27D0" w:rsidRPr="000D119D">
        <w:rPr>
          <w:lang w:val="en-AU"/>
        </w:rPr>
        <w:t>AMHCs</w:t>
      </w:r>
      <w:r w:rsidR="00C06B29" w:rsidRPr="000D119D">
        <w:rPr>
          <w:lang w:val="en-AU"/>
        </w:rPr>
        <w:t xml:space="preserve"> and satellites (announced by the </w:t>
      </w:r>
      <w:r w:rsidR="00FD00A1" w:rsidRPr="000D119D">
        <w:rPr>
          <w:lang w:val="en-AU"/>
        </w:rPr>
        <w:t xml:space="preserve">Australian </w:t>
      </w:r>
      <w:r w:rsidR="00C06B29" w:rsidRPr="000D119D">
        <w:rPr>
          <w:lang w:val="en-AU"/>
        </w:rPr>
        <w:t>Government in the 2021-2022 budget)</w:t>
      </w:r>
      <w:r w:rsidR="00114B6D" w:rsidRPr="000D119D">
        <w:rPr>
          <w:lang w:val="en-AU"/>
        </w:rPr>
        <w:t xml:space="preserve"> may only further fragment the Victorian and national mental health service system</w:t>
      </w:r>
      <w:r w:rsidR="00C06B29" w:rsidRPr="000D119D">
        <w:rPr>
          <w:lang w:val="en-AU"/>
        </w:rPr>
        <w:t>s</w:t>
      </w:r>
      <w:r w:rsidR="00114B6D" w:rsidRPr="000D119D">
        <w:rPr>
          <w:lang w:val="en-AU"/>
        </w:rPr>
        <w:t xml:space="preserve">, thus exacerbating existing workforce challenges for mental health services and potentially impacting their capacity to support </w:t>
      </w:r>
      <w:r w:rsidR="00F40845" w:rsidRPr="000D119D">
        <w:rPr>
          <w:lang w:val="en-AU"/>
        </w:rPr>
        <w:t>participants</w:t>
      </w:r>
      <w:r w:rsidR="00114B6D" w:rsidRPr="000D119D">
        <w:rPr>
          <w:lang w:val="en-AU"/>
        </w:rPr>
        <w:t xml:space="preserve"> with more severe or complex needs.</w:t>
      </w:r>
      <w:bookmarkEnd w:id="45"/>
      <w:r w:rsidR="00C06B29" w:rsidRPr="000D119D">
        <w:rPr>
          <w:lang w:val="en-AU"/>
        </w:rPr>
        <w:t xml:space="preserve"> </w:t>
      </w:r>
    </w:p>
    <w:p w14:paraId="11150648" w14:textId="411FA2F8" w:rsidR="00A802BD" w:rsidRPr="00CE5245" w:rsidRDefault="00A802BD" w:rsidP="00A802BD">
      <w:pPr>
        <w:pStyle w:val="Heading3"/>
        <w:rPr>
          <w:rFonts w:eastAsiaTheme="minorEastAsia"/>
        </w:rPr>
      </w:pPr>
      <w:bookmarkStart w:id="46" w:name="_Ref97019037"/>
      <w:bookmarkStart w:id="47" w:name="_Ref97019098"/>
      <w:bookmarkStart w:id="48" w:name="_Toc99650339"/>
      <w:r w:rsidRPr="00CE5245">
        <w:rPr>
          <w:rFonts w:eastAsiaTheme="minorEastAsia"/>
        </w:rPr>
        <w:t>Shared service model</w:t>
      </w:r>
      <w:bookmarkEnd w:id="46"/>
      <w:bookmarkEnd w:id="47"/>
      <w:bookmarkEnd w:id="48"/>
    </w:p>
    <w:p w14:paraId="343E2D6C" w14:textId="77777777" w:rsidR="009D6A2C" w:rsidRPr="000D119D" w:rsidRDefault="009D6A2C" w:rsidP="00BE0860">
      <w:pPr>
        <w:pStyle w:val="Heading4"/>
        <w:rPr>
          <w:rFonts w:eastAsiaTheme="minorEastAsia"/>
        </w:rPr>
      </w:pPr>
      <w:r w:rsidRPr="000D119D">
        <w:rPr>
          <w:rFonts w:eastAsiaTheme="minorEastAsia"/>
        </w:rPr>
        <w:t>The shared-service model was a pragmatic and effective structure to support establishment</w:t>
      </w:r>
    </w:p>
    <w:p w14:paraId="50614B12" w14:textId="77777777" w:rsidR="009D6A2C" w:rsidRPr="000D119D" w:rsidRDefault="009D6A2C" w:rsidP="009D6A2C">
      <w:pPr>
        <w:rPr>
          <w:szCs w:val="19"/>
          <w:lang w:val="en-AU"/>
        </w:rPr>
      </w:pPr>
      <w:r w:rsidRPr="000D119D">
        <w:rPr>
          <w:szCs w:val="19"/>
          <w:lang w:val="en-AU"/>
        </w:rPr>
        <w:t>The six PHNs established a four-stream shared services model, covering clinical and implementation design, strategic and communications design, finance, and data and evaluation. Staffing took a pragmatic approach, with each PHN drawing on its strengths and nominating appropriate staff members to contribute. Insights from each stream are included below.</w:t>
      </w:r>
    </w:p>
    <w:p w14:paraId="7AA3C615" w14:textId="55005C01" w:rsidR="00DC12ED" w:rsidRDefault="009D6A2C" w:rsidP="00F04BA2">
      <w:r w:rsidRPr="00F04BA2">
        <w:t xml:space="preserve">Feedback on the model adopted was positive, with stakeholders citing previously unseen benefits of collaborative working and relationship building. </w:t>
      </w:r>
      <w:r w:rsidR="003A111C" w:rsidRPr="00F04BA2">
        <w:t xml:space="preserve">Pleasingly, this collaborative approach appears to have been sustained as the initial ‘crisis phase’ of COVID-19 and rapid establishment eased. </w:t>
      </w:r>
      <w:r w:rsidRPr="00F04BA2">
        <w:t xml:space="preserve">Some stakeholders did note however, that the consequence of this approach was that responsibility for </w:t>
      </w:r>
      <w:proofErr w:type="spellStart"/>
      <w:r w:rsidRPr="00AB1B9C">
        <w:rPr>
          <w:rStyle w:val="Emphasis"/>
        </w:rPr>
        <w:t>HeadtoHelp</w:t>
      </w:r>
      <w:proofErr w:type="spellEnd"/>
      <w:r w:rsidRPr="00F04BA2">
        <w:t xml:space="preserve"> stream activities often fell on top of individuals ‘day-jobs’, with the reflection that there was significant ‘out of hours’ work put towards establishing </w:t>
      </w:r>
      <w:proofErr w:type="spellStart"/>
      <w:r w:rsidRPr="00AB1B9C">
        <w:rPr>
          <w:rStyle w:val="Emphasis"/>
        </w:rPr>
        <w:t>HeadtoHelp</w:t>
      </w:r>
      <w:proofErr w:type="spellEnd"/>
      <w:r w:rsidRPr="00F04BA2">
        <w:t>.</w:t>
      </w:r>
      <w:r w:rsidRPr="000D119D">
        <w:rPr>
          <w:rStyle w:val="FootnoteReference"/>
          <w:rFonts w:asciiTheme="minorHAnsi" w:hAnsiTheme="minorHAnsi" w:cstheme="minorHAnsi"/>
          <w:szCs w:val="19"/>
          <w:lang w:val="en-AU"/>
        </w:rPr>
        <w:footnoteReference w:id="18"/>
      </w:r>
      <w:r w:rsidRPr="00F04BA2">
        <w:t xml:space="preserve"> From this perspective, an alternative option may have been a secondment model – though this would likely have had significant negative implications on the level of collaboration experienced. </w:t>
      </w:r>
    </w:p>
    <w:p w14:paraId="09D683F5" w14:textId="239E9B7E" w:rsidR="00F04BA2" w:rsidRDefault="00E457E2" w:rsidP="00E457E2">
      <w:pPr>
        <w:pStyle w:val="Heading4"/>
      </w:pPr>
      <w:r w:rsidRPr="000D119D">
        <w:rPr>
          <w:noProof/>
          <w:color w:val="000000" w:themeColor="text1"/>
        </w:rPr>
        <mc:AlternateContent>
          <mc:Choice Requires="wps">
            <w:drawing>
              <wp:inline distT="0" distB="0" distL="0" distR="0" wp14:anchorId="7087E113" wp14:editId="427011DF">
                <wp:extent cx="380753" cy="361950"/>
                <wp:effectExtent l="0" t="0" r="635" b="0"/>
                <wp:docPr id="4" name="Freeform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80753" cy="361950"/>
                        </a:xfrm>
                        <a:custGeom>
                          <a:avLst/>
                          <a:gdLst>
                            <a:gd name="T0" fmla="*/ 152 w 183"/>
                            <a:gd name="T1" fmla="*/ 55 h 174"/>
                            <a:gd name="T2" fmla="*/ 104 w 183"/>
                            <a:gd name="T3" fmla="*/ 5 h 174"/>
                            <a:gd name="T4" fmla="*/ 67 w 183"/>
                            <a:gd name="T5" fmla="*/ 24 h 174"/>
                            <a:gd name="T6" fmla="*/ 4 w 183"/>
                            <a:gd name="T7" fmla="*/ 89 h 174"/>
                            <a:gd name="T8" fmla="*/ 29 w 183"/>
                            <a:gd name="T9" fmla="*/ 135 h 174"/>
                            <a:gd name="T10" fmla="*/ 46 w 183"/>
                            <a:gd name="T11" fmla="*/ 174 h 174"/>
                            <a:gd name="T12" fmla="*/ 90 w 183"/>
                            <a:gd name="T13" fmla="*/ 168 h 174"/>
                            <a:gd name="T14" fmla="*/ 132 w 183"/>
                            <a:gd name="T15" fmla="*/ 174 h 174"/>
                            <a:gd name="T16" fmla="*/ 150 w 183"/>
                            <a:gd name="T17" fmla="*/ 136 h 174"/>
                            <a:gd name="T18" fmla="*/ 169 w 183"/>
                            <a:gd name="T19" fmla="*/ 97 h 174"/>
                            <a:gd name="T20" fmla="*/ 174 w 183"/>
                            <a:gd name="T21" fmla="*/ 81 h 174"/>
                            <a:gd name="T22" fmla="*/ 158 w 183"/>
                            <a:gd name="T23" fmla="*/ 94 h 174"/>
                            <a:gd name="T24" fmla="*/ 142 w 183"/>
                            <a:gd name="T25" fmla="*/ 84 h 174"/>
                            <a:gd name="T26" fmla="*/ 150 w 183"/>
                            <a:gd name="T27" fmla="*/ 62 h 174"/>
                            <a:gd name="T28" fmla="*/ 162 w 183"/>
                            <a:gd name="T29" fmla="*/ 61 h 174"/>
                            <a:gd name="T30" fmla="*/ 135 w 183"/>
                            <a:gd name="T31" fmla="*/ 71 h 174"/>
                            <a:gd name="T32" fmla="*/ 96 w 183"/>
                            <a:gd name="T33" fmla="*/ 72 h 174"/>
                            <a:gd name="T34" fmla="*/ 93 w 183"/>
                            <a:gd name="T35" fmla="*/ 46 h 174"/>
                            <a:gd name="T36" fmla="*/ 146 w 183"/>
                            <a:gd name="T37" fmla="*/ 57 h 174"/>
                            <a:gd name="T38" fmla="*/ 100 w 183"/>
                            <a:gd name="T39" fmla="*/ 9 h 174"/>
                            <a:gd name="T40" fmla="*/ 107 w 183"/>
                            <a:gd name="T41" fmla="*/ 28 h 174"/>
                            <a:gd name="T42" fmla="*/ 87 w 183"/>
                            <a:gd name="T43" fmla="*/ 40 h 174"/>
                            <a:gd name="T44" fmla="*/ 73 w 183"/>
                            <a:gd name="T45" fmla="*/ 23 h 174"/>
                            <a:gd name="T46" fmla="*/ 103 w 183"/>
                            <a:gd name="T47" fmla="*/ 106 h 174"/>
                            <a:gd name="T48" fmla="*/ 86 w 183"/>
                            <a:gd name="T49" fmla="*/ 111 h 174"/>
                            <a:gd name="T50" fmla="*/ 76 w 183"/>
                            <a:gd name="T51" fmla="*/ 103 h 174"/>
                            <a:gd name="T52" fmla="*/ 75 w 183"/>
                            <a:gd name="T53" fmla="*/ 87 h 174"/>
                            <a:gd name="T54" fmla="*/ 93 w 183"/>
                            <a:gd name="T55" fmla="*/ 77 h 174"/>
                            <a:gd name="T56" fmla="*/ 107 w 183"/>
                            <a:gd name="T57" fmla="*/ 93 h 174"/>
                            <a:gd name="T58" fmla="*/ 87 w 183"/>
                            <a:gd name="T59" fmla="*/ 46 h 174"/>
                            <a:gd name="T60" fmla="*/ 47 w 183"/>
                            <a:gd name="T61" fmla="*/ 80 h 174"/>
                            <a:gd name="T62" fmla="*/ 68 w 183"/>
                            <a:gd name="T63" fmla="*/ 30 h 174"/>
                            <a:gd name="T64" fmla="*/ 25 w 183"/>
                            <a:gd name="T65" fmla="*/ 60 h 174"/>
                            <a:gd name="T66" fmla="*/ 41 w 183"/>
                            <a:gd name="T67" fmla="*/ 78 h 174"/>
                            <a:gd name="T68" fmla="*/ 33 w 183"/>
                            <a:gd name="T69" fmla="*/ 92 h 174"/>
                            <a:gd name="T70" fmla="*/ 17 w 183"/>
                            <a:gd name="T71" fmla="*/ 93 h 174"/>
                            <a:gd name="T72" fmla="*/ 32 w 183"/>
                            <a:gd name="T73" fmla="*/ 128 h 174"/>
                            <a:gd name="T74" fmla="*/ 36 w 183"/>
                            <a:gd name="T75" fmla="*/ 97 h 174"/>
                            <a:gd name="T76" fmla="*/ 70 w 183"/>
                            <a:gd name="T77" fmla="*/ 106 h 174"/>
                            <a:gd name="T78" fmla="*/ 52 w 183"/>
                            <a:gd name="T79" fmla="*/ 128 h 174"/>
                            <a:gd name="T80" fmla="*/ 32 w 183"/>
                            <a:gd name="T81" fmla="*/ 128 h 174"/>
                            <a:gd name="T82" fmla="*/ 29 w 183"/>
                            <a:gd name="T83" fmla="*/ 146 h 174"/>
                            <a:gd name="T84" fmla="*/ 37 w 183"/>
                            <a:gd name="T85" fmla="*/ 136 h 174"/>
                            <a:gd name="T86" fmla="*/ 54 w 183"/>
                            <a:gd name="T87" fmla="*/ 136 h 174"/>
                            <a:gd name="T88" fmla="*/ 62 w 183"/>
                            <a:gd name="T89" fmla="*/ 155 h 174"/>
                            <a:gd name="T90" fmla="*/ 68 w 183"/>
                            <a:gd name="T91" fmla="*/ 158 h 174"/>
                            <a:gd name="T92" fmla="*/ 79 w 183"/>
                            <a:gd name="T93" fmla="*/ 114 h 174"/>
                            <a:gd name="T94" fmla="*/ 102 w 183"/>
                            <a:gd name="T95" fmla="*/ 114 h 174"/>
                            <a:gd name="T96" fmla="*/ 111 w 183"/>
                            <a:gd name="T97" fmla="*/ 158 h 174"/>
                            <a:gd name="T98" fmla="*/ 149 w 183"/>
                            <a:gd name="T99" fmla="*/ 155 h 174"/>
                            <a:gd name="T100" fmla="*/ 116 w 183"/>
                            <a:gd name="T101" fmla="*/ 156 h 174"/>
                            <a:gd name="T102" fmla="*/ 124 w 183"/>
                            <a:gd name="T103" fmla="*/ 136 h 174"/>
                            <a:gd name="T104" fmla="*/ 137 w 183"/>
                            <a:gd name="T105" fmla="*/ 134 h 174"/>
                            <a:gd name="T106" fmla="*/ 147 w 183"/>
                            <a:gd name="T107" fmla="*/ 142 h 174"/>
                            <a:gd name="T108" fmla="*/ 138 w 183"/>
                            <a:gd name="T109" fmla="*/ 128 h 174"/>
                            <a:gd name="T110" fmla="*/ 113 w 183"/>
                            <a:gd name="T111" fmla="*/ 100 h 174"/>
                            <a:gd name="T112" fmla="*/ 137 w 183"/>
                            <a:gd name="T113" fmla="*/ 89 h 174"/>
                            <a:gd name="T114" fmla="*/ 157 w 183"/>
                            <a:gd name="T115" fmla="*/ 10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3" h="174">
                              <a:moveTo>
                                <a:pt x="163" y="55"/>
                              </a:moveTo>
                              <a:cubicBezTo>
                                <a:pt x="163" y="55"/>
                                <a:pt x="163" y="55"/>
                                <a:pt x="163" y="55"/>
                              </a:cubicBezTo>
                              <a:cubicBezTo>
                                <a:pt x="159" y="54"/>
                                <a:pt x="156" y="54"/>
                                <a:pt x="152" y="55"/>
                              </a:cubicBezTo>
                              <a:cubicBezTo>
                                <a:pt x="143" y="41"/>
                                <a:pt x="130" y="30"/>
                                <a:pt x="113" y="24"/>
                              </a:cubicBezTo>
                              <a:cubicBezTo>
                                <a:pt x="113" y="23"/>
                                <a:pt x="113" y="21"/>
                                <a:pt x="113" y="19"/>
                              </a:cubicBezTo>
                              <a:cubicBezTo>
                                <a:pt x="112" y="13"/>
                                <a:pt x="109" y="8"/>
                                <a:pt x="104" y="5"/>
                              </a:cubicBezTo>
                              <a:cubicBezTo>
                                <a:pt x="98" y="1"/>
                                <a:pt x="92" y="0"/>
                                <a:pt x="86" y="1"/>
                              </a:cubicBezTo>
                              <a:cubicBezTo>
                                <a:pt x="80" y="2"/>
                                <a:pt x="75" y="5"/>
                                <a:pt x="71" y="10"/>
                              </a:cubicBezTo>
                              <a:cubicBezTo>
                                <a:pt x="68" y="14"/>
                                <a:pt x="67" y="19"/>
                                <a:pt x="67" y="24"/>
                              </a:cubicBezTo>
                              <a:cubicBezTo>
                                <a:pt x="51" y="30"/>
                                <a:pt x="37" y="40"/>
                                <a:pt x="28" y="54"/>
                              </a:cubicBezTo>
                              <a:cubicBezTo>
                                <a:pt x="16" y="52"/>
                                <a:pt x="5" y="60"/>
                                <a:pt x="2" y="71"/>
                              </a:cubicBezTo>
                              <a:cubicBezTo>
                                <a:pt x="0" y="77"/>
                                <a:pt x="1" y="84"/>
                                <a:pt x="4" y="89"/>
                              </a:cubicBezTo>
                              <a:cubicBezTo>
                                <a:pt x="7" y="94"/>
                                <a:pt x="12" y="97"/>
                                <a:pt x="17" y="99"/>
                              </a:cubicBezTo>
                              <a:cubicBezTo>
                                <a:pt x="18" y="110"/>
                                <a:pt x="21" y="121"/>
                                <a:pt x="27" y="132"/>
                              </a:cubicBezTo>
                              <a:cubicBezTo>
                                <a:pt x="28" y="133"/>
                                <a:pt x="28" y="134"/>
                                <a:pt x="29" y="135"/>
                              </a:cubicBezTo>
                              <a:cubicBezTo>
                                <a:pt x="26" y="138"/>
                                <a:pt x="24" y="141"/>
                                <a:pt x="23" y="145"/>
                              </a:cubicBezTo>
                              <a:cubicBezTo>
                                <a:pt x="20" y="157"/>
                                <a:pt x="28" y="170"/>
                                <a:pt x="40" y="173"/>
                              </a:cubicBezTo>
                              <a:cubicBezTo>
                                <a:pt x="42" y="173"/>
                                <a:pt x="44" y="174"/>
                                <a:pt x="46" y="174"/>
                              </a:cubicBezTo>
                              <a:cubicBezTo>
                                <a:pt x="54" y="174"/>
                                <a:pt x="61" y="170"/>
                                <a:pt x="65" y="163"/>
                              </a:cubicBezTo>
                              <a:cubicBezTo>
                                <a:pt x="67" y="164"/>
                                <a:pt x="70" y="165"/>
                                <a:pt x="72" y="165"/>
                              </a:cubicBezTo>
                              <a:cubicBezTo>
                                <a:pt x="78" y="167"/>
                                <a:pt x="84" y="168"/>
                                <a:pt x="90" y="168"/>
                              </a:cubicBezTo>
                              <a:cubicBezTo>
                                <a:pt x="98" y="168"/>
                                <a:pt x="106" y="166"/>
                                <a:pt x="113" y="164"/>
                              </a:cubicBezTo>
                              <a:cubicBezTo>
                                <a:pt x="117" y="168"/>
                                <a:pt x="121" y="172"/>
                                <a:pt x="127" y="173"/>
                              </a:cubicBezTo>
                              <a:cubicBezTo>
                                <a:pt x="128" y="173"/>
                                <a:pt x="130" y="174"/>
                                <a:pt x="132" y="174"/>
                              </a:cubicBezTo>
                              <a:cubicBezTo>
                                <a:pt x="143" y="174"/>
                                <a:pt x="152" y="167"/>
                                <a:pt x="155" y="156"/>
                              </a:cubicBezTo>
                              <a:cubicBezTo>
                                <a:pt x="156" y="150"/>
                                <a:pt x="155" y="144"/>
                                <a:pt x="152" y="139"/>
                              </a:cubicBezTo>
                              <a:cubicBezTo>
                                <a:pt x="152" y="138"/>
                                <a:pt x="151" y="137"/>
                                <a:pt x="150" y="136"/>
                              </a:cubicBezTo>
                              <a:cubicBezTo>
                                <a:pt x="155" y="129"/>
                                <a:pt x="159" y="121"/>
                                <a:pt x="162" y="112"/>
                              </a:cubicBezTo>
                              <a:cubicBezTo>
                                <a:pt x="163" y="108"/>
                                <a:pt x="163" y="104"/>
                                <a:pt x="164" y="99"/>
                              </a:cubicBezTo>
                              <a:cubicBezTo>
                                <a:pt x="165" y="99"/>
                                <a:pt x="167" y="98"/>
                                <a:pt x="169" y="97"/>
                              </a:cubicBezTo>
                              <a:cubicBezTo>
                                <a:pt x="174" y="94"/>
                                <a:pt x="178" y="89"/>
                                <a:pt x="180" y="83"/>
                              </a:cubicBezTo>
                              <a:cubicBezTo>
                                <a:pt x="183" y="71"/>
                                <a:pt x="175" y="58"/>
                                <a:pt x="163" y="55"/>
                              </a:cubicBezTo>
                              <a:close/>
                              <a:moveTo>
                                <a:pt x="174" y="81"/>
                              </a:moveTo>
                              <a:cubicBezTo>
                                <a:pt x="173" y="86"/>
                                <a:pt x="170" y="90"/>
                                <a:pt x="166" y="92"/>
                              </a:cubicBezTo>
                              <a:cubicBezTo>
                                <a:pt x="165" y="92"/>
                                <a:pt x="165" y="93"/>
                                <a:pt x="164" y="93"/>
                              </a:cubicBezTo>
                              <a:cubicBezTo>
                                <a:pt x="162" y="94"/>
                                <a:pt x="160" y="94"/>
                                <a:pt x="158" y="94"/>
                              </a:cubicBezTo>
                              <a:cubicBezTo>
                                <a:pt x="156" y="94"/>
                                <a:pt x="155" y="94"/>
                                <a:pt x="153" y="94"/>
                              </a:cubicBezTo>
                              <a:cubicBezTo>
                                <a:pt x="149" y="93"/>
                                <a:pt x="145" y="90"/>
                                <a:pt x="143" y="86"/>
                              </a:cubicBezTo>
                              <a:cubicBezTo>
                                <a:pt x="142" y="85"/>
                                <a:pt x="142" y="85"/>
                                <a:pt x="142" y="84"/>
                              </a:cubicBezTo>
                              <a:cubicBezTo>
                                <a:pt x="141" y="82"/>
                                <a:pt x="140" y="80"/>
                                <a:pt x="140" y="78"/>
                              </a:cubicBezTo>
                              <a:cubicBezTo>
                                <a:pt x="140" y="77"/>
                                <a:pt x="140" y="75"/>
                                <a:pt x="141" y="73"/>
                              </a:cubicBezTo>
                              <a:cubicBezTo>
                                <a:pt x="142" y="68"/>
                                <a:pt x="145" y="64"/>
                                <a:pt x="150" y="62"/>
                              </a:cubicBezTo>
                              <a:cubicBezTo>
                                <a:pt x="151" y="61"/>
                                <a:pt x="153" y="60"/>
                                <a:pt x="155" y="60"/>
                              </a:cubicBezTo>
                              <a:cubicBezTo>
                                <a:pt x="156" y="60"/>
                                <a:pt x="157" y="60"/>
                                <a:pt x="157" y="60"/>
                              </a:cubicBezTo>
                              <a:cubicBezTo>
                                <a:pt x="159" y="60"/>
                                <a:pt x="160" y="60"/>
                                <a:pt x="162" y="61"/>
                              </a:cubicBezTo>
                              <a:cubicBezTo>
                                <a:pt x="171" y="63"/>
                                <a:pt x="176" y="72"/>
                                <a:pt x="174" y="81"/>
                              </a:cubicBezTo>
                              <a:close/>
                              <a:moveTo>
                                <a:pt x="146" y="57"/>
                              </a:moveTo>
                              <a:cubicBezTo>
                                <a:pt x="141" y="60"/>
                                <a:pt x="137" y="65"/>
                                <a:pt x="135" y="71"/>
                              </a:cubicBezTo>
                              <a:cubicBezTo>
                                <a:pt x="134" y="74"/>
                                <a:pt x="134" y="77"/>
                                <a:pt x="134" y="80"/>
                              </a:cubicBezTo>
                              <a:cubicBezTo>
                                <a:pt x="112" y="86"/>
                                <a:pt x="112" y="86"/>
                                <a:pt x="112" y="86"/>
                              </a:cubicBezTo>
                              <a:cubicBezTo>
                                <a:pt x="109" y="79"/>
                                <a:pt x="103" y="74"/>
                                <a:pt x="96" y="72"/>
                              </a:cubicBezTo>
                              <a:cubicBezTo>
                                <a:pt x="96" y="72"/>
                                <a:pt x="96" y="72"/>
                                <a:pt x="96" y="72"/>
                              </a:cubicBezTo>
                              <a:cubicBezTo>
                                <a:pt x="95" y="71"/>
                                <a:pt x="94" y="71"/>
                                <a:pt x="93" y="71"/>
                              </a:cubicBezTo>
                              <a:cubicBezTo>
                                <a:pt x="93" y="46"/>
                                <a:pt x="93" y="46"/>
                                <a:pt x="93" y="46"/>
                              </a:cubicBezTo>
                              <a:cubicBezTo>
                                <a:pt x="94" y="46"/>
                                <a:pt x="94" y="46"/>
                                <a:pt x="94" y="46"/>
                              </a:cubicBezTo>
                              <a:cubicBezTo>
                                <a:pt x="103" y="45"/>
                                <a:pt x="110" y="38"/>
                                <a:pt x="112" y="30"/>
                              </a:cubicBezTo>
                              <a:cubicBezTo>
                                <a:pt x="127" y="35"/>
                                <a:pt x="139" y="45"/>
                                <a:pt x="146" y="57"/>
                              </a:cubicBezTo>
                              <a:close/>
                              <a:moveTo>
                                <a:pt x="76" y="14"/>
                              </a:moveTo>
                              <a:cubicBezTo>
                                <a:pt x="79" y="10"/>
                                <a:pt x="83" y="7"/>
                                <a:pt x="87" y="7"/>
                              </a:cubicBezTo>
                              <a:cubicBezTo>
                                <a:pt x="92" y="6"/>
                                <a:pt x="96" y="7"/>
                                <a:pt x="100" y="9"/>
                              </a:cubicBezTo>
                              <a:cubicBezTo>
                                <a:pt x="104" y="12"/>
                                <a:pt x="106" y="16"/>
                                <a:pt x="107" y="21"/>
                              </a:cubicBezTo>
                              <a:cubicBezTo>
                                <a:pt x="107" y="21"/>
                                <a:pt x="107" y="22"/>
                                <a:pt x="107" y="23"/>
                              </a:cubicBezTo>
                              <a:cubicBezTo>
                                <a:pt x="107" y="25"/>
                                <a:pt x="107" y="27"/>
                                <a:pt x="107" y="28"/>
                              </a:cubicBezTo>
                              <a:cubicBezTo>
                                <a:pt x="105" y="34"/>
                                <a:pt x="100" y="39"/>
                                <a:pt x="93" y="40"/>
                              </a:cubicBezTo>
                              <a:cubicBezTo>
                                <a:pt x="93" y="40"/>
                                <a:pt x="93" y="40"/>
                                <a:pt x="93" y="40"/>
                              </a:cubicBezTo>
                              <a:cubicBezTo>
                                <a:pt x="91" y="41"/>
                                <a:pt x="89" y="41"/>
                                <a:pt x="87" y="40"/>
                              </a:cubicBezTo>
                              <a:cubicBezTo>
                                <a:pt x="81" y="39"/>
                                <a:pt x="76" y="35"/>
                                <a:pt x="74" y="29"/>
                              </a:cubicBezTo>
                              <a:cubicBezTo>
                                <a:pt x="74" y="28"/>
                                <a:pt x="74" y="27"/>
                                <a:pt x="73" y="26"/>
                              </a:cubicBezTo>
                              <a:cubicBezTo>
                                <a:pt x="73" y="25"/>
                                <a:pt x="73" y="24"/>
                                <a:pt x="73" y="23"/>
                              </a:cubicBezTo>
                              <a:cubicBezTo>
                                <a:pt x="73" y="19"/>
                                <a:pt x="74" y="16"/>
                                <a:pt x="76" y="14"/>
                              </a:cubicBezTo>
                              <a:close/>
                              <a:moveTo>
                                <a:pt x="107" y="98"/>
                              </a:moveTo>
                              <a:cubicBezTo>
                                <a:pt x="106" y="101"/>
                                <a:pt x="105" y="104"/>
                                <a:pt x="103" y="106"/>
                              </a:cubicBezTo>
                              <a:cubicBezTo>
                                <a:pt x="102" y="107"/>
                                <a:pt x="100" y="108"/>
                                <a:pt x="99" y="109"/>
                              </a:cubicBezTo>
                              <a:cubicBezTo>
                                <a:pt x="99" y="109"/>
                                <a:pt x="98" y="109"/>
                                <a:pt x="98" y="109"/>
                              </a:cubicBezTo>
                              <a:cubicBezTo>
                                <a:pt x="94" y="111"/>
                                <a:pt x="90" y="112"/>
                                <a:pt x="86" y="111"/>
                              </a:cubicBezTo>
                              <a:cubicBezTo>
                                <a:pt x="85" y="110"/>
                                <a:pt x="83" y="110"/>
                                <a:pt x="82" y="109"/>
                              </a:cubicBezTo>
                              <a:cubicBezTo>
                                <a:pt x="80" y="108"/>
                                <a:pt x="79" y="107"/>
                                <a:pt x="77" y="105"/>
                              </a:cubicBezTo>
                              <a:cubicBezTo>
                                <a:pt x="77" y="105"/>
                                <a:pt x="76" y="104"/>
                                <a:pt x="76" y="103"/>
                              </a:cubicBezTo>
                              <a:cubicBezTo>
                                <a:pt x="74" y="100"/>
                                <a:pt x="73" y="96"/>
                                <a:pt x="73" y="93"/>
                              </a:cubicBezTo>
                              <a:cubicBezTo>
                                <a:pt x="73" y="92"/>
                                <a:pt x="73" y="91"/>
                                <a:pt x="74" y="90"/>
                              </a:cubicBezTo>
                              <a:cubicBezTo>
                                <a:pt x="74" y="89"/>
                                <a:pt x="74" y="88"/>
                                <a:pt x="75" y="87"/>
                              </a:cubicBezTo>
                              <a:cubicBezTo>
                                <a:pt x="77" y="82"/>
                                <a:pt x="82" y="78"/>
                                <a:pt x="87" y="77"/>
                              </a:cubicBezTo>
                              <a:cubicBezTo>
                                <a:pt x="88" y="77"/>
                                <a:pt x="89" y="77"/>
                                <a:pt x="90" y="77"/>
                              </a:cubicBezTo>
                              <a:cubicBezTo>
                                <a:pt x="91" y="77"/>
                                <a:pt x="92" y="77"/>
                                <a:pt x="93" y="77"/>
                              </a:cubicBezTo>
                              <a:cubicBezTo>
                                <a:pt x="94" y="77"/>
                                <a:pt x="94" y="77"/>
                                <a:pt x="95" y="78"/>
                              </a:cubicBezTo>
                              <a:cubicBezTo>
                                <a:pt x="100" y="79"/>
                                <a:pt x="104" y="83"/>
                                <a:pt x="106" y="87"/>
                              </a:cubicBezTo>
                              <a:cubicBezTo>
                                <a:pt x="107" y="89"/>
                                <a:pt x="107" y="91"/>
                                <a:pt x="107" y="93"/>
                              </a:cubicBezTo>
                              <a:cubicBezTo>
                                <a:pt x="107" y="95"/>
                                <a:pt x="107" y="97"/>
                                <a:pt x="107" y="98"/>
                              </a:cubicBezTo>
                              <a:close/>
                              <a:moveTo>
                                <a:pt x="68" y="30"/>
                              </a:moveTo>
                              <a:cubicBezTo>
                                <a:pt x="71" y="39"/>
                                <a:pt x="78" y="45"/>
                                <a:pt x="87" y="46"/>
                              </a:cubicBezTo>
                              <a:cubicBezTo>
                                <a:pt x="87" y="71"/>
                                <a:pt x="87" y="71"/>
                                <a:pt x="87" y="71"/>
                              </a:cubicBezTo>
                              <a:cubicBezTo>
                                <a:pt x="79" y="72"/>
                                <a:pt x="72" y="78"/>
                                <a:pt x="69" y="86"/>
                              </a:cubicBezTo>
                              <a:cubicBezTo>
                                <a:pt x="47" y="80"/>
                                <a:pt x="47" y="80"/>
                                <a:pt x="47" y="80"/>
                              </a:cubicBezTo>
                              <a:cubicBezTo>
                                <a:pt x="48" y="75"/>
                                <a:pt x="47" y="70"/>
                                <a:pt x="44" y="65"/>
                              </a:cubicBezTo>
                              <a:cubicBezTo>
                                <a:pt x="42" y="61"/>
                                <a:pt x="38" y="58"/>
                                <a:pt x="34" y="56"/>
                              </a:cubicBezTo>
                              <a:cubicBezTo>
                                <a:pt x="42" y="44"/>
                                <a:pt x="54" y="35"/>
                                <a:pt x="68" y="30"/>
                              </a:cubicBezTo>
                              <a:close/>
                              <a:moveTo>
                                <a:pt x="8" y="73"/>
                              </a:moveTo>
                              <a:cubicBezTo>
                                <a:pt x="10" y="65"/>
                                <a:pt x="16" y="60"/>
                                <a:pt x="24" y="60"/>
                              </a:cubicBezTo>
                              <a:cubicBezTo>
                                <a:pt x="24" y="60"/>
                                <a:pt x="25" y="60"/>
                                <a:pt x="25" y="60"/>
                              </a:cubicBezTo>
                              <a:cubicBezTo>
                                <a:pt x="26" y="60"/>
                                <a:pt x="27" y="60"/>
                                <a:pt x="28" y="61"/>
                              </a:cubicBezTo>
                              <a:cubicBezTo>
                                <a:pt x="29" y="61"/>
                                <a:pt x="30" y="61"/>
                                <a:pt x="31" y="62"/>
                              </a:cubicBezTo>
                              <a:cubicBezTo>
                                <a:pt x="38" y="65"/>
                                <a:pt x="42" y="71"/>
                                <a:pt x="41" y="78"/>
                              </a:cubicBezTo>
                              <a:cubicBezTo>
                                <a:pt x="41" y="79"/>
                                <a:pt x="41" y="80"/>
                                <a:pt x="41" y="81"/>
                              </a:cubicBezTo>
                              <a:cubicBezTo>
                                <a:pt x="40" y="82"/>
                                <a:pt x="40" y="83"/>
                                <a:pt x="40" y="84"/>
                              </a:cubicBezTo>
                              <a:cubicBezTo>
                                <a:pt x="38" y="87"/>
                                <a:pt x="36" y="90"/>
                                <a:pt x="33" y="92"/>
                              </a:cubicBezTo>
                              <a:cubicBezTo>
                                <a:pt x="30" y="94"/>
                                <a:pt x="26" y="94"/>
                                <a:pt x="23" y="94"/>
                              </a:cubicBezTo>
                              <a:cubicBezTo>
                                <a:pt x="22" y="94"/>
                                <a:pt x="21" y="94"/>
                                <a:pt x="20" y="94"/>
                              </a:cubicBezTo>
                              <a:cubicBezTo>
                                <a:pt x="19" y="93"/>
                                <a:pt x="18" y="93"/>
                                <a:pt x="17" y="93"/>
                              </a:cubicBezTo>
                              <a:cubicBezTo>
                                <a:pt x="14" y="91"/>
                                <a:pt x="11" y="89"/>
                                <a:pt x="9" y="86"/>
                              </a:cubicBezTo>
                              <a:cubicBezTo>
                                <a:pt x="7" y="82"/>
                                <a:pt x="6" y="77"/>
                                <a:pt x="8" y="73"/>
                              </a:cubicBezTo>
                              <a:close/>
                              <a:moveTo>
                                <a:pt x="32" y="128"/>
                              </a:moveTo>
                              <a:cubicBezTo>
                                <a:pt x="27" y="120"/>
                                <a:pt x="24" y="110"/>
                                <a:pt x="23" y="100"/>
                              </a:cubicBezTo>
                              <a:cubicBezTo>
                                <a:pt x="23" y="100"/>
                                <a:pt x="24" y="100"/>
                                <a:pt x="24" y="100"/>
                              </a:cubicBezTo>
                              <a:cubicBezTo>
                                <a:pt x="28" y="100"/>
                                <a:pt x="32" y="99"/>
                                <a:pt x="36" y="97"/>
                              </a:cubicBezTo>
                              <a:cubicBezTo>
                                <a:pt x="40" y="94"/>
                                <a:pt x="44" y="90"/>
                                <a:pt x="45" y="86"/>
                              </a:cubicBezTo>
                              <a:cubicBezTo>
                                <a:pt x="67" y="91"/>
                                <a:pt x="67" y="91"/>
                                <a:pt x="67" y="91"/>
                              </a:cubicBezTo>
                              <a:cubicBezTo>
                                <a:pt x="67" y="96"/>
                                <a:pt x="68" y="101"/>
                                <a:pt x="70" y="106"/>
                              </a:cubicBezTo>
                              <a:cubicBezTo>
                                <a:pt x="71" y="107"/>
                                <a:pt x="73" y="109"/>
                                <a:pt x="74" y="110"/>
                              </a:cubicBezTo>
                              <a:cubicBezTo>
                                <a:pt x="58" y="131"/>
                                <a:pt x="58" y="131"/>
                                <a:pt x="58" y="131"/>
                              </a:cubicBezTo>
                              <a:cubicBezTo>
                                <a:pt x="56" y="130"/>
                                <a:pt x="54" y="129"/>
                                <a:pt x="52" y="128"/>
                              </a:cubicBezTo>
                              <a:cubicBezTo>
                                <a:pt x="46" y="127"/>
                                <a:pt x="39" y="128"/>
                                <a:pt x="34" y="131"/>
                              </a:cubicBezTo>
                              <a:cubicBezTo>
                                <a:pt x="34" y="131"/>
                                <a:pt x="34" y="131"/>
                                <a:pt x="34" y="131"/>
                              </a:cubicBezTo>
                              <a:cubicBezTo>
                                <a:pt x="33" y="130"/>
                                <a:pt x="33" y="129"/>
                                <a:pt x="32" y="128"/>
                              </a:cubicBezTo>
                              <a:close/>
                              <a:moveTo>
                                <a:pt x="59" y="161"/>
                              </a:moveTo>
                              <a:cubicBezTo>
                                <a:pt x="55" y="166"/>
                                <a:pt x="48" y="169"/>
                                <a:pt x="41" y="167"/>
                              </a:cubicBezTo>
                              <a:cubicBezTo>
                                <a:pt x="32" y="165"/>
                                <a:pt x="27" y="156"/>
                                <a:pt x="29" y="146"/>
                              </a:cubicBezTo>
                              <a:cubicBezTo>
                                <a:pt x="30" y="144"/>
                                <a:pt x="31" y="142"/>
                                <a:pt x="33" y="140"/>
                              </a:cubicBezTo>
                              <a:cubicBezTo>
                                <a:pt x="34" y="138"/>
                                <a:pt x="35" y="137"/>
                                <a:pt x="37" y="136"/>
                              </a:cubicBezTo>
                              <a:cubicBezTo>
                                <a:pt x="37" y="136"/>
                                <a:pt x="37" y="136"/>
                                <a:pt x="37" y="136"/>
                              </a:cubicBezTo>
                              <a:cubicBezTo>
                                <a:pt x="40" y="134"/>
                                <a:pt x="43" y="134"/>
                                <a:pt x="46" y="134"/>
                              </a:cubicBezTo>
                              <a:cubicBezTo>
                                <a:pt x="47" y="134"/>
                                <a:pt x="49" y="134"/>
                                <a:pt x="50" y="134"/>
                              </a:cubicBezTo>
                              <a:cubicBezTo>
                                <a:pt x="51" y="134"/>
                                <a:pt x="53" y="135"/>
                                <a:pt x="54" y="136"/>
                              </a:cubicBezTo>
                              <a:cubicBezTo>
                                <a:pt x="56" y="137"/>
                                <a:pt x="57" y="138"/>
                                <a:pt x="59" y="139"/>
                              </a:cubicBezTo>
                              <a:cubicBezTo>
                                <a:pt x="62" y="143"/>
                                <a:pt x="64" y="149"/>
                                <a:pt x="62" y="155"/>
                              </a:cubicBezTo>
                              <a:cubicBezTo>
                                <a:pt x="62" y="155"/>
                                <a:pt x="62" y="155"/>
                                <a:pt x="62" y="155"/>
                              </a:cubicBezTo>
                              <a:cubicBezTo>
                                <a:pt x="61" y="157"/>
                                <a:pt x="61" y="159"/>
                                <a:pt x="59" y="161"/>
                              </a:cubicBezTo>
                              <a:close/>
                              <a:moveTo>
                                <a:pt x="73" y="160"/>
                              </a:moveTo>
                              <a:cubicBezTo>
                                <a:pt x="71" y="159"/>
                                <a:pt x="70" y="158"/>
                                <a:pt x="68" y="158"/>
                              </a:cubicBezTo>
                              <a:cubicBezTo>
                                <a:pt x="68" y="157"/>
                                <a:pt x="68" y="157"/>
                                <a:pt x="68" y="156"/>
                              </a:cubicBezTo>
                              <a:cubicBezTo>
                                <a:pt x="70" y="148"/>
                                <a:pt x="68" y="140"/>
                                <a:pt x="62" y="135"/>
                              </a:cubicBezTo>
                              <a:cubicBezTo>
                                <a:pt x="79" y="114"/>
                                <a:pt x="79" y="114"/>
                                <a:pt x="79" y="114"/>
                              </a:cubicBezTo>
                              <a:cubicBezTo>
                                <a:pt x="80" y="115"/>
                                <a:pt x="82" y="116"/>
                                <a:pt x="85" y="116"/>
                              </a:cubicBezTo>
                              <a:cubicBezTo>
                                <a:pt x="86" y="117"/>
                                <a:pt x="88" y="117"/>
                                <a:pt x="90" y="117"/>
                              </a:cubicBezTo>
                              <a:cubicBezTo>
                                <a:pt x="94" y="117"/>
                                <a:pt x="98" y="116"/>
                                <a:pt x="102" y="114"/>
                              </a:cubicBezTo>
                              <a:cubicBezTo>
                                <a:pt x="116" y="134"/>
                                <a:pt x="116" y="134"/>
                                <a:pt x="116" y="134"/>
                              </a:cubicBezTo>
                              <a:cubicBezTo>
                                <a:pt x="113" y="137"/>
                                <a:pt x="111" y="141"/>
                                <a:pt x="110" y="145"/>
                              </a:cubicBezTo>
                              <a:cubicBezTo>
                                <a:pt x="109" y="150"/>
                                <a:pt x="109" y="154"/>
                                <a:pt x="111" y="158"/>
                              </a:cubicBezTo>
                              <a:cubicBezTo>
                                <a:pt x="99" y="162"/>
                                <a:pt x="86" y="163"/>
                                <a:pt x="73" y="160"/>
                              </a:cubicBezTo>
                              <a:close/>
                              <a:moveTo>
                                <a:pt x="147" y="142"/>
                              </a:moveTo>
                              <a:cubicBezTo>
                                <a:pt x="149" y="146"/>
                                <a:pt x="150" y="150"/>
                                <a:pt x="149" y="155"/>
                              </a:cubicBezTo>
                              <a:cubicBezTo>
                                <a:pt x="147" y="164"/>
                                <a:pt x="137" y="170"/>
                                <a:pt x="128" y="167"/>
                              </a:cubicBezTo>
                              <a:cubicBezTo>
                                <a:pt x="125" y="166"/>
                                <a:pt x="122" y="164"/>
                                <a:pt x="119" y="162"/>
                              </a:cubicBezTo>
                              <a:cubicBezTo>
                                <a:pt x="118" y="160"/>
                                <a:pt x="117" y="158"/>
                                <a:pt x="116" y="156"/>
                              </a:cubicBezTo>
                              <a:cubicBezTo>
                                <a:pt x="115" y="153"/>
                                <a:pt x="115" y="150"/>
                                <a:pt x="116" y="146"/>
                              </a:cubicBezTo>
                              <a:cubicBezTo>
                                <a:pt x="116" y="144"/>
                                <a:pt x="118" y="141"/>
                                <a:pt x="120" y="139"/>
                              </a:cubicBezTo>
                              <a:cubicBezTo>
                                <a:pt x="121" y="138"/>
                                <a:pt x="122" y="137"/>
                                <a:pt x="124" y="136"/>
                              </a:cubicBezTo>
                              <a:cubicBezTo>
                                <a:pt x="124" y="136"/>
                                <a:pt x="124" y="136"/>
                                <a:pt x="125" y="135"/>
                              </a:cubicBezTo>
                              <a:cubicBezTo>
                                <a:pt x="127" y="134"/>
                                <a:pt x="130" y="134"/>
                                <a:pt x="132" y="134"/>
                              </a:cubicBezTo>
                              <a:cubicBezTo>
                                <a:pt x="134" y="134"/>
                                <a:pt x="135" y="134"/>
                                <a:pt x="137" y="134"/>
                              </a:cubicBezTo>
                              <a:cubicBezTo>
                                <a:pt x="139" y="135"/>
                                <a:pt x="141" y="136"/>
                                <a:pt x="142" y="137"/>
                              </a:cubicBezTo>
                              <a:cubicBezTo>
                                <a:pt x="144" y="138"/>
                                <a:pt x="145" y="140"/>
                                <a:pt x="147" y="141"/>
                              </a:cubicBezTo>
                              <a:cubicBezTo>
                                <a:pt x="147" y="142"/>
                                <a:pt x="147" y="142"/>
                                <a:pt x="147" y="142"/>
                              </a:cubicBezTo>
                              <a:close/>
                              <a:moveTo>
                                <a:pt x="156" y="111"/>
                              </a:moveTo>
                              <a:cubicBezTo>
                                <a:pt x="154" y="119"/>
                                <a:pt x="150" y="126"/>
                                <a:pt x="146" y="132"/>
                              </a:cubicBezTo>
                              <a:cubicBezTo>
                                <a:pt x="144" y="130"/>
                                <a:pt x="141" y="129"/>
                                <a:pt x="138" y="128"/>
                              </a:cubicBezTo>
                              <a:cubicBezTo>
                                <a:pt x="132" y="127"/>
                                <a:pt x="126" y="128"/>
                                <a:pt x="121" y="131"/>
                              </a:cubicBezTo>
                              <a:cubicBezTo>
                                <a:pt x="106" y="111"/>
                                <a:pt x="106" y="111"/>
                                <a:pt x="106" y="111"/>
                              </a:cubicBezTo>
                              <a:cubicBezTo>
                                <a:pt x="109" y="108"/>
                                <a:pt x="112" y="104"/>
                                <a:pt x="113" y="100"/>
                              </a:cubicBezTo>
                              <a:cubicBezTo>
                                <a:pt x="113" y="97"/>
                                <a:pt x="114" y="94"/>
                                <a:pt x="113" y="91"/>
                              </a:cubicBezTo>
                              <a:cubicBezTo>
                                <a:pt x="136" y="86"/>
                                <a:pt x="136" y="86"/>
                                <a:pt x="136" y="86"/>
                              </a:cubicBezTo>
                              <a:cubicBezTo>
                                <a:pt x="136" y="87"/>
                                <a:pt x="137" y="88"/>
                                <a:pt x="137" y="89"/>
                              </a:cubicBezTo>
                              <a:cubicBezTo>
                                <a:pt x="141" y="94"/>
                                <a:pt x="146" y="98"/>
                                <a:pt x="151" y="100"/>
                              </a:cubicBezTo>
                              <a:cubicBezTo>
                                <a:pt x="153" y="100"/>
                                <a:pt x="155" y="100"/>
                                <a:pt x="157" y="100"/>
                              </a:cubicBezTo>
                              <a:cubicBezTo>
                                <a:pt x="157" y="100"/>
                                <a:pt x="157" y="100"/>
                                <a:pt x="157" y="100"/>
                              </a:cubicBezTo>
                              <a:cubicBezTo>
                                <a:pt x="157" y="104"/>
                                <a:pt x="157" y="107"/>
                                <a:pt x="156" y="111"/>
                              </a:cubicBezTo>
                              <a:close/>
                            </a:path>
                          </a:pathLst>
                        </a:custGeom>
                        <a:solidFill>
                          <a:srgbClr val="0070C0"/>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5621916C" id="Freeform 137" o:spid="_x0000_s1026" alt="&quot;&quot;" style="width:30pt;height:28.5pt;visibility:visible;mso-wrap-style:square;mso-left-percent:-10001;mso-top-percent:-10001;mso-position-horizontal:absolute;mso-position-horizontal-relative:char;mso-position-vertical:absolute;mso-position-vertical-relative:line;mso-left-percent:-10001;mso-top-percent:-10001;v-text-anchor:top" coordsize="183,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" path="m163,55v,,,,,c159,54,156,54,152,55,143,41,130,30,113,24v,-1,,-3,,-5c112,13,109,8,104,5,98,1,92,,86,1,80,2,75,5,71,10v-3,4,-4,9,-4,14c51,30,37,40,28,54,16,52,5,60,2,71,,77,1,84,4,89v3,5,8,8,13,10c18,110,21,121,27,132v1,1,1,2,2,3c26,138,24,141,23,145v-3,12,5,25,17,28c42,173,44,174,46,174v8,,15,-4,19,-11c67,164,70,165,72,165v6,2,12,3,18,3c98,168,106,166,113,164v4,4,8,8,14,9c128,173,130,174,132,174v11,,20,-7,23,-18c156,150,155,144,152,139v,-1,-1,-2,-2,-3c155,129,159,121,162,112v1,-4,1,-8,2,-13c165,99,167,98,169,97v5,-3,9,-8,11,-14c183,71,175,58,163,55xm174,81v-1,5,-4,9,-8,11c165,92,165,93,164,93v-2,1,-4,1,-6,1c156,94,155,94,153,94v-4,-1,-8,-4,-10,-8c142,85,142,85,142,84v-1,-2,-2,-4,-2,-6c140,77,140,75,141,73v1,-5,4,-9,9,-11c151,61,153,60,155,60v1,,2,,2,c159,60,160,60,162,61v9,2,14,11,12,20xm146,57v-5,3,-9,8,-11,14c134,74,134,77,134,80v-22,6,-22,6,-22,6c109,79,103,74,96,72v,,,,,c95,71,94,71,93,71v,-25,,-25,,-25c94,46,94,46,94,46v9,-1,16,-8,18,-16c127,35,139,45,146,57xm76,14c79,10,83,7,87,7v5,-1,9,,13,2c104,12,106,16,107,21v,,,1,,2c107,25,107,27,107,28v-2,6,-7,11,-14,12c93,40,93,40,93,40v-2,1,-4,1,-6,c81,39,76,35,74,29v,-1,,-2,-1,-3c73,25,73,24,73,23v,-4,1,-7,3,-9xm107,98v-1,3,-2,6,-4,8c102,107,100,108,99,109v,,-1,,-1,c94,111,90,112,86,111v-1,-1,-3,-1,-4,-2c80,108,79,107,77,105v,,-1,-1,-1,-2c74,100,73,96,73,93v,-1,,-2,1,-3c74,89,74,88,75,87v2,-5,7,-9,12,-10c88,77,89,77,90,77v1,,2,,3,c94,77,94,77,95,78v5,1,9,5,11,9c107,89,107,91,107,93v,2,,4,,5xm68,30v3,9,10,15,19,16c87,71,87,71,87,71,79,72,72,78,69,86,47,80,47,80,47,80v1,-5,,-10,-3,-15c42,61,38,58,34,56,42,44,54,35,68,30xm8,73c10,65,16,60,24,60v,,1,,1,c26,60,27,60,28,61v1,,2,,3,1c38,65,42,71,41,78v,1,,2,,3c40,82,40,83,40,84v-2,3,-4,6,-7,8c30,94,26,94,23,94v-1,,-2,,-3,c19,93,18,93,17,93,14,91,11,89,9,86,7,82,6,77,8,73xm32,128v-5,-8,-8,-18,-9,-28c23,100,24,100,24,100v4,,8,-1,12,-3c40,94,44,90,45,86v22,5,22,5,22,5c67,96,68,101,70,106v1,1,3,3,4,4c58,131,58,131,58,131v-2,-1,-4,-2,-6,-3c46,127,39,128,34,131v,,,,,c33,130,33,129,32,128xm59,161v-4,5,-11,8,-18,6c32,165,27,156,29,146v1,-2,2,-4,4,-6c34,138,35,137,37,136v,,,,,c40,134,43,134,46,134v1,,3,,4,c51,134,53,135,54,136v2,1,3,2,5,3c62,143,64,149,62,155v,,,,,c61,157,61,159,59,161xm73,160v-2,-1,-3,-2,-5,-2c68,157,68,157,68,156v2,-8,,-16,-6,-21c79,114,79,114,79,114v1,1,3,2,6,2c86,117,88,117,90,117v4,,8,-1,12,-3c116,134,116,134,116,134v-3,3,-5,7,-6,11c109,150,109,154,111,158v-12,4,-25,5,-38,2xm147,142v2,4,3,8,2,13c147,164,137,170,128,167v-3,-1,-6,-3,-9,-5c118,160,117,158,116,156v-1,-3,-1,-6,,-10c116,144,118,141,120,139v1,-1,2,-2,4,-3c124,136,124,136,125,135v2,-1,5,-1,7,-1c134,134,135,134,137,134v2,1,4,2,5,3c144,138,145,140,147,141v,1,,1,,1xm156,111v-2,8,-6,15,-10,21c144,130,141,129,138,128v-6,-1,-12,,-17,3c106,111,106,111,106,111v3,-3,6,-7,7,-11c113,97,114,94,113,91v23,-5,23,-5,23,-5c136,87,137,88,137,89v4,5,9,9,14,11c153,100,155,100,157,100v,,,,,c157,104,157,107,156,111xe" fillcolor="#0070c0" stroked="f">
                <v:path arrowok="t" o:connecttype="custom" o:connectlocs="316254,114409;216384,10401;139401,49924;8322,185135;60338,280823;95708,361950;187256,349469;274642,361950;312093,282903;351624,201777;362027,168494;328738,195536;295448,174734;312093,128971;337060,126891;280883,147692;199739,149772;193497,95688;303770,118570;208062,18722;222626,58245;181014,83207;151885,47844;214304,220498;178933,230899;158127,214258;156046,180975;193497,160173;222626,193456;181014,95688;97789,166414;141482,62405;52015,124810;85305,162253;68660,191376;35370,193456;66580,266262;74902,201777;145643,220498;108192,266262;66580,266262;60338,303705;76983,282903;112353,282903;128998,322427;141482,328667;164369,237140;212223,237140;230949,328667;310012,322427;241352,324507;257997,282903;285045,278743;305851,295384;287125,266262;235110,208017;285045,185135;326657,208017" o:connectangles="0,0,0,0,0,0,0,0,0,0,0,0,0,0,0,0,0,0,0,0,0,0,0,0,0,0,0,0,0,0,0,0,0,0,0,0,0,0,0,0,0,0,0,0,0,0,0,0,0,0,0,0,0,0,0,0,0,0"/>
                <o:lock v:ext="edit" aspectratio="t" verticies="t"/>
                <w10:anchorlock/>
              </v:shape>
            </w:pict>
          </mc:Fallback>
        </mc:AlternateContent>
      </w:r>
      <w:r w:rsidR="00F04BA2" w:rsidRPr="00E457E2">
        <w:t xml:space="preserve">The design of a stepped care model for </w:t>
      </w:r>
      <w:proofErr w:type="spellStart"/>
      <w:r w:rsidR="00F04BA2" w:rsidRPr="00AB1B9C">
        <w:rPr>
          <w:i/>
          <w:iCs/>
        </w:rPr>
        <w:t>HeadtoHelp</w:t>
      </w:r>
      <w:proofErr w:type="spellEnd"/>
      <w:r w:rsidR="00F04BA2" w:rsidRPr="00E457E2">
        <w:t xml:space="preserve"> leveraged existing insights and highlighted the need to think about system rather than program implementation</w:t>
      </w:r>
    </w:p>
    <w:p w14:paraId="7B5AB572" w14:textId="77777777" w:rsidR="00AB1B9C" w:rsidRPr="000D119D" w:rsidRDefault="00AB1B9C" w:rsidP="00AB1B9C">
      <w:pPr>
        <w:rPr>
          <w:lang w:val="en-AU"/>
        </w:rPr>
      </w:pPr>
      <w:r w:rsidRPr="000D119D">
        <w:rPr>
          <w:lang w:val="en-AU"/>
        </w:rPr>
        <w:t xml:space="preserve">PHNs recognise there was limited co-design of the </w:t>
      </w:r>
      <w:proofErr w:type="spellStart"/>
      <w:r w:rsidRPr="00AB1B9C">
        <w:rPr>
          <w:rStyle w:val="Emphasis"/>
        </w:rPr>
        <w:t>HeadtoHelp</w:t>
      </w:r>
      <w:proofErr w:type="spellEnd"/>
      <w:r w:rsidRPr="000D119D">
        <w:rPr>
          <w:i/>
          <w:iCs/>
          <w:lang w:val="en-AU"/>
        </w:rPr>
        <w:t xml:space="preserve"> </w:t>
      </w:r>
      <w:r w:rsidRPr="000D119D">
        <w:rPr>
          <w:lang w:val="en-AU"/>
        </w:rPr>
        <w:t xml:space="preserve">service with people with lived experience and with the local service system. This was due to the very short timeframes in which the service had to be stood up. While </w:t>
      </w:r>
      <w:proofErr w:type="spellStart"/>
      <w:r w:rsidRPr="00AB1B9C">
        <w:rPr>
          <w:rStyle w:val="Emphasis"/>
        </w:rPr>
        <w:t>HeadtoHelp</w:t>
      </w:r>
      <w:proofErr w:type="spellEnd"/>
      <w:r w:rsidRPr="000D119D">
        <w:rPr>
          <w:lang w:val="en-AU"/>
        </w:rPr>
        <w:t xml:space="preserve"> itself was not co-designed, it drew heavily on the AMHC service model (which did involve co-design) as well as other PHN co-design activities and evidence. With more time, dedicated co-design on the specifics of </w:t>
      </w:r>
      <w:proofErr w:type="spellStart"/>
      <w:r w:rsidRPr="00AB1B9C">
        <w:rPr>
          <w:rStyle w:val="Emphasis"/>
        </w:rPr>
        <w:t>HeadtoHelp</w:t>
      </w:r>
      <w:proofErr w:type="spellEnd"/>
      <w:r w:rsidRPr="000D119D">
        <w:rPr>
          <w:lang w:val="en-AU"/>
        </w:rPr>
        <w:t xml:space="preserve"> would have been feasible and useful. </w:t>
      </w:r>
    </w:p>
    <w:p w14:paraId="61EFCF7F" w14:textId="77777777" w:rsidR="00AB1B9C" w:rsidRPr="000D119D" w:rsidRDefault="00AB1B9C" w:rsidP="00AB1B9C">
      <w:pPr>
        <w:rPr>
          <w:lang w:val="en-AU"/>
        </w:rPr>
      </w:pPr>
      <w:r w:rsidRPr="000D119D">
        <w:rPr>
          <w:lang w:val="en-AU"/>
        </w:rPr>
        <w:t xml:space="preserve">To mitigate against this, the following inputs that leveraged co-design processes conducted for other programs were drawn on: </w:t>
      </w:r>
    </w:p>
    <w:p w14:paraId="28065EAC" w14:textId="77777777" w:rsidR="00AB1B9C" w:rsidRPr="00AB1B9C" w:rsidRDefault="00AB1B9C" w:rsidP="00AB1B9C">
      <w:pPr>
        <w:pStyle w:val="ListBullet"/>
      </w:pPr>
      <w:r>
        <w:t>i</w:t>
      </w:r>
      <w:r w:rsidRPr="000D119D">
        <w:t xml:space="preserve">nsights from </w:t>
      </w:r>
      <w:r w:rsidRPr="00AB1B9C">
        <w:t>co-design activities in the development of the AMHC service model</w:t>
      </w:r>
    </w:p>
    <w:p w14:paraId="176AC700" w14:textId="77777777" w:rsidR="00AB1B9C" w:rsidRPr="00AB1B9C" w:rsidRDefault="00AB1B9C" w:rsidP="00AB1B9C">
      <w:pPr>
        <w:pStyle w:val="ListBullet"/>
      </w:pPr>
      <w:r w:rsidRPr="00AB1B9C">
        <w:t>PHN regional planning exercises across the regions with input from people with lived experience</w:t>
      </w:r>
    </w:p>
    <w:p w14:paraId="76610EA8" w14:textId="77777777" w:rsidR="00AB1B9C" w:rsidRPr="00AB1B9C" w:rsidRDefault="00AB1B9C" w:rsidP="00AB1B9C">
      <w:pPr>
        <w:pStyle w:val="ListBullet"/>
      </w:pPr>
      <w:r w:rsidRPr="00AB1B9C">
        <w:t xml:space="preserve">findings from the design and evaluation of the EMPHN stepped care model </w:t>
      </w:r>
    </w:p>
    <w:p w14:paraId="047C4410" w14:textId="77777777" w:rsidR="00AB1B9C" w:rsidRPr="00AB1B9C" w:rsidRDefault="00AB1B9C" w:rsidP="00AB1B9C">
      <w:pPr>
        <w:pStyle w:val="ListBullet"/>
      </w:pPr>
      <w:r w:rsidRPr="00AB1B9C">
        <w:t>broader mental health planning undertaken by NWMPHN</w:t>
      </w:r>
    </w:p>
    <w:p w14:paraId="2E4BC533" w14:textId="77777777" w:rsidR="00AB1B9C" w:rsidRPr="00AB1B9C" w:rsidRDefault="00AB1B9C" w:rsidP="00AB1B9C">
      <w:pPr>
        <w:pStyle w:val="ListBullet"/>
      </w:pPr>
      <w:proofErr w:type="spellStart"/>
      <w:r w:rsidRPr="00AB1B9C">
        <w:t>utilising</w:t>
      </w:r>
      <w:proofErr w:type="spellEnd"/>
      <w:r w:rsidRPr="00AB1B9C">
        <w:t xml:space="preserve"> the lived-experienced informed Fifth National Mental Health Plan from the Mental Health Commission of Australia</w:t>
      </w:r>
    </w:p>
    <w:p w14:paraId="2BD8EF86" w14:textId="77777777" w:rsidR="00AB1B9C" w:rsidRPr="00AB1B9C" w:rsidRDefault="00AB1B9C" w:rsidP="00AB1B9C">
      <w:pPr>
        <w:pStyle w:val="ListBullet"/>
      </w:pPr>
      <w:r w:rsidRPr="00AB1B9C">
        <w:t xml:space="preserve">drawing on the service platform designed by Eastern Health using co-design with people of lived experience. </w:t>
      </w:r>
    </w:p>
    <w:p w14:paraId="3D773BC8" w14:textId="77777777" w:rsidR="00AB1B9C" w:rsidRPr="00AB1B9C" w:rsidRDefault="00AB1B9C" w:rsidP="00AB1B9C">
      <w:r w:rsidRPr="00AB1B9C">
        <w:t xml:space="preserve">The Clinical and Implementation Design team also engaged with other service providers such as Beyond Blue to </w:t>
      </w:r>
      <w:proofErr w:type="spellStart"/>
      <w:r w:rsidRPr="00AB1B9C">
        <w:t>formalise</w:t>
      </w:r>
      <w:proofErr w:type="spellEnd"/>
      <w:r w:rsidRPr="00AB1B9C">
        <w:t xml:space="preserve"> pathways between </w:t>
      </w:r>
      <w:proofErr w:type="spellStart"/>
      <w:r w:rsidRPr="00E6136D">
        <w:rPr>
          <w:rStyle w:val="Emphasis"/>
        </w:rPr>
        <w:t>HeadtoHelp</w:t>
      </w:r>
      <w:proofErr w:type="spellEnd"/>
      <w:r w:rsidRPr="00AB1B9C">
        <w:t xml:space="preserve"> and the Beyond Blue online and low-intensity service offerings. This also enabled an understanding of the flow from Beyond Blue to </w:t>
      </w:r>
      <w:proofErr w:type="spellStart"/>
      <w:r w:rsidRPr="00E6136D">
        <w:rPr>
          <w:rStyle w:val="Emphasis"/>
        </w:rPr>
        <w:t>HeadtoHelp</w:t>
      </w:r>
      <w:proofErr w:type="spellEnd"/>
      <w:r w:rsidRPr="00AB1B9C">
        <w:t xml:space="preserve">, and then to other local PHN commissioned services if required. </w:t>
      </w:r>
    </w:p>
    <w:p w14:paraId="223D4E03" w14:textId="77777777" w:rsidR="00AB1B9C" w:rsidRPr="00AB1B9C" w:rsidRDefault="00AB1B9C" w:rsidP="00AB1B9C">
      <w:r w:rsidRPr="00AB1B9C">
        <w:lastRenderedPageBreak/>
        <w:t xml:space="preserve">The rapid coming together of the Clinical and Implementation Design group meant that a Victoria-wide alliance was created. This meant PHNs matured from thinking about program implementation towards system integration. Streamlined system integration enables a single point of access through an intake function that allows a person to navigate to the right level of care using the IAR-DST, resulting in coordinated support of the person and timely initiation of treatment. The Clinical and Implementation Design stream see this as an opportunity to enable system reform across Victoria to ensure this concept is built into the system of care, and to realign to what the National Mental Health Plan requires. </w:t>
      </w:r>
    </w:p>
    <w:p w14:paraId="24E68137" w14:textId="77777777" w:rsidR="00AB1B9C" w:rsidRPr="00074556" w:rsidRDefault="00AB1B9C" w:rsidP="00AB1B9C">
      <w:r w:rsidRPr="00AB1B9C">
        <w:t>The Clinical and Implementation Design stream highlighted several aspects of the establishment and i</w:t>
      </w:r>
      <w:r w:rsidRPr="00074556">
        <w:t>mplementation process that could be improved, including:</w:t>
      </w:r>
    </w:p>
    <w:p w14:paraId="1D65D9C1" w14:textId="77777777" w:rsidR="00AB1B9C" w:rsidRPr="00AB1B9C" w:rsidRDefault="00AB1B9C" w:rsidP="00AB1B9C">
      <w:pPr>
        <w:pStyle w:val="ListBullet"/>
      </w:pPr>
      <w:r w:rsidRPr="000D119D">
        <w:t>Highlighting</w:t>
      </w:r>
      <w:r w:rsidRPr="00AB1B9C">
        <w:t xml:space="preserve"> population segments within mental health and embedding these segments into the system of care. This would assist in ensuring that clients are directed to the correct services for their level of need (i.e., ensure that clients identified by the IAR as level one or two are directed to online resources and services such as headspace, so that clients identified as level three or four have access to the hubs, therefore making the best use of system-wide mental health resources).</w:t>
      </w:r>
    </w:p>
    <w:p w14:paraId="675F8C6A" w14:textId="77777777" w:rsidR="00AB1B9C" w:rsidRPr="00AB1B9C" w:rsidRDefault="00AB1B9C" w:rsidP="00AB1B9C">
      <w:pPr>
        <w:pStyle w:val="ListBullet"/>
      </w:pPr>
      <w:r w:rsidRPr="00AB1B9C">
        <w:t xml:space="preserve">For the same reasons above, agreeing on definitions that separate mental health from mental illness and embedding these into the system of care. </w:t>
      </w:r>
    </w:p>
    <w:p w14:paraId="579AAD67" w14:textId="77777777" w:rsidR="00AB1B9C" w:rsidRPr="00AB1B9C" w:rsidRDefault="00AB1B9C" w:rsidP="00AB1B9C">
      <w:pPr>
        <w:pStyle w:val="ListBullet"/>
      </w:pPr>
      <w:r w:rsidRPr="00AB1B9C">
        <w:t xml:space="preserve">Engaging subject matter experts in the design and monitoring of the system of care. </w:t>
      </w:r>
    </w:p>
    <w:p w14:paraId="63FB1BA9" w14:textId="77777777" w:rsidR="00AB1B9C" w:rsidRPr="00AB1B9C" w:rsidRDefault="00AB1B9C" w:rsidP="00AB1B9C">
      <w:pPr>
        <w:pStyle w:val="ListBullet"/>
      </w:pPr>
      <w:r w:rsidRPr="00AB1B9C">
        <w:t xml:space="preserve">Employing more </w:t>
      </w:r>
      <w:proofErr w:type="spellStart"/>
      <w:r w:rsidRPr="00AB1B9C">
        <w:t>rigour</w:t>
      </w:r>
      <w:proofErr w:type="spellEnd"/>
      <w:r w:rsidRPr="00AB1B9C">
        <w:t xml:space="preserve"> in the monitoring of performance of outcome measures so that compliance with reporting on the measures designed by the team can be better used to refine services in future. </w:t>
      </w:r>
    </w:p>
    <w:p w14:paraId="33611B08" w14:textId="77777777" w:rsidR="00AB1B9C" w:rsidRPr="000D119D" w:rsidRDefault="00AB1B9C" w:rsidP="00AB1B9C">
      <w:pPr>
        <w:pStyle w:val="ListBullet"/>
      </w:pPr>
      <w:r w:rsidRPr="00AB1B9C">
        <w:t xml:space="preserve">Improving collaboration and co-design between Commonwealth and state to work collectively with investment, to reduce the chance of fragmentation and duplication, and to </w:t>
      </w:r>
      <w:proofErr w:type="spellStart"/>
      <w:r w:rsidRPr="00AB1B9C">
        <w:t>realise</w:t>
      </w:r>
      <w:proofErr w:type="spellEnd"/>
      <w:r w:rsidRPr="00AB1B9C">
        <w:t xml:space="preserve"> administrative e</w:t>
      </w:r>
      <w:r w:rsidRPr="000D119D">
        <w:t>fficiencies.</w:t>
      </w:r>
    </w:p>
    <w:p w14:paraId="16BFFCAE" w14:textId="1271546E" w:rsidR="00AB1B9C" w:rsidRDefault="00AB1B9C" w:rsidP="00AB1B9C">
      <w:r w:rsidRPr="00074556">
        <w:t xml:space="preserve">As of December 2021, the Clinical and Implementation Design stream had commenced preparations with local PHNs for the decommissioning of </w:t>
      </w:r>
      <w:proofErr w:type="spellStart"/>
      <w:r w:rsidRPr="00E6136D">
        <w:rPr>
          <w:rStyle w:val="Emphasis"/>
        </w:rPr>
        <w:t>HeadtoHelp</w:t>
      </w:r>
      <w:proofErr w:type="spellEnd"/>
      <w:r w:rsidRPr="00074556">
        <w:t xml:space="preserve"> in June 2022, preparing the gradual transition of clients to relevant local services, such as to Head to Health for adults and youth to headspace. However, a gap in care services for children was highlighted as a continuing problem.</w:t>
      </w:r>
    </w:p>
    <w:p w14:paraId="20C0B72F" w14:textId="68D32088" w:rsidR="00AB1B9C" w:rsidRPr="00AB1B9C" w:rsidRDefault="00AB1B9C" w:rsidP="00E6136D">
      <w:pPr>
        <w:pStyle w:val="Heading4"/>
      </w:pPr>
      <w:r w:rsidRPr="000D119D">
        <w:rPr>
          <w:noProof/>
        </w:rPr>
        <mc:AlternateContent>
          <mc:Choice Requires="wpg">
            <w:drawing>
              <wp:inline distT="0" distB="0" distL="0" distR="0" wp14:anchorId="0693E3B7" wp14:editId="12BE3E83">
                <wp:extent cx="352425" cy="327837"/>
                <wp:effectExtent l="0" t="0" r="9525" b="0"/>
                <wp:docPr id="27840" name="Group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2425" cy="327837"/>
                          <a:chOff x="0" y="0"/>
                          <a:chExt cx="682625" cy="635000"/>
                        </a:xfrm>
                        <a:solidFill>
                          <a:srgbClr val="0070C0"/>
                        </a:solidFill>
                      </wpg:grpSpPr>
                      <wps:wsp>
                        <wps:cNvPr id="27841" name="Freeform 8"/>
                        <wps:cNvSpPr>
                          <a:spLocks noEditPoints="1"/>
                        </wps:cNvSpPr>
                        <wps:spPr bwMode="auto">
                          <a:xfrm>
                            <a:off x="0" y="0"/>
                            <a:ext cx="682625" cy="635000"/>
                          </a:xfrm>
                          <a:custGeom>
                            <a:avLst/>
                            <a:gdLst>
                              <a:gd name="T0" fmla="*/ 146 w 168"/>
                              <a:gd name="T1" fmla="*/ 113 h 156"/>
                              <a:gd name="T2" fmla="*/ 168 w 168"/>
                              <a:gd name="T3" fmla="*/ 66 h 156"/>
                              <a:gd name="T4" fmla="*/ 96 w 168"/>
                              <a:gd name="T5" fmla="*/ 0 h 156"/>
                              <a:gd name="T6" fmla="*/ 26 w 168"/>
                              <a:gd name="T7" fmla="*/ 52 h 156"/>
                              <a:gd name="T8" fmla="*/ 0 w 168"/>
                              <a:gd name="T9" fmla="*/ 95 h 156"/>
                              <a:gd name="T10" fmla="*/ 16 w 168"/>
                              <a:gd name="T11" fmla="*/ 131 h 156"/>
                              <a:gd name="T12" fmla="*/ 5 w 168"/>
                              <a:gd name="T13" fmla="*/ 151 h 156"/>
                              <a:gd name="T14" fmla="*/ 5 w 168"/>
                              <a:gd name="T15" fmla="*/ 154 h 156"/>
                              <a:gd name="T16" fmla="*/ 7 w 168"/>
                              <a:gd name="T17" fmla="*/ 156 h 156"/>
                              <a:gd name="T18" fmla="*/ 38 w 168"/>
                              <a:gd name="T19" fmla="*/ 143 h 156"/>
                              <a:gd name="T20" fmla="*/ 54 w 168"/>
                              <a:gd name="T21" fmla="*/ 145 h 156"/>
                              <a:gd name="T22" fmla="*/ 91 w 168"/>
                              <a:gd name="T23" fmla="*/ 132 h 156"/>
                              <a:gd name="T24" fmla="*/ 96 w 168"/>
                              <a:gd name="T25" fmla="*/ 132 h 156"/>
                              <a:gd name="T26" fmla="*/ 118 w 168"/>
                              <a:gd name="T27" fmla="*/ 129 h 156"/>
                              <a:gd name="T28" fmla="*/ 159 w 168"/>
                              <a:gd name="T29" fmla="*/ 146 h 156"/>
                              <a:gd name="T30" fmla="*/ 162 w 168"/>
                              <a:gd name="T31" fmla="*/ 144 h 156"/>
                              <a:gd name="T32" fmla="*/ 161 w 168"/>
                              <a:gd name="T33" fmla="*/ 142 h 156"/>
                              <a:gd name="T34" fmla="*/ 146 w 168"/>
                              <a:gd name="T35" fmla="*/ 113 h 156"/>
                              <a:gd name="T36" fmla="*/ 119 w 168"/>
                              <a:gd name="T37" fmla="*/ 123 h 156"/>
                              <a:gd name="T38" fmla="*/ 118 w 168"/>
                              <a:gd name="T39" fmla="*/ 123 h 156"/>
                              <a:gd name="T40" fmla="*/ 96 w 168"/>
                              <a:gd name="T41" fmla="*/ 127 h 156"/>
                              <a:gd name="T42" fmla="*/ 30 w 168"/>
                              <a:gd name="T43" fmla="*/ 66 h 156"/>
                              <a:gd name="T44" fmla="*/ 96 w 168"/>
                              <a:gd name="T45" fmla="*/ 5 h 156"/>
                              <a:gd name="T46" fmla="*/ 163 w 168"/>
                              <a:gd name="T47" fmla="*/ 66 h 156"/>
                              <a:gd name="T48" fmla="*/ 142 w 168"/>
                              <a:gd name="T49" fmla="*/ 110 h 156"/>
                              <a:gd name="T50" fmla="*/ 141 w 168"/>
                              <a:gd name="T51" fmla="*/ 113 h 156"/>
                              <a:gd name="T52" fmla="*/ 153 w 168"/>
                              <a:gd name="T53" fmla="*/ 141 h 156"/>
                              <a:gd name="T54" fmla="*/ 121 w 168"/>
                              <a:gd name="T55" fmla="*/ 124 h 156"/>
                              <a:gd name="T56" fmla="*/ 121 w 168"/>
                              <a:gd name="T57" fmla="*/ 124 h 156"/>
                              <a:gd name="T58" fmla="*/ 119 w 168"/>
                              <a:gd name="T59" fmla="*/ 123 h 156"/>
                              <a:gd name="T60" fmla="*/ 21 w 168"/>
                              <a:gd name="T61" fmla="*/ 130 h 156"/>
                              <a:gd name="T62" fmla="*/ 21 w 168"/>
                              <a:gd name="T63" fmla="*/ 128 h 156"/>
                              <a:gd name="T64" fmla="*/ 5 w 168"/>
                              <a:gd name="T65" fmla="*/ 95 h 156"/>
                              <a:gd name="T66" fmla="*/ 25 w 168"/>
                              <a:gd name="T67" fmla="*/ 59 h 156"/>
                              <a:gd name="T68" fmla="*/ 25 w 168"/>
                              <a:gd name="T69" fmla="*/ 66 h 156"/>
                              <a:gd name="T70" fmla="*/ 84 w 168"/>
                              <a:gd name="T71" fmla="*/ 131 h 156"/>
                              <a:gd name="T72" fmla="*/ 54 w 168"/>
                              <a:gd name="T73" fmla="*/ 140 h 156"/>
                              <a:gd name="T74" fmla="*/ 38 w 168"/>
                              <a:gd name="T75" fmla="*/ 137 h 156"/>
                              <a:gd name="T76" fmla="*/ 35 w 168"/>
                              <a:gd name="T77" fmla="*/ 138 h 156"/>
                              <a:gd name="T78" fmla="*/ 13 w 168"/>
                              <a:gd name="T79" fmla="*/ 150 h 156"/>
                              <a:gd name="T80" fmla="*/ 21 w 168"/>
                              <a:gd name="T81" fmla="*/ 13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8" h="156">
                                <a:moveTo>
                                  <a:pt x="146" y="113"/>
                                </a:moveTo>
                                <a:cubicBezTo>
                                  <a:pt x="160" y="101"/>
                                  <a:pt x="168" y="84"/>
                                  <a:pt x="168" y="66"/>
                                </a:cubicBezTo>
                                <a:cubicBezTo>
                                  <a:pt x="168" y="30"/>
                                  <a:pt x="136" y="0"/>
                                  <a:pt x="96" y="0"/>
                                </a:cubicBezTo>
                                <a:cubicBezTo>
                                  <a:pt x="63" y="0"/>
                                  <a:pt x="33" y="22"/>
                                  <a:pt x="26" y="52"/>
                                </a:cubicBezTo>
                                <a:cubicBezTo>
                                  <a:pt x="10" y="61"/>
                                  <a:pt x="0" y="77"/>
                                  <a:pt x="0" y="95"/>
                                </a:cubicBezTo>
                                <a:cubicBezTo>
                                  <a:pt x="0" y="108"/>
                                  <a:pt x="6" y="121"/>
                                  <a:pt x="16" y="131"/>
                                </a:cubicBezTo>
                                <a:cubicBezTo>
                                  <a:pt x="12" y="144"/>
                                  <a:pt x="5" y="151"/>
                                  <a:pt x="5" y="151"/>
                                </a:cubicBezTo>
                                <a:cubicBezTo>
                                  <a:pt x="5" y="152"/>
                                  <a:pt x="4" y="153"/>
                                  <a:pt x="5" y="154"/>
                                </a:cubicBezTo>
                                <a:cubicBezTo>
                                  <a:pt x="5" y="155"/>
                                  <a:pt x="6" y="156"/>
                                  <a:pt x="7" y="156"/>
                                </a:cubicBezTo>
                                <a:cubicBezTo>
                                  <a:pt x="23" y="155"/>
                                  <a:pt x="33" y="147"/>
                                  <a:pt x="38" y="143"/>
                                </a:cubicBezTo>
                                <a:cubicBezTo>
                                  <a:pt x="43" y="144"/>
                                  <a:pt x="49" y="145"/>
                                  <a:pt x="54" y="145"/>
                                </a:cubicBezTo>
                                <a:cubicBezTo>
                                  <a:pt x="68" y="145"/>
                                  <a:pt x="81" y="140"/>
                                  <a:pt x="91" y="132"/>
                                </a:cubicBezTo>
                                <a:cubicBezTo>
                                  <a:pt x="93" y="132"/>
                                  <a:pt x="95" y="132"/>
                                  <a:pt x="96" y="132"/>
                                </a:cubicBezTo>
                                <a:cubicBezTo>
                                  <a:pt x="104" y="132"/>
                                  <a:pt x="111" y="131"/>
                                  <a:pt x="118" y="129"/>
                                </a:cubicBezTo>
                                <a:cubicBezTo>
                                  <a:pt x="124" y="135"/>
                                  <a:pt x="138" y="146"/>
                                  <a:pt x="159" y="146"/>
                                </a:cubicBezTo>
                                <a:cubicBezTo>
                                  <a:pt x="160" y="146"/>
                                  <a:pt x="161" y="145"/>
                                  <a:pt x="162" y="144"/>
                                </a:cubicBezTo>
                                <a:cubicBezTo>
                                  <a:pt x="162" y="144"/>
                                  <a:pt x="162" y="142"/>
                                  <a:pt x="161" y="142"/>
                                </a:cubicBezTo>
                                <a:cubicBezTo>
                                  <a:pt x="161" y="142"/>
                                  <a:pt x="151" y="132"/>
                                  <a:pt x="146" y="113"/>
                                </a:cubicBezTo>
                                <a:close/>
                                <a:moveTo>
                                  <a:pt x="119" y="123"/>
                                </a:moveTo>
                                <a:cubicBezTo>
                                  <a:pt x="119" y="123"/>
                                  <a:pt x="119" y="123"/>
                                  <a:pt x="118" y="123"/>
                                </a:cubicBezTo>
                                <a:cubicBezTo>
                                  <a:pt x="111" y="125"/>
                                  <a:pt x="104" y="127"/>
                                  <a:pt x="96" y="127"/>
                                </a:cubicBezTo>
                                <a:cubicBezTo>
                                  <a:pt x="60" y="127"/>
                                  <a:pt x="30" y="99"/>
                                  <a:pt x="30" y="66"/>
                                </a:cubicBezTo>
                                <a:cubicBezTo>
                                  <a:pt x="30" y="32"/>
                                  <a:pt x="60" y="5"/>
                                  <a:pt x="96" y="5"/>
                                </a:cubicBezTo>
                                <a:cubicBezTo>
                                  <a:pt x="133" y="5"/>
                                  <a:pt x="163" y="32"/>
                                  <a:pt x="163" y="66"/>
                                </a:cubicBezTo>
                                <a:cubicBezTo>
                                  <a:pt x="163" y="83"/>
                                  <a:pt x="156" y="99"/>
                                  <a:pt x="142" y="110"/>
                                </a:cubicBezTo>
                                <a:cubicBezTo>
                                  <a:pt x="141" y="111"/>
                                  <a:pt x="141" y="112"/>
                                  <a:pt x="141" y="113"/>
                                </a:cubicBezTo>
                                <a:cubicBezTo>
                                  <a:pt x="144" y="126"/>
                                  <a:pt x="149" y="135"/>
                                  <a:pt x="153" y="141"/>
                                </a:cubicBezTo>
                                <a:cubicBezTo>
                                  <a:pt x="135" y="138"/>
                                  <a:pt x="125" y="128"/>
                                  <a:pt x="121" y="124"/>
                                </a:cubicBezTo>
                                <a:cubicBezTo>
                                  <a:pt x="121" y="124"/>
                                  <a:pt x="121" y="124"/>
                                  <a:pt x="121" y="124"/>
                                </a:cubicBezTo>
                                <a:cubicBezTo>
                                  <a:pt x="121" y="123"/>
                                  <a:pt x="120" y="123"/>
                                  <a:pt x="119" y="123"/>
                                </a:cubicBezTo>
                                <a:close/>
                                <a:moveTo>
                                  <a:pt x="21" y="130"/>
                                </a:moveTo>
                                <a:cubicBezTo>
                                  <a:pt x="22" y="129"/>
                                  <a:pt x="21" y="128"/>
                                  <a:pt x="21" y="128"/>
                                </a:cubicBezTo>
                                <a:cubicBezTo>
                                  <a:pt x="10" y="119"/>
                                  <a:pt x="5" y="107"/>
                                  <a:pt x="5" y="95"/>
                                </a:cubicBezTo>
                                <a:cubicBezTo>
                                  <a:pt x="5" y="81"/>
                                  <a:pt x="12" y="67"/>
                                  <a:pt x="25" y="59"/>
                                </a:cubicBezTo>
                                <a:cubicBezTo>
                                  <a:pt x="25" y="61"/>
                                  <a:pt x="25" y="64"/>
                                  <a:pt x="25" y="66"/>
                                </a:cubicBezTo>
                                <a:cubicBezTo>
                                  <a:pt x="25" y="98"/>
                                  <a:pt x="49" y="125"/>
                                  <a:pt x="84" y="131"/>
                                </a:cubicBezTo>
                                <a:cubicBezTo>
                                  <a:pt x="75" y="137"/>
                                  <a:pt x="65" y="140"/>
                                  <a:pt x="54" y="140"/>
                                </a:cubicBezTo>
                                <a:cubicBezTo>
                                  <a:pt x="49" y="140"/>
                                  <a:pt x="43" y="139"/>
                                  <a:pt x="38" y="137"/>
                                </a:cubicBezTo>
                                <a:cubicBezTo>
                                  <a:pt x="37" y="137"/>
                                  <a:pt x="36" y="137"/>
                                  <a:pt x="35" y="138"/>
                                </a:cubicBezTo>
                                <a:cubicBezTo>
                                  <a:pt x="33" y="141"/>
                                  <a:pt x="25" y="148"/>
                                  <a:pt x="13" y="150"/>
                                </a:cubicBezTo>
                                <a:cubicBezTo>
                                  <a:pt x="16" y="146"/>
                                  <a:pt x="19" y="139"/>
                                  <a:pt x="21" y="13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842" name="Freeform 9"/>
                        <wps:cNvSpPr>
                          <a:spLocks noEditPoints="1"/>
                        </wps:cNvSpPr>
                        <wps:spPr bwMode="auto">
                          <a:xfrm>
                            <a:off x="252412" y="77788"/>
                            <a:ext cx="295275" cy="382588"/>
                          </a:xfrm>
                          <a:custGeom>
                            <a:avLst/>
                            <a:gdLst>
                              <a:gd name="T0" fmla="*/ 70 w 73"/>
                              <a:gd name="T1" fmla="*/ 94 h 94"/>
                              <a:gd name="T2" fmla="*/ 71 w 73"/>
                              <a:gd name="T3" fmla="*/ 94 h 94"/>
                              <a:gd name="T4" fmla="*/ 72 w 73"/>
                              <a:gd name="T5" fmla="*/ 93 h 94"/>
                              <a:gd name="T6" fmla="*/ 73 w 73"/>
                              <a:gd name="T7" fmla="*/ 91 h 94"/>
                              <a:gd name="T8" fmla="*/ 56 w 73"/>
                              <a:gd name="T9" fmla="*/ 57 h 94"/>
                              <a:gd name="T10" fmla="*/ 69 w 73"/>
                              <a:gd name="T11" fmla="*/ 32 h 94"/>
                              <a:gd name="T12" fmla="*/ 36 w 73"/>
                              <a:gd name="T13" fmla="*/ 0 h 94"/>
                              <a:gd name="T14" fmla="*/ 4 w 73"/>
                              <a:gd name="T15" fmla="*/ 32 h 94"/>
                              <a:gd name="T16" fmla="*/ 17 w 73"/>
                              <a:gd name="T17" fmla="*/ 57 h 94"/>
                              <a:gd name="T18" fmla="*/ 0 w 73"/>
                              <a:gd name="T19" fmla="*/ 91 h 94"/>
                              <a:gd name="T20" fmla="*/ 2 w 73"/>
                              <a:gd name="T21" fmla="*/ 94 h 94"/>
                              <a:gd name="T22" fmla="*/ 2 w 73"/>
                              <a:gd name="T23" fmla="*/ 94 h 94"/>
                              <a:gd name="T24" fmla="*/ 4 w 73"/>
                              <a:gd name="T25" fmla="*/ 93 h 94"/>
                              <a:gd name="T26" fmla="*/ 5 w 73"/>
                              <a:gd name="T27" fmla="*/ 91 h 94"/>
                              <a:gd name="T28" fmla="*/ 21 w 73"/>
                              <a:gd name="T29" fmla="*/ 60 h 94"/>
                              <a:gd name="T30" fmla="*/ 36 w 73"/>
                              <a:gd name="T31" fmla="*/ 64 h 94"/>
                              <a:gd name="T32" fmla="*/ 52 w 73"/>
                              <a:gd name="T33" fmla="*/ 60 h 94"/>
                              <a:gd name="T34" fmla="*/ 68 w 73"/>
                              <a:gd name="T35" fmla="*/ 91 h 94"/>
                              <a:gd name="T36" fmla="*/ 70 w 73"/>
                              <a:gd name="T37" fmla="*/ 94 h 94"/>
                              <a:gd name="T38" fmla="*/ 27 w 73"/>
                              <a:gd name="T39" fmla="*/ 57 h 94"/>
                              <a:gd name="T40" fmla="*/ 27 w 73"/>
                              <a:gd name="T41" fmla="*/ 57 h 94"/>
                              <a:gd name="T42" fmla="*/ 26 w 73"/>
                              <a:gd name="T43" fmla="*/ 57 h 94"/>
                              <a:gd name="T44" fmla="*/ 10 w 73"/>
                              <a:gd name="T45" fmla="*/ 35 h 94"/>
                              <a:gd name="T46" fmla="*/ 46 w 73"/>
                              <a:gd name="T47" fmla="*/ 23 h 94"/>
                              <a:gd name="T48" fmla="*/ 63 w 73"/>
                              <a:gd name="T49" fmla="*/ 34 h 94"/>
                              <a:gd name="T50" fmla="*/ 47 w 73"/>
                              <a:gd name="T51" fmla="*/ 57 h 94"/>
                              <a:gd name="T52" fmla="*/ 46 w 73"/>
                              <a:gd name="T53" fmla="*/ 57 h 94"/>
                              <a:gd name="T54" fmla="*/ 45 w 73"/>
                              <a:gd name="T55" fmla="*/ 57 h 94"/>
                              <a:gd name="T56" fmla="*/ 43 w 73"/>
                              <a:gd name="T57" fmla="*/ 58 h 94"/>
                              <a:gd name="T58" fmla="*/ 41 w 73"/>
                              <a:gd name="T59" fmla="*/ 58 h 94"/>
                              <a:gd name="T60" fmla="*/ 39 w 73"/>
                              <a:gd name="T61" fmla="*/ 59 h 94"/>
                              <a:gd name="T62" fmla="*/ 39 w 73"/>
                              <a:gd name="T63" fmla="*/ 59 h 94"/>
                              <a:gd name="T64" fmla="*/ 34 w 73"/>
                              <a:gd name="T65" fmla="*/ 59 h 94"/>
                              <a:gd name="T66" fmla="*/ 34 w 73"/>
                              <a:gd name="T67" fmla="*/ 59 h 94"/>
                              <a:gd name="T68" fmla="*/ 32 w 73"/>
                              <a:gd name="T69" fmla="*/ 58 h 94"/>
                              <a:gd name="T70" fmla="*/ 30 w 73"/>
                              <a:gd name="T71" fmla="*/ 58 h 94"/>
                              <a:gd name="T72" fmla="*/ 27 w 73"/>
                              <a:gd name="T73" fmla="*/ 57 h 94"/>
                              <a:gd name="T74" fmla="*/ 49 w 73"/>
                              <a:gd name="T75" fmla="*/ 18 h 94"/>
                              <a:gd name="T76" fmla="*/ 47 w 73"/>
                              <a:gd name="T77" fmla="*/ 17 h 94"/>
                              <a:gd name="T78" fmla="*/ 45 w 73"/>
                              <a:gd name="T79" fmla="*/ 17 h 94"/>
                              <a:gd name="T80" fmla="*/ 10 w 73"/>
                              <a:gd name="T81" fmla="*/ 29 h 94"/>
                              <a:gd name="T82" fmla="*/ 36 w 73"/>
                              <a:gd name="T83" fmla="*/ 5 h 94"/>
                              <a:gd name="T84" fmla="*/ 63 w 73"/>
                              <a:gd name="T85" fmla="*/ 28 h 94"/>
                              <a:gd name="T86" fmla="*/ 49 w 73"/>
                              <a:gd name="T87" fmla="*/ 18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3" h="94">
                                <a:moveTo>
                                  <a:pt x="70" y="94"/>
                                </a:moveTo>
                                <a:cubicBezTo>
                                  <a:pt x="71" y="94"/>
                                  <a:pt x="71" y="94"/>
                                  <a:pt x="71" y="94"/>
                                </a:cubicBezTo>
                                <a:cubicBezTo>
                                  <a:pt x="71" y="94"/>
                                  <a:pt x="72" y="93"/>
                                  <a:pt x="72" y="93"/>
                                </a:cubicBezTo>
                                <a:cubicBezTo>
                                  <a:pt x="73" y="92"/>
                                  <a:pt x="73" y="92"/>
                                  <a:pt x="73" y="91"/>
                                </a:cubicBezTo>
                                <a:cubicBezTo>
                                  <a:pt x="73" y="90"/>
                                  <a:pt x="72" y="72"/>
                                  <a:pt x="56" y="57"/>
                                </a:cubicBezTo>
                                <a:cubicBezTo>
                                  <a:pt x="64" y="51"/>
                                  <a:pt x="69" y="42"/>
                                  <a:pt x="69" y="32"/>
                                </a:cubicBezTo>
                                <a:cubicBezTo>
                                  <a:pt x="69" y="14"/>
                                  <a:pt x="54" y="0"/>
                                  <a:pt x="36" y="0"/>
                                </a:cubicBezTo>
                                <a:cubicBezTo>
                                  <a:pt x="19" y="0"/>
                                  <a:pt x="4" y="14"/>
                                  <a:pt x="4" y="32"/>
                                </a:cubicBezTo>
                                <a:cubicBezTo>
                                  <a:pt x="4" y="42"/>
                                  <a:pt x="9" y="51"/>
                                  <a:pt x="17" y="57"/>
                                </a:cubicBezTo>
                                <a:cubicBezTo>
                                  <a:pt x="1" y="72"/>
                                  <a:pt x="0" y="90"/>
                                  <a:pt x="0" y="91"/>
                                </a:cubicBezTo>
                                <a:cubicBezTo>
                                  <a:pt x="0" y="92"/>
                                  <a:pt x="1" y="94"/>
                                  <a:pt x="2" y="94"/>
                                </a:cubicBezTo>
                                <a:cubicBezTo>
                                  <a:pt x="2" y="94"/>
                                  <a:pt x="2" y="94"/>
                                  <a:pt x="2" y="94"/>
                                </a:cubicBezTo>
                                <a:cubicBezTo>
                                  <a:pt x="3" y="94"/>
                                  <a:pt x="4" y="93"/>
                                  <a:pt x="4" y="93"/>
                                </a:cubicBezTo>
                                <a:cubicBezTo>
                                  <a:pt x="5" y="93"/>
                                  <a:pt x="5" y="92"/>
                                  <a:pt x="5" y="91"/>
                                </a:cubicBezTo>
                                <a:cubicBezTo>
                                  <a:pt x="5" y="91"/>
                                  <a:pt x="6" y="73"/>
                                  <a:pt x="21" y="60"/>
                                </a:cubicBezTo>
                                <a:cubicBezTo>
                                  <a:pt x="26" y="63"/>
                                  <a:pt x="31" y="64"/>
                                  <a:pt x="36" y="64"/>
                                </a:cubicBezTo>
                                <a:cubicBezTo>
                                  <a:pt x="42" y="64"/>
                                  <a:pt x="47" y="63"/>
                                  <a:pt x="52" y="60"/>
                                </a:cubicBezTo>
                                <a:cubicBezTo>
                                  <a:pt x="66" y="73"/>
                                  <a:pt x="68" y="91"/>
                                  <a:pt x="68" y="91"/>
                                </a:cubicBezTo>
                                <a:cubicBezTo>
                                  <a:pt x="68" y="93"/>
                                  <a:pt x="69" y="94"/>
                                  <a:pt x="70" y="94"/>
                                </a:cubicBezTo>
                                <a:close/>
                                <a:moveTo>
                                  <a:pt x="27" y="57"/>
                                </a:moveTo>
                                <a:cubicBezTo>
                                  <a:pt x="27" y="57"/>
                                  <a:pt x="27" y="57"/>
                                  <a:pt x="27" y="57"/>
                                </a:cubicBezTo>
                                <a:cubicBezTo>
                                  <a:pt x="26" y="57"/>
                                  <a:pt x="26" y="57"/>
                                  <a:pt x="26" y="57"/>
                                </a:cubicBezTo>
                                <a:cubicBezTo>
                                  <a:pt x="17" y="53"/>
                                  <a:pt x="11" y="44"/>
                                  <a:pt x="10" y="35"/>
                                </a:cubicBezTo>
                                <a:cubicBezTo>
                                  <a:pt x="15" y="35"/>
                                  <a:pt x="31" y="35"/>
                                  <a:pt x="46" y="23"/>
                                </a:cubicBezTo>
                                <a:cubicBezTo>
                                  <a:pt x="48" y="26"/>
                                  <a:pt x="54" y="32"/>
                                  <a:pt x="63" y="34"/>
                                </a:cubicBezTo>
                                <a:cubicBezTo>
                                  <a:pt x="63" y="44"/>
                                  <a:pt x="56" y="52"/>
                                  <a:pt x="47" y="57"/>
                                </a:cubicBezTo>
                                <a:cubicBezTo>
                                  <a:pt x="47" y="57"/>
                                  <a:pt x="46" y="57"/>
                                  <a:pt x="46" y="57"/>
                                </a:cubicBezTo>
                                <a:cubicBezTo>
                                  <a:pt x="45" y="57"/>
                                  <a:pt x="45" y="57"/>
                                  <a:pt x="45" y="57"/>
                                </a:cubicBezTo>
                                <a:cubicBezTo>
                                  <a:pt x="45" y="57"/>
                                  <a:pt x="44" y="58"/>
                                  <a:pt x="43" y="58"/>
                                </a:cubicBezTo>
                                <a:cubicBezTo>
                                  <a:pt x="42" y="58"/>
                                  <a:pt x="41" y="58"/>
                                  <a:pt x="41" y="58"/>
                                </a:cubicBezTo>
                                <a:cubicBezTo>
                                  <a:pt x="40" y="59"/>
                                  <a:pt x="40" y="59"/>
                                  <a:pt x="39" y="59"/>
                                </a:cubicBezTo>
                                <a:cubicBezTo>
                                  <a:pt x="39" y="59"/>
                                  <a:pt x="39" y="59"/>
                                  <a:pt x="39" y="59"/>
                                </a:cubicBezTo>
                                <a:cubicBezTo>
                                  <a:pt x="37" y="59"/>
                                  <a:pt x="36" y="59"/>
                                  <a:pt x="34" y="59"/>
                                </a:cubicBezTo>
                                <a:cubicBezTo>
                                  <a:pt x="34" y="59"/>
                                  <a:pt x="34" y="59"/>
                                  <a:pt x="34" y="59"/>
                                </a:cubicBezTo>
                                <a:cubicBezTo>
                                  <a:pt x="33" y="59"/>
                                  <a:pt x="33" y="59"/>
                                  <a:pt x="32" y="58"/>
                                </a:cubicBezTo>
                                <a:cubicBezTo>
                                  <a:pt x="31" y="58"/>
                                  <a:pt x="31" y="58"/>
                                  <a:pt x="30" y="58"/>
                                </a:cubicBezTo>
                                <a:cubicBezTo>
                                  <a:pt x="29" y="58"/>
                                  <a:pt x="28" y="58"/>
                                  <a:pt x="27" y="57"/>
                                </a:cubicBezTo>
                                <a:close/>
                                <a:moveTo>
                                  <a:pt x="49" y="18"/>
                                </a:moveTo>
                                <a:cubicBezTo>
                                  <a:pt x="49" y="17"/>
                                  <a:pt x="48" y="17"/>
                                  <a:pt x="47" y="17"/>
                                </a:cubicBezTo>
                                <a:cubicBezTo>
                                  <a:pt x="46" y="16"/>
                                  <a:pt x="45" y="17"/>
                                  <a:pt x="45" y="17"/>
                                </a:cubicBezTo>
                                <a:cubicBezTo>
                                  <a:pt x="31" y="29"/>
                                  <a:pt x="16" y="30"/>
                                  <a:pt x="10" y="29"/>
                                </a:cubicBezTo>
                                <a:cubicBezTo>
                                  <a:pt x="11" y="16"/>
                                  <a:pt x="22" y="5"/>
                                  <a:pt x="36" y="5"/>
                                </a:cubicBezTo>
                                <a:cubicBezTo>
                                  <a:pt x="50" y="5"/>
                                  <a:pt x="61" y="15"/>
                                  <a:pt x="63" y="28"/>
                                </a:cubicBezTo>
                                <a:cubicBezTo>
                                  <a:pt x="53" y="25"/>
                                  <a:pt x="49" y="18"/>
                                  <a:pt x="49" y="1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inline>
            </w:drawing>
          </mc:Choice>
          <mc:Fallback>
            <w:pict>
              <v:group w14:anchorId="451291DC" id="Group 53" o:spid="_x0000_s1026" alt="&quot;&quot;" style="width:27.75pt;height:25.8pt;mso-position-horizontal-relative:char;mso-position-vertical-relative:line" coordsize="6826,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">
                <v:shape id="Freeform 8" o:spid="_x0000_s1027" style="position:absolute;width:6826;height:6350;visibility:visible;mso-wrap-style:square;v-text-anchor:top" coordsize="16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" path="m146,113v14,-12,22,-29,22,-47c168,30,136,,96,,63,,33,22,26,52,10,61,,77,,95v,13,6,26,16,36c12,144,5,151,5,151v,1,-1,2,,3c5,155,6,156,7,156v16,-1,26,-9,31,-13c43,144,49,145,54,145v14,,27,-5,37,-13c93,132,95,132,96,132v8,,15,-1,22,-3c124,135,138,146,159,146v1,,2,-1,3,-2c162,144,162,142,161,142v,,-10,-10,-15,-29xm119,123v,,,,-1,c111,125,104,127,96,127,60,127,30,99,30,66,30,32,60,5,96,5v37,,67,27,67,61c163,83,156,99,142,110v-1,1,-1,2,-1,3c144,126,149,135,153,141v-18,-3,-28,-13,-32,-17c121,124,121,124,121,124v,-1,-1,-1,-2,-1xm21,130v1,-1,,-2,,-2c10,119,5,107,5,95,5,81,12,67,25,59v,2,,5,,7c25,98,49,125,84,131v-9,6,-19,9,-30,9c49,140,43,139,38,137v-1,,-2,,-3,1c33,141,25,148,13,150v3,-4,6,-11,8,-20xe" filled="f" stroked="f">
                  <v:path arrowok="t" o:connecttype="custom" o:connectlocs="593234,459968;682625,268654;390071,0;105644,211667;0,386699;65012,533237;20316,614647;20316,626859;28443,635000;154403,582083;219415,590224;369755,537308;390071,537308;479463,525096;646056,594295;658246,586154;654182,578013;593234,459968;483526,500673;479463,500673;390071,516955;121897,268654;390071,20353;662309,268654;576981,447756;572917,459968;621676,573942;491653,504744;491653,504744;483526,500673;85328,529167;85328,521026;20316,386699;101581,240160;101581,268654;341313,533237;219415,569872;154403,557660;142214,561731;52822,610577;85328,529167" o:connectangles="0,0,0,0,0,0,0,0,0,0,0,0,0,0,0,0,0,0,0,0,0,0,0,0,0,0,0,0,0,0,0,0,0,0,0,0,0,0,0,0,0"/>
                  <o:lock v:ext="edit" verticies="t"/>
                </v:shape>
                <v:shape id="Freeform 9" o:spid="_x0000_s1028" style="position:absolute;left:2524;top:777;width:2952;height:3826;visibility:visible;mso-wrap-style:square;v-text-anchor:top" coordsize="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" path="m70,94v1,,1,,1,c71,94,72,93,72,93v1,-1,1,-1,1,-2c73,90,72,72,56,57,64,51,69,42,69,32,69,14,54,,36,,19,,4,14,4,32v,10,5,19,13,25c1,72,,90,,91v,1,1,3,2,3c2,94,2,94,2,94v1,,2,-1,2,-1c5,93,5,92,5,91v,,1,-18,16,-31c26,63,31,64,36,64v6,,11,-1,16,-4c66,73,68,91,68,91v,2,1,3,2,3xm27,57v,,,,,c26,57,26,57,26,57,17,53,11,44,10,35v5,,21,,36,-12c48,26,54,32,63,34v,10,-7,18,-16,23c47,57,46,57,46,57v-1,,-1,,-1,c45,57,44,58,43,58v-1,,-2,,-2,c40,59,40,59,39,59v,,,,,c37,59,36,59,34,59v,,,,,c33,59,33,59,32,58v-1,,-1,,-2,c29,58,28,58,27,57xm49,18v,-1,-1,-1,-2,-1c46,16,45,17,45,17,31,29,16,30,10,29,11,16,22,5,36,5v14,,25,10,27,23c53,25,49,18,49,18xe" filled="f" stroked="f">
                  <v:path arrowok="t" o:connecttype="custom" o:connectlocs="283140,382588;287185,382588;291230,378518;295275,370378;226512,231995;279096,130243;145615,0;16179,130243;68763,231995;0,370378;8090,382588;8090,382588;16179,378518;20224,370378;84942,244205;145615,260485;210333,244205;275051,370378;283140,382588;109211,231995;109211,231995;105166,231995;40449,142453;186064,93612;254826,138383;190109,231995;186064,231995;182019,231995;173929,236065;165839,236065;157750,240135;157750,240135;137525,240135;137525,240135;129436,236065;121346,236065;109211,231995;198198,73262;190109,69191;182019,69191;40449,118032;145615,20350;254826,113962;198198,73262" o:connectangles="0,0,0,0,0,0,0,0,0,0,0,0,0,0,0,0,0,0,0,0,0,0,0,0,0,0,0,0,0,0,0,0,0,0,0,0,0,0,0,0,0,0,0,0"/>
                  <o:lock v:ext="edit" verticies="t"/>
                </v:shape>
                <w10:anchorlock/>
              </v:group>
            </w:pict>
          </mc:Fallback>
        </mc:AlternateContent>
      </w:r>
      <w:r w:rsidRPr="00AB1B9C">
        <w:t xml:space="preserve">Communication was a major activity to build awareness of </w:t>
      </w:r>
      <w:proofErr w:type="spellStart"/>
      <w:r w:rsidRPr="00AB1B9C">
        <w:t>HeadtoHelp</w:t>
      </w:r>
      <w:proofErr w:type="spellEnd"/>
      <w:r w:rsidRPr="00AB1B9C">
        <w:t xml:space="preserve"> among participants and service providers; however, effectiveness could have been improved</w:t>
      </w:r>
    </w:p>
    <w:p w14:paraId="147D9031" w14:textId="77777777" w:rsidR="00AB1B9C" w:rsidRPr="000D119D" w:rsidRDefault="00AB1B9C" w:rsidP="00AB1B9C">
      <w:pPr>
        <w:rPr>
          <w:lang w:val="en-AU" w:eastAsia="en-AU"/>
        </w:rPr>
      </w:pPr>
      <w:proofErr w:type="gramStart"/>
      <w:r w:rsidRPr="000D119D">
        <w:rPr>
          <w:lang w:val="en-AU" w:eastAsia="en-AU"/>
        </w:rPr>
        <w:t>In order to</w:t>
      </w:r>
      <w:proofErr w:type="gramEnd"/>
      <w:r w:rsidRPr="000D119D">
        <w:rPr>
          <w:lang w:val="en-AU" w:eastAsia="en-AU"/>
        </w:rPr>
        <w:t xml:space="preserve"> build awareness of the </w:t>
      </w:r>
      <w:proofErr w:type="spellStart"/>
      <w:r w:rsidRPr="00E13AC5">
        <w:rPr>
          <w:rStyle w:val="Emphasis"/>
        </w:rPr>
        <w:t>HeadtoHelp</w:t>
      </w:r>
      <w:proofErr w:type="spellEnd"/>
      <w:r w:rsidRPr="000D119D">
        <w:rPr>
          <w:lang w:val="en-AU" w:eastAsia="en-AU"/>
        </w:rPr>
        <w:t xml:space="preserve"> service among participants and referrers, PHNs had to establish a coherent communications strategy within four weeks. The PHNs’ approach to communications leveraged internal resources to the extent possible and engaged outside sources to compliment. </w:t>
      </w:r>
    </w:p>
    <w:p w14:paraId="3011586E" w14:textId="77777777" w:rsidR="00AB1B9C" w:rsidRPr="000D119D" w:rsidRDefault="00AB1B9C" w:rsidP="00AB1B9C">
      <w:pPr>
        <w:rPr>
          <w:lang w:val="en-AU" w:eastAsia="en-AU"/>
        </w:rPr>
      </w:pPr>
      <w:r w:rsidRPr="000D119D">
        <w:rPr>
          <w:lang w:val="en-AU" w:eastAsia="en-AU"/>
        </w:rPr>
        <w:t>The</w:t>
      </w:r>
      <w:r>
        <w:rPr>
          <w:lang w:val="en-AU" w:eastAsia="en-AU"/>
        </w:rPr>
        <w:t xml:space="preserve"> total</w:t>
      </w:r>
      <w:r w:rsidRPr="000D119D">
        <w:rPr>
          <w:lang w:val="en-AU" w:eastAsia="en-AU"/>
        </w:rPr>
        <w:t xml:space="preserve"> initial</w:t>
      </w:r>
      <w:r>
        <w:rPr>
          <w:lang w:val="en-AU" w:eastAsia="en-AU"/>
        </w:rPr>
        <w:t xml:space="preserve"> program</w:t>
      </w:r>
      <w:r w:rsidRPr="000D119D">
        <w:rPr>
          <w:lang w:val="en-AU" w:eastAsia="en-AU"/>
        </w:rPr>
        <w:t xml:space="preserve"> funding for communications was $300</w:t>
      </w:r>
      <w:r>
        <w:rPr>
          <w:lang w:val="en-AU" w:eastAsia="en-AU"/>
        </w:rPr>
        <w:t>,000</w:t>
      </w:r>
      <w:r w:rsidRPr="000D119D">
        <w:rPr>
          <w:lang w:val="en-AU" w:eastAsia="en-AU"/>
        </w:rPr>
        <w:t>, which PHNs used to develop:</w:t>
      </w:r>
    </w:p>
    <w:p w14:paraId="06B36E1D" w14:textId="77777777" w:rsidR="00AB1B9C" w:rsidRPr="000D119D" w:rsidRDefault="00AB1B9C" w:rsidP="00AB1B9C">
      <w:pPr>
        <w:pStyle w:val="ListBullet"/>
      </w:pPr>
      <w:r w:rsidRPr="000D119D">
        <w:rPr>
          <w:rFonts w:asciiTheme="majorHAnsi" w:hAnsiTheme="majorHAnsi" w:cstheme="majorHAnsi"/>
        </w:rPr>
        <w:t xml:space="preserve">The </w:t>
      </w:r>
      <w:proofErr w:type="spellStart"/>
      <w:r w:rsidRPr="000D119D">
        <w:rPr>
          <w:rFonts w:asciiTheme="majorHAnsi" w:hAnsiTheme="majorHAnsi" w:cstheme="majorHAnsi"/>
          <w:i/>
          <w:iCs/>
        </w:rPr>
        <w:t>HeadtoHelp</w:t>
      </w:r>
      <w:proofErr w:type="spellEnd"/>
      <w:r w:rsidRPr="000D119D">
        <w:rPr>
          <w:rFonts w:asciiTheme="majorHAnsi" w:hAnsiTheme="majorHAnsi" w:cstheme="majorHAnsi"/>
        </w:rPr>
        <w:t xml:space="preserve"> brand</w:t>
      </w:r>
      <w:r w:rsidRPr="000D119D">
        <w:t>. PHNs engaged Ikon agency to provide brand design.</w:t>
      </w:r>
    </w:p>
    <w:p w14:paraId="2C93F4FA" w14:textId="77777777" w:rsidR="00AB1B9C" w:rsidRPr="000D119D" w:rsidRDefault="00AB1B9C" w:rsidP="00AB1B9C">
      <w:pPr>
        <w:pStyle w:val="ListBullet"/>
      </w:pPr>
      <w:r w:rsidRPr="000D119D">
        <w:rPr>
          <w:rFonts w:asciiTheme="majorHAnsi" w:hAnsiTheme="majorHAnsi" w:cstheme="majorHAnsi"/>
        </w:rPr>
        <w:t xml:space="preserve">A shared </w:t>
      </w:r>
      <w:proofErr w:type="spellStart"/>
      <w:r w:rsidRPr="000D119D">
        <w:rPr>
          <w:rFonts w:asciiTheme="majorHAnsi" w:hAnsiTheme="majorHAnsi" w:cstheme="majorHAnsi"/>
          <w:i/>
          <w:iCs/>
        </w:rPr>
        <w:t>HeadtoHelp</w:t>
      </w:r>
      <w:proofErr w:type="spellEnd"/>
      <w:r w:rsidRPr="000D119D">
        <w:rPr>
          <w:rFonts w:asciiTheme="majorHAnsi" w:hAnsiTheme="majorHAnsi" w:cstheme="majorHAnsi"/>
        </w:rPr>
        <w:t xml:space="preserve"> platform</w:t>
      </w:r>
      <w:r w:rsidRPr="000D119D">
        <w:t xml:space="preserve">. This consisted of a central 1800 number and the </w:t>
      </w:r>
      <w:proofErr w:type="spellStart"/>
      <w:r w:rsidRPr="00E13AC5">
        <w:rPr>
          <w:rStyle w:val="Emphasis"/>
        </w:rPr>
        <w:t>HeadtoHelp</w:t>
      </w:r>
      <w:proofErr w:type="spellEnd"/>
      <w:r w:rsidRPr="000D119D">
        <w:t xml:space="preserve"> website, developed using internal resources.</w:t>
      </w:r>
    </w:p>
    <w:p w14:paraId="4329D544" w14:textId="77777777" w:rsidR="00AB1B9C" w:rsidRPr="000D119D" w:rsidRDefault="00AB1B9C" w:rsidP="00AB1B9C">
      <w:pPr>
        <w:pStyle w:val="ListBullet"/>
      </w:pPr>
      <w:r w:rsidRPr="000D119D">
        <w:rPr>
          <w:rFonts w:asciiTheme="majorHAnsi" w:hAnsiTheme="majorHAnsi" w:cstheme="majorHAnsi"/>
        </w:rPr>
        <w:t>A targeted marketing campaign for community awareness</w:t>
      </w:r>
      <w:r w:rsidRPr="000D119D">
        <w:t xml:space="preserve"> that occurred largely in October 2020 and consisted of marketing </w:t>
      </w:r>
      <w:proofErr w:type="spellStart"/>
      <w:r w:rsidRPr="00E13AC5">
        <w:rPr>
          <w:rStyle w:val="Emphasis"/>
        </w:rPr>
        <w:t>HeadtoHelp</w:t>
      </w:r>
      <w:proofErr w:type="spellEnd"/>
      <w:r w:rsidRPr="000D119D">
        <w:t xml:space="preserve"> on billboards, radio, social </w:t>
      </w:r>
      <w:proofErr w:type="gramStart"/>
      <w:r w:rsidRPr="000D119D">
        <w:t>media</w:t>
      </w:r>
      <w:proofErr w:type="gramEnd"/>
      <w:r w:rsidRPr="000D119D">
        <w:t xml:space="preserve"> and Google Ads. Given this campaign ran for only one month during the establishment phase, it was very limited in building service awareness among both participants and service providers. A further communications campaign was run in April 2021, which is discussed briefly in </w:t>
      </w:r>
      <w:r w:rsidRPr="00CD0147">
        <w:t xml:space="preserve">Section </w:t>
      </w:r>
      <w:r w:rsidRPr="00CD0147">
        <w:fldChar w:fldCharType="begin"/>
      </w:r>
      <w:r w:rsidRPr="00CD0147">
        <w:instrText xml:space="preserve"> REF _Ref96961450 \r \h </w:instrText>
      </w:r>
      <w:r>
        <w:instrText xml:space="preserve"> \* MERGEFORMAT </w:instrText>
      </w:r>
      <w:r w:rsidRPr="00CD0147">
        <w:fldChar w:fldCharType="separate"/>
      </w:r>
      <w:r>
        <w:t>4.1.7</w:t>
      </w:r>
      <w:r w:rsidRPr="00CD0147">
        <w:fldChar w:fldCharType="end"/>
      </w:r>
      <w:r>
        <w:t>.</w:t>
      </w:r>
    </w:p>
    <w:p w14:paraId="36E75F41" w14:textId="77777777" w:rsidR="00AB1B9C" w:rsidRPr="00074556" w:rsidRDefault="00AB1B9C" w:rsidP="00AB1B9C">
      <w:r w:rsidRPr="00074556">
        <w:t xml:space="preserve">As in other streams, activities were founded on collaborative efforts. PHNs worked together to create a repository of Frequently Asked Questions (FAQs) for both participants and service providers. Most PHNs locally adapted communications to their community by adjusting generic FAQs to their </w:t>
      </w:r>
      <w:r w:rsidRPr="00074556">
        <w:lastRenderedPageBreak/>
        <w:t xml:space="preserve">catchment. For example, NWMPHN translated material to cater to key CALD communities at its own cost and shared this among the PHNs. </w:t>
      </w:r>
    </w:p>
    <w:p w14:paraId="653E1A60" w14:textId="77777777" w:rsidR="00AB1B9C" w:rsidRPr="000D119D" w:rsidRDefault="00AB1B9C" w:rsidP="00AB1B9C">
      <w:pPr>
        <w:rPr>
          <w:lang w:val="en-AU"/>
        </w:rPr>
      </w:pPr>
      <w:r w:rsidRPr="000D119D">
        <w:rPr>
          <w:lang w:val="en-AU"/>
        </w:rPr>
        <w:t>Additional funding has been provided for specific activities and in line with program extensions:</w:t>
      </w:r>
    </w:p>
    <w:p w14:paraId="1A86C5F2" w14:textId="77777777" w:rsidR="00AB1B9C" w:rsidRPr="000D119D" w:rsidRDefault="00AB1B9C" w:rsidP="00AB1B9C">
      <w:pPr>
        <w:pStyle w:val="ListBullet"/>
      </w:pPr>
      <w:r w:rsidRPr="000D119D">
        <w:t xml:space="preserve">In early 2021, an additional $200,000 in funding was provided for marketing, some of which was reserved specifically for Aboriginal and culturally and linguistically diverse (CALD) communities, for example, </w:t>
      </w:r>
      <w:proofErr w:type="gramStart"/>
      <w:r w:rsidRPr="000D119D">
        <w:t>a number of</w:t>
      </w:r>
      <w:proofErr w:type="gramEnd"/>
      <w:r w:rsidRPr="000D119D">
        <w:t xml:space="preserve"> targeted ads were created in CALD languages. Views of effectiveness have been mixed. It was suggested that the service may have benefited from a dedicated communications expert, particularly someone responsible for social media posts, which has been found to be effective for engaging Aboriginal and CALD communities. </w:t>
      </w:r>
    </w:p>
    <w:p w14:paraId="3F648C10" w14:textId="77777777" w:rsidR="00AB1B9C" w:rsidRPr="000D119D" w:rsidRDefault="00AB1B9C" w:rsidP="00AB1B9C">
      <w:pPr>
        <w:pStyle w:val="ListBullet"/>
      </w:pPr>
      <w:r w:rsidRPr="000D119D">
        <w:t xml:space="preserve">Funding extensions have also included some additional investment in strategic and communications design </w:t>
      </w:r>
      <w:r>
        <w:t>–</w:t>
      </w:r>
      <w:r w:rsidRPr="000D119D">
        <w:t xml:space="preserve"> $50,000 for the September to December 2021 extension and $216,000 for the December to June 2022 extension.</w:t>
      </w:r>
    </w:p>
    <w:p w14:paraId="0F5E0FAB" w14:textId="77777777" w:rsidR="00AB1B9C" w:rsidRPr="000D119D" w:rsidRDefault="00AB1B9C" w:rsidP="00AB1B9C">
      <w:pPr>
        <w:rPr>
          <w:rFonts w:asciiTheme="minorHAnsi" w:hAnsiTheme="minorHAnsi" w:cstheme="minorHAnsi"/>
          <w:lang w:val="en-AU"/>
        </w:rPr>
      </w:pPr>
      <w:r w:rsidRPr="000D119D">
        <w:rPr>
          <w:lang w:val="en-AU" w:eastAsia="en-AU"/>
        </w:rPr>
        <w:t xml:space="preserve">Responding in part to the feedback above, combined PHN communications funding from the September </w:t>
      </w:r>
      <w:r>
        <w:rPr>
          <w:lang w:val="en-AU" w:eastAsia="en-AU"/>
        </w:rPr>
        <w:t>to</w:t>
      </w:r>
      <w:r w:rsidRPr="000D119D">
        <w:rPr>
          <w:lang w:val="en-AU" w:eastAsia="en-AU"/>
        </w:rPr>
        <w:t xml:space="preserve"> December 2021, and December </w:t>
      </w:r>
      <w:r>
        <w:rPr>
          <w:lang w:val="en-AU" w:eastAsia="en-AU"/>
        </w:rPr>
        <w:t xml:space="preserve">2021 </w:t>
      </w:r>
      <w:r w:rsidRPr="000D119D">
        <w:rPr>
          <w:lang w:val="en-AU" w:eastAsia="en-AU"/>
        </w:rPr>
        <w:t xml:space="preserve">to June 2022 extension funding has been used </w:t>
      </w:r>
      <w:r w:rsidRPr="000D119D">
        <w:rPr>
          <w:rFonts w:asciiTheme="minorHAnsi" w:hAnsiTheme="minorHAnsi" w:cstheme="minorHAnsi"/>
          <w:lang w:val="en-AU" w:eastAsia="en-AU"/>
        </w:rPr>
        <w:t>to h</w:t>
      </w:r>
      <w:r w:rsidRPr="000D119D">
        <w:rPr>
          <w:rFonts w:asciiTheme="minorHAnsi" w:hAnsiTheme="minorHAnsi" w:cstheme="minorHAnsi"/>
          <w:lang w:val="en-AU"/>
        </w:rPr>
        <w:t>ire a part-time dedicated resource, situated within SEMPHN to support more structured and ongoing strategic communications</w:t>
      </w:r>
      <w:r w:rsidRPr="000D119D">
        <w:rPr>
          <w:rFonts w:cstheme="minorHAnsi"/>
          <w:lang w:val="en-AU"/>
        </w:rPr>
        <w:t xml:space="preserve"> activity. Key activities have included development of a ‘base pack’ of the new </w:t>
      </w:r>
      <w:r w:rsidRPr="00720CC5">
        <w:rPr>
          <w:rFonts w:cstheme="minorHAnsi"/>
          <w:lang w:val="en-AU"/>
        </w:rPr>
        <w:t>Head</w:t>
      </w:r>
      <w:r>
        <w:rPr>
          <w:rFonts w:cstheme="minorHAnsi"/>
          <w:lang w:val="en-AU"/>
        </w:rPr>
        <w:t xml:space="preserve"> </w:t>
      </w:r>
      <w:r w:rsidRPr="00720CC5">
        <w:rPr>
          <w:rFonts w:cstheme="minorHAnsi"/>
          <w:lang w:val="en-AU"/>
        </w:rPr>
        <w:t>to</w:t>
      </w:r>
      <w:r>
        <w:rPr>
          <w:rFonts w:cstheme="minorHAnsi"/>
          <w:lang w:val="en-AU"/>
        </w:rPr>
        <w:t xml:space="preserve"> </w:t>
      </w:r>
      <w:r w:rsidRPr="00720CC5">
        <w:rPr>
          <w:rFonts w:cstheme="minorHAnsi"/>
          <w:lang w:val="en-AU"/>
        </w:rPr>
        <w:t>Health</w:t>
      </w:r>
      <w:r w:rsidRPr="000D119D">
        <w:rPr>
          <w:rFonts w:cstheme="minorHAnsi"/>
          <w:lang w:val="en-AU"/>
        </w:rPr>
        <w:t xml:space="preserve"> branding and materials for each hub, and an upgrade of the </w:t>
      </w:r>
      <w:proofErr w:type="spellStart"/>
      <w:r w:rsidRPr="000D119D">
        <w:rPr>
          <w:rFonts w:asciiTheme="majorHAnsi" w:hAnsiTheme="majorHAnsi" w:cstheme="majorHAnsi"/>
          <w:i/>
          <w:iCs/>
          <w:lang w:val="en-AU"/>
        </w:rPr>
        <w:t>HeadtoHelp</w:t>
      </w:r>
      <w:proofErr w:type="spellEnd"/>
      <w:r w:rsidRPr="000D119D">
        <w:rPr>
          <w:rFonts w:asciiTheme="majorHAnsi" w:hAnsiTheme="majorHAnsi" w:cstheme="majorHAnsi"/>
          <w:lang w:val="en-AU"/>
        </w:rPr>
        <w:t xml:space="preserve"> website (now headtohealthvic.gov.au). </w:t>
      </w:r>
      <w:r w:rsidRPr="000D119D">
        <w:rPr>
          <w:rFonts w:asciiTheme="minorHAnsi" w:hAnsiTheme="minorHAnsi" w:cstheme="minorHAnsi"/>
          <w:lang w:val="en-AU"/>
        </w:rPr>
        <w:t>In addition, the PHNs have continued to contract Ikon to manage brand tracking through website traffic and communications.</w:t>
      </w:r>
    </w:p>
    <w:p w14:paraId="0E473F4D" w14:textId="77777777" w:rsidR="00AB1B9C" w:rsidRPr="00A031EA" w:rsidRDefault="00AB1B9C" w:rsidP="00AB1B9C">
      <w:pPr>
        <w:pStyle w:val="Callout"/>
        <w:rPr>
          <w:rStyle w:val="Strong"/>
        </w:rPr>
      </w:pPr>
      <w:r w:rsidRPr="00A031EA">
        <w:rPr>
          <w:rStyle w:val="Strong"/>
        </w:rPr>
        <w:t xml:space="preserve">There is an opportunity during the transition to Head to Health to rectify the branding and marketing issues experienced by </w:t>
      </w:r>
      <w:proofErr w:type="spellStart"/>
      <w:r w:rsidRPr="00A031EA">
        <w:rPr>
          <w:rStyle w:val="Strong"/>
          <w:i/>
          <w:iCs/>
        </w:rPr>
        <w:t>HeadtoHelp</w:t>
      </w:r>
      <w:proofErr w:type="spellEnd"/>
      <w:r w:rsidRPr="00A031EA">
        <w:rPr>
          <w:rStyle w:val="Strong"/>
        </w:rPr>
        <w:t xml:space="preserve">. </w:t>
      </w:r>
    </w:p>
    <w:p w14:paraId="5E542CE3" w14:textId="77777777" w:rsidR="00AB1B9C" w:rsidRPr="00AB1B9C" w:rsidRDefault="00AB1B9C" w:rsidP="00AB1B9C">
      <w:pPr>
        <w:pStyle w:val="Callout"/>
      </w:pPr>
      <w:r w:rsidRPr="00AB1B9C">
        <w:t xml:space="preserve">Throughout the establishment of Head to Health, stakeholders have consistently complained of confusion between </w:t>
      </w:r>
      <w:proofErr w:type="spellStart"/>
      <w:r w:rsidRPr="00E13AC5">
        <w:rPr>
          <w:rStyle w:val="Emphasis"/>
        </w:rPr>
        <w:t>HeadtoHelp</w:t>
      </w:r>
      <w:proofErr w:type="spellEnd"/>
      <w:r w:rsidRPr="00AB1B9C">
        <w:t xml:space="preserve"> and Head to Health, noting both the name similarities, as well as ambiguity around the services and purpose of each program. </w:t>
      </w:r>
    </w:p>
    <w:p w14:paraId="5E4AD7FB" w14:textId="77777777" w:rsidR="00AB1B9C" w:rsidRPr="00AB1B9C" w:rsidRDefault="00AB1B9C" w:rsidP="00AB1B9C">
      <w:pPr>
        <w:pStyle w:val="Callout"/>
      </w:pPr>
      <w:r w:rsidRPr="00AB1B9C">
        <w:t xml:space="preserve">Furthermore, it is difficult to find information on the </w:t>
      </w:r>
      <w:proofErr w:type="spellStart"/>
      <w:r w:rsidRPr="00E13AC5">
        <w:rPr>
          <w:rStyle w:val="Emphasis"/>
        </w:rPr>
        <w:t>HeadtoHelp</w:t>
      </w:r>
      <w:proofErr w:type="spellEnd"/>
      <w:r w:rsidRPr="00AB1B9C">
        <w:t xml:space="preserve"> hubs, the new Head to Health satellites and the AMHCs on the federal Head to Health website (the name of which further exacerbates the confusion), which is why the </w:t>
      </w:r>
      <w:proofErr w:type="spellStart"/>
      <w:r w:rsidRPr="00E13AC5">
        <w:rPr>
          <w:rStyle w:val="Emphasis"/>
        </w:rPr>
        <w:t>HeadtoHelp</w:t>
      </w:r>
      <w:proofErr w:type="spellEnd"/>
      <w:r w:rsidRPr="00AB1B9C">
        <w:t xml:space="preserve"> website has been redeveloped and maintained as “</w:t>
      </w:r>
      <w:proofErr w:type="spellStart"/>
      <w:r w:rsidRPr="00AB1B9C">
        <w:t>headtohealthvic</w:t>
      </w:r>
      <w:proofErr w:type="spellEnd"/>
      <w:r w:rsidRPr="00AB1B9C">
        <w:t>” even as the transition approaches.</w:t>
      </w:r>
    </w:p>
    <w:p w14:paraId="0829C67C" w14:textId="2D70B782" w:rsidR="00AB1B9C" w:rsidRPr="00AB1B9C" w:rsidRDefault="00AB1B9C" w:rsidP="00AB1B9C">
      <w:pPr>
        <w:pStyle w:val="Callout"/>
      </w:pPr>
      <w:r w:rsidRPr="00AB1B9C">
        <w:t>As the full transition takes place, there is an opportunity to manage the brand transition in such a way as to help to reduce the ambiguity of and promote Head to Health’s services, including by ensuring clarity between federal and state websites, and promote ease of access to practical user-friendly information for consumers.</w:t>
      </w:r>
    </w:p>
    <w:p w14:paraId="166A4A5C" w14:textId="20F92507" w:rsidR="00AB1B9C" w:rsidRDefault="00AB1B9C">
      <w:pPr>
        <w:rPr>
          <w:lang w:val="en-AU" w:eastAsia="en-AU"/>
        </w:rPr>
      </w:pPr>
      <w:r w:rsidRPr="000D119D">
        <w:rPr>
          <w:lang w:val="en-AU" w:eastAsia="en-AU"/>
        </w:rPr>
        <w:t xml:space="preserve">At the time of this evaluation, no communications funding has been announced for the exit strategy of </w:t>
      </w:r>
      <w:proofErr w:type="spellStart"/>
      <w:r w:rsidRPr="00AB1B9C">
        <w:rPr>
          <w:rStyle w:val="Emphasis"/>
        </w:rPr>
        <w:t>HeadtoHelp</w:t>
      </w:r>
      <w:proofErr w:type="spellEnd"/>
      <w:r w:rsidRPr="000D119D">
        <w:rPr>
          <w:lang w:val="en-AU" w:eastAsia="en-AU"/>
        </w:rPr>
        <w:t>, however a resource has been allocated for three days a week for four weeks in June 2022 to provide marketing support around the transition. The communications stream expressed some frustration around not having a clear view of the broader Commonwealth plan and timeframes for this transition.</w:t>
      </w:r>
    </w:p>
    <w:p w14:paraId="110E4674" w14:textId="24D8076D" w:rsidR="00A031EA" w:rsidRDefault="00A031EA" w:rsidP="00A031EA">
      <w:pPr>
        <w:pStyle w:val="Heading4"/>
      </w:pPr>
      <w:r w:rsidRPr="000D119D">
        <w:rPr>
          <w:rFonts w:asciiTheme="minorHAnsi" w:hAnsiTheme="minorHAnsi" w:cstheme="minorHAnsi"/>
          <w:noProof/>
        </w:rPr>
        <mc:AlternateContent>
          <mc:Choice Requires="wps">
            <w:drawing>
              <wp:inline distT="0" distB="0" distL="0" distR="0" wp14:anchorId="52DEC531" wp14:editId="59AE51E5">
                <wp:extent cx="334159" cy="338137"/>
                <wp:effectExtent l="0" t="0" r="8890" b="5080"/>
                <wp:docPr id="81" name="Freeform 39">
                  <a:extLst xmlns:a="http://schemas.openxmlformats.org/drawingml/2006/main">
                    <a:ext uri="{FF2B5EF4-FFF2-40B4-BE49-F238E27FC236}">
                      <a16:creationId xmlns:a16="http://schemas.microsoft.com/office/drawing/2014/main" id="{2033EF6F-23AA-454B-A2C1-FD54B9741CA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34159" cy="338137"/>
                        </a:xfrm>
                        <a:custGeom>
                          <a:avLst/>
                          <a:gdLst>
                            <a:gd name="T0" fmla="*/ 71 w 169"/>
                            <a:gd name="T1" fmla="*/ 118 h 170"/>
                            <a:gd name="T2" fmla="*/ 73 w 169"/>
                            <a:gd name="T3" fmla="*/ 105 h 170"/>
                            <a:gd name="T4" fmla="*/ 77 w 169"/>
                            <a:gd name="T5" fmla="*/ 108 h 170"/>
                            <a:gd name="T6" fmla="*/ 76 w 169"/>
                            <a:gd name="T7" fmla="*/ 116 h 170"/>
                            <a:gd name="T8" fmla="*/ 65 w 169"/>
                            <a:gd name="T9" fmla="*/ 95 h 170"/>
                            <a:gd name="T10" fmla="*/ 62 w 169"/>
                            <a:gd name="T11" fmla="*/ 92 h 170"/>
                            <a:gd name="T12" fmla="*/ 63 w 169"/>
                            <a:gd name="T13" fmla="*/ 85 h 170"/>
                            <a:gd name="T14" fmla="*/ 67 w 169"/>
                            <a:gd name="T15" fmla="*/ 96 h 170"/>
                            <a:gd name="T16" fmla="*/ 75 w 169"/>
                            <a:gd name="T17" fmla="*/ 98 h 170"/>
                            <a:gd name="T18" fmla="*/ 71 w 169"/>
                            <a:gd name="T19" fmla="*/ 83 h 170"/>
                            <a:gd name="T20" fmla="*/ 76 w 169"/>
                            <a:gd name="T21" fmla="*/ 90 h 170"/>
                            <a:gd name="T22" fmla="*/ 82 w 169"/>
                            <a:gd name="T23" fmla="*/ 85 h 170"/>
                            <a:gd name="T24" fmla="*/ 75 w 169"/>
                            <a:gd name="T25" fmla="*/ 79 h 170"/>
                            <a:gd name="T26" fmla="*/ 71 w 169"/>
                            <a:gd name="T27" fmla="*/ 74 h 170"/>
                            <a:gd name="T28" fmla="*/ 67 w 169"/>
                            <a:gd name="T29" fmla="*/ 78 h 170"/>
                            <a:gd name="T30" fmla="*/ 58 w 169"/>
                            <a:gd name="T31" fmla="*/ 81 h 170"/>
                            <a:gd name="T32" fmla="*/ 54 w 169"/>
                            <a:gd name="T33" fmla="*/ 90 h 170"/>
                            <a:gd name="T34" fmla="*/ 59 w 169"/>
                            <a:gd name="T35" fmla="*/ 99 h 170"/>
                            <a:gd name="T36" fmla="*/ 67 w 169"/>
                            <a:gd name="T37" fmla="*/ 103 h 170"/>
                            <a:gd name="T38" fmla="*/ 62 w 169"/>
                            <a:gd name="T39" fmla="*/ 116 h 170"/>
                            <a:gd name="T40" fmla="*/ 53 w 169"/>
                            <a:gd name="T41" fmla="*/ 109 h 170"/>
                            <a:gd name="T42" fmla="*/ 57 w 169"/>
                            <a:gd name="T43" fmla="*/ 120 h 170"/>
                            <a:gd name="T44" fmla="*/ 67 w 169"/>
                            <a:gd name="T45" fmla="*/ 124 h 170"/>
                            <a:gd name="T46" fmla="*/ 71 w 169"/>
                            <a:gd name="T47" fmla="*/ 128 h 170"/>
                            <a:gd name="T48" fmla="*/ 76 w 169"/>
                            <a:gd name="T49" fmla="*/ 123 h 170"/>
                            <a:gd name="T50" fmla="*/ 83 w 169"/>
                            <a:gd name="T51" fmla="*/ 116 h 170"/>
                            <a:gd name="T52" fmla="*/ 83 w 169"/>
                            <a:gd name="T53" fmla="*/ 104 h 170"/>
                            <a:gd name="T54" fmla="*/ 100 w 169"/>
                            <a:gd name="T55" fmla="*/ 0 h 170"/>
                            <a:gd name="T56" fmla="*/ 58 w 169"/>
                            <a:gd name="T57" fmla="*/ 24 h 170"/>
                            <a:gd name="T58" fmla="*/ 161 w 169"/>
                            <a:gd name="T59" fmla="*/ 70 h 170"/>
                            <a:gd name="T60" fmla="*/ 142 w 169"/>
                            <a:gd name="T61" fmla="*/ 125 h 170"/>
                            <a:gd name="T62" fmla="*/ 100 w 169"/>
                            <a:gd name="T63" fmla="*/ 0 h 170"/>
                            <a:gd name="T64" fmla="*/ 7 w 169"/>
                            <a:gd name="T65" fmla="*/ 101 h 170"/>
                            <a:gd name="T66" fmla="*/ 130 w 169"/>
                            <a:gd name="T67" fmla="*/ 101 h 170"/>
                            <a:gd name="T68" fmla="*/ 69 w 169"/>
                            <a:gd name="T69" fmla="*/ 31 h 170"/>
                            <a:gd name="T70" fmla="*/ 69 w 169"/>
                            <a:gd name="T71" fmla="*/ 170 h 170"/>
                            <a:gd name="T72" fmla="*/ 69 w 169"/>
                            <a:gd name="T73" fmla="*/ 31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9" h="170">
                              <a:moveTo>
                                <a:pt x="76" y="116"/>
                              </a:moveTo>
                              <a:cubicBezTo>
                                <a:pt x="74" y="117"/>
                                <a:pt x="73" y="118"/>
                                <a:pt x="71" y="118"/>
                              </a:cubicBezTo>
                              <a:cubicBezTo>
                                <a:pt x="71" y="104"/>
                                <a:pt x="71" y="104"/>
                                <a:pt x="71" y="104"/>
                              </a:cubicBezTo>
                              <a:cubicBezTo>
                                <a:pt x="72" y="104"/>
                                <a:pt x="72" y="104"/>
                                <a:pt x="73" y="105"/>
                              </a:cubicBezTo>
                              <a:cubicBezTo>
                                <a:pt x="74" y="105"/>
                                <a:pt x="75" y="106"/>
                                <a:pt x="75" y="106"/>
                              </a:cubicBezTo>
                              <a:cubicBezTo>
                                <a:pt x="76" y="107"/>
                                <a:pt x="77" y="107"/>
                                <a:pt x="77" y="108"/>
                              </a:cubicBezTo>
                              <a:cubicBezTo>
                                <a:pt x="77" y="109"/>
                                <a:pt x="78" y="110"/>
                                <a:pt x="78" y="111"/>
                              </a:cubicBezTo>
                              <a:cubicBezTo>
                                <a:pt x="78" y="113"/>
                                <a:pt x="77" y="115"/>
                                <a:pt x="76" y="116"/>
                              </a:cubicBezTo>
                              <a:moveTo>
                                <a:pt x="67" y="96"/>
                              </a:moveTo>
                              <a:cubicBezTo>
                                <a:pt x="66" y="95"/>
                                <a:pt x="66" y="95"/>
                                <a:pt x="65" y="95"/>
                              </a:cubicBezTo>
                              <a:cubicBezTo>
                                <a:pt x="65" y="95"/>
                                <a:pt x="64" y="94"/>
                                <a:pt x="63" y="94"/>
                              </a:cubicBezTo>
                              <a:cubicBezTo>
                                <a:pt x="63" y="93"/>
                                <a:pt x="62" y="93"/>
                                <a:pt x="62" y="92"/>
                              </a:cubicBezTo>
                              <a:cubicBezTo>
                                <a:pt x="61" y="91"/>
                                <a:pt x="61" y="90"/>
                                <a:pt x="61" y="89"/>
                              </a:cubicBezTo>
                              <a:cubicBezTo>
                                <a:pt x="61" y="87"/>
                                <a:pt x="62" y="86"/>
                                <a:pt x="63" y="85"/>
                              </a:cubicBezTo>
                              <a:cubicBezTo>
                                <a:pt x="64" y="84"/>
                                <a:pt x="65" y="83"/>
                                <a:pt x="67" y="83"/>
                              </a:cubicBezTo>
                              <a:cubicBezTo>
                                <a:pt x="67" y="96"/>
                                <a:pt x="67" y="96"/>
                                <a:pt x="67" y="96"/>
                              </a:cubicBezTo>
                              <a:close/>
                              <a:moveTo>
                                <a:pt x="80" y="101"/>
                              </a:moveTo>
                              <a:cubicBezTo>
                                <a:pt x="79" y="100"/>
                                <a:pt x="77" y="99"/>
                                <a:pt x="75" y="98"/>
                              </a:cubicBezTo>
                              <a:cubicBezTo>
                                <a:pt x="74" y="97"/>
                                <a:pt x="73" y="97"/>
                                <a:pt x="71" y="96"/>
                              </a:cubicBezTo>
                              <a:cubicBezTo>
                                <a:pt x="71" y="83"/>
                                <a:pt x="71" y="83"/>
                                <a:pt x="71" y="83"/>
                              </a:cubicBezTo>
                              <a:cubicBezTo>
                                <a:pt x="73" y="83"/>
                                <a:pt x="74" y="84"/>
                                <a:pt x="75" y="85"/>
                              </a:cubicBezTo>
                              <a:cubicBezTo>
                                <a:pt x="76" y="86"/>
                                <a:pt x="76" y="88"/>
                                <a:pt x="76" y="90"/>
                              </a:cubicBezTo>
                              <a:cubicBezTo>
                                <a:pt x="83" y="90"/>
                                <a:pt x="83" y="90"/>
                                <a:pt x="83" y="90"/>
                              </a:cubicBezTo>
                              <a:cubicBezTo>
                                <a:pt x="83" y="88"/>
                                <a:pt x="83" y="86"/>
                                <a:pt x="82" y="85"/>
                              </a:cubicBezTo>
                              <a:cubicBezTo>
                                <a:pt x="81" y="83"/>
                                <a:pt x="81" y="82"/>
                                <a:pt x="79" y="81"/>
                              </a:cubicBezTo>
                              <a:cubicBezTo>
                                <a:pt x="78" y="80"/>
                                <a:pt x="77" y="79"/>
                                <a:pt x="75" y="79"/>
                              </a:cubicBezTo>
                              <a:cubicBezTo>
                                <a:pt x="74" y="78"/>
                                <a:pt x="73" y="78"/>
                                <a:pt x="71" y="78"/>
                              </a:cubicBezTo>
                              <a:cubicBezTo>
                                <a:pt x="71" y="74"/>
                                <a:pt x="71" y="74"/>
                                <a:pt x="71" y="74"/>
                              </a:cubicBezTo>
                              <a:cubicBezTo>
                                <a:pt x="67" y="74"/>
                                <a:pt x="67" y="74"/>
                                <a:pt x="67" y="74"/>
                              </a:cubicBezTo>
                              <a:cubicBezTo>
                                <a:pt x="67" y="78"/>
                                <a:pt x="67" y="78"/>
                                <a:pt x="67" y="78"/>
                              </a:cubicBezTo>
                              <a:cubicBezTo>
                                <a:pt x="65" y="78"/>
                                <a:pt x="64" y="78"/>
                                <a:pt x="63" y="79"/>
                              </a:cubicBezTo>
                              <a:cubicBezTo>
                                <a:pt x="61" y="79"/>
                                <a:pt x="60" y="80"/>
                                <a:pt x="58" y="81"/>
                              </a:cubicBezTo>
                              <a:cubicBezTo>
                                <a:pt x="57" y="82"/>
                                <a:pt x="56" y="83"/>
                                <a:pt x="55" y="85"/>
                              </a:cubicBezTo>
                              <a:cubicBezTo>
                                <a:pt x="55" y="86"/>
                                <a:pt x="54" y="88"/>
                                <a:pt x="54" y="90"/>
                              </a:cubicBezTo>
                              <a:cubicBezTo>
                                <a:pt x="54" y="92"/>
                                <a:pt x="55" y="94"/>
                                <a:pt x="56" y="96"/>
                              </a:cubicBezTo>
                              <a:cubicBezTo>
                                <a:pt x="56" y="97"/>
                                <a:pt x="57" y="98"/>
                                <a:pt x="59" y="99"/>
                              </a:cubicBezTo>
                              <a:cubicBezTo>
                                <a:pt x="60" y="100"/>
                                <a:pt x="61" y="101"/>
                                <a:pt x="63" y="102"/>
                              </a:cubicBezTo>
                              <a:cubicBezTo>
                                <a:pt x="65" y="102"/>
                                <a:pt x="66" y="103"/>
                                <a:pt x="67" y="103"/>
                              </a:cubicBezTo>
                              <a:cubicBezTo>
                                <a:pt x="67" y="118"/>
                                <a:pt x="67" y="118"/>
                                <a:pt x="67" y="118"/>
                              </a:cubicBezTo>
                              <a:cubicBezTo>
                                <a:pt x="65" y="118"/>
                                <a:pt x="63" y="117"/>
                                <a:pt x="62" y="116"/>
                              </a:cubicBezTo>
                              <a:cubicBezTo>
                                <a:pt x="61" y="114"/>
                                <a:pt x="60" y="112"/>
                                <a:pt x="60" y="109"/>
                              </a:cubicBezTo>
                              <a:cubicBezTo>
                                <a:pt x="53" y="109"/>
                                <a:pt x="53" y="109"/>
                                <a:pt x="53" y="109"/>
                              </a:cubicBezTo>
                              <a:cubicBezTo>
                                <a:pt x="53" y="112"/>
                                <a:pt x="54" y="114"/>
                                <a:pt x="54" y="115"/>
                              </a:cubicBezTo>
                              <a:cubicBezTo>
                                <a:pt x="55" y="117"/>
                                <a:pt x="56" y="119"/>
                                <a:pt x="57" y="120"/>
                              </a:cubicBezTo>
                              <a:cubicBezTo>
                                <a:pt x="59" y="121"/>
                                <a:pt x="60" y="122"/>
                                <a:pt x="62" y="123"/>
                              </a:cubicBezTo>
                              <a:cubicBezTo>
                                <a:pt x="64" y="123"/>
                                <a:pt x="65" y="124"/>
                                <a:pt x="67" y="124"/>
                              </a:cubicBezTo>
                              <a:cubicBezTo>
                                <a:pt x="67" y="128"/>
                                <a:pt x="67" y="128"/>
                                <a:pt x="67" y="128"/>
                              </a:cubicBezTo>
                              <a:cubicBezTo>
                                <a:pt x="71" y="128"/>
                                <a:pt x="71" y="128"/>
                                <a:pt x="71" y="128"/>
                              </a:cubicBezTo>
                              <a:cubicBezTo>
                                <a:pt x="71" y="124"/>
                                <a:pt x="71" y="124"/>
                                <a:pt x="71" y="124"/>
                              </a:cubicBezTo>
                              <a:cubicBezTo>
                                <a:pt x="73" y="124"/>
                                <a:pt x="74" y="123"/>
                                <a:pt x="76" y="123"/>
                              </a:cubicBezTo>
                              <a:cubicBezTo>
                                <a:pt x="77" y="122"/>
                                <a:pt x="79" y="121"/>
                                <a:pt x="80" y="120"/>
                              </a:cubicBezTo>
                              <a:cubicBezTo>
                                <a:pt x="81" y="119"/>
                                <a:pt x="82" y="118"/>
                                <a:pt x="83" y="116"/>
                              </a:cubicBezTo>
                              <a:cubicBezTo>
                                <a:pt x="84" y="114"/>
                                <a:pt x="84" y="112"/>
                                <a:pt x="84" y="110"/>
                              </a:cubicBezTo>
                              <a:cubicBezTo>
                                <a:pt x="84" y="108"/>
                                <a:pt x="84" y="106"/>
                                <a:pt x="83" y="104"/>
                              </a:cubicBezTo>
                              <a:cubicBezTo>
                                <a:pt x="82" y="103"/>
                                <a:pt x="81" y="102"/>
                                <a:pt x="80" y="101"/>
                              </a:cubicBezTo>
                              <a:moveTo>
                                <a:pt x="100" y="0"/>
                              </a:moveTo>
                              <a:cubicBezTo>
                                <a:pt x="77" y="0"/>
                                <a:pt x="58" y="11"/>
                                <a:pt x="45" y="27"/>
                              </a:cubicBezTo>
                              <a:cubicBezTo>
                                <a:pt x="49" y="26"/>
                                <a:pt x="54" y="25"/>
                                <a:pt x="58" y="24"/>
                              </a:cubicBezTo>
                              <a:cubicBezTo>
                                <a:pt x="69" y="14"/>
                                <a:pt x="84" y="8"/>
                                <a:pt x="100" y="8"/>
                              </a:cubicBezTo>
                              <a:cubicBezTo>
                                <a:pt x="134" y="8"/>
                                <a:pt x="161" y="36"/>
                                <a:pt x="161" y="70"/>
                              </a:cubicBezTo>
                              <a:cubicBezTo>
                                <a:pt x="161" y="86"/>
                                <a:pt x="155" y="101"/>
                                <a:pt x="145" y="112"/>
                              </a:cubicBezTo>
                              <a:cubicBezTo>
                                <a:pt x="144" y="116"/>
                                <a:pt x="143" y="121"/>
                                <a:pt x="142" y="125"/>
                              </a:cubicBezTo>
                              <a:cubicBezTo>
                                <a:pt x="158" y="112"/>
                                <a:pt x="169" y="92"/>
                                <a:pt x="169" y="70"/>
                              </a:cubicBezTo>
                              <a:cubicBezTo>
                                <a:pt x="169" y="32"/>
                                <a:pt x="138" y="0"/>
                                <a:pt x="100" y="0"/>
                              </a:cubicBezTo>
                              <a:moveTo>
                                <a:pt x="69" y="163"/>
                              </a:moveTo>
                              <a:cubicBezTo>
                                <a:pt x="35" y="163"/>
                                <a:pt x="7" y="135"/>
                                <a:pt x="7" y="101"/>
                              </a:cubicBezTo>
                              <a:cubicBezTo>
                                <a:pt x="7" y="67"/>
                                <a:pt x="35" y="39"/>
                                <a:pt x="69" y="39"/>
                              </a:cubicBezTo>
                              <a:cubicBezTo>
                                <a:pt x="103" y="39"/>
                                <a:pt x="130" y="67"/>
                                <a:pt x="130" y="101"/>
                              </a:cubicBezTo>
                              <a:cubicBezTo>
                                <a:pt x="130" y="135"/>
                                <a:pt x="103" y="163"/>
                                <a:pt x="69" y="163"/>
                              </a:cubicBezTo>
                              <a:moveTo>
                                <a:pt x="69" y="31"/>
                              </a:moveTo>
                              <a:cubicBezTo>
                                <a:pt x="31" y="31"/>
                                <a:pt x="0" y="62"/>
                                <a:pt x="0" y="101"/>
                              </a:cubicBezTo>
                              <a:cubicBezTo>
                                <a:pt x="0" y="139"/>
                                <a:pt x="31" y="170"/>
                                <a:pt x="69" y="170"/>
                              </a:cubicBezTo>
                              <a:cubicBezTo>
                                <a:pt x="107" y="170"/>
                                <a:pt x="138" y="139"/>
                                <a:pt x="138" y="101"/>
                              </a:cubicBezTo>
                              <a:cubicBezTo>
                                <a:pt x="138" y="62"/>
                                <a:pt x="107" y="31"/>
                                <a:pt x="69" y="31"/>
                              </a:cubicBezTo>
                            </a:path>
                          </a:pathLst>
                        </a:custGeom>
                        <a:solidFill>
                          <a:srgbClr val="0070C0"/>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59F11FA1" id="Freeform 39" o:spid="_x0000_s1026" alt="&quot;&quot;" style="width:26.3pt;height:26.6pt;visibility:visible;mso-wrap-style:square;mso-left-percent:-10001;mso-top-percent:-10001;mso-position-horizontal:absolute;mso-position-horizontal-relative:char;mso-position-vertical:absolute;mso-position-vertical-relative:line;mso-left-percent:-10001;mso-top-percent:-10001;v-text-anchor:top" coordsize="16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" path="m76,116v-2,1,-3,2,-5,2c71,104,71,104,71,104v1,,1,,2,1c74,105,75,106,75,106v1,1,2,1,2,2c77,109,78,110,78,111v,2,-1,4,-2,5m67,96c66,95,66,95,65,95v,,-1,-1,-2,-1c63,93,62,93,62,92,61,91,61,90,61,89v,-2,1,-3,2,-4c64,84,65,83,67,83v,13,,13,,13xm80,101v-1,-1,-3,-2,-5,-3c74,97,73,97,71,96v,-13,,-13,,-13c73,83,74,84,75,85v1,1,1,3,1,5c83,90,83,90,83,90v,-2,,-4,-1,-5c81,83,81,82,79,81,78,80,77,79,75,79,74,78,73,78,71,78v,-4,,-4,,-4c67,74,67,74,67,74v,4,,4,,4c65,78,64,78,63,79v-2,,-3,1,-5,2c57,82,56,83,55,85v,1,-1,3,-1,5c54,92,55,94,56,96v,1,1,2,3,3c60,100,61,101,63,102v2,,3,1,4,1c67,118,67,118,67,118v-2,,-4,-1,-5,-2c61,114,60,112,60,109v-7,,-7,,-7,c53,112,54,114,54,115v1,2,2,4,3,5c59,121,60,122,62,123v2,,3,1,5,1c67,128,67,128,67,128v4,,4,,4,c71,124,71,124,71,124v2,,3,-1,5,-1c77,122,79,121,80,120v1,-1,2,-2,3,-4c84,114,84,112,84,110v,-2,,-4,-1,-6c82,103,81,102,80,101m100,c77,,58,11,45,27v4,-1,9,-2,13,-3c69,14,84,8,100,8v34,,61,28,61,62c161,86,155,101,145,112v-1,4,-2,9,-3,13c158,112,169,92,169,70,169,32,138,,100,m69,163c35,163,7,135,7,101,7,67,35,39,69,39v34,,61,28,61,62c130,135,103,163,69,163m69,31c31,31,,62,,101v,38,31,69,69,69c107,170,138,139,138,101,138,62,107,31,69,31e" fillcolor="#0070c0" stroked="f">
                <v:path arrowok="t" o:connecttype="custom" o:connectlocs="140386,234707;144341,208849;152250,214816;150273,230729;128523,188959;122591,182992;124568,169069;132477,190948;148295,194926;140386,165090;150273,179014;162136,169069;148295,157134;140386,147189;132477,155145;114682,161112;106773,179014;116659,196915;132477,204871;122591,230729;104795,216805;112705,238685;132477,246641;140386,254597;150273,244652;164114,230729;164114,206860;197727,0;114682,47737;318341,139233;280773,248630;197727,0;13841,200893;257045,200893;136432,61660;136432,338137;136432,61660" o:connectangles="0,0,0,0,0,0,0,0,0,0,0,0,0,0,0,0,0,0,0,0,0,0,0,0,0,0,0,0,0,0,0,0,0,0,0,0,0"/>
                <o:lock v:ext="edit" aspectratio="t" verticies="t"/>
                <w10:anchorlock/>
              </v:shape>
            </w:pict>
          </mc:Fallback>
        </mc:AlternateContent>
      </w:r>
      <w:r w:rsidRPr="00A031EA">
        <w:t>The funding model was established rapidly with limited data and evolved over time, using additional data as it became available</w:t>
      </w:r>
    </w:p>
    <w:p w14:paraId="7A4C1356" w14:textId="77777777" w:rsidR="00AB1B9C" w:rsidRPr="000D119D" w:rsidRDefault="00AB1B9C" w:rsidP="00AB1B9C">
      <w:pPr>
        <w:rPr>
          <w:lang w:val="en-AU"/>
        </w:rPr>
      </w:pPr>
      <w:r w:rsidRPr="000D119D">
        <w:rPr>
          <w:lang w:val="en-AU"/>
        </w:rPr>
        <w:t xml:space="preserve">The Finance stream established a funding model for </w:t>
      </w:r>
      <w:proofErr w:type="spellStart"/>
      <w:r w:rsidRPr="00E13AC5">
        <w:rPr>
          <w:rStyle w:val="Emphasis"/>
        </w:rPr>
        <w:t>HeadtoHelp</w:t>
      </w:r>
      <w:proofErr w:type="spellEnd"/>
      <w:r w:rsidRPr="000D119D">
        <w:rPr>
          <w:lang w:val="en-AU"/>
        </w:rPr>
        <w:t xml:space="preserve"> in approximately two weeks, enabling hub operation within four weeks. Given the timeframe, the Finance stream was unable to prepare extensive prospective modelling to inform funding requirements for each PHN. Under the circumstances for initial establishment, the Finance stream created a fit-for-purpose model based on limited available data to enable </w:t>
      </w:r>
      <w:proofErr w:type="spellStart"/>
      <w:r w:rsidRPr="00E13AC5">
        <w:rPr>
          <w:rStyle w:val="Emphasis"/>
        </w:rPr>
        <w:t>HeadtoHelp</w:t>
      </w:r>
      <w:proofErr w:type="spellEnd"/>
      <w:r w:rsidRPr="000D119D">
        <w:rPr>
          <w:lang w:val="en-AU"/>
        </w:rPr>
        <w:t xml:space="preserve"> to effectively deliver services. Initial funding was estimated on the number of participants a </w:t>
      </w:r>
      <w:proofErr w:type="spellStart"/>
      <w:r w:rsidRPr="00E13AC5">
        <w:rPr>
          <w:rStyle w:val="Emphasis"/>
        </w:rPr>
        <w:t>HeadtoHelp</w:t>
      </w:r>
      <w:proofErr w:type="spellEnd"/>
      <w:r w:rsidRPr="000D119D">
        <w:rPr>
          <w:i/>
          <w:iCs/>
          <w:lang w:val="en-AU"/>
        </w:rPr>
        <w:t xml:space="preserve"> </w:t>
      </w:r>
      <w:r w:rsidRPr="000D119D">
        <w:rPr>
          <w:lang w:val="en-AU"/>
        </w:rPr>
        <w:t xml:space="preserve">hub would see per week and a unit price per </w:t>
      </w:r>
      <w:r w:rsidRPr="000D119D">
        <w:rPr>
          <w:lang w:val="en-AU"/>
        </w:rPr>
        <w:lastRenderedPageBreak/>
        <w:t xml:space="preserve">occasion of service was determined. The funding model was set up to provide three funding tranches over the contract, where second and third tranches of funding were released when occasions of service </w:t>
      </w:r>
      <w:r>
        <w:rPr>
          <w:lang w:val="en-AU"/>
        </w:rPr>
        <w:t>KPIs</w:t>
      </w:r>
      <w:r w:rsidRPr="000D119D">
        <w:rPr>
          <w:lang w:val="en-AU"/>
        </w:rPr>
        <w:t xml:space="preserve"> were achieved.</w:t>
      </w:r>
      <w:r w:rsidRPr="000D119D">
        <w:rPr>
          <w:rStyle w:val="FootnoteReference"/>
          <w:lang w:val="en-AU"/>
        </w:rPr>
        <w:footnoteReference w:id="19"/>
      </w:r>
      <w:r w:rsidRPr="000D119D">
        <w:rPr>
          <w:lang w:val="en-AU"/>
        </w:rPr>
        <w:t xml:space="preserve"> </w:t>
      </w:r>
    </w:p>
    <w:p w14:paraId="538ECFFD" w14:textId="77777777" w:rsidR="00AB1B9C" w:rsidRPr="000D119D" w:rsidRDefault="00AB1B9C" w:rsidP="00AB1B9C">
      <w:pPr>
        <w:rPr>
          <w:lang w:val="en-AU"/>
        </w:rPr>
      </w:pPr>
      <w:r w:rsidRPr="000D119D">
        <w:rPr>
          <w:lang w:val="en-AU"/>
        </w:rPr>
        <w:t>Several stakeholders noted concerns with the tranche funding approach – in particular, some hubs reported that the number of referrals to hubs and resulting occasions of service was slower to build than initially anticipated by PHNs and the target referral figure stipulated in provider contracts. Consequently, some hubs were unable to access the next funding tranches within the allocated timeframes, missing out on access to funding and hence ability to recruit additional FTE to hit subsequent targets on time – ending up in a cycle of hitting targets late, continually preventing or delaying access to further funds. These challenges have now been overcome, and all remaining operating hubs have access to their full funding allocation.</w:t>
      </w:r>
    </w:p>
    <w:p w14:paraId="28CDFF98" w14:textId="0EA1A396" w:rsidR="00AB1B9C" w:rsidRPr="00A031EA" w:rsidRDefault="00AB1B9C" w:rsidP="00AB1B9C">
      <w:r w:rsidRPr="000D119D">
        <w:rPr>
          <w:lang w:val="en-AU"/>
        </w:rPr>
        <w:t xml:space="preserve">Funding from the first round was distributed through a shared cost model, through </w:t>
      </w:r>
      <w:r>
        <w:rPr>
          <w:lang w:val="en-AU"/>
        </w:rPr>
        <w:t>four</w:t>
      </w:r>
      <w:r w:rsidRPr="000D119D">
        <w:rPr>
          <w:lang w:val="en-AU"/>
        </w:rPr>
        <w:t xml:space="preserve"> areas: clinic establishment, intake services</w:t>
      </w:r>
      <w:r>
        <w:rPr>
          <w:lang w:val="en-AU"/>
        </w:rPr>
        <w:t>, hub running costs</w:t>
      </w:r>
      <w:r w:rsidRPr="000D119D">
        <w:rPr>
          <w:lang w:val="en-AU"/>
        </w:rPr>
        <w:t xml:space="preserve"> and </w:t>
      </w:r>
      <w:r>
        <w:rPr>
          <w:lang w:val="en-AU"/>
        </w:rPr>
        <w:t>program support</w:t>
      </w:r>
      <w:r w:rsidRPr="000D119D">
        <w:rPr>
          <w:lang w:val="en-AU"/>
        </w:rPr>
        <w:t xml:space="preserve"> services (</w:t>
      </w:r>
      <w:r>
        <w:rPr>
          <w:lang w:val="en-AU"/>
        </w:rPr>
        <w:fldChar w:fldCharType="begin"/>
      </w:r>
      <w:r>
        <w:rPr>
          <w:lang w:val="en-AU"/>
        </w:rPr>
        <w:instrText xml:space="preserve"> REF _Ref97021329 \h  \* MERGEFORMAT </w:instrText>
      </w:r>
      <w:r>
        <w:rPr>
          <w:lang w:val="en-AU"/>
        </w:rPr>
      </w:r>
      <w:r>
        <w:rPr>
          <w:lang w:val="en-AU"/>
        </w:rPr>
        <w:fldChar w:fldCharType="separate"/>
      </w:r>
      <w:r w:rsidRPr="000D119D">
        <w:t xml:space="preserve">Figure </w:t>
      </w:r>
      <w:r>
        <w:rPr>
          <w:noProof/>
        </w:rPr>
        <w:t>9</w:t>
      </w:r>
      <w:r>
        <w:rPr>
          <w:lang w:val="en-AU"/>
        </w:rPr>
        <w:fldChar w:fldCharType="end"/>
      </w:r>
      <w:r w:rsidRPr="000D119D">
        <w:rPr>
          <w:lang w:val="en-AU"/>
        </w:rPr>
        <w:t>). There was an additional tranche of flexible funding available for each PHN to use with discretion following establishment (including in clinic running costs). Some PHNs elected to use the discretionary funding to establish satellites, embed an intake person within the service, or add to the stipulated core workforce.</w:t>
      </w:r>
    </w:p>
    <w:p w14:paraId="2C2DAFA8" w14:textId="77777777" w:rsidR="00AB1B9C" w:rsidRPr="000D119D" w:rsidRDefault="00AB1B9C" w:rsidP="00AB1B9C">
      <w:pPr>
        <w:rPr>
          <w:lang w:val="en-AU"/>
        </w:rPr>
      </w:pPr>
      <w:r>
        <w:rPr>
          <w:noProof/>
          <w:lang w:val="en-AU"/>
        </w:rPr>
        <w:t xml:space="preserve">In total, $26.9 million was allocated for the establishment and running of </w:t>
      </w:r>
      <w:r>
        <w:rPr>
          <w:i/>
          <w:iCs/>
          <w:noProof/>
          <w:lang w:val="en-AU"/>
        </w:rPr>
        <w:t>HeadtoHelp</w:t>
      </w:r>
      <w:r>
        <w:rPr>
          <w:noProof/>
          <w:lang w:val="en-AU"/>
        </w:rPr>
        <w:t xml:space="preserve"> between September 2020 and 31 December 2021, of which $17.2 million was for hub establishment and operations and the remainder was flexible funding for PHN operations. Details of the initial funding model for hubs are provided in </w:t>
      </w:r>
      <w:r>
        <w:rPr>
          <w:noProof/>
          <w:lang w:val="en-AU"/>
        </w:rPr>
        <w:fldChar w:fldCharType="begin"/>
      </w:r>
      <w:r>
        <w:rPr>
          <w:noProof/>
          <w:lang w:val="en-AU"/>
        </w:rPr>
        <w:instrText xml:space="preserve"> REF _Ref97021329 \h  \* MERGEFORMAT </w:instrText>
      </w:r>
      <w:r>
        <w:rPr>
          <w:noProof/>
          <w:lang w:val="en-AU"/>
        </w:rPr>
      </w:r>
      <w:r>
        <w:rPr>
          <w:noProof/>
          <w:lang w:val="en-AU"/>
        </w:rPr>
        <w:fldChar w:fldCharType="separate"/>
      </w:r>
      <w:r w:rsidRPr="000D119D">
        <w:t xml:space="preserve">Figure </w:t>
      </w:r>
      <w:r>
        <w:rPr>
          <w:noProof/>
        </w:rPr>
        <w:t>9</w:t>
      </w:r>
      <w:r>
        <w:rPr>
          <w:noProof/>
          <w:lang w:val="en-AU"/>
        </w:rPr>
        <w:fldChar w:fldCharType="end"/>
      </w:r>
      <w:r>
        <w:rPr>
          <w:noProof/>
          <w:lang w:val="en-AU"/>
        </w:rPr>
        <w:t xml:space="preserve"> below.</w:t>
      </w:r>
    </w:p>
    <w:p w14:paraId="29644CCE" w14:textId="77777777" w:rsidR="00AB1B9C" w:rsidRPr="000D119D" w:rsidRDefault="00AB1B9C" w:rsidP="00AB1B9C">
      <w:pPr>
        <w:pStyle w:val="Caption"/>
      </w:pPr>
      <w:bookmarkStart w:id="49" w:name="_Ref97021329"/>
      <w:r w:rsidRPr="000D119D">
        <w:t xml:space="preserve">Figure </w:t>
      </w:r>
      <w:r w:rsidRPr="000D119D">
        <w:fldChar w:fldCharType="begin"/>
      </w:r>
      <w:r w:rsidRPr="000D119D">
        <w:instrText xml:space="preserve"> SEQ Figure \* ARABIC </w:instrText>
      </w:r>
      <w:r w:rsidRPr="000D119D">
        <w:fldChar w:fldCharType="separate"/>
      </w:r>
      <w:r>
        <w:rPr>
          <w:noProof/>
        </w:rPr>
        <w:t>9</w:t>
      </w:r>
      <w:r w:rsidRPr="000D119D">
        <w:fldChar w:fldCharType="end"/>
      </w:r>
      <w:bookmarkEnd w:id="49"/>
      <w:r w:rsidRPr="000D119D">
        <w:t xml:space="preserve"> | Initial funding model</w:t>
      </w:r>
    </w:p>
    <w:p w14:paraId="460D83C1" w14:textId="4551B551" w:rsidR="00AB1B9C" w:rsidRDefault="00AB1B9C" w:rsidP="00AB1B9C">
      <w:r w:rsidRPr="005345ED">
        <w:rPr>
          <w:noProof/>
          <w:lang w:val="en-AU"/>
        </w:rPr>
        <w:drawing>
          <wp:inline distT="0" distB="0" distL="0" distR="0" wp14:anchorId="4A9C8BCF" wp14:editId="45E38AD4">
            <wp:extent cx="5670550" cy="1148080"/>
            <wp:effectExtent l="0" t="0" r="6350" b="0"/>
            <wp:docPr id="34" name="Picture 34" descr="Initial funding model for Head to Help hubs and the state-wide intak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nitial funding model for Head to Help hubs and the state-wide intake servi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70550" cy="1148080"/>
                    </a:xfrm>
                    <a:prstGeom prst="rect">
                      <a:avLst/>
                    </a:prstGeom>
                    <a:noFill/>
                    <a:ln>
                      <a:noFill/>
                    </a:ln>
                  </pic:spPr>
                </pic:pic>
              </a:graphicData>
            </a:graphic>
          </wp:inline>
        </w:drawing>
      </w:r>
    </w:p>
    <w:p w14:paraId="67BB6023" w14:textId="77777777" w:rsidR="00AB1B9C" w:rsidRPr="000D119D" w:rsidRDefault="00AB1B9C" w:rsidP="00AB1B9C">
      <w:pPr>
        <w:rPr>
          <w:lang w:val="en-AU"/>
        </w:rPr>
      </w:pPr>
      <w:r w:rsidRPr="000D119D">
        <w:rPr>
          <w:lang w:val="en-AU"/>
        </w:rPr>
        <w:t>There were two extensions to the funding model – during which the model has evolved to be more evidence-based.</w:t>
      </w:r>
    </w:p>
    <w:p w14:paraId="1A640AC4" w14:textId="77777777" w:rsidR="00AB1B9C" w:rsidRPr="000D119D" w:rsidRDefault="00AB1B9C" w:rsidP="00AB1B9C">
      <w:pPr>
        <w:pStyle w:val="ListBullet"/>
      </w:pPr>
      <w:r w:rsidRPr="005345ED">
        <w:rPr>
          <w:rFonts w:asciiTheme="majorHAnsi" w:hAnsiTheme="majorHAnsi" w:cstheme="majorHAnsi"/>
        </w:rPr>
        <w:t>September to December 2021 extension.</w:t>
      </w:r>
      <w:r w:rsidRPr="000D119D">
        <w:t xml:space="preserve"> This extension was based on underspend and used the same funding model as in the first round. Underspend funding was reallocated across all PHNs to ensure equitable distribution across all.</w:t>
      </w:r>
      <w:r w:rsidRPr="000D119D" w:rsidDel="001363DF">
        <w:t xml:space="preserve"> </w:t>
      </w:r>
    </w:p>
    <w:p w14:paraId="0AFDB1D6" w14:textId="77777777" w:rsidR="00AB1B9C" w:rsidRPr="000D119D" w:rsidRDefault="00AB1B9C" w:rsidP="00AB1B9C">
      <w:pPr>
        <w:pStyle w:val="ListBullet"/>
      </w:pPr>
      <w:r w:rsidRPr="005345ED">
        <w:rPr>
          <w:rFonts w:asciiTheme="majorHAnsi" w:hAnsiTheme="majorHAnsi" w:cstheme="majorHAnsi"/>
        </w:rPr>
        <w:t>December 2021 to June 2022 extension.</w:t>
      </w:r>
      <w:r w:rsidRPr="000D119D">
        <w:t xml:space="preserve"> Funding has been redistributed according to costs/need in different regions, rather than allocating the same amount of funding to every region – this was possible due to having greater data available on the actual spend/underspend,</w:t>
      </w:r>
      <w:r w:rsidRPr="000D119D" w:rsidDel="003B1305">
        <w:t xml:space="preserve"> </w:t>
      </w:r>
      <w:r w:rsidRPr="000D119D">
        <w:t xml:space="preserve">staffing requirements of each hub and trend analysis, which assisted in the calculation of unit pricing with low month on month growth. Further, under the December 2021 </w:t>
      </w:r>
      <w:r>
        <w:t>to</w:t>
      </w:r>
      <w:r w:rsidRPr="000D119D">
        <w:t xml:space="preserve"> June 2022 extension, the funding model is less prescriptive, with PHNs having greater flexibility in the use of allocated funding themselves, </w:t>
      </w:r>
      <w:proofErr w:type="gramStart"/>
      <w:r w:rsidRPr="000D119D">
        <w:t>as long as</w:t>
      </w:r>
      <w:proofErr w:type="gramEnd"/>
      <w:r w:rsidRPr="000D119D">
        <w:t xml:space="preserve"> they meet contract conditions.</w:t>
      </w:r>
    </w:p>
    <w:p w14:paraId="419C0DCC" w14:textId="77777777" w:rsidR="00AB1B9C" w:rsidRPr="000D119D" w:rsidRDefault="00AB1B9C" w:rsidP="00AB1B9C">
      <w:pPr>
        <w:rPr>
          <w:lang w:val="en-AU"/>
        </w:rPr>
      </w:pPr>
      <w:r w:rsidRPr="000D119D">
        <w:rPr>
          <w:lang w:val="en-AU"/>
        </w:rPr>
        <w:t xml:space="preserve">Across the shared services, the greatest cost has been in developing and managing data storage, </w:t>
      </w:r>
      <w:proofErr w:type="gramStart"/>
      <w:r w:rsidRPr="000D119D">
        <w:rPr>
          <w:lang w:val="en-AU"/>
        </w:rPr>
        <w:t>management</w:t>
      </w:r>
      <w:proofErr w:type="gramEnd"/>
      <w:r w:rsidRPr="000D119D">
        <w:rPr>
          <w:lang w:val="en-AU"/>
        </w:rPr>
        <w:t xml:space="preserve"> and reporting. Other shared costs have included project management, the 1800 phone line, </w:t>
      </w:r>
      <w:proofErr w:type="gramStart"/>
      <w:r w:rsidRPr="000D119D">
        <w:rPr>
          <w:lang w:val="en-AU"/>
        </w:rPr>
        <w:t>communications</w:t>
      </w:r>
      <w:proofErr w:type="gramEnd"/>
      <w:r w:rsidRPr="000D119D">
        <w:rPr>
          <w:lang w:val="en-AU"/>
        </w:rPr>
        <w:t xml:space="preserve"> and budget to cover finance costs previously managed out of PHN resources. </w:t>
      </w:r>
      <w:r w:rsidRPr="000D119D">
        <w:rPr>
          <w:lang w:val="en-AU"/>
        </w:rPr>
        <w:lastRenderedPageBreak/>
        <w:t>Communications allocation was notably higher in the June extension bid due to the brand transition to Head</w:t>
      </w:r>
      <w:r>
        <w:rPr>
          <w:lang w:val="en-AU"/>
        </w:rPr>
        <w:t xml:space="preserve"> </w:t>
      </w:r>
      <w:r w:rsidRPr="000D119D">
        <w:rPr>
          <w:lang w:val="en-AU"/>
        </w:rPr>
        <w:t>to</w:t>
      </w:r>
      <w:r>
        <w:rPr>
          <w:lang w:val="en-AU"/>
        </w:rPr>
        <w:t xml:space="preserve"> </w:t>
      </w:r>
      <w:r w:rsidRPr="000D119D">
        <w:rPr>
          <w:lang w:val="en-AU"/>
        </w:rPr>
        <w:t xml:space="preserve">Health. </w:t>
      </w:r>
    </w:p>
    <w:p w14:paraId="6AA5B725" w14:textId="34748F53" w:rsidR="00AB1B9C" w:rsidRDefault="00AB1B9C" w:rsidP="00AB1B9C">
      <w:pPr>
        <w:rPr>
          <w:lang w:val="en-AU"/>
        </w:rPr>
      </w:pPr>
      <w:r w:rsidRPr="000D119D">
        <w:rPr>
          <w:lang w:val="en-AU"/>
        </w:rPr>
        <w:t xml:space="preserve">Critical to the success of </w:t>
      </w:r>
      <w:proofErr w:type="spellStart"/>
      <w:r w:rsidRPr="00E13AC5">
        <w:rPr>
          <w:rStyle w:val="Emphasis"/>
        </w:rPr>
        <w:t>HeadtoHelp</w:t>
      </w:r>
      <w:proofErr w:type="spellEnd"/>
      <w:r w:rsidRPr="000D119D">
        <w:rPr>
          <w:lang w:val="en-AU"/>
        </w:rPr>
        <w:t xml:space="preserve"> has been the ability to be flexible around funding over the course of implementation, particularly in adjusting the shared services funding to meet needs at the local level of delivery. Strong governance and collaboration among the PHNs underpinned efficient and needs-based financial decision-making. The finance model was however complicated – some stakeholders reflected that the simplest cost-management process would have been to provide one PHN with all the funding, which could then be allocated across other PHNs as required using an invoicing system. The clear disadvantage of this is that it would have resulted in reduced cross-collaboration, which has been a defining feature of the </w:t>
      </w:r>
      <w:proofErr w:type="spellStart"/>
      <w:r w:rsidRPr="00E13AC5">
        <w:rPr>
          <w:rStyle w:val="Emphasis"/>
        </w:rPr>
        <w:t>HeadtoHelp</w:t>
      </w:r>
      <w:proofErr w:type="spellEnd"/>
      <w:r w:rsidRPr="000D119D">
        <w:rPr>
          <w:lang w:val="en-AU"/>
        </w:rPr>
        <w:t xml:space="preserve"> establishment experience, and one that future programs should seek to replicate.</w:t>
      </w:r>
    </w:p>
    <w:p w14:paraId="35F254CE" w14:textId="28C4DDD0" w:rsidR="00A031EA" w:rsidRDefault="00A031EA" w:rsidP="00A031EA">
      <w:pPr>
        <w:pStyle w:val="Heading4"/>
      </w:pPr>
      <w:r w:rsidRPr="000D119D">
        <w:rPr>
          <w:noProof/>
          <w:color w:val="000000" w:themeColor="text1"/>
        </w:rPr>
        <mc:AlternateContent>
          <mc:Choice Requires="wps">
            <w:drawing>
              <wp:inline distT="0" distB="0" distL="0" distR="0" wp14:anchorId="4038ABF5" wp14:editId="65586A4B">
                <wp:extent cx="328612" cy="328612"/>
                <wp:effectExtent l="0" t="0" r="0" b="0"/>
                <wp:docPr id="5" name="Freeform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28612" cy="328612"/>
                        </a:xfrm>
                        <a:custGeom>
                          <a:avLst/>
                          <a:gdLst>
                            <a:gd name="T0" fmla="*/ 15 w 164"/>
                            <a:gd name="T1" fmla="*/ 0 h 164"/>
                            <a:gd name="T2" fmla="*/ 0 w 164"/>
                            <a:gd name="T3" fmla="*/ 126 h 164"/>
                            <a:gd name="T4" fmla="*/ 67 w 164"/>
                            <a:gd name="T5" fmla="*/ 141 h 164"/>
                            <a:gd name="T6" fmla="*/ 56 w 164"/>
                            <a:gd name="T7" fmla="*/ 156 h 164"/>
                            <a:gd name="T8" fmla="*/ 56 w 164"/>
                            <a:gd name="T9" fmla="*/ 164 h 164"/>
                            <a:gd name="T10" fmla="*/ 112 w 164"/>
                            <a:gd name="T11" fmla="*/ 160 h 164"/>
                            <a:gd name="T12" fmla="*/ 97 w 164"/>
                            <a:gd name="T13" fmla="*/ 156 h 164"/>
                            <a:gd name="T14" fmla="*/ 149 w 164"/>
                            <a:gd name="T15" fmla="*/ 141 h 164"/>
                            <a:gd name="T16" fmla="*/ 164 w 164"/>
                            <a:gd name="T17" fmla="*/ 61 h 164"/>
                            <a:gd name="T18" fmla="*/ 164 w 164"/>
                            <a:gd name="T19" fmla="*/ 26 h 164"/>
                            <a:gd name="T20" fmla="*/ 164 w 164"/>
                            <a:gd name="T21" fmla="*/ 15 h 164"/>
                            <a:gd name="T22" fmla="*/ 89 w 164"/>
                            <a:gd name="T23" fmla="*/ 156 h 164"/>
                            <a:gd name="T24" fmla="*/ 74 w 164"/>
                            <a:gd name="T25" fmla="*/ 141 h 164"/>
                            <a:gd name="T26" fmla="*/ 89 w 164"/>
                            <a:gd name="T27" fmla="*/ 156 h 164"/>
                            <a:gd name="T28" fmla="*/ 149 w 164"/>
                            <a:gd name="T29" fmla="*/ 134 h 164"/>
                            <a:gd name="T30" fmla="*/ 7 w 164"/>
                            <a:gd name="T31" fmla="*/ 126 h 164"/>
                            <a:gd name="T32" fmla="*/ 157 w 164"/>
                            <a:gd name="T33" fmla="*/ 119 h 164"/>
                            <a:gd name="T34" fmla="*/ 157 w 164"/>
                            <a:gd name="T35" fmla="*/ 57 h 164"/>
                            <a:gd name="T36" fmla="*/ 133 w 164"/>
                            <a:gd name="T37" fmla="*/ 51 h 164"/>
                            <a:gd name="T38" fmla="*/ 119 w 164"/>
                            <a:gd name="T39" fmla="*/ 51 h 164"/>
                            <a:gd name="T40" fmla="*/ 126 w 164"/>
                            <a:gd name="T41" fmla="*/ 45 h 164"/>
                            <a:gd name="T42" fmla="*/ 157 w 164"/>
                            <a:gd name="T43" fmla="*/ 29 h 164"/>
                            <a:gd name="T44" fmla="*/ 157 w 164"/>
                            <a:gd name="T45" fmla="*/ 25 h 164"/>
                            <a:gd name="T46" fmla="*/ 126 w 164"/>
                            <a:gd name="T47" fmla="*/ 30 h 164"/>
                            <a:gd name="T48" fmla="*/ 121 w 164"/>
                            <a:gd name="T49" fmla="*/ 43 h 164"/>
                            <a:gd name="T50" fmla="*/ 65 w 164"/>
                            <a:gd name="T51" fmla="*/ 29 h 164"/>
                            <a:gd name="T52" fmla="*/ 57 w 164"/>
                            <a:gd name="T53" fmla="*/ 21 h 164"/>
                            <a:gd name="T54" fmla="*/ 52 w 164"/>
                            <a:gd name="T55" fmla="*/ 35 h 164"/>
                            <a:gd name="T56" fmla="*/ 27 w 164"/>
                            <a:gd name="T57" fmla="*/ 65 h 164"/>
                            <a:gd name="T58" fmla="*/ 20 w 164"/>
                            <a:gd name="T59" fmla="*/ 56 h 164"/>
                            <a:gd name="T60" fmla="*/ 20 w 164"/>
                            <a:gd name="T61" fmla="*/ 71 h 164"/>
                            <a:gd name="T62" fmla="*/ 34 w 164"/>
                            <a:gd name="T63" fmla="*/ 73 h 164"/>
                            <a:gd name="T64" fmla="*/ 26 w 164"/>
                            <a:gd name="T65" fmla="*/ 85 h 164"/>
                            <a:gd name="T66" fmla="*/ 26 w 164"/>
                            <a:gd name="T67" fmla="*/ 100 h 164"/>
                            <a:gd name="T68" fmla="*/ 32 w 164"/>
                            <a:gd name="T69" fmla="*/ 87 h 164"/>
                            <a:gd name="T70" fmla="*/ 73 w 164"/>
                            <a:gd name="T71" fmla="*/ 91 h 164"/>
                            <a:gd name="T72" fmla="*/ 81 w 164"/>
                            <a:gd name="T73" fmla="*/ 100 h 164"/>
                            <a:gd name="T74" fmla="*/ 88 w 164"/>
                            <a:gd name="T75" fmla="*/ 89 h 164"/>
                            <a:gd name="T76" fmla="*/ 125 w 164"/>
                            <a:gd name="T77" fmla="*/ 58 h 164"/>
                            <a:gd name="T78" fmla="*/ 133 w 164"/>
                            <a:gd name="T79" fmla="*/ 67 h 164"/>
                            <a:gd name="T80" fmla="*/ 157 w 164"/>
                            <a:gd name="T81" fmla="*/ 61 h 164"/>
                            <a:gd name="T82" fmla="*/ 7 w 164"/>
                            <a:gd name="T83" fmla="*/ 112 h 164"/>
                            <a:gd name="T84" fmla="*/ 15 w 164"/>
                            <a:gd name="T85" fmla="*/ 7 h 164"/>
                            <a:gd name="T86" fmla="*/ 157 w 164"/>
                            <a:gd name="T87" fmla="*/ 15 h 164"/>
                            <a:gd name="T88" fmla="*/ 112 w 164"/>
                            <a:gd name="T89" fmla="*/ 53 h 164"/>
                            <a:gd name="T90" fmla="*/ 81 w 164"/>
                            <a:gd name="T91" fmla="*/ 85 h 164"/>
                            <a:gd name="T92" fmla="*/ 39 w 164"/>
                            <a:gd name="T93" fmla="*/ 71 h 164"/>
                            <a:gd name="T94" fmla="*/ 57 w 164"/>
                            <a:gd name="T95" fmla="*/ 36 h 164"/>
                            <a:gd name="T96" fmla="*/ 112 w 164"/>
                            <a:gd name="T97" fmla="*/ 53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4" h="164">
                              <a:moveTo>
                                <a:pt x="149" y="0"/>
                              </a:moveTo>
                              <a:cubicBezTo>
                                <a:pt x="15" y="0"/>
                                <a:pt x="15" y="0"/>
                                <a:pt x="15" y="0"/>
                              </a:cubicBezTo>
                              <a:cubicBezTo>
                                <a:pt x="7" y="0"/>
                                <a:pt x="0" y="6"/>
                                <a:pt x="0" y="15"/>
                              </a:cubicBezTo>
                              <a:cubicBezTo>
                                <a:pt x="0" y="126"/>
                                <a:pt x="0" y="126"/>
                                <a:pt x="0" y="126"/>
                              </a:cubicBezTo>
                              <a:cubicBezTo>
                                <a:pt x="0" y="135"/>
                                <a:pt x="7" y="141"/>
                                <a:pt x="15" y="141"/>
                              </a:cubicBezTo>
                              <a:cubicBezTo>
                                <a:pt x="67" y="141"/>
                                <a:pt x="67" y="141"/>
                                <a:pt x="67" y="141"/>
                              </a:cubicBezTo>
                              <a:cubicBezTo>
                                <a:pt x="67" y="156"/>
                                <a:pt x="67" y="156"/>
                                <a:pt x="67" y="156"/>
                              </a:cubicBezTo>
                              <a:cubicBezTo>
                                <a:pt x="56" y="156"/>
                                <a:pt x="56" y="156"/>
                                <a:pt x="56" y="156"/>
                              </a:cubicBezTo>
                              <a:cubicBezTo>
                                <a:pt x="54" y="156"/>
                                <a:pt x="52" y="158"/>
                                <a:pt x="52" y="160"/>
                              </a:cubicBezTo>
                              <a:cubicBezTo>
                                <a:pt x="52" y="162"/>
                                <a:pt x="54" y="164"/>
                                <a:pt x="56" y="164"/>
                              </a:cubicBezTo>
                              <a:cubicBezTo>
                                <a:pt x="108" y="164"/>
                                <a:pt x="108" y="164"/>
                                <a:pt x="108" y="164"/>
                              </a:cubicBezTo>
                              <a:cubicBezTo>
                                <a:pt x="110" y="164"/>
                                <a:pt x="112" y="162"/>
                                <a:pt x="112" y="160"/>
                              </a:cubicBezTo>
                              <a:cubicBezTo>
                                <a:pt x="112" y="158"/>
                                <a:pt x="110" y="156"/>
                                <a:pt x="108" y="156"/>
                              </a:cubicBezTo>
                              <a:cubicBezTo>
                                <a:pt x="97" y="156"/>
                                <a:pt x="97" y="156"/>
                                <a:pt x="97" y="156"/>
                              </a:cubicBezTo>
                              <a:cubicBezTo>
                                <a:pt x="97" y="141"/>
                                <a:pt x="97" y="141"/>
                                <a:pt x="97" y="141"/>
                              </a:cubicBezTo>
                              <a:cubicBezTo>
                                <a:pt x="149" y="141"/>
                                <a:pt x="149" y="141"/>
                                <a:pt x="149" y="141"/>
                              </a:cubicBezTo>
                              <a:cubicBezTo>
                                <a:pt x="157" y="141"/>
                                <a:pt x="164" y="135"/>
                                <a:pt x="164" y="126"/>
                              </a:cubicBezTo>
                              <a:cubicBezTo>
                                <a:pt x="164" y="61"/>
                                <a:pt x="164" y="61"/>
                                <a:pt x="164" y="61"/>
                              </a:cubicBezTo>
                              <a:cubicBezTo>
                                <a:pt x="164" y="57"/>
                                <a:pt x="164" y="57"/>
                                <a:pt x="164" y="57"/>
                              </a:cubicBezTo>
                              <a:cubicBezTo>
                                <a:pt x="164" y="26"/>
                                <a:pt x="164" y="26"/>
                                <a:pt x="164" y="26"/>
                              </a:cubicBezTo>
                              <a:cubicBezTo>
                                <a:pt x="164" y="22"/>
                                <a:pt x="164" y="22"/>
                                <a:pt x="164" y="22"/>
                              </a:cubicBezTo>
                              <a:cubicBezTo>
                                <a:pt x="164" y="15"/>
                                <a:pt x="164" y="15"/>
                                <a:pt x="164" y="15"/>
                              </a:cubicBezTo>
                              <a:cubicBezTo>
                                <a:pt x="164" y="6"/>
                                <a:pt x="157" y="0"/>
                                <a:pt x="149" y="0"/>
                              </a:cubicBezTo>
                              <a:close/>
                              <a:moveTo>
                                <a:pt x="89" y="156"/>
                              </a:moveTo>
                              <a:cubicBezTo>
                                <a:pt x="74" y="156"/>
                                <a:pt x="74" y="156"/>
                                <a:pt x="74" y="156"/>
                              </a:cubicBezTo>
                              <a:cubicBezTo>
                                <a:pt x="74" y="141"/>
                                <a:pt x="74" y="141"/>
                                <a:pt x="74" y="141"/>
                              </a:cubicBezTo>
                              <a:cubicBezTo>
                                <a:pt x="89" y="141"/>
                                <a:pt x="89" y="141"/>
                                <a:pt x="89" y="141"/>
                              </a:cubicBezTo>
                              <a:lnTo>
                                <a:pt x="89" y="156"/>
                              </a:lnTo>
                              <a:close/>
                              <a:moveTo>
                                <a:pt x="157" y="126"/>
                              </a:moveTo>
                              <a:cubicBezTo>
                                <a:pt x="157" y="131"/>
                                <a:pt x="153" y="134"/>
                                <a:pt x="149" y="134"/>
                              </a:cubicBezTo>
                              <a:cubicBezTo>
                                <a:pt x="15" y="134"/>
                                <a:pt x="15" y="134"/>
                                <a:pt x="15" y="134"/>
                              </a:cubicBezTo>
                              <a:cubicBezTo>
                                <a:pt x="11" y="134"/>
                                <a:pt x="7" y="131"/>
                                <a:pt x="7" y="126"/>
                              </a:cubicBezTo>
                              <a:cubicBezTo>
                                <a:pt x="7" y="119"/>
                                <a:pt x="7" y="119"/>
                                <a:pt x="7" y="119"/>
                              </a:cubicBezTo>
                              <a:cubicBezTo>
                                <a:pt x="157" y="119"/>
                                <a:pt x="157" y="119"/>
                                <a:pt x="157" y="119"/>
                              </a:cubicBezTo>
                              <a:lnTo>
                                <a:pt x="157" y="126"/>
                              </a:lnTo>
                              <a:close/>
                              <a:moveTo>
                                <a:pt x="157" y="57"/>
                              </a:moveTo>
                              <a:cubicBezTo>
                                <a:pt x="140" y="57"/>
                                <a:pt x="140" y="57"/>
                                <a:pt x="140" y="57"/>
                              </a:cubicBezTo>
                              <a:cubicBezTo>
                                <a:pt x="140" y="54"/>
                                <a:pt x="136" y="51"/>
                                <a:pt x="133" y="51"/>
                              </a:cubicBezTo>
                              <a:cubicBezTo>
                                <a:pt x="130" y="51"/>
                                <a:pt x="128" y="53"/>
                                <a:pt x="127" y="55"/>
                              </a:cubicBezTo>
                              <a:cubicBezTo>
                                <a:pt x="119" y="51"/>
                                <a:pt x="119" y="51"/>
                                <a:pt x="119" y="51"/>
                              </a:cubicBezTo>
                              <a:cubicBezTo>
                                <a:pt x="124" y="45"/>
                                <a:pt x="124" y="45"/>
                                <a:pt x="124" y="45"/>
                              </a:cubicBezTo>
                              <a:cubicBezTo>
                                <a:pt x="125" y="45"/>
                                <a:pt x="125" y="45"/>
                                <a:pt x="126" y="45"/>
                              </a:cubicBezTo>
                              <a:cubicBezTo>
                                <a:pt x="130" y="45"/>
                                <a:pt x="134" y="42"/>
                                <a:pt x="134" y="37"/>
                              </a:cubicBezTo>
                              <a:cubicBezTo>
                                <a:pt x="157" y="29"/>
                                <a:pt x="157" y="29"/>
                                <a:pt x="157" y="29"/>
                              </a:cubicBezTo>
                              <a:lnTo>
                                <a:pt x="157" y="57"/>
                              </a:lnTo>
                              <a:close/>
                              <a:moveTo>
                                <a:pt x="157" y="25"/>
                              </a:moveTo>
                              <a:cubicBezTo>
                                <a:pt x="133" y="33"/>
                                <a:pt x="133" y="33"/>
                                <a:pt x="133" y="33"/>
                              </a:cubicBezTo>
                              <a:cubicBezTo>
                                <a:pt x="131" y="31"/>
                                <a:pt x="129" y="30"/>
                                <a:pt x="126" y="30"/>
                              </a:cubicBezTo>
                              <a:cubicBezTo>
                                <a:pt x="122" y="30"/>
                                <a:pt x="118" y="33"/>
                                <a:pt x="118" y="37"/>
                              </a:cubicBezTo>
                              <a:cubicBezTo>
                                <a:pt x="118" y="39"/>
                                <a:pt x="119" y="41"/>
                                <a:pt x="121" y="43"/>
                              </a:cubicBezTo>
                              <a:cubicBezTo>
                                <a:pt x="115" y="50"/>
                                <a:pt x="115" y="50"/>
                                <a:pt x="115" y="50"/>
                              </a:cubicBezTo>
                              <a:cubicBezTo>
                                <a:pt x="65" y="29"/>
                                <a:pt x="65" y="29"/>
                                <a:pt x="65" y="29"/>
                              </a:cubicBezTo>
                              <a:cubicBezTo>
                                <a:pt x="65" y="29"/>
                                <a:pt x="65" y="29"/>
                                <a:pt x="65" y="29"/>
                              </a:cubicBezTo>
                              <a:cubicBezTo>
                                <a:pt x="65" y="24"/>
                                <a:pt x="61" y="21"/>
                                <a:pt x="57" y="21"/>
                              </a:cubicBezTo>
                              <a:cubicBezTo>
                                <a:pt x="53" y="21"/>
                                <a:pt x="49" y="24"/>
                                <a:pt x="49" y="29"/>
                              </a:cubicBezTo>
                              <a:cubicBezTo>
                                <a:pt x="49" y="31"/>
                                <a:pt x="51" y="33"/>
                                <a:pt x="52" y="35"/>
                              </a:cubicBezTo>
                              <a:cubicBezTo>
                                <a:pt x="36" y="69"/>
                                <a:pt x="36" y="69"/>
                                <a:pt x="36" y="69"/>
                              </a:cubicBezTo>
                              <a:cubicBezTo>
                                <a:pt x="27" y="65"/>
                                <a:pt x="27" y="65"/>
                                <a:pt x="27" y="65"/>
                              </a:cubicBezTo>
                              <a:cubicBezTo>
                                <a:pt x="27" y="64"/>
                                <a:pt x="27" y="64"/>
                                <a:pt x="27" y="64"/>
                              </a:cubicBezTo>
                              <a:cubicBezTo>
                                <a:pt x="27" y="59"/>
                                <a:pt x="24" y="56"/>
                                <a:pt x="20" y="56"/>
                              </a:cubicBezTo>
                              <a:cubicBezTo>
                                <a:pt x="15" y="56"/>
                                <a:pt x="12" y="59"/>
                                <a:pt x="12" y="64"/>
                              </a:cubicBezTo>
                              <a:cubicBezTo>
                                <a:pt x="12" y="68"/>
                                <a:pt x="15" y="71"/>
                                <a:pt x="20" y="71"/>
                              </a:cubicBezTo>
                              <a:cubicBezTo>
                                <a:pt x="22" y="71"/>
                                <a:pt x="24" y="70"/>
                                <a:pt x="26" y="68"/>
                              </a:cubicBezTo>
                              <a:cubicBezTo>
                                <a:pt x="34" y="73"/>
                                <a:pt x="34" y="73"/>
                                <a:pt x="34" y="73"/>
                              </a:cubicBezTo>
                              <a:cubicBezTo>
                                <a:pt x="28" y="85"/>
                                <a:pt x="28" y="85"/>
                                <a:pt x="28" y="85"/>
                              </a:cubicBezTo>
                              <a:cubicBezTo>
                                <a:pt x="28" y="85"/>
                                <a:pt x="27" y="85"/>
                                <a:pt x="26" y="85"/>
                              </a:cubicBezTo>
                              <a:cubicBezTo>
                                <a:pt x="22" y="85"/>
                                <a:pt x="19" y="88"/>
                                <a:pt x="19" y="92"/>
                              </a:cubicBezTo>
                              <a:cubicBezTo>
                                <a:pt x="19" y="97"/>
                                <a:pt x="22" y="100"/>
                                <a:pt x="26" y="100"/>
                              </a:cubicBezTo>
                              <a:cubicBezTo>
                                <a:pt x="31" y="100"/>
                                <a:pt x="34" y="97"/>
                                <a:pt x="34" y="92"/>
                              </a:cubicBezTo>
                              <a:cubicBezTo>
                                <a:pt x="34" y="90"/>
                                <a:pt x="33" y="88"/>
                                <a:pt x="32" y="87"/>
                              </a:cubicBezTo>
                              <a:cubicBezTo>
                                <a:pt x="38" y="74"/>
                                <a:pt x="38" y="74"/>
                                <a:pt x="38" y="74"/>
                              </a:cubicBezTo>
                              <a:cubicBezTo>
                                <a:pt x="73" y="91"/>
                                <a:pt x="73" y="91"/>
                                <a:pt x="73" y="91"/>
                              </a:cubicBezTo>
                              <a:cubicBezTo>
                                <a:pt x="73" y="91"/>
                                <a:pt x="73" y="92"/>
                                <a:pt x="73" y="92"/>
                              </a:cubicBezTo>
                              <a:cubicBezTo>
                                <a:pt x="73" y="97"/>
                                <a:pt x="77" y="100"/>
                                <a:pt x="81" y="100"/>
                              </a:cubicBezTo>
                              <a:cubicBezTo>
                                <a:pt x="85" y="100"/>
                                <a:pt x="89" y="97"/>
                                <a:pt x="89" y="92"/>
                              </a:cubicBezTo>
                              <a:cubicBezTo>
                                <a:pt x="89" y="91"/>
                                <a:pt x="88" y="90"/>
                                <a:pt x="88" y="89"/>
                              </a:cubicBezTo>
                              <a:cubicBezTo>
                                <a:pt x="116" y="54"/>
                                <a:pt x="116" y="54"/>
                                <a:pt x="116" y="54"/>
                              </a:cubicBezTo>
                              <a:cubicBezTo>
                                <a:pt x="125" y="58"/>
                                <a:pt x="125" y="58"/>
                                <a:pt x="125" y="58"/>
                              </a:cubicBezTo>
                              <a:cubicBezTo>
                                <a:pt x="125" y="59"/>
                                <a:pt x="125" y="59"/>
                                <a:pt x="125" y="59"/>
                              </a:cubicBezTo>
                              <a:cubicBezTo>
                                <a:pt x="125" y="64"/>
                                <a:pt x="129" y="67"/>
                                <a:pt x="133" y="67"/>
                              </a:cubicBezTo>
                              <a:cubicBezTo>
                                <a:pt x="136" y="67"/>
                                <a:pt x="140" y="65"/>
                                <a:pt x="140" y="61"/>
                              </a:cubicBezTo>
                              <a:cubicBezTo>
                                <a:pt x="157" y="61"/>
                                <a:pt x="157" y="61"/>
                                <a:pt x="157" y="61"/>
                              </a:cubicBezTo>
                              <a:cubicBezTo>
                                <a:pt x="157" y="112"/>
                                <a:pt x="157" y="112"/>
                                <a:pt x="157" y="112"/>
                              </a:cubicBezTo>
                              <a:cubicBezTo>
                                <a:pt x="7" y="112"/>
                                <a:pt x="7" y="112"/>
                                <a:pt x="7" y="112"/>
                              </a:cubicBezTo>
                              <a:cubicBezTo>
                                <a:pt x="7" y="15"/>
                                <a:pt x="7" y="15"/>
                                <a:pt x="7" y="15"/>
                              </a:cubicBezTo>
                              <a:cubicBezTo>
                                <a:pt x="7" y="10"/>
                                <a:pt x="11" y="7"/>
                                <a:pt x="15" y="7"/>
                              </a:cubicBezTo>
                              <a:cubicBezTo>
                                <a:pt x="149" y="7"/>
                                <a:pt x="149" y="7"/>
                                <a:pt x="149" y="7"/>
                              </a:cubicBezTo>
                              <a:cubicBezTo>
                                <a:pt x="153" y="7"/>
                                <a:pt x="157" y="10"/>
                                <a:pt x="157" y="15"/>
                              </a:cubicBezTo>
                              <a:lnTo>
                                <a:pt x="157" y="25"/>
                              </a:lnTo>
                              <a:close/>
                              <a:moveTo>
                                <a:pt x="112" y="53"/>
                              </a:moveTo>
                              <a:cubicBezTo>
                                <a:pt x="85" y="86"/>
                                <a:pt x="85" y="86"/>
                                <a:pt x="85" y="86"/>
                              </a:cubicBezTo>
                              <a:cubicBezTo>
                                <a:pt x="84" y="85"/>
                                <a:pt x="83" y="85"/>
                                <a:pt x="81" y="85"/>
                              </a:cubicBezTo>
                              <a:cubicBezTo>
                                <a:pt x="79" y="85"/>
                                <a:pt x="77" y="86"/>
                                <a:pt x="75" y="87"/>
                              </a:cubicBezTo>
                              <a:cubicBezTo>
                                <a:pt x="39" y="71"/>
                                <a:pt x="39" y="71"/>
                                <a:pt x="39" y="71"/>
                              </a:cubicBezTo>
                              <a:cubicBezTo>
                                <a:pt x="56" y="36"/>
                                <a:pt x="56" y="36"/>
                                <a:pt x="56" y="36"/>
                              </a:cubicBezTo>
                              <a:cubicBezTo>
                                <a:pt x="56" y="36"/>
                                <a:pt x="57" y="36"/>
                                <a:pt x="57" y="36"/>
                              </a:cubicBezTo>
                              <a:cubicBezTo>
                                <a:pt x="60" y="36"/>
                                <a:pt x="62" y="35"/>
                                <a:pt x="64" y="33"/>
                              </a:cubicBezTo>
                              <a:lnTo>
                                <a:pt x="112" y="53"/>
                              </a:lnTo>
                              <a:close/>
                            </a:path>
                          </a:pathLst>
                        </a:custGeom>
                        <a:solidFill>
                          <a:srgbClr val="0070C0"/>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40F7F52A" id="Freeform 24" o:spid="_x0000_s1026" alt="&quot;&quot;" style="width:25.85pt;height:25.85pt;visibility:visible;mso-wrap-style:square;mso-left-percent:-10001;mso-top-percent:-10001;mso-position-horizontal:absolute;mso-position-horizontal-relative:char;mso-position-vertical:absolute;mso-position-vertical-relative:line;mso-left-percent:-10001;mso-top-percent:-10001;v-text-anchor:top" coordsize="16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" path="m149,c15,,15,,15,,7,,,6,,15,,126,,126,,126v,9,7,15,15,15c67,141,67,141,67,141v,15,,15,,15c56,156,56,156,56,156v-2,,-4,2,-4,4c52,162,54,164,56,164v52,,52,,52,c110,164,112,162,112,160v,-2,-2,-4,-4,-4c97,156,97,156,97,156v,-15,,-15,,-15c149,141,149,141,149,141v8,,15,-6,15,-15c164,61,164,61,164,61v,-4,,-4,,-4c164,26,164,26,164,26v,-4,,-4,,-4c164,15,164,15,164,15,164,6,157,,149,xm89,156v-15,,-15,,-15,c74,141,74,141,74,141v15,,15,,15,l89,156xm157,126v,5,-4,8,-8,8c15,134,15,134,15,134v-4,,-8,-3,-8,-8c7,119,7,119,7,119v150,,150,,150,l157,126xm157,57v-17,,-17,,-17,c140,54,136,51,133,51v-3,,-5,2,-6,4c119,51,119,51,119,51v5,-6,5,-6,5,-6c125,45,125,45,126,45v4,,8,-3,8,-8c157,29,157,29,157,29r,28xm157,25v-24,8,-24,8,-24,8c131,31,129,30,126,30v-4,,-8,3,-8,7c118,39,119,41,121,43v-6,7,-6,7,-6,7c65,29,65,29,65,29v,,,,,c65,24,61,21,57,21v-4,,-8,3,-8,8c49,31,51,33,52,35,36,69,36,69,36,69,27,65,27,65,27,65v,-1,,-1,,-1c27,59,24,56,20,56v-5,,-8,3,-8,8c12,68,15,71,20,71v2,,4,-1,6,-3c34,73,34,73,34,73,28,85,28,85,28,85v,,-1,,-2,c22,85,19,88,19,92v,5,3,8,7,8c31,100,34,97,34,92v,-2,-1,-4,-2,-5c38,74,38,74,38,74,73,91,73,91,73,91v,,,1,,1c73,97,77,100,81,100v4,,8,-3,8,-8c89,91,88,90,88,89,116,54,116,54,116,54v9,4,9,4,9,4c125,59,125,59,125,59v,5,4,8,8,8c136,67,140,65,140,61v17,,17,,17,c157,112,157,112,157,112,7,112,7,112,7,112,7,15,7,15,7,15v,-5,4,-8,8,-8c149,7,149,7,149,7v4,,8,3,8,8l157,25xm112,53c85,86,85,86,85,86,84,85,83,85,81,85v-2,,-4,1,-6,2c39,71,39,71,39,71,56,36,56,36,56,36v,,1,,1,c60,36,62,35,64,33r48,20xe" fillcolor="#0070c0" stroked="f">
                <v:path arrowok="t" o:connecttype="custom" o:connectlocs="30056,0;0,252470;134250,282526;112209,312582;112209,328612;224418,320597;194362,312582;298556,282526;328612,122228;328612,52097;328612,30056;178332,312582;148276,282526;178332,312582;298556,268500;14026,252470;314586,238444;314586,114213;266496,102190;238444,102190;252470,90168;314586,58108;314586,50093;252470,60112;242452,86160;130243,58108;114213,42078;104194,70131;54101,130243;40075,112209;40075,142265;68127,146272;52097,170317;52097,200373;64119,174325;146272,182340;162302,200373;176328,178332;250466,116216;266496,134250;314586,122228;14026,224418;30056,14026;314586,30056;224418,106198;162302,170317;78146,142265;114213,72134;224418,106198" o:connectangles="0,0,0,0,0,0,0,0,0,0,0,0,0,0,0,0,0,0,0,0,0,0,0,0,0,0,0,0,0,0,0,0,0,0,0,0,0,0,0,0,0,0,0,0,0,0,0,0,0"/>
                <o:lock v:ext="edit" aspectratio="t" verticies="t"/>
                <w10:anchorlock/>
              </v:shape>
            </w:pict>
          </mc:Fallback>
        </mc:AlternateContent>
      </w:r>
      <w:r w:rsidRPr="00A031EA">
        <w:t>An extensive data system was set up to enable data collection and analysis</w:t>
      </w:r>
    </w:p>
    <w:p w14:paraId="7E2C5D06" w14:textId="77777777" w:rsidR="00F07A0B" w:rsidRPr="000D119D" w:rsidRDefault="00F07A0B" w:rsidP="00F07A0B">
      <w:pPr>
        <w:rPr>
          <w:rFonts w:eastAsiaTheme="minorEastAsia"/>
          <w:lang w:val="en-AU"/>
        </w:rPr>
      </w:pPr>
      <w:r w:rsidRPr="000D119D">
        <w:rPr>
          <w:rFonts w:eastAsiaTheme="minorEastAsia"/>
          <w:lang w:val="en-AU"/>
        </w:rPr>
        <w:t xml:space="preserve">A significant amount of work was undertaken by the Data and Evaluation Design stream to stand up the data and reporting systems to support </w:t>
      </w:r>
      <w:proofErr w:type="spellStart"/>
      <w:r w:rsidRPr="00E13AC5">
        <w:rPr>
          <w:rStyle w:val="Emphasis"/>
        </w:rPr>
        <w:t>HeadtoHelp</w:t>
      </w:r>
      <w:proofErr w:type="spellEnd"/>
      <w:r w:rsidRPr="000D119D">
        <w:rPr>
          <w:rFonts w:eastAsiaTheme="minorEastAsia"/>
          <w:lang w:val="en-AU"/>
        </w:rPr>
        <w:t xml:space="preserve">. This stream developed three key components for </w:t>
      </w:r>
      <w:proofErr w:type="spellStart"/>
      <w:r w:rsidRPr="00E13AC5">
        <w:rPr>
          <w:rStyle w:val="Emphasis"/>
        </w:rPr>
        <w:t>HeadtoHelp</w:t>
      </w:r>
      <w:proofErr w:type="spellEnd"/>
      <w:r w:rsidRPr="000D119D">
        <w:rPr>
          <w:rFonts w:eastAsiaTheme="minorEastAsia"/>
          <w:i/>
          <w:lang w:val="en-AU"/>
        </w:rPr>
        <w:t xml:space="preserve"> </w:t>
      </w:r>
      <w:r w:rsidRPr="000D119D">
        <w:rPr>
          <w:rFonts w:eastAsiaTheme="minorEastAsia"/>
          <w:lang w:val="en-AU"/>
        </w:rPr>
        <w:t>(</w:t>
      </w:r>
      <w:r w:rsidRPr="000D119D">
        <w:rPr>
          <w:rFonts w:eastAsiaTheme="minorEastAsia"/>
          <w:iCs/>
          <w:lang w:val="en-AU"/>
        </w:rPr>
        <w:t>detail</w:t>
      </w:r>
      <w:r w:rsidRPr="000D119D">
        <w:rPr>
          <w:rFonts w:eastAsiaTheme="minorEastAsia"/>
          <w:lang w:val="en-AU"/>
        </w:rPr>
        <w:t xml:space="preserve"> </w:t>
      </w:r>
      <w:r w:rsidRPr="000D119D">
        <w:rPr>
          <w:rFonts w:eastAsiaTheme="minorEastAsia"/>
          <w:iCs/>
          <w:lang w:val="en-AU"/>
        </w:rPr>
        <w:t xml:space="preserve">on the data ecosystem is in </w:t>
      </w:r>
      <w:r>
        <w:rPr>
          <w:rFonts w:eastAsiaTheme="minorEastAsia"/>
          <w:iCs/>
          <w:lang w:val="en-AU"/>
        </w:rPr>
        <w:t>Appendix D</w:t>
      </w:r>
      <w:r w:rsidRPr="00141636">
        <w:rPr>
          <w:rFonts w:eastAsiaTheme="minorEastAsia"/>
          <w:iCs/>
          <w:lang w:val="en-AU"/>
        </w:rPr>
        <w:t>)</w:t>
      </w:r>
      <w:r w:rsidRPr="00141636">
        <w:rPr>
          <w:rFonts w:eastAsiaTheme="minorEastAsia"/>
          <w:lang w:val="en-AU"/>
        </w:rPr>
        <w:t>:</w:t>
      </w:r>
      <w:r w:rsidRPr="00141636">
        <w:rPr>
          <w:rStyle w:val="FootnoteReference"/>
          <w:rFonts w:eastAsiaTheme="minorEastAsia"/>
          <w:lang w:val="en-AU"/>
        </w:rPr>
        <w:footnoteReference w:id="20"/>
      </w:r>
    </w:p>
    <w:p w14:paraId="06F9B1A2" w14:textId="77777777" w:rsidR="00F07A0B" w:rsidRPr="000D119D" w:rsidRDefault="00F07A0B" w:rsidP="00F07A0B">
      <w:pPr>
        <w:pStyle w:val="ListBullet"/>
      </w:pPr>
      <w:r w:rsidRPr="000D119D">
        <w:rPr>
          <w:rFonts w:asciiTheme="majorHAnsi" w:hAnsiTheme="majorHAnsi" w:cstheme="majorHAnsi"/>
        </w:rPr>
        <w:t xml:space="preserve">the </w:t>
      </w:r>
      <w:proofErr w:type="spellStart"/>
      <w:r w:rsidRPr="000D119D">
        <w:rPr>
          <w:rFonts w:asciiTheme="majorHAnsi" w:hAnsiTheme="majorHAnsi" w:cstheme="majorHAnsi"/>
        </w:rPr>
        <w:t>centralised</w:t>
      </w:r>
      <w:proofErr w:type="spellEnd"/>
      <w:r w:rsidRPr="000D119D">
        <w:rPr>
          <w:rFonts w:asciiTheme="majorHAnsi" w:hAnsiTheme="majorHAnsi" w:cstheme="majorHAnsi"/>
        </w:rPr>
        <w:t xml:space="preserve"> intake system</w:t>
      </w:r>
      <w:r w:rsidRPr="000D119D">
        <w:t xml:space="preserve"> – enabled the use of the IAR-DST via a secure web-form</w:t>
      </w:r>
    </w:p>
    <w:p w14:paraId="34205078" w14:textId="77777777" w:rsidR="00F07A0B" w:rsidRPr="000D119D" w:rsidRDefault="00F07A0B" w:rsidP="00F07A0B">
      <w:pPr>
        <w:pStyle w:val="ListBullet"/>
      </w:pPr>
      <w:r w:rsidRPr="000D119D">
        <w:rPr>
          <w:rFonts w:asciiTheme="majorHAnsi" w:hAnsiTheme="majorHAnsi" w:cstheme="majorHAnsi"/>
        </w:rPr>
        <w:t>shared data analytics workspace</w:t>
      </w:r>
      <w:r w:rsidRPr="000D119D">
        <w:t xml:space="preserve"> – to collect intake data, PMHC-MDS hub activity data, participant experience data, and intake and hub contract/KPI reporting. </w:t>
      </w:r>
    </w:p>
    <w:p w14:paraId="56BBE369" w14:textId="77777777" w:rsidR="00F07A0B" w:rsidRPr="000D119D" w:rsidRDefault="00F07A0B" w:rsidP="00F07A0B">
      <w:pPr>
        <w:pStyle w:val="ListBullet"/>
      </w:pPr>
      <w:r w:rsidRPr="000D119D">
        <w:rPr>
          <w:rFonts w:asciiTheme="majorHAnsi" w:hAnsiTheme="majorHAnsi" w:cstheme="majorHAnsi"/>
        </w:rPr>
        <w:t>participant experience survey platform</w:t>
      </w:r>
      <w:r w:rsidRPr="000D119D">
        <w:t xml:space="preserve"> – to collect participant feedback on their experience of intake (</w:t>
      </w:r>
      <w:r>
        <w:t>HIE</w:t>
      </w:r>
      <w:r w:rsidRPr="000D119D">
        <w:t xml:space="preserve"> survey) and service at the </w:t>
      </w:r>
      <w:r>
        <w:t>h</w:t>
      </w:r>
      <w:r w:rsidRPr="000D119D">
        <w:t>ub (YES).</w:t>
      </w:r>
    </w:p>
    <w:p w14:paraId="0110087E" w14:textId="77777777" w:rsidR="00F07A0B" w:rsidRPr="000D119D" w:rsidRDefault="00F07A0B" w:rsidP="00F07A0B">
      <w:pPr>
        <w:rPr>
          <w:rFonts w:eastAsiaTheme="minorEastAsia"/>
          <w:lang w:val="en-AU"/>
        </w:rPr>
      </w:pPr>
      <w:r w:rsidRPr="000D119D">
        <w:rPr>
          <w:rFonts w:eastAsiaTheme="minorEastAsia"/>
          <w:lang w:val="en-AU"/>
        </w:rPr>
        <w:t xml:space="preserve">The data system was developed to collect data about </w:t>
      </w:r>
      <w:proofErr w:type="spellStart"/>
      <w:r w:rsidRPr="00E13AC5">
        <w:rPr>
          <w:rStyle w:val="Emphasis"/>
        </w:rPr>
        <w:t>HeadtoHelp</w:t>
      </w:r>
      <w:proofErr w:type="spellEnd"/>
      <w:r w:rsidRPr="000D119D">
        <w:rPr>
          <w:rFonts w:eastAsiaTheme="minorEastAsia"/>
          <w:lang w:val="en-AU"/>
        </w:rPr>
        <w:t xml:space="preserve"> participants, the services they receive and their experience of that service. The data system is a robust state-wide linked data set that tracks the participant’s journey through the system from referral to the completion of their episode of care. This is the first time that it has been possible to view state-wide unit record mental health data and it provides a complete picture </w:t>
      </w:r>
      <w:r w:rsidRPr="00FE06CF">
        <w:rPr>
          <w:rFonts w:eastAsiaTheme="minorEastAsia"/>
          <w:lang w:val="en-AU"/>
        </w:rPr>
        <w:t>o</w:t>
      </w:r>
      <w:r>
        <w:rPr>
          <w:rFonts w:eastAsiaTheme="minorEastAsia"/>
          <w:lang w:val="en-AU"/>
        </w:rPr>
        <w:t>f</w:t>
      </w:r>
      <w:r w:rsidRPr="000D119D">
        <w:rPr>
          <w:rFonts w:eastAsiaTheme="minorEastAsia"/>
          <w:lang w:val="en-AU"/>
        </w:rPr>
        <w:t xml:space="preserve"> those who contact the intake service, whereas the PMHC-MDS data only reflects a proportion of the data that is useful for understanding the actual needs and profiles in the region.</w:t>
      </w:r>
    </w:p>
    <w:p w14:paraId="5F2278FA" w14:textId="77777777" w:rsidR="00F07A0B" w:rsidRPr="000D119D" w:rsidRDefault="00F07A0B" w:rsidP="00F07A0B">
      <w:pPr>
        <w:rPr>
          <w:rFonts w:eastAsiaTheme="minorEastAsia"/>
          <w:lang w:val="en-AU"/>
        </w:rPr>
      </w:pPr>
      <w:r w:rsidRPr="000D119D">
        <w:rPr>
          <w:rFonts w:eastAsiaTheme="minorEastAsia"/>
          <w:lang w:val="en-AU"/>
        </w:rPr>
        <w:t xml:space="preserve">This system also specifically enabled the ‘warm transfer’ process through the sharing of information related to a participants’ needs. A central repository from which hub managers and staff can access information collected at intake limits the number of times a participant needs to re-tell their story. Further, in some cases, the data system enabled the sharing of information with providers outside of the </w:t>
      </w:r>
      <w:proofErr w:type="spellStart"/>
      <w:r w:rsidRPr="00E13AC5">
        <w:rPr>
          <w:rStyle w:val="Emphasis"/>
        </w:rPr>
        <w:t>HeadtoHelp</w:t>
      </w:r>
      <w:proofErr w:type="spellEnd"/>
      <w:r w:rsidRPr="000D119D">
        <w:rPr>
          <w:rFonts w:eastAsiaTheme="minorEastAsia"/>
          <w:lang w:val="en-AU"/>
        </w:rPr>
        <w:t xml:space="preserve"> service where required and consented.</w:t>
      </w:r>
    </w:p>
    <w:p w14:paraId="4887F94B" w14:textId="77777777" w:rsidR="00F07A0B" w:rsidRPr="000D119D" w:rsidRDefault="00F07A0B" w:rsidP="00F07A0B">
      <w:pPr>
        <w:rPr>
          <w:rFonts w:eastAsiaTheme="minorEastAsia"/>
          <w:lang w:val="en-AU"/>
        </w:rPr>
      </w:pPr>
      <w:r w:rsidRPr="000D119D">
        <w:rPr>
          <w:rFonts w:eastAsiaTheme="minorEastAsia"/>
          <w:lang w:val="en-AU"/>
        </w:rPr>
        <w:t xml:space="preserve">Additionally, stakeholders have reported that a data-driven quality improvement approach was taken, from which the </w:t>
      </w:r>
      <w:proofErr w:type="spellStart"/>
      <w:r w:rsidRPr="00E13AC5">
        <w:rPr>
          <w:rStyle w:val="Emphasis"/>
        </w:rPr>
        <w:t>HeadtoHelp</w:t>
      </w:r>
      <w:proofErr w:type="spellEnd"/>
      <w:r w:rsidRPr="000D119D">
        <w:rPr>
          <w:rFonts w:eastAsiaTheme="minorEastAsia"/>
          <w:lang w:val="en-AU"/>
        </w:rPr>
        <w:t xml:space="preserve"> service delivery staff have been able to learn and adapt the model of care. </w:t>
      </w:r>
      <w:r>
        <w:rPr>
          <w:rFonts w:eastAsiaTheme="minorEastAsia"/>
          <w:lang w:val="en-AU"/>
        </w:rPr>
        <w:t>For example, a quality user improvement user group for intake, including representatives from ACT and NSW was established to discuss incoming data and its implications. In addition, at the PHN PMO and stream level, data from the Data and Evaluation Design stream could continually be fed into the Clinical and Implementation Design stream, to continue to refine the model.</w:t>
      </w:r>
    </w:p>
    <w:p w14:paraId="585FCB4B" w14:textId="23739BD2" w:rsidR="00AB1B9C" w:rsidRDefault="00F07A0B" w:rsidP="00F07A0B">
      <w:r w:rsidRPr="000D119D">
        <w:rPr>
          <w:rFonts w:eastAsiaTheme="minorEastAsia"/>
          <w:lang w:val="en-AU"/>
        </w:rPr>
        <w:t xml:space="preserve">This data system provides a unique opportunity to understand the flow of referrals into and out of the </w:t>
      </w:r>
      <w:proofErr w:type="spellStart"/>
      <w:r w:rsidRPr="00E13AC5">
        <w:rPr>
          <w:rStyle w:val="Emphasis"/>
        </w:rPr>
        <w:t>HeadtoHelp</w:t>
      </w:r>
      <w:proofErr w:type="spellEnd"/>
      <w:r w:rsidRPr="000D119D">
        <w:rPr>
          <w:rFonts w:eastAsiaTheme="minorEastAsia"/>
          <w:lang w:val="en-AU"/>
        </w:rPr>
        <w:t xml:space="preserve"> and </w:t>
      </w:r>
      <w:r w:rsidRPr="00810D54">
        <w:rPr>
          <w:rFonts w:eastAsiaTheme="minorEastAsia"/>
          <w:lang w:val="en-AU"/>
        </w:rPr>
        <w:t>AMHC</w:t>
      </w:r>
      <w:r>
        <w:rPr>
          <w:rFonts w:eastAsiaTheme="minorEastAsia"/>
          <w:i/>
          <w:iCs/>
          <w:lang w:val="en-AU"/>
        </w:rPr>
        <w:t xml:space="preserve"> </w:t>
      </w:r>
      <w:r w:rsidRPr="000D119D">
        <w:rPr>
          <w:rFonts w:eastAsiaTheme="minorEastAsia"/>
          <w:lang w:val="en-AU"/>
        </w:rPr>
        <w:t>hubs. This could be utilised to understand the demand for services and the current supply, thus identifying the types of services that require expansion to meet that demand.</w:t>
      </w:r>
    </w:p>
    <w:p w14:paraId="0EBDBF96" w14:textId="32407FE3" w:rsidR="00434ED2" w:rsidRPr="000D119D" w:rsidRDefault="00434ED2" w:rsidP="008F6144">
      <w:pPr>
        <w:pStyle w:val="Heading1"/>
      </w:pPr>
      <w:bookmarkStart w:id="50" w:name="_Ref97036437"/>
      <w:bookmarkStart w:id="51" w:name="_Toc99650340"/>
      <w:r w:rsidRPr="000D119D">
        <w:lastRenderedPageBreak/>
        <w:t xml:space="preserve">Implementation of </w:t>
      </w:r>
      <w:proofErr w:type="spellStart"/>
      <w:r w:rsidRPr="000D119D">
        <w:rPr>
          <w:i/>
          <w:iCs/>
        </w:rPr>
        <w:t>HeadtoHelp</w:t>
      </w:r>
      <w:bookmarkEnd w:id="50"/>
      <w:bookmarkEnd w:id="51"/>
      <w:proofErr w:type="spellEnd"/>
      <w:r w:rsidR="001869E2" w:rsidRPr="000D119D">
        <w:rPr>
          <w:i/>
          <w:iCs/>
        </w:rPr>
        <w:t xml:space="preserve"> </w:t>
      </w:r>
    </w:p>
    <w:p w14:paraId="7EC677FA" w14:textId="7B6D3323" w:rsidR="00127089" w:rsidRPr="000D119D" w:rsidRDefault="00127089" w:rsidP="00127089">
      <w:pPr>
        <w:rPr>
          <w:lang w:val="en-AU" w:eastAsia="en-AU"/>
        </w:rPr>
      </w:pPr>
      <w:r w:rsidRPr="000D119D">
        <w:rPr>
          <w:lang w:val="en-AU" w:eastAsia="en-AU"/>
        </w:rPr>
        <w:t>This section addresses KE</w:t>
      </w:r>
      <w:r w:rsidR="001604B1" w:rsidRPr="000D119D">
        <w:rPr>
          <w:lang w:val="en-AU" w:eastAsia="en-AU"/>
        </w:rPr>
        <w:t>Q</w:t>
      </w:r>
      <w:r w:rsidRPr="000D119D">
        <w:rPr>
          <w:lang w:val="en-AU" w:eastAsia="en-AU"/>
        </w:rPr>
        <w:t xml:space="preserve"> 3 (How effective has the implementation of the </w:t>
      </w:r>
      <w:proofErr w:type="spellStart"/>
      <w:r w:rsidRPr="003449C5">
        <w:rPr>
          <w:rStyle w:val="Emphasis"/>
        </w:rPr>
        <w:t>HeadtoHelp</w:t>
      </w:r>
      <w:proofErr w:type="spellEnd"/>
      <w:r w:rsidRPr="000D119D">
        <w:rPr>
          <w:lang w:val="en-AU" w:eastAsia="en-AU"/>
        </w:rPr>
        <w:t xml:space="preserve"> initiative been to date and what can we learn from it?) and KE</w:t>
      </w:r>
      <w:r w:rsidR="001604B1" w:rsidRPr="000D119D">
        <w:rPr>
          <w:lang w:val="en-AU" w:eastAsia="en-AU"/>
        </w:rPr>
        <w:t>Q</w:t>
      </w:r>
      <w:r w:rsidRPr="000D119D">
        <w:rPr>
          <w:lang w:val="en-AU" w:eastAsia="en-AU"/>
        </w:rPr>
        <w:t xml:space="preserve"> 4 (Has the </w:t>
      </w:r>
      <w:proofErr w:type="spellStart"/>
      <w:r w:rsidRPr="003449C5">
        <w:rPr>
          <w:rStyle w:val="Emphasis"/>
        </w:rPr>
        <w:t>HeadtoHelp</w:t>
      </w:r>
      <w:proofErr w:type="spellEnd"/>
      <w:r w:rsidRPr="000D119D">
        <w:rPr>
          <w:lang w:val="en-AU" w:eastAsia="en-AU"/>
        </w:rPr>
        <w:t xml:space="preserve"> service implemented effective IAR intake practices?). Findings have been informed by program </w:t>
      </w:r>
      <w:r w:rsidR="00AB7610" w:rsidRPr="000D119D">
        <w:rPr>
          <w:lang w:val="en-AU" w:eastAsia="en-AU"/>
        </w:rPr>
        <w:t xml:space="preserve">documentation, </w:t>
      </w:r>
      <w:r w:rsidRPr="000D119D">
        <w:rPr>
          <w:lang w:val="en-AU" w:eastAsia="en-AU"/>
        </w:rPr>
        <w:t xml:space="preserve">insights from qualitative data collection and analysis of the PMHC-MDS data. </w:t>
      </w:r>
    </w:p>
    <w:p w14:paraId="6CD462C2" w14:textId="04C330FC" w:rsidR="00CD3A07" w:rsidRDefault="00977E44" w:rsidP="0069159E">
      <w:pPr>
        <w:pStyle w:val="Heading2"/>
      </w:pPr>
      <w:bookmarkStart w:id="52" w:name="_Toc99650341"/>
      <w:bookmarkStart w:id="53" w:name="_Ref78447271"/>
      <w:r w:rsidRPr="000D119D">
        <w:t xml:space="preserve">How effective has the implementation of the </w:t>
      </w:r>
      <w:proofErr w:type="spellStart"/>
      <w:r w:rsidRPr="00085DB9">
        <w:rPr>
          <w:i/>
        </w:rPr>
        <w:t>HeadtoHelp</w:t>
      </w:r>
      <w:proofErr w:type="spellEnd"/>
      <w:r w:rsidRPr="000D119D">
        <w:t xml:space="preserve"> initiative been to date and what can we learn from it?</w:t>
      </w:r>
      <w:bookmarkEnd w:id="52"/>
    </w:p>
    <w:p w14:paraId="5627BE0C" w14:textId="26DEE246" w:rsidR="00E05D10" w:rsidRPr="000D119D" w:rsidRDefault="009B6205" w:rsidP="00E05D10">
      <w:pPr>
        <w:pStyle w:val="Callout"/>
      </w:pPr>
      <w:r w:rsidRPr="002C2AF5">
        <w:rPr>
          <w:b/>
          <w:bCs/>
          <w:color w:val="25B3E0" w:themeColor="accent6"/>
        </w:rPr>
        <w:t>Key findings</w:t>
      </w:r>
      <w:r w:rsidRPr="002C2AF5">
        <w:rPr>
          <w:color w:val="25B3E0" w:themeColor="accent6"/>
        </w:rPr>
        <w:t>:</w:t>
      </w:r>
      <w:r w:rsidR="00E05D10" w:rsidRPr="00E05D10">
        <w:t xml:space="preserve"> </w:t>
      </w:r>
      <w:proofErr w:type="spellStart"/>
      <w:r w:rsidR="00E05D10" w:rsidRPr="00E13AC5">
        <w:rPr>
          <w:rStyle w:val="Emphasis"/>
        </w:rPr>
        <w:t>HeadtoHelp</w:t>
      </w:r>
      <w:proofErr w:type="spellEnd"/>
      <w:r w:rsidR="00E05D10" w:rsidRPr="000D119D">
        <w:t xml:space="preserve"> is being accessed by the ‘missing middle’, however, aspects of service use have differed from what was anticipated – </w:t>
      </w:r>
      <w:proofErr w:type="gramStart"/>
      <w:r w:rsidR="00E05D10" w:rsidRPr="000D119D">
        <w:t>in particular the</w:t>
      </w:r>
      <w:proofErr w:type="gramEnd"/>
      <w:r w:rsidR="00E05D10" w:rsidRPr="000D119D">
        <w:t xml:space="preserve"> time taken to build up referrals, and participants being both younger and more complex than initially envisaged. Key findings from </w:t>
      </w:r>
      <w:r w:rsidR="00E05D10">
        <w:t>service data</w:t>
      </w:r>
      <w:r w:rsidR="00E05D10" w:rsidRPr="000D119D">
        <w:t xml:space="preserve"> include:</w:t>
      </w:r>
    </w:p>
    <w:p w14:paraId="57029E70" w14:textId="77777777" w:rsidR="00E05D10" w:rsidRPr="000D119D" w:rsidRDefault="00E05D10" w:rsidP="009B6205">
      <w:pPr>
        <w:pStyle w:val="Callout"/>
        <w:numPr>
          <w:ilvl w:val="0"/>
          <w:numId w:val="31"/>
        </w:numPr>
        <w:spacing w:before="60" w:after="60" w:line="240" w:lineRule="auto"/>
        <w:ind w:left="0" w:firstLine="0"/>
        <w:rPr>
          <w:rFonts w:eastAsiaTheme="minorEastAsia"/>
        </w:rPr>
      </w:pPr>
      <w:r w:rsidRPr="000D119D">
        <w:t>Service numbers were concentrated in the regional and remote PHNs – MPHN</w:t>
      </w:r>
      <w:r>
        <w:t xml:space="preserve"> </w:t>
      </w:r>
      <w:r w:rsidRPr="000D119D">
        <w:t>(23 per cent) and GPHN</w:t>
      </w:r>
      <w:r>
        <w:t xml:space="preserve"> </w:t>
      </w:r>
      <w:r w:rsidRPr="000D119D">
        <w:t xml:space="preserve">(23 per cent) accounted for almost half of all </w:t>
      </w:r>
      <w:proofErr w:type="spellStart"/>
      <w:r w:rsidRPr="00E13AC5">
        <w:rPr>
          <w:rStyle w:val="Emphasis"/>
        </w:rPr>
        <w:t>HeadtoHelp</w:t>
      </w:r>
      <w:proofErr w:type="spellEnd"/>
      <w:r w:rsidRPr="000D119D">
        <w:t xml:space="preserve"> episodes.</w:t>
      </w:r>
    </w:p>
    <w:p w14:paraId="1A850CF3" w14:textId="3A5C13DE" w:rsidR="00E05D10" w:rsidRPr="000D119D" w:rsidRDefault="00E05D10" w:rsidP="009B6205">
      <w:pPr>
        <w:pStyle w:val="Callout"/>
        <w:numPr>
          <w:ilvl w:val="0"/>
          <w:numId w:val="31"/>
        </w:numPr>
        <w:spacing w:before="60" w:after="60" w:line="240" w:lineRule="auto"/>
        <w:ind w:left="0" w:firstLine="0"/>
        <w:rPr>
          <w:rFonts w:eastAsiaTheme="minorEastAsia"/>
        </w:rPr>
      </w:pPr>
      <w:proofErr w:type="spellStart"/>
      <w:r w:rsidRPr="00E13AC5">
        <w:rPr>
          <w:rStyle w:val="Emphasis"/>
        </w:rPr>
        <w:t>HeadtoHelp</w:t>
      </w:r>
      <w:proofErr w:type="spellEnd"/>
      <w:r w:rsidRPr="000D119D">
        <w:rPr>
          <w:rFonts w:eastAsiaTheme="minorEastAsia"/>
        </w:rPr>
        <w:t xml:space="preserve"> participants were typically female, </w:t>
      </w:r>
      <w:proofErr w:type="gramStart"/>
      <w:r w:rsidRPr="000D119D">
        <w:rPr>
          <w:rFonts w:eastAsiaTheme="minorEastAsia"/>
        </w:rPr>
        <w:t>English-speaking</w:t>
      </w:r>
      <w:proofErr w:type="gramEnd"/>
      <w:r w:rsidRPr="000D119D">
        <w:rPr>
          <w:rFonts w:eastAsiaTheme="minorEastAsia"/>
        </w:rPr>
        <w:t xml:space="preserve"> and aged over 25. While the </w:t>
      </w:r>
      <w:r>
        <w:rPr>
          <w:rFonts w:eastAsiaTheme="minorEastAsia"/>
        </w:rPr>
        <w:t xml:space="preserve">client </w:t>
      </w:r>
      <w:r w:rsidRPr="000D119D">
        <w:rPr>
          <w:rFonts w:eastAsiaTheme="minorEastAsia"/>
        </w:rPr>
        <w:t>proportion</w:t>
      </w:r>
      <w:r>
        <w:rPr>
          <w:rFonts w:eastAsiaTheme="minorEastAsia"/>
        </w:rPr>
        <w:t>s</w:t>
      </w:r>
      <w:r w:rsidRPr="000D119D">
        <w:rPr>
          <w:rFonts w:eastAsiaTheme="minorEastAsia"/>
        </w:rPr>
        <w:t xml:space="preserve"> across each age group </w:t>
      </w:r>
      <w:r>
        <w:rPr>
          <w:rFonts w:eastAsiaTheme="minorEastAsia"/>
        </w:rPr>
        <w:t>were</w:t>
      </w:r>
      <w:r w:rsidRPr="000D119D">
        <w:rPr>
          <w:rFonts w:eastAsiaTheme="minorEastAsia"/>
        </w:rPr>
        <w:t xml:space="preserve"> broadly similar across PHNs, there were some exceptions: </w:t>
      </w:r>
      <w:r w:rsidRPr="000D119D">
        <w:t>approximately a quarter of services in GPHN were delivered to under-18-year-old participants (26 per cent) relative to other PHNs (range of nine to 17 percent).</w:t>
      </w:r>
    </w:p>
    <w:p w14:paraId="7D4E8D15" w14:textId="77777777" w:rsidR="00E05D10" w:rsidRPr="000D119D" w:rsidRDefault="00E05D10" w:rsidP="009B6205">
      <w:pPr>
        <w:pStyle w:val="Callout"/>
        <w:numPr>
          <w:ilvl w:val="0"/>
          <w:numId w:val="31"/>
        </w:numPr>
        <w:spacing w:before="60" w:after="60" w:line="240" w:lineRule="auto"/>
        <w:ind w:left="0" w:firstLine="0"/>
        <w:rPr>
          <w:rFonts w:eastAsiaTheme="minorEastAsia"/>
        </w:rPr>
      </w:pPr>
      <w:r w:rsidRPr="000D119D">
        <w:t>Level three IAR ratings formed the bulk of ratings (68 per cent to 81 per cent). There were also more level four and five ratings relative to level one and two</w:t>
      </w:r>
      <w:r>
        <w:t>. Me</w:t>
      </w:r>
      <w:r w:rsidRPr="000D119D">
        <w:t>an K10 scores</w:t>
      </w:r>
      <w:r>
        <w:rPr>
          <w:rStyle w:val="FootnoteReference"/>
        </w:rPr>
        <w:footnoteReference w:id="21"/>
      </w:r>
      <w:r w:rsidRPr="000D119D">
        <w:t xml:space="preserve"> </w:t>
      </w:r>
      <w:r>
        <w:t xml:space="preserve">of clients on entry into the service </w:t>
      </w:r>
      <w:r w:rsidRPr="000D119D">
        <w:t xml:space="preserve">ranged from 29.5 (MPHN) to 33.4 (WVPHN), suggesting participants of </w:t>
      </w:r>
      <w:proofErr w:type="spellStart"/>
      <w:r w:rsidRPr="00E13AC5">
        <w:rPr>
          <w:rStyle w:val="Emphasis"/>
        </w:rPr>
        <w:t>HeadtoHelp</w:t>
      </w:r>
      <w:proofErr w:type="spellEnd"/>
      <w:r w:rsidRPr="000D119D">
        <w:t xml:space="preserve"> were, on average, severely unwell on </w:t>
      </w:r>
      <w:r>
        <w:t>service entry.</w:t>
      </w:r>
    </w:p>
    <w:p w14:paraId="4987516B" w14:textId="77777777" w:rsidR="00E05D10" w:rsidRPr="000D119D" w:rsidRDefault="00E05D10" w:rsidP="009B6205">
      <w:pPr>
        <w:pStyle w:val="Callout"/>
        <w:numPr>
          <w:ilvl w:val="0"/>
          <w:numId w:val="31"/>
        </w:numPr>
        <w:spacing w:before="60" w:after="60" w:line="240" w:lineRule="auto"/>
        <w:ind w:left="0" w:firstLine="0"/>
      </w:pPr>
      <w:r w:rsidRPr="000D119D">
        <w:t xml:space="preserve">Participants and support people sought </w:t>
      </w:r>
      <w:proofErr w:type="spellStart"/>
      <w:r w:rsidRPr="00E13AC5">
        <w:rPr>
          <w:rStyle w:val="Emphasis"/>
        </w:rPr>
        <w:t>HeadtoHelp</w:t>
      </w:r>
      <w:proofErr w:type="spellEnd"/>
      <w:r w:rsidRPr="000D119D">
        <w:t xml:space="preserve"> services for a variety of reasons – with COVID-19 a primary contributing factor for around two </w:t>
      </w:r>
      <w:r>
        <w:t>thirds</w:t>
      </w:r>
      <w:r w:rsidRPr="000D119D">
        <w:t xml:space="preserve"> of </w:t>
      </w:r>
      <w:r>
        <w:t>participant</w:t>
      </w:r>
      <w:r w:rsidRPr="000D119D">
        <w:t>s and support persons.</w:t>
      </w:r>
    </w:p>
    <w:p w14:paraId="674B5A33" w14:textId="77777777" w:rsidR="00E05D10" w:rsidRPr="000D119D" w:rsidRDefault="00E05D10" w:rsidP="009B6205">
      <w:pPr>
        <w:pStyle w:val="Callout"/>
        <w:numPr>
          <w:ilvl w:val="0"/>
          <w:numId w:val="31"/>
        </w:numPr>
        <w:spacing w:before="60" w:after="60" w:line="240" w:lineRule="auto"/>
        <w:ind w:left="0" w:firstLine="0"/>
      </w:pPr>
      <w:r w:rsidRPr="000D119D">
        <w:t xml:space="preserve">Psychological therapy and clinical care co-ordination were the most common services delivered by hubs, with six in ten service contacts remote. Interestingly, data from the </w:t>
      </w:r>
      <w:r>
        <w:t>participant</w:t>
      </w:r>
      <w:r w:rsidRPr="000D119D">
        <w:t xml:space="preserve"> and support person interviews </w:t>
      </w:r>
      <w:r>
        <w:t xml:space="preserve">contradicted </w:t>
      </w:r>
      <w:r w:rsidRPr="000D119D">
        <w:t>the view often held by service providers</w:t>
      </w:r>
      <w:r>
        <w:t xml:space="preserve"> –</w:t>
      </w:r>
      <w:r w:rsidRPr="000D119D">
        <w:t> </w:t>
      </w:r>
      <w:proofErr w:type="gramStart"/>
      <w:r w:rsidRPr="000D119D">
        <w:t>that</w:t>
      </w:r>
      <w:r>
        <w:t xml:space="preserve"> </w:t>
      </w:r>
      <w:r w:rsidRPr="000D119D">
        <w:t>clients</w:t>
      </w:r>
      <w:proofErr w:type="gramEnd"/>
      <w:r w:rsidRPr="000D119D">
        <w:t xml:space="preserve"> overwhelmingly prefer </w:t>
      </w:r>
      <w:r>
        <w:t xml:space="preserve">services delivered </w:t>
      </w:r>
      <w:r w:rsidRPr="000D119D">
        <w:t>face‐to‐face.</w:t>
      </w:r>
    </w:p>
    <w:p w14:paraId="50D038AF" w14:textId="77777777" w:rsidR="00E05D10" w:rsidRPr="000D119D" w:rsidRDefault="00E05D10" w:rsidP="009B6205">
      <w:pPr>
        <w:pStyle w:val="Callout"/>
        <w:numPr>
          <w:ilvl w:val="0"/>
          <w:numId w:val="31"/>
        </w:numPr>
        <w:spacing w:before="60" w:after="60" w:line="240" w:lineRule="auto"/>
        <w:ind w:left="0" w:firstLine="0"/>
      </w:pPr>
      <w:r w:rsidRPr="000D119D">
        <w:t xml:space="preserve">Self and GP referrals are the most common pathway to </w:t>
      </w:r>
      <w:proofErr w:type="spellStart"/>
      <w:r w:rsidRPr="00E13AC5">
        <w:rPr>
          <w:rStyle w:val="Emphasis"/>
        </w:rPr>
        <w:t>HeadtoHelp</w:t>
      </w:r>
      <w:proofErr w:type="spellEnd"/>
      <w:r>
        <w:rPr>
          <w:i/>
        </w:rPr>
        <w:t xml:space="preserve"> </w:t>
      </w:r>
      <w:r w:rsidRPr="0036127D">
        <w:rPr>
          <w:iCs/>
        </w:rPr>
        <w:t>(although the self-referrals are often prompted by GP advice and information.</w:t>
      </w:r>
    </w:p>
    <w:p w14:paraId="3E6CF9DB" w14:textId="77777777" w:rsidR="00E05D10" w:rsidRPr="000D119D" w:rsidRDefault="00E05D10" w:rsidP="00E05D10">
      <w:pPr>
        <w:pStyle w:val="Callout"/>
      </w:pPr>
      <w:r w:rsidRPr="000D119D">
        <w:t xml:space="preserve">Overall, there has been appropriate fidelity to the original model, although some areas of delivery have differed from what was anticipated – </w:t>
      </w:r>
      <w:proofErr w:type="gramStart"/>
      <w:r w:rsidRPr="000D119D">
        <w:t>in particular there</w:t>
      </w:r>
      <w:proofErr w:type="gramEnd"/>
      <w:r w:rsidRPr="000D119D">
        <w:t xml:space="preserve"> has been less use of warm referrals (both in and out of the hubs) than anticipated. </w:t>
      </w:r>
      <w:r>
        <w:t>Further, l</w:t>
      </w:r>
      <w:r w:rsidRPr="007D72DD">
        <w:t>ength of episode care has increased overall</w:t>
      </w:r>
      <w:r>
        <w:t xml:space="preserve"> during service delivery</w:t>
      </w:r>
      <w:r w:rsidRPr="007D72DD">
        <w:t>, and rural and regional PHNs tend to deliver shorter episodes of care</w:t>
      </w:r>
      <w:r>
        <w:t xml:space="preserve">. </w:t>
      </w:r>
    </w:p>
    <w:p w14:paraId="75BA2950" w14:textId="77777777" w:rsidR="00E05D10" w:rsidRPr="00E05D10" w:rsidRDefault="00E05D10" w:rsidP="00E05D10">
      <w:pPr>
        <w:pStyle w:val="Callout"/>
        <w:rPr>
          <w:bCs/>
        </w:rPr>
      </w:pPr>
      <w:proofErr w:type="gramStart"/>
      <w:r w:rsidRPr="00E05D10">
        <w:rPr>
          <w:bCs/>
        </w:rPr>
        <w:t>Particular implementation</w:t>
      </w:r>
      <w:proofErr w:type="gramEnd"/>
      <w:r w:rsidRPr="00E05D10">
        <w:rPr>
          <w:bCs/>
        </w:rPr>
        <w:t xml:space="preserve"> challenges have included service promotion and communication, both with communities and other service providers, ability to attract and retain workforce, and administrative burden (though this improved over time). This highlights the importance of clear remit for integration, contracts with flexibility and certainty, and the need to both manage tension in reporting requirements, as well as build capability in the sector.</w:t>
      </w:r>
    </w:p>
    <w:p w14:paraId="4F3AD9AF" w14:textId="01CFCB57" w:rsidR="00E05D10" w:rsidRPr="00E05D10" w:rsidRDefault="00E05D10" w:rsidP="00074556">
      <w:pPr>
        <w:pStyle w:val="Callout"/>
      </w:pPr>
      <w:r w:rsidRPr="00E05D10">
        <w:t xml:space="preserve">Note – much of this section discusses activity data associated with use of the </w:t>
      </w:r>
      <w:proofErr w:type="spellStart"/>
      <w:r w:rsidRPr="00E13AC5">
        <w:rPr>
          <w:rStyle w:val="Emphasis"/>
        </w:rPr>
        <w:t>HeadtoHelp</w:t>
      </w:r>
      <w:proofErr w:type="spellEnd"/>
      <w:r w:rsidRPr="00E05D10">
        <w:t xml:space="preserve"> service. It does not imply a connection between volume of activity and </w:t>
      </w:r>
      <w:proofErr w:type="gramStart"/>
      <w:r w:rsidRPr="00E05D10">
        <w:t>quality</w:t>
      </w:r>
      <w:proofErr w:type="gramEnd"/>
      <w:r w:rsidRPr="00E05D10">
        <w:t xml:space="preserve"> or outcomes of service received. A discussion of the participant outcomes resulting from engagement with </w:t>
      </w:r>
      <w:proofErr w:type="spellStart"/>
      <w:r w:rsidRPr="00E13AC5">
        <w:rPr>
          <w:rStyle w:val="Emphasis"/>
        </w:rPr>
        <w:t>HeadtoHelp</w:t>
      </w:r>
      <w:proofErr w:type="spellEnd"/>
      <w:r w:rsidRPr="00E05D10">
        <w:t xml:space="preserve"> is included in Section </w:t>
      </w:r>
      <w:r w:rsidRPr="00E05D10">
        <w:fldChar w:fldCharType="begin"/>
      </w:r>
      <w:r w:rsidRPr="00E05D10">
        <w:instrText xml:space="preserve"> REF _Ref97022256 \r \h  \* MERGEFORMAT </w:instrText>
      </w:r>
      <w:r w:rsidRPr="00E05D10">
        <w:fldChar w:fldCharType="separate"/>
      </w:r>
      <w:r w:rsidRPr="00E05D10">
        <w:t>5.1.1</w:t>
      </w:r>
      <w:r w:rsidRPr="00E05D10">
        <w:fldChar w:fldCharType="end"/>
      </w:r>
      <w:r w:rsidRPr="00E05D10">
        <w:t>.</w:t>
      </w:r>
    </w:p>
    <w:p w14:paraId="713D49BA" w14:textId="1D619398" w:rsidR="00B75D49" w:rsidRPr="000D119D" w:rsidRDefault="00B75D49" w:rsidP="00C17B5C">
      <w:pPr>
        <w:pStyle w:val="Heading3"/>
      </w:pPr>
      <w:bookmarkStart w:id="54" w:name="_Toc99650342"/>
      <w:bookmarkEnd w:id="53"/>
      <w:r w:rsidRPr="000D119D">
        <w:lastRenderedPageBreak/>
        <w:t>Volume of service use</w:t>
      </w:r>
      <w:bookmarkEnd w:id="54"/>
    </w:p>
    <w:p w14:paraId="3378C4F3" w14:textId="4DC5B3C3" w:rsidR="00E34058" w:rsidRPr="00794CE6" w:rsidRDefault="00EB5136" w:rsidP="00BE0860">
      <w:pPr>
        <w:pStyle w:val="Heading4"/>
      </w:pPr>
      <w:r w:rsidRPr="000D119D">
        <w:t>Sinc</w:t>
      </w:r>
      <w:r w:rsidRPr="00FE22B9">
        <w:t>e program inception</w:t>
      </w:r>
      <w:r w:rsidR="0096654E" w:rsidRPr="00FE22B9">
        <w:t xml:space="preserve">, over </w:t>
      </w:r>
      <w:r w:rsidR="0037390C" w:rsidRPr="00FE22B9">
        <w:t>20,600</w:t>
      </w:r>
      <w:r w:rsidR="0096654E" w:rsidRPr="00FE22B9">
        <w:t xml:space="preserve"> people have called the 1800 number </w:t>
      </w:r>
    </w:p>
    <w:p w14:paraId="13851789" w14:textId="7DE222CC" w:rsidR="006356AF" w:rsidRDefault="007D794B" w:rsidP="008007A5">
      <w:pPr>
        <w:rPr>
          <w:lang w:val="en-AU"/>
        </w:rPr>
      </w:pPr>
      <w:r w:rsidRPr="00794CE6">
        <w:rPr>
          <w:lang w:val="en-AU"/>
        </w:rPr>
        <w:t xml:space="preserve">From </w:t>
      </w:r>
      <w:r w:rsidR="000D3A88" w:rsidRPr="00794CE6">
        <w:rPr>
          <w:lang w:val="en-AU"/>
        </w:rPr>
        <w:t>14 September</w:t>
      </w:r>
      <w:r w:rsidR="00CD5A30">
        <w:rPr>
          <w:lang w:val="en-AU"/>
        </w:rPr>
        <w:t xml:space="preserve"> 2020</w:t>
      </w:r>
      <w:r w:rsidR="000D3A88" w:rsidRPr="00794CE6">
        <w:rPr>
          <w:lang w:val="en-AU"/>
        </w:rPr>
        <w:t xml:space="preserve"> to</w:t>
      </w:r>
      <w:r w:rsidRPr="00794CE6">
        <w:rPr>
          <w:lang w:val="en-AU"/>
        </w:rPr>
        <w:t xml:space="preserve"> </w:t>
      </w:r>
      <w:r w:rsidR="006A2E7A" w:rsidRPr="00794CE6">
        <w:rPr>
          <w:lang w:val="en-AU"/>
        </w:rPr>
        <w:t>28</w:t>
      </w:r>
      <w:r w:rsidR="001A0443" w:rsidRPr="00794CE6">
        <w:rPr>
          <w:lang w:val="en-AU"/>
        </w:rPr>
        <w:t xml:space="preserve"> </w:t>
      </w:r>
      <w:r w:rsidR="006A2E7A" w:rsidRPr="00794CE6">
        <w:rPr>
          <w:lang w:val="en-AU"/>
        </w:rPr>
        <w:t xml:space="preserve">February </w:t>
      </w:r>
      <w:r w:rsidR="001A0443" w:rsidRPr="00794CE6">
        <w:rPr>
          <w:lang w:val="en-AU"/>
        </w:rPr>
        <w:t>202</w:t>
      </w:r>
      <w:r w:rsidR="006A2E7A" w:rsidRPr="00794CE6">
        <w:rPr>
          <w:lang w:val="en-AU"/>
        </w:rPr>
        <w:t>2</w:t>
      </w:r>
      <w:r w:rsidR="001A0443" w:rsidRPr="00794CE6">
        <w:rPr>
          <w:lang w:val="en-AU"/>
        </w:rPr>
        <w:t>,</w:t>
      </w:r>
      <w:r w:rsidR="006A2E7A" w:rsidRPr="00794CE6">
        <w:rPr>
          <w:lang w:val="en-AU"/>
        </w:rPr>
        <w:t xml:space="preserve"> 20,641</w:t>
      </w:r>
      <w:r w:rsidR="003D5C4F" w:rsidRPr="00794CE6">
        <w:rPr>
          <w:lang w:val="en-AU"/>
        </w:rPr>
        <w:t xml:space="preserve"> </w:t>
      </w:r>
      <w:r w:rsidR="00755595" w:rsidRPr="00794CE6">
        <w:rPr>
          <w:lang w:val="en-AU"/>
        </w:rPr>
        <w:t xml:space="preserve">calls </w:t>
      </w:r>
      <w:r w:rsidR="006A2E7A" w:rsidRPr="00794CE6">
        <w:rPr>
          <w:lang w:val="en-AU"/>
        </w:rPr>
        <w:t>were</w:t>
      </w:r>
      <w:r w:rsidR="00755595" w:rsidRPr="00794CE6">
        <w:rPr>
          <w:lang w:val="en-AU"/>
        </w:rPr>
        <w:t xml:space="preserve"> made by </w:t>
      </w:r>
      <w:r w:rsidR="00F40845" w:rsidRPr="00794CE6">
        <w:rPr>
          <w:lang w:val="en-AU"/>
        </w:rPr>
        <w:t>participants</w:t>
      </w:r>
      <w:r w:rsidR="00E54A24" w:rsidRPr="00794CE6">
        <w:rPr>
          <w:lang w:val="en-AU"/>
        </w:rPr>
        <w:t xml:space="preserve"> and </w:t>
      </w:r>
      <w:r w:rsidR="005925AA" w:rsidRPr="00794CE6">
        <w:rPr>
          <w:lang w:val="en-AU"/>
        </w:rPr>
        <w:t>support people</w:t>
      </w:r>
      <w:r w:rsidR="003D5C4F" w:rsidRPr="00794CE6">
        <w:rPr>
          <w:lang w:val="en-AU"/>
        </w:rPr>
        <w:t xml:space="preserve"> </w:t>
      </w:r>
      <w:r w:rsidR="00755595" w:rsidRPr="00794CE6">
        <w:rPr>
          <w:lang w:val="en-AU"/>
        </w:rPr>
        <w:t>to</w:t>
      </w:r>
      <w:r w:rsidR="003D5C4F" w:rsidRPr="00794CE6">
        <w:rPr>
          <w:lang w:val="en-AU"/>
        </w:rPr>
        <w:t xml:space="preserve"> the </w:t>
      </w:r>
      <w:r w:rsidR="0096654E" w:rsidRPr="00794CE6">
        <w:rPr>
          <w:lang w:val="en-AU"/>
        </w:rPr>
        <w:t xml:space="preserve">1800 </w:t>
      </w:r>
      <w:r w:rsidR="00755595" w:rsidRPr="00794CE6">
        <w:rPr>
          <w:lang w:val="en-AU"/>
        </w:rPr>
        <w:t>intake telephone line</w:t>
      </w:r>
      <w:r w:rsidR="00217A60" w:rsidRPr="00794CE6">
        <w:rPr>
          <w:lang w:val="en-AU"/>
        </w:rPr>
        <w:t xml:space="preserve"> (see </w:t>
      </w:r>
      <w:r w:rsidR="00A01D7E" w:rsidRPr="00794CE6">
        <w:rPr>
          <w:lang w:val="en-AU"/>
        </w:rPr>
        <w:fldChar w:fldCharType="begin"/>
      </w:r>
      <w:r w:rsidR="00A01D7E" w:rsidRPr="00794CE6">
        <w:rPr>
          <w:lang w:val="en-AU"/>
        </w:rPr>
        <w:instrText xml:space="preserve"> REF _Ref97022369 \h </w:instrText>
      </w:r>
      <w:r w:rsidR="00794CE6">
        <w:rPr>
          <w:lang w:val="en-AU"/>
        </w:rPr>
        <w:instrText xml:space="preserve"> \* MERGEFORMAT </w:instrText>
      </w:r>
      <w:r w:rsidR="00A01D7E" w:rsidRPr="00794CE6">
        <w:rPr>
          <w:lang w:val="en-AU"/>
        </w:rPr>
      </w:r>
      <w:r w:rsidR="00A01D7E" w:rsidRPr="00794CE6">
        <w:rPr>
          <w:lang w:val="en-AU"/>
        </w:rPr>
        <w:fldChar w:fldCharType="separate"/>
      </w:r>
      <w:r w:rsidR="00562174" w:rsidRPr="00FE22B9">
        <w:t xml:space="preserve">Figure </w:t>
      </w:r>
      <w:r w:rsidR="00562174">
        <w:rPr>
          <w:noProof/>
        </w:rPr>
        <w:t>11</w:t>
      </w:r>
      <w:r w:rsidR="00A01D7E" w:rsidRPr="00794CE6">
        <w:rPr>
          <w:lang w:val="en-AU"/>
        </w:rPr>
        <w:fldChar w:fldCharType="end"/>
      </w:r>
      <w:r w:rsidR="00F14993" w:rsidRPr="00794CE6">
        <w:rPr>
          <w:lang w:val="en-AU"/>
        </w:rPr>
        <w:t>).</w:t>
      </w:r>
      <w:r w:rsidR="00831F35" w:rsidRPr="00794CE6">
        <w:rPr>
          <w:lang w:val="en-AU"/>
        </w:rPr>
        <w:t xml:space="preserve"> Over </w:t>
      </w:r>
      <w:r w:rsidR="00380793" w:rsidRPr="00794CE6">
        <w:rPr>
          <w:lang w:val="en-AU"/>
        </w:rPr>
        <w:t>76</w:t>
      </w:r>
      <w:r w:rsidR="00CB2DAE" w:rsidRPr="00794CE6">
        <w:rPr>
          <w:lang w:val="en-AU"/>
        </w:rPr>
        <w:t xml:space="preserve"> weeks, this amounts to an average of approximately </w:t>
      </w:r>
      <w:r w:rsidR="00380793" w:rsidRPr="00794CE6">
        <w:rPr>
          <w:lang w:val="en-AU"/>
        </w:rPr>
        <w:t>272</w:t>
      </w:r>
      <w:r w:rsidR="00C96875" w:rsidRPr="00794CE6">
        <w:rPr>
          <w:lang w:val="en-AU"/>
        </w:rPr>
        <w:t xml:space="preserve"> calls per week</w:t>
      </w:r>
      <w:r w:rsidR="009120B9">
        <w:rPr>
          <w:lang w:val="en-AU"/>
        </w:rPr>
        <w:t xml:space="preserve">, virtually unchanged from the </w:t>
      </w:r>
      <w:r w:rsidR="002548CE">
        <w:rPr>
          <w:lang w:val="en-AU"/>
        </w:rPr>
        <w:t>26</w:t>
      </w:r>
      <w:r w:rsidR="00A424FE">
        <w:rPr>
          <w:lang w:val="en-AU"/>
        </w:rPr>
        <w:t>7</w:t>
      </w:r>
      <w:r w:rsidR="00AE36E8">
        <w:rPr>
          <w:lang w:val="en-AU"/>
        </w:rPr>
        <w:t xml:space="preserve"> calls per week identified</w:t>
      </w:r>
      <w:r w:rsidR="00380793" w:rsidRPr="00794CE6">
        <w:rPr>
          <w:lang w:val="en-AU"/>
        </w:rPr>
        <w:t xml:space="preserve"> in the Interim Evaluation report.</w:t>
      </w:r>
      <w:r w:rsidR="00131E74" w:rsidRPr="00794CE6">
        <w:rPr>
          <w:lang w:val="en-AU"/>
        </w:rPr>
        <w:t xml:space="preserve"> The call data varies considerably each month</w:t>
      </w:r>
      <w:r w:rsidR="006356AF">
        <w:rPr>
          <w:lang w:val="en-AU"/>
        </w:rPr>
        <w:t xml:space="preserve"> and is difficult to draw firm conclusions from</w:t>
      </w:r>
      <w:r w:rsidR="00553ABD">
        <w:rPr>
          <w:lang w:val="en-AU"/>
        </w:rPr>
        <w:t>. Key points to note are:</w:t>
      </w:r>
    </w:p>
    <w:p w14:paraId="6F232EC2" w14:textId="680E0176" w:rsidR="00EE49B8" w:rsidRDefault="00CC2802" w:rsidP="00E457E2">
      <w:pPr>
        <w:pStyle w:val="ListBullet"/>
      </w:pPr>
      <w:r>
        <w:t xml:space="preserve">After relatively low call numbers </w:t>
      </w:r>
      <w:r w:rsidR="003F39DD">
        <w:t>for the first few months of operation, all PHNs experienced rapid growth in calls in the first half of 2021</w:t>
      </w:r>
      <w:r w:rsidR="00A65246">
        <w:t xml:space="preserve">. The significant growth in GPHN over this </w:t>
      </w:r>
      <w:proofErr w:type="gramStart"/>
      <w:r w:rsidR="00A65246">
        <w:t>time period</w:t>
      </w:r>
      <w:proofErr w:type="gramEnd"/>
      <w:r w:rsidR="00A65246">
        <w:t xml:space="preserve"> likely reflects capacity expansion </w:t>
      </w:r>
      <w:r w:rsidR="00B75743">
        <w:t xml:space="preserve">of </w:t>
      </w:r>
      <w:r w:rsidR="00200163">
        <w:t>three</w:t>
      </w:r>
      <w:r w:rsidR="00A65246" w:rsidRPr="00794CE6">
        <w:t xml:space="preserve"> additional satellites on 11 January 2021</w:t>
      </w:r>
      <w:r w:rsidR="00B75743">
        <w:t>.</w:t>
      </w:r>
    </w:p>
    <w:p w14:paraId="35D29A08" w14:textId="51E36CD1" w:rsidR="00CC2802" w:rsidRDefault="00EE49B8" w:rsidP="00E457E2">
      <w:pPr>
        <w:pStyle w:val="ListBullet"/>
      </w:pPr>
      <w:r>
        <w:t xml:space="preserve">Most PHNs experienced a gradual decline in average number of calls after reaching a peak a few weeks after the June 2021 lockdown. </w:t>
      </w:r>
      <w:r w:rsidR="00CC2802">
        <w:t xml:space="preserve">Interestingly SEMPHN hit their peak earlier than other PHNs, in April 2021. </w:t>
      </w:r>
    </w:p>
    <w:p w14:paraId="0506E460" w14:textId="16D56DED" w:rsidR="00EE49B8" w:rsidRDefault="00EE49B8" w:rsidP="00E457E2">
      <w:pPr>
        <w:pStyle w:val="ListBullet"/>
      </w:pPr>
      <w:r>
        <w:t>GPHN</w:t>
      </w:r>
      <w:r w:rsidR="00CD1343">
        <w:t>,</w:t>
      </w:r>
      <w:r>
        <w:t xml:space="preserve"> EMPHN</w:t>
      </w:r>
      <w:r w:rsidR="00CD1343">
        <w:t>, WVPHN and NWMPHN</w:t>
      </w:r>
      <w:r>
        <w:t xml:space="preserve"> experienced subsequent call peaks </w:t>
      </w:r>
      <w:r w:rsidR="001863AD">
        <w:t xml:space="preserve">in the weeks </w:t>
      </w:r>
      <w:r w:rsidR="00017A38">
        <w:t xml:space="preserve">just </w:t>
      </w:r>
      <w:r w:rsidR="001863AD">
        <w:t>before</w:t>
      </w:r>
      <w:r>
        <w:t xml:space="preserve"> the August 2021 lockdown.</w:t>
      </w:r>
    </w:p>
    <w:p w14:paraId="5DB388D1" w14:textId="77777777" w:rsidR="00B75743" w:rsidRDefault="00B75743" w:rsidP="00E457E2">
      <w:pPr>
        <w:pStyle w:val="ListBullet"/>
      </w:pPr>
      <w:r w:rsidRPr="00B75743">
        <w:t>As is commonly experienced across mental health services in late December</w:t>
      </w:r>
      <w:r>
        <w:t xml:space="preserve"> 2021</w:t>
      </w:r>
      <w:r w:rsidRPr="00B75743">
        <w:t>/early January</w:t>
      </w:r>
      <w:r>
        <w:t xml:space="preserve"> 2022</w:t>
      </w:r>
      <w:r w:rsidRPr="00B75743">
        <w:t xml:space="preserve">, call volumes fell substantially. However, average weekly call volumes began to increase in late January, with most PHNs returning to similar call levels as experienced prior to the Christmas/New Year period. </w:t>
      </w:r>
    </w:p>
    <w:p w14:paraId="3B285DBE" w14:textId="7352CDFE" w:rsidR="00742EF1" w:rsidRPr="00B75743" w:rsidRDefault="001D0EA8" w:rsidP="00E457E2">
      <w:pPr>
        <w:pStyle w:val="ListBullet"/>
      </w:pPr>
      <w:r w:rsidRPr="00B75743">
        <w:t xml:space="preserve">NWMPHN and WVPHN continue to have the highest number of 1800 calls in by </w:t>
      </w:r>
      <w:r w:rsidR="00F40845" w:rsidRPr="00B75743">
        <w:t>participants</w:t>
      </w:r>
      <w:r w:rsidRPr="00B75743">
        <w:t xml:space="preserve"> and </w:t>
      </w:r>
      <w:r w:rsidR="005925AA" w:rsidRPr="00B75743">
        <w:t>support people</w:t>
      </w:r>
      <w:r w:rsidR="007C5BB4" w:rsidRPr="00B75743">
        <w:t xml:space="preserve"> through September 202</w:t>
      </w:r>
      <w:r w:rsidR="00051EE6" w:rsidRPr="00B75743">
        <w:t>0</w:t>
      </w:r>
      <w:r w:rsidR="007C5BB4" w:rsidRPr="00B75743">
        <w:t xml:space="preserve"> to February 2022</w:t>
      </w:r>
      <w:r w:rsidRPr="00B75743">
        <w:t xml:space="preserve">. However, this is unsurprising given that this is a combined intake service for two catchments. </w:t>
      </w:r>
      <w:r w:rsidR="004A2051">
        <w:t>Call volume for each of the two PHNs is broadly comparable to other PHNs.</w:t>
      </w:r>
    </w:p>
    <w:p w14:paraId="16A11619" w14:textId="3A8C8EF4" w:rsidR="00A37494" w:rsidRPr="00794CE6" w:rsidRDefault="00E34058" w:rsidP="00A37494">
      <w:pPr>
        <w:pStyle w:val="Caption"/>
      </w:pPr>
      <w:bookmarkStart w:id="55" w:name="_Ref97022339"/>
      <w:r w:rsidRPr="00794CE6">
        <w:t xml:space="preserve">Figure </w:t>
      </w:r>
      <w:r w:rsidR="00C90990" w:rsidRPr="00794CE6">
        <w:fldChar w:fldCharType="begin"/>
      </w:r>
      <w:r w:rsidR="00C90990" w:rsidRPr="00794CE6">
        <w:instrText xml:space="preserve"> SEQ Figure \* ARABIC </w:instrText>
      </w:r>
      <w:r w:rsidR="00C90990" w:rsidRPr="00794CE6">
        <w:fldChar w:fldCharType="separate"/>
      </w:r>
      <w:r w:rsidR="00562174">
        <w:rPr>
          <w:noProof/>
        </w:rPr>
        <w:t>10</w:t>
      </w:r>
      <w:r w:rsidR="00C90990" w:rsidRPr="00794CE6">
        <w:fldChar w:fldCharType="end"/>
      </w:r>
      <w:bookmarkEnd w:id="55"/>
      <w:r w:rsidR="00A37494" w:rsidRPr="00794CE6">
        <w:t xml:space="preserve"> | Average number of 1800 calls by PHN per week</w:t>
      </w:r>
      <w:r w:rsidR="0037390C" w:rsidRPr="00794CE6">
        <w:t xml:space="preserve"> from 9 September 2020 to 28 February 2022</w:t>
      </w:r>
    </w:p>
    <w:p w14:paraId="3CD968EA" w14:textId="41A58B2E" w:rsidR="00A37494" w:rsidRPr="009F1CB7" w:rsidRDefault="00C05AF9" w:rsidP="009F1CB7">
      <w:r w:rsidRPr="00C05AF9">
        <w:rPr>
          <w:noProof/>
        </w:rPr>
        <w:drawing>
          <wp:inline distT="0" distB="0" distL="0" distR="0" wp14:anchorId="004E3B78" wp14:editId="217285BC">
            <wp:extent cx="5670550" cy="3665855"/>
            <wp:effectExtent l="0" t="0" r="6350" b="0"/>
            <wp:docPr id="14" name="Picture 14" descr="Figure 10 is a line graph showing the average number of 1800 calls by PHN per week from 9 September 2020 to 28 Februar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0 is a line graph showing the average number of 1800 calls by PHN per week from 9 September 2020 to 28 February 20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70550" cy="3665855"/>
                    </a:xfrm>
                    <a:prstGeom prst="rect">
                      <a:avLst/>
                    </a:prstGeom>
                    <a:noFill/>
                    <a:ln>
                      <a:noFill/>
                    </a:ln>
                  </pic:spPr>
                </pic:pic>
              </a:graphicData>
            </a:graphic>
          </wp:inline>
        </w:drawing>
      </w:r>
    </w:p>
    <w:p w14:paraId="7B9ABCCF" w14:textId="6F56D585" w:rsidR="00FE31E8" w:rsidRPr="00794CE6" w:rsidRDefault="00FE31E8" w:rsidP="008007A5">
      <w:pPr>
        <w:rPr>
          <w:lang w:val="en-AU"/>
        </w:rPr>
      </w:pPr>
      <w:r w:rsidRPr="00794CE6">
        <w:rPr>
          <w:lang w:val="en-AU"/>
        </w:rPr>
        <w:lastRenderedPageBreak/>
        <w:t>The evaluation is unable to determine whether there is a definitive correlation between Victorian COVID-19 lockdowns and the average number of 1800 calls by PHN per week.</w:t>
      </w:r>
      <w:r w:rsidR="00663F6D" w:rsidRPr="00794CE6">
        <w:rPr>
          <w:lang w:val="en-AU"/>
        </w:rPr>
        <w:t xml:space="preserve"> </w:t>
      </w:r>
      <w:r w:rsidR="00DD301A" w:rsidRPr="00794CE6">
        <w:rPr>
          <w:lang w:val="en-AU"/>
        </w:rPr>
        <w:fldChar w:fldCharType="begin"/>
      </w:r>
      <w:r w:rsidR="00DD301A" w:rsidRPr="00794CE6">
        <w:rPr>
          <w:lang w:val="en-AU"/>
        </w:rPr>
        <w:instrText xml:space="preserve"> REF _Ref97022339 \h </w:instrText>
      </w:r>
      <w:r w:rsidR="00794CE6">
        <w:rPr>
          <w:lang w:val="en-AU"/>
        </w:rPr>
        <w:instrText xml:space="preserve"> \* MERGEFORMAT </w:instrText>
      </w:r>
      <w:r w:rsidR="00DD301A" w:rsidRPr="00794CE6">
        <w:rPr>
          <w:lang w:val="en-AU"/>
        </w:rPr>
      </w:r>
      <w:r w:rsidR="00DD301A" w:rsidRPr="00794CE6">
        <w:rPr>
          <w:lang w:val="en-AU"/>
        </w:rPr>
        <w:fldChar w:fldCharType="separate"/>
      </w:r>
      <w:r w:rsidR="00562174" w:rsidRPr="00794CE6">
        <w:t xml:space="preserve">Figure </w:t>
      </w:r>
      <w:r w:rsidR="00562174">
        <w:rPr>
          <w:noProof/>
        </w:rPr>
        <w:t>10</w:t>
      </w:r>
      <w:r w:rsidR="00DD301A" w:rsidRPr="00794CE6">
        <w:rPr>
          <w:lang w:val="en-AU"/>
        </w:rPr>
        <w:fldChar w:fldCharType="end"/>
      </w:r>
      <w:r w:rsidR="005D3ABF" w:rsidRPr="00794CE6">
        <w:rPr>
          <w:lang w:val="en-AU"/>
        </w:rPr>
        <w:t xml:space="preserve"> </w:t>
      </w:r>
      <w:r w:rsidR="00663F6D" w:rsidRPr="00794CE6">
        <w:rPr>
          <w:lang w:val="en-AU"/>
        </w:rPr>
        <w:t>shows an increase in calls made one to three weeks following a Victorian lockdown</w:t>
      </w:r>
      <w:r w:rsidR="006641B2">
        <w:rPr>
          <w:lang w:val="en-AU"/>
        </w:rPr>
        <w:t xml:space="preserve"> (</w:t>
      </w:r>
      <w:proofErr w:type="gramStart"/>
      <w:r w:rsidR="006641B2">
        <w:rPr>
          <w:lang w:val="en-AU"/>
        </w:rPr>
        <w:t>with the exception of</w:t>
      </w:r>
      <w:proofErr w:type="gramEnd"/>
      <w:r w:rsidR="006641B2">
        <w:rPr>
          <w:lang w:val="en-AU"/>
        </w:rPr>
        <w:t xml:space="preserve"> the </w:t>
      </w:r>
      <w:r w:rsidR="00B85C31">
        <w:rPr>
          <w:lang w:val="en-AU"/>
        </w:rPr>
        <w:t>August 2021</w:t>
      </w:r>
      <w:r w:rsidR="002F46CC">
        <w:rPr>
          <w:lang w:val="en-AU"/>
        </w:rPr>
        <w:t xml:space="preserve"> to </w:t>
      </w:r>
      <w:r w:rsidR="00B85C31">
        <w:rPr>
          <w:lang w:val="en-AU"/>
        </w:rPr>
        <w:t>October</w:t>
      </w:r>
      <w:r w:rsidR="00663F6D" w:rsidRPr="00794CE6">
        <w:rPr>
          <w:lang w:val="en-AU"/>
        </w:rPr>
        <w:t xml:space="preserve"> </w:t>
      </w:r>
      <w:r w:rsidR="002F46CC">
        <w:rPr>
          <w:lang w:val="en-AU"/>
        </w:rPr>
        <w:t>2021</w:t>
      </w:r>
      <w:r w:rsidR="00663F6D" w:rsidRPr="00794CE6">
        <w:rPr>
          <w:lang w:val="en-AU"/>
        </w:rPr>
        <w:t xml:space="preserve"> </w:t>
      </w:r>
      <w:r w:rsidR="00B85C31">
        <w:rPr>
          <w:lang w:val="en-AU"/>
        </w:rPr>
        <w:t>lockdown</w:t>
      </w:r>
      <w:r w:rsidR="00D32DBB">
        <w:rPr>
          <w:lang w:val="en-AU"/>
        </w:rPr>
        <w:t xml:space="preserve"> which experiences peaks throughout – likely given its duration</w:t>
      </w:r>
      <w:r w:rsidR="0076417E">
        <w:rPr>
          <w:lang w:val="en-AU"/>
        </w:rPr>
        <w:t>)</w:t>
      </w:r>
      <w:r w:rsidR="00D32DBB">
        <w:rPr>
          <w:lang w:val="en-AU"/>
        </w:rPr>
        <w:t xml:space="preserve">. </w:t>
      </w:r>
      <w:r w:rsidR="00997347">
        <w:rPr>
          <w:lang w:val="en-AU"/>
        </w:rPr>
        <w:t xml:space="preserve">There are also </w:t>
      </w:r>
      <w:proofErr w:type="gramStart"/>
      <w:r w:rsidR="00997347">
        <w:rPr>
          <w:lang w:val="en-AU"/>
        </w:rPr>
        <w:t>a number of</w:t>
      </w:r>
      <w:proofErr w:type="gramEnd"/>
      <w:r w:rsidR="00997347">
        <w:rPr>
          <w:lang w:val="en-AU"/>
        </w:rPr>
        <w:t xml:space="preserve"> other reasons that call volume may have dropped in some PHNs in the second half of 2021 – including that </w:t>
      </w:r>
      <w:r w:rsidR="00A713DD">
        <w:rPr>
          <w:lang w:val="en-AU"/>
        </w:rPr>
        <w:t xml:space="preserve">as capacity for new clients in </w:t>
      </w:r>
      <w:proofErr w:type="spellStart"/>
      <w:r w:rsidR="00A713DD" w:rsidRPr="003449C5">
        <w:rPr>
          <w:rStyle w:val="Emphasis"/>
        </w:rPr>
        <w:t>HeadtoHelp</w:t>
      </w:r>
      <w:proofErr w:type="spellEnd"/>
      <w:r w:rsidR="00A713DD">
        <w:rPr>
          <w:lang w:val="en-AU"/>
        </w:rPr>
        <w:t xml:space="preserve"> decreased, </w:t>
      </w:r>
      <w:r w:rsidR="00CC626A">
        <w:rPr>
          <w:lang w:val="en-AU"/>
        </w:rPr>
        <w:t xml:space="preserve">other service providers (in particular GPs) may have stopped </w:t>
      </w:r>
      <w:r w:rsidR="00A713DD">
        <w:rPr>
          <w:lang w:val="en-AU"/>
        </w:rPr>
        <w:t xml:space="preserve">advising </w:t>
      </w:r>
      <w:r w:rsidR="001A1E44">
        <w:rPr>
          <w:lang w:val="en-AU"/>
        </w:rPr>
        <w:t>individuals to call the 1800 number</w:t>
      </w:r>
      <w:r w:rsidR="00EB5993">
        <w:rPr>
          <w:lang w:val="en-AU"/>
        </w:rPr>
        <w:t xml:space="preserve">. </w:t>
      </w:r>
      <w:r w:rsidR="00251511">
        <w:rPr>
          <w:lang w:val="en-AU"/>
        </w:rPr>
        <w:t>In addition, it appears</w:t>
      </w:r>
      <w:r w:rsidR="001A1E44">
        <w:rPr>
          <w:lang w:val="en-AU"/>
        </w:rPr>
        <w:t xml:space="preserve"> that </w:t>
      </w:r>
      <w:proofErr w:type="spellStart"/>
      <w:r w:rsidR="001A1E44" w:rsidRPr="003449C5">
        <w:rPr>
          <w:rStyle w:val="Emphasis"/>
        </w:rPr>
        <w:t>HeadtoHelp</w:t>
      </w:r>
      <w:proofErr w:type="spellEnd"/>
      <w:r w:rsidR="001A1E44">
        <w:rPr>
          <w:lang w:val="en-AU"/>
        </w:rPr>
        <w:t xml:space="preserve"> advertising deceased over this period</w:t>
      </w:r>
      <w:r w:rsidR="00BA1C9E">
        <w:rPr>
          <w:lang w:val="en-AU"/>
        </w:rPr>
        <w:t xml:space="preserve"> (both due to reduced funding and emphasis on advertising after the initial service launch</w:t>
      </w:r>
      <w:r w:rsidR="00251511">
        <w:rPr>
          <w:lang w:val="en-AU"/>
        </w:rPr>
        <w:t>)</w:t>
      </w:r>
      <w:r w:rsidR="00BA1C9E">
        <w:rPr>
          <w:lang w:val="en-AU"/>
        </w:rPr>
        <w:t>, and because some hubs made a deliberate decision to</w:t>
      </w:r>
      <w:r w:rsidR="0022312E">
        <w:rPr>
          <w:lang w:val="en-AU"/>
        </w:rPr>
        <w:t xml:space="preserve"> stop advertising as they could not handle the demand.</w:t>
      </w:r>
    </w:p>
    <w:p w14:paraId="1ADC2121" w14:textId="1F016361" w:rsidR="00D32DBB" w:rsidRDefault="00626BD1" w:rsidP="00BE0860">
      <w:pPr>
        <w:pStyle w:val="Heading4"/>
      </w:pPr>
      <w:r w:rsidRPr="00794CE6">
        <w:t>Approximately h</w:t>
      </w:r>
      <w:r w:rsidR="00C65146" w:rsidRPr="00794CE6">
        <w:t xml:space="preserve">alf of the </w:t>
      </w:r>
      <w:r w:rsidR="00C80393" w:rsidRPr="00794CE6">
        <w:t>calls resulted in a</w:t>
      </w:r>
      <w:r w:rsidR="00114A2C" w:rsidRPr="00794CE6">
        <w:t xml:space="preserve"> completed IAR</w:t>
      </w:r>
    </w:p>
    <w:p w14:paraId="7A4A4F4D" w14:textId="37751BF5" w:rsidR="0096654E" w:rsidRDefault="000D7015" w:rsidP="00F14993">
      <w:pPr>
        <w:rPr>
          <w:lang w:val="en-AU"/>
        </w:rPr>
      </w:pPr>
      <w:r w:rsidRPr="00794CE6">
        <w:rPr>
          <w:lang w:val="en-AU"/>
        </w:rPr>
        <w:t xml:space="preserve">For </w:t>
      </w:r>
      <w:r w:rsidR="00F40845" w:rsidRPr="00794CE6">
        <w:rPr>
          <w:lang w:val="en-AU"/>
        </w:rPr>
        <w:t>participants</w:t>
      </w:r>
      <w:r w:rsidRPr="00794CE6">
        <w:rPr>
          <w:lang w:val="en-AU"/>
        </w:rPr>
        <w:t xml:space="preserve"> who completed an IAR, </w:t>
      </w:r>
      <w:r w:rsidR="00BC5AEC" w:rsidRPr="00794CE6">
        <w:rPr>
          <w:lang w:val="en-AU"/>
        </w:rPr>
        <w:t>8</w:t>
      </w:r>
      <w:r w:rsidR="006C47C1" w:rsidRPr="00794CE6">
        <w:rPr>
          <w:lang w:val="en-AU"/>
        </w:rPr>
        <w:t>7</w:t>
      </w:r>
      <w:r w:rsidR="00A005B7" w:rsidRPr="00794CE6">
        <w:rPr>
          <w:lang w:val="en-AU"/>
        </w:rPr>
        <w:t xml:space="preserve"> per cent</w:t>
      </w:r>
      <w:r w:rsidR="00BC5AEC" w:rsidRPr="00794CE6">
        <w:rPr>
          <w:lang w:val="en-AU"/>
        </w:rPr>
        <w:t xml:space="preserve"> of </w:t>
      </w:r>
      <w:r w:rsidR="00F40845" w:rsidRPr="00794CE6">
        <w:rPr>
          <w:lang w:val="en-AU"/>
        </w:rPr>
        <w:t>participants</w:t>
      </w:r>
      <w:r w:rsidR="00E54A24" w:rsidRPr="00794CE6">
        <w:rPr>
          <w:lang w:val="en-AU"/>
        </w:rPr>
        <w:t xml:space="preserve"> and </w:t>
      </w:r>
      <w:r w:rsidR="005925AA" w:rsidRPr="00794CE6">
        <w:rPr>
          <w:lang w:val="en-AU"/>
        </w:rPr>
        <w:t>support people</w:t>
      </w:r>
      <w:r w:rsidR="00E54A24" w:rsidRPr="00794CE6">
        <w:rPr>
          <w:lang w:val="en-AU"/>
        </w:rPr>
        <w:t xml:space="preserve"> </w:t>
      </w:r>
      <w:r w:rsidR="00BC5AEC" w:rsidRPr="00794CE6">
        <w:rPr>
          <w:lang w:val="en-AU"/>
        </w:rPr>
        <w:t xml:space="preserve">are referred to the </w:t>
      </w:r>
      <w:r w:rsidR="00022267" w:rsidRPr="00794CE6">
        <w:rPr>
          <w:lang w:val="en-AU"/>
        </w:rPr>
        <w:t>h</w:t>
      </w:r>
      <w:r w:rsidR="003D5C4F" w:rsidRPr="00794CE6">
        <w:rPr>
          <w:lang w:val="en-AU"/>
        </w:rPr>
        <w:t>ub</w:t>
      </w:r>
      <w:r w:rsidR="00E74E12" w:rsidRPr="00794CE6">
        <w:rPr>
          <w:lang w:val="en-AU"/>
        </w:rPr>
        <w:t xml:space="preserve">, </w:t>
      </w:r>
      <w:r w:rsidR="00AA681D" w:rsidRPr="00794CE6">
        <w:rPr>
          <w:lang w:val="en-AU"/>
        </w:rPr>
        <w:t>whereas</w:t>
      </w:r>
      <w:r w:rsidR="00E74E12" w:rsidRPr="00794CE6">
        <w:rPr>
          <w:lang w:val="en-AU"/>
        </w:rPr>
        <w:t xml:space="preserve"> </w:t>
      </w:r>
      <w:r w:rsidR="006C03D3" w:rsidRPr="00794CE6">
        <w:rPr>
          <w:lang w:val="en-AU"/>
        </w:rPr>
        <w:t>1</w:t>
      </w:r>
      <w:r w:rsidR="00B151A7" w:rsidRPr="00794CE6">
        <w:rPr>
          <w:lang w:val="en-AU"/>
        </w:rPr>
        <w:t>2</w:t>
      </w:r>
      <w:r w:rsidR="00A005B7" w:rsidRPr="00794CE6">
        <w:rPr>
          <w:lang w:val="en-AU"/>
        </w:rPr>
        <w:t xml:space="preserve"> per cent</w:t>
      </w:r>
      <w:r w:rsidR="006C03D3" w:rsidRPr="00794CE6">
        <w:rPr>
          <w:lang w:val="en-AU"/>
        </w:rPr>
        <w:t xml:space="preserve"> </w:t>
      </w:r>
      <w:r w:rsidR="00564605" w:rsidRPr="00794CE6">
        <w:rPr>
          <w:lang w:val="en-AU"/>
        </w:rPr>
        <w:t xml:space="preserve">are referred to </w:t>
      </w:r>
      <w:r w:rsidR="00B032BD" w:rsidRPr="00794CE6">
        <w:rPr>
          <w:lang w:val="en-AU"/>
        </w:rPr>
        <w:t xml:space="preserve">PHN funded or other services and </w:t>
      </w:r>
      <w:r w:rsidR="00A005B7" w:rsidRPr="00794CE6">
        <w:rPr>
          <w:lang w:val="en-AU"/>
        </w:rPr>
        <w:t>one per cent</w:t>
      </w:r>
      <w:r w:rsidR="006570B7" w:rsidRPr="00794CE6">
        <w:rPr>
          <w:lang w:val="en-AU"/>
        </w:rPr>
        <w:t xml:space="preserve"> are referred to </w:t>
      </w:r>
      <w:r w:rsidR="00F94933" w:rsidRPr="00794CE6">
        <w:rPr>
          <w:lang w:val="en-AU"/>
        </w:rPr>
        <w:t xml:space="preserve">a local AMHS, </w:t>
      </w:r>
      <w:r w:rsidR="00FF2F5F" w:rsidRPr="00794CE6">
        <w:rPr>
          <w:lang w:val="en-AU"/>
        </w:rPr>
        <w:t>ED</w:t>
      </w:r>
      <w:r w:rsidR="00F94933" w:rsidRPr="00794CE6">
        <w:rPr>
          <w:lang w:val="en-AU"/>
        </w:rPr>
        <w:t xml:space="preserve"> or triple zero</w:t>
      </w:r>
      <w:r w:rsidR="00B110E3" w:rsidRPr="00794CE6">
        <w:rPr>
          <w:lang w:val="en-AU"/>
        </w:rPr>
        <w:t xml:space="preserve"> (see </w:t>
      </w:r>
      <w:r w:rsidR="005D3ABF" w:rsidRPr="00794CE6">
        <w:rPr>
          <w:lang w:val="en-AU"/>
        </w:rPr>
        <w:fldChar w:fldCharType="begin"/>
      </w:r>
      <w:r w:rsidR="005D3ABF" w:rsidRPr="00794CE6">
        <w:rPr>
          <w:lang w:val="en-AU"/>
        </w:rPr>
        <w:instrText xml:space="preserve"> REF _Ref97022369 \h </w:instrText>
      </w:r>
      <w:r w:rsidR="00794CE6">
        <w:rPr>
          <w:lang w:val="en-AU"/>
        </w:rPr>
        <w:instrText xml:space="preserve"> \* MERGEFORMAT </w:instrText>
      </w:r>
      <w:r w:rsidR="005D3ABF" w:rsidRPr="00794CE6">
        <w:rPr>
          <w:lang w:val="en-AU"/>
        </w:rPr>
      </w:r>
      <w:r w:rsidR="005D3ABF" w:rsidRPr="00794CE6">
        <w:rPr>
          <w:lang w:val="en-AU"/>
        </w:rPr>
        <w:fldChar w:fldCharType="separate"/>
      </w:r>
      <w:r w:rsidR="00562174" w:rsidRPr="00FE22B9">
        <w:t xml:space="preserve">Figure </w:t>
      </w:r>
      <w:r w:rsidR="00562174">
        <w:rPr>
          <w:noProof/>
        </w:rPr>
        <w:t>11</w:t>
      </w:r>
      <w:r w:rsidR="005D3ABF" w:rsidRPr="00794CE6">
        <w:rPr>
          <w:lang w:val="en-AU"/>
        </w:rPr>
        <w:fldChar w:fldCharType="end"/>
      </w:r>
      <w:r w:rsidR="00A37494" w:rsidRPr="00794CE6">
        <w:rPr>
          <w:lang w:val="en-AU"/>
        </w:rPr>
        <w:t>).</w:t>
      </w:r>
      <w:r w:rsidR="008007A5" w:rsidRPr="00794CE6">
        <w:rPr>
          <w:lang w:val="en-AU"/>
        </w:rPr>
        <w:t xml:space="preserve"> Intake clinicians noted that where calls </w:t>
      </w:r>
      <w:r w:rsidR="007D7E8D" w:rsidRPr="00794CE6">
        <w:rPr>
          <w:lang w:val="en-AU"/>
        </w:rPr>
        <w:t>received by the 1800</w:t>
      </w:r>
      <w:r w:rsidR="00BB076C" w:rsidRPr="00794CE6">
        <w:rPr>
          <w:lang w:val="en-AU"/>
        </w:rPr>
        <w:t xml:space="preserve"> number </w:t>
      </w:r>
      <w:r w:rsidR="008007A5" w:rsidRPr="00794CE6">
        <w:rPr>
          <w:lang w:val="en-AU"/>
        </w:rPr>
        <w:t>do not progress to referrals, callers may be calling for information, be transferred</w:t>
      </w:r>
      <w:r w:rsidR="00BB076C" w:rsidRPr="00794CE6">
        <w:rPr>
          <w:lang w:val="en-AU"/>
        </w:rPr>
        <w:t xml:space="preserve"> </w:t>
      </w:r>
      <w:r w:rsidR="008007A5" w:rsidRPr="00794CE6">
        <w:rPr>
          <w:lang w:val="en-AU"/>
        </w:rPr>
        <w:t>directly to another service, escalated to an acute service, or decide to discontinue</w:t>
      </w:r>
      <w:r w:rsidR="0040700F" w:rsidRPr="00794CE6">
        <w:rPr>
          <w:lang w:val="en-AU"/>
        </w:rPr>
        <w:t xml:space="preserve"> </w:t>
      </w:r>
      <w:r w:rsidR="008007A5" w:rsidRPr="00794CE6">
        <w:rPr>
          <w:lang w:val="en-AU"/>
        </w:rPr>
        <w:t xml:space="preserve">with seeking </w:t>
      </w:r>
      <w:proofErr w:type="spellStart"/>
      <w:r w:rsidR="008007A5" w:rsidRPr="003449C5">
        <w:rPr>
          <w:rStyle w:val="Emphasis"/>
        </w:rPr>
        <w:t>HeadtoHelp</w:t>
      </w:r>
      <w:proofErr w:type="spellEnd"/>
      <w:r w:rsidR="008007A5" w:rsidRPr="00794CE6">
        <w:rPr>
          <w:lang w:val="en-AU"/>
        </w:rPr>
        <w:t xml:space="preserve"> service.</w:t>
      </w:r>
    </w:p>
    <w:p w14:paraId="0FD131CA" w14:textId="7814FEC6" w:rsidR="008E434D" w:rsidRPr="00794CE6" w:rsidRDefault="00B47EA5" w:rsidP="00F14993">
      <w:pPr>
        <w:rPr>
          <w:lang w:val="en-AU"/>
        </w:rPr>
      </w:pPr>
      <w:r>
        <w:rPr>
          <w:lang w:val="en-AU"/>
        </w:rPr>
        <w:t>More than half</w:t>
      </w:r>
      <w:r w:rsidR="004E7028">
        <w:rPr>
          <w:lang w:val="en-AU"/>
        </w:rPr>
        <w:t xml:space="preserve"> </w:t>
      </w:r>
      <w:r>
        <w:rPr>
          <w:lang w:val="en-AU"/>
        </w:rPr>
        <w:t>(</w:t>
      </w:r>
      <w:r w:rsidR="007B2844">
        <w:rPr>
          <w:lang w:val="en-AU"/>
        </w:rPr>
        <w:t>52</w:t>
      </w:r>
      <w:r w:rsidR="007B2844" w:rsidRPr="00794CE6">
        <w:rPr>
          <w:lang w:val="en-AU"/>
        </w:rPr>
        <w:t xml:space="preserve"> </w:t>
      </w:r>
      <w:r w:rsidR="00794CE6" w:rsidRPr="00794CE6">
        <w:rPr>
          <w:lang w:val="en-AU"/>
        </w:rPr>
        <w:t>per cent</w:t>
      </w:r>
      <w:r>
        <w:rPr>
          <w:lang w:val="en-AU"/>
        </w:rPr>
        <w:t>)</w:t>
      </w:r>
      <w:r w:rsidR="00794CE6" w:rsidRPr="00794CE6">
        <w:rPr>
          <w:lang w:val="en-AU"/>
        </w:rPr>
        <w:t xml:space="preserve"> of</w:t>
      </w:r>
      <w:r w:rsidR="00424E13" w:rsidRPr="00794CE6">
        <w:rPr>
          <w:lang w:val="en-AU"/>
        </w:rPr>
        <w:t xml:space="preserve"> call</w:t>
      </w:r>
      <w:r w:rsidR="0050385F" w:rsidRPr="00794CE6">
        <w:rPr>
          <w:lang w:val="en-AU"/>
        </w:rPr>
        <w:t>s</w:t>
      </w:r>
      <w:r w:rsidR="00424E13" w:rsidRPr="00794CE6">
        <w:rPr>
          <w:lang w:val="en-AU"/>
        </w:rPr>
        <w:t xml:space="preserve"> did not </w:t>
      </w:r>
      <w:r w:rsidR="0050385F" w:rsidRPr="00794CE6">
        <w:rPr>
          <w:lang w:val="en-AU"/>
        </w:rPr>
        <w:t xml:space="preserve">result in a completed IAR. </w:t>
      </w:r>
      <w:r w:rsidR="006374A4">
        <w:rPr>
          <w:lang w:val="en-AU"/>
        </w:rPr>
        <w:t>Intake clinicians noted that reasons for some 1800 calls not progressing to referral included</w:t>
      </w:r>
      <w:r w:rsidR="008E434D" w:rsidRPr="00794CE6">
        <w:rPr>
          <w:lang w:val="en-AU"/>
        </w:rPr>
        <w:t>:</w:t>
      </w:r>
    </w:p>
    <w:p w14:paraId="676FCCC0" w14:textId="77777777" w:rsidR="008E434D" w:rsidRPr="00794CE6" w:rsidRDefault="00F40845" w:rsidP="009F1CB7">
      <w:pPr>
        <w:pStyle w:val="ListBullet"/>
      </w:pPr>
      <w:r w:rsidRPr="00794CE6">
        <w:t>participants</w:t>
      </w:r>
      <w:r w:rsidR="0050385F" w:rsidRPr="00794CE6">
        <w:t xml:space="preserve"> or </w:t>
      </w:r>
      <w:r w:rsidR="005925AA" w:rsidRPr="00794CE6">
        <w:t>support people</w:t>
      </w:r>
      <w:r w:rsidR="0050385F" w:rsidRPr="00794CE6">
        <w:t xml:space="preserve"> may be calling in </w:t>
      </w:r>
      <w:r w:rsidR="008E434D" w:rsidRPr="00794CE6">
        <w:t>for more information</w:t>
      </w:r>
      <w:r w:rsidR="00BD5267" w:rsidRPr="00794CE6">
        <w:t xml:space="preserve"> </w:t>
      </w:r>
      <w:r w:rsidR="00FE31E8" w:rsidRPr="00794CE6">
        <w:t>or want to discuss their situation with someone neutral</w:t>
      </w:r>
      <w:r w:rsidR="00BD5267" w:rsidRPr="00794CE6">
        <w:t xml:space="preserve"> and elect not to proceed</w:t>
      </w:r>
    </w:p>
    <w:p w14:paraId="470ECEB2" w14:textId="2FB75FCD" w:rsidR="006945F1" w:rsidRPr="00794CE6" w:rsidRDefault="00F40845" w:rsidP="009F1CB7">
      <w:pPr>
        <w:pStyle w:val="ListBullet"/>
      </w:pPr>
      <w:r w:rsidRPr="00794CE6">
        <w:t>participants</w:t>
      </w:r>
      <w:r w:rsidR="008E434D" w:rsidRPr="00794CE6">
        <w:t xml:space="preserve"> or </w:t>
      </w:r>
      <w:r w:rsidR="005925AA" w:rsidRPr="00794CE6">
        <w:t>support people</w:t>
      </w:r>
      <w:r w:rsidR="008E434D" w:rsidRPr="00794CE6">
        <w:t xml:space="preserve"> may </w:t>
      </w:r>
      <w:r w:rsidR="003711C0" w:rsidRPr="00794CE6">
        <w:t xml:space="preserve">learn that </w:t>
      </w:r>
      <w:r w:rsidR="00EE10C8" w:rsidRPr="00794CE6">
        <w:t xml:space="preserve">services </w:t>
      </w:r>
      <w:r w:rsidR="00A41794" w:rsidRPr="00794CE6">
        <w:t>are unable to meet their needs</w:t>
      </w:r>
      <w:r w:rsidR="008E434D" w:rsidRPr="00794CE6">
        <w:t xml:space="preserve"> </w:t>
      </w:r>
      <w:r w:rsidR="00BD5267" w:rsidRPr="00794CE6">
        <w:t>(e.g</w:t>
      </w:r>
      <w:r w:rsidR="00A005B7" w:rsidRPr="00794CE6">
        <w:t>.,</w:t>
      </w:r>
      <w:r w:rsidR="00BD5267" w:rsidRPr="00794CE6">
        <w:t xml:space="preserve"> require higher acuity services</w:t>
      </w:r>
      <w:r w:rsidR="00424E13" w:rsidRPr="00794CE6">
        <w:t>)</w:t>
      </w:r>
    </w:p>
    <w:p w14:paraId="1E1C608D" w14:textId="68D154D3" w:rsidR="008E434D" w:rsidRPr="00794CE6" w:rsidRDefault="00F40845" w:rsidP="009F1CB7">
      <w:pPr>
        <w:pStyle w:val="ListBullet"/>
      </w:pPr>
      <w:r w:rsidRPr="00794CE6">
        <w:t>participants</w:t>
      </w:r>
      <w:r w:rsidR="008E434D" w:rsidRPr="00794CE6">
        <w:t xml:space="preserve"> or </w:t>
      </w:r>
      <w:r w:rsidR="005925AA" w:rsidRPr="00794CE6">
        <w:t>support people</w:t>
      </w:r>
      <w:r w:rsidR="008E434D" w:rsidRPr="00794CE6">
        <w:t xml:space="preserve"> may</w:t>
      </w:r>
      <w:r w:rsidR="001D23D0" w:rsidRPr="00794CE6">
        <w:t xml:space="preserve"> decide not to engage in an IAR </w:t>
      </w:r>
      <w:r w:rsidR="00C97CFA" w:rsidRPr="00794CE6">
        <w:t xml:space="preserve">and </w:t>
      </w:r>
      <w:r w:rsidR="001D23D0" w:rsidRPr="00794CE6">
        <w:t>pursue further services</w:t>
      </w:r>
      <w:r w:rsidR="00A005B7" w:rsidRPr="00794CE6">
        <w:t>.</w:t>
      </w:r>
    </w:p>
    <w:p w14:paraId="41B0CB8D" w14:textId="346D2446" w:rsidR="006259A2" w:rsidRPr="00FE22B9" w:rsidRDefault="006259A2" w:rsidP="006259A2">
      <w:pPr>
        <w:pStyle w:val="Caption"/>
      </w:pPr>
      <w:bookmarkStart w:id="56" w:name="_Ref97022369"/>
      <w:r w:rsidRPr="00FE22B9">
        <w:t xml:space="preserve">Figure </w:t>
      </w:r>
      <w:r w:rsidR="00C90990" w:rsidRPr="00FE22B9">
        <w:fldChar w:fldCharType="begin"/>
      </w:r>
      <w:r w:rsidR="00C90990" w:rsidRPr="00FE22B9">
        <w:instrText xml:space="preserve"> SEQ Figure \* ARABIC </w:instrText>
      </w:r>
      <w:r w:rsidR="00C90990" w:rsidRPr="00FE22B9">
        <w:fldChar w:fldCharType="separate"/>
      </w:r>
      <w:r w:rsidR="00562174">
        <w:rPr>
          <w:noProof/>
        </w:rPr>
        <w:t>11</w:t>
      </w:r>
      <w:r w:rsidR="00C90990" w:rsidRPr="00FE22B9">
        <w:fldChar w:fldCharType="end"/>
      </w:r>
      <w:bookmarkEnd w:id="56"/>
      <w:r w:rsidRPr="00FE22B9">
        <w:t xml:space="preserve"> | Intake and referral snapshot</w:t>
      </w:r>
    </w:p>
    <w:p w14:paraId="367DC141" w14:textId="4367F447" w:rsidR="00A37494" w:rsidRPr="009F1CB7" w:rsidRDefault="00A076AC" w:rsidP="009F1CB7">
      <w:pPr>
        <w:rPr>
          <w:highlight w:val="cyan"/>
        </w:rPr>
      </w:pPr>
      <w:r w:rsidRPr="00D34BBC">
        <w:rPr>
          <w:noProof/>
        </w:rPr>
        <w:drawing>
          <wp:inline distT="0" distB="0" distL="0" distR="0" wp14:anchorId="6F8931E7" wp14:editId="713C105B">
            <wp:extent cx="5670550" cy="1260475"/>
            <wp:effectExtent l="0" t="0" r="6350" b="0"/>
            <wp:docPr id="27861" name="Picture 27861" descr="Figure 11 is an infographic showing the Intake and referral snapshot.&#10;From 14 September 2020 to 28 February 2022, 20,641 calls were made to the state-wide intake service, 9,918 IARs were completed, resulting in 8,624 referrals into a hub, 1,191 referrals into other services and 103 referrals to crisis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1" name="Picture 27861" descr="Figure 11 is an infographic showing the Intake and referral snapshot.&#10;From 14 September 2020 to 28 February 2022, 20,641 calls were made to the state-wide intake service, 9,918 IARs were completed, resulting in 8,624 referrals into a hub, 1,191 referrals into other services and 103 referrals to crisis services.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70550" cy="1260475"/>
                    </a:xfrm>
                    <a:prstGeom prst="rect">
                      <a:avLst/>
                    </a:prstGeom>
                    <a:noFill/>
                    <a:ln>
                      <a:noFill/>
                    </a:ln>
                  </pic:spPr>
                </pic:pic>
              </a:graphicData>
            </a:graphic>
          </wp:inline>
        </w:drawing>
      </w:r>
    </w:p>
    <w:p w14:paraId="19855C4C" w14:textId="63C29308" w:rsidR="00FE63B9" w:rsidRPr="000D119D" w:rsidRDefault="00BE2CB5" w:rsidP="00BE0860">
      <w:pPr>
        <w:pStyle w:val="Heading4"/>
      </w:pPr>
      <w:r w:rsidRPr="000D119D">
        <w:t xml:space="preserve">Over </w:t>
      </w:r>
      <w:r w:rsidR="009F5D15" w:rsidRPr="000D119D">
        <w:t>9,964</w:t>
      </w:r>
      <w:r w:rsidR="0059011B" w:rsidRPr="000D119D">
        <w:t xml:space="preserve"> </w:t>
      </w:r>
      <w:r w:rsidRPr="000D119D">
        <w:t xml:space="preserve">people received support through </w:t>
      </w:r>
      <w:proofErr w:type="spellStart"/>
      <w:r w:rsidRPr="000D119D">
        <w:rPr>
          <w:i/>
        </w:rPr>
        <w:t>HeadtoHelp</w:t>
      </w:r>
      <w:proofErr w:type="spellEnd"/>
      <w:r w:rsidRPr="000D119D">
        <w:t>, with more participants in rural and regional PHNs</w:t>
      </w:r>
    </w:p>
    <w:p w14:paraId="2C3297D7" w14:textId="2B6F349E" w:rsidR="00FE63B9" w:rsidRPr="000D119D" w:rsidRDefault="00FE63B9" w:rsidP="00FE63B9">
      <w:pPr>
        <w:rPr>
          <w:lang w:val="en-AU"/>
        </w:rPr>
      </w:pPr>
      <w:r w:rsidRPr="000D119D">
        <w:rPr>
          <w:lang w:val="en-AU"/>
        </w:rPr>
        <w:t xml:space="preserve">The </w:t>
      </w:r>
      <w:r w:rsidR="009F5D15" w:rsidRPr="000D119D">
        <w:rPr>
          <w:lang w:val="en-AU"/>
        </w:rPr>
        <w:t>9,964</w:t>
      </w:r>
      <w:r w:rsidRPr="000D119D">
        <w:rPr>
          <w:lang w:val="en-AU"/>
        </w:rPr>
        <w:t xml:space="preserve"> distinct participants were linked to </w:t>
      </w:r>
      <w:r w:rsidR="009F5D15" w:rsidRPr="000D119D">
        <w:rPr>
          <w:lang w:val="en-AU"/>
        </w:rPr>
        <w:t>10,590</w:t>
      </w:r>
      <w:r w:rsidRPr="000D119D">
        <w:rPr>
          <w:lang w:val="en-AU"/>
        </w:rPr>
        <w:t xml:space="preserve"> episodes.</w:t>
      </w:r>
      <w:r w:rsidRPr="000D119D">
        <w:rPr>
          <w:rStyle w:val="FootnoteReference"/>
          <w:lang w:val="en-AU"/>
        </w:rPr>
        <w:footnoteReference w:id="22"/>
      </w:r>
      <w:r w:rsidRPr="000D119D">
        <w:rPr>
          <w:lang w:val="en-AU"/>
        </w:rPr>
        <w:t xml:space="preserve"> At least </w:t>
      </w:r>
      <w:r w:rsidR="009F5D15" w:rsidRPr="000D119D">
        <w:rPr>
          <w:lang w:val="en-AU"/>
        </w:rPr>
        <w:t>523</w:t>
      </w:r>
      <w:r w:rsidRPr="000D119D">
        <w:rPr>
          <w:lang w:val="en-AU"/>
        </w:rPr>
        <w:t xml:space="preserve"> participants have more than one intake episode, suggesting they have returned to </w:t>
      </w:r>
      <w:proofErr w:type="spellStart"/>
      <w:r w:rsidRPr="0075335A">
        <w:rPr>
          <w:rStyle w:val="Emphasis"/>
        </w:rPr>
        <w:t>HeadtoHelp</w:t>
      </w:r>
      <w:proofErr w:type="spellEnd"/>
      <w:r w:rsidRPr="000D119D">
        <w:rPr>
          <w:i/>
          <w:lang w:val="en-AU"/>
        </w:rPr>
        <w:t xml:space="preserve"> </w:t>
      </w:r>
      <w:r w:rsidRPr="000D119D">
        <w:rPr>
          <w:lang w:val="en-AU"/>
        </w:rPr>
        <w:t>for additional episodes of care.</w:t>
      </w:r>
      <w:r w:rsidR="00415CCF">
        <w:rPr>
          <w:rStyle w:val="FootnoteReference"/>
          <w:lang w:val="en-AU"/>
        </w:rPr>
        <w:footnoteReference w:id="23"/>
      </w:r>
      <w:r w:rsidRPr="000D119D">
        <w:rPr>
          <w:lang w:val="en-AU"/>
        </w:rPr>
        <w:t xml:space="preserve"> For participants returning for multiple episodes of care, there is a mean of approximately </w:t>
      </w:r>
      <w:r w:rsidR="00927AF4" w:rsidRPr="000D119D">
        <w:rPr>
          <w:lang w:val="en-AU"/>
        </w:rPr>
        <w:t>109 days (3.5 months)</w:t>
      </w:r>
      <w:r w:rsidRPr="000D119D">
        <w:rPr>
          <w:lang w:val="en-AU"/>
        </w:rPr>
        <w:t xml:space="preserve"> between episodes.</w:t>
      </w:r>
      <w:r w:rsidRPr="000D119D">
        <w:rPr>
          <w:rStyle w:val="FootnoteReference"/>
          <w:lang w:val="en-AU"/>
        </w:rPr>
        <w:footnoteReference w:id="24"/>
      </w:r>
      <w:r w:rsidRPr="000D119D">
        <w:rPr>
          <w:lang w:val="en-AU"/>
        </w:rPr>
        <w:t xml:space="preserve"> Participants with multiple intake episodes do not appear clinically different than other participants, with similar distributions of IAR levels of care (three quarters of participants with IAR level </w:t>
      </w:r>
      <w:r w:rsidR="00A005B7">
        <w:rPr>
          <w:lang w:val="en-AU"/>
        </w:rPr>
        <w:t>three</w:t>
      </w:r>
      <w:r w:rsidRPr="000D119D">
        <w:rPr>
          <w:lang w:val="en-AU"/>
        </w:rPr>
        <w:t xml:space="preserve">) and mean entry K10 scores. Rate of participants </w:t>
      </w:r>
      <w:r w:rsidRPr="000D119D">
        <w:rPr>
          <w:lang w:val="en-AU"/>
        </w:rPr>
        <w:lastRenderedPageBreak/>
        <w:t xml:space="preserve">returning for additional episodes of care were </w:t>
      </w:r>
      <w:r w:rsidR="003873EC" w:rsidRPr="000D119D">
        <w:rPr>
          <w:lang w:val="en-AU"/>
        </w:rPr>
        <w:t xml:space="preserve">highest </w:t>
      </w:r>
      <w:r w:rsidRPr="000D119D">
        <w:rPr>
          <w:lang w:val="en-AU"/>
        </w:rPr>
        <w:t xml:space="preserve">for </w:t>
      </w:r>
      <w:r w:rsidR="00A005B7">
        <w:rPr>
          <w:lang w:val="en-AU"/>
        </w:rPr>
        <w:t>EM</w:t>
      </w:r>
      <w:r w:rsidRPr="000D119D">
        <w:rPr>
          <w:lang w:val="en-AU"/>
        </w:rPr>
        <w:t>PHN (</w:t>
      </w:r>
      <w:r w:rsidR="003873EC" w:rsidRPr="000D119D">
        <w:rPr>
          <w:lang w:val="en-AU"/>
        </w:rPr>
        <w:t>30</w:t>
      </w:r>
      <w:r w:rsidRPr="000D119D">
        <w:rPr>
          <w:lang w:val="en-AU"/>
        </w:rPr>
        <w:t xml:space="preserve"> per cent</w:t>
      </w:r>
      <w:r w:rsidR="004C3F33" w:rsidRPr="000D119D">
        <w:rPr>
          <w:lang w:val="en-AU"/>
        </w:rPr>
        <w:t>, up from 14 per cent in the Interim Evaluation Report</w:t>
      </w:r>
      <w:r w:rsidRPr="000D119D">
        <w:rPr>
          <w:lang w:val="en-AU"/>
        </w:rPr>
        <w:t xml:space="preserve">) and </w:t>
      </w:r>
      <w:r w:rsidR="003873EC" w:rsidRPr="000D119D">
        <w:rPr>
          <w:lang w:val="en-AU"/>
        </w:rPr>
        <w:t xml:space="preserve">lowest for </w:t>
      </w:r>
      <w:r w:rsidR="00160D51" w:rsidRPr="000D119D">
        <w:rPr>
          <w:lang w:val="en-AU"/>
        </w:rPr>
        <w:t>WVPHN</w:t>
      </w:r>
      <w:r w:rsidRPr="000D119D">
        <w:rPr>
          <w:lang w:val="en-AU"/>
        </w:rPr>
        <w:t xml:space="preserve"> (</w:t>
      </w:r>
      <w:r w:rsidR="00A005B7">
        <w:rPr>
          <w:lang w:val="en-AU"/>
        </w:rPr>
        <w:t>one</w:t>
      </w:r>
      <w:r w:rsidRPr="000D119D">
        <w:rPr>
          <w:lang w:val="en-AU"/>
        </w:rPr>
        <w:t xml:space="preserve"> per cent). </w:t>
      </w:r>
    </w:p>
    <w:p w14:paraId="2BF7F0D8" w14:textId="4EA64511" w:rsidR="00FE63B9" w:rsidRPr="000D119D" w:rsidRDefault="00160D51" w:rsidP="00FE63B9">
      <w:pPr>
        <w:rPr>
          <w:lang w:val="en-AU"/>
        </w:rPr>
      </w:pPr>
      <w:r w:rsidRPr="000D119D">
        <w:rPr>
          <w:lang w:val="en-AU"/>
        </w:rPr>
        <w:t>MPHN</w:t>
      </w:r>
      <w:r w:rsidR="00FE63B9" w:rsidRPr="000D119D">
        <w:rPr>
          <w:lang w:val="en-AU"/>
        </w:rPr>
        <w:t xml:space="preserve"> (2</w:t>
      </w:r>
      <w:r w:rsidR="003873EC" w:rsidRPr="000D119D">
        <w:rPr>
          <w:lang w:val="en-AU"/>
        </w:rPr>
        <w:t>3</w:t>
      </w:r>
      <w:r w:rsidR="00FE63B9" w:rsidRPr="000D119D">
        <w:rPr>
          <w:lang w:val="en-AU"/>
        </w:rPr>
        <w:t xml:space="preserve"> per cent, n=</w:t>
      </w:r>
      <w:r w:rsidR="003873EC" w:rsidRPr="000D119D">
        <w:rPr>
          <w:lang w:val="en-AU"/>
        </w:rPr>
        <w:t>2,260</w:t>
      </w:r>
      <w:r w:rsidR="00FE63B9" w:rsidRPr="000D119D">
        <w:rPr>
          <w:lang w:val="en-AU"/>
        </w:rPr>
        <w:t xml:space="preserve">) and </w:t>
      </w:r>
      <w:r w:rsidRPr="000D119D">
        <w:rPr>
          <w:lang w:val="en-AU"/>
        </w:rPr>
        <w:t>GPHN</w:t>
      </w:r>
      <w:r w:rsidR="00FE63B9" w:rsidRPr="000D119D">
        <w:rPr>
          <w:lang w:val="en-AU"/>
        </w:rPr>
        <w:t xml:space="preserve"> (2</w:t>
      </w:r>
      <w:r w:rsidR="003873EC" w:rsidRPr="000D119D">
        <w:rPr>
          <w:lang w:val="en-AU"/>
        </w:rPr>
        <w:t>3</w:t>
      </w:r>
      <w:r w:rsidR="00FE63B9" w:rsidRPr="000D119D">
        <w:rPr>
          <w:lang w:val="en-AU"/>
        </w:rPr>
        <w:t xml:space="preserve"> per cent, n=</w:t>
      </w:r>
      <w:r w:rsidR="003873EC" w:rsidRPr="000D119D">
        <w:rPr>
          <w:lang w:val="en-AU"/>
        </w:rPr>
        <w:t>2,220</w:t>
      </w:r>
      <w:r w:rsidR="00FE63B9" w:rsidRPr="000D119D">
        <w:rPr>
          <w:lang w:val="en-AU"/>
        </w:rPr>
        <w:t xml:space="preserve">) accounted for almost half of all </w:t>
      </w:r>
      <w:proofErr w:type="spellStart"/>
      <w:r w:rsidR="00FE63B9" w:rsidRPr="0075335A">
        <w:rPr>
          <w:rStyle w:val="Emphasis"/>
        </w:rPr>
        <w:t>HeadtoHelp</w:t>
      </w:r>
      <w:proofErr w:type="spellEnd"/>
      <w:r w:rsidR="00FE63B9" w:rsidRPr="000D119D">
        <w:rPr>
          <w:lang w:val="en-AU"/>
        </w:rPr>
        <w:t xml:space="preserve"> episodes. Furthermore, each of these regions had only two hubs each, as opposed to the three hubs in most other PHNs, further emphasising the skew in volume of delivery in rural and regional settings.</w:t>
      </w:r>
      <w:r w:rsidR="00FE63B9" w:rsidRPr="000D119D" w:rsidDel="001363DF">
        <w:rPr>
          <w:lang w:val="en-AU"/>
        </w:rPr>
        <w:t xml:space="preserve">  </w:t>
      </w:r>
    </w:p>
    <w:p w14:paraId="61DF4ADC" w14:textId="030BD31F" w:rsidR="00FE63B9" w:rsidRPr="000D119D" w:rsidRDefault="00FE63B9" w:rsidP="00FE63B9">
      <w:pPr>
        <w:rPr>
          <w:lang w:val="en-AU"/>
        </w:rPr>
      </w:pPr>
      <w:r w:rsidRPr="000D119D">
        <w:rPr>
          <w:lang w:val="en-AU"/>
        </w:rPr>
        <w:t>Higher episodes in these PHNs are likely a combination of the fact that these PHNs saw more participants, participants had lower average service contacts per episode, and episodes were shorter</w:t>
      </w:r>
      <w:r w:rsidR="00A63AF6" w:rsidRPr="000D119D">
        <w:rPr>
          <w:lang w:val="en-AU"/>
        </w:rPr>
        <w:t xml:space="preserve"> (discussed further in </w:t>
      </w:r>
      <w:r w:rsidR="00FF268F">
        <w:rPr>
          <w:lang w:val="en-AU"/>
        </w:rPr>
        <w:t>S</w:t>
      </w:r>
      <w:r w:rsidR="00A63AF6" w:rsidRPr="00135D0D">
        <w:rPr>
          <w:lang w:val="en-AU"/>
        </w:rPr>
        <w:t>ection</w:t>
      </w:r>
      <w:r w:rsidR="00A63AF6">
        <w:rPr>
          <w:lang w:val="en-AU"/>
        </w:rPr>
        <w:t xml:space="preserve"> </w:t>
      </w:r>
      <w:r w:rsidR="00135D0D">
        <w:rPr>
          <w:highlight w:val="yellow"/>
          <w:lang w:val="en-AU"/>
        </w:rPr>
        <w:fldChar w:fldCharType="begin"/>
      </w:r>
      <w:r w:rsidR="00135D0D">
        <w:rPr>
          <w:lang w:val="en-AU"/>
        </w:rPr>
        <w:instrText xml:space="preserve"> REF _Ref97009260 \w \h </w:instrText>
      </w:r>
      <w:r w:rsidR="00135D0D">
        <w:rPr>
          <w:highlight w:val="yellow"/>
          <w:lang w:val="en-AU"/>
        </w:rPr>
      </w:r>
      <w:r w:rsidR="00135D0D">
        <w:rPr>
          <w:highlight w:val="yellow"/>
          <w:lang w:val="en-AU"/>
        </w:rPr>
        <w:fldChar w:fldCharType="separate"/>
      </w:r>
      <w:r w:rsidR="00562174">
        <w:rPr>
          <w:lang w:val="en-AU"/>
        </w:rPr>
        <w:t>4.1.6</w:t>
      </w:r>
      <w:r w:rsidR="00135D0D">
        <w:rPr>
          <w:highlight w:val="yellow"/>
          <w:lang w:val="en-AU"/>
        </w:rPr>
        <w:fldChar w:fldCharType="end"/>
      </w:r>
      <w:r w:rsidR="00A63AF6" w:rsidRPr="000D119D">
        <w:rPr>
          <w:lang w:val="en-AU"/>
        </w:rPr>
        <w:t>)</w:t>
      </w:r>
      <w:r w:rsidRPr="000D119D">
        <w:rPr>
          <w:lang w:val="en-AU"/>
        </w:rPr>
        <w:t xml:space="preserve">. Higher numbers of participants accessing rural and regional hubs aligns with qualitative insights that there are less available services in these regions, and that affordability is a significant barrier in accessing other forms of care. </w:t>
      </w:r>
    </w:p>
    <w:p w14:paraId="4E47C332" w14:textId="65D508B9" w:rsidR="00FE63B9" w:rsidRPr="009570CF" w:rsidRDefault="00FE63B9" w:rsidP="00FE63B9">
      <w:pPr>
        <w:pStyle w:val="Caption"/>
      </w:pPr>
      <w:bookmarkStart w:id="57" w:name="_Ref97024943"/>
      <w:r w:rsidRPr="009570CF">
        <w:t xml:space="preserve">Figure </w:t>
      </w:r>
      <w:r w:rsidR="00C90990">
        <w:fldChar w:fldCharType="begin"/>
      </w:r>
      <w:r w:rsidR="00C90990">
        <w:instrText xml:space="preserve"> SEQ Figure \* ARABIC </w:instrText>
      </w:r>
      <w:r w:rsidR="00C90990">
        <w:fldChar w:fldCharType="separate"/>
      </w:r>
      <w:r w:rsidR="00562174">
        <w:rPr>
          <w:noProof/>
        </w:rPr>
        <w:t>12</w:t>
      </w:r>
      <w:r w:rsidR="00C90990">
        <w:fldChar w:fldCharType="end"/>
      </w:r>
      <w:bookmarkEnd w:id="57"/>
      <w:r w:rsidRPr="009570CF">
        <w:t xml:space="preserve"> | Open and closed episodes by PHN</w:t>
      </w:r>
    </w:p>
    <w:p w14:paraId="67BD5C8F" w14:textId="28957002" w:rsidR="00FE63B9" w:rsidRPr="009F1CB7" w:rsidRDefault="00963C9C" w:rsidP="009F1CB7">
      <w:r w:rsidRPr="00963C9C">
        <w:rPr>
          <w:noProof/>
        </w:rPr>
        <w:drawing>
          <wp:inline distT="0" distB="0" distL="0" distR="0" wp14:anchorId="635C14FA" wp14:editId="5B316C05">
            <wp:extent cx="5670550" cy="2439670"/>
            <wp:effectExtent l="0" t="0" r="6350" b="0"/>
            <wp:docPr id="19" name="Picture 19" descr="Figure 12 is a horizontal bar graph of open and closed episodes by P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2 is a horizontal bar graph of open and closed episodes by PH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0550" cy="2439670"/>
                    </a:xfrm>
                    <a:prstGeom prst="rect">
                      <a:avLst/>
                    </a:prstGeom>
                    <a:noFill/>
                    <a:ln>
                      <a:noFill/>
                    </a:ln>
                  </pic:spPr>
                </pic:pic>
              </a:graphicData>
            </a:graphic>
          </wp:inline>
        </w:drawing>
      </w:r>
    </w:p>
    <w:p w14:paraId="65FDDD74" w14:textId="1E6E2208" w:rsidR="00FE63B9" w:rsidRPr="009570CF" w:rsidRDefault="00FE63B9" w:rsidP="00FE63B9">
      <w:pPr>
        <w:pStyle w:val="Caption"/>
      </w:pPr>
      <w:bookmarkStart w:id="58" w:name="_Ref96607671"/>
      <w:bookmarkStart w:id="59" w:name="_Ref97024954"/>
      <w:r w:rsidRPr="009570CF">
        <w:t xml:space="preserve">Figure </w:t>
      </w:r>
      <w:r w:rsidR="00C90990">
        <w:fldChar w:fldCharType="begin"/>
      </w:r>
      <w:r w:rsidR="00C90990">
        <w:instrText xml:space="preserve"> SEQ Figure \* ARABIC </w:instrText>
      </w:r>
      <w:r w:rsidR="00C90990">
        <w:fldChar w:fldCharType="separate"/>
      </w:r>
      <w:r w:rsidR="00562174">
        <w:rPr>
          <w:noProof/>
        </w:rPr>
        <w:t>13</w:t>
      </w:r>
      <w:r w:rsidR="00C90990">
        <w:fldChar w:fldCharType="end"/>
      </w:r>
      <w:bookmarkEnd w:id="58"/>
      <w:bookmarkEnd w:id="59"/>
      <w:r w:rsidRPr="009570CF">
        <w:t xml:space="preserve"> | Service contacts by PHN for open and closed episodes</w:t>
      </w:r>
    </w:p>
    <w:p w14:paraId="315E8451" w14:textId="7EE58B89" w:rsidR="009946B4" w:rsidRPr="009F1CB7" w:rsidRDefault="00882557" w:rsidP="009F1CB7">
      <w:r w:rsidRPr="00882557">
        <w:rPr>
          <w:noProof/>
        </w:rPr>
        <w:drawing>
          <wp:inline distT="0" distB="0" distL="0" distR="0" wp14:anchorId="368B2D25" wp14:editId="1C73238B">
            <wp:extent cx="5670550" cy="2440940"/>
            <wp:effectExtent l="0" t="0" r="6350" b="0"/>
            <wp:docPr id="20" name="Picture 20" descr="Figure 13 is a horizontal bar graph of service contacts by PHN for open and closed epis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3 is a horizontal bar graph of service contacts by PHN for open and closed episod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70550" cy="2440940"/>
                    </a:xfrm>
                    <a:prstGeom prst="rect">
                      <a:avLst/>
                    </a:prstGeom>
                    <a:noFill/>
                    <a:ln>
                      <a:noFill/>
                    </a:ln>
                  </pic:spPr>
                </pic:pic>
              </a:graphicData>
            </a:graphic>
          </wp:inline>
        </w:drawing>
      </w:r>
      <w:r w:rsidR="00FE63B9" w:rsidRPr="000D119D">
        <w:t xml:space="preserve">There were </w:t>
      </w:r>
      <w:r w:rsidR="00462B96" w:rsidRPr="00462B96">
        <w:t>74,483</w:t>
      </w:r>
      <w:r w:rsidR="00FE63B9" w:rsidRPr="000D119D">
        <w:t xml:space="preserve"> service contacts in total in closed and open episodes</w:t>
      </w:r>
      <w:r w:rsidR="00B80ACB" w:rsidRPr="000D119D">
        <w:t xml:space="preserve">, with the highest proportions of service contacts coming from </w:t>
      </w:r>
      <w:r w:rsidR="00160D51" w:rsidRPr="000D119D">
        <w:t>EMPHN</w:t>
      </w:r>
      <w:r w:rsidR="00B80ACB" w:rsidRPr="000D119D">
        <w:t xml:space="preserve">, </w:t>
      </w:r>
      <w:r w:rsidR="00160D51" w:rsidRPr="000D119D">
        <w:t>GPHN</w:t>
      </w:r>
      <w:r w:rsidR="00B80ACB" w:rsidRPr="000D119D">
        <w:t xml:space="preserve"> and </w:t>
      </w:r>
      <w:r w:rsidR="00160D51" w:rsidRPr="000D119D">
        <w:t>MPHN</w:t>
      </w:r>
      <w:r w:rsidR="00FE63B9" w:rsidRPr="000D119D">
        <w:t xml:space="preserve"> (</w:t>
      </w:r>
      <w:r w:rsidR="00212917" w:rsidRPr="000D119D">
        <w:fldChar w:fldCharType="begin"/>
      </w:r>
      <w:r w:rsidR="00212917" w:rsidRPr="000D119D">
        <w:instrText xml:space="preserve"> REF _Ref96607671 \h </w:instrText>
      </w:r>
      <w:r w:rsidR="004C3F33" w:rsidRPr="000D119D">
        <w:instrText xml:space="preserve"> \* MERGEFORMAT </w:instrText>
      </w:r>
      <w:r w:rsidR="00212917" w:rsidRPr="000D119D">
        <w:fldChar w:fldCharType="separate"/>
      </w:r>
      <w:r w:rsidR="00562174" w:rsidRPr="009570CF">
        <w:t xml:space="preserve">Figure </w:t>
      </w:r>
      <w:r w:rsidR="00562174">
        <w:rPr>
          <w:noProof/>
        </w:rPr>
        <w:t>13</w:t>
      </w:r>
      <w:r w:rsidR="00212917" w:rsidRPr="000D119D">
        <w:fldChar w:fldCharType="end"/>
      </w:r>
      <w:r w:rsidR="00FE63B9" w:rsidRPr="000D119D">
        <w:t xml:space="preserve">). </w:t>
      </w:r>
    </w:p>
    <w:p w14:paraId="73291DC0" w14:textId="6B50E5AB" w:rsidR="007D4CB6" w:rsidRDefault="00E85543" w:rsidP="00FE63B9">
      <w:pPr>
        <w:rPr>
          <w:lang w:val="en-AU"/>
        </w:rPr>
      </w:pPr>
      <w:r>
        <w:rPr>
          <w:lang w:val="en-AU"/>
        </w:rPr>
        <w:fldChar w:fldCharType="begin"/>
      </w:r>
      <w:r>
        <w:rPr>
          <w:lang w:val="en-AU"/>
        </w:rPr>
        <w:instrText xml:space="preserve"> REF _Ref96979635 \h </w:instrText>
      </w:r>
      <w:r>
        <w:rPr>
          <w:lang w:val="en-AU"/>
        </w:rPr>
      </w:r>
      <w:r>
        <w:rPr>
          <w:lang w:val="en-AU"/>
        </w:rPr>
        <w:fldChar w:fldCharType="separate"/>
      </w:r>
      <w:r w:rsidR="00562174" w:rsidRPr="000D119D">
        <w:t xml:space="preserve">Figure </w:t>
      </w:r>
      <w:r w:rsidR="00562174">
        <w:rPr>
          <w:noProof/>
        </w:rPr>
        <w:t>14</w:t>
      </w:r>
      <w:r>
        <w:rPr>
          <w:lang w:val="en-AU"/>
        </w:rPr>
        <w:fldChar w:fldCharType="end"/>
      </w:r>
      <w:r w:rsidR="009946B4" w:rsidRPr="000D119D">
        <w:rPr>
          <w:lang w:val="en-AU"/>
        </w:rPr>
        <w:t xml:space="preserve"> and </w:t>
      </w:r>
      <w:r>
        <w:rPr>
          <w:lang w:val="en-AU"/>
        </w:rPr>
        <w:fldChar w:fldCharType="begin"/>
      </w:r>
      <w:r>
        <w:rPr>
          <w:lang w:val="en-AU"/>
        </w:rPr>
        <w:instrText xml:space="preserve"> REF _Ref97022477 \h </w:instrText>
      </w:r>
      <w:r>
        <w:rPr>
          <w:lang w:val="en-AU"/>
        </w:rPr>
      </w:r>
      <w:r>
        <w:rPr>
          <w:lang w:val="en-AU"/>
        </w:rPr>
        <w:fldChar w:fldCharType="separate"/>
      </w:r>
      <w:r w:rsidR="00562174" w:rsidRPr="000D119D">
        <w:t xml:space="preserve">Figure </w:t>
      </w:r>
      <w:r w:rsidR="00562174">
        <w:rPr>
          <w:noProof/>
        </w:rPr>
        <w:t>15</w:t>
      </w:r>
      <w:r>
        <w:rPr>
          <w:lang w:val="en-AU"/>
        </w:rPr>
        <w:fldChar w:fldCharType="end"/>
      </w:r>
      <w:r w:rsidR="009946B4" w:rsidRPr="000D119D">
        <w:rPr>
          <w:lang w:val="en-AU"/>
        </w:rPr>
        <w:t xml:space="preserve"> illustrate time trends in the number of first service contacts and overall service contacts during the duration of the </w:t>
      </w:r>
      <w:proofErr w:type="spellStart"/>
      <w:r w:rsidR="009946B4" w:rsidRPr="0075335A">
        <w:rPr>
          <w:rStyle w:val="Emphasis"/>
        </w:rPr>
        <w:t>HeadtoHelp</w:t>
      </w:r>
      <w:proofErr w:type="spellEnd"/>
      <w:r w:rsidR="009946B4" w:rsidRPr="000D119D">
        <w:rPr>
          <w:i/>
          <w:iCs/>
          <w:lang w:val="en-AU"/>
        </w:rPr>
        <w:t xml:space="preserve"> </w:t>
      </w:r>
      <w:r w:rsidR="009946B4" w:rsidRPr="000D119D">
        <w:rPr>
          <w:lang w:val="en-AU"/>
        </w:rPr>
        <w:t xml:space="preserve">program. </w:t>
      </w:r>
      <w:r w:rsidR="00835611">
        <w:rPr>
          <w:lang w:val="en-AU"/>
        </w:rPr>
        <w:t xml:space="preserve">For both </w:t>
      </w:r>
      <w:r w:rsidR="00FF323A">
        <w:rPr>
          <w:lang w:val="en-AU"/>
        </w:rPr>
        <w:t>f</w:t>
      </w:r>
      <w:r w:rsidR="00835611">
        <w:rPr>
          <w:lang w:val="en-AU"/>
        </w:rPr>
        <w:t>igures, we</w:t>
      </w:r>
      <w:r w:rsidR="00835611" w:rsidRPr="000D119D">
        <w:rPr>
          <w:lang w:val="en-AU"/>
        </w:rPr>
        <w:t xml:space="preserve"> attribute the sharp drop in service contacts in February 2022 to the time-lag between service delivery and recording data. </w:t>
      </w:r>
    </w:p>
    <w:p w14:paraId="597ED3E9" w14:textId="182B6E01" w:rsidR="00FE63B9" w:rsidRPr="000D119D" w:rsidRDefault="007D4CB6" w:rsidP="00FE63B9">
      <w:pPr>
        <w:rPr>
          <w:lang w:val="en-AU"/>
        </w:rPr>
      </w:pPr>
      <w:r>
        <w:rPr>
          <w:lang w:val="en-AU"/>
        </w:rPr>
        <w:lastRenderedPageBreak/>
        <w:fldChar w:fldCharType="begin"/>
      </w:r>
      <w:r>
        <w:rPr>
          <w:lang w:val="en-AU"/>
        </w:rPr>
        <w:instrText xml:space="preserve"> REF _Ref96979635 \h </w:instrText>
      </w:r>
      <w:r>
        <w:rPr>
          <w:lang w:val="en-AU"/>
        </w:rPr>
      </w:r>
      <w:r>
        <w:rPr>
          <w:lang w:val="en-AU"/>
        </w:rPr>
        <w:fldChar w:fldCharType="separate"/>
      </w:r>
      <w:r w:rsidR="00562174" w:rsidRPr="000D119D">
        <w:t xml:space="preserve">Figure </w:t>
      </w:r>
      <w:r w:rsidR="00562174">
        <w:rPr>
          <w:noProof/>
        </w:rPr>
        <w:t>14</w:t>
      </w:r>
      <w:r>
        <w:rPr>
          <w:lang w:val="en-AU"/>
        </w:rPr>
        <w:fldChar w:fldCharType="end"/>
      </w:r>
      <w:r w:rsidRPr="000D119D">
        <w:rPr>
          <w:lang w:val="en-AU"/>
        </w:rPr>
        <w:t xml:space="preserve"> </w:t>
      </w:r>
      <w:r>
        <w:rPr>
          <w:lang w:val="en-AU"/>
        </w:rPr>
        <w:t>shows that f</w:t>
      </w:r>
      <w:r w:rsidR="009946B4" w:rsidRPr="000D119D">
        <w:rPr>
          <w:lang w:val="en-AU"/>
        </w:rPr>
        <w:t xml:space="preserve">irst service contacts </w:t>
      </w:r>
      <w:r w:rsidR="00BC05BE">
        <w:rPr>
          <w:lang w:val="en-AU"/>
        </w:rPr>
        <w:t>increased</w:t>
      </w:r>
      <w:r w:rsidR="00FE63B9" w:rsidRPr="000D119D">
        <w:rPr>
          <w:lang w:val="en-AU"/>
        </w:rPr>
        <w:t xml:space="preserve"> steadily from September 2020 to May 2021</w:t>
      </w:r>
      <w:r w:rsidR="008E3044" w:rsidRPr="000D119D">
        <w:rPr>
          <w:lang w:val="en-AU"/>
        </w:rPr>
        <w:t xml:space="preserve"> before decreasing slowly from </w:t>
      </w:r>
      <w:r w:rsidR="00136B35" w:rsidRPr="000D119D">
        <w:rPr>
          <w:lang w:val="en-AU"/>
        </w:rPr>
        <w:t>May 2021 to Feb</w:t>
      </w:r>
      <w:r w:rsidR="009946B4" w:rsidRPr="000D119D">
        <w:rPr>
          <w:lang w:val="en-AU"/>
        </w:rPr>
        <w:t>ruary</w:t>
      </w:r>
      <w:r w:rsidR="00136B35" w:rsidRPr="000D119D">
        <w:rPr>
          <w:lang w:val="en-AU"/>
        </w:rPr>
        <w:t xml:space="preserve"> 2022</w:t>
      </w:r>
      <w:r w:rsidR="00FE63B9" w:rsidRPr="000D119D" w:rsidDel="008E3044">
        <w:rPr>
          <w:lang w:val="en-AU"/>
        </w:rPr>
        <w:t>.</w:t>
      </w:r>
      <w:r w:rsidR="00FE63B9" w:rsidRPr="000D119D">
        <w:rPr>
          <w:lang w:val="en-AU"/>
        </w:rPr>
        <w:t xml:space="preserve"> </w:t>
      </w:r>
      <w:r w:rsidR="00471C26">
        <w:rPr>
          <w:lang w:val="en-AU"/>
        </w:rPr>
        <w:t xml:space="preserve">This </w:t>
      </w:r>
      <w:r w:rsidR="00471C26">
        <w:t xml:space="preserve">reflects the broad pattern of decline in calls to the 1800 number in </w:t>
      </w:r>
      <w:r w:rsidR="00471C26">
        <w:fldChar w:fldCharType="begin"/>
      </w:r>
      <w:r w:rsidR="00471C26">
        <w:instrText xml:space="preserve"> REF _Ref97022339 \h </w:instrText>
      </w:r>
      <w:r w:rsidR="00471C26">
        <w:fldChar w:fldCharType="separate"/>
      </w:r>
      <w:r w:rsidR="00562174" w:rsidRPr="00794CE6">
        <w:t xml:space="preserve">Figure </w:t>
      </w:r>
      <w:r w:rsidR="00562174">
        <w:rPr>
          <w:noProof/>
        </w:rPr>
        <w:t>10</w:t>
      </w:r>
      <w:r w:rsidR="00471C26">
        <w:fldChar w:fldCharType="end"/>
      </w:r>
      <w:r w:rsidR="00471C26">
        <w:t>.</w:t>
      </w:r>
      <w:r w:rsidR="00471C26" w:rsidRPr="000D119D">
        <w:rPr>
          <w:lang w:val="en-AU"/>
        </w:rPr>
        <w:t xml:space="preserve"> </w:t>
      </w:r>
    </w:p>
    <w:p w14:paraId="6336E6C9" w14:textId="4612DC48" w:rsidR="00E07449" w:rsidRPr="000D119D" w:rsidRDefault="00E07449" w:rsidP="00E07449">
      <w:pPr>
        <w:pStyle w:val="Caption"/>
      </w:pPr>
      <w:bookmarkStart w:id="60" w:name="_Ref96979635"/>
      <w:r w:rsidRPr="000D119D">
        <w:t xml:space="preserve">Figure </w:t>
      </w:r>
      <w:r w:rsidR="00C90990">
        <w:fldChar w:fldCharType="begin"/>
      </w:r>
      <w:r w:rsidR="00C90990">
        <w:instrText xml:space="preserve"> SEQ Figure \* ARABIC </w:instrText>
      </w:r>
      <w:r w:rsidR="00C90990">
        <w:fldChar w:fldCharType="separate"/>
      </w:r>
      <w:r w:rsidR="00562174">
        <w:rPr>
          <w:noProof/>
        </w:rPr>
        <w:t>14</w:t>
      </w:r>
      <w:r w:rsidR="00C90990">
        <w:fldChar w:fldCharType="end"/>
      </w:r>
      <w:bookmarkEnd w:id="60"/>
      <w:r w:rsidRPr="000D119D">
        <w:t xml:space="preserve"> | First service contacts by date for closed and open episodes</w:t>
      </w:r>
    </w:p>
    <w:p w14:paraId="3DA8CDB9" w14:textId="146CD7F5" w:rsidR="00215C95" w:rsidRPr="000D119D" w:rsidRDefault="00C9449A" w:rsidP="00FE63B9">
      <w:pPr>
        <w:rPr>
          <w:lang w:val="en-AU"/>
        </w:rPr>
      </w:pPr>
      <w:r w:rsidRPr="00C9449A">
        <w:rPr>
          <w:noProof/>
        </w:rPr>
        <w:drawing>
          <wp:inline distT="0" distB="0" distL="0" distR="0" wp14:anchorId="3551F2DD" wp14:editId="3A36D5F9">
            <wp:extent cx="5670550" cy="2748280"/>
            <wp:effectExtent l="0" t="0" r="6350" b="0"/>
            <wp:docPr id="36" name="Picture 36" descr="Figure 14 is a line graph of first contacts by date for closed and open epis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14 is a line graph of first contacts by date for closed and open episod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0550" cy="2748280"/>
                    </a:xfrm>
                    <a:prstGeom prst="rect">
                      <a:avLst/>
                    </a:prstGeom>
                    <a:noFill/>
                    <a:ln>
                      <a:noFill/>
                    </a:ln>
                  </pic:spPr>
                </pic:pic>
              </a:graphicData>
            </a:graphic>
          </wp:inline>
        </w:drawing>
      </w:r>
    </w:p>
    <w:p w14:paraId="3DB387EC" w14:textId="06D73643" w:rsidR="00E07449" w:rsidRPr="000D119D" w:rsidRDefault="00E07449" w:rsidP="00E07449">
      <w:pPr>
        <w:pStyle w:val="Caption"/>
      </w:pPr>
      <w:bookmarkStart w:id="61" w:name="_Ref97022477"/>
      <w:r w:rsidRPr="000D119D">
        <w:t xml:space="preserve">Figure </w:t>
      </w:r>
      <w:r w:rsidR="00C90990">
        <w:fldChar w:fldCharType="begin"/>
      </w:r>
      <w:r w:rsidR="00C90990">
        <w:instrText xml:space="preserve"> SEQ Figure \* ARABIC </w:instrText>
      </w:r>
      <w:r w:rsidR="00C90990">
        <w:fldChar w:fldCharType="separate"/>
      </w:r>
      <w:r w:rsidR="00562174">
        <w:rPr>
          <w:noProof/>
        </w:rPr>
        <w:t>15</w:t>
      </w:r>
      <w:r w:rsidR="00C90990">
        <w:fldChar w:fldCharType="end"/>
      </w:r>
      <w:bookmarkEnd w:id="61"/>
      <w:r w:rsidRPr="000D119D">
        <w:t xml:space="preserve"> | Service contacts by date for closed and open episodes</w:t>
      </w:r>
    </w:p>
    <w:p w14:paraId="1A898AE5" w14:textId="11F01F46" w:rsidR="00063D49" w:rsidRPr="000D119D" w:rsidRDefault="006A7436" w:rsidP="00FE63B9">
      <w:pPr>
        <w:rPr>
          <w:lang w:val="en-AU"/>
        </w:rPr>
      </w:pPr>
      <w:r w:rsidRPr="006A7436">
        <w:rPr>
          <w:noProof/>
        </w:rPr>
        <w:drawing>
          <wp:inline distT="0" distB="0" distL="0" distR="0" wp14:anchorId="157C2692" wp14:editId="04B90803">
            <wp:extent cx="5670550" cy="2760345"/>
            <wp:effectExtent l="0" t="0" r="6350" b="1905"/>
            <wp:docPr id="38" name="Picture 38" descr="Figure 15 is a line graph showing the service contacts by date for closed and open epis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15 is a line graph showing the service contacts by date for closed and open episod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70550" cy="2760345"/>
                    </a:xfrm>
                    <a:prstGeom prst="rect">
                      <a:avLst/>
                    </a:prstGeom>
                    <a:noFill/>
                    <a:ln>
                      <a:noFill/>
                    </a:ln>
                  </pic:spPr>
                </pic:pic>
              </a:graphicData>
            </a:graphic>
          </wp:inline>
        </w:drawing>
      </w:r>
    </w:p>
    <w:p w14:paraId="12FB7BDB" w14:textId="1936EC93" w:rsidR="00087F81" w:rsidRPr="000D119D" w:rsidRDefault="009946B4" w:rsidP="00FE63B9">
      <w:pPr>
        <w:rPr>
          <w:lang w:val="en-AU"/>
        </w:rPr>
      </w:pPr>
      <w:r w:rsidRPr="000D119D">
        <w:rPr>
          <w:lang w:val="en-AU"/>
        </w:rPr>
        <w:t>In contrast, when c</w:t>
      </w:r>
      <w:r w:rsidR="00087F81" w:rsidRPr="000D119D">
        <w:rPr>
          <w:lang w:val="en-AU"/>
        </w:rPr>
        <w:t xml:space="preserve">omparing the number of first service contacts with the total number of </w:t>
      </w:r>
      <w:r w:rsidR="003224BE" w:rsidRPr="000D119D">
        <w:rPr>
          <w:lang w:val="en-AU"/>
        </w:rPr>
        <w:t>service contacts</w:t>
      </w:r>
      <w:r w:rsidR="00125068" w:rsidRPr="000D119D">
        <w:rPr>
          <w:lang w:val="en-AU"/>
        </w:rPr>
        <w:t xml:space="preserve"> (</w:t>
      </w:r>
      <w:r w:rsidR="00D63F54">
        <w:rPr>
          <w:lang w:val="en-AU"/>
        </w:rPr>
        <w:fldChar w:fldCharType="begin"/>
      </w:r>
      <w:r w:rsidR="00D63F54">
        <w:rPr>
          <w:lang w:val="en-AU"/>
        </w:rPr>
        <w:instrText xml:space="preserve"> REF _Ref97022477 \h </w:instrText>
      </w:r>
      <w:r w:rsidR="00D63F54">
        <w:rPr>
          <w:lang w:val="en-AU"/>
        </w:rPr>
      </w:r>
      <w:r w:rsidR="00D63F54">
        <w:rPr>
          <w:lang w:val="en-AU"/>
        </w:rPr>
        <w:fldChar w:fldCharType="separate"/>
      </w:r>
      <w:r w:rsidR="00562174" w:rsidRPr="000D119D">
        <w:t xml:space="preserve">Figure </w:t>
      </w:r>
      <w:r w:rsidR="00562174">
        <w:rPr>
          <w:noProof/>
        </w:rPr>
        <w:t>15</w:t>
      </w:r>
      <w:r w:rsidR="00D63F54">
        <w:rPr>
          <w:lang w:val="en-AU"/>
        </w:rPr>
        <w:fldChar w:fldCharType="end"/>
      </w:r>
      <w:r w:rsidR="00125068" w:rsidRPr="000D119D">
        <w:rPr>
          <w:lang w:val="en-AU"/>
        </w:rPr>
        <w:t>)</w:t>
      </w:r>
      <w:r w:rsidR="003224BE" w:rsidRPr="000D119D">
        <w:rPr>
          <w:lang w:val="en-AU"/>
        </w:rPr>
        <w:t xml:space="preserve">, there is no observed peak in the total number of service contacts. In fact, service contacts continue to increase slightly from April 2021 before peaking around November and December 2021. This suggests that the </w:t>
      </w:r>
      <w:r w:rsidR="0060279A" w:rsidRPr="000D119D">
        <w:rPr>
          <w:lang w:val="en-AU"/>
        </w:rPr>
        <w:t>average</w:t>
      </w:r>
      <w:r w:rsidR="003224BE" w:rsidRPr="000D119D">
        <w:rPr>
          <w:lang w:val="en-AU"/>
        </w:rPr>
        <w:t xml:space="preserve"> number of service contacts per participant has </w:t>
      </w:r>
      <w:r w:rsidR="0060279A" w:rsidRPr="000D119D">
        <w:rPr>
          <w:lang w:val="en-AU"/>
        </w:rPr>
        <w:t xml:space="preserve">increased from April 2021. Further analysis (see </w:t>
      </w:r>
      <w:r w:rsidR="00F17AE0">
        <w:rPr>
          <w:lang w:val="en-AU"/>
        </w:rPr>
        <w:fldChar w:fldCharType="begin"/>
      </w:r>
      <w:r w:rsidR="00F17AE0">
        <w:rPr>
          <w:lang w:val="en-AU"/>
        </w:rPr>
        <w:instrText xml:space="preserve"> REF _Ref97024954 \h </w:instrText>
      </w:r>
      <w:r w:rsidR="00F17AE0">
        <w:rPr>
          <w:lang w:val="en-AU"/>
        </w:rPr>
      </w:r>
      <w:r w:rsidR="00F17AE0">
        <w:rPr>
          <w:lang w:val="en-AU"/>
        </w:rPr>
        <w:fldChar w:fldCharType="separate"/>
      </w:r>
      <w:r w:rsidR="00562174" w:rsidRPr="009570CF">
        <w:t xml:space="preserve">Figure </w:t>
      </w:r>
      <w:r w:rsidR="00562174">
        <w:rPr>
          <w:noProof/>
        </w:rPr>
        <w:t>13</w:t>
      </w:r>
      <w:r w:rsidR="00F17AE0">
        <w:rPr>
          <w:lang w:val="en-AU"/>
        </w:rPr>
        <w:fldChar w:fldCharType="end"/>
      </w:r>
      <w:r w:rsidR="002D125B" w:rsidRPr="000D119D">
        <w:rPr>
          <w:lang w:val="en-AU"/>
        </w:rPr>
        <w:t xml:space="preserve">) </w:t>
      </w:r>
      <w:r w:rsidR="00572F41" w:rsidRPr="000D119D">
        <w:rPr>
          <w:lang w:val="en-AU"/>
        </w:rPr>
        <w:t xml:space="preserve">on the number of service contacts per episode </w:t>
      </w:r>
      <w:r w:rsidRPr="000D119D">
        <w:rPr>
          <w:lang w:val="en-AU"/>
        </w:rPr>
        <w:t>confirms</w:t>
      </w:r>
      <w:r w:rsidR="00572F41" w:rsidRPr="000D119D">
        <w:rPr>
          <w:lang w:val="en-AU"/>
        </w:rPr>
        <w:t xml:space="preserve"> that the average number of service contacts for closed episodes has increased from 5.</w:t>
      </w:r>
      <w:r w:rsidR="002C2C3F" w:rsidRPr="000D119D">
        <w:rPr>
          <w:lang w:val="en-AU"/>
        </w:rPr>
        <w:t>4</w:t>
      </w:r>
      <w:r w:rsidR="00572F41" w:rsidRPr="000D119D">
        <w:rPr>
          <w:lang w:val="en-AU"/>
        </w:rPr>
        <w:t xml:space="preserve"> from the interim evaluation to 7.6.</w:t>
      </w:r>
      <w:r w:rsidR="008A579A" w:rsidRPr="000D119D">
        <w:rPr>
          <w:lang w:val="en-AU"/>
        </w:rPr>
        <w:t xml:space="preserve"> </w:t>
      </w:r>
      <w:r w:rsidR="001A2150" w:rsidRPr="001A2150">
        <w:rPr>
          <w:rFonts w:asciiTheme="majorHAnsi" w:hAnsiTheme="majorHAnsi" w:cstheme="majorHAnsi"/>
          <w:lang w:val="en-AU"/>
        </w:rPr>
        <w:t xml:space="preserve">This indicates that while there are less new clients entering into </w:t>
      </w:r>
      <w:proofErr w:type="spellStart"/>
      <w:r w:rsidR="001A2150" w:rsidRPr="001A2150">
        <w:rPr>
          <w:rFonts w:asciiTheme="majorHAnsi" w:hAnsiTheme="majorHAnsi" w:cstheme="majorHAnsi"/>
          <w:i/>
          <w:iCs/>
          <w:lang w:val="en-AU"/>
        </w:rPr>
        <w:t>HeadtoHelp</w:t>
      </w:r>
      <w:proofErr w:type="spellEnd"/>
      <w:r w:rsidR="001A2150" w:rsidRPr="001A2150">
        <w:rPr>
          <w:rFonts w:asciiTheme="majorHAnsi" w:hAnsiTheme="majorHAnsi" w:cstheme="majorHAnsi"/>
          <w:lang w:val="en-AU"/>
        </w:rPr>
        <w:t xml:space="preserve">, the hubs are </w:t>
      </w:r>
      <w:r w:rsidR="00B60BB0">
        <w:rPr>
          <w:rFonts w:asciiTheme="majorHAnsi" w:hAnsiTheme="majorHAnsi" w:cstheme="majorHAnsi"/>
          <w:lang w:val="en-AU"/>
        </w:rPr>
        <w:t xml:space="preserve">increasingly busy and </w:t>
      </w:r>
      <w:r w:rsidR="001A2150" w:rsidRPr="001A2150">
        <w:rPr>
          <w:rFonts w:asciiTheme="majorHAnsi" w:hAnsiTheme="majorHAnsi" w:cstheme="majorHAnsi"/>
          <w:lang w:val="en-AU"/>
        </w:rPr>
        <w:t>operating at capacity</w:t>
      </w:r>
      <w:r w:rsidR="001A2150">
        <w:rPr>
          <w:lang w:val="en-AU"/>
        </w:rPr>
        <w:t xml:space="preserve">. </w:t>
      </w:r>
      <w:r w:rsidR="00B60BB0">
        <w:rPr>
          <w:lang w:val="en-AU"/>
        </w:rPr>
        <w:t xml:space="preserve">This also </w:t>
      </w:r>
      <w:r w:rsidR="00B60BB0">
        <w:t>supports the hypothesis above that number of calls to the 1800 number are in decline as referrers know the hubs are at capacity.</w:t>
      </w:r>
    </w:p>
    <w:p w14:paraId="2C12F8B8" w14:textId="1F028431" w:rsidR="003341BF" w:rsidRPr="000D119D" w:rsidRDefault="0084754B" w:rsidP="00FE63B9">
      <w:pPr>
        <w:rPr>
          <w:lang w:val="en-AU"/>
        </w:rPr>
      </w:pPr>
      <w:r w:rsidRPr="000D119D">
        <w:rPr>
          <w:lang w:val="en-AU"/>
        </w:rPr>
        <w:lastRenderedPageBreak/>
        <w:t xml:space="preserve">Looking at the volume of first service contacts by PHN, there are three broad trends </w:t>
      </w:r>
      <w:r w:rsidR="005E5ED2" w:rsidRPr="000D119D">
        <w:rPr>
          <w:lang w:val="en-AU"/>
        </w:rPr>
        <w:t>occurring</w:t>
      </w:r>
      <w:r w:rsidR="000D2820" w:rsidRPr="000D119D">
        <w:rPr>
          <w:lang w:val="en-AU"/>
        </w:rPr>
        <w:t xml:space="preserve"> (</w:t>
      </w:r>
      <w:r w:rsidR="000D2820" w:rsidRPr="000D119D">
        <w:rPr>
          <w:lang w:val="en-AU"/>
        </w:rPr>
        <w:fldChar w:fldCharType="begin"/>
      </w:r>
      <w:r w:rsidR="000D2820" w:rsidRPr="000D119D">
        <w:rPr>
          <w:lang w:val="en-AU"/>
        </w:rPr>
        <w:instrText xml:space="preserve"> REF _Ref96959140 \h </w:instrText>
      </w:r>
      <w:r w:rsidR="000D2820" w:rsidRPr="000D119D">
        <w:rPr>
          <w:lang w:val="en-AU"/>
        </w:rPr>
      </w:r>
      <w:r w:rsidR="000D2820" w:rsidRPr="000D119D">
        <w:rPr>
          <w:lang w:val="en-AU"/>
        </w:rPr>
        <w:fldChar w:fldCharType="separate"/>
      </w:r>
      <w:r w:rsidR="00562174" w:rsidRPr="000D119D">
        <w:t xml:space="preserve">Figure </w:t>
      </w:r>
      <w:r w:rsidR="00562174">
        <w:rPr>
          <w:noProof/>
        </w:rPr>
        <w:t>16</w:t>
      </w:r>
      <w:r w:rsidR="000D2820" w:rsidRPr="000D119D">
        <w:rPr>
          <w:lang w:val="en-AU"/>
        </w:rPr>
        <w:fldChar w:fldCharType="end"/>
      </w:r>
      <w:r w:rsidR="000D2820" w:rsidRPr="000D119D">
        <w:rPr>
          <w:lang w:val="en-AU"/>
        </w:rPr>
        <w:t>)</w:t>
      </w:r>
      <w:r w:rsidR="005E5ED2" w:rsidRPr="000D119D">
        <w:rPr>
          <w:lang w:val="en-AU"/>
        </w:rPr>
        <w:t xml:space="preserve">. </w:t>
      </w:r>
      <w:r w:rsidR="006E1AD9" w:rsidRPr="000D119D">
        <w:rPr>
          <w:lang w:val="en-AU"/>
        </w:rPr>
        <w:t xml:space="preserve">There is an increase </w:t>
      </w:r>
      <w:r w:rsidR="003B23FB" w:rsidRPr="000D119D">
        <w:rPr>
          <w:lang w:val="en-AU"/>
        </w:rPr>
        <w:t xml:space="preserve">in first </w:t>
      </w:r>
      <w:r w:rsidR="00364921" w:rsidRPr="000D119D">
        <w:rPr>
          <w:lang w:val="en-AU"/>
        </w:rPr>
        <w:t>service contacts</w:t>
      </w:r>
      <w:r w:rsidR="006E1AD9" w:rsidRPr="000D119D">
        <w:rPr>
          <w:lang w:val="en-AU"/>
        </w:rPr>
        <w:t xml:space="preserve"> in </w:t>
      </w:r>
      <w:r w:rsidR="00160D51" w:rsidRPr="000D119D">
        <w:rPr>
          <w:lang w:val="en-AU"/>
        </w:rPr>
        <w:t>EMPHN</w:t>
      </w:r>
      <w:r w:rsidR="006E1AD9" w:rsidRPr="000D119D">
        <w:rPr>
          <w:lang w:val="en-AU"/>
        </w:rPr>
        <w:t xml:space="preserve">, </w:t>
      </w:r>
      <w:r w:rsidR="00160D51" w:rsidRPr="000D119D">
        <w:rPr>
          <w:lang w:val="en-AU"/>
        </w:rPr>
        <w:t>GPHN</w:t>
      </w:r>
      <w:r w:rsidR="006E1AD9" w:rsidRPr="000D119D">
        <w:rPr>
          <w:lang w:val="en-AU"/>
        </w:rPr>
        <w:t xml:space="preserve"> and </w:t>
      </w:r>
      <w:r w:rsidR="00160D51" w:rsidRPr="000D119D">
        <w:rPr>
          <w:lang w:val="en-AU"/>
        </w:rPr>
        <w:t>MPHN</w:t>
      </w:r>
      <w:r w:rsidR="009A4ED6" w:rsidRPr="000D119D">
        <w:rPr>
          <w:lang w:val="en-AU"/>
        </w:rPr>
        <w:t xml:space="preserve"> from September 2020</w:t>
      </w:r>
      <w:r w:rsidR="00065946" w:rsidRPr="000D119D">
        <w:rPr>
          <w:lang w:val="en-AU"/>
        </w:rPr>
        <w:t xml:space="preserve">, peaking in March 2021 for </w:t>
      </w:r>
      <w:r w:rsidR="00160D51" w:rsidRPr="000D119D">
        <w:rPr>
          <w:lang w:val="en-AU"/>
        </w:rPr>
        <w:t>EMPHN</w:t>
      </w:r>
      <w:r w:rsidR="00065946" w:rsidRPr="000D119D">
        <w:rPr>
          <w:lang w:val="en-AU"/>
        </w:rPr>
        <w:t xml:space="preserve"> and </w:t>
      </w:r>
      <w:r w:rsidR="00160D51" w:rsidRPr="000D119D">
        <w:rPr>
          <w:lang w:val="en-AU"/>
        </w:rPr>
        <w:t>GPHN</w:t>
      </w:r>
      <w:r w:rsidR="00065946" w:rsidRPr="000D119D">
        <w:rPr>
          <w:lang w:val="en-AU"/>
        </w:rPr>
        <w:t xml:space="preserve"> and in </w:t>
      </w:r>
      <w:r w:rsidR="00B860DC" w:rsidRPr="000D119D">
        <w:rPr>
          <w:lang w:val="en-AU"/>
        </w:rPr>
        <w:t xml:space="preserve">June 2021 for </w:t>
      </w:r>
      <w:r w:rsidR="00160D51" w:rsidRPr="000D119D">
        <w:rPr>
          <w:lang w:val="en-AU"/>
        </w:rPr>
        <w:t>MPHN</w:t>
      </w:r>
      <w:r w:rsidR="00B860DC" w:rsidRPr="000D119D">
        <w:rPr>
          <w:lang w:val="en-AU"/>
        </w:rPr>
        <w:t xml:space="preserve">, before </w:t>
      </w:r>
      <w:r w:rsidR="003E41AC" w:rsidRPr="000D119D">
        <w:rPr>
          <w:lang w:val="en-AU"/>
        </w:rPr>
        <w:t>showing a steady</w:t>
      </w:r>
      <w:r w:rsidR="007D42A9" w:rsidRPr="000D119D">
        <w:rPr>
          <w:lang w:val="en-AU"/>
        </w:rPr>
        <w:t xml:space="preserve"> </w:t>
      </w:r>
      <w:r w:rsidR="003E41AC" w:rsidRPr="000D119D">
        <w:rPr>
          <w:lang w:val="en-AU"/>
        </w:rPr>
        <w:t xml:space="preserve">decrease to February 2022. </w:t>
      </w:r>
      <w:r w:rsidR="00AB45D0" w:rsidRPr="000D119D">
        <w:rPr>
          <w:lang w:val="en-AU"/>
        </w:rPr>
        <w:t xml:space="preserve">It should also be noted that from October 2021, </w:t>
      </w:r>
      <w:r w:rsidR="00160D51" w:rsidRPr="000D119D">
        <w:rPr>
          <w:lang w:val="en-AU"/>
        </w:rPr>
        <w:t>EMPHN</w:t>
      </w:r>
      <w:r w:rsidR="00AB45D0" w:rsidRPr="000D119D">
        <w:rPr>
          <w:lang w:val="en-AU"/>
        </w:rPr>
        <w:t xml:space="preserve"> saw rolling </w:t>
      </w:r>
      <w:r w:rsidR="009B6D3D">
        <w:rPr>
          <w:lang w:val="en-AU"/>
        </w:rPr>
        <w:t>seven</w:t>
      </w:r>
      <w:r w:rsidR="00AB45D0" w:rsidRPr="000D119D">
        <w:rPr>
          <w:lang w:val="en-AU"/>
        </w:rPr>
        <w:t>-day average of less than two first service contacts</w:t>
      </w:r>
      <w:r w:rsidR="009C78A5" w:rsidRPr="000D119D">
        <w:rPr>
          <w:lang w:val="en-AU"/>
        </w:rPr>
        <w:t xml:space="preserve">, meaning that the PHN had less than two new clients on average </w:t>
      </w:r>
      <w:r w:rsidR="00D34BBC" w:rsidRPr="000D119D">
        <w:rPr>
          <w:lang w:val="en-AU"/>
        </w:rPr>
        <w:t>every day</w:t>
      </w:r>
      <w:r w:rsidR="009C78A5" w:rsidRPr="000D119D">
        <w:rPr>
          <w:lang w:val="en-AU"/>
        </w:rPr>
        <w:t xml:space="preserve"> from October 2021.</w:t>
      </w:r>
      <w:r w:rsidR="00AB45D0" w:rsidRPr="000D119D">
        <w:rPr>
          <w:lang w:val="en-AU"/>
        </w:rPr>
        <w:t xml:space="preserve"> </w:t>
      </w:r>
      <w:r w:rsidR="00160D51" w:rsidRPr="000D119D">
        <w:rPr>
          <w:lang w:val="en-AU"/>
        </w:rPr>
        <w:t>SEMPHN</w:t>
      </w:r>
      <w:r w:rsidR="00160D51">
        <w:rPr>
          <w:lang w:val="en-AU"/>
        </w:rPr>
        <w:t xml:space="preserve"> </w:t>
      </w:r>
      <w:r w:rsidR="003B1E09" w:rsidRPr="000D119D">
        <w:rPr>
          <w:lang w:val="en-AU"/>
        </w:rPr>
        <w:t xml:space="preserve">shows </w:t>
      </w:r>
      <w:r w:rsidR="00370E17" w:rsidRPr="000D119D">
        <w:rPr>
          <w:lang w:val="en-AU"/>
        </w:rPr>
        <w:t xml:space="preserve">service contacts </w:t>
      </w:r>
      <w:r w:rsidR="00CA53CD" w:rsidRPr="000D119D">
        <w:rPr>
          <w:lang w:val="en-AU"/>
        </w:rPr>
        <w:t xml:space="preserve">peaking in October 2020 and April 2021 before </w:t>
      </w:r>
      <w:r w:rsidR="00696C0A" w:rsidRPr="000D119D">
        <w:rPr>
          <w:lang w:val="en-AU"/>
        </w:rPr>
        <w:t xml:space="preserve">plateauing at a lower level from May 2021 to February 2022. </w:t>
      </w:r>
      <w:r w:rsidR="007D42A9" w:rsidRPr="000D119D">
        <w:rPr>
          <w:lang w:val="en-AU"/>
        </w:rPr>
        <w:t xml:space="preserve">Finally, service contacts in </w:t>
      </w:r>
      <w:r w:rsidR="00572AB3">
        <w:rPr>
          <w:lang w:val="en-AU"/>
        </w:rPr>
        <w:t>NWMPHN</w:t>
      </w:r>
      <w:r w:rsidR="007D42A9" w:rsidRPr="000D119D">
        <w:rPr>
          <w:lang w:val="en-AU"/>
        </w:rPr>
        <w:t xml:space="preserve"> and </w:t>
      </w:r>
      <w:r w:rsidR="00572AB3">
        <w:rPr>
          <w:lang w:val="en-AU"/>
        </w:rPr>
        <w:t>WVPHN</w:t>
      </w:r>
      <w:r w:rsidR="007D42A9" w:rsidRPr="000D119D">
        <w:rPr>
          <w:lang w:val="en-AU"/>
        </w:rPr>
        <w:t xml:space="preserve"> have remained </w:t>
      </w:r>
      <w:proofErr w:type="gramStart"/>
      <w:r w:rsidR="007D42A9" w:rsidRPr="000D119D">
        <w:rPr>
          <w:lang w:val="en-AU"/>
        </w:rPr>
        <w:t>fairly consistent</w:t>
      </w:r>
      <w:proofErr w:type="gramEnd"/>
      <w:r w:rsidR="007D42A9" w:rsidRPr="000D119D">
        <w:rPr>
          <w:lang w:val="en-AU"/>
        </w:rPr>
        <w:t xml:space="preserve"> from September 2020 to February 2022. </w:t>
      </w:r>
    </w:p>
    <w:p w14:paraId="1EA39F9F" w14:textId="09A3875F" w:rsidR="009F070D" w:rsidRDefault="003E5BEC" w:rsidP="00FE63B9">
      <w:pPr>
        <w:rPr>
          <w:lang w:val="en-AU"/>
        </w:rPr>
      </w:pPr>
      <w:r>
        <w:rPr>
          <w:lang w:val="en-AU"/>
        </w:rPr>
        <w:t xml:space="preserve">It should be noted </w:t>
      </w:r>
      <w:r w:rsidR="009F070D">
        <w:rPr>
          <w:lang w:val="en-AU"/>
        </w:rPr>
        <w:t>that EMPHN has almost doubled its proportion of total service contacts since the Interim Evaluation Report (</w:t>
      </w:r>
      <w:r w:rsidR="00E96958">
        <w:rPr>
          <w:lang w:val="en-AU"/>
        </w:rPr>
        <w:t>ten</w:t>
      </w:r>
      <w:r w:rsidR="009F070D">
        <w:rPr>
          <w:lang w:val="en-AU"/>
        </w:rPr>
        <w:t xml:space="preserve"> per cent to 19 per cent). This can be attributed to </w:t>
      </w:r>
      <w:r w:rsidR="00CB6988">
        <w:rPr>
          <w:lang w:val="en-AU"/>
        </w:rPr>
        <w:t>the</w:t>
      </w:r>
      <w:r w:rsidR="009F070D">
        <w:rPr>
          <w:lang w:val="en-AU"/>
        </w:rPr>
        <w:t xml:space="preserve"> high number of service contacts per episode</w:t>
      </w:r>
      <w:r w:rsidR="00CB6988">
        <w:rPr>
          <w:lang w:val="en-AU"/>
        </w:rPr>
        <w:t xml:space="preserve"> in EMPHN relative to the other PHNs</w:t>
      </w:r>
      <w:r w:rsidR="009F070D">
        <w:rPr>
          <w:lang w:val="en-AU"/>
        </w:rPr>
        <w:t>. EMPHN has the second highest number of service contacts per closed episodes (10.4)</w:t>
      </w:r>
      <w:r w:rsidR="001926A2">
        <w:rPr>
          <w:lang w:val="en-AU"/>
        </w:rPr>
        <w:t xml:space="preserve"> and </w:t>
      </w:r>
      <w:r w:rsidR="00CB6988">
        <w:rPr>
          <w:lang w:val="en-AU"/>
        </w:rPr>
        <w:t xml:space="preserve">the highest number of episodes longer than 45 days, along with the episode with the highest number of contacts (154). See </w:t>
      </w:r>
      <w:r w:rsidR="00FB3E76">
        <w:rPr>
          <w:lang w:val="en-AU"/>
        </w:rPr>
        <w:fldChar w:fldCharType="begin"/>
      </w:r>
      <w:r w:rsidR="00FB3E76">
        <w:rPr>
          <w:lang w:val="en-AU"/>
        </w:rPr>
        <w:instrText xml:space="preserve"> REF _Ref97026620 \h </w:instrText>
      </w:r>
      <w:r w:rsidR="00FB3E76">
        <w:rPr>
          <w:lang w:val="en-AU"/>
        </w:rPr>
      </w:r>
      <w:r w:rsidR="00FB3E76">
        <w:rPr>
          <w:lang w:val="en-AU"/>
        </w:rPr>
        <w:fldChar w:fldCharType="separate"/>
      </w:r>
      <w:r w:rsidR="00562174" w:rsidRPr="000D119D">
        <w:t xml:space="preserve">Figure </w:t>
      </w:r>
      <w:r w:rsidR="00562174">
        <w:rPr>
          <w:noProof/>
        </w:rPr>
        <w:t>16</w:t>
      </w:r>
      <w:r w:rsidR="00FB3E76">
        <w:rPr>
          <w:lang w:val="en-AU"/>
        </w:rPr>
        <w:fldChar w:fldCharType="end"/>
      </w:r>
      <w:r w:rsidR="00694970">
        <w:rPr>
          <w:lang w:val="en-AU"/>
        </w:rPr>
        <w:t xml:space="preserve"> for more details. </w:t>
      </w:r>
    </w:p>
    <w:p w14:paraId="30DF4A5A" w14:textId="3FE41CD1" w:rsidR="00D7392B" w:rsidRPr="000D119D" w:rsidRDefault="00D7392B" w:rsidP="00D7392B">
      <w:pPr>
        <w:pStyle w:val="Caption"/>
      </w:pPr>
      <w:bookmarkStart w:id="62" w:name="_Ref96959140"/>
      <w:bookmarkStart w:id="63" w:name="_Ref97026620"/>
      <w:r w:rsidRPr="000D119D">
        <w:t xml:space="preserve">Figure </w:t>
      </w:r>
      <w:r w:rsidR="00C90990">
        <w:fldChar w:fldCharType="begin"/>
      </w:r>
      <w:r w:rsidR="00C90990">
        <w:instrText xml:space="preserve"> SEQ Figure \* ARABIC </w:instrText>
      </w:r>
      <w:r w:rsidR="00C90990">
        <w:fldChar w:fldCharType="separate"/>
      </w:r>
      <w:r w:rsidR="00562174">
        <w:rPr>
          <w:noProof/>
        </w:rPr>
        <w:t>16</w:t>
      </w:r>
      <w:r w:rsidR="00C90990">
        <w:fldChar w:fldCharType="end"/>
      </w:r>
      <w:bookmarkEnd w:id="62"/>
      <w:bookmarkEnd w:id="63"/>
      <w:r w:rsidRPr="000D119D">
        <w:t xml:space="preserve"> | Count of first service contacts by PHN</w:t>
      </w:r>
    </w:p>
    <w:p w14:paraId="4773940F" w14:textId="5ED27E7D" w:rsidR="0030412E" w:rsidRDefault="009A604B" w:rsidP="0030412E">
      <w:pPr>
        <w:rPr>
          <w:lang w:val="en-AU"/>
        </w:rPr>
      </w:pPr>
      <w:r w:rsidRPr="009A604B">
        <w:rPr>
          <w:noProof/>
        </w:rPr>
        <w:drawing>
          <wp:inline distT="0" distB="0" distL="0" distR="0" wp14:anchorId="5639EA2C" wp14:editId="79011B6C">
            <wp:extent cx="5670550" cy="4761230"/>
            <wp:effectExtent l="0" t="0" r="6350" b="1270"/>
            <wp:docPr id="51" name="Picture 51" descr="Figure 15 is a collection of line graphs showing the count of first service contacts by PH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15 is a collection of line graphs showing the count of first service contacts by PHN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70550" cy="4761230"/>
                    </a:xfrm>
                    <a:prstGeom prst="rect">
                      <a:avLst/>
                    </a:prstGeom>
                    <a:noFill/>
                    <a:ln>
                      <a:noFill/>
                    </a:ln>
                  </pic:spPr>
                </pic:pic>
              </a:graphicData>
            </a:graphic>
          </wp:inline>
        </w:drawing>
      </w:r>
    </w:p>
    <w:p w14:paraId="55F74BEB" w14:textId="735CBAB5" w:rsidR="00F457DD" w:rsidRPr="000D119D" w:rsidRDefault="00F457DD" w:rsidP="00C17B5C">
      <w:pPr>
        <w:pStyle w:val="Heading3"/>
      </w:pPr>
      <w:bookmarkStart w:id="64" w:name="_Toc99650343"/>
      <w:proofErr w:type="spellStart"/>
      <w:r w:rsidRPr="00436D8F">
        <w:rPr>
          <w:i/>
        </w:rPr>
        <w:t>Headtohelp</w:t>
      </w:r>
      <w:proofErr w:type="spellEnd"/>
      <w:r w:rsidRPr="000D119D">
        <w:t xml:space="preserve"> participant</w:t>
      </w:r>
      <w:r w:rsidR="0052649A" w:rsidRPr="000D119D">
        <w:t>s</w:t>
      </w:r>
      <w:bookmarkEnd w:id="64"/>
      <w:r w:rsidR="0052649A" w:rsidRPr="000D119D">
        <w:t xml:space="preserve"> </w:t>
      </w:r>
    </w:p>
    <w:p w14:paraId="1AE75E15" w14:textId="15F5F1E6" w:rsidR="0052649A" w:rsidRPr="000D119D" w:rsidRDefault="00240D40" w:rsidP="00BE0860">
      <w:pPr>
        <w:pStyle w:val="Heading4"/>
      </w:pPr>
      <w:proofErr w:type="spellStart"/>
      <w:r w:rsidRPr="00660E8F">
        <w:rPr>
          <w:i/>
        </w:rPr>
        <w:t>Headtohelp</w:t>
      </w:r>
      <w:proofErr w:type="spellEnd"/>
      <w:r w:rsidRPr="000D119D">
        <w:t xml:space="preserve"> participants were typically female</w:t>
      </w:r>
      <w:r w:rsidR="001F016D" w:rsidRPr="000D119D">
        <w:t xml:space="preserve">, </w:t>
      </w:r>
      <w:proofErr w:type="gramStart"/>
      <w:r w:rsidR="001F016D" w:rsidRPr="000D119D">
        <w:t>English-speaking</w:t>
      </w:r>
      <w:proofErr w:type="gramEnd"/>
      <w:r w:rsidR="00EE6C37" w:rsidRPr="000D119D">
        <w:t xml:space="preserve"> and</w:t>
      </w:r>
      <w:r w:rsidRPr="000D119D">
        <w:t xml:space="preserve"> aged over 2</w:t>
      </w:r>
      <w:r w:rsidR="004C3CA1" w:rsidRPr="000D119D">
        <w:t>5</w:t>
      </w:r>
    </w:p>
    <w:p w14:paraId="39110E2A" w14:textId="31BA0E91" w:rsidR="0052649A" w:rsidRPr="000D119D" w:rsidRDefault="0052649A" w:rsidP="0052649A">
      <w:pPr>
        <w:rPr>
          <w:lang w:val="en-AU"/>
        </w:rPr>
      </w:pPr>
      <w:r w:rsidRPr="000D119D">
        <w:rPr>
          <w:lang w:val="en-AU"/>
        </w:rPr>
        <w:t>Participants’ demographics were evaluated based on the following variables:</w:t>
      </w:r>
    </w:p>
    <w:p w14:paraId="5E59467C" w14:textId="57D5EABB" w:rsidR="0052649A" w:rsidRPr="000D119D" w:rsidRDefault="006C1F7D" w:rsidP="0052649A">
      <w:pPr>
        <w:rPr>
          <w:lang w:val="en-AU"/>
        </w:rPr>
      </w:pPr>
      <w:r w:rsidRPr="006C1F7D">
        <w:rPr>
          <w:noProof/>
        </w:rPr>
        <w:lastRenderedPageBreak/>
        <w:drawing>
          <wp:inline distT="0" distB="0" distL="0" distR="0" wp14:anchorId="47B7DA79" wp14:editId="26F3574D">
            <wp:extent cx="5670550" cy="1245235"/>
            <wp:effectExtent l="0" t="0" r="6350" b="0"/>
            <wp:docPr id="35" name="Picture 35" descr="List of variables, including gender, age, Aboriginal and/or Torres Strait Islander status and language spoken at h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ist of variables, including gender, age, Aboriginal and/or Torres Strait Islander status and language spoken at home.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70550" cy="1245235"/>
                    </a:xfrm>
                    <a:prstGeom prst="rect">
                      <a:avLst/>
                    </a:prstGeom>
                    <a:noFill/>
                    <a:ln>
                      <a:noFill/>
                    </a:ln>
                  </pic:spPr>
                </pic:pic>
              </a:graphicData>
            </a:graphic>
          </wp:inline>
        </w:drawing>
      </w:r>
    </w:p>
    <w:p w14:paraId="21F1EC19" w14:textId="6BD8D99E" w:rsidR="0052649A" w:rsidRPr="000D119D" w:rsidRDefault="0072285E" w:rsidP="0052649A">
      <w:pPr>
        <w:rPr>
          <w:lang w:val="en-AU"/>
        </w:rPr>
      </w:pPr>
      <w:r w:rsidRPr="0072285E">
        <w:rPr>
          <w:rFonts w:asciiTheme="majorHAnsi" w:hAnsiTheme="majorHAnsi" w:cstheme="majorHAnsi"/>
          <w:color w:val="00264D" w:themeColor="background2"/>
          <w:lang w:val="en-AU"/>
        </w:rPr>
        <w:t>Gender</w:t>
      </w:r>
      <w:r w:rsidR="0052649A" w:rsidRPr="000D119D">
        <w:rPr>
          <w:lang w:val="en-AU"/>
        </w:rPr>
        <w:t xml:space="preserve"> Participants are mostly female (61 per cent, n=</w:t>
      </w:r>
      <w:r w:rsidR="00431B2F" w:rsidRPr="000D119D">
        <w:rPr>
          <w:lang w:val="en-AU"/>
        </w:rPr>
        <w:t>6,116</w:t>
      </w:r>
      <w:r w:rsidR="0052649A" w:rsidRPr="000D119D">
        <w:rPr>
          <w:lang w:val="en-AU"/>
        </w:rPr>
        <w:t>), with almost twice as many female participants as male participants (3</w:t>
      </w:r>
      <w:r w:rsidR="00431B2F" w:rsidRPr="000D119D">
        <w:rPr>
          <w:lang w:val="en-AU"/>
        </w:rPr>
        <w:t>6</w:t>
      </w:r>
      <w:r w:rsidR="0052649A" w:rsidRPr="000D119D">
        <w:rPr>
          <w:lang w:val="en-AU"/>
        </w:rPr>
        <w:t xml:space="preserve"> per cent, n=</w:t>
      </w:r>
      <w:r w:rsidR="00431B2F" w:rsidRPr="000D119D">
        <w:rPr>
          <w:lang w:val="en-AU"/>
        </w:rPr>
        <w:t>3,611</w:t>
      </w:r>
      <w:r w:rsidR="0052649A" w:rsidRPr="000D119D">
        <w:rPr>
          <w:lang w:val="en-AU"/>
        </w:rPr>
        <w:t xml:space="preserve">) (see </w:t>
      </w:r>
      <w:r w:rsidR="0052649A" w:rsidRPr="000D119D">
        <w:rPr>
          <w:lang w:val="en-AU"/>
        </w:rPr>
        <w:fldChar w:fldCharType="begin"/>
      </w:r>
      <w:r w:rsidR="0052649A" w:rsidRPr="009946B4">
        <w:instrText xml:space="preserve"> REF _Ref83314056 \h  \* MERGEFORMAT </w:instrText>
      </w:r>
      <w:r w:rsidR="0052649A" w:rsidRPr="000D119D">
        <w:rPr>
          <w:lang w:val="en-AU"/>
        </w:rPr>
      </w:r>
      <w:r w:rsidR="0052649A" w:rsidRPr="000D119D">
        <w:rPr>
          <w:lang w:val="en-AU"/>
        </w:rPr>
        <w:fldChar w:fldCharType="separate"/>
      </w:r>
      <w:r w:rsidR="00562174" w:rsidRPr="00562174">
        <w:rPr>
          <w:lang w:val="en-AU"/>
        </w:rPr>
        <w:t xml:space="preserve">Figure </w:t>
      </w:r>
      <w:r w:rsidR="00562174">
        <w:t>17</w:t>
      </w:r>
      <w:r w:rsidR="0052649A" w:rsidRPr="000D119D">
        <w:rPr>
          <w:lang w:val="en-AU"/>
        </w:rPr>
        <w:fldChar w:fldCharType="end"/>
      </w:r>
      <w:r w:rsidR="0052649A" w:rsidRPr="000D119D">
        <w:rPr>
          <w:lang w:val="en-AU"/>
        </w:rPr>
        <w:t>). A further</w:t>
      </w:r>
      <w:r w:rsidR="0052649A" w:rsidRPr="000D119D" w:rsidDel="00A95D59">
        <w:rPr>
          <w:lang w:val="en-AU"/>
        </w:rPr>
        <w:t xml:space="preserve"> </w:t>
      </w:r>
      <w:r w:rsidR="00A95D59" w:rsidRPr="000D119D">
        <w:rPr>
          <w:lang w:val="en-AU"/>
        </w:rPr>
        <w:t>237</w:t>
      </w:r>
      <w:r w:rsidR="0052649A" w:rsidRPr="000D119D">
        <w:rPr>
          <w:lang w:val="en-AU"/>
        </w:rPr>
        <w:t xml:space="preserve"> participants did not state their gender or did not identify as male or female. The higher proportion of women aligns with the fact that women are typically more likely than men to seek help for mental health issues and twice as likely to present for depressive symptoms, than men.</w:t>
      </w:r>
      <w:r w:rsidR="0052649A" w:rsidRPr="000D119D">
        <w:rPr>
          <w:rStyle w:val="FootnoteReference"/>
          <w:lang w:val="en-AU"/>
        </w:rPr>
        <w:footnoteReference w:id="25"/>
      </w:r>
      <w:r w:rsidR="0052649A" w:rsidRPr="000D119D">
        <w:rPr>
          <w:lang w:val="en-AU"/>
        </w:rPr>
        <w:t xml:space="preserve"> Women over the age of 25 accounted for </w:t>
      </w:r>
      <w:r w:rsidR="00DB13E3" w:rsidRPr="000D119D">
        <w:rPr>
          <w:lang w:val="en-AU"/>
        </w:rPr>
        <w:t>67</w:t>
      </w:r>
      <w:r w:rsidR="0052649A" w:rsidRPr="000D119D">
        <w:rPr>
          <w:lang w:val="en-AU"/>
        </w:rPr>
        <w:t xml:space="preserve"> per cent of all female participants (n=</w:t>
      </w:r>
      <w:r w:rsidR="00747C77" w:rsidRPr="000D119D">
        <w:rPr>
          <w:lang w:val="en-AU"/>
        </w:rPr>
        <w:t>4,080</w:t>
      </w:r>
      <w:r w:rsidR="0052649A" w:rsidRPr="000D119D">
        <w:rPr>
          <w:lang w:val="en-AU"/>
        </w:rPr>
        <w:t>) or 4</w:t>
      </w:r>
      <w:r w:rsidR="00E05DF1" w:rsidRPr="000D119D">
        <w:rPr>
          <w:lang w:val="en-AU"/>
        </w:rPr>
        <w:t>1</w:t>
      </w:r>
      <w:r w:rsidR="0052649A" w:rsidRPr="000D119D">
        <w:rPr>
          <w:lang w:val="en-AU"/>
        </w:rPr>
        <w:t xml:space="preserve"> per cent of all participants. </w:t>
      </w:r>
    </w:p>
    <w:p w14:paraId="58FB47E2" w14:textId="5C6F614A" w:rsidR="0052649A" w:rsidRPr="000D119D" w:rsidRDefault="0052649A" w:rsidP="0052649A">
      <w:pPr>
        <w:rPr>
          <w:lang w:val="en-AU"/>
        </w:rPr>
      </w:pPr>
      <w:r w:rsidRPr="0072285E">
        <w:rPr>
          <w:rFonts w:asciiTheme="majorHAnsi" w:hAnsiTheme="majorHAnsi" w:cstheme="majorHAnsi"/>
          <w:color w:val="2E368F" w:themeColor="text2"/>
          <w:lang w:val="en-AU"/>
        </w:rPr>
        <w:t>A</w:t>
      </w:r>
      <w:r w:rsidR="0072285E" w:rsidRPr="0072285E">
        <w:rPr>
          <w:rFonts w:asciiTheme="majorHAnsi" w:hAnsiTheme="majorHAnsi" w:cstheme="majorHAnsi"/>
          <w:color w:val="2E368F" w:themeColor="text2"/>
          <w:lang w:val="en-AU"/>
        </w:rPr>
        <w:t>ge</w:t>
      </w:r>
      <w:r w:rsidRPr="000D119D">
        <w:rPr>
          <w:rStyle w:val="FootnoteReference"/>
          <w:rFonts w:asciiTheme="majorHAnsi" w:hAnsiTheme="majorHAnsi" w:cstheme="majorHAnsi"/>
          <w:lang w:val="en-AU"/>
        </w:rPr>
        <w:footnoteReference w:id="26"/>
      </w:r>
      <w:r w:rsidRPr="000D119D">
        <w:rPr>
          <w:rFonts w:asciiTheme="majorHAnsi" w:hAnsiTheme="majorHAnsi" w:cstheme="majorHAnsi"/>
          <w:lang w:val="en-AU"/>
        </w:rPr>
        <w:t>.</w:t>
      </w:r>
      <w:r w:rsidRPr="000D119D">
        <w:rPr>
          <w:lang w:val="en-AU"/>
        </w:rPr>
        <w:t xml:space="preserve"> </w:t>
      </w:r>
      <w:proofErr w:type="gramStart"/>
      <w:r w:rsidRPr="000D119D">
        <w:rPr>
          <w:lang w:val="en-AU"/>
        </w:rPr>
        <w:t>The majority of</w:t>
      </w:r>
      <w:proofErr w:type="gramEnd"/>
      <w:r w:rsidRPr="000D119D">
        <w:rPr>
          <w:lang w:val="en-AU"/>
        </w:rPr>
        <w:t xml:space="preserve"> participants were adults (25+, </w:t>
      </w:r>
      <w:r w:rsidR="00595B91" w:rsidRPr="000D119D">
        <w:rPr>
          <w:lang w:val="en-AU"/>
        </w:rPr>
        <w:t>67</w:t>
      </w:r>
      <w:r w:rsidRPr="000D119D">
        <w:rPr>
          <w:lang w:val="en-AU"/>
        </w:rPr>
        <w:t xml:space="preserve"> per cent, n=</w:t>
      </w:r>
      <w:r w:rsidR="0043300C" w:rsidRPr="000D119D">
        <w:rPr>
          <w:lang w:val="en-AU"/>
        </w:rPr>
        <w:t>6,679</w:t>
      </w:r>
      <w:r w:rsidRPr="000D119D">
        <w:rPr>
          <w:lang w:val="en-AU"/>
        </w:rPr>
        <w:t xml:space="preserve">). </w:t>
      </w:r>
      <w:r w:rsidR="001F016D" w:rsidRPr="000D119D">
        <w:rPr>
          <w:lang w:val="en-AU"/>
        </w:rPr>
        <w:t>Sixteen</w:t>
      </w:r>
      <w:r w:rsidRPr="000D119D">
        <w:rPr>
          <w:lang w:val="en-AU"/>
        </w:rPr>
        <w:t xml:space="preserve"> per cent of participants were youth (19</w:t>
      </w:r>
      <w:r w:rsidR="008A2476">
        <w:rPr>
          <w:lang w:val="en-AU"/>
        </w:rPr>
        <w:t xml:space="preserve"> to </w:t>
      </w:r>
      <w:r w:rsidRPr="000D119D">
        <w:rPr>
          <w:lang w:val="en-AU"/>
        </w:rPr>
        <w:t>25, n=</w:t>
      </w:r>
      <w:r w:rsidR="00595B91" w:rsidRPr="000D119D">
        <w:rPr>
          <w:lang w:val="en-AU"/>
        </w:rPr>
        <w:t>1,609</w:t>
      </w:r>
      <w:r w:rsidRPr="000D119D">
        <w:rPr>
          <w:lang w:val="en-AU"/>
        </w:rPr>
        <w:t>), 1</w:t>
      </w:r>
      <w:r w:rsidR="00E315E7" w:rsidRPr="000D119D">
        <w:rPr>
          <w:lang w:val="en-AU"/>
        </w:rPr>
        <w:t>2</w:t>
      </w:r>
      <w:r w:rsidRPr="000D119D">
        <w:rPr>
          <w:lang w:val="en-AU"/>
        </w:rPr>
        <w:t xml:space="preserve"> per cent were adolescents (12</w:t>
      </w:r>
      <w:r w:rsidR="008A2476">
        <w:rPr>
          <w:lang w:val="en-AU"/>
        </w:rPr>
        <w:t xml:space="preserve"> to </w:t>
      </w:r>
      <w:r w:rsidRPr="000D119D">
        <w:rPr>
          <w:lang w:val="en-AU"/>
        </w:rPr>
        <w:t>18, n=</w:t>
      </w:r>
      <w:r w:rsidR="00E315E7" w:rsidRPr="000D119D">
        <w:rPr>
          <w:lang w:val="en-AU"/>
        </w:rPr>
        <w:t>1,181</w:t>
      </w:r>
      <w:r w:rsidRPr="000D119D">
        <w:rPr>
          <w:lang w:val="en-AU"/>
        </w:rPr>
        <w:t xml:space="preserve">), and </w:t>
      </w:r>
      <w:r w:rsidR="00660E8F">
        <w:rPr>
          <w:lang w:val="en-AU"/>
        </w:rPr>
        <w:t>five</w:t>
      </w:r>
      <w:r w:rsidRPr="000D119D">
        <w:rPr>
          <w:lang w:val="en-AU"/>
        </w:rPr>
        <w:t xml:space="preserve"> per cent were children (under 12, n=</w:t>
      </w:r>
      <w:r w:rsidR="00E315E7" w:rsidRPr="000D119D">
        <w:rPr>
          <w:lang w:val="en-AU"/>
        </w:rPr>
        <w:t>482</w:t>
      </w:r>
      <w:r w:rsidRPr="000D119D">
        <w:rPr>
          <w:lang w:val="en-AU"/>
        </w:rPr>
        <w:t xml:space="preserve">). There were approximately twice as many females across these age groups seeking help, mirroring what was seen in the adult age groups. </w:t>
      </w:r>
      <w:r w:rsidR="001F016D" w:rsidRPr="000D119D">
        <w:rPr>
          <w:lang w:val="en-AU"/>
        </w:rPr>
        <w:t>Qualitatively</w:t>
      </w:r>
      <w:r w:rsidR="00513412" w:rsidRPr="000D119D">
        <w:rPr>
          <w:lang w:val="en-AU"/>
        </w:rPr>
        <w:t>, hubs</w:t>
      </w:r>
      <w:r w:rsidRPr="000D119D">
        <w:rPr>
          <w:lang w:val="en-AU"/>
        </w:rPr>
        <w:t xml:space="preserve"> and clinicians report that meeting needs for children, adolescents and youth posed a significant challenge, largely since the child and youth mental health workforce is extremely limited and it was difficult to recruit for this position. </w:t>
      </w:r>
    </w:p>
    <w:p w14:paraId="331B6589" w14:textId="3127218B" w:rsidR="0052649A" w:rsidRPr="000D119D" w:rsidRDefault="0052649A" w:rsidP="0052649A">
      <w:pPr>
        <w:pStyle w:val="Caption"/>
      </w:pPr>
      <w:bookmarkStart w:id="65" w:name="_Ref83312944"/>
      <w:bookmarkStart w:id="66" w:name="_Ref83314056"/>
      <w:r w:rsidRPr="000D119D">
        <w:lastRenderedPageBreak/>
        <w:t xml:space="preserve">Figure </w:t>
      </w:r>
      <w:r w:rsidR="00C90990">
        <w:fldChar w:fldCharType="begin"/>
      </w:r>
      <w:r w:rsidR="00C90990">
        <w:instrText xml:space="preserve"> SEQ Figure \* ARABIC </w:instrText>
      </w:r>
      <w:r w:rsidR="00C90990">
        <w:fldChar w:fldCharType="separate"/>
      </w:r>
      <w:r w:rsidR="00562174">
        <w:rPr>
          <w:noProof/>
        </w:rPr>
        <w:t>17</w:t>
      </w:r>
      <w:r w:rsidR="00C90990">
        <w:fldChar w:fldCharType="end"/>
      </w:r>
      <w:bookmarkEnd w:id="65"/>
      <w:bookmarkEnd w:id="66"/>
      <w:r w:rsidRPr="000D119D">
        <w:t xml:space="preserve"> | Proportion </w:t>
      </w:r>
      <w:r w:rsidR="00770A86" w:rsidRPr="000D119D">
        <w:t xml:space="preserve">and count </w:t>
      </w:r>
      <w:r w:rsidRPr="000D119D">
        <w:t xml:space="preserve">of </w:t>
      </w:r>
      <w:r w:rsidR="00770A86" w:rsidRPr="000D119D">
        <w:t xml:space="preserve">clients </w:t>
      </w:r>
      <w:r w:rsidRPr="000D119D">
        <w:t>by age and gender</w:t>
      </w:r>
      <w:r w:rsidRPr="000D119D">
        <w:rPr>
          <w:rStyle w:val="FootnoteReference"/>
        </w:rPr>
        <w:footnoteReference w:id="27"/>
      </w:r>
    </w:p>
    <w:p w14:paraId="07AB5F43" w14:textId="75D98D1B" w:rsidR="0052649A" w:rsidRPr="009F1CB7" w:rsidRDefault="00A32180" w:rsidP="009F1CB7">
      <w:r w:rsidRPr="00A32180">
        <w:rPr>
          <w:noProof/>
        </w:rPr>
        <w:drawing>
          <wp:inline distT="0" distB="0" distL="0" distR="0" wp14:anchorId="584AC02F" wp14:editId="1B617EED">
            <wp:extent cx="5670550" cy="4893310"/>
            <wp:effectExtent l="0" t="0" r="6350" b="2540"/>
            <wp:docPr id="42" name="Picture 42" descr="Figure 17 is a collection of 2 horizontal bar graphs showing the proportion and count of clients by age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17 is a collection of 2 horizontal bar graphs showing the proportion and count of clients by age and gend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70550" cy="4893310"/>
                    </a:xfrm>
                    <a:prstGeom prst="rect">
                      <a:avLst/>
                    </a:prstGeom>
                    <a:noFill/>
                    <a:ln>
                      <a:noFill/>
                    </a:ln>
                  </pic:spPr>
                </pic:pic>
              </a:graphicData>
            </a:graphic>
          </wp:inline>
        </w:drawing>
      </w:r>
    </w:p>
    <w:p w14:paraId="41BDD6E3" w14:textId="6959BEAD" w:rsidR="00B31276" w:rsidRPr="000D119D" w:rsidRDefault="00B31276" w:rsidP="00B31276">
      <w:pPr>
        <w:rPr>
          <w:highlight w:val="cyan"/>
          <w:lang w:val="en-AU"/>
        </w:rPr>
      </w:pPr>
      <w:r w:rsidRPr="000D119D">
        <w:rPr>
          <w:lang w:val="en-AU"/>
        </w:rPr>
        <w:t xml:space="preserve">The proportion of clients seen in each age group was similar across the PHNs. Notably, </w:t>
      </w:r>
      <w:r w:rsidR="00160D51" w:rsidRPr="000D119D">
        <w:rPr>
          <w:lang w:val="en-AU"/>
        </w:rPr>
        <w:t>WVPHN</w:t>
      </w:r>
      <w:r w:rsidRPr="000D119D">
        <w:rPr>
          <w:lang w:val="en-AU"/>
        </w:rPr>
        <w:t xml:space="preserve"> delivered services to more under-12 participants (</w:t>
      </w:r>
      <w:r w:rsidR="0029220F">
        <w:rPr>
          <w:lang w:val="en-AU"/>
        </w:rPr>
        <w:t>eight</w:t>
      </w:r>
      <w:r w:rsidRPr="000D119D">
        <w:rPr>
          <w:lang w:val="en-AU"/>
        </w:rPr>
        <w:t xml:space="preserve"> per cent, n=</w:t>
      </w:r>
      <w:r w:rsidR="000345E4" w:rsidRPr="000D119D">
        <w:rPr>
          <w:lang w:val="en-AU"/>
        </w:rPr>
        <w:t>97</w:t>
      </w:r>
      <w:r w:rsidRPr="000D119D">
        <w:rPr>
          <w:lang w:val="en-AU"/>
        </w:rPr>
        <w:t xml:space="preserve">) relative to other PHNs (range of </w:t>
      </w:r>
      <w:r w:rsidR="0029220F">
        <w:rPr>
          <w:lang w:val="en-AU"/>
        </w:rPr>
        <w:t>one</w:t>
      </w:r>
      <w:r w:rsidRPr="000D119D">
        <w:rPr>
          <w:lang w:val="en-AU"/>
        </w:rPr>
        <w:t xml:space="preserve"> per cent to </w:t>
      </w:r>
      <w:r w:rsidR="0029220F">
        <w:rPr>
          <w:lang w:val="en-AU"/>
        </w:rPr>
        <w:t>seven</w:t>
      </w:r>
      <w:r w:rsidRPr="000D119D">
        <w:rPr>
          <w:lang w:val="en-AU"/>
        </w:rPr>
        <w:t xml:space="preserve"> per cent of total participants) and </w:t>
      </w:r>
      <w:r w:rsidR="00160D51" w:rsidRPr="000D119D">
        <w:rPr>
          <w:lang w:val="en-AU"/>
        </w:rPr>
        <w:t>GPHN</w:t>
      </w:r>
      <w:r w:rsidRPr="000D119D">
        <w:rPr>
          <w:lang w:val="en-AU"/>
        </w:rPr>
        <w:t xml:space="preserve"> delivered services to more 12-</w:t>
      </w:r>
      <w:r w:rsidR="008A2476">
        <w:rPr>
          <w:lang w:val="en-AU"/>
        </w:rPr>
        <w:t xml:space="preserve"> to </w:t>
      </w:r>
      <w:r w:rsidRPr="000D119D">
        <w:rPr>
          <w:lang w:val="en-AU"/>
        </w:rPr>
        <w:t>18</w:t>
      </w:r>
      <w:r w:rsidR="008A2476">
        <w:rPr>
          <w:lang w:val="en-AU"/>
        </w:rPr>
        <w:t>-</w:t>
      </w:r>
      <w:r w:rsidRPr="000D119D">
        <w:rPr>
          <w:lang w:val="en-AU"/>
        </w:rPr>
        <w:t>year</w:t>
      </w:r>
      <w:r w:rsidR="008A2476">
        <w:rPr>
          <w:lang w:val="en-AU"/>
        </w:rPr>
        <w:t>-</w:t>
      </w:r>
      <w:r w:rsidRPr="000D119D">
        <w:rPr>
          <w:lang w:val="en-AU"/>
        </w:rPr>
        <w:t>olds (</w:t>
      </w:r>
      <w:r w:rsidR="000345E4" w:rsidRPr="000D119D">
        <w:rPr>
          <w:lang w:val="en-AU"/>
        </w:rPr>
        <w:t>20</w:t>
      </w:r>
      <w:r w:rsidRPr="000D119D">
        <w:rPr>
          <w:lang w:val="en-AU"/>
        </w:rPr>
        <w:t xml:space="preserve"> per cent, n=</w:t>
      </w:r>
      <w:r w:rsidR="000345E4" w:rsidRPr="000D119D">
        <w:rPr>
          <w:lang w:val="en-AU"/>
        </w:rPr>
        <w:t>418</w:t>
      </w:r>
      <w:r w:rsidRPr="000D119D">
        <w:rPr>
          <w:lang w:val="en-AU"/>
        </w:rPr>
        <w:t>)</w:t>
      </w:r>
      <w:r w:rsidR="00E67DD2" w:rsidRPr="000D119D">
        <w:rPr>
          <w:lang w:val="en-AU"/>
        </w:rPr>
        <w:t>, more than double</w:t>
      </w:r>
      <w:r w:rsidRPr="000D119D">
        <w:rPr>
          <w:lang w:val="en-AU"/>
        </w:rPr>
        <w:t xml:space="preserve"> compared to other PHNs (range of </w:t>
      </w:r>
      <w:r w:rsidR="0029220F">
        <w:rPr>
          <w:lang w:val="en-AU"/>
        </w:rPr>
        <w:t>eight</w:t>
      </w:r>
      <w:r w:rsidRPr="000D119D">
        <w:rPr>
          <w:lang w:val="en-AU"/>
        </w:rPr>
        <w:t xml:space="preserve"> per cent to </w:t>
      </w:r>
      <w:r w:rsidR="0029220F">
        <w:rPr>
          <w:lang w:val="en-AU"/>
        </w:rPr>
        <w:t>ten</w:t>
      </w:r>
      <w:r w:rsidRPr="000D119D">
        <w:rPr>
          <w:lang w:val="en-AU"/>
        </w:rPr>
        <w:t xml:space="preserve"> per cent). </w:t>
      </w:r>
      <w:r w:rsidR="00E67DD2" w:rsidRPr="000D119D">
        <w:rPr>
          <w:lang w:val="en-AU"/>
        </w:rPr>
        <w:t xml:space="preserve">Overall, approximately a quarter of services in </w:t>
      </w:r>
      <w:r w:rsidR="00160D51" w:rsidRPr="000D119D">
        <w:rPr>
          <w:lang w:val="en-AU"/>
        </w:rPr>
        <w:t>GPHN</w:t>
      </w:r>
      <w:r w:rsidR="00E67DD2" w:rsidRPr="000D119D">
        <w:rPr>
          <w:lang w:val="en-AU"/>
        </w:rPr>
        <w:t xml:space="preserve"> were delivered to under-18 participants (26 per cent, n=537) relative to other PHN</w:t>
      </w:r>
      <w:r w:rsidR="0029220F">
        <w:rPr>
          <w:lang w:val="en-AU"/>
        </w:rPr>
        <w:t>s</w:t>
      </w:r>
      <w:r w:rsidR="00E67DD2" w:rsidRPr="000D119D">
        <w:rPr>
          <w:lang w:val="en-AU"/>
        </w:rPr>
        <w:t xml:space="preserve"> (range of </w:t>
      </w:r>
      <w:r w:rsidR="0029220F">
        <w:rPr>
          <w:lang w:val="en-AU"/>
        </w:rPr>
        <w:t>nine</w:t>
      </w:r>
      <w:r w:rsidR="00E67DD2" w:rsidRPr="000D119D">
        <w:rPr>
          <w:lang w:val="en-AU"/>
        </w:rPr>
        <w:t xml:space="preserve"> per cent to 17 per cent).</w:t>
      </w:r>
      <w:r w:rsidR="001363DF" w:rsidRPr="000D119D">
        <w:rPr>
          <w:lang w:val="en-AU"/>
        </w:rPr>
        <w:t xml:space="preserve"> </w:t>
      </w:r>
      <w:r w:rsidRPr="000D119D">
        <w:rPr>
          <w:lang w:val="en-AU"/>
        </w:rPr>
        <w:t xml:space="preserve">One hub in </w:t>
      </w:r>
      <w:r w:rsidR="00160D51" w:rsidRPr="000D119D">
        <w:rPr>
          <w:lang w:val="en-AU"/>
        </w:rPr>
        <w:t>GPHN</w:t>
      </w:r>
      <w:r w:rsidRPr="000D119D">
        <w:rPr>
          <w:lang w:val="en-AU"/>
        </w:rPr>
        <w:t xml:space="preserve"> reported prioritising integration with the local headspace clinic, which may have led to the increase in young people seen by </w:t>
      </w:r>
      <w:proofErr w:type="spellStart"/>
      <w:r w:rsidRPr="000D119D">
        <w:rPr>
          <w:i/>
          <w:lang w:val="en-AU"/>
        </w:rPr>
        <w:t>HeadtoHelp</w:t>
      </w:r>
      <w:proofErr w:type="spellEnd"/>
      <w:r w:rsidRPr="000D119D">
        <w:rPr>
          <w:i/>
          <w:lang w:val="en-AU"/>
        </w:rPr>
        <w:t xml:space="preserve"> </w:t>
      </w:r>
      <w:r w:rsidRPr="000D119D">
        <w:rPr>
          <w:lang w:val="en-AU"/>
        </w:rPr>
        <w:t xml:space="preserve">in this region. The reasons behind both </w:t>
      </w:r>
      <w:r w:rsidR="00417F33">
        <w:rPr>
          <w:lang w:val="en-AU"/>
        </w:rPr>
        <w:t>WV</w:t>
      </w:r>
      <w:r w:rsidRPr="000D119D">
        <w:rPr>
          <w:lang w:val="en-AU"/>
        </w:rPr>
        <w:t xml:space="preserve">PHN and </w:t>
      </w:r>
      <w:r w:rsidR="00160D51" w:rsidRPr="000D119D">
        <w:rPr>
          <w:lang w:val="en-AU"/>
        </w:rPr>
        <w:t>GPHN</w:t>
      </w:r>
      <w:r w:rsidRPr="000D119D">
        <w:rPr>
          <w:lang w:val="en-AU"/>
        </w:rPr>
        <w:t xml:space="preserve"> seeing high numbers of children and young people requires further investigation but reflect findings from the respective PHN ‘Need Assessments’, which identify low accessibility of services for young people in these regions, relative to the</w:t>
      </w:r>
      <w:r w:rsidR="0030412E">
        <w:rPr>
          <w:lang w:val="en-AU"/>
        </w:rPr>
        <w:t xml:space="preserve"> </w:t>
      </w:r>
      <w:r w:rsidRPr="000D119D">
        <w:rPr>
          <w:lang w:val="en-AU"/>
        </w:rPr>
        <w:t>rest of the state.</w:t>
      </w:r>
      <w:r w:rsidRPr="000D119D">
        <w:rPr>
          <w:rStyle w:val="FootnoteReference"/>
          <w:lang w:val="en-AU"/>
        </w:rPr>
        <w:footnoteReference w:id="28"/>
      </w:r>
      <w:r w:rsidRPr="000D119D">
        <w:rPr>
          <w:vertAlign w:val="superscript"/>
          <w:lang w:val="en-AU"/>
        </w:rPr>
        <w:t xml:space="preserve"> </w:t>
      </w:r>
      <w:r w:rsidRPr="000D119D">
        <w:rPr>
          <w:lang w:val="en-AU"/>
        </w:rPr>
        <w:t xml:space="preserve">The lack of financial barriers to entry was likely to also be a significant contributing factor for parents and young people, to seek care through </w:t>
      </w:r>
      <w:proofErr w:type="spellStart"/>
      <w:r w:rsidRPr="000D119D">
        <w:rPr>
          <w:i/>
          <w:lang w:val="en-AU"/>
        </w:rPr>
        <w:t>HeadtoHelp</w:t>
      </w:r>
      <w:proofErr w:type="spellEnd"/>
      <w:r w:rsidRPr="000D119D">
        <w:rPr>
          <w:lang w:val="en-AU"/>
        </w:rPr>
        <w:t xml:space="preserve"> in these regions.</w:t>
      </w:r>
      <w:r w:rsidRPr="000D119D">
        <w:rPr>
          <w:rStyle w:val="FootnoteReference"/>
          <w:lang w:val="en-AU"/>
        </w:rPr>
        <w:footnoteReference w:id="29"/>
      </w:r>
      <w:r w:rsidRPr="000D119D">
        <w:rPr>
          <w:lang w:val="en-AU"/>
        </w:rPr>
        <w:t xml:space="preserve"> </w:t>
      </w:r>
    </w:p>
    <w:p w14:paraId="1F80B4A9" w14:textId="2CCA53FF" w:rsidR="005423F4" w:rsidRPr="000D119D" w:rsidRDefault="0072285E" w:rsidP="005423F4">
      <w:pPr>
        <w:rPr>
          <w:lang w:val="en-AU"/>
        </w:rPr>
      </w:pPr>
      <w:r w:rsidRPr="0072285E">
        <w:rPr>
          <w:rFonts w:asciiTheme="majorHAnsi" w:hAnsiTheme="majorHAnsi" w:cstheme="majorHAnsi"/>
          <w:color w:val="0070C0"/>
          <w:lang w:val="en-AU"/>
        </w:rPr>
        <w:lastRenderedPageBreak/>
        <w:t xml:space="preserve">Aboriginal </w:t>
      </w:r>
      <w:r>
        <w:rPr>
          <w:rFonts w:asciiTheme="majorHAnsi" w:hAnsiTheme="majorHAnsi" w:cstheme="majorHAnsi"/>
          <w:color w:val="0070C0"/>
          <w:lang w:val="en-AU"/>
        </w:rPr>
        <w:t>a</w:t>
      </w:r>
      <w:r w:rsidRPr="0072285E">
        <w:rPr>
          <w:rFonts w:asciiTheme="majorHAnsi" w:hAnsiTheme="majorHAnsi" w:cstheme="majorHAnsi"/>
          <w:color w:val="0070C0"/>
          <w:lang w:val="en-AU"/>
        </w:rPr>
        <w:t>nd/</w:t>
      </w:r>
      <w:r>
        <w:rPr>
          <w:rFonts w:asciiTheme="majorHAnsi" w:hAnsiTheme="majorHAnsi" w:cstheme="majorHAnsi"/>
          <w:color w:val="0070C0"/>
          <w:lang w:val="en-AU"/>
        </w:rPr>
        <w:t>o</w:t>
      </w:r>
      <w:r w:rsidRPr="0072285E">
        <w:rPr>
          <w:rFonts w:asciiTheme="majorHAnsi" w:hAnsiTheme="majorHAnsi" w:cstheme="majorHAnsi"/>
          <w:color w:val="0070C0"/>
          <w:lang w:val="en-AU"/>
        </w:rPr>
        <w:t>r Torres Strait Islander</w:t>
      </w:r>
      <w:r w:rsidR="005423F4" w:rsidRPr="000D119D">
        <w:rPr>
          <w:rFonts w:asciiTheme="majorHAnsi" w:hAnsiTheme="majorHAnsi" w:cstheme="majorHAnsi"/>
          <w:lang w:val="en-AU"/>
        </w:rPr>
        <w:t>.</w:t>
      </w:r>
      <w:r w:rsidR="005423F4" w:rsidRPr="000D119D">
        <w:rPr>
          <w:lang w:val="en-AU"/>
        </w:rPr>
        <w:t xml:space="preserve"> Approximately </w:t>
      </w:r>
      <w:r w:rsidR="0029220F">
        <w:rPr>
          <w:lang w:val="en-AU"/>
        </w:rPr>
        <w:t>four</w:t>
      </w:r>
      <w:r w:rsidR="005423F4" w:rsidRPr="000D119D">
        <w:rPr>
          <w:lang w:val="en-AU"/>
        </w:rPr>
        <w:t xml:space="preserve"> per cent of participants identified as Aboriginal and/or Torres Strait Islander (n=</w:t>
      </w:r>
      <w:r w:rsidR="00F0754B" w:rsidRPr="000D119D">
        <w:rPr>
          <w:lang w:val="en-AU"/>
        </w:rPr>
        <w:t>440</w:t>
      </w:r>
      <w:r w:rsidR="005423F4" w:rsidRPr="000D119D">
        <w:rPr>
          <w:lang w:val="en-AU"/>
        </w:rPr>
        <w:t>), which is higher than the relative proportion in the Victorian population (0.8 per cent).</w:t>
      </w:r>
      <w:r w:rsidR="005423F4" w:rsidRPr="000D119D">
        <w:rPr>
          <w:rStyle w:val="FootnoteReference"/>
          <w:lang w:val="en-AU"/>
        </w:rPr>
        <w:footnoteReference w:id="30"/>
      </w:r>
      <w:r w:rsidR="005423F4" w:rsidRPr="000D119D">
        <w:rPr>
          <w:lang w:val="en-AU"/>
        </w:rPr>
        <w:t xml:space="preserve"> In 2018</w:t>
      </w:r>
      <w:r w:rsidR="00950436">
        <w:rPr>
          <w:lang w:val="en-AU"/>
        </w:rPr>
        <w:t>-</w:t>
      </w:r>
      <w:r w:rsidR="005423F4" w:rsidRPr="000D119D">
        <w:rPr>
          <w:lang w:val="en-AU"/>
        </w:rPr>
        <w:t>19, an estimated 24 per cent (187,500) of Indigenous Australians reported a mental health or behavioural condition, with a higher rate among females than males (25 per cent compared with 23 per cent, respectively).</w:t>
      </w:r>
      <w:r w:rsidR="005423F4" w:rsidRPr="000D119D">
        <w:rPr>
          <w:rStyle w:val="FootnoteReference"/>
          <w:lang w:val="en-AU"/>
        </w:rPr>
        <w:footnoteReference w:id="31"/>
      </w:r>
      <w:r w:rsidR="005423F4" w:rsidRPr="000D119D">
        <w:rPr>
          <w:lang w:val="en-AU"/>
        </w:rPr>
        <w:t xml:space="preserve"> In comparison to non-Indigenous Australians, Indigenous Australians are more than twice as likely to report ‘high or very high’ psychological distress.</w:t>
      </w:r>
      <w:r w:rsidR="005423F4" w:rsidRPr="000D119D">
        <w:rPr>
          <w:rStyle w:val="FootnoteReference"/>
          <w:lang w:val="en-AU"/>
        </w:rPr>
        <w:footnoteReference w:id="32"/>
      </w:r>
      <w:r w:rsidR="005423F4" w:rsidRPr="000D119D">
        <w:rPr>
          <w:lang w:val="en-AU"/>
        </w:rPr>
        <w:t xml:space="preserve"> With consideration of the prevalence of mental health disorders relative to the rest of the Australian population, there appears some evidence that </w:t>
      </w:r>
      <w:proofErr w:type="spellStart"/>
      <w:r w:rsidR="005423F4" w:rsidRPr="000D119D">
        <w:rPr>
          <w:i/>
          <w:lang w:val="en-AU"/>
        </w:rPr>
        <w:t>HeadtoHelp</w:t>
      </w:r>
      <w:proofErr w:type="spellEnd"/>
      <w:r w:rsidR="005423F4" w:rsidRPr="000D119D">
        <w:rPr>
          <w:i/>
          <w:lang w:val="en-AU"/>
        </w:rPr>
        <w:t xml:space="preserve"> </w:t>
      </w:r>
      <w:r w:rsidR="00513412" w:rsidRPr="000D119D">
        <w:rPr>
          <w:lang w:val="en-AU"/>
        </w:rPr>
        <w:t xml:space="preserve">was effective in </w:t>
      </w:r>
      <w:r w:rsidR="005423F4" w:rsidRPr="000D119D">
        <w:rPr>
          <w:lang w:val="en-AU"/>
        </w:rPr>
        <w:t xml:space="preserve">increasing service access for Aboriginal and Torres Strait Islander people. </w:t>
      </w:r>
      <w:r w:rsidR="00FE72FA">
        <w:rPr>
          <w:lang w:val="en-AU"/>
        </w:rPr>
        <w:t xml:space="preserve">Discussion of outcomes and satisfaction is included in Section </w:t>
      </w:r>
      <w:r w:rsidR="00FE72FA">
        <w:rPr>
          <w:lang w:val="en-AU"/>
        </w:rPr>
        <w:fldChar w:fldCharType="begin"/>
      </w:r>
      <w:r w:rsidR="00FE72FA">
        <w:rPr>
          <w:lang w:val="en-AU"/>
        </w:rPr>
        <w:instrText xml:space="preserve"> REF _Ref78967586 \r \h </w:instrText>
      </w:r>
      <w:r w:rsidR="00FE72FA">
        <w:rPr>
          <w:lang w:val="en-AU"/>
        </w:rPr>
      </w:r>
      <w:r w:rsidR="00FE72FA">
        <w:rPr>
          <w:lang w:val="en-AU"/>
        </w:rPr>
        <w:fldChar w:fldCharType="separate"/>
      </w:r>
      <w:r w:rsidR="00562174">
        <w:rPr>
          <w:lang w:val="en-AU"/>
        </w:rPr>
        <w:t>5</w:t>
      </w:r>
      <w:r w:rsidR="00FE72FA">
        <w:rPr>
          <w:lang w:val="en-AU"/>
        </w:rPr>
        <w:fldChar w:fldCharType="end"/>
      </w:r>
      <w:r w:rsidR="00FE72FA">
        <w:rPr>
          <w:lang w:val="en-AU"/>
        </w:rPr>
        <w:t>.</w:t>
      </w:r>
    </w:p>
    <w:p w14:paraId="279F8971" w14:textId="0900D33D" w:rsidR="005423F4" w:rsidRPr="000D119D" w:rsidRDefault="0072285E" w:rsidP="005423F4">
      <w:pPr>
        <w:rPr>
          <w:highlight w:val="cyan"/>
          <w:lang w:val="en-AU"/>
        </w:rPr>
      </w:pPr>
      <w:r w:rsidRPr="0072285E">
        <w:rPr>
          <w:rFonts w:asciiTheme="majorHAnsi" w:hAnsiTheme="majorHAnsi" w:cstheme="majorHAnsi"/>
          <w:color w:val="25B3E0" w:themeColor="accent6"/>
          <w:lang w:val="en-AU"/>
        </w:rPr>
        <w:t>Language spoken at home</w:t>
      </w:r>
      <w:r w:rsidR="005423F4" w:rsidRPr="000D119D">
        <w:rPr>
          <w:rFonts w:asciiTheme="majorHAnsi" w:hAnsiTheme="majorHAnsi" w:cstheme="majorHAnsi"/>
          <w:lang w:val="en-AU"/>
        </w:rPr>
        <w:t>.</w:t>
      </w:r>
      <w:r w:rsidR="005423F4" w:rsidRPr="000D119D">
        <w:rPr>
          <w:lang w:val="en-AU"/>
        </w:rPr>
        <w:t xml:space="preserve"> The total proportion of people accessing </w:t>
      </w:r>
      <w:proofErr w:type="spellStart"/>
      <w:r w:rsidR="005423F4" w:rsidRPr="000D119D">
        <w:rPr>
          <w:i/>
          <w:lang w:val="en-AU"/>
        </w:rPr>
        <w:t>HeadtoHelp</w:t>
      </w:r>
      <w:proofErr w:type="spellEnd"/>
      <w:r w:rsidR="005423F4" w:rsidRPr="000D119D">
        <w:rPr>
          <w:lang w:val="en-AU"/>
        </w:rPr>
        <w:t xml:space="preserve"> who do not speak English at home is </w:t>
      </w:r>
      <w:r w:rsidR="0029220F">
        <w:rPr>
          <w:lang w:val="en-AU"/>
        </w:rPr>
        <w:t>eight</w:t>
      </w:r>
      <w:r w:rsidR="005423F4" w:rsidRPr="000D119D">
        <w:rPr>
          <w:lang w:val="en-AU"/>
        </w:rPr>
        <w:t xml:space="preserve"> per cent (n=</w:t>
      </w:r>
      <w:r w:rsidR="00DE54A3" w:rsidRPr="000D119D">
        <w:rPr>
          <w:lang w:val="en-AU"/>
        </w:rPr>
        <w:t>758</w:t>
      </w:r>
      <w:r w:rsidR="005423F4" w:rsidRPr="000D119D">
        <w:rPr>
          <w:lang w:val="en-AU"/>
        </w:rPr>
        <w:t xml:space="preserve">), which </w:t>
      </w:r>
      <w:r w:rsidR="00956BFC" w:rsidRPr="000D119D">
        <w:rPr>
          <w:lang w:val="en-AU"/>
        </w:rPr>
        <w:t>although an increase from the Interim Report (</w:t>
      </w:r>
      <w:r w:rsidR="0003077B">
        <w:rPr>
          <w:lang w:val="en-AU"/>
        </w:rPr>
        <w:t>six per cent</w:t>
      </w:r>
      <w:r w:rsidR="00956BFC" w:rsidRPr="000D119D">
        <w:rPr>
          <w:lang w:val="en-AU"/>
        </w:rPr>
        <w:t>)</w:t>
      </w:r>
      <w:r w:rsidR="00A12509">
        <w:rPr>
          <w:lang w:val="en-AU"/>
        </w:rPr>
        <w:t>,</w:t>
      </w:r>
      <w:r w:rsidR="00956BFC" w:rsidRPr="000D119D">
        <w:rPr>
          <w:lang w:val="en-AU"/>
        </w:rPr>
        <w:t xml:space="preserve"> remains</w:t>
      </w:r>
      <w:r w:rsidR="005423F4" w:rsidRPr="000D119D">
        <w:rPr>
          <w:lang w:val="en-AU"/>
        </w:rPr>
        <w:t xml:space="preserve"> significantly below the proportion of people who do not speak English at home in Australia (21 per cent).</w:t>
      </w:r>
      <w:r w:rsidR="005423F4" w:rsidRPr="000D119D">
        <w:rPr>
          <w:rStyle w:val="FootnoteReference"/>
          <w:lang w:val="en-AU"/>
        </w:rPr>
        <w:footnoteReference w:id="33"/>
      </w:r>
      <w:r w:rsidR="005423F4" w:rsidRPr="000D119D">
        <w:rPr>
          <w:lang w:val="en-AU"/>
        </w:rPr>
        <w:t xml:space="preserve"> </w:t>
      </w:r>
      <w:r w:rsidR="00160D51" w:rsidRPr="000D119D">
        <w:rPr>
          <w:lang w:val="en-AU"/>
        </w:rPr>
        <w:t>NWMPHN</w:t>
      </w:r>
      <w:r w:rsidR="00160D51">
        <w:rPr>
          <w:lang w:val="en-AU"/>
        </w:rPr>
        <w:t xml:space="preserve"> </w:t>
      </w:r>
      <w:r w:rsidR="00DE54A3" w:rsidRPr="000D119D">
        <w:rPr>
          <w:lang w:val="en-AU"/>
        </w:rPr>
        <w:t xml:space="preserve">and </w:t>
      </w:r>
      <w:r w:rsidR="00160D51" w:rsidRPr="000D119D">
        <w:rPr>
          <w:lang w:val="en-AU"/>
        </w:rPr>
        <w:t>SEMPHN</w:t>
      </w:r>
      <w:r w:rsidR="00DE54A3" w:rsidRPr="000D119D">
        <w:rPr>
          <w:lang w:val="en-AU"/>
        </w:rPr>
        <w:t xml:space="preserve"> </w:t>
      </w:r>
      <w:r w:rsidR="001A1C41" w:rsidRPr="000D119D">
        <w:rPr>
          <w:lang w:val="en-AU"/>
        </w:rPr>
        <w:t>have</w:t>
      </w:r>
      <w:r w:rsidR="001A1C41" w:rsidRPr="000D119D" w:rsidDel="001363DF">
        <w:rPr>
          <w:lang w:val="en-AU"/>
        </w:rPr>
        <w:t xml:space="preserve"> </w:t>
      </w:r>
      <w:r w:rsidR="001A1C41" w:rsidRPr="000D119D">
        <w:rPr>
          <w:lang w:val="en-AU"/>
        </w:rPr>
        <w:t xml:space="preserve">more than </w:t>
      </w:r>
      <w:r w:rsidR="0003077B">
        <w:rPr>
          <w:lang w:val="en-AU"/>
        </w:rPr>
        <w:t>ten</w:t>
      </w:r>
      <w:r w:rsidR="001A1C41" w:rsidRPr="000D119D">
        <w:rPr>
          <w:lang w:val="en-AU"/>
        </w:rPr>
        <w:t xml:space="preserve"> per cent of participants </w:t>
      </w:r>
      <w:r w:rsidR="005423F4" w:rsidRPr="000D119D">
        <w:rPr>
          <w:lang w:val="en-AU"/>
        </w:rPr>
        <w:t>who do not speak English at home (</w:t>
      </w:r>
      <w:r w:rsidR="00CD436C" w:rsidRPr="000D119D">
        <w:rPr>
          <w:lang w:val="en-AU"/>
        </w:rPr>
        <w:t xml:space="preserve">15 </w:t>
      </w:r>
      <w:r w:rsidR="005423F4" w:rsidRPr="000D119D">
        <w:rPr>
          <w:lang w:val="en-AU"/>
        </w:rPr>
        <w:t>per cent</w:t>
      </w:r>
      <w:r w:rsidR="00CD436C" w:rsidRPr="000D119D">
        <w:rPr>
          <w:lang w:val="en-AU"/>
        </w:rPr>
        <w:t xml:space="preserve"> and 13 per cent respectively</w:t>
      </w:r>
      <w:r w:rsidR="005423F4" w:rsidRPr="000D119D">
        <w:rPr>
          <w:lang w:val="en-AU"/>
        </w:rPr>
        <w:t xml:space="preserve">). </w:t>
      </w:r>
      <w:r w:rsidR="00CD436C" w:rsidRPr="000D119D">
        <w:rPr>
          <w:lang w:val="en-AU"/>
        </w:rPr>
        <w:t xml:space="preserve">Both </w:t>
      </w:r>
      <w:r w:rsidR="00160D51" w:rsidRPr="000D119D">
        <w:rPr>
          <w:lang w:val="en-AU"/>
        </w:rPr>
        <w:t>GPHN</w:t>
      </w:r>
      <w:r w:rsidR="00CD436C" w:rsidRPr="000D119D">
        <w:rPr>
          <w:lang w:val="en-AU"/>
        </w:rPr>
        <w:t xml:space="preserve"> and </w:t>
      </w:r>
      <w:r w:rsidR="00160D51" w:rsidRPr="000D119D">
        <w:rPr>
          <w:lang w:val="en-AU"/>
        </w:rPr>
        <w:t>MPHN</w:t>
      </w:r>
      <w:r w:rsidR="00CD436C" w:rsidRPr="000D119D">
        <w:rPr>
          <w:lang w:val="en-AU"/>
        </w:rPr>
        <w:t xml:space="preserve"> </w:t>
      </w:r>
      <w:r w:rsidR="00FB2E3F" w:rsidRPr="000D119D">
        <w:rPr>
          <w:lang w:val="en-AU"/>
        </w:rPr>
        <w:t xml:space="preserve">both </w:t>
      </w:r>
      <w:r w:rsidR="00CD436C" w:rsidRPr="000D119D">
        <w:rPr>
          <w:lang w:val="en-AU"/>
        </w:rPr>
        <w:t xml:space="preserve">have </w:t>
      </w:r>
      <w:r w:rsidR="0003077B">
        <w:rPr>
          <w:lang w:val="en-AU"/>
        </w:rPr>
        <w:t>one</w:t>
      </w:r>
      <w:r w:rsidR="00CD436C" w:rsidRPr="000D119D">
        <w:rPr>
          <w:lang w:val="en-AU"/>
        </w:rPr>
        <w:t xml:space="preserve"> per cent of </w:t>
      </w:r>
      <w:r w:rsidR="00FB2E3F" w:rsidRPr="000D119D">
        <w:rPr>
          <w:lang w:val="en-AU"/>
        </w:rPr>
        <w:t>participants who do not speak English at home.</w:t>
      </w:r>
      <w:r w:rsidR="005423F4" w:rsidRPr="000D119D">
        <w:rPr>
          <w:lang w:val="en-AU"/>
        </w:rPr>
        <w:t xml:space="preserve"> Where English is not spoken at home, the languages most often spoken at home were more likely to be an Asian language than any other languages. Some hub clinicians reflected that the </w:t>
      </w:r>
      <w:proofErr w:type="spellStart"/>
      <w:r w:rsidR="005423F4" w:rsidRPr="000D119D">
        <w:rPr>
          <w:i/>
          <w:lang w:val="en-AU"/>
        </w:rPr>
        <w:t>HeadtoHelp</w:t>
      </w:r>
      <w:proofErr w:type="spellEnd"/>
      <w:r w:rsidR="005423F4" w:rsidRPr="000D119D">
        <w:rPr>
          <w:lang w:val="en-AU"/>
        </w:rPr>
        <w:t xml:space="preserve"> service was designed and better able to meet ‘mainstream’/normative populations in Australia (i.e</w:t>
      </w:r>
      <w:r w:rsidR="00D36B41" w:rsidRPr="000D119D">
        <w:rPr>
          <w:lang w:val="en-AU"/>
        </w:rPr>
        <w:t>.,</w:t>
      </w:r>
      <w:r w:rsidR="005423F4" w:rsidRPr="000D119D">
        <w:rPr>
          <w:lang w:val="en-AU"/>
        </w:rPr>
        <w:t xml:space="preserve"> </w:t>
      </w:r>
      <w:proofErr w:type="gramStart"/>
      <w:r w:rsidR="005423F4" w:rsidRPr="000D119D">
        <w:rPr>
          <w:lang w:val="en-AU"/>
        </w:rPr>
        <w:t>Caucasian</w:t>
      </w:r>
      <w:proofErr w:type="gramEnd"/>
      <w:r w:rsidR="005423F4" w:rsidRPr="000D119D">
        <w:rPr>
          <w:lang w:val="en-AU"/>
        </w:rPr>
        <w:t xml:space="preserve"> and English speaking). </w:t>
      </w:r>
    </w:p>
    <w:p w14:paraId="731881BC" w14:textId="4C96ECC5" w:rsidR="00AB2813" w:rsidRPr="000D119D" w:rsidRDefault="00AB2813" w:rsidP="00AB2813">
      <w:pPr>
        <w:pStyle w:val="Heading3"/>
      </w:pPr>
      <w:bookmarkStart w:id="67" w:name="_Toc99650344"/>
      <w:r w:rsidRPr="000D119D">
        <w:t>Social and clinical complexity</w:t>
      </w:r>
      <w:bookmarkEnd w:id="67"/>
    </w:p>
    <w:p w14:paraId="5D95C77C" w14:textId="69924ED5" w:rsidR="00753BD8" w:rsidRPr="000D119D" w:rsidRDefault="00753BD8" w:rsidP="00BE0860">
      <w:pPr>
        <w:pStyle w:val="Heading4"/>
      </w:pPr>
      <w:r w:rsidRPr="000D119D">
        <w:t xml:space="preserve">Participants </w:t>
      </w:r>
      <w:r w:rsidR="008E0CDB" w:rsidRPr="000D119D">
        <w:t>were typically</w:t>
      </w:r>
      <w:r w:rsidRPr="000D119D">
        <w:t xml:space="preserve"> more complex than </w:t>
      </w:r>
      <w:r w:rsidR="000C30BD" w:rsidRPr="000D119D">
        <w:t>initially</w:t>
      </w:r>
      <w:r w:rsidRPr="000D119D">
        <w:t xml:space="preserve"> anticipated</w:t>
      </w:r>
    </w:p>
    <w:p w14:paraId="3CFF8B37" w14:textId="77777777" w:rsidR="002E7DBC" w:rsidRPr="000D119D" w:rsidRDefault="002E7DBC" w:rsidP="002E7DBC">
      <w:pPr>
        <w:rPr>
          <w:lang w:val="en-AU"/>
        </w:rPr>
      </w:pPr>
      <w:r w:rsidRPr="000D119D">
        <w:rPr>
          <w:lang w:val="en-AU"/>
        </w:rPr>
        <w:t>Participants social and clinical complexity were evaluated based on the following variables:</w:t>
      </w:r>
    </w:p>
    <w:p w14:paraId="328C8A9B" w14:textId="77777777" w:rsidR="002E7DBC" w:rsidRPr="000D119D" w:rsidRDefault="002E7DBC" w:rsidP="00E457E2">
      <w:pPr>
        <w:pStyle w:val="ListBullet"/>
      </w:pPr>
      <w:r w:rsidRPr="000D119D">
        <w:t xml:space="preserve">IAR level of care </w:t>
      </w:r>
    </w:p>
    <w:p w14:paraId="54AE3D0A" w14:textId="77777777" w:rsidR="002E7DBC" w:rsidRPr="000D119D" w:rsidRDefault="002E7DBC" w:rsidP="00E457E2">
      <w:pPr>
        <w:pStyle w:val="ListBullet"/>
      </w:pPr>
      <w:r w:rsidRPr="000D119D">
        <w:t xml:space="preserve">K10 scores on entry </w:t>
      </w:r>
    </w:p>
    <w:p w14:paraId="3B689594" w14:textId="2FC57F3B" w:rsidR="002E7DBC" w:rsidRPr="000D119D" w:rsidRDefault="0013343F" w:rsidP="00E457E2">
      <w:pPr>
        <w:pStyle w:val="ListBullet"/>
      </w:pPr>
      <w:r>
        <w:t>p</w:t>
      </w:r>
      <w:r w:rsidR="002E7DBC" w:rsidRPr="000D119D">
        <w:t>rescribed medication</w:t>
      </w:r>
    </w:p>
    <w:p w14:paraId="363F2CA7" w14:textId="6BF39FF9" w:rsidR="002E7DBC" w:rsidRPr="000D119D" w:rsidRDefault="0013343F" w:rsidP="00E457E2">
      <w:pPr>
        <w:pStyle w:val="ListBullet"/>
      </w:pPr>
      <w:r w:rsidRPr="0013343F">
        <w:t>p</w:t>
      </w:r>
      <w:r w:rsidR="002E7DBC" w:rsidRPr="0013343F">
        <w:t>rincipal</w:t>
      </w:r>
      <w:r w:rsidR="002E7DBC" w:rsidRPr="000D119D">
        <w:t xml:space="preserve"> diagnoses</w:t>
      </w:r>
    </w:p>
    <w:p w14:paraId="30A0CD00" w14:textId="51CF5809" w:rsidR="002E7DBC" w:rsidRPr="00270039" w:rsidRDefault="0013343F" w:rsidP="00E457E2">
      <w:pPr>
        <w:pStyle w:val="ListBullet"/>
      </w:pPr>
      <w:proofErr w:type="spellStart"/>
      <w:r w:rsidRPr="00270039">
        <w:t>l</w:t>
      </w:r>
      <w:r w:rsidR="000F3EEF" w:rsidRPr="00270039">
        <w:t>abour</w:t>
      </w:r>
      <w:proofErr w:type="spellEnd"/>
      <w:r w:rsidR="000F3EEF" w:rsidRPr="00270039">
        <w:t xml:space="preserve"> </w:t>
      </w:r>
      <w:r w:rsidR="00DF6D80" w:rsidRPr="00270039">
        <w:t>force status</w:t>
      </w:r>
    </w:p>
    <w:p w14:paraId="7C255B86" w14:textId="57E74104" w:rsidR="0013343F" w:rsidRPr="00270039" w:rsidRDefault="0013343F" w:rsidP="00E457E2">
      <w:pPr>
        <w:pStyle w:val="ListBullet"/>
      </w:pPr>
      <w:r w:rsidRPr="00270039">
        <w:t>a</w:t>
      </w:r>
      <w:r w:rsidR="002E7DBC" w:rsidRPr="00270039">
        <w:t>ccommodation</w:t>
      </w:r>
      <w:r w:rsidRPr="00270039">
        <w:t xml:space="preserve"> </w:t>
      </w:r>
    </w:p>
    <w:p w14:paraId="23433790" w14:textId="403522C2" w:rsidR="00BD3BBC" w:rsidRPr="00270039" w:rsidRDefault="0013343F" w:rsidP="00E457E2">
      <w:pPr>
        <w:pStyle w:val="ListBullet"/>
      </w:pPr>
      <w:r w:rsidRPr="00270039">
        <w:t>c</w:t>
      </w:r>
      <w:r w:rsidR="002E7DBC" w:rsidRPr="00270039">
        <w:t>omorbid health diagnoses</w:t>
      </w:r>
      <w:r w:rsidRPr="00270039">
        <w:t>.</w:t>
      </w:r>
    </w:p>
    <w:p w14:paraId="589E96EB" w14:textId="77777777" w:rsidR="00F42FE0" w:rsidRDefault="002E7DBC" w:rsidP="002E7DBC">
      <w:pPr>
        <w:rPr>
          <w:lang w:val="en-AU"/>
        </w:rPr>
      </w:pPr>
      <w:r w:rsidRPr="00270039">
        <w:rPr>
          <w:rFonts w:asciiTheme="majorHAnsi" w:hAnsiTheme="majorHAnsi" w:cstheme="majorHAnsi"/>
          <w:lang w:val="en-AU"/>
        </w:rPr>
        <w:t>IAR LEVEL OF CARE.</w:t>
      </w:r>
      <w:r w:rsidRPr="00270039">
        <w:rPr>
          <w:lang w:val="en-AU"/>
        </w:rPr>
        <w:t xml:space="preserve"> </w:t>
      </w:r>
      <w:r w:rsidR="009B0704" w:rsidRPr="00270039">
        <w:rPr>
          <w:lang w:val="en-AU"/>
        </w:rPr>
        <w:t xml:space="preserve">Across PHNs, </w:t>
      </w:r>
      <w:r w:rsidR="007B6446" w:rsidRPr="00270039">
        <w:rPr>
          <w:lang w:val="en-AU"/>
        </w:rPr>
        <w:t>l</w:t>
      </w:r>
      <w:r w:rsidR="00D76636" w:rsidRPr="00270039">
        <w:rPr>
          <w:lang w:val="en-AU"/>
        </w:rPr>
        <w:t xml:space="preserve">evel </w:t>
      </w:r>
      <w:r w:rsidR="007B6446" w:rsidRPr="00270039">
        <w:rPr>
          <w:lang w:val="en-AU"/>
        </w:rPr>
        <w:t>three</w:t>
      </w:r>
      <w:r w:rsidR="00D76636" w:rsidRPr="00270039">
        <w:rPr>
          <w:lang w:val="en-AU"/>
        </w:rPr>
        <w:t xml:space="preserve"> IAR ratings formed the </w:t>
      </w:r>
      <w:r w:rsidR="00AE641A" w:rsidRPr="00270039">
        <w:rPr>
          <w:lang w:val="en-AU"/>
        </w:rPr>
        <w:t>bulk</w:t>
      </w:r>
      <w:r w:rsidR="00D76636" w:rsidRPr="00270039">
        <w:rPr>
          <w:lang w:val="en-AU"/>
        </w:rPr>
        <w:t xml:space="preserve"> of ratings (ranging from 68 per cent to 81 per cent)</w:t>
      </w:r>
      <w:r w:rsidR="0029346E" w:rsidRPr="00270039">
        <w:rPr>
          <w:lang w:val="en-AU"/>
        </w:rPr>
        <w:t xml:space="preserve">. </w:t>
      </w:r>
      <w:r w:rsidR="009A46FA" w:rsidRPr="00270039">
        <w:rPr>
          <w:lang w:val="en-AU"/>
        </w:rPr>
        <w:t>There</w:t>
      </w:r>
      <w:r w:rsidR="009A46FA" w:rsidRPr="000D119D">
        <w:rPr>
          <w:lang w:val="en-AU"/>
        </w:rPr>
        <w:t xml:space="preserve"> were also more level </w:t>
      </w:r>
      <w:r w:rsidR="007B6446">
        <w:rPr>
          <w:lang w:val="en-AU"/>
        </w:rPr>
        <w:t>four</w:t>
      </w:r>
      <w:r w:rsidR="009A46FA" w:rsidRPr="000D119D">
        <w:rPr>
          <w:lang w:val="en-AU"/>
        </w:rPr>
        <w:t xml:space="preserve"> and </w:t>
      </w:r>
      <w:r w:rsidR="007B6446">
        <w:rPr>
          <w:lang w:val="en-AU"/>
        </w:rPr>
        <w:t>five</w:t>
      </w:r>
      <w:r w:rsidR="009A46FA" w:rsidRPr="000D119D">
        <w:rPr>
          <w:lang w:val="en-AU"/>
        </w:rPr>
        <w:t xml:space="preserve"> ratings relative to level </w:t>
      </w:r>
      <w:r w:rsidR="007B6446">
        <w:rPr>
          <w:lang w:val="en-AU"/>
        </w:rPr>
        <w:t>one</w:t>
      </w:r>
      <w:r w:rsidR="009A46FA" w:rsidRPr="000D119D">
        <w:rPr>
          <w:lang w:val="en-AU"/>
        </w:rPr>
        <w:t xml:space="preserve"> and </w:t>
      </w:r>
      <w:r w:rsidR="007B6446">
        <w:rPr>
          <w:lang w:val="en-AU"/>
        </w:rPr>
        <w:t>two</w:t>
      </w:r>
      <w:r w:rsidR="009A46FA" w:rsidRPr="000D119D">
        <w:rPr>
          <w:lang w:val="en-AU"/>
        </w:rPr>
        <w:t xml:space="preserve"> ratings across all PHNs suggesting participants were moderately to severely unwell and potentially presenting with more sever</w:t>
      </w:r>
      <w:r w:rsidR="00AE641A" w:rsidRPr="000D119D">
        <w:rPr>
          <w:lang w:val="en-AU"/>
        </w:rPr>
        <w:t>e</w:t>
      </w:r>
      <w:r w:rsidR="009A46FA" w:rsidRPr="000D119D">
        <w:rPr>
          <w:lang w:val="en-AU"/>
        </w:rPr>
        <w:t xml:space="preserve"> symptoms than anticipated</w:t>
      </w:r>
      <w:r w:rsidR="009A46FA" w:rsidRPr="00F043CE">
        <w:rPr>
          <w:lang w:val="en-AU"/>
        </w:rPr>
        <w:t xml:space="preserve">. </w:t>
      </w:r>
      <w:r w:rsidR="005959A9" w:rsidRPr="00B6253C">
        <w:rPr>
          <w:lang w:val="en-AU"/>
        </w:rPr>
        <w:t xml:space="preserve">However, there is </w:t>
      </w:r>
      <w:r w:rsidR="005959A9" w:rsidRPr="00F043CE">
        <w:rPr>
          <w:lang w:val="en-AU"/>
        </w:rPr>
        <w:t xml:space="preserve">a chance that </w:t>
      </w:r>
      <w:r w:rsidR="00D0481A" w:rsidRPr="00F043CE">
        <w:rPr>
          <w:lang w:val="en-AU"/>
        </w:rPr>
        <w:t xml:space="preserve">level one and two participants were triaged to more suitable services, such as online resources, before </w:t>
      </w:r>
      <w:r w:rsidR="00F42FE0" w:rsidRPr="00F043CE">
        <w:rPr>
          <w:lang w:val="en-AU"/>
        </w:rPr>
        <w:t>completing the IAR, and so would not have been captured in the data.</w:t>
      </w:r>
      <w:r w:rsidR="00F42FE0">
        <w:rPr>
          <w:lang w:val="en-AU"/>
        </w:rPr>
        <w:t xml:space="preserve"> </w:t>
      </w:r>
    </w:p>
    <w:p w14:paraId="452D1D67" w14:textId="0E8327E8" w:rsidR="009B0704" w:rsidRPr="000D119D" w:rsidRDefault="009755AE" w:rsidP="002E7DBC">
      <w:pPr>
        <w:rPr>
          <w:lang w:val="en-AU"/>
        </w:rPr>
      </w:pPr>
      <w:r w:rsidRPr="000D119D">
        <w:rPr>
          <w:lang w:val="en-AU"/>
        </w:rPr>
        <w:t xml:space="preserve">Notably, </w:t>
      </w:r>
      <w:r w:rsidR="00C8794E">
        <w:rPr>
          <w:lang w:val="en-AU"/>
        </w:rPr>
        <w:t>NWM</w:t>
      </w:r>
      <w:r w:rsidR="009706A8">
        <w:rPr>
          <w:lang w:val="en-AU"/>
        </w:rPr>
        <w:t>PHN</w:t>
      </w:r>
      <w:r w:rsidR="00D42EB6" w:rsidRPr="000D119D">
        <w:rPr>
          <w:lang w:val="en-AU"/>
        </w:rPr>
        <w:t xml:space="preserve"> saw the highest proportion of level </w:t>
      </w:r>
      <w:r w:rsidR="007B6446">
        <w:rPr>
          <w:lang w:val="en-AU"/>
        </w:rPr>
        <w:t>four</w:t>
      </w:r>
      <w:r w:rsidR="00D42EB6" w:rsidRPr="000D119D">
        <w:rPr>
          <w:lang w:val="en-AU"/>
        </w:rPr>
        <w:t xml:space="preserve"> and </w:t>
      </w:r>
      <w:r w:rsidR="007B6446">
        <w:rPr>
          <w:lang w:val="en-AU"/>
        </w:rPr>
        <w:t>five</w:t>
      </w:r>
      <w:r w:rsidR="00D42EB6" w:rsidRPr="000D119D">
        <w:rPr>
          <w:lang w:val="en-AU"/>
        </w:rPr>
        <w:t xml:space="preserve"> ratings, forming </w:t>
      </w:r>
      <w:r w:rsidRPr="000D119D">
        <w:rPr>
          <w:lang w:val="en-AU"/>
        </w:rPr>
        <w:t xml:space="preserve">more than a fifth of </w:t>
      </w:r>
      <w:r w:rsidR="00D42EB6" w:rsidRPr="000D119D">
        <w:rPr>
          <w:lang w:val="en-AU"/>
        </w:rPr>
        <w:t xml:space="preserve">all ratings </w:t>
      </w:r>
      <w:r w:rsidRPr="000D119D">
        <w:rPr>
          <w:lang w:val="en-AU"/>
        </w:rPr>
        <w:t>(22 per cent, n=</w:t>
      </w:r>
      <w:r w:rsidR="00D42EB6" w:rsidRPr="000D119D">
        <w:rPr>
          <w:lang w:val="en-AU"/>
        </w:rPr>
        <w:t xml:space="preserve">309). </w:t>
      </w:r>
      <w:r w:rsidR="004E55DB" w:rsidRPr="000D119D">
        <w:rPr>
          <w:lang w:val="en-AU"/>
        </w:rPr>
        <w:t xml:space="preserve">At the other end of the scale, all PHNs saw approximately a tenth of ratings at level </w:t>
      </w:r>
      <w:r w:rsidR="007B6446">
        <w:rPr>
          <w:lang w:val="en-AU"/>
        </w:rPr>
        <w:t>one</w:t>
      </w:r>
      <w:r w:rsidR="004E55DB" w:rsidRPr="000D119D">
        <w:rPr>
          <w:lang w:val="en-AU"/>
        </w:rPr>
        <w:t xml:space="preserve"> an</w:t>
      </w:r>
      <w:r w:rsidR="008F08B0" w:rsidRPr="000D119D">
        <w:rPr>
          <w:lang w:val="en-AU"/>
        </w:rPr>
        <w:t>d</w:t>
      </w:r>
      <w:r w:rsidR="004E55DB" w:rsidRPr="000D119D">
        <w:rPr>
          <w:lang w:val="en-AU"/>
        </w:rPr>
        <w:t xml:space="preserve"> </w:t>
      </w:r>
      <w:r w:rsidR="007B6446">
        <w:rPr>
          <w:lang w:val="en-AU"/>
        </w:rPr>
        <w:t>two</w:t>
      </w:r>
      <w:r w:rsidR="004E55DB" w:rsidRPr="000D119D">
        <w:rPr>
          <w:lang w:val="en-AU"/>
        </w:rPr>
        <w:t xml:space="preserve"> (ranging from </w:t>
      </w:r>
      <w:r w:rsidR="007B6446">
        <w:rPr>
          <w:lang w:val="en-AU"/>
        </w:rPr>
        <w:t>eight</w:t>
      </w:r>
      <w:r w:rsidR="004E55DB" w:rsidRPr="000D119D">
        <w:rPr>
          <w:lang w:val="en-AU"/>
        </w:rPr>
        <w:t xml:space="preserve"> per cent to 11 per cent). </w:t>
      </w:r>
    </w:p>
    <w:p w14:paraId="31927D73" w14:textId="4A44D7BD" w:rsidR="002E7DBC" w:rsidRPr="000D119D" w:rsidRDefault="002E7DBC" w:rsidP="002E7DBC">
      <w:pPr>
        <w:pStyle w:val="Caption"/>
      </w:pPr>
      <w:bookmarkStart w:id="68" w:name="_Ref83314201"/>
      <w:r w:rsidRPr="000D119D">
        <w:lastRenderedPageBreak/>
        <w:t xml:space="preserve">Figure </w:t>
      </w:r>
      <w:r w:rsidR="00C90990">
        <w:fldChar w:fldCharType="begin"/>
      </w:r>
      <w:r w:rsidR="00C90990">
        <w:instrText xml:space="preserve"> SEQ Figure \* ARABIC </w:instrText>
      </w:r>
      <w:r w:rsidR="00C90990">
        <w:fldChar w:fldCharType="separate"/>
      </w:r>
      <w:r w:rsidR="00562174">
        <w:rPr>
          <w:noProof/>
        </w:rPr>
        <w:t>18</w:t>
      </w:r>
      <w:r w:rsidR="00C90990">
        <w:fldChar w:fldCharType="end"/>
      </w:r>
      <w:bookmarkEnd w:id="68"/>
      <w:r w:rsidRPr="000D119D">
        <w:t xml:space="preserve"> | Proportion of IAR-DST by level (all PHNs)</w:t>
      </w:r>
    </w:p>
    <w:p w14:paraId="0D43D511" w14:textId="1B532B8B" w:rsidR="002E7DBC" w:rsidRPr="009F1CB7" w:rsidRDefault="008E799B" w:rsidP="009F1CB7">
      <w:r>
        <w:rPr>
          <w:noProof/>
        </w:rPr>
        <w:drawing>
          <wp:inline distT="0" distB="0" distL="0" distR="0" wp14:anchorId="4FC303F4" wp14:editId="63F3D866">
            <wp:extent cx="5670000" cy="2946109"/>
            <wp:effectExtent l="0" t="0" r="6985" b="6985"/>
            <wp:docPr id="27876" name="Picture 27876" descr="Figure 18 is a horizontal bar showing the proportion of IAR-DST by level for all PH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6" name="Picture 27876" descr="Figure 18 is a horizontal bar showing the proportion of IAR-DST by level for all PHN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0000" cy="2946109"/>
                    </a:xfrm>
                    <a:prstGeom prst="rect">
                      <a:avLst/>
                    </a:prstGeom>
                    <a:noFill/>
                  </pic:spPr>
                </pic:pic>
              </a:graphicData>
            </a:graphic>
          </wp:inline>
        </w:drawing>
      </w:r>
    </w:p>
    <w:p w14:paraId="4074D0F8" w14:textId="37E9477D" w:rsidR="002E7DBC" w:rsidRPr="000D119D" w:rsidRDefault="002E7DBC" w:rsidP="002E7DBC">
      <w:pPr>
        <w:rPr>
          <w:lang w:val="en-AU"/>
        </w:rPr>
      </w:pPr>
      <w:r w:rsidRPr="000D119D">
        <w:rPr>
          <w:rFonts w:asciiTheme="majorHAnsi" w:hAnsiTheme="majorHAnsi" w:cstheme="majorHAnsi"/>
          <w:lang w:val="en-AU"/>
        </w:rPr>
        <w:t>K10 SCORES ON ENTRY.</w:t>
      </w:r>
      <w:r w:rsidRPr="000D119D">
        <w:rPr>
          <w:lang w:val="en-AU"/>
        </w:rPr>
        <w:t xml:space="preserve"> K10 scores are typically measured following intake and on entry to the service. Mean K10 scores ranged from </w:t>
      </w:r>
      <w:r w:rsidR="00A31345" w:rsidRPr="000D119D">
        <w:rPr>
          <w:lang w:val="en-AU"/>
        </w:rPr>
        <w:t>29.5</w:t>
      </w:r>
      <w:r w:rsidRPr="000D119D">
        <w:rPr>
          <w:lang w:val="en-AU"/>
        </w:rPr>
        <w:t xml:space="preserve"> (</w:t>
      </w:r>
      <w:r w:rsidR="00A31345" w:rsidRPr="000D119D">
        <w:rPr>
          <w:lang w:val="en-AU"/>
        </w:rPr>
        <w:t>M</w:t>
      </w:r>
      <w:r w:rsidR="00160D51">
        <w:rPr>
          <w:lang w:val="en-AU"/>
        </w:rPr>
        <w:t>PHN</w:t>
      </w:r>
      <w:r w:rsidRPr="000D119D">
        <w:rPr>
          <w:lang w:val="en-AU"/>
        </w:rPr>
        <w:t>, n=</w:t>
      </w:r>
      <w:r w:rsidR="00A3362A" w:rsidRPr="000D119D">
        <w:rPr>
          <w:lang w:val="en-AU"/>
        </w:rPr>
        <w:t>1,245</w:t>
      </w:r>
      <w:r w:rsidRPr="000D119D">
        <w:rPr>
          <w:lang w:val="en-AU"/>
        </w:rPr>
        <w:t>) to 33.</w:t>
      </w:r>
      <w:r w:rsidR="00A3362A" w:rsidRPr="000D119D">
        <w:rPr>
          <w:lang w:val="en-AU"/>
        </w:rPr>
        <w:t>4</w:t>
      </w:r>
      <w:r w:rsidRPr="000D119D">
        <w:rPr>
          <w:lang w:val="en-AU"/>
        </w:rPr>
        <w:t xml:space="preserve"> (</w:t>
      </w:r>
      <w:r w:rsidR="00160D51" w:rsidRPr="000D119D">
        <w:rPr>
          <w:lang w:val="en-AU"/>
        </w:rPr>
        <w:t>WVPHN</w:t>
      </w:r>
      <w:r w:rsidRPr="000D119D">
        <w:rPr>
          <w:lang w:val="en-AU"/>
        </w:rPr>
        <w:t>, n=</w:t>
      </w:r>
      <w:r w:rsidR="00A3362A" w:rsidRPr="000D119D">
        <w:rPr>
          <w:lang w:val="en-AU"/>
        </w:rPr>
        <w:t>428</w:t>
      </w:r>
      <w:r w:rsidRPr="000D119D">
        <w:rPr>
          <w:lang w:val="en-AU"/>
        </w:rPr>
        <w:t xml:space="preserve">). Scores above 30 on the K10 indicate very high psychological distress, suggesting participants of </w:t>
      </w:r>
      <w:proofErr w:type="spellStart"/>
      <w:r w:rsidRPr="000D119D">
        <w:rPr>
          <w:i/>
          <w:lang w:val="en-AU"/>
        </w:rPr>
        <w:t>HeadtoHelp</w:t>
      </w:r>
      <w:proofErr w:type="spellEnd"/>
      <w:r w:rsidRPr="000D119D">
        <w:rPr>
          <w:lang w:val="en-AU"/>
        </w:rPr>
        <w:t xml:space="preserve"> were, on average, severely unwell on entering the service.</w:t>
      </w:r>
      <w:r w:rsidRPr="000D119D">
        <w:rPr>
          <w:rStyle w:val="FootnoteReference"/>
          <w:lang w:val="en-AU"/>
        </w:rPr>
        <w:footnoteReference w:id="34"/>
      </w:r>
      <w:r w:rsidRPr="000D119D">
        <w:rPr>
          <w:lang w:val="en-AU"/>
        </w:rPr>
        <w:t xml:space="preserve"> This strengthens the interpretation on IAR levels of care, suggesting that participants were moderately to severely unwell and potentially presenting with more severe symptoms than anticipated. It also aligns with qualitative insights on participant severity of need.</w:t>
      </w:r>
    </w:p>
    <w:p w14:paraId="5C818EFC" w14:textId="192D2F3D" w:rsidR="002E7DBC" w:rsidRPr="000D119D" w:rsidRDefault="002E7DBC" w:rsidP="002E7DBC">
      <w:pPr>
        <w:rPr>
          <w:lang w:val="en-AU"/>
        </w:rPr>
      </w:pPr>
      <w:r w:rsidRPr="000D119D">
        <w:rPr>
          <w:rFonts w:asciiTheme="majorHAnsi" w:hAnsiTheme="majorHAnsi" w:cstheme="majorHAnsi"/>
          <w:lang w:val="en-AU"/>
        </w:rPr>
        <w:t>PRINCIPAL DIAGNOSES.</w:t>
      </w:r>
      <w:r w:rsidRPr="000D119D">
        <w:rPr>
          <w:rStyle w:val="FootnoteReference"/>
          <w:rFonts w:asciiTheme="majorHAnsi" w:hAnsiTheme="majorHAnsi" w:cstheme="majorHAnsi"/>
          <w:lang w:val="en-AU"/>
        </w:rPr>
        <w:footnoteReference w:id="35"/>
      </w:r>
      <w:r w:rsidRPr="000D119D">
        <w:rPr>
          <w:lang w:val="en-AU"/>
        </w:rPr>
        <w:t xml:space="preserve"> The vast majority of participants presented with symptoms (e.g</w:t>
      </w:r>
      <w:r w:rsidR="00754B54" w:rsidRPr="000D119D">
        <w:rPr>
          <w:lang w:val="en-AU"/>
        </w:rPr>
        <w:t>.,</w:t>
      </w:r>
      <w:r w:rsidRPr="000D119D">
        <w:rPr>
          <w:lang w:val="en-AU"/>
        </w:rPr>
        <w:t xml:space="preserve"> anxiety symptoms) rather than pre-existing diagnoses (e.g.</w:t>
      </w:r>
      <w:r w:rsidR="00754B54">
        <w:rPr>
          <w:lang w:val="en-AU"/>
        </w:rPr>
        <w:t>,</w:t>
      </w:r>
      <w:r w:rsidRPr="000D119D">
        <w:rPr>
          <w:lang w:val="en-AU"/>
        </w:rPr>
        <w:t xml:space="preserve"> major depressive disorder), suggesting many clients may have been accessing mental health services for the first-time. It may also reflect the large number of self-referrals, and that these individuals may be more likely to present with symptoms rather than a diagnosis, regardless of past interactions with the mental health system. Anxiety symptoms, depressive symptoms, mixed anxiety and depressive symptoms </w:t>
      </w:r>
      <w:r w:rsidR="00431B1E" w:rsidRPr="000D119D">
        <w:rPr>
          <w:lang w:val="en-AU"/>
        </w:rPr>
        <w:t xml:space="preserve">and stress-related </w:t>
      </w:r>
      <w:r w:rsidR="00754B54" w:rsidRPr="000D119D">
        <w:rPr>
          <w:lang w:val="en-AU"/>
        </w:rPr>
        <w:t>symptoms</w:t>
      </w:r>
      <w:r w:rsidR="00431B1E" w:rsidRPr="000D119D">
        <w:rPr>
          <w:lang w:val="en-AU"/>
        </w:rPr>
        <w:t xml:space="preserve"> </w:t>
      </w:r>
      <w:r w:rsidRPr="000D119D">
        <w:rPr>
          <w:lang w:val="en-AU"/>
        </w:rPr>
        <w:t xml:space="preserve">made up </w:t>
      </w:r>
      <w:r w:rsidR="00905373" w:rsidRPr="000D119D">
        <w:rPr>
          <w:lang w:val="en-AU"/>
        </w:rPr>
        <w:t xml:space="preserve">more than </w:t>
      </w:r>
      <w:r w:rsidRPr="000D119D">
        <w:rPr>
          <w:lang w:val="en-AU"/>
        </w:rPr>
        <w:t xml:space="preserve">half of ‘principal </w:t>
      </w:r>
      <w:proofErr w:type="gramStart"/>
      <w:r w:rsidRPr="000D119D">
        <w:rPr>
          <w:lang w:val="en-AU"/>
        </w:rPr>
        <w:t>diagnosis’</w:t>
      </w:r>
      <w:proofErr w:type="gramEnd"/>
      <w:r w:rsidRPr="000D119D">
        <w:rPr>
          <w:lang w:val="en-AU"/>
        </w:rPr>
        <w:t xml:space="preserve"> at the time of intake. This aligns with the predicted connection between COVID-19 and mental health. The </w:t>
      </w:r>
      <w:r w:rsidR="00754B54">
        <w:rPr>
          <w:lang w:val="en-AU"/>
        </w:rPr>
        <w:t>World Health Organization (</w:t>
      </w:r>
      <w:r w:rsidRPr="000D119D">
        <w:rPr>
          <w:lang w:val="en-AU"/>
        </w:rPr>
        <w:t>WHO</w:t>
      </w:r>
      <w:r w:rsidR="00754B54">
        <w:rPr>
          <w:lang w:val="en-AU"/>
        </w:rPr>
        <w:t>)</w:t>
      </w:r>
      <w:r w:rsidRPr="000D119D">
        <w:rPr>
          <w:lang w:val="en-AU"/>
        </w:rPr>
        <w:t xml:space="preserve"> has previously reported increasing levels of anxiety, depression and stress related to the COVID-19 pandemic.</w:t>
      </w:r>
      <w:r w:rsidRPr="000D119D">
        <w:rPr>
          <w:rStyle w:val="FootnoteReference"/>
          <w:lang w:val="en-AU"/>
        </w:rPr>
        <w:footnoteReference w:id="36"/>
      </w:r>
      <w:r w:rsidRPr="000D119D">
        <w:rPr>
          <w:lang w:val="en-AU"/>
        </w:rPr>
        <w:t xml:space="preserve"> An Australian study also found that between March</w:t>
      </w:r>
      <w:r w:rsidR="00754B54">
        <w:rPr>
          <w:lang w:val="en-AU"/>
        </w:rPr>
        <w:t xml:space="preserve"> to </w:t>
      </w:r>
      <w:r w:rsidRPr="000D119D">
        <w:rPr>
          <w:lang w:val="en-AU"/>
        </w:rPr>
        <w:t>June 2020, risk factors for depression and anxiety symptoms were elevated for participants experiencing COVID-19 related social impairment and financial distress, an existing mental disorder diagnosis, or were younger in age.</w:t>
      </w:r>
      <w:r w:rsidRPr="000D119D">
        <w:rPr>
          <w:rStyle w:val="FootnoteReference"/>
          <w:lang w:val="en-AU"/>
        </w:rPr>
        <w:footnoteReference w:id="37"/>
      </w:r>
      <w:r w:rsidRPr="000D119D">
        <w:rPr>
          <w:lang w:val="en-AU"/>
        </w:rPr>
        <w:t xml:space="preserve"> </w:t>
      </w:r>
    </w:p>
    <w:p w14:paraId="3DF2D9BE" w14:textId="16DF864A" w:rsidR="002E7DBC" w:rsidRPr="000D119D" w:rsidRDefault="002E7DBC" w:rsidP="002E7DBC">
      <w:pPr>
        <w:rPr>
          <w:highlight w:val="cyan"/>
          <w:lang w:val="en-AU"/>
        </w:rPr>
      </w:pPr>
      <w:r w:rsidRPr="000D119D">
        <w:rPr>
          <w:rFonts w:asciiTheme="majorHAnsi" w:hAnsiTheme="majorHAnsi" w:cstheme="majorHAnsi"/>
          <w:lang w:val="en-AU"/>
        </w:rPr>
        <w:t>PRESCRIBED MEDICATION.</w:t>
      </w:r>
      <w:r w:rsidRPr="000D119D">
        <w:rPr>
          <w:lang w:val="en-AU"/>
        </w:rPr>
        <w:t xml:space="preserve"> Three quarters (73 per cent) of participants were not prescribed any medication prior to intake. Participants are typically prescribed medication when other interventions have not been effective, or they are experiencing moderate to severe mental health needs and/or </w:t>
      </w:r>
      <w:r w:rsidRPr="000D119D">
        <w:rPr>
          <w:lang w:val="en-AU"/>
        </w:rPr>
        <w:lastRenderedPageBreak/>
        <w:t>persistent and chronic mental health needs.</w:t>
      </w:r>
      <w:r w:rsidRPr="000D119D">
        <w:rPr>
          <w:rStyle w:val="FootnoteReference"/>
          <w:lang w:val="en-AU"/>
        </w:rPr>
        <w:footnoteReference w:id="38"/>
      </w:r>
      <w:r w:rsidRPr="000D119D">
        <w:rPr>
          <w:lang w:val="en-AU"/>
        </w:rPr>
        <w:t xml:space="preserve"> The most common medications prescribed prior to intake were antidepressants (</w:t>
      </w:r>
      <w:r w:rsidR="00DC1326" w:rsidRPr="000D119D">
        <w:rPr>
          <w:lang w:val="en-AU"/>
        </w:rPr>
        <w:t xml:space="preserve">22 per cent, </w:t>
      </w:r>
      <w:r w:rsidRPr="000D119D">
        <w:rPr>
          <w:lang w:val="en-AU"/>
        </w:rPr>
        <w:t>n=</w:t>
      </w:r>
      <w:r w:rsidR="003137DF" w:rsidRPr="000D119D">
        <w:rPr>
          <w:lang w:val="en-AU"/>
        </w:rPr>
        <w:t>2,373</w:t>
      </w:r>
      <w:r w:rsidRPr="000D119D">
        <w:rPr>
          <w:lang w:val="en-AU"/>
        </w:rPr>
        <w:t>), followed by antipsychotics (</w:t>
      </w:r>
      <w:r w:rsidR="00B97064">
        <w:rPr>
          <w:lang w:val="en-AU"/>
        </w:rPr>
        <w:t>five</w:t>
      </w:r>
      <w:r w:rsidR="00DC1326" w:rsidRPr="000D119D">
        <w:rPr>
          <w:lang w:val="en-AU"/>
        </w:rPr>
        <w:t xml:space="preserve"> per cent </w:t>
      </w:r>
      <w:r w:rsidRPr="000D119D">
        <w:rPr>
          <w:lang w:val="en-AU"/>
        </w:rPr>
        <w:t>n=</w:t>
      </w:r>
      <w:r w:rsidR="003137DF" w:rsidRPr="000D119D">
        <w:rPr>
          <w:lang w:val="en-AU"/>
        </w:rPr>
        <w:t>522</w:t>
      </w:r>
      <w:r w:rsidRPr="000D119D">
        <w:rPr>
          <w:lang w:val="en-AU"/>
        </w:rPr>
        <w:t>) and anxiolytics (</w:t>
      </w:r>
      <w:r w:rsidR="00B97064">
        <w:rPr>
          <w:lang w:val="en-AU"/>
        </w:rPr>
        <w:t>four</w:t>
      </w:r>
      <w:r w:rsidR="00DC1326" w:rsidRPr="000D119D">
        <w:rPr>
          <w:lang w:val="en-AU"/>
        </w:rPr>
        <w:t xml:space="preserve"> per cent </w:t>
      </w:r>
      <w:r w:rsidRPr="000D119D">
        <w:rPr>
          <w:lang w:val="en-AU"/>
        </w:rPr>
        <w:t>n=</w:t>
      </w:r>
      <w:r w:rsidR="00DC1326" w:rsidRPr="000D119D">
        <w:rPr>
          <w:lang w:val="en-AU"/>
        </w:rPr>
        <w:t>460</w:t>
      </w:r>
      <w:r w:rsidRPr="000D119D">
        <w:rPr>
          <w:lang w:val="en-AU"/>
        </w:rPr>
        <w:t>)</w:t>
      </w:r>
      <w:r w:rsidR="00DC1326" w:rsidRPr="000D119D">
        <w:rPr>
          <w:rStyle w:val="FootnoteReference"/>
          <w:lang w:val="en-AU"/>
        </w:rPr>
        <w:footnoteReference w:id="39"/>
      </w:r>
      <w:r w:rsidRPr="000D119D">
        <w:rPr>
          <w:lang w:val="en-AU"/>
        </w:rPr>
        <w:t>. The Australian Commission on Safety and Quality in Health Care found that there is wide variation in the quality of prescribing of medications for mental health, as well as confusion about the responsibilities of different clinicians.</w:t>
      </w:r>
      <w:r w:rsidRPr="000D119D">
        <w:rPr>
          <w:rStyle w:val="FootnoteReference"/>
          <w:lang w:val="en-AU"/>
        </w:rPr>
        <w:footnoteReference w:id="40"/>
      </w:r>
      <w:r w:rsidRPr="000D119D">
        <w:rPr>
          <w:lang w:val="en-AU"/>
        </w:rPr>
        <w:t xml:space="preserve"> Given the very limited number of hubs with psychiatrists in the workforce, it should be considered how </w:t>
      </w:r>
      <w:proofErr w:type="spellStart"/>
      <w:r w:rsidRPr="000D119D">
        <w:rPr>
          <w:i/>
          <w:lang w:val="en-AU"/>
        </w:rPr>
        <w:t>HeadtoHelp</w:t>
      </w:r>
      <w:proofErr w:type="spellEnd"/>
      <w:r w:rsidRPr="000D119D">
        <w:rPr>
          <w:i/>
          <w:lang w:val="en-AU"/>
        </w:rPr>
        <w:t xml:space="preserve"> </w:t>
      </w:r>
      <w:r w:rsidRPr="000D119D">
        <w:rPr>
          <w:lang w:val="en-AU"/>
        </w:rPr>
        <w:t>facilitates medication reviews for participants during their episode of care, potentially coordinating with the participants primary physician.</w:t>
      </w:r>
      <w:r w:rsidR="00100098" w:rsidRPr="000D119D">
        <w:rPr>
          <w:lang w:val="en-AU"/>
        </w:rPr>
        <w:t xml:space="preserve"> Both </w:t>
      </w:r>
      <w:r w:rsidR="00160D51" w:rsidRPr="000D119D">
        <w:rPr>
          <w:lang w:val="en-AU"/>
        </w:rPr>
        <w:t>EMPHN</w:t>
      </w:r>
      <w:r w:rsidR="00100098" w:rsidRPr="000D119D">
        <w:rPr>
          <w:lang w:val="en-AU"/>
        </w:rPr>
        <w:t xml:space="preserve"> and </w:t>
      </w:r>
      <w:r w:rsidR="00160D51" w:rsidRPr="000D119D">
        <w:rPr>
          <w:lang w:val="en-AU"/>
        </w:rPr>
        <w:t>MPHN</w:t>
      </w:r>
      <w:r w:rsidR="00100098" w:rsidRPr="000D119D">
        <w:rPr>
          <w:lang w:val="en-AU"/>
        </w:rPr>
        <w:t xml:space="preserve"> had the highest proportion of participants who were prescribed medication (41 per cent) compared to other PHNs</w:t>
      </w:r>
      <w:r w:rsidR="00B97064">
        <w:rPr>
          <w:lang w:val="en-AU"/>
        </w:rPr>
        <w:t xml:space="preserve"> </w:t>
      </w:r>
      <w:r w:rsidRPr="000D119D">
        <w:rPr>
          <w:lang w:val="en-AU"/>
        </w:rPr>
        <w:t>(</w:t>
      </w:r>
      <w:r w:rsidR="00100098" w:rsidRPr="000D119D">
        <w:rPr>
          <w:lang w:val="en-AU"/>
        </w:rPr>
        <w:t>range of 12 to 29 per cent</w:t>
      </w:r>
      <w:r w:rsidRPr="000D119D">
        <w:rPr>
          <w:lang w:val="en-AU"/>
        </w:rPr>
        <w:t xml:space="preserve">). </w:t>
      </w:r>
    </w:p>
    <w:p w14:paraId="289829F6" w14:textId="248CE7D7" w:rsidR="002E7DBC" w:rsidRPr="000D119D" w:rsidRDefault="002E7DBC" w:rsidP="002E7DBC">
      <w:pPr>
        <w:rPr>
          <w:highlight w:val="cyan"/>
          <w:lang w:val="en-AU"/>
        </w:rPr>
      </w:pPr>
      <w:r w:rsidRPr="000D119D">
        <w:rPr>
          <w:rFonts w:asciiTheme="majorHAnsi" w:hAnsiTheme="majorHAnsi" w:cstheme="majorHAnsi"/>
          <w:lang w:val="en-AU"/>
        </w:rPr>
        <w:t>LABOUR FORCE</w:t>
      </w:r>
      <w:r w:rsidR="006D2576" w:rsidRPr="000D119D">
        <w:rPr>
          <w:rFonts w:asciiTheme="majorHAnsi" w:hAnsiTheme="majorHAnsi" w:cstheme="majorHAnsi"/>
          <w:lang w:val="en-AU"/>
        </w:rPr>
        <w:t xml:space="preserve"> STATUS</w:t>
      </w:r>
      <w:r w:rsidRPr="000D119D">
        <w:rPr>
          <w:rFonts w:asciiTheme="majorHAnsi" w:hAnsiTheme="majorHAnsi" w:cstheme="majorHAnsi"/>
          <w:lang w:val="en-AU"/>
        </w:rPr>
        <w:t>, ACCOMMODATION AND COMORBID HEALTH DIAGNOSES.</w:t>
      </w:r>
      <w:r w:rsidRPr="000D119D">
        <w:rPr>
          <w:lang w:val="en-AU"/>
        </w:rPr>
        <w:t xml:space="preserve"> The PMHC-MDS contains other demographic variables that may be risk factors for mental disorders, such as employment/labour force participation, accommodation and comorbid health diagnoses that affect mental health. Of </w:t>
      </w:r>
      <w:proofErr w:type="spellStart"/>
      <w:r w:rsidRPr="000D119D">
        <w:rPr>
          <w:i/>
          <w:lang w:val="en-AU"/>
        </w:rPr>
        <w:t>HeadtoHelp</w:t>
      </w:r>
      <w:proofErr w:type="spellEnd"/>
      <w:r w:rsidRPr="000D119D">
        <w:rPr>
          <w:lang w:val="en-AU"/>
        </w:rPr>
        <w:t xml:space="preserve"> participants, </w:t>
      </w:r>
      <w:r w:rsidR="00DF6D80" w:rsidRPr="000D119D">
        <w:rPr>
          <w:lang w:val="en-AU"/>
        </w:rPr>
        <w:t>31</w:t>
      </w:r>
      <w:r w:rsidRPr="000D119D">
        <w:rPr>
          <w:lang w:val="en-AU"/>
        </w:rPr>
        <w:t xml:space="preserve"> per cent were not in the labour force</w:t>
      </w:r>
      <w:r w:rsidRPr="000D119D">
        <w:rPr>
          <w:rStyle w:val="FootnoteReference"/>
          <w:lang w:val="en-AU"/>
        </w:rPr>
        <w:footnoteReference w:id="41"/>
      </w:r>
      <w:r w:rsidRPr="000D119D">
        <w:rPr>
          <w:lang w:val="en-AU"/>
        </w:rPr>
        <w:t xml:space="preserve"> (n=</w:t>
      </w:r>
      <w:r w:rsidR="006D2576" w:rsidRPr="000D119D">
        <w:rPr>
          <w:lang w:val="en-AU"/>
        </w:rPr>
        <w:t>3,297</w:t>
      </w:r>
      <w:r w:rsidRPr="000D119D">
        <w:rPr>
          <w:lang w:val="en-AU"/>
        </w:rPr>
        <w:t xml:space="preserve">), which suggests that the program’s purpose as a COVID-19 response was appropriate, noting that the pandemic has had a substantial impact of employment of individuals in </w:t>
      </w:r>
      <w:proofErr w:type="gramStart"/>
      <w:r w:rsidRPr="000D119D">
        <w:rPr>
          <w:lang w:val="en-AU"/>
        </w:rPr>
        <w:t>a number of</w:t>
      </w:r>
      <w:proofErr w:type="gramEnd"/>
      <w:r w:rsidRPr="000D119D">
        <w:rPr>
          <w:lang w:val="en-AU"/>
        </w:rPr>
        <w:t xml:space="preserve"> sectors. </w:t>
      </w:r>
      <w:r w:rsidR="00B97064">
        <w:rPr>
          <w:lang w:val="en-AU"/>
        </w:rPr>
        <w:t>Five</w:t>
      </w:r>
      <w:r w:rsidRPr="000D119D">
        <w:rPr>
          <w:lang w:val="en-AU"/>
        </w:rPr>
        <w:t xml:space="preserve"> per cent are in short-term or emergency accommodation or sleeping rough or in non-conventional accommodation (n=</w:t>
      </w:r>
      <w:r w:rsidR="00AF26E1" w:rsidRPr="000D119D">
        <w:rPr>
          <w:lang w:val="en-AU"/>
        </w:rPr>
        <w:t>448</w:t>
      </w:r>
      <w:r w:rsidRPr="000D119D">
        <w:rPr>
          <w:lang w:val="en-AU"/>
        </w:rPr>
        <w:t>).</w:t>
      </w:r>
      <w:r w:rsidRPr="000D119D">
        <w:rPr>
          <w:highlight w:val="cyan"/>
          <w:lang w:val="en-AU"/>
        </w:rPr>
        <w:t xml:space="preserve"> </w:t>
      </w:r>
    </w:p>
    <w:p w14:paraId="708E9755" w14:textId="2F15882A" w:rsidR="002E7DBC" w:rsidRPr="000D119D" w:rsidRDefault="00D95417" w:rsidP="00BE0860">
      <w:pPr>
        <w:pStyle w:val="Heading4"/>
      </w:pPr>
      <w:r w:rsidRPr="000D119D">
        <w:t>Participants were dispersed across Victoria</w:t>
      </w:r>
      <w:r w:rsidR="00B432B4" w:rsidRPr="000D119D">
        <w:t>, with particularly high uptake in border and regional communities</w:t>
      </w:r>
    </w:p>
    <w:p w14:paraId="29509755" w14:textId="4B345EF2" w:rsidR="002E7DBC" w:rsidRPr="000D119D" w:rsidRDefault="002E7DBC" w:rsidP="002E7DBC">
      <w:pPr>
        <w:rPr>
          <w:lang w:val="en-AU"/>
        </w:rPr>
      </w:pPr>
      <w:r w:rsidRPr="000D119D">
        <w:rPr>
          <w:lang w:val="en-AU"/>
        </w:rPr>
        <w:t xml:space="preserve">Participants were dispersed across Victoria (and in New South Wales, in some cases). </w:t>
      </w:r>
      <w:r w:rsidR="00761FFC" w:rsidRPr="000D119D">
        <w:rPr>
          <w:lang w:val="en-AU"/>
        </w:rPr>
        <w:fldChar w:fldCharType="begin"/>
      </w:r>
      <w:r w:rsidR="00761FFC" w:rsidRPr="000D119D">
        <w:rPr>
          <w:lang w:val="en-AU"/>
        </w:rPr>
        <w:instrText xml:space="preserve"> REF _Ref96962948 \h </w:instrText>
      </w:r>
      <w:r w:rsidR="00F06741" w:rsidRPr="000D119D">
        <w:rPr>
          <w:lang w:val="en-AU"/>
        </w:rPr>
        <w:instrText xml:space="preserve"> \* MERGEFORMAT </w:instrText>
      </w:r>
      <w:r w:rsidR="00761FFC" w:rsidRPr="000D119D">
        <w:rPr>
          <w:lang w:val="en-AU"/>
        </w:rPr>
      </w:r>
      <w:r w:rsidR="00761FFC" w:rsidRPr="000D119D">
        <w:rPr>
          <w:lang w:val="en-AU"/>
        </w:rPr>
        <w:fldChar w:fldCharType="separate"/>
      </w:r>
      <w:r w:rsidR="00562174" w:rsidRPr="00562174">
        <w:rPr>
          <w:lang w:val="en-AU"/>
        </w:rPr>
        <w:t xml:space="preserve">Figure </w:t>
      </w:r>
      <w:r w:rsidR="00562174" w:rsidRPr="00562174">
        <w:rPr>
          <w:noProof/>
          <w:lang w:val="en-AU"/>
        </w:rPr>
        <w:t>19</w:t>
      </w:r>
      <w:r w:rsidR="00761FFC" w:rsidRPr="000D119D">
        <w:rPr>
          <w:lang w:val="en-AU"/>
        </w:rPr>
        <w:fldChar w:fldCharType="end"/>
      </w:r>
      <w:r w:rsidR="00814233" w:rsidRPr="000D119D">
        <w:rPr>
          <w:lang w:val="en-AU"/>
        </w:rPr>
        <w:t xml:space="preserve"> </w:t>
      </w:r>
      <w:r w:rsidRPr="000D119D">
        <w:rPr>
          <w:lang w:val="en-AU"/>
        </w:rPr>
        <w:t>displays the count of participants by postcode. High case numbers (e.g., &gt;50 clients per postcode) tend to be seen near hub locations (e.g., Bendigo, West Heidelberg, Wyndham Vale, Ballarat, Sale)</w:t>
      </w:r>
      <w:r w:rsidR="00507025" w:rsidRPr="000D119D">
        <w:rPr>
          <w:lang w:val="en-AU"/>
        </w:rPr>
        <w:t>.</w:t>
      </w:r>
      <w:r w:rsidR="00B97064">
        <w:rPr>
          <w:lang w:val="en-AU"/>
        </w:rPr>
        <w:t xml:space="preserve"> </w:t>
      </w:r>
      <w:r w:rsidR="00507025" w:rsidRPr="000D119D">
        <w:rPr>
          <w:lang w:val="en-AU"/>
        </w:rPr>
        <w:t xml:space="preserve">The areas with the highest growth in participants also tend to be around hub locations. This </w:t>
      </w:r>
      <w:r w:rsidRPr="000D119D">
        <w:rPr>
          <w:lang w:val="en-AU"/>
        </w:rPr>
        <w:t>suggest</w:t>
      </w:r>
      <w:r w:rsidR="00507025" w:rsidRPr="000D119D">
        <w:rPr>
          <w:lang w:val="en-AU"/>
        </w:rPr>
        <w:t>s</w:t>
      </w:r>
      <w:r w:rsidRPr="000D119D">
        <w:rPr>
          <w:lang w:val="en-AU"/>
        </w:rPr>
        <w:t xml:space="preserve"> that a brick-and-mortar service improves service awareness and access in that community, relative to other areas that can access the service via telephone or video call.</w:t>
      </w:r>
    </w:p>
    <w:p w14:paraId="13CA70AC" w14:textId="031CED6A" w:rsidR="002E7DBC" w:rsidRPr="000D119D" w:rsidRDefault="002E7DBC" w:rsidP="002E7DBC">
      <w:pPr>
        <w:rPr>
          <w:lang w:val="en-AU"/>
        </w:rPr>
      </w:pPr>
      <w:r w:rsidRPr="000D119D">
        <w:rPr>
          <w:lang w:val="en-AU"/>
        </w:rPr>
        <w:t xml:space="preserve">Interestingly, </w:t>
      </w:r>
      <w:r w:rsidR="00E20F7D" w:rsidRPr="000D119D">
        <w:rPr>
          <w:lang w:val="en-AU"/>
        </w:rPr>
        <w:t xml:space="preserve">while there </w:t>
      </w:r>
      <w:r w:rsidRPr="000D119D">
        <w:rPr>
          <w:lang w:val="en-AU"/>
        </w:rPr>
        <w:t xml:space="preserve">are high case numbers in border communities in </w:t>
      </w:r>
      <w:r w:rsidR="00160D51" w:rsidRPr="000D119D">
        <w:rPr>
          <w:lang w:val="en-AU"/>
        </w:rPr>
        <w:t>MPHN</w:t>
      </w:r>
      <w:r w:rsidRPr="000D119D">
        <w:rPr>
          <w:lang w:val="en-AU"/>
        </w:rPr>
        <w:t>, particularly in Mildura and Albury/Wodonga</w:t>
      </w:r>
      <w:r w:rsidR="0001037D" w:rsidRPr="000D119D">
        <w:rPr>
          <w:lang w:val="en-AU"/>
        </w:rPr>
        <w:t xml:space="preserve">, </w:t>
      </w:r>
      <w:r w:rsidR="00D425FB" w:rsidRPr="000D119D">
        <w:rPr>
          <w:lang w:val="en-AU"/>
        </w:rPr>
        <w:t xml:space="preserve">there has been little growth in these border communities </w:t>
      </w:r>
      <w:r w:rsidR="00A25AC9" w:rsidRPr="000D119D">
        <w:rPr>
          <w:lang w:val="en-AU"/>
        </w:rPr>
        <w:t xml:space="preserve">since the </w:t>
      </w:r>
      <w:r w:rsidR="00940260" w:rsidRPr="000D119D">
        <w:rPr>
          <w:lang w:val="en-AU"/>
        </w:rPr>
        <w:t>I</w:t>
      </w:r>
      <w:r w:rsidR="00A25AC9" w:rsidRPr="000D119D">
        <w:rPr>
          <w:lang w:val="en-AU"/>
        </w:rPr>
        <w:t xml:space="preserve">nterim </w:t>
      </w:r>
      <w:r w:rsidR="00940260" w:rsidRPr="000D119D">
        <w:rPr>
          <w:lang w:val="en-AU"/>
        </w:rPr>
        <w:t>Evaluation Report.</w:t>
      </w:r>
      <w:r w:rsidRPr="000D119D">
        <w:rPr>
          <w:lang w:val="en-AU"/>
        </w:rPr>
        <w:t xml:space="preserve"> Our hypothesis is that border communities </w:t>
      </w:r>
      <w:r w:rsidR="00614790" w:rsidRPr="000D119D">
        <w:rPr>
          <w:lang w:val="en-AU"/>
        </w:rPr>
        <w:t xml:space="preserve">were </w:t>
      </w:r>
      <w:r w:rsidRPr="000D119D">
        <w:rPr>
          <w:lang w:val="en-AU"/>
        </w:rPr>
        <w:t xml:space="preserve">at particular risk of mental health concerns because of </w:t>
      </w:r>
      <w:r w:rsidR="00614790" w:rsidRPr="000D119D">
        <w:rPr>
          <w:lang w:val="en-AU"/>
        </w:rPr>
        <w:t xml:space="preserve">early </w:t>
      </w:r>
      <w:r w:rsidRPr="000D119D">
        <w:rPr>
          <w:lang w:val="en-AU"/>
        </w:rPr>
        <w:t xml:space="preserve">COVID-19 related border closures as services, workplaces, </w:t>
      </w:r>
      <w:proofErr w:type="gramStart"/>
      <w:r w:rsidRPr="000D119D">
        <w:rPr>
          <w:lang w:val="en-AU"/>
        </w:rPr>
        <w:t>friends</w:t>
      </w:r>
      <w:proofErr w:type="gramEnd"/>
      <w:r w:rsidRPr="000D119D">
        <w:rPr>
          <w:lang w:val="en-AU"/>
        </w:rPr>
        <w:t xml:space="preserve"> and family may be dispersed across the border. </w:t>
      </w:r>
      <w:r w:rsidR="00614790" w:rsidRPr="000D119D">
        <w:rPr>
          <w:lang w:val="en-AU"/>
        </w:rPr>
        <w:t xml:space="preserve">However, </w:t>
      </w:r>
      <w:r w:rsidR="006734F5" w:rsidRPr="000D119D">
        <w:rPr>
          <w:lang w:val="en-AU"/>
        </w:rPr>
        <w:t>border closures with NSW were not a feature of the COVID-19 pandemic response by both states</w:t>
      </w:r>
      <w:r w:rsidR="00614790" w:rsidRPr="000D119D">
        <w:rPr>
          <w:lang w:val="en-AU"/>
        </w:rPr>
        <w:t xml:space="preserve"> </w:t>
      </w:r>
      <w:r w:rsidR="00226720" w:rsidRPr="000D119D">
        <w:rPr>
          <w:lang w:val="en-AU"/>
        </w:rPr>
        <w:t xml:space="preserve">from </w:t>
      </w:r>
      <w:r w:rsidR="006734F5" w:rsidRPr="000D119D">
        <w:rPr>
          <w:lang w:val="en-AU"/>
        </w:rPr>
        <w:t>June 2021</w:t>
      </w:r>
      <w:r w:rsidR="00440F24" w:rsidRPr="000D119D">
        <w:rPr>
          <w:rStyle w:val="FootnoteReference"/>
          <w:lang w:val="en-AU"/>
        </w:rPr>
        <w:footnoteReference w:id="42"/>
      </w:r>
      <w:r w:rsidR="006734F5" w:rsidRPr="000D119D">
        <w:rPr>
          <w:lang w:val="en-AU"/>
        </w:rPr>
        <w:t xml:space="preserve"> and hence, people might have experienced lower mental health risk as a result</w:t>
      </w:r>
      <w:r w:rsidR="000B2282">
        <w:rPr>
          <w:lang w:val="en-AU"/>
        </w:rPr>
        <w:t xml:space="preserve">. </w:t>
      </w:r>
      <w:r w:rsidR="00F26744" w:rsidRPr="000D119D">
        <w:rPr>
          <w:lang w:val="en-AU"/>
        </w:rPr>
        <w:fldChar w:fldCharType="begin"/>
      </w:r>
      <w:r w:rsidR="00F26744" w:rsidRPr="000D119D">
        <w:rPr>
          <w:lang w:val="en-AU"/>
        </w:rPr>
        <w:instrText xml:space="preserve"> REF _Ref96962948 \h  \* MERGEFORMAT </w:instrText>
      </w:r>
      <w:r w:rsidR="00F26744" w:rsidRPr="000D119D">
        <w:rPr>
          <w:lang w:val="en-AU"/>
        </w:rPr>
      </w:r>
      <w:r w:rsidR="00F26744" w:rsidRPr="000D119D">
        <w:rPr>
          <w:lang w:val="en-AU"/>
        </w:rPr>
        <w:fldChar w:fldCharType="separate"/>
      </w:r>
      <w:r w:rsidR="00562174" w:rsidRPr="00562174">
        <w:rPr>
          <w:lang w:val="en-AU"/>
        </w:rPr>
        <w:t xml:space="preserve">Figure </w:t>
      </w:r>
      <w:r w:rsidR="00562174" w:rsidRPr="00562174">
        <w:rPr>
          <w:noProof/>
          <w:lang w:val="en-AU"/>
        </w:rPr>
        <w:t>19</w:t>
      </w:r>
      <w:r w:rsidR="00F26744" w:rsidRPr="000D119D">
        <w:rPr>
          <w:lang w:val="en-AU"/>
        </w:rPr>
        <w:fldChar w:fldCharType="end"/>
      </w:r>
      <w:r w:rsidR="00F26744">
        <w:rPr>
          <w:lang w:val="en-AU"/>
        </w:rPr>
        <w:t xml:space="preserve"> also indicates some areas of high need that are not particularly close geographically to a hub </w:t>
      </w:r>
      <w:r w:rsidR="00180618">
        <w:rPr>
          <w:lang w:val="en-AU"/>
        </w:rPr>
        <w:t>–</w:t>
      </w:r>
      <w:r w:rsidR="00F26744">
        <w:rPr>
          <w:lang w:val="en-AU"/>
        </w:rPr>
        <w:t xml:space="preserve"> in</w:t>
      </w:r>
      <w:r w:rsidR="00180618">
        <w:rPr>
          <w:lang w:val="en-AU"/>
        </w:rPr>
        <w:t xml:space="preserve">cluding </w:t>
      </w:r>
      <w:r w:rsidR="00C21026">
        <w:rPr>
          <w:lang w:val="en-AU"/>
        </w:rPr>
        <w:t xml:space="preserve">near Shepparton, and </w:t>
      </w:r>
      <w:r w:rsidR="00DD3B73">
        <w:rPr>
          <w:lang w:val="en-AU"/>
        </w:rPr>
        <w:t>across the Gippsland region</w:t>
      </w:r>
      <w:r w:rsidR="00FD4FD8">
        <w:rPr>
          <w:lang w:val="en-AU"/>
        </w:rPr>
        <w:t xml:space="preserve">, which may be </w:t>
      </w:r>
      <w:r w:rsidR="002A7E6B">
        <w:rPr>
          <w:lang w:val="en-AU"/>
        </w:rPr>
        <w:t xml:space="preserve">important to inform future locations for AMHCs. </w:t>
      </w:r>
      <w:r w:rsidR="00FD4FD8">
        <w:rPr>
          <w:lang w:val="en-AU"/>
        </w:rPr>
        <w:t xml:space="preserve"> </w:t>
      </w:r>
    </w:p>
    <w:p w14:paraId="53D5CD5C" w14:textId="2D094909" w:rsidR="00761FFC" w:rsidRPr="000D119D" w:rsidRDefault="00761FFC" w:rsidP="00761FFC">
      <w:pPr>
        <w:pStyle w:val="Caption"/>
      </w:pPr>
      <w:bookmarkStart w:id="69" w:name="_Ref96962948"/>
      <w:r w:rsidRPr="000D119D">
        <w:lastRenderedPageBreak/>
        <w:t xml:space="preserve">Figure </w:t>
      </w:r>
      <w:r w:rsidR="00C90990">
        <w:fldChar w:fldCharType="begin"/>
      </w:r>
      <w:r w:rsidR="00C90990">
        <w:instrText xml:space="preserve"> SEQ Figure \* ARABIC </w:instrText>
      </w:r>
      <w:r w:rsidR="00C90990">
        <w:fldChar w:fldCharType="separate"/>
      </w:r>
      <w:r w:rsidR="00562174">
        <w:rPr>
          <w:noProof/>
        </w:rPr>
        <w:t>19</w:t>
      </w:r>
      <w:r w:rsidR="00C90990">
        <w:fldChar w:fldCharType="end"/>
      </w:r>
      <w:bookmarkEnd w:id="69"/>
      <w:r w:rsidRPr="000D119D">
        <w:t xml:space="preserve"> | Number of clients by postcode</w:t>
      </w:r>
    </w:p>
    <w:p w14:paraId="1DC50B8F" w14:textId="53213AFA" w:rsidR="002E7DBC" w:rsidRPr="009F1CB7" w:rsidRDefault="00787C9F" w:rsidP="009F1CB7">
      <w:r w:rsidRPr="00787C9F">
        <w:rPr>
          <w:noProof/>
        </w:rPr>
        <w:drawing>
          <wp:inline distT="0" distB="0" distL="0" distR="0" wp14:anchorId="0F348BCD" wp14:editId="434E3599">
            <wp:extent cx="5670550" cy="4401820"/>
            <wp:effectExtent l="0" t="0" r="6350" b="0"/>
            <wp:docPr id="44" name="Picture 44" descr="Figure 19 is a map of Victoria depicting the number of clients by post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19 is a map of Victoria depicting the number of clients by postcod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70550" cy="4401820"/>
                    </a:xfrm>
                    <a:prstGeom prst="rect">
                      <a:avLst/>
                    </a:prstGeom>
                    <a:noFill/>
                    <a:ln>
                      <a:noFill/>
                    </a:ln>
                  </pic:spPr>
                </pic:pic>
              </a:graphicData>
            </a:graphic>
          </wp:inline>
        </w:drawing>
      </w:r>
    </w:p>
    <w:p w14:paraId="2E07B362" w14:textId="0D69BECA" w:rsidR="000C30BD" w:rsidRPr="000D119D" w:rsidRDefault="00E92B75" w:rsidP="00BE0860">
      <w:pPr>
        <w:pStyle w:val="Heading4"/>
      </w:pPr>
      <w:r w:rsidRPr="000D119D">
        <w:t>Qualitatively, hubs</w:t>
      </w:r>
      <w:r w:rsidR="000C30BD" w:rsidRPr="000D119D">
        <w:t xml:space="preserve"> </w:t>
      </w:r>
      <w:r w:rsidR="00B81BF5" w:rsidRPr="000D119D">
        <w:t>reported that over time participants appeared younger, with more severe needs</w:t>
      </w:r>
    </w:p>
    <w:p w14:paraId="3300A2C2" w14:textId="3AC50283" w:rsidR="001E2584" w:rsidRPr="000D119D" w:rsidRDefault="00194437" w:rsidP="001E3C55">
      <w:pPr>
        <w:rPr>
          <w:lang w:val="en-AU"/>
        </w:rPr>
      </w:pPr>
      <w:r w:rsidRPr="000D119D">
        <w:rPr>
          <w:lang w:val="en-AU"/>
        </w:rPr>
        <w:t xml:space="preserve">Most hubs report that many of their </w:t>
      </w:r>
      <w:r w:rsidR="00F40845" w:rsidRPr="000D119D">
        <w:rPr>
          <w:lang w:val="en-AU"/>
        </w:rPr>
        <w:t>participants</w:t>
      </w:r>
      <w:r w:rsidR="00604D00" w:rsidRPr="000D119D">
        <w:rPr>
          <w:lang w:val="en-AU"/>
        </w:rPr>
        <w:t xml:space="preserve"> </w:t>
      </w:r>
      <w:r w:rsidRPr="000D119D">
        <w:rPr>
          <w:lang w:val="en-AU"/>
        </w:rPr>
        <w:t>are</w:t>
      </w:r>
      <w:r w:rsidR="00747D51" w:rsidRPr="000D119D">
        <w:rPr>
          <w:lang w:val="en-AU"/>
        </w:rPr>
        <w:t xml:space="preserve"> </w:t>
      </w:r>
      <w:r w:rsidR="00604D00" w:rsidRPr="000D119D">
        <w:rPr>
          <w:lang w:val="en-AU"/>
        </w:rPr>
        <w:t xml:space="preserve">the </w:t>
      </w:r>
      <w:r w:rsidR="001A4194" w:rsidRPr="000D119D">
        <w:rPr>
          <w:lang w:val="en-AU"/>
        </w:rPr>
        <w:t>‘</w:t>
      </w:r>
      <w:r w:rsidR="00604D00" w:rsidRPr="000D119D">
        <w:rPr>
          <w:lang w:val="en-AU"/>
        </w:rPr>
        <w:t>missing middle</w:t>
      </w:r>
      <w:r w:rsidR="001A4194" w:rsidRPr="000D119D">
        <w:rPr>
          <w:lang w:val="en-AU"/>
        </w:rPr>
        <w:t xml:space="preserve">’. </w:t>
      </w:r>
      <w:r w:rsidR="00D35D03" w:rsidRPr="000D119D">
        <w:rPr>
          <w:lang w:val="en-AU"/>
        </w:rPr>
        <w:t xml:space="preserve">That is, </w:t>
      </w:r>
      <w:r w:rsidR="00D606C4" w:rsidRPr="000D119D">
        <w:rPr>
          <w:lang w:val="en-AU"/>
        </w:rPr>
        <w:t>people who have multiple needs or symptoms</w:t>
      </w:r>
      <w:r w:rsidR="006D228E" w:rsidRPr="000D119D">
        <w:rPr>
          <w:lang w:val="en-AU"/>
        </w:rPr>
        <w:t xml:space="preserve"> that</w:t>
      </w:r>
      <w:r w:rsidR="00D606C4" w:rsidRPr="000D119D">
        <w:rPr>
          <w:lang w:val="en-AU"/>
        </w:rPr>
        <w:t xml:space="preserve"> are considered too complex to be adequately treated by a </w:t>
      </w:r>
      <w:r w:rsidR="000B5267">
        <w:rPr>
          <w:lang w:val="en-AU"/>
        </w:rPr>
        <w:t>GP</w:t>
      </w:r>
      <w:r w:rsidR="006D228E" w:rsidRPr="000D119D">
        <w:rPr>
          <w:lang w:val="en-AU"/>
        </w:rPr>
        <w:t>, however</w:t>
      </w:r>
      <w:r w:rsidR="00DA159A" w:rsidRPr="000D119D">
        <w:rPr>
          <w:lang w:val="en-AU"/>
        </w:rPr>
        <w:t>,</w:t>
      </w:r>
      <w:r w:rsidR="006D228E" w:rsidRPr="000D119D">
        <w:rPr>
          <w:lang w:val="en-AU"/>
        </w:rPr>
        <w:t xml:space="preserve"> not </w:t>
      </w:r>
      <w:r w:rsidR="00D606C4" w:rsidRPr="000D119D">
        <w:rPr>
          <w:lang w:val="en-AU"/>
        </w:rPr>
        <w:t xml:space="preserve">severe enough to meet the threshold for access to </w:t>
      </w:r>
      <w:r w:rsidR="00CF5127" w:rsidRPr="000D119D">
        <w:rPr>
          <w:lang w:val="en-AU"/>
        </w:rPr>
        <w:t xml:space="preserve">the </w:t>
      </w:r>
      <w:r w:rsidR="00D606C4" w:rsidRPr="000D119D">
        <w:rPr>
          <w:lang w:val="en-AU"/>
        </w:rPr>
        <w:t>state funded specialised mental health service</w:t>
      </w:r>
      <w:r w:rsidR="00CF5127" w:rsidRPr="000D119D">
        <w:rPr>
          <w:lang w:val="en-AU"/>
        </w:rPr>
        <w:t xml:space="preserve"> (i.e</w:t>
      </w:r>
      <w:r w:rsidR="00DA159A" w:rsidRPr="000D119D">
        <w:rPr>
          <w:lang w:val="en-AU"/>
        </w:rPr>
        <w:t>.,</w:t>
      </w:r>
      <w:r w:rsidR="00CF5127" w:rsidRPr="000D119D">
        <w:rPr>
          <w:lang w:val="en-AU"/>
        </w:rPr>
        <w:t xml:space="preserve"> AMHS)</w:t>
      </w:r>
      <w:r w:rsidR="00D606C4" w:rsidRPr="000D119D">
        <w:rPr>
          <w:lang w:val="en-AU"/>
        </w:rPr>
        <w:t>.</w:t>
      </w:r>
    </w:p>
    <w:p w14:paraId="3F46CEA0" w14:textId="0A797400" w:rsidR="00390972" w:rsidRPr="000D119D" w:rsidRDefault="005C377D" w:rsidP="001E3C55">
      <w:pPr>
        <w:rPr>
          <w:lang w:val="en-AU"/>
        </w:rPr>
      </w:pPr>
      <w:r w:rsidRPr="000D119D">
        <w:rPr>
          <w:lang w:val="en-AU"/>
        </w:rPr>
        <w:t xml:space="preserve">Initially, </w:t>
      </w:r>
      <w:r w:rsidR="00F40845" w:rsidRPr="000D119D">
        <w:rPr>
          <w:lang w:val="en-AU"/>
        </w:rPr>
        <w:t>participants</w:t>
      </w:r>
      <w:r w:rsidRPr="000D119D">
        <w:rPr>
          <w:lang w:val="en-AU"/>
        </w:rPr>
        <w:t xml:space="preserve"> were presenting with COVID-19 related situational distress that could be managed by psychosocial supports (e.g</w:t>
      </w:r>
      <w:r w:rsidR="00DA159A" w:rsidRPr="000D119D">
        <w:rPr>
          <w:lang w:val="en-AU"/>
        </w:rPr>
        <w:t>.,</w:t>
      </w:r>
      <w:r w:rsidRPr="000D119D">
        <w:rPr>
          <w:lang w:val="en-AU"/>
        </w:rPr>
        <w:t xml:space="preserve"> financial advice, relationship counselling). Over time, </w:t>
      </w:r>
      <w:r w:rsidR="00F40845" w:rsidRPr="000D119D">
        <w:rPr>
          <w:lang w:val="en-AU"/>
        </w:rPr>
        <w:t>participants</w:t>
      </w:r>
      <w:r w:rsidRPr="000D119D">
        <w:rPr>
          <w:lang w:val="en-AU"/>
        </w:rPr>
        <w:t xml:space="preserve"> </w:t>
      </w:r>
      <w:r w:rsidR="004D6F26" w:rsidRPr="000D119D">
        <w:rPr>
          <w:lang w:val="en-AU"/>
        </w:rPr>
        <w:t>have</w:t>
      </w:r>
      <w:r w:rsidRPr="000D119D">
        <w:rPr>
          <w:lang w:val="en-AU"/>
        </w:rPr>
        <w:t xml:space="preserve"> present</w:t>
      </w:r>
      <w:r w:rsidR="004D6F26" w:rsidRPr="000D119D">
        <w:rPr>
          <w:lang w:val="en-AU"/>
        </w:rPr>
        <w:t>ed</w:t>
      </w:r>
      <w:r w:rsidRPr="000D119D">
        <w:rPr>
          <w:lang w:val="en-AU"/>
        </w:rPr>
        <w:t xml:space="preserve"> with more severe and acute mental illnesses that have been exacerbated by COVID-19 (related restriction, </w:t>
      </w:r>
      <w:proofErr w:type="gramStart"/>
      <w:r w:rsidRPr="000D119D">
        <w:rPr>
          <w:lang w:val="en-AU"/>
        </w:rPr>
        <w:t>ambiguity</w:t>
      </w:r>
      <w:proofErr w:type="gramEnd"/>
      <w:r w:rsidRPr="000D119D">
        <w:rPr>
          <w:lang w:val="en-AU"/>
        </w:rPr>
        <w:t xml:space="preserve"> and uncertainty). </w:t>
      </w:r>
      <w:r w:rsidR="001A4194" w:rsidRPr="000D119D">
        <w:rPr>
          <w:lang w:val="en-AU"/>
        </w:rPr>
        <w:t>Many</w:t>
      </w:r>
      <w:r w:rsidR="00867350" w:rsidRPr="000D119D">
        <w:rPr>
          <w:lang w:val="en-AU"/>
        </w:rPr>
        <w:t xml:space="preserve"> hub</w:t>
      </w:r>
      <w:r w:rsidR="001A4194" w:rsidRPr="000D119D">
        <w:rPr>
          <w:lang w:val="en-AU"/>
        </w:rPr>
        <w:t xml:space="preserve"> </w:t>
      </w:r>
      <w:r w:rsidR="001E2A83" w:rsidRPr="000D119D">
        <w:rPr>
          <w:lang w:val="en-AU"/>
        </w:rPr>
        <w:t xml:space="preserve">staff </w:t>
      </w:r>
      <w:r w:rsidR="000D68AA" w:rsidRPr="000D119D">
        <w:rPr>
          <w:lang w:val="en-AU"/>
        </w:rPr>
        <w:t>reflected that they</w:t>
      </w:r>
      <w:r w:rsidR="001A4194" w:rsidRPr="000D119D">
        <w:rPr>
          <w:lang w:val="en-AU"/>
        </w:rPr>
        <w:t xml:space="preserve"> are </w:t>
      </w:r>
      <w:r w:rsidR="000D68AA" w:rsidRPr="000D119D">
        <w:rPr>
          <w:lang w:val="en-AU"/>
        </w:rPr>
        <w:t>working with</w:t>
      </w:r>
      <w:r w:rsidR="001A4194" w:rsidRPr="000D119D">
        <w:rPr>
          <w:lang w:val="en-AU"/>
        </w:rPr>
        <w:t xml:space="preserve"> </w:t>
      </w:r>
      <w:r w:rsidR="00F40845" w:rsidRPr="000D119D">
        <w:rPr>
          <w:lang w:val="en-AU"/>
        </w:rPr>
        <w:t>participants</w:t>
      </w:r>
      <w:r w:rsidR="001A4194" w:rsidRPr="000D119D">
        <w:rPr>
          <w:lang w:val="en-AU"/>
        </w:rPr>
        <w:t xml:space="preserve"> who have never sought help </w:t>
      </w:r>
      <w:r w:rsidR="0083292D" w:rsidRPr="000D119D">
        <w:rPr>
          <w:lang w:val="en-AU"/>
        </w:rPr>
        <w:t xml:space="preserve">from mental health services </w:t>
      </w:r>
      <w:r w:rsidR="001A4194" w:rsidRPr="000D119D">
        <w:rPr>
          <w:lang w:val="en-AU"/>
        </w:rPr>
        <w:t>before</w:t>
      </w:r>
      <w:r w:rsidR="004F7AB7" w:rsidRPr="000D119D">
        <w:rPr>
          <w:lang w:val="en-AU"/>
        </w:rPr>
        <w:t>.</w:t>
      </w:r>
    </w:p>
    <w:p w14:paraId="3CF6EC4E" w14:textId="32F4E650" w:rsidR="00852DDB" w:rsidRDefault="00B81BF5" w:rsidP="001E3C55">
      <w:pPr>
        <w:rPr>
          <w:lang w:val="en-AU"/>
        </w:rPr>
      </w:pPr>
      <w:r w:rsidRPr="000D119D">
        <w:rPr>
          <w:lang w:val="en-AU"/>
        </w:rPr>
        <w:t>Over the second half of operation</w:t>
      </w:r>
      <w:r w:rsidR="00BD381E" w:rsidRPr="000D119D">
        <w:rPr>
          <w:lang w:val="en-AU"/>
        </w:rPr>
        <w:t xml:space="preserve">, </w:t>
      </w:r>
      <w:r w:rsidRPr="000D119D">
        <w:rPr>
          <w:lang w:val="en-AU"/>
        </w:rPr>
        <w:t>many</w:t>
      </w:r>
      <w:r w:rsidR="00BD381E" w:rsidRPr="000D119D">
        <w:rPr>
          <w:lang w:val="en-AU"/>
        </w:rPr>
        <w:t xml:space="preserve"> intake clinicians and hub</w:t>
      </w:r>
      <w:r w:rsidR="00622C0A" w:rsidRPr="000D119D">
        <w:rPr>
          <w:lang w:val="en-AU"/>
        </w:rPr>
        <w:t xml:space="preserve"> providers </w:t>
      </w:r>
      <w:r w:rsidRPr="000D119D">
        <w:rPr>
          <w:lang w:val="en-AU"/>
        </w:rPr>
        <w:t>qualitatively</w:t>
      </w:r>
      <w:r w:rsidR="00622C0A" w:rsidRPr="000D119D">
        <w:rPr>
          <w:lang w:val="en-AU"/>
        </w:rPr>
        <w:t xml:space="preserve"> observed the </w:t>
      </w:r>
      <w:proofErr w:type="spellStart"/>
      <w:r w:rsidR="00BD381E" w:rsidRPr="00E13AC5">
        <w:rPr>
          <w:rStyle w:val="Emphasis"/>
        </w:rPr>
        <w:t>HeadtoHelp</w:t>
      </w:r>
      <w:proofErr w:type="spellEnd"/>
      <w:r w:rsidR="00622C0A" w:rsidRPr="000D119D">
        <w:rPr>
          <w:lang w:val="en-AU"/>
        </w:rPr>
        <w:t xml:space="preserve"> cohort </w:t>
      </w:r>
      <w:r w:rsidR="00BD381E" w:rsidRPr="000D119D">
        <w:rPr>
          <w:lang w:val="en-AU"/>
        </w:rPr>
        <w:t xml:space="preserve">that is </w:t>
      </w:r>
      <w:r w:rsidR="00622C0A" w:rsidRPr="000D119D">
        <w:rPr>
          <w:lang w:val="en-AU"/>
        </w:rPr>
        <w:t xml:space="preserve">referred </w:t>
      </w:r>
      <w:r w:rsidR="00BD381E" w:rsidRPr="000D119D">
        <w:rPr>
          <w:lang w:val="en-AU"/>
        </w:rPr>
        <w:t>to</w:t>
      </w:r>
      <w:r w:rsidR="00622C0A" w:rsidRPr="000D119D">
        <w:rPr>
          <w:lang w:val="en-AU"/>
        </w:rPr>
        <w:t xml:space="preserve"> and</w:t>
      </w:r>
      <w:r w:rsidR="00BD381E" w:rsidRPr="000D119D">
        <w:rPr>
          <w:lang w:val="en-AU"/>
        </w:rPr>
        <w:t xml:space="preserve"> is</w:t>
      </w:r>
      <w:r w:rsidR="00622C0A" w:rsidRPr="000D119D">
        <w:rPr>
          <w:lang w:val="en-AU"/>
        </w:rPr>
        <w:t xml:space="preserve"> utilising the service is becoming younger.</w:t>
      </w:r>
      <w:r w:rsidR="00E6390A" w:rsidRPr="000D119D">
        <w:rPr>
          <w:lang w:val="en-AU"/>
        </w:rPr>
        <w:t xml:space="preserve"> Many clinicians </w:t>
      </w:r>
      <w:r w:rsidR="00D77CF6" w:rsidRPr="000D119D">
        <w:rPr>
          <w:lang w:val="en-AU"/>
        </w:rPr>
        <w:t xml:space="preserve">highlighted that </w:t>
      </w:r>
      <w:r w:rsidR="00CF545B" w:rsidRPr="000D119D">
        <w:rPr>
          <w:lang w:val="en-AU"/>
        </w:rPr>
        <w:t xml:space="preserve">it is becoming common for </w:t>
      </w:r>
      <w:r w:rsidR="003650DC" w:rsidRPr="000D119D">
        <w:rPr>
          <w:lang w:val="en-AU"/>
        </w:rPr>
        <w:t xml:space="preserve">external </w:t>
      </w:r>
      <w:r w:rsidR="00133536" w:rsidRPr="000D119D">
        <w:rPr>
          <w:lang w:val="en-AU"/>
        </w:rPr>
        <w:t>providers</w:t>
      </w:r>
      <w:r w:rsidR="003650DC" w:rsidRPr="000D119D">
        <w:rPr>
          <w:lang w:val="en-AU"/>
        </w:rPr>
        <w:t xml:space="preserve"> such as </w:t>
      </w:r>
      <w:r w:rsidR="00E32108" w:rsidRPr="000D119D">
        <w:rPr>
          <w:lang w:val="en-AU"/>
        </w:rPr>
        <w:t>AMHS</w:t>
      </w:r>
      <w:r w:rsidR="00AF451C" w:rsidRPr="000D119D">
        <w:rPr>
          <w:lang w:val="en-AU"/>
        </w:rPr>
        <w:t>s</w:t>
      </w:r>
      <w:r w:rsidR="00C515BC" w:rsidRPr="000D119D">
        <w:rPr>
          <w:lang w:val="en-AU"/>
        </w:rPr>
        <w:t xml:space="preserve">, </w:t>
      </w:r>
      <w:r w:rsidR="00A121A4">
        <w:rPr>
          <w:lang w:val="en-AU"/>
        </w:rPr>
        <w:t>h</w:t>
      </w:r>
      <w:r w:rsidR="00A121A4" w:rsidRPr="000D119D">
        <w:rPr>
          <w:lang w:val="en-AU"/>
        </w:rPr>
        <w:t>eadspace</w:t>
      </w:r>
      <w:r w:rsidR="00EC5719" w:rsidRPr="000D119D">
        <w:rPr>
          <w:lang w:val="en-AU"/>
        </w:rPr>
        <w:t xml:space="preserve"> </w:t>
      </w:r>
      <w:r w:rsidR="004F7004" w:rsidRPr="000D119D">
        <w:rPr>
          <w:lang w:val="en-AU"/>
        </w:rPr>
        <w:t xml:space="preserve">or community children and youth services </w:t>
      </w:r>
      <w:r w:rsidR="00CF545B" w:rsidRPr="000D119D">
        <w:rPr>
          <w:lang w:val="en-AU"/>
        </w:rPr>
        <w:t>to</w:t>
      </w:r>
      <w:r w:rsidR="004F7004" w:rsidRPr="000D119D">
        <w:rPr>
          <w:lang w:val="en-AU"/>
        </w:rPr>
        <w:t xml:space="preserve"> </w:t>
      </w:r>
      <w:r w:rsidR="008F426C" w:rsidRPr="000D119D">
        <w:rPr>
          <w:lang w:val="en-AU"/>
        </w:rPr>
        <w:t xml:space="preserve">attempt to refer </w:t>
      </w:r>
      <w:r w:rsidR="00F40845" w:rsidRPr="000D119D">
        <w:rPr>
          <w:lang w:val="en-AU"/>
        </w:rPr>
        <w:t>participants</w:t>
      </w:r>
      <w:r w:rsidR="00CF545B" w:rsidRPr="000D119D">
        <w:rPr>
          <w:lang w:val="en-AU"/>
        </w:rPr>
        <w:t>, particularly youth and children</w:t>
      </w:r>
      <w:r w:rsidR="004C2803" w:rsidRPr="000D119D">
        <w:rPr>
          <w:lang w:val="en-AU"/>
        </w:rPr>
        <w:t xml:space="preserve"> </w:t>
      </w:r>
      <w:r w:rsidR="000613AB" w:rsidRPr="000D119D">
        <w:rPr>
          <w:lang w:val="en-AU"/>
        </w:rPr>
        <w:t>(</w:t>
      </w:r>
      <w:r w:rsidR="004C2803" w:rsidRPr="000D119D">
        <w:rPr>
          <w:lang w:val="en-AU"/>
        </w:rPr>
        <w:t xml:space="preserve">under </w:t>
      </w:r>
      <w:r w:rsidR="000613AB" w:rsidRPr="000D119D">
        <w:rPr>
          <w:lang w:val="en-AU"/>
        </w:rPr>
        <w:t xml:space="preserve">the </w:t>
      </w:r>
      <w:r w:rsidR="007770D1" w:rsidRPr="000D119D">
        <w:rPr>
          <w:lang w:val="en-AU"/>
        </w:rPr>
        <w:t xml:space="preserve">age </w:t>
      </w:r>
      <w:r w:rsidR="000613AB" w:rsidRPr="000D119D">
        <w:rPr>
          <w:lang w:val="en-AU"/>
        </w:rPr>
        <w:t>of 12)</w:t>
      </w:r>
      <w:r w:rsidR="00003B5E" w:rsidRPr="000D119D">
        <w:rPr>
          <w:lang w:val="en-AU"/>
        </w:rPr>
        <w:t xml:space="preserve"> to </w:t>
      </w:r>
      <w:r w:rsidR="007770D1" w:rsidRPr="000D119D">
        <w:rPr>
          <w:lang w:val="en-AU"/>
        </w:rPr>
        <w:t xml:space="preserve">the service. </w:t>
      </w:r>
      <w:r w:rsidR="00742655" w:rsidRPr="000D119D">
        <w:rPr>
          <w:lang w:val="en-AU"/>
        </w:rPr>
        <w:t>The evaluation is aware there is a substantial gap in the services available for th</w:t>
      </w:r>
      <w:r w:rsidR="000613AB" w:rsidRPr="000D119D">
        <w:rPr>
          <w:lang w:val="en-AU"/>
        </w:rPr>
        <w:t>e</w:t>
      </w:r>
      <w:r w:rsidR="00742655" w:rsidRPr="000D119D">
        <w:rPr>
          <w:lang w:val="en-AU"/>
        </w:rPr>
        <w:t>s</w:t>
      </w:r>
      <w:r w:rsidR="000613AB" w:rsidRPr="000D119D">
        <w:rPr>
          <w:lang w:val="en-AU"/>
        </w:rPr>
        <w:t>e</w:t>
      </w:r>
      <w:r w:rsidR="00742655" w:rsidRPr="000D119D">
        <w:rPr>
          <w:lang w:val="en-AU"/>
        </w:rPr>
        <w:t xml:space="preserve"> cohort</w:t>
      </w:r>
      <w:r w:rsidR="000613AB" w:rsidRPr="000D119D">
        <w:rPr>
          <w:lang w:val="en-AU"/>
        </w:rPr>
        <w:t>s</w:t>
      </w:r>
      <w:r w:rsidR="00742655" w:rsidRPr="000D119D">
        <w:rPr>
          <w:lang w:val="en-AU"/>
        </w:rPr>
        <w:t xml:space="preserve"> and </w:t>
      </w:r>
      <w:r w:rsidR="0005685A" w:rsidRPr="000D119D">
        <w:rPr>
          <w:lang w:val="en-AU"/>
        </w:rPr>
        <w:t>as a result</w:t>
      </w:r>
      <w:r w:rsidR="00742655" w:rsidRPr="000D119D">
        <w:rPr>
          <w:lang w:val="en-AU"/>
        </w:rPr>
        <w:t xml:space="preserve"> </w:t>
      </w:r>
      <w:proofErr w:type="spellStart"/>
      <w:r w:rsidR="0005685A" w:rsidRPr="00E13AC5">
        <w:rPr>
          <w:rStyle w:val="Emphasis"/>
        </w:rPr>
        <w:t>HeadtoHelp</w:t>
      </w:r>
      <w:proofErr w:type="spellEnd"/>
      <w:r w:rsidR="0005685A" w:rsidRPr="000D119D">
        <w:rPr>
          <w:i/>
          <w:iCs/>
          <w:lang w:val="en-AU"/>
        </w:rPr>
        <w:t xml:space="preserve"> </w:t>
      </w:r>
      <w:r w:rsidR="0005685A" w:rsidRPr="000D119D">
        <w:rPr>
          <w:lang w:val="en-AU"/>
        </w:rPr>
        <w:t xml:space="preserve">is </w:t>
      </w:r>
      <w:r w:rsidR="00A60FBA" w:rsidRPr="000D119D">
        <w:rPr>
          <w:lang w:val="en-AU"/>
        </w:rPr>
        <w:t xml:space="preserve">viewed as an alternative </w:t>
      </w:r>
      <w:r w:rsidR="00ED2FD2" w:rsidRPr="000D119D">
        <w:rPr>
          <w:lang w:val="en-AU"/>
        </w:rPr>
        <w:t>option</w:t>
      </w:r>
      <w:r w:rsidR="00A60FBA" w:rsidRPr="000D119D">
        <w:rPr>
          <w:lang w:val="en-AU"/>
        </w:rPr>
        <w:t xml:space="preserve"> by </w:t>
      </w:r>
      <w:r w:rsidR="00ED2FD2" w:rsidRPr="000D119D">
        <w:rPr>
          <w:lang w:val="en-AU"/>
        </w:rPr>
        <w:t>external</w:t>
      </w:r>
      <w:r w:rsidR="00344852" w:rsidRPr="000D119D">
        <w:rPr>
          <w:lang w:val="en-AU"/>
        </w:rPr>
        <w:t xml:space="preserve"> providers. </w:t>
      </w:r>
      <w:r w:rsidR="003D50F7" w:rsidRPr="000D119D">
        <w:rPr>
          <w:lang w:val="en-AU"/>
        </w:rPr>
        <w:t xml:space="preserve">The variability in cohort for the </w:t>
      </w:r>
      <w:r w:rsidR="007D0447" w:rsidRPr="000D119D">
        <w:rPr>
          <w:lang w:val="en-AU"/>
        </w:rPr>
        <w:t>service</w:t>
      </w:r>
      <w:r w:rsidR="002C6F44" w:rsidRPr="000D119D">
        <w:rPr>
          <w:lang w:val="en-AU"/>
        </w:rPr>
        <w:t xml:space="preserve">, particularly age, </w:t>
      </w:r>
      <w:r w:rsidR="00014A0B" w:rsidRPr="000D119D">
        <w:rPr>
          <w:lang w:val="en-AU"/>
        </w:rPr>
        <w:t xml:space="preserve">introduces </w:t>
      </w:r>
      <w:r w:rsidR="00415355" w:rsidRPr="000D119D">
        <w:rPr>
          <w:lang w:val="en-AU"/>
        </w:rPr>
        <w:t xml:space="preserve">a significant challenge for each </w:t>
      </w:r>
      <w:r w:rsidR="00324A2A" w:rsidRPr="000D119D">
        <w:rPr>
          <w:lang w:val="en-AU"/>
        </w:rPr>
        <w:t>hub’s</w:t>
      </w:r>
      <w:r w:rsidR="00415355" w:rsidRPr="000D119D">
        <w:rPr>
          <w:lang w:val="en-AU"/>
        </w:rPr>
        <w:t xml:space="preserve"> small </w:t>
      </w:r>
      <w:proofErr w:type="spellStart"/>
      <w:r w:rsidR="00415355" w:rsidRPr="00E13AC5">
        <w:rPr>
          <w:rStyle w:val="Emphasis"/>
        </w:rPr>
        <w:t>HeadtoHelp</w:t>
      </w:r>
      <w:proofErr w:type="spellEnd"/>
      <w:r w:rsidR="00415355" w:rsidRPr="000D119D">
        <w:rPr>
          <w:i/>
          <w:iCs/>
          <w:lang w:val="en-AU"/>
        </w:rPr>
        <w:t xml:space="preserve"> </w:t>
      </w:r>
      <w:r w:rsidR="00415355" w:rsidRPr="000D119D">
        <w:rPr>
          <w:lang w:val="en-AU"/>
        </w:rPr>
        <w:t>workforce</w:t>
      </w:r>
      <w:r w:rsidR="007D0447" w:rsidRPr="000D119D">
        <w:rPr>
          <w:lang w:val="en-AU"/>
        </w:rPr>
        <w:t xml:space="preserve"> </w:t>
      </w:r>
      <w:r w:rsidR="007C51CE" w:rsidRPr="000D119D">
        <w:rPr>
          <w:lang w:val="en-AU"/>
        </w:rPr>
        <w:t xml:space="preserve">and </w:t>
      </w:r>
      <w:r w:rsidR="00757A8A" w:rsidRPr="000D119D">
        <w:rPr>
          <w:lang w:val="en-AU"/>
        </w:rPr>
        <w:t>its</w:t>
      </w:r>
      <w:r w:rsidR="007C51CE" w:rsidRPr="000D119D">
        <w:rPr>
          <w:lang w:val="en-AU"/>
        </w:rPr>
        <w:t xml:space="preserve"> ability to provide the right level of </w:t>
      </w:r>
      <w:r w:rsidR="00C11492" w:rsidRPr="000D119D">
        <w:rPr>
          <w:lang w:val="en-AU"/>
        </w:rPr>
        <w:t xml:space="preserve">care </w:t>
      </w:r>
      <w:r w:rsidR="0060516C" w:rsidRPr="000D119D">
        <w:rPr>
          <w:lang w:val="en-AU"/>
        </w:rPr>
        <w:t xml:space="preserve">and support </w:t>
      </w:r>
      <w:r w:rsidR="00E2663D" w:rsidRPr="000D119D">
        <w:rPr>
          <w:lang w:val="en-AU"/>
        </w:rPr>
        <w:t>tailored</w:t>
      </w:r>
      <w:r w:rsidR="00852DDB" w:rsidRPr="000D119D">
        <w:rPr>
          <w:lang w:val="en-AU"/>
        </w:rPr>
        <w:t xml:space="preserve"> to </w:t>
      </w:r>
      <w:r w:rsidR="00E2663D" w:rsidRPr="000D119D">
        <w:rPr>
          <w:lang w:val="en-AU"/>
        </w:rPr>
        <w:t>each cohort</w:t>
      </w:r>
      <w:r w:rsidR="00E86B0D">
        <w:rPr>
          <w:lang w:val="en-AU"/>
        </w:rPr>
        <w:t>.</w:t>
      </w:r>
      <w:r w:rsidR="007D0447" w:rsidRPr="000D119D">
        <w:rPr>
          <w:lang w:val="en-AU"/>
        </w:rPr>
        <w:t xml:space="preserve"> </w:t>
      </w:r>
    </w:p>
    <w:p w14:paraId="13335610" w14:textId="68B010CE" w:rsidR="00C90990" w:rsidRDefault="00C90990" w:rsidP="00C90990">
      <w:pPr>
        <w:pStyle w:val="Caption"/>
      </w:pPr>
      <w:r>
        <w:lastRenderedPageBreak/>
        <w:t xml:space="preserve">Figure </w:t>
      </w:r>
      <w:r>
        <w:fldChar w:fldCharType="begin"/>
      </w:r>
      <w:r>
        <w:instrText xml:space="preserve"> SEQ Figure \* ARABIC </w:instrText>
      </w:r>
      <w:r>
        <w:fldChar w:fldCharType="separate"/>
      </w:r>
      <w:r w:rsidR="00562174">
        <w:rPr>
          <w:noProof/>
        </w:rPr>
        <w:t>20</w:t>
      </w:r>
      <w:r>
        <w:fldChar w:fldCharType="end"/>
      </w:r>
      <w:r>
        <w:t xml:space="preserve"> | Proportion of participants aged 18 years or younger by episode referral date</w:t>
      </w:r>
    </w:p>
    <w:p w14:paraId="1C218AF8" w14:textId="484EA946" w:rsidR="00374021" w:rsidRDefault="00374021" w:rsidP="001E3C55">
      <w:pPr>
        <w:rPr>
          <w:lang w:val="en-AU"/>
        </w:rPr>
      </w:pPr>
      <w:r w:rsidRPr="00374021">
        <w:rPr>
          <w:noProof/>
        </w:rPr>
        <w:drawing>
          <wp:inline distT="0" distB="0" distL="0" distR="0" wp14:anchorId="68BE6A2B" wp14:editId="00EC3CAC">
            <wp:extent cx="5670550" cy="3394075"/>
            <wp:effectExtent l="0" t="0" r="6350" b="0"/>
            <wp:docPr id="50" name="Picture 50" descr="Figure 20 is a bar graph showing the proportion of participants aged 18 years or younger by episode referral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20 is a bar graph showing the proportion of participants aged 18 years or younger by episode referral da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70550" cy="3394075"/>
                    </a:xfrm>
                    <a:prstGeom prst="rect">
                      <a:avLst/>
                    </a:prstGeom>
                    <a:noFill/>
                    <a:ln>
                      <a:noFill/>
                    </a:ln>
                  </pic:spPr>
                </pic:pic>
              </a:graphicData>
            </a:graphic>
          </wp:inline>
        </w:drawing>
      </w:r>
    </w:p>
    <w:p w14:paraId="15A38E42" w14:textId="5742C848" w:rsidR="00A95AB1" w:rsidRDefault="009C7A5C" w:rsidP="001E3C55">
      <w:pPr>
        <w:rPr>
          <w:lang w:val="en-AU"/>
        </w:rPr>
      </w:pPr>
      <w:r>
        <w:rPr>
          <w:lang w:val="en-AU"/>
        </w:rPr>
        <w:t xml:space="preserve">This qualitative insight is confirmed by </w:t>
      </w:r>
      <w:r w:rsidR="001F2B01">
        <w:rPr>
          <w:lang w:val="en-AU"/>
        </w:rPr>
        <w:t>analysis of the PMHC-MDS data. The data shows that the proportion of participants aged 18 years o</w:t>
      </w:r>
      <w:r w:rsidR="004B12F6">
        <w:rPr>
          <w:lang w:val="en-AU"/>
        </w:rPr>
        <w:t>r</w:t>
      </w:r>
      <w:r w:rsidR="001F2B01">
        <w:rPr>
          <w:lang w:val="en-AU"/>
        </w:rPr>
        <w:t xml:space="preserve"> younger has steadily increased from less than </w:t>
      </w:r>
      <w:r w:rsidR="004B12F6">
        <w:rPr>
          <w:lang w:val="en-AU"/>
        </w:rPr>
        <w:t>ten</w:t>
      </w:r>
      <w:r w:rsidR="001F2B01">
        <w:rPr>
          <w:lang w:val="en-AU"/>
        </w:rPr>
        <w:t xml:space="preserve"> per cent at the start of the program to just under 15 per cent.</w:t>
      </w:r>
      <w:r w:rsidR="00F73F63">
        <w:rPr>
          <w:rStyle w:val="FootnoteReference"/>
          <w:lang w:val="en-AU"/>
        </w:rPr>
        <w:footnoteReference w:id="43"/>
      </w:r>
      <w:r w:rsidR="001F2B01">
        <w:rPr>
          <w:lang w:val="en-AU"/>
        </w:rPr>
        <w:t xml:space="preserve"> </w:t>
      </w:r>
    </w:p>
    <w:p w14:paraId="44A44E09" w14:textId="1F0E1D81" w:rsidR="002E25F2" w:rsidRDefault="00FD3C3D" w:rsidP="001E3C55">
      <w:pPr>
        <w:rPr>
          <w:lang w:val="en-AU"/>
        </w:rPr>
      </w:pPr>
      <w:r>
        <w:rPr>
          <w:lang w:val="en-AU"/>
        </w:rPr>
        <w:t xml:space="preserve">Looking again at the participants aged 18 or younger and their IAR-DST levels of care at intake also shows the </w:t>
      </w:r>
      <w:r w:rsidR="009E5CF9">
        <w:rPr>
          <w:lang w:val="en-AU"/>
        </w:rPr>
        <w:t xml:space="preserve">proportion </w:t>
      </w:r>
      <w:r w:rsidR="00221330">
        <w:rPr>
          <w:lang w:val="en-AU"/>
        </w:rPr>
        <w:t>assessed at</w:t>
      </w:r>
      <w:r w:rsidR="009E5CF9">
        <w:rPr>
          <w:lang w:val="en-AU"/>
        </w:rPr>
        <w:t xml:space="preserve"> </w:t>
      </w:r>
      <w:r w:rsidR="00221330">
        <w:rPr>
          <w:lang w:val="en-AU"/>
        </w:rPr>
        <w:t>L</w:t>
      </w:r>
      <w:r w:rsidR="009E5CF9">
        <w:rPr>
          <w:lang w:val="en-AU"/>
        </w:rPr>
        <w:t xml:space="preserve">evel </w:t>
      </w:r>
      <w:r w:rsidR="00D40314">
        <w:rPr>
          <w:lang w:val="en-AU"/>
        </w:rPr>
        <w:t>four</w:t>
      </w:r>
      <w:r w:rsidR="009E5CF9">
        <w:rPr>
          <w:lang w:val="en-AU"/>
        </w:rPr>
        <w:t xml:space="preserve"> or </w:t>
      </w:r>
      <w:r w:rsidR="00D40314">
        <w:rPr>
          <w:lang w:val="en-AU"/>
        </w:rPr>
        <w:t>five</w:t>
      </w:r>
      <w:r w:rsidR="009E5CF9">
        <w:rPr>
          <w:lang w:val="en-AU"/>
        </w:rPr>
        <w:t>, indicating severe psychological stress</w:t>
      </w:r>
      <w:r w:rsidR="00221330">
        <w:rPr>
          <w:lang w:val="en-AU"/>
        </w:rPr>
        <w:t>,</w:t>
      </w:r>
      <w:r w:rsidR="009E5CF9">
        <w:rPr>
          <w:lang w:val="en-AU"/>
        </w:rPr>
        <w:t xml:space="preserve"> has </w:t>
      </w:r>
      <w:r w:rsidR="00D058BC">
        <w:rPr>
          <w:lang w:val="en-AU"/>
        </w:rPr>
        <w:t xml:space="preserve">increased over time, averaging </w:t>
      </w:r>
      <w:r w:rsidR="002F74C5">
        <w:rPr>
          <w:lang w:val="en-AU"/>
        </w:rPr>
        <w:t>ten</w:t>
      </w:r>
      <w:r w:rsidR="005F3E9A">
        <w:rPr>
          <w:lang w:val="en-AU"/>
        </w:rPr>
        <w:t xml:space="preserve"> per cent between September 202</w:t>
      </w:r>
      <w:r w:rsidR="00196660">
        <w:rPr>
          <w:lang w:val="en-AU"/>
        </w:rPr>
        <w:t>0</w:t>
      </w:r>
      <w:r w:rsidR="005F3E9A">
        <w:rPr>
          <w:lang w:val="en-AU"/>
        </w:rPr>
        <w:t xml:space="preserve"> </w:t>
      </w:r>
      <w:r w:rsidR="00D058BC">
        <w:rPr>
          <w:lang w:val="en-AU"/>
        </w:rPr>
        <w:t xml:space="preserve">to </w:t>
      </w:r>
      <w:r w:rsidR="005F3E9A">
        <w:rPr>
          <w:lang w:val="en-AU"/>
        </w:rPr>
        <w:t>May</w:t>
      </w:r>
      <w:r w:rsidR="00D058BC">
        <w:rPr>
          <w:lang w:val="en-AU"/>
        </w:rPr>
        <w:t xml:space="preserve"> 2021</w:t>
      </w:r>
      <w:r w:rsidR="005F3E9A">
        <w:rPr>
          <w:lang w:val="en-AU"/>
        </w:rPr>
        <w:t>,</w:t>
      </w:r>
      <w:r w:rsidR="00AD46F2">
        <w:rPr>
          <w:lang w:val="en-AU"/>
        </w:rPr>
        <w:t xml:space="preserve"> before increasing to </w:t>
      </w:r>
      <w:r w:rsidR="005F3E9A">
        <w:rPr>
          <w:lang w:val="en-AU"/>
        </w:rPr>
        <w:t>17</w:t>
      </w:r>
      <w:r w:rsidR="00AD46F2">
        <w:rPr>
          <w:lang w:val="en-AU"/>
        </w:rPr>
        <w:t xml:space="preserve"> per</w:t>
      </w:r>
      <w:r w:rsidR="005F3E9A">
        <w:rPr>
          <w:lang w:val="en-AU"/>
        </w:rPr>
        <w:t xml:space="preserve"> </w:t>
      </w:r>
      <w:r w:rsidR="00AD46F2">
        <w:rPr>
          <w:lang w:val="en-AU"/>
        </w:rPr>
        <w:t xml:space="preserve">cent from </w:t>
      </w:r>
      <w:r w:rsidR="005F3E9A">
        <w:rPr>
          <w:lang w:val="en-AU"/>
        </w:rPr>
        <w:t>June 2021 to February 2022</w:t>
      </w:r>
      <w:r w:rsidR="00AD46F2">
        <w:rPr>
          <w:lang w:val="en-AU"/>
        </w:rPr>
        <w:t xml:space="preserve">. </w:t>
      </w:r>
      <w:r w:rsidR="00620041">
        <w:rPr>
          <w:lang w:val="en-AU"/>
        </w:rPr>
        <w:t>It is interesting to note that the peak in both referrals and IAR levels of care in November 2021 which coincides with the emergence of the Omicron COVID-19 variant. Additionally, there is a peak in the IAR levels of care in July 2021 coinciding with the most recent Delta outbreak in NSW and Victoria</w:t>
      </w:r>
      <w:r w:rsidR="005D375A">
        <w:rPr>
          <w:lang w:val="en-AU"/>
        </w:rPr>
        <w:t xml:space="preserve">. This may reflect </w:t>
      </w:r>
      <w:r w:rsidR="00863D7C">
        <w:rPr>
          <w:lang w:val="en-AU"/>
        </w:rPr>
        <w:t>menta</w:t>
      </w:r>
      <w:r w:rsidR="00B449A2">
        <w:rPr>
          <w:lang w:val="en-AU"/>
        </w:rPr>
        <w:t>l</w:t>
      </w:r>
      <w:r w:rsidR="00863D7C">
        <w:rPr>
          <w:lang w:val="en-AU"/>
        </w:rPr>
        <w:t xml:space="preserve"> and stress </w:t>
      </w:r>
      <w:r w:rsidR="005D375A">
        <w:rPr>
          <w:lang w:val="en-AU"/>
        </w:rPr>
        <w:t xml:space="preserve">anxieties caused by </w:t>
      </w:r>
      <w:r w:rsidR="00863D7C">
        <w:rPr>
          <w:lang w:val="en-AU"/>
        </w:rPr>
        <w:t>COVID-19 among young people.</w:t>
      </w:r>
      <w:r w:rsidR="00620041">
        <w:rPr>
          <w:lang w:val="en-AU"/>
        </w:rPr>
        <w:t xml:space="preserve"> </w:t>
      </w:r>
    </w:p>
    <w:p w14:paraId="1FDE0B86" w14:textId="537D5803" w:rsidR="00D6002D" w:rsidRDefault="00D6002D" w:rsidP="00D6002D">
      <w:pPr>
        <w:pStyle w:val="Caption"/>
      </w:pPr>
      <w:r>
        <w:lastRenderedPageBreak/>
        <w:t xml:space="preserve">Figure </w:t>
      </w:r>
      <w:r>
        <w:fldChar w:fldCharType="begin"/>
      </w:r>
      <w:r>
        <w:instrText xml:space="preserve"> SEQ Figure \* ARABIC </w:instrText>
      </w:r>
      <w:r>
        <w:fldChar w:fldCharType="separate"/>
      </w:r>
      <w:r w:rsidR="00562174">
        <w:rPr>
          <w:noProof/>
        </w:rPr>
        <w:t>21</w:t>
      </w:r>
      <w:r>
        <w:fldChar w:fldCharType="end"/>
      </w:r>
      <w:r>
        <w:t xml:space="preserve"> | Proportion of participants aged 18 or younger with IAR-DST levels of care </w:t>
      </w:r>
      <w:r w:rsidR="00D40314">
        <w:t>four</w:t>
      </w:r>
      <w:r>
        <w:t xml:space="preserve"> and </w:t>
      </w:r>
      <w:r w:rsidR="00D40314">
        <w:t>five</w:t>
      </w:r>
      <w:r>
        <w:t xml:space="preserve"> at intake</w:t>
      </w:r>
    </w:p>
    <w:p w14:paraId="755B1750" w14:textId="7A698F4F" w:rsidR="00C90990" w:rsidRPr="000D119D" w:rsidRDefault="00ED4385" w:rsidP="001E3C55">
      <w:pPr>
        <w:rPr>
          <w:lang w:val="en-AU"/>
        </w:rPr>
      </w:pPr>
      <w:r w:rsidRPr="00ED4385">
        <w:rPr>
          <w:noProof/>
        </w:rPr>
        <w:drawing>
          <wp:inline distT="0" distB="0" distL="0" distR="0" wp14:anchorId="6D34C2F1" wp14:editId="45AE0B34">
            <wp:extent cx="5670550" cy="3740785"/>
            <wp:effectExtent l="0" t="0" r="6350" b="0"/>
            <wp:docPr id="49" name="Picture 49" descr="Figure 21 is a bar graph showing the proportion of participants aged 18 or younger with IAR-DST levels of care four and five at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21 is a bar graph showing the proportion of participants aged 18 or younger with IAR-DST levels of care four and five at intak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70550" cy="3740785"/>
                    </a:xfrm>
                    <a:prstGeom prst="rect">
                      <a:avLst/>
                    </a:prstGeom>
                    <a:noFill/>
                    <a:ln>
                      <a:noFill/>
                    </a:ln>
                  </pic:spPr>
                </pic:pic>
              </a:graphicData>
            </a:graphic>
          </wp:inline>
        </w:drawing>
      </w:r>
    </w:p>
    <w:p w14:paraId="2643DA9C" w14:textId="3E18761F" w:rsidR="0035692A" w:rsidRPr="000D119D" w:rsidRDefault="0035692A" w:rsidP="0035692A">
      <w:pPr>
        <w:pStyle w:val="Heading3"/>
      </w:pPr>
      <w:bookmarkStart w:id="70" w:name="_Toc99650345"/>
      <w:r w:rsidRPr="000D119D">
        <w:t>Service use</w:t>
      </w:r>
      <w:bookmarkEnd w:id="70"/>
    </w:p>
    <w:p w14:paraId="033392B7" w14:textId="7F16FA1F" w:rsidR="00AA0953" w:rsidRPr="000D119D" w:rsidRDefault="00AA0953" w:rsidP="00BE0860">
      <w:pPr>
        <w:pStyle w:val="Heading4"/>
      </w:pPr>
      <w:r w:rsidRPr="000D119D">
        <w:t xml:space="preserve">Participants and support people sought </w:t>
      </w:r>
      <w:proofErr w:type="spellStart"/>
      <w:r w:rsidRPr="000D119D">
        <w:rPr>
          <w:i/>
        </w:rPr>
        <w:t>HeadtoHelp</w:t>
      </w:r>
      <w:proofErr w:type="spellEnd"/>
      <w:r w:rsidRPr="000D119D">
        <w:t xml:space="preserve"> services for a variety of reasons</w:t>
      </w:r>
      <w:r w:rsidR="00DE4710" w:rsidRPr="000D119D">
        <w:t xml:space="preserve"> – with COVID</w:t>
      </w:r>
      <w:r w:rsidR="00D40314">
        <w:t>-19</w:t>
      </w:r>
      <w:r w:rsidR="00DE4710" w:rsidRPr="000D119D">
        <w:t xml:space="preserve"> a primary contributing factor</w:t>
      </w:r>
    </w:p>
    <w:p w14:paraId="6C901CD7" w14:textId="77777777" w:rsidR="00AA0953" w:rsidRPr="000D119D" w:rsidRDefault="00AA0953" w:rsidP="00AA0953">
      <w:pPr>
        <w:rPr>
          <w:lang w:val="en-AU"/>
        </w:rPr>
      </w:pPr>
      <w:r w:rsidRPr="000D119D">
        <w:rPr>
          <w:lang w:val="en-AU"/>
        </w:rPr>
        <w:t xml:space="preserve">Participants and support people approached </w:t>
      </w:r>
      <w:proofErr w:type="spellStart"/>
      <w:r w:rsidRPr="00E13AC5">
        <w:rPr>
          <w:rStyle w:val="Emphasis"/>
        </w:rPr>
        <w:t>HeadtoHelp</w:t>
      </w:r>
      <w:proofErr w:type="spellEnd"/>
      <w:r w:rsidRPr="000D119D">
        <w:rPr>
          <w:lang w:val="en-AU"/>
        </w:rPr>
        <w:t xml:space="preserve"> to support a range of different issues. Almost all wanted counselling and psychological services, and some reported seeking help for drug and alcohol issues, domestic violence, relationships, grief, medication review, housing and financial issues, work stress, and coping with experiences of anxiety and depression. Support people sought help when they observed changes in their loved one’s behaviour or mental state, including worsening symptoms of a diagnosed mental health issue, noticing symptoms for the first time, or observing that the person was struggling with stressors such as school transitions.</w:t>
      </w:r>
    </w:p>
    <w:p w14:paraId="3DB86E4E" w14:textId="7B8E9A07" w:rsidR="00DE4710" w:rsidRPr="000D119D" w:rsidRDefault="00FF2A62" w:rsidP="00AA0953">
      <w:pPr>
        <w:rPr>
          <w:lang w:val="en-AU"/>
        </w:rPr>
      </w:pPr>
      <w:r w:rsidRPr="000D119D">
        <w:rPr>
          <w:lang w:val="en-AU"/>
        </w:rPr>
        <w:t>The</w:t>
      </w:r>
      <w:r w:rsidR="00AA0953" w:rsidRPr="000D119D">
        <w:rPr>
          <w:lang w:val="en-AU"/>
        </w:rPr>
        <w:t xml:space="preserve"> </w:t>
      </w:r>
      <w:r w:rsidR="008B1453">
        <w:rPr>
          <w:lang w:val="en-AU"/>
        </w:rPr>
        <w:t>HIE</w:t>
      </w:r>
      <w:r w:rsidR="00AA0953" w:rsidRPr="000D119D">
        <w:rPr>
          <w:lang w:val="en-AU"/>
        </w:rPr>
        <w:t xml:space="preserve"> survey</w:t>
      </w:r>
      <w:r w:rsidRPr="000D119D">
        <w:rPr>
          <w:lang w:val="en-AU"/>
        </w:rPr>
        <w:t xml:space="preserve"> indicated that for</w:t>
      </w:r>
      <w:r w:rsidR="00E866AF">
        <w:rPr>
          <w:lang w:val="en-AU"/>
        </w:rPr>
        <w:t xml:space="preserve"> </w:t>
      </w:r>
      <w:r w:rsidR="00AA0953" w:rsidRPr="000D119D">
        <w:rPr>
          <w:lang w:val="en-AU"/>
        </w:rPr>
        <w:t xml:space="preserve">around two thirds of </w:t>
      </w:r>
      <w:r w:rsidR="007C43A1">
        <w:rPr>
          <w:lang w:val="en-AU"/>
        </w:rPr>
        <w:t>participant</w:t>
      </w:r>
      <w:r w:rsidR="00AA0953" w:rsidRPr="000D119D">
        <w:rPr>
          <w:lang w:val="en-AU"/>
        </w:rPr>
        <w:t xml:space="preserve">s and support people COVID-19 </w:t>
      </w:r>
      <w:r w:rsidRPr="000D119D">
        <w:rPr>
          <w:lang w:val="en-AU"/>
        </w:rPr>
        <w:t>had contributed, at least slightly,</w:t>
      </w:r>
      <w:r w:rsidR="00A95958" w:rsidRPr="000D119D">
        <w:rPr>
          <w:lang w:val="en-AU"/>
        </w:rPr>
        <w:t xml:space="preserve"> to their need to contact </w:t>
      </w:r>
      <w:proofErr w:type="spellStart"/>
      <w:r w:rsidR="00A95958" w:rsidRPr="00E13AC5">
        <w:rPr>
          <w:rStyle w:val="Emphasis"/>
        </w:rPr>
        <w:t>HeadtoHelp</w:t>
      </w:r>
      <w:proofErr w:type="spellEnd"/>
      <w:r w:rsidR="00A95958" w:rsidRPr="000D119D">
        <w:rPr>
          <w:lang w:val="en-AU"/>
        </w:rPr>
        <w:t>.</w:t>
      </w:r>
      <w:r w:rsidR="00AA0953" w:rsidRPr="000D119D">
        <w:rPr>
          <w:lang w:val="en-AU"/>
        </w:rPr>
        <w:t xml:space="preserve"> </w:t>
      </w:r>
      <w:r w:rsidR="00E27A37" w:rsidRPr="000D119D">
        <w:rPr>
          <w:lang w:val="en-AU"/>
        </w:rPr>
        <w:t>Very similar percentages were reported by interview participants, with around a third of people reporting that COVID</w:t>
      </w:r>
      <w:r w:rsidR="00D82687">
        <w:rPr>
          <w:lang w:val="en-AU"/>
        </w:rPr>
        <w:t>-19</w:t>
      </w:r>
      <w:r w:rsidR="00E27A37" w:rsidRPr="000D119D">
        <w:rPr>
          <w:lang w:val="en-AU"/>
        </w:rPr>
        <w:t xml:space="preserve"> made no contribution to the reason for engaging with </w:t>
      </w:r>
      <w:proofErr w:type="spellStart"/>
      <w:r w:rsidR="00E27A37" w:rsidRPr="00E13AC5">
        <w:rPr>
          <w:rStyle w:val="Emphasis"/>
        </w:rPr>
        <w:t>HeadtoHelp</w:t>
      </w:r>
      <w:proofErr w:type="spellEnd"/>
      <w:r w:rsidR="00E27A37" w:rsidRPr="000D119D">
        <w:rPr>
          <w:lang w:val="en-AU"/>
        </w:rPr>
        <w:t>, and around 12</w:t>
      </w:r>
      <w:r w:rsidR="00D82687">
        <w:rPr>
          <w:lang w:val="en-AU"/>
        </w:rPr>
        <w:t xml:space="preserve"> per cent</w:t>
      </w:r>
      <w:r w:rsidR="00E27A37" w:rsidRPr="000D119D">
        <w:rPr>
          <w:lang w:val="en-AU"/>
        </w:rPr>
        <w:t xml:space="preserve"> attributing the contact primarily to COVID‐19.</w:t>
      </w:r>
      <w:r w:rsidR="00AA0953" w:rsidRPr="000D119D">
        <w:rPr>
          <w:lang w:val="en-AU"/>
        </w:rPr>
        <w:t xml:space="preserve"> </w:t>
      </w:r>
    </w:p>
    <w:p w14:paraId="495DED37" w14:textId="18F9BAF2" w:rsidR="003841C3" w:rsidRDefault="00DE4710" w:rsidP="00AA0953">
      <w:pPr>
        <w:rPr>
          <w:lang w:val="en-AU"/>
        </w:rPr>
      </w:pPr>
      <w:r w:rsidRPr="000D119D">
        <w:rPr>
          <w:lang w:val="en-AU"/>
        </w:rPr>
        <w:t xml:space="preserve">The ways in which COVID‐19 and the associated </w:t>
      </w:r>
      <w:r w:rsidR="00AA0953" w:rsidRPr="000D119D">
        <w:rPr>
          <w:lang w:val="en-AU"/>
        </w:rPr>
        <w:t xml:space="preserve">lockdowns </w:t>
      </w:r>
      <w:r w:rsidRPr="000D119D">
        <w:rPr>
          <w:lang w:val="en-AU"/>
        </w:rPr>
        <w:t xml:space="preserve">contributed to mental health </w:t>
      </w:r>
      <w:r w:rsidR="00AA0953" w:rsidRPr="000D119D">
        <w:rPr>
          <w:lang w:val="en-AU"/>
        </w:rPr>
        <w:t xml:space="preserve">issues </w:t>
      </w:r>
      <w:r w:rsidRPr="000D119D">
        <w:rPr>
          <w:lang w:val="en-AU"/>
        </w:rPr>
        <w:t>were varied, and included:</w:t>
      </w:r>
    </w:p>
    <w:p w14:paraId="702301A5" w14:textId="77777777" w:rsidR="003841C3" w:rsidRDefault="00DE4710" w:rsidP="00E457E2">
      <w:pPr>
        <w:pStyle w:val="ListBullet"/>
      </w:pPr>
      <w:r w:rsidRPr="000D119D">
        <w:t>losing work and the financial implications of that</w:t>
      </w:r>
    </w:p>
    <w:p w14:paraId="305F4522" w14:textId="77777777" w:rsidR="003841C3" w:rsidRDefault="00DE4710" w:rsidP="00E457E2">
      <w:pPr>
        <w:pStyle w:val="ListBullet"/>
      </w:pPr>
      <w:r w:rsidRPr="000D119D">
        <w:t>having to work more hours</w:t>
      </w:r>
    </w:p>
    <w:p w14:paraId="53BF80AA" w14:textId="77777777" w:rsidR="003841C3" w:rsidRDefault="00DE4710" w:rsidP="00E457E2">
      <w:pPr>
        <w:pStyle w:val="ListBullet"/>
      </w:pPr>
      <w:r w:rsidRPr="000D119D">
        <w:t>fear of contracting the virus</w:t>
      </w:r>
    </w:p>
    <w:p w14:paraId="3C7DDD67" w14:textId="77777777" w:rsidR="003841C3" w:rsidRDefault="00DE4710" w:rsidP="00E457E2">
      <w:pPr>
        <w:pStyle w:val="ListBullet"/>
      </w:pPr>
      <w:r w:rsidRPr="000D119D">
        <w:t>strained relationships with family or housemates</w:t>
      </w:r>
    </w:p>
    <w:p w14:paraId="5A452C94" w14:textId="77777777" w:rsidR="003841C3" w:rsidRDefault="00DE4710" w:rsidP="00E457E2">
      <w:pPr>
        <w:pStyle w:val="ListBullet"/>
      </w:pPr>
      <w:r w:rsidRPr="000D119D">
        <w:t>escalation of domestic violence</w:t>
      </w:r>
    </w:p>
    <w:p w14:paraId="1283FDF0" w14:textId="77777777" w:rsidR="003841C3" w:rsidRDefault="00DE4710" w:rsidP="00E457E2">
      <w:pPr>
        <w:pStyle w:val="ListBullet"/>
      </w:pPr>
      <w:r w:rsidRPr="000D119D">
        <w:t>being isolated from family and friends</w:t>
      </w:r>
    </w:p>
    <w:p w14:paraId="1F5F3BCC" w14:textId="77777777" w:rsidR="003841C3" w:rsidRDefault="00DE4710" w:rsidP="00E457E2">
      <w:pPr>
        <w:pStyle w:val="ListBullet"/>
      </w:pPr>
      <w:r w:rsidRPr="000D119D">
        <w:t>being bored with nothing to do</w:t>
      </w:r>
    </w:p>
    <w:p w14:paraId="14E9D841" w14:textId="77777777" w:rsidR="003841C3" w:rsidRDefault="00DE4710" w:rsidP="00E457E2">
      <w:pPr>
        <w:pStyle w:val="ListBullet"/>
      </w:pPr>
      <w:r w:rsidRPr="000D119D">
        <w:lastRenderedPageBreak/>
        <w:t>increased drug and alcohol consumption</w:t>
      </w:r>
    </w:p>
    <w:p w14:paraId="65A0586D" w14:textId="77777777" w:rsidR="003841C3" w:rsidRDefault="00DE4710" w:rsidP="00E457E2">
      <w:pPr>
        <w:pStyle w:val="ListBullet"/>
      </w:pPr>
      <w:r w:rsidRPr="000D119D">
        <w:t>dealing with other people’s</w:t>
      </w:r>
      <w:r w:rsidR="00AA0953" w:rsidRPr="000D119D">
        <w:t xml:space="preserve"> stress</w:t>
      </w:r>
      <w:r w:rsidRPr="000D119D">
        <w:t xml:space="preserve"> and panic</w:t>
      </w:r>
    </w:p>
    <w:p w14:paraId="7F0357E9" w14:textId="77777777" w:rsidR="003841C3" w:rsidRDefault="00DE4710" w:rsidP="00E457E2">
      <w:pPr>
        <w:pStyle w:val="ListBullet"/>
      </w:pPr>
      <w:r w:rsidRPr="000D119D">
        <w:t>the disruption to daily life</w:t>
      </w:r>
    </w:p>
    <w:p w14:paraId="30A8A2AC" w14:textId="77777777" w:rsidR="003841C3" w:rsidRDefault="00DE4710" w:rsidP="00E457E2">
      <w:pPr>
        <w:pStyle w:val="ListBullet"/>
      </w:pPr>
      <w:r w:rsidRPr="000D119D">
        <w:t>feeling locked up</w:t>
      </w:r>
    </w:p>
    <w:p w14:paraId="54F4CD7A" w14:textId="21FEA25C" w:rsidR="003841C3" w:rsidRDefault="00DE4710" w:rsidP="00E457E2">
      <w:pPr>
        <w:pStyle w:val="ListBullet"/>
      </w:pPr>
      <w:r w:rsidRPr="000D119D">
        <w:t>feeling that there was nothing to look forward to.</w:t>
      </w:r>
      <w:r w:rsidR="003841C3">
        <w:t xml:space="preserve"> </w:t>
      </w:r>
    </w:p>
    <w:p w14:paraId="6FAF644F" w14:textId="5877513C" w:rsidR="00AA0953" w:rsidRPr="000D119D" w:rsidRDefault="00AA0953" w:rsidP="00AA0953">
      <w:r w:rsidRPr="000D119D">
        <w:t xml:space="preserve">For example, one participant sought support with family conflict which </w:t>
      </w:r>
      <w:r w:rsidR="00917131">
        <w:t>was ‘obviously…</w:t>
      </w:r>
      <w:r w:rsidRPr="000D119D">
        <w:t xml:space="preserve"> exacerbated by COVID’, while another described how being bored during lockdown had worsened his substance use issues. Support people who reported that COVID-19 had influenced their loved one’s mental state </w:t>
      </w:r>
      <w:proofErr w:type="gramStart"/>
      <w:r w:rsidRPr="000D119D">
        <w:t>most commonly reported</w:t>
      </w:r>
      <w:proofErr w:type="gramEnd"/>
      <w:r w:rsidRPr="000D119D">
        <w:t xml:space="preserve"> increased anxiety due to fear of COVID-19 or to having spent a long period not getting out and </w:t>
      </w:r>
      <w:proofErr w:type="spellStart"/>
      <w:r w:rsidRPr="000D119D">
        <w:t>socialising</w:t>
      </w:r>
      <w:proofErr w:type="spellEnd"/>
      <w:r w:rsidRPr="000D119D">
        <w:t xml:space="preserve"> with friends. As one pointed out: ‘She needed that social contact because being away from school heightened that anxiety’. Several participants also attributed difficulty accessing other services and long waiting times to the extra demand for mental health services related to COVID-19. </w:t>
      </w:r>
      <w:r w:rsidR="003841C3">
        <w:t>Eight</w:t>
      </w:r>
      <w:r w:rsidRPr="000D119D">
        <w:t xml:space="preserve"> people stated that COVID-19 made it difficult to access </w:t>
      </w:r>
      <w:proofErr w:type="spellStart"/>
      <w:r w:rsidRPr="00E13AC5">
        <w:rPr>
          <w:rStyle w:val="Emphasis"/>
        </w:rPr>
        <w:t>HeadtoHelp</w:t>
      </w:r>
      <w:proofErr w:type="spellEnd"/>
      <w:r w:rsidRPr="000D119D">
        <w:t xml:space="preserve">, as well as the services that </w:t>
      </w:r>
      <w:proofErr w:type="spellStart"/>
      <w:r w:rsidRPr="00E13AC5">
        <w:rPr>
          <w:rStyle w:val="Emphasis"/>
        </w:rPr>
        <w:t>HeadtoHelp</w:t>
      </w:r>
      <w:proofErr w:type="spellEnd"/>
      <w:r w:rsidRPr="000D119D">
        <w:t xml:space="preserve"> referred them to.</w:t>
      </w:r>
    </w:p>
    <w:p w14:paraId="2522F4D6" w14:textId="28B7F947" w:rsidR="00293EE4" w:rsidRPr="000D119D" w:rsidRDefault="00BA4284" w:rsidP="00AA0953">
      <w:pPr>
        <w:rPr>
          <w:lang w:val="en-AU"/>
        </w:rPr>
      </w:pPr>
      <w:r>
        <w:rPr>
          <w:lang w:val="en-AU"/>
        </w:rPr>
        <w:t>Eleven</w:t>
      </w:r>
      <w:r w:rsidR="00056258">
        <w:rPr>
          <w:lang w:val="en-AU"/>
        </w:rPr>
        <w:t xml:space="preserve"> per cent of</w:t>
      </w:r>
      <w:r w:rsidR="00293EE4" w:rsidRPr="000D119D">
        <w:rPr>
          <w:lang w:val="en-AU"/>
        </w:rPr>
        <w:t xml:space="preserve"> people reported that COVID‐19 did not play a part in why they contacted </w:t>
      </w:r>
      <w:proofErr w:type="spellStart"/>
      <w:r w:rsidR="00293EE4" w:rsidRPr="00E13AC5">
        <w:rPr>
          <w:rStyle w:val="Emphasis"/>
        </w:rPr>
        <w:t>HeadtoHelp</w:t>
      </w:r>
      <w:proofErr w:type="spellEnd"/>
      <w:r w:rsidR="00293EE4" w:rsidRPr="000D119D">
        <w:rPr>
          <w:lang w:val="en-AU"/>
        </w:rPr>
        <w:t xml:space="preserve"> for mental health assistance. </w:t>
      </w:r>
    </w:p>
    <w:p w14:paraId="45AAE092" w14:textId="30107718" w:rsidR="00AA0953" w:rsidRPr="000D119D" w:rsidRDefault="00AA0953" w:rsidP="00BE0860">
      <w:pPr>
        <w:pStyle w:val="Heading4"/>
      </w:pPr>
      <w:r w:rsidRPr="000D119D">
        <w:t xml:space="preserve">Psychological therapy and clinical care co-ordination were the most common services delivered by hubs </w:t>
      </w:r>
    </w:p>
    <w:p w14:paraId="135F7E8D" w14:textId="369599E3" w:rsidR="00557007" w:rsidRPr="000D119D" w:rsidRDefault="00730BF3" w:rsidP="00557007">
      <w:pPr>
        <w:rPr>
          <w:lang w:val="en-AU"/>
        </w:rPr>
      </w:pPr>
      <w:r w:rsidRPr="000D119D">
        <w:rPr>
          <w:lang w:val="en-AU"/>
        </w:rPr>
        <w:t>Structured psychological intervention (29 per cent, total n=</w:t>
      </w:r>
      <w:r w:rsidR="00766420" w:rsidRPr="000D119D">
        <w:rPr>
          <w:lang w:val="en-AU"/>
        </w:rPr>
        <w:t>23,114</w:t>
      </w:r>
      <w:r w:rsidRPr="000D119D">
        <w:rPr>
          <w:lang w:val="en-AU"/>
        </w:rPr>
        <w:t>) and clinical care coordination/liaison (21 per cent, n=</w:t>
      </w:r>
      <w:r w:rsidR="005405D6" w:rsidRPr="000D119D">
        <w:rPr>
          <w:lang w:val="en-AU"/>
        </w:rPr>
        <w:t>17,047</w:t>
      </w:r>
      <w:r w:rsidRPr="000D119D">
        <w:rPr>
          <w:lang w:val="en-AU"/>
        </w:rPr>
        <w:t xml:space="preserve">) were the most common types of service contacts. The least common types of service contact were </w:t>
      </w:r>
      <w:r w:rsidR="008A5082" w:rsidRPr="000D119D">
        <w:rPr>
          <w:lang w:val="en-AU"/>
        </w:rPr>
        <w:t xml:space="preserve">suicide prevention specific assistance </w:t>
      </w:r>
      <w:r w:rsidRPr="000D119D">
        <w:rPr>
          <w:lang w:val="en-AU"/>
        </w:rPr>
        <w:t>(n=</w:t>
      </w:r>
      <w:r w:rsidR="006D30A1" w:rsidRPr="000D119D">
        <w:rPr>
          <w:lang w:val="en-AU"/>
        </w:rPr>
        <w:t>93</w:t>
      </w:r>
      <w:r w:rsidRPr="000D119D">
        <w:rPr>
          <w:lang w:val="en-AU"/>
        </w:rPr>
        <w:t>)</w:t>
      </w:r>
      <w:r w:rsidR="00BE6287" w:rsidRPr="000D119D">
        <w:rPr>
          <w:lang w:val="en-AU"/>
        </w:rPr>
        <w:t>,</w:t>
      </w:r>
      <w:r w:rsidR="00940260" w:rsidRPr="000D119D">
        <w:rPr>
          <w:lang w:val="en-AU"/>
        </w:rPr>
        <w:t xml:space="preserve"> </w:t>
      </w:r>
      <w:proofErr w:type="gramStart"/>
      <w:r w:rsidRPr="000D119D">
        <w:rPr>
          <w:lang w:val="en-AU"/>
        </w:rPr>
        <w:t>cultural</w:t>
      </w:r>
      <w:proofErr w:type="gramEnd"/>
      <w:r w:rsidRPr="000D119D">
        <w:rPr>
          <w:lang w:val="en-AU"/>
        </w:rPr>
        <w:t xml:space="preserve"> specific assistance (n=</w:t>
      </w:r>
      <w:r w:rsidR="00E3322B" w:rsidRPr="000D119D">
        <w:rPr>
          <w:lang w:val="en-AU"/>
        </w:rPr>
        <w:t>109</w:t>
      </w:r>
      <w:r w:rsidRPr="000D119D">
        <w:rPr>
          <w:lang w:val="en-AU"/>
        </w:rPr>
        <w:t>)</w:t>
      </w:r>
      <w:r w:rsidR="00E3322B" w:rsidRPr="000D119D">
        <w:rPr>
          <w:lang w:val="en-AU"/>
        </w:rPr>
        <w:t xml:space="preserve"> and child or youth specific assistance (n=116)</w:t>
      </w:r>
      <w:r w:rsidRPr="000D119D">
        <w:rPr>
          <w:lang w:val="en-AU"/>
        </w:rPr>
        <w:t xml:space="preserve">. </w:t>
      </w:r>
      <w:r w:rsidR="00557007" w:rsidRPr="000D119D">
        <w:rPr>
          <w:lang w:val="en-AU"/>
        </w:rPr>
        <w:t xml:space="preserve">The low number of child or youth specific assistance and </w:t>
      </w:r>
      <w:proofErr w:type="gramStart"/>
      <w:r w:rsidR="00557007" w:rsidRPr="000D119D">
        <w:rPr>
          <w:lang w:val="en-AU"/>
        </w:rPr>
        <w:t>cultural</w:t>
      </w:r>
      <w:proofErr w:type="gramEnd"/>
      <w:r w:rsidR="00557007" w:rsidRPr="000D119D">
        <w:rPr>
          <w:lang w:val="en-AU"/>
        </w:rPr>
        <w:t xml:space="preserve"> specific assistance is likely due to the fact that most hubs were recording data as other intervention types (e.g.</w:t>
      </w:r>
      <w:r w:rsidR="003841C3">
        <w:rPr>
          <w:lang w:val="en-AU"/>
        </w:rPr>
        <w:t>,</w:t>
      </w:r>
      <w:r w:rsidR="00557007" w:rsidRPr="000D119D">
        <w:rPr>
          <w:lang w:val="en-AU"/>
        </w:rPr>
        <w:t xml:space="preserve"> structured psychological intervention), as we know that greater numbers of children or youth were provided assistance. There were no notable differences across PHNs in terms of the types of service contact. </w:t>
      </w:r>
    </w:p>
    <w:p w14:paraId="4BFEF0FA" w14:textId="7ED1218F" w:rsidR="00FE2876" w:rsidRPr="000D119D" w:rsidRDefault="007C43A1" w:rsidP="00730BF3">
      <w:pPr>
        <w:rPr>
          <w:lang w:val="en-AU"/>
        </w:rPr>
      </w:pPr>
      <w:r>
        <w:rPr>
          <w:lang w:val="en-AU"/>
        </w:rPr>
        <w:t>Participant</w:t>
      </w:r>
      <w:r w:rsidR="0048537F" w:rsidRPr="000D119D">
        <w:rPr>
          <w:lang w:val="en-AU"/>
        </w:rPr>
        <w:t xml:space="preserve"> interviews </w:t>
      </w:r>
      <w:r w:rsidR="00DD7397" w:rsidRPr="000D119D">
        <w:rPr>
          <w:lang w:val="en-AU"/>
        </w:rPr>
        <w:t xml:space="preserve">highlighted this concentration of service types. This is not surprising given that </w:t>
      </w:r>
      <w:proofErr w:type="spellStart"/>
      <w:r w:rsidR="00DD7397" w:rsidRPr="00E13AC5">
        <w:rPr>
          <w:rStyle w:val="Emphasis"/>
        </w:rPr>
        <w:t>HeadtoHelp</w:t>
      </w:r>
      <w:proofErr w:type="spellEnd"/>
      <w:r w:rsidR="00DD7397" w:rsidRPr="000D119D">
        <w:rPr>
          <w:lang w:val="en-AU"/>
        </w:rPr>
        <w:t xml:space="preserve"> </w:t>
      </w:r>
      <w:r>
        <w:rPr>
          <w:lang w:val="en-AU"/>
        </w:rPr>
        <w:t>participant</w:t>
      </w:r>
      <w:r w:rsidR="00DD7397" w:rsidRPr="000D119D">
        <w:rPr>
          <w:lang w:val="en-AU"/>
        </w:rPr>
        <w:t xml:space="preserve">s requested psychology or counselling given that ‘talking therapy’ is what is most known by lay people to alleviate mental distress. Further these were the interventions most frequently offered and provided. However, </w:t>
      </w:r>
      <w:proofErr w:type="spellStart"/>
      <w:r w:rsidR="00DD7397" w:rsidRPr="00E13AC5">
        <w:rPr>
          <w:rStyle w:val="Emphasis"/>
        </w:rPr>
        <w:t>HeadtoHelp</w:t>
      </w:r>
      <w:proofErr w:type="spellEnd"/>
      <w:r w:rsidR="00557007" w:rsidRPr="000D119D">
        <w:rPr>
          <w:lang w:val="en-AU"/>
        </w:rPr>
        <w:t xml:space="preserve"> and comparable </w:t>
      </w:r>
      <w:r w:rsidR="00CC4A7E" w:rsidRPr="000D119D">
        <w:rPr>
          <w:lang w:val="en-AU"/>
        </w:rPr>
        <w:t>programs are</w:t>
      </w:r>
      <w:r w:rsidR="00DD7397" w:rsidRPr="000D119D">
        <w:rPr>
          <w:lang w:val="en-AU"/>
        </w:rPr>
        <w:t xml:space="preserve"> uniquely placed to link to, and provide through the hubs, a wider range of evidence‐informed modalities beyond talking therapies</w:t>
      </w:r>
      <w:r w:rsidR="003A5AFD" w:rsidRPr="000D119D">
        <w:rPr>
          <w:lang w:val="en-AU"/>
        </w:rPr>
        <w:t>,</w:t>
      </w:r>
      <w:r w:rsidR="00DD7397" w:rsidRPr="000D119D">
        <w:rPr>
          <w:lang w:val="en-AU"/>
        </w:rPr>
        <w:t xml:space="preserve"> </w:t>
      </w:r>
      <w:proofErr w:type="gramStart"/>
      <w:r w:rsidR="00DD7397" w:rsidRPr="000D119D">
        <w:rPr>
          <w:lang w:val="en-AU"/>
        </w:rPr>
        <w:t xml:space="preserve">in </w:t>
      </w:r>
      <w:r w:rsidR="003A5AFD" w:rsidRPr="000D119D">
        <w:rPr>
          <w:lang w:val="en-AU"/>
        </w:rPr>
        <w:t>particular</w:t>
      </w:r>
      <w:r w:rsidR="00DD7397" w:rsidRPr="000D119D">
        <w:rPr>
          <w:lang w:val="en-AU"/>
        </w:rPr>
        <w:t xml:space="preserve"> to</w:t>
      </w:r>
      <w:proofErr w:type="gramEnd"/>
      <w:r w:rsidR="00DD7397" w:rsidRPr="000D119D">
        <w:rPr>
          <w:lang w:val="en-AU"/>
        </w:rPr>
        <w:t xml:space="preserve"> respond to other wellbeing challenges such as financial, social and relational health issues. </w:t>
      </w:r>
    </w:p>
    <w:p w14:paraId="3F7A2E70" w14:textId="73F5ACC3" w:rsidR="00730BF3" w:rsidRPr="000D119D" w:rsidRDefault="00730BF3" w:rsidP="00730BF3">
      <w:pPr>
        <w:pStyle w:val="Caption"/>
      </w:pPr>
      <w:r w:rsidRPr="00F043CE">
        <w:lastRenderedPageBreak/>
        <w:t xml:space="preserve">Figure </w:t>
      </w:r>
      <w:r w:rsidR="00C90990" w:rsidRPr="00F043CE">
        <w:fldChar w:fldCharType="begin"/>
      </w:r>
      <w:r w:rsidR="00C90990" w:rsidRPr="00F043CE">
        <w:instrText xml:space="preserve"> SEQ Figure \* ARABIC </w:instrText>
      </w:r>
      <w:r w:rsidR="00C90990" w:rsidRPr="00F043CE">
        <w:fldChar w:fldCharType="separate"/>
      </w:r>
      <w:r w:rsidR="00562174">
        <w:rPr>
          <w:noProof/>
        </w:rPr>
        <w:t>22</w:t>
      </w:r>
      <w:r w:rsidR="00C90990" w:rsidRPr="00F043CE">
        <w:fldChar w:fldCharType="end"/>
      </w:r>
      <w:r w:rsidRPr="00F043CE">
        <w:t xml:space="preserve"> | Total service contact types by volume</w:t>
      </w:r>
    </w:p>
    <w:p w14:paraId="0B7C2775" w14:textId="478C0373" w:rsidR="00730BF3" w:rsidRPr="000D119D" w:rsidRDefault="00E65669" w:rsidP="00730BF3">
      <w:pPr>
        <w:rPr>
          <w:lang w:val="en-AU" w:eastAsia="en-AU"/>
        </w:rPr>
      </w:pPr>
      <w:r w:rsidRPr="00E65669">
        <w:rPr>
          <w:noProof/>
        </w:rPr>
        <w:drawing>
          <wp:inline distT="0" distB="0" distL="0" distR="0" wp14:anchorId="7031D785" wp14:editId="5A2026C1">
            <wp:extent cx="5670550" cy="4076700"/>
            <wp:effectExtent l="0" t="0" r="6350" b="0"/>
            <wp:docPr id="52" name="Picture 52" descr="Figure 22 is a horizontal bar graph showing the total service contact types by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22 is a horizontal bar graph showing the total service contact types by volum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70550" cy="4076700"/>
                    </a:xfrm>
                    <a:prstGeom prst="rect">
                      <a:avLst/>
                    </a:prstGeom>
                    <a:noFill/>
                    <a:ln>
                      <a:noFill/>
                    </a:ln>
                  </pic:spPr>
                </pic:pic>
              </a:graphicData>
            </a:graphic>
          </wp:inline>
        </w:drawing>
      </w:r>
    </w:p>
    <w:p w14:paraId="36F7AEAC" w14:textId="6AC11983" w:rsidR="00730BF3" w:rsidRPr="000D119D" w:rsidRDefault="004D35F7" w:rsidP="00BE0860">
      <w:pPr>
        <w:pStyle w:val="Heading4"/>
      </w:pPr>
      <w:r w:rsidRPr="000D119D">
        <w:t xml:space="preserve">Six in ten service contacts </w:t>
      </w:r>
      <w:r w:rsidR="00AA0953" w:rsidRPr="000D119D">
        <w:t xml:space="preserve">were remote </w:t>
      </w:r>
    </w:p>
    <w:p w14:paraId="65132F2C" w14:textId="26F417AF" w:rsidR="007225A8" w:rsidRPr="000D119D" w:rsidRDefault="00730BF3" w:rsidP="00730BF3">
      <w:pPr>
        <w:rPr>
          <w:lang w:val="en-AU"/>
        </w:rPr>
      </w:pPr>
      <w:r w:rsidRPr="000D119D">
        <w:rPr>
          <w:lang w:val="en-AU"/>
        </w:rPr>
        <w:t>Remote contact (comprising telephone, video and internet-based) formed the majority (</w:t>
      </w:r>
      <w:r w:rsidR="00BD4E65" w:rsidRPr="000D119D">
        <w:rPr>
          <w:lang w:val="en-AU"/>
        </w:rPr>
        <w:t>61</w:t>
      </w:r>
      <w:r w:rsidRPr="000D119D">
        <w:rPr>
          <w:lang w:val="en-AU"/>
        </w:rPr>
        <w:t xml:space="preserve"> per cent) of </w:t>
      </w:r>
      <w:r w:rsidR="00EC5365" w:rsidRPr="000D119D">
        <w:rPr>
          <w:lang w:val="en-AU"/>
        </w:rPr>
        <w:t xml:space="preserve">all </w:t>
      </w:r>
      <w:r w:rsidRPr="000D119D">
        <w:rPr>
          <w:lang w:val="en-AU"/>
        </w:rPr>
        <w:t>service contact modalities (</w:t>
      </w:r>
      <w:r w:rsidRPr="000D119D">
        <w:rPr>
          <w:lang w:val="en-AU"/>
        </w:rPr>
        <w:fldChar w:fldCharType="begin"/>
      </w:r>
      <w:r w:rsidRPr="00E92B75">
        <w:instrText xml:space="preserve"> REF _Ref83121509 \h  \* MERGEFORMAT </w:instrText>
      </w:r>
      <w:r w:rsidRPr="000D119D">
        <w:rPr>
          <w:lang w:val="en-AU"/>
        </w:rPr>
      </w:r>
      <w:r w:rsidRPr="000D119D">
        <w:rPr>
          <w:lang w:val="en-AU"/>
        </w:rPr>
        <w:fldChar w:fldCharType="separate"/>
      </w:r>
      <w:r w:rsidR="00562174" w:rsidRPr="00562174">
        <w:rPr>
          <w:lang w:val="en-AU"/>
        </w:rPr>
        <w:t xml:space="preserve">Figure </w:t>
      </w:r>
      <w:r w:rsidR="00562174">
        <w:rPr>
          <w:noProof/>
        </w:rPr>
        <w:t>23</w:t>
      </w:r>
      <w:r w:rsidRPr="000D119D">
        <w:rPr>
          <w:lang w:val="en-AU"/>
        </w:rPr>
        <w:fldChar w:fldCharType="end"/>
      </w:r>
      <w:r w:rsidRPr="000D119D">
        <w:rPr>
          <w:lang w:val="en-AU"/>
        </w:rPr>
        <w:t xml:space="preserve">). Service contacts, which do not include the initial call to the 1800 number, were </w:t>
      </w:r>
      <w:proofErr w:type="gramStart"/>
      <w:r w:rsidRPr="000D119D">
        <w:rPr>
          <w:lang w:val="en-AU"/>
        </w:rPr>
        <w:t>most commonly delivered</w:t>
      </w:r>
      <w:proofErr w:type="gramEnd"/>
      <w:r w:rsidRPr="000D119D">
        <w:rPr>
          <w:lang w:val="en-AU"/>
        </w:rPr>
        <w:t xml:space="preserve"> through telephone (4</w:t>
      </w:r>
      <w:r w:rsidR="00BD4E65" w:rsidRPr="000D119D">
        <w:rPr>
          <w:lang w:val="en-AU"/>
        </w:rPr>
        <w:t>7</w:t>
      </w:r>
      <w:r w:rsidRPr="000D119D">
        <w:rPr>
          <w:lang w:val="en-AU"/>
        </w:rPr>
        <w:t xml:space="preserve"> per cent, n=</w:t>
      </w:r>
      <w:r w:rsidR="004D35F7" w:rsidRPr="000D119D">
        <w:rPr>
          <w:lang w:val="en-AU"/>
        </w:rPr>
        <w:t>37,401</w:t>
      </w:r>
      <w:r w:rsidRPr="000D119D">
        <w:rPr>
          <w:lang w:val="en-AU"/>
        </w:rPr>
        <w:t>), followed by face-to-face (3</w:t>
      </w:r>
      <w:r w:rsidR="004D35F7" w:rsidRPr="000D119D">
        <w:rPr>
          <w:lang w:val="en-AU"/>
        </w:rPr>
        <w:t>0</w:t>
      </w:r>
      <w:r w:rsidRPr="000D119D">
        <w:rPr>
          <w:lang w:val="en-AU"/>
        </w:rPr>
        <w:t xml:space="preserve"> per cent, n=</w:t>
      </w:r>
      <w:r w:rsidR="004D35F7" w:rsidRPr="000D119D">
        <w:rPr>
          <w:lang w:val="en-AU"/>
        </w:rPr>
        <w:t>23,855</w:t>
      </w:r>
      <w:r w:rsidRPr="000D119D">
        <w:rPr>
          <w:lang w:val="en-AU"/>
        </w:rPr>
        <w:t xml:space="preserve">). Service contacts by video and telephone peaked during periods where stay-at-home orders are enforced. Given </w:t>
      </w:r>
      <w:proofErr w:type="spellStart"/>
      <w:r w:rsidRPr="00E13AC5">
        <w:rPr>
          <w:rStyle w:val="Emphasis"/>
        </w:rPr>
        <w:t>HeadtoHelp</w:t>
      </w:r>
      <w:proofErr w:type="spellEnd"/>
      <w:r w:rsidRPr="000D119D">
        <w:rPr>
          <w:lang w:val="en-AU"/>
        </w:rPr>
        <w:t xml:space="preserve"> was intended as a COVID-19 response, it follows that a high proportion of service contacts were not face-to-face to prevent transmission of COVID-19. </w:t>
      </w:r>
    </w:p>
    <w:p w14:paraId="6F0267D0" w14:textId="78C38FC1" w:rsidR="00D50FD5" w:rsidRDefault="00730BF3" w:rsidP="00730BF3">
      <w:pPr>
        <w:rPr>
          <w:lang w:val="en-AU"/>
        </w:rPr>
      </w:pPr>
      <w:r w:rsidRPr="000D119D">
        <w:rPr>
          <w:lang w:val="en-AU"/>
        </w:rPr>
        <w:t>Hub clinicians and staff reported that many users preferred face-to-face, particularly in rural and regional communities, so the service modalities may not reflect participant preferences. The video modality is used less frequently than telephone, which was not expected given the global shift to videoconferencing because of COVID-19 restrictions across other sectors.</w:t>
      </w:r>
      <w:r w:rsidRPr="008679A6">
        <w:rPr>
          <w:rStyle w:val="FootnoteReference"/>
          <w:lang w:val="en-AU"/>
        </w:rPr>
        <w:footnoteReference w:id="44"/>
      </w:r>
      <w:r w:rsidRPr="008679A6">
        <w:rPr>
          <w:lang w:val="en-AU"/>
        </w:rPr>
        <w:t xml:space="preserve"> Anecdotally, this has also been the experience across primary care more broadly. </w:t>
      </w:r>
      <w:r w:rsidRPr="000D119D">
        <w:rPr>
          <w:lang w:val="en-AU"/>
        </w:rPr>
        <w:t>Most age groups had a higher proportion of telephone service contacts versus face-to-face service contacts, except in the under-12 age groups</w:t>
      </w:r>
      <w:r w:rsidR="009705DF" w:rsidRPr="000D119D">
        <w:rPr>
          <w:lang w:val="en-AU"/>
        </w:rPr>
        <w:t>.</w:t>
      </w:r>
    </w:p>
    <w:p w14:paraId="79EA3A55" w14:textId="77777777" w:rsidR="00E13AC5" w:rsidRPr="00E13AC5" w:rsidRDefault="00E13AC5" w:rsidP="00833DEE">
      <w:pPr>
        <w:pStyle w:val="Callout"/>
      </w:pPr>
      <w:r w:rsidRPr="00E13AC5">
        <w:t>Interview findings challenge service provider assumptions about the value of telehealth</w:t>
      </w:r>
    </w:p>
    <w:p w14:paraId="29CCC2A5" w14:textId="77777777" w:rsidR="00E13AC5" w:rsidRPr="00E13AC5" w:rsidRDefault="00E13AC5" w:rsidP="00833DEE">
      <w:pPr>
        <w:pStyle w:val="Callout"/>
      </w:pPr>
      <w:r w:rsidRPr="00E13AC5">
        <w:t xml:space="preserve">Interestingly, data from the participant and support person interviews challenged the views often held by service providers – </w:t>
      </w:r>
      <w:proofErr w:type="gramStart"/>
      <w:r w:rsidRPr="00E13AC5">
        <w:t>that clients</w:t>
      </w:r>
      <w:proofErr w:type="gramEnd"/>
      <w:r w:rsidRPr="00E13AC5">
        <w:t xml:space="preserve"> overwhelmingly prefer face‐to‐face services. Of 45 participants who commented on their preference regarding telehealth, 21 participants said that they preferred in‐person services, 16 said that they preferred telehealth services and eight described merits of both modes of service delivery and appreciated a combination.</w:t>
      </w:r>
    </w:p>
    <w:p w14:paraId="2F53FFD8" w14:textId="77777777" w:rsidR="00E13AC5" w:rsidRPr="00E13AC5" w:rsidRDefault="00E13AC5" w:rsidP="00833DEE">
      <w:pPr>
        <w:pStyle w:val="Callout"/>
      </w:pPr>
      <w:r w:rsidRPr="00E13AC5">
        <w:lastRenderedPageBreak/>
        <w:t xml:space="preserve">Direct experience of telehealth services appeared to influence participants’ preferences for telehealth vs in‐person services. People who had only received in‐person services, where they expressed a preference, preferred in‐person services. However, people who had experienced telehealth were more likely to prefer telehealth or see benefits of both. A lower proportion of participants who had only experienced telephone services preferred telehealth compared to people with at least some experience with service via videoconferencing. </w:t>
      </w:r>
    </w:p>
    <w:p w14:paraId="448ADB62" w14:textId="77777777" w:rsidR="00E13AC5" w:rsidRPr="00E13AC5" w:rsidRDefault="00E13AC5" w:rsidP="00833DEE">
      <w:pPr>
        <w:pStyle w:val="Callout"/>
      </w:pPr>
      <w:r w:rsidRPr="00E13AC5">
        <w:t xml:space="preserve">Those who preferred in-person services </w:t>
      </w:r>
      <w:proofErr w:type="gramStart"/>
      <w:r w:rsidRPr="00E13AC5">
        <w:t>most commonly cited</w:t>
      </w:r>
      <w:proofErr w:type="gramEnd"/>
      <w:r w:rsidRPr="00E13AC5">
        <w:t xml:space="preserve"> the belief that personal human contact and connection was superior in in‐person settings. However, sometimes it also appeared to be attributable to the clinician’s lack of skills with the format, rather than the format itself. Participants who preferred telehealth services or a combination described a range of benefits of telehealth, predominantly the convenience: being able to access services despite busy work schedules and family responsibilities, and not needing to travel. Participants who valued a mix of service types suggested that different formats may suit different people at different times. </w:t>
      </w:r>
    </w:p>
    <w:p w14:paraId="016EDEDF" w14:textId="1E0F173E" w:rsidR="00E13AC5" w:rsidRDefault="00E13AC5" w:rsidP="00833DEE">
      <w:pPr>
        <w:pStyle w:val="Callout"/>
      </w:pPr>
      <w:r w:rsidRPr="00E13AC5">
        <w:t xml:space="preserve">It is important to recognise that the above findings are based on a limited sample size. Several studies into consumer preferences for mental health service delivery via in person versus telehealth or online services indicate that the COVID-19 pandemic has altered traditional attitudes towards mental health treatment via telehealth and online services. The rise in the use of this delivery format has increased awareness of its benefits, including increasing access to (e.g., remote communities), and the lower cost of online and telehealth services. However, the majority of research indicates that people do still tend to prefer in-person services when presented with the </w:t>
      </w:r>
      <w:proofErr w:type="gramStart"/>
      <w:r w:rsidRPr="00E13AC5">
        <w:t>choice ,</w:t>
      </w:r>
      <w:proofErr w:type="gramEnd"/>
      <w:r w:rsidRPr="00E13AC5">
        <w:t xml:space="preserve"> , . Therefore, it is important that face-to-face services are made available wherever possible to meet participant preferences and achieve better outcomes, however telehealth and online services should continue to be adopted where they may be more useful (e.g., where they make services affordable for those who cannot afford in-person services, or accessible for those in remote areas). The expansion of these delivery methods also provides important preparation for possible future events that prevent physical attendance, such as a pandemic or natural disaster.</w:t>
      </w:r>
    </w:p>
    <w:p w14:paraId="2FCE1E80" w14:textId="3804EF50" w:rsidR="00730BF3" w:rsidRPr="000D119D" w:rsidRDefault="00730BF3" w:rsidP="00730BF3">
      <w:pPr>
        <w:rPr>
          <w:lang w:val="en-AU"/>
        </w:rPr>
      </w:pPr>
      <w:r w:rsidRPr="000D119D">
        <w:rPr>
          <w:lang w:val="en-AU"/>
        </w:rPr>
        <w:t>Service contacts between 46</w:t>
      </w:r>
      <w:r w:rsidR="00CB3E90">
        <w:rPr>
          <w:lang w:val="en-AU"/>
        </w:rPr>
        <w:t xml:space="preserve"> to </w:t>
      </w:r>
      <w:r w:rsidRPr="000D119D">
        <w:rPr>
          <w:lang w:val="en-AU"/>
        </w:rPr>
        <w:t xml:space="preserve">60 minutes are the most frequent duration and has been increasing in proportion of the total, growing from 29 per cent to </w:t>
      </w:r>
      <w:r w:rsidR="00396034" w:rsidRPr="000D119D">
        <w:rPr>
          <w:lang w:val="en-AU"/>
        </w:rPr>
        <w:t xml:space="preserve">around </w:t>
      </w:r>
      <w:r w:rsidRPr="000D119D">
        <w:rPr>
          <w:lang w:val="en-AU"/>
        </w:rPr>
        <w:t>4</w:t>
      </w:r>
      <w:r w:rsidR="00396034" w:rsidRPr="000D119D">
        <w:rPr>
          <w:lang w:val="en-AU"/>
        </w:rPr>
        <w:t>3</w:t>
      </w:r>
      <w:r w:rsidRPr="000D119D">
        <w:rPr>
          <w:lang w:val="en-AU"/>
        </w:rPr>
        <w:t xml:space="preserve"> per cent of all service contacts from September 2020 to </w:t>
      </w:r>
      <w:r w:rsidR="00396034" w:rsidRPr="000D119D">
        <w:rPr>
          <w:lang w:val="en-AU"/>
        </w:rPr>
        <w:t xml:space="preserve">February </w:t>
      </w:r>
      <w:r w:rsidRPr="000D119D">
        <w:rPr>
          <w:lang w:val="en-AU"/>
        </w:rPr>
        <w:t>202</w:t>
      </w:r>
      <w:r w:rsidR="00396034" w:rsidRPr="000D119D">
        <w:rPr>
          <w:lang w:val="en-AU"/>
        </w:rPr>
        <w:t>2</w:t>
      </w:r>
      <w:r w:rsidRPr="000D119D">
        <w:rPr>
          <w:lang w:val="en-AU"/>
        </w:rPr>
        <w:t xml:space="preserve">. The reasons for this are unclear. </w:t>
      </w:r>
    </w:p>
    <w:p w14:paraId="1174EE31" w14:textId="5CB20F97" w:rsidR="00730BF3" w:rsidRPr="000D119D" w:rsidRDefault="00730BF3" w:rsidP="00730BF3">
      <w:pPr>
        <w:pStyle w:val="Caption"/>
      </w:pPr>
      <w:bookmarkStart w:id="71" w:name="_Ref83121509"/>
      <w:r w:rsidRPr="000D119D">
        <w:lastRenderedPageBreak/>
        <w:t xml:space="preserve">Figure </w:t>
      </w:r>
      <w:r w:rsidR="00C90990">
        <w:fldChar w:fldCharType="begin"/>
      </w:r>
      <w:r w:rsidR="00C90990">
        <w:instrText xml:space="preserve"> SEQ Figure \* ARABIC </w:instrText>
      </w:r>
      <w:r w:rsidR="00C90990">
        <w:fldChar w:fldCharType="separate"/>
      </w:r>
      <w:r w:rsidR="00562174">
        <w:rPr>
          <w:noProof/>
        </w:rPr>
        <w:t>23</w:t>
      </w:r>
      <w:r w:rsidR="00C90990">
        <w:fldChar w:fldCharType="end"/>
      </w:r>
      <w:bookmarkEnd w:id="71"/>
      <w:r w:rsidRPr="000D119D">
        <w:t xml:space="preserve"> | Service contact by modality and date</w:t>
      </w:r>
    </w:p>
    <w:p w14:paraId="153CE248" w14:textId="2F5715B2" w:rsidR="00AA0953" w:rsidRPr="000D119D" w:rsidRDefault="00944FC6" w:rsidP="00AA0953">
      <w:pPr>
        <w:rPr>
          <w:lang w:val="en-AU"/>
        </w:rPr>
      </w:pPr>
      <w:r w:rsidRPr="00944FC6">
        <w:rPr>
          <w:noProof/>
        </w:rPr>
        <w:drawing>
          <wp:inline distT="0" distB="0" distL="0" distR="0" wp14:anchorId="6F187F97" wp14:editId="2552E90E">
            <wp:extent cx="5670550" cy="4443730"/>
            <wp:effectExtent l="0" t="0" r="6350" b="0"/>
            <wp:docPr id="53" name="Picture 53" descr="Figure 23 is a line graph showing service contact by modality a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23 is a line graph showing service contact by modality and da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70550" cy="4443730"/>
                    </a:xfrm>
                    <a:prstGeom prst="rect">
                      <a:avLst/>
                    </a:prstGeom>
                    <a:noFill/>
                    <a:ln>
                      <a:noFill/>
                    </a:ln>
                  </pic:spPr>
                </pic:pic>
              </a:graphicData>
            </a:graphic>
          </wp:inline>
        </w:drawing>
      </w:r>
    </w:p>
    <w:p w14:paraId="2A91A910" w14:textId="67E50260" w:rsidR="001B71F7" w:rsidRPr="000D119D" w:rsidRDefault="001B71F7" w:rsidP="001B71F7">
      <w:pPr>
        <w:pStyle w:val="Heading3"/>
      </w:pPr>
      <w:bookmarkStart w:id="72" w:name="_Ref97025134"/>
      <w:bookmarkStart w:id="73" w:name="_Ref97025144"/>
      <w:bookmarkStart w:id="74" w:name="_Ref97037204"/>
      <w:bookmarkStart w:id="75" w:name="_Toc99650346"/>
      <w:r w:rsidRPr="000D119D">
        <w:t>Service pathways</w:t>
      </w:r>
      <w:bookmarkEnd w:id="72"/>
      <w:bookmarkEnd w:id="73"/>
      <w:bookmarkEnd w:id="74"/>
      <w:bookmarkEnd w:id="75"/>
    </w:p>
    <w:p w14:paraId="2A1E173A" w14:textId="0AFE5B3C" w:rsidR="00D5448E" w:rsidRPr="000D119D" w:rsidRDefault="004A58AB" w:rsidP="00BE0860">
      <w:pPr>
        <w:pStyle w:val="Heading4"/>
      </w:pPr>
      <w:r w:rsidRPr="000D119D">
        <w:t>Self and GP referrals are the most common</w:t>
      </w:r>
      <w:r w:rsidR="00D5448E" w:rsidRPr="000D119D">
        <w:t xml:space="preserve"> pathway</w:t>
      </w:r>
      <w:r w:rsidRPr="000D119D">
        <w:t xml:space="preserve"> to </w:t>
      </w:r>
      <w:proofErr w:type="spellStart"/>
      <w:r w:rsidRPr="000D119D">
        <w:rPr>
          <w:i/>
        </w:rPr>
        <w:t>HeadtoHelp</w:t>
      </w:r>
      <w:proofErr w:type="spellEnd"/>
    </w:p>
    <w:p w14:paraId="5F6DE23C" w14:textId="64665FE5" w:rsidR="00D5448E" w:rsidRPr="000D119D" w:rsidRDefault="00BB04EF" w:rsidP="00D5448E">
      <w:pPr>
        <w:rPr>
          <w:lang w:val="en-AU"/>
        </w:rPr>
      </w:pPr>
      <w:r w:rsidRPr="000D119D">
        <w:rPr>
          <w:lang w:val="en-AU"/>
        </w:rPr>
        <w:t>Self</w:t>
      </w:r>
      <w:r w:rsidR="008E22F3" w:rsidRPr="000D119D">
        <w:rPr>
          <w:lang w:val="en-AU"/>
        </w:rPr>
        <w:t>-</w:t>
      </w:r>
      <w:r w:rsidR="00D5448E" w:rsidRPr="000D119D">
        <w:rPr>
          <w:lang w:val="en-AU"/>
        </w:rPr>
        <w:t>referrals (3</w:t>
      </w:r>
      <w:r w:rsidRPr="000D119D">
        <w:rPr>
          <w:lang w:val="en-AU"/>
        </w:rPr>
        <w:t>4</w:t>
      </w:r>
      <w:r w:rsidR="00D5448E" w:rsidRPr="000D119D">
        <w:rPr>
          <w:lang w:val="en-AU"/>
        </w:rPr>
        <w:t xml:space="preserve"> per cent, n=</w:t>
      </w:r>
      <w:r w:rsidRPr="000D119D">
        <w:rPr>
          <w:lang w:val="en-AU"/>
        </w:rPr>
        <w:t>3,498</w:t>
      </w:r>
      <w:r w:rsidR="00D5448E" w:rsidRPr="000D119D">
        <w:rPr>
          <w:lang w:val="en-AU"/>
        </w:rPr>
        <w:t xml:space="preserve">) and </w:t>
      </w:r>
      <w:r w:rsidRPr="000D119D">
        <w:rPr>
          <w:lang w:val="en-AU"/>
        </w:rPr>
        <w:t xml:space="preserve">GP </w:t>
      </w:r>
      <w:r w:rsidR="00D5448E" w:rsidRPr="000D119D">
        <w:rPr>
          <w:lang w:val="en-AU"/>
        </w:rPr>
        <w:t>referrals (2</w:t>
      </w:r>
      <w:r w:rsidRPr="000D119D">
        <w:rPr>
          <w:lang w:val="en-AU"/>
        </w:rPr>
        <w:t>6</w:t>
      </w:r>
      <w:r w:rsidR="00D5448E" w:rsidRPr="000D119D">
        <w:rPr>
          <w:lang w:val="en-AU"/>
        </w:rPr>
        <w:t xml:space="preserve"> per cent, n=</w:t>
      </w:r>
      <w:r w:rsidRPr="000D119D">
        <w:rPr>
          <w:lang w:val="en-AU"/>
        </w:rPr>
        <w:t>2,713</w:t>
      </w:r>
      <w:r w:rsidR="00D5448E" w:rsidRPr="000D119D">
        <w:rPr>
          <w:lang w:val="en-AU"/>
        </w:rPr>
        <w:t xml:space="preserve">) form </w:t>
      </w:r>
      <w:proofErr w:type="gramStart"/>
      <w:r w:rsidR="00D5448E" w:rsidRPr="000D119D">
        <w:rPr>
          <w:lang w:val="en-AU"/>
        </w:rPr>
        <w:t>the majority of</w:t>
      </w:r>
      <w:proofErr w:type="gramEnd"/>
      <w:r w:rsidR="00D5448E" w:rsidRPr="000D119D">
        <w:rPr>
          <w:lang w:val="en-AU"/>
        </w:rPr>
        <w:t xml:space="preserve"> referrals</w:t>
      </w:r>
      <w:r w:rsidR="00D5448E" w:rsidRPr="000D119D">
        <w:rPr>
          <w:rStyle w:val="FootnoteReference"/>
          <w:lang w:val="en-AU"/>
        </w:rPr>
        <w:footnoteReference w:id="45"/>
      </w:r>
      <w:r w:rsidR="00D5448E" w:rsidRPr="000D119D">
        <w:rPr>
          <w:lang w:val="en-AU"/>
        </w:rPr>
        <w:t xml:space="preserve"> into the </w:t>
      </w:r>
      <w:proofErr w:type="spellStart"/>
      <w:r w:rsidR="00D5448E" w:rsidRPr="00E13AC5">
        <w:rPr>
          <w:rStyle w:val="Emphasis"/>
        </w:rPr>
        <w:t>HeadtoHelp</w:t>
      </w:r>
      <w:proofErr w:type="spellEnd"/>
      <w:r w:rsidR="00D5448E" w:rsidRPr="000D119D">
        <w:rPr>
          <w:lang w:val="en-AU"/>
        </w:rPr>
        <w:t xml:space="preserve"> service. </w:t>
      </w:r>
      <w:r w:rsidR="00147C42" w:rsidRPr="000D119D">
        <w:rPr>
          <w:lang w:val="en-AU"/>
        </w:rPr>
        <w:t>Having high levels of self</w:t>
      </w:r>
      <w:r w:rsidR="005162ED" w:rsidRPr="000D119D">
        <w:rPr>
          <w:lang w:val="en-AU"/>
        </w:rPr>
        <w:t>-</w:t>
      </w:r>
      <w:r w:rsidR="00147C42" w:rsidRPr="000D119D">
        <w:rPr>
          <w:lang w:val="en-AU"/>
        </w:rPr>
        <w:t xml:space="preserve">referral can be viewed as a positive impact of the service, as it may indicate that </w:t>
      </w:r>
      <w:r w:rsidR="005162ED" w:rsidRPr="000D119D">
        <w:rPr>
          <w:lang w:val="en-AU"/>
        </w:rPr>
        <w:t xml:space="preserve">some participants are seeking and finding </w:t>
      </w:r>
      <w:proofErr w:type="spellStart"/>
      <w:r w:rsidR="005162ED" w:rsidRPr="00E13AC5">
        <w:rPr>
          <w:rStyle w:val="Emphasis"/>
        </w:rPr>
        <w:t>HeadtoHelp</w:t>
      </w:r>
      <w:proofErr w:type="spellEnd"/>
      <w:r w:rsidR="005162ED" w:rsidRPr="000D119D">
        <w:rPr>
          <w:lang w:val="en-AU"/>
        </w:rPr>
        <w:t xml:space="preserve"> prior to reaching crisis or presenting to an AM</w:t>
      </w:r>
      <w:r w:rsidR="00EE0098">
        <w:rPr>
          <w:lang w:val="en-AU"/>
        </w:rPr>
        <w:t>H</w:t>
      </w:r>
      <w:r w:rsidR="005162ED" w:rsidRPr="000D119D">
        <w:rPr>
          <w:lang w:val="en-AU"/>
        </w:rPr>
        <w:t xml:space="preserve">S or ED. Conversely, it may suggest that </w:t>
      </w:r>
      <w:proofErr w:type="spellStart"/>
      <w:r w:rsidR="005162ED" w:rsidRPr="00E13AC5">
        <w:rPr>
          <w:rStyle w:val="Emphasis"/>
        </w:rPr>
        <w:t>HeadtoHelp</w:t>
      </w:r>
      <w:proofErr w:type="spellEnd"/>
      <w:r w:rsidR="005162ED" w:rsidRPr="000D119D">
        <w:rPr>
          <w:lang w:val="en-AU"/>
        </w:rPr>
        <w:t xml:space="preserve"> is not as well connected to other services as would be desirable. </w:t>
      </w:r>
      <w:r w:rsidR="00585859" w:rsidRPr="000D119D">
        <w:rPr>
          <w:lang w:val="en-AU"/>
        </w:rPr>
        <w:t>Interestingly, several stakeholders reported AMHSs and E</w:t>
      </w:r>
      <w:r w:rsidR="00387799">
        <w:rPr>
          <w:lang w:val="en-AU"/>
        </w:rPr>
        <w:t>D</w:t>
      </w:r>
      <w:r w:rsidR="00585859" w:rsidRPr="000D119D">
        <w:rPr>
          <w:lang w:val="en-AU"/>
        </w:rPr>
        <w:t>s are more likely to refer to GP</w:t>
      </w:r>
      <w:r w:rsidR="00387799">
        <w:rPr>
          <w:lang w:val="en-AU"/>
        </w:rPr>
        <w:t>s</w:t>
      </w:r>
      <w:r w:rsidR="00585859" w:rsidRPr="000D119D">
        <w:rPr>
          <w:lang w:val="en-AU"/>
        </w:rPr>
        <w:t xml:space="preserve"> than to </w:t>
      </w:r>
      <w:proofErr w:type="spellStart"/>
      <w:r w:rsidR="00585859" w:rsidRPr="00E13AC5">
        <w:rPr>
          <w:rStyle w:val="Emphasis"/>
        </w:rPr>
        <w:t>HeadtoHelp</w:t>
      </w:r>
      <w:proofErr w:type="spellEnd"/>
      <w:r w:rsidR="00585859" w:rsidRPr="000D119D">
        <w:rPr>
          <w:lang w:val="en-AU"/>
        </w:rPr>
        <w:t xml:space="preserve"> directly. Potential reasons for this are discussed</w:t>
      </w:r>
      <w:r w:rsidR="005162ED" w:rsidRPr="000D119D">
        <w:rPr>
          <w:lang w:val="en-AU"/>
        </w:rPr>
        <w:t xml:space="preserve"> in </w:t>
      </w:r>
      <w:r w:rsidR="00EE0098">
        <w:rPr>
          <w:lang w:val="en-AU"/>
        </w:rPr>
        <w:t xml:space="preserve">Section </w:t>
      </w:r>
      <w:r w:rsidR="001B49E7">
        <w:rPr>
          <w:lang w:val="en-AU"/>
        </w:rPr>
        <w:fldChar w:fldCharType="begin"/>
      </w:r>
      <w:r w:rsidR="001B49E7">
        <w:rPr>
          <w:lang w:val="en-AU"/>
        </w:rPr>
        <w:instrText xml:space="preserve"> REF _Ref97037281 \w \h </w:instrText>
      </w:r>
      <w:r w:rsidR="001B49E7">
        <w:rPr>
          <w:lang w:val="en-AU"/>
        </w:rPr>
      </w:r>
      <w:r w:rsidR="001B49E7">
        <w:rPr>
          <w:lang w:val="en-AU"/>
        </w:rPr>
        <w:fldChar w:fldCharType="separate"/>
      </w:r>
      <w:r w:rsidR="00562174">
        <w:rPr>
          <w:lang w:val="en-AU"/>
        </w:rPr>
        <w:t>5.2.3</w:t>
      </w:r>
      <w:r w:rsidR="001B49E7">
        <w:rPr>
          <w:lang w:val="en-AU"/>
        </w:rPr>
        <w:fldChar w:fldCharType="end"/>
      </w:r>
      <w:r w:rsidR="006514E2">
        <w:rPr>
          <w:lang w:val="en-AU"/>
        </w:rPr>
        <w:t>.</w:t>
      </w:r>
    </w:p>
    <w:p w14:paraId="15DE4AA6" w14:textId="7AF74653" w:rsidR="00025D0A" w:rsidRPr="000D119D" w:rsidRDefault="00025D0A" w:rsidP="00025D0A">
      <w:pPr>
        <w:pStyle w:val="Caption"/>
      </w:pPr>
      <w:bookmarkStart w:id="76" w:name="_Ref96957841"/>
      <w:r w:rsidRPr="000D119D">
        <w:lastRenderedPageBreak/>
        <w:t xml:space="preserve">Figure </w:t>
      </w:r>
      <w:r w:rsidR="00C90990">
        <w:fldChar w:fldCharType="begin"/>
      </w:r>
      <w:r w:rsidR="00C90990">
        <w:instrText xml:space="preserve"> SEQ Figure \* ARABIC </w:instrText>
      </w:r>
      <w:r w:rsidR="00C90990">
        <w:fldChar w:fldCharType="separate"/>
      </w:r>
      <w:r w:rsidR="00562174">
        <w:rPr>
          <w:noProof/>
        </w:rPr>
        <w:t>24</w:t>
      </w:r>
      <w:r w:rsidR="00C90990">
        <w:fldChar w:fldCharType="end"/>
      </w:r>
      <w:bookmarkEnd w:id="76"/>
      <w:r w:rsidRPr="000D119D">
        <w:t xml:space="preserve"> | Referral pathways for </w:t>
      </w:r>
      <w:proofErr w:type="spellStart"/>
      <w:r w:rsidRPr="000D119D">
        <w:rPr>
          <w:i/>
          <w:iCs/>
        </w:rPr>
        <w:t>HeadtoHelp</w:t>
      </w:r>
      <w:proofErr w:type="spellEnd"/>
    </w:p>
    <w:p w14:paraId="7170446C" w14:textId="134BBE12" w:rsidR="00025D0A" w:rsidRPr="000D119D" w:rsidRDefault="00872EA5" w:rsidP="00833DEE">
      <w:pPr>
        <w:rPr>
          <w:lang w:val="en-AU"/>
        </w:rPr>
      </w:pPr>
      <w:r w:rsidRPr="00833DEE">
        <w:drawing>
          <wp:inline distT="0" distB="0" distL="0" distR="0" wp14:anchorId="0DDFBA18" wp14:editId="1900B399">
            <wp:extent cx="5670550" cy="5646420"/>
            <wp:effectExtent l="0" t="0" r="6350" b="0"/>
            <wp:docPr id="62" name="Picture 62" descr="Figure 24 is a horizontal bar graph showing referral pathways for Head to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Figure 24 is a horizontal bar graph showing referral pathways for Head to Hel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70550" cy="5646420"/>
                    </a:xfrm>
                    <a:prstGeom prst="rect">
                      <a:avLst/>
                    </a:prstGeom>
                    <a:noFill/>
                    <a:ln>
                      <a:noFill/>
                    </a:ln>
                  </pic:spPr>
                </pic:pic>
              </a:graphicData>
            </a:graphic>
          </wp:inline>
        </w:drawing>
      </w:r>
    </w:p>
    <w:p w14:paraId="6DDB7259" w14:textId="1955A3C5" w:rsidR="00BF5D22" w:rsidRPr="000D119D" w:rsidRDefault="00BF5D22" w:rsidP="00BF5D22">
      <w:pPr>
        <w:rPr>
          <w:lang w:val="en-AU"/>
        </w:rPr>
      </w:pPr>
      <w:r w:rsidRPr="000D119D">
        <w:rPr>
          <w:lang w:val="en-AU"/>
        </w:rPr>
        <w:t xml:space="preserve">Members of the Taskforce had expected the number of referrals from AMHSs to be higher than the </w:t>
      </w:r>
      <w:r w:rsidR="00387799">
        <w:rPr>
          <w:lang w:val="en-AU"/>
        </w:rPr>
        <w:t>five per cent</w:t>
      </w:r>
      <w:r w:rsidRPr="000D119D">
        <w:rPr>
          <w:lang w:val="en-AU"/>
        </w:rPr>
        <w:t xml:space="preserve"> that has been observed. It is possible that AMHSs, EDs or other services are providing the </w:t>
      </w:r>
      <w:proofErr w:type="spellStart"/>
      <w:r w:rsidRPr="00833DEE">
        <w:rPr>
          <w:rStyle w:val="Emphasis"/>
        </w:rPr>
        <w:t>HeadtoHelp</w:t>
      </w:r>
      <w:proofErr w:type="spellEnd"/>
      <w:r w:rsidRPr="000D119D">
        <w:rPr>
          <w:i/>
          <w:iCs/>
          <w:lang w:val="en-AU"/>
        </w:rPr>
        <w:t xml:space="preserve"> </w:t>
      </w:r>
      <w:r w:rsidRPr="000D119D">
        <w:rPr>
          <w:lang w:val="en-AU"/>
        </w:rPr>
        <w:t>1800 number to participants, who then call the number and may be recorded as a ‘self-referral’. Feedback from AMHSs has also indicated that their primary referral pathway is to GPs.</w:t>
      </w:r>
    </w:p>
    <w:p w14:paraId="2B91A01D" w14:textId="6C2BA0B2" w:rsidR="00BF5D22" w:rsidRPr="000D119D" w:rsidRDefault="00BF5D22" w:rsidP="00BF5D22">
      <w:pPr>
        <w:rPr>
          <w:highlight w:val="yellow"/>
          <w:lang w:val="en-AU"/>
        </w:rPr>
      </w:pPr>
      <w:r w:rsidRPr="000D119D">
        <w:rPr>
          <w:lang w:val="en-AU"/>
        </w:rPr>
        <w:t xml:space="preserve">The counterview to this, is that a low portion of referrals from AMHSs and EDs (see </w:t>
      </w:r>
      <w:r w:rsidR="00570343" w:rsidRPr="000D119D">
        <w:rPr>
          <w:lang w:val="en-AU"/>
        </w:rPr>
        <w:fldChar w:fldCharType="begin"/>
      </w:r>
      <w:r w:rsidR="00570343" w:rsidRPr="000D119D">
        <w:rPr>
          <w:lang w:val="en-AU"/>
        </w:rPr>
        <w:instrText xml:space="preserve"> REF _Ref96957841 \h </w:instrText>
      </w:r>
      <w:r w:rsidR="00570343" w:rsidRPr="000D119D">
        <w:rPr>
          <w:lang w:val="en-AU"/>
        </w:rPr>
      </w:r>
      <w:r w:rsidR="00570343" w:rsidRPr="000D119D">
        <w:rPr>
          <w:lang w:val="en-AU"/>
        </w:rPr>
        <w:fldChar w:fldCharType="separate"/>
      </w:r>
      <w:r w:rsidR="00562174" w:rsidRPr="000D119D">
        <w:t xml:space="preserve">Figure </w:t>
      </w:r>
      <w:r w:rsidR="00562174">
        <w:rPr>
          <w:noProof/>
        </w:rPr>
        <w:t>24</w:t>
      </w:r>
      <w:r w:rsidR="00570343" w:rsidRPr="000D119D">
        <w:rPr>
          <w:lang w:val="en-AU"/>
        </w:rPr>
        <w:fldChar w:fldCharType="end"/>
      </w:r>
      <w:r w:rsidRPr="000D119D">
        <w:rPr>
          <w:lang w:val="en-AU"/>
        </w:rPr>
        <w:t xml:space="preserve">) can be viewed as poor engagement and integration between </w:t>
      </w:r>
      <w:proofErr w:type="spellStart"/>
      <w:r w:rsidRPr="00833DEE">
        <w:rPr>
          <w:rStyle w:val="Emphasis"/>
        </w:rPr>
        <w:t>HeadtoHelp</w:t>
      </w:r>
      <w:proofErr w:type="spellEnd"/>
      <w:r w:rsidRPr="000D119D">
        <w:rPr>
          <w:i/>
          <w:iCs/>
          <w:lang w:val="en-AU"/>
        </w:rPr>
        <w:t xml:space="preserve"> </w:t>
      </w:r>
      <w:r w:rsidRPr="000D119D">
        <w:rPr>
          <w:lang w:val="en-AU"/>
        </w:rPr>
        <w:t xml:space="preserve">and Victorian mental health services. Appropriate referrals are contingent on strong communication (and consequently, strong relationships) between </w:t>
      </w:r>
      <w:proofErr w:type="spellStart"/>
      <w:r w:rsidRPr="00833DEE">
        <w:rPr>
          <w:rStyle w:val="Emphasis"/>
        </w:rPr>
        <w:t>HeadtoHelp</w:t>
      </w:r>
      <w:proofErr w:type="spellEnd"/>
      <w:r w:rsidRPr="000D119D">
        <w:rPr>
          <w:lang w:val="en-AU"/>
        </w:rPr>
        <w:t xml:space="preserve"> and service partners. This is discussed in further </w:t>
      </w:r>
      <w:r w:rsidRPr="00001C03">
        <w:rPr>
          <w:lang w:val="en-AU"/>
        </w:rPr>
        <w:t xml:space="preserve">Section </w:t>
      </w:r>
      <w:r w:rsidR="0014139A">
        <w:rPr>
          <w:lang w:val="en-AU"/>
        </w:rPr>
        <w:fldChar w:fldCharType="begin"/>
      </w:r>
      <w:r w:rsidR="0014139A">
        <w:rPr>
          <w:lang w:val="en-AU"/>
        </w:rPr>
        <w:instrText xml:space="preserve"> REF _Ref97037312 \w \h </w:instrText>
      </w:r>
      <w:r w:rsidR="0014139A">
        <w:rPr>
          <w:lang w:val="en-AU"/>
        </w:rPr>
      </w:r>
      <w:r w:rsidR="0014139A">
        <w:rPr>
          <w:lang w:val="en-AU"/>
        </w:rPr>
        <w:fldChar w:fldCharType="separate"/>
      </w:r>
      <w:r w:rsidR="00562174">
        <w:rPr>
          <w:lang w:val="en-AU"/>
        </w:rPr>
        <w:t>5.2.3</w:t>
      </w:r>
      <w:r w:rsidR="0014139A">
        <w:rPr>
          <w:lang w:val="en-AU"/>
        </w:rPr>
        <w:fldChar w:fldCharType="end"/>
      </w:r>
      <w:r w:rsidR="00001C03">
        <w:rPr>
          <w:lang w:val="en-AU"/>
        </w:rPr>
        <w:t>.</w:t>
      </w:r>
    </w:p>
    <w:p w14:paraId="158D13A8" w14:textId="766534EB" w:rsidR="00D5448E" w:rsidRPr="000D119D" w:rsidRDefault="00D5448E" w:rsidP="00D5448E">
      <w:pPr>
        <w:rPr>
          <w:highlight w:val="cyan"/>
          <w:lang w:val="en-AU"/>
        </w:rPr>
      </w:pPr>
      <w:r w:rsidRPr="00212493">
        <w:rPr>
          <w:lang w:val="en-AU"/>
        </w:rPr>
        <w:t>Referral sources differed among PHNs</w:t>
      </w:r>
      <w:r w:rsidR="00BF5D22" w:rsidRPr="00212493">
        <w:rPr>
          <w:lang w:val="en-AU"/>
        </w:rPr>
        <w:t>, which was expected</w:t>
      </w:r>
      <w:r w:rsidR="000826DB" w:rsidRPr="00212493">
        <w:rPr>
          <w:lang w:val="en-AU"/>
        </w:rPr>
        <w:t xml:space="preserve">. </w:t>
      </w:r>
      <w:r w:rsidRPr="00212493">
        <w:rPr>
          <w:lang w:val="en-AU"/>
        </w:rPr>
        <w:t xml:space="preserve">There is a strong link between the </w:t>
      </w:r>
      <w:proofErr w:type="spellStart"/>
      <w:r w:rsidRPr="00833DEE">
        <w:rPr>
          <w:rStyle w:val="Emphasis"/>
        </w:rPr>
        <w:t>HeadtoHelp</w:t>
      </w:r>
      <w:proofErr w:type="spellEnd"/>
      <w:r w:rsidRPr="00212493">
        <w:rPr>
          <w:lang w:val="en-AU"/>
        </w:rPr>
        <w:t xml:space="preserve"> service setting and the referring organisation. For example, those hubs co-located with GP clinics have higher proportions of clients referred by GPs. Interestingly, co-location with a GP clinic did not appear to result in greater referrals overall </w:t>
      </w:r>
      <w:r w:rsidR="00A87444">
        <w:t>–</w:t>
      </w:r>
      <w:r w:rsidRPr="00212493">
        <w:rPr>
          <w:lang w:val="en-AU"/>
        </w:rPr>
        <w:t xml:space="preserve"> hubs co-located with GPs (of which there were 11 of 15, 73</w:t>
      </w:r>
      <w:r w:rsidR="00A87444" w:rsidRPr="00212493">
        <w:rPr>
          <w:lang w:val="en-AU"/>
        </w:rPr>
        <w:t xml:space="preserve"> per cent</w:t>
      </w:r>
      <w:r w:rsidRPr="00212493">
        <w:rPr>
          <w:lang w:val="en-AU"/>
        </w:rPr>
        <w:t xml:space="preserve">) only accounted for approximately </w:t>
      </w:r>
      <w:r w:rsidR="00212493" w:rsidRPr="00212493">
        <w:rPr>
          <w:lang w:val="en-AU"/>
        </w:rPr>
        <w:t>53</w:t>
      </w:r>
      <w:r w:rsidR="00A87444" w:rsidRPr="00212493">
        <w:rPr>
          <w:lang w:val="en-AU"/>
        </w:rPr>
        <w:t xml:space="preserve"> per cent</w:t>
      </w:r>
      <w:r w:rsidRPr="00212493">
        <w:rPr>
          <w:lang w:val="en-AU"/>
        </w:rPr>
        <w:t xml:space="preserve"> of intakes overall. Likewise, those hubs co-located with community health organisations</w:t>
      </w:r>
      <w:r w:rsidRPr="00212493">
        <w:rPr>
          <w:rStyle w:val="FootnoteReference"/>
          <w:lang w:val="en-AU"/>
        </w:rPr>
        <w:footnoteReference w:id="46"/>
      </w:r>
      <w:r w:rsidRPr="00212493">
        <w:rPr>
          <w:lang w:val="en-AU"/>
        </w:rPr>
        <w:t xml:space="preserve"> have higher proportions of </w:t>
      </w:r>
      <w:r w:rsidRPr="00212493">
        <w:rPr>
          <w:lang w:val="en-AU"/>
        </w:rPr>
        <w:lastRenderedPageBreak/>
        <w:t>participants referred by community health organisations</w:t>
      </w:r>
      <w:r w:rsidR="006C3F6B" w:rsidRPr="00212493">
        <w:rPr>
          <w:lang w:val="en-AU"/>
        </w:rPr>
        <w:t>.</w:t>
      </w:r>
      <w:r w:rsidRPr="00212493">
        <w:rPr>
          <w:lang w:val="en-AU"/>
        </w:rPr>
        <w:t xml:space="preserve"> </w:t>
      </w:r>
      <w:r w:rsidRPr="006C3F6B">
        <w:rPr>
          <w:lang w:val="en-AU"/>
        </w:rPr>
        <w:t>The following differences were noted by PHN:</w:t>
      </w:r>
      <w:r w:rsidR="00A87444" w:rsidRPr="006C3F6B">
        <w:rPr>
          <w:lang w:val="en-AU"/>
        </w:rPr>
        <w:t xml:space="preserve"> </w:t>
      </w:r>
    </w:p>
    <w:p w14:paraId="6037D12C" w14:textId="167AC508" w:rsidR="00D5448E" w:rsidRPr="006C3F6B" w:rsidRDefault="00160D51" w:rsidP="00E457E2">
      <w:pPr>
        <w:pStyle w:val="ListBullet"/>
      </w:pPr>
      <w:r w:rsidRPr="000D119D">
        <w:t>SEMPHN</w:t>
      </w:r>
      <w:r w:rsidR="00D5448E" w:rsidRPr="000D119D">
        <w:t xml:space="preserve"> hubs are all co-located in GP clinics. In </w:t>
      </w:r>
      <w:r w:rsidRPr="000D119D">
        <w:t>SEMPHN</w:t>
      </w:r>
      <w:r w:rsidR="00D5448E" w:rsidRPr="000D119D">
        <w:t>, over half of referrals were from GPs (</w:t>
      </w:r>
      <w:r w:rsidR="00B469C8" w:rsidRPr="000D119D">
        <w:t>56</w:t>
      </w:r>
      <w:r w:rsidR="00702C69" w:rsidRPr="000D119D">
        <w:t xml:space="preserve"> </w:t>
      </w:r>
      <w:r w:rsidR="00D5448E" w:rsidRPr="000D119D">
        <w:t xml:space="preserve">per cent). </w:t>
      </w:r>
      <w:r w:rsidR="003F41CF">
        <w:t>A third (</w:t>
      </w:r>
      <w:r w:rsidR="00B469C8" w:rsidRPr="000D119D">
        <w:t>33</w:t>
      </w:r>
      <w:r w:rsidR="00D5448E" w:rsidRPr="000D119D">
        <w:t xml:space="preserve"> per cent</w:t>
      </w:r>
      <w:r w:rsidR="003F41CF">
        <w:t>)</w:t>
      </w:r>
      <w:r w:rsidR="00D5448E" w:rsidRPr="000D119D">
        <w:t xml:space="preserve"> of referrals were self-referrals, whereas only </w:t>
      </w:r>
      <w:r w:rsidR="00A143C1">
        <w:t>two</w:t>
      </w:r>
      <w:r w:rsidR="00D5448E" w:rsidRPr="000D119D">
        <w:t xml:space="preserve"> per cent of referrals originated from ‘community support </w:t>
      </w:r>
      <w:proofErr w:type="spellStart"/>
      <w:r w:rsidR="00D5448E" w:rsidRPr="000D119D">
        <w:t>organisation</w:t>
      </w:r>
      <w:proofErr w:type="spellEnd"/>
      <w:r w:rsidR="00D5448E" w:rsidRPr="000D119D">
        <w:t>’. Most of the GP referrals went to the Officer Medical Centre for services, suggesting that this clinic either experienced many referrals from GPs in the area and/or a high proportion of walk-ins, which may have been coded as ‘GP referral’ given that they presented to a GP directly.</w:t>
      </w:r>
    </w:p>
    <w:p w14:paraId="58606737" w14:textId="7400C271" w:rsidR="00D5448E" w:rsidRPr="000D119D" w:rsidRDefault="00160D51" w:rsidP="00E457E2">
      <w:pPr>
        <w:pStyle w:val="ListBullet"/>
      </w:pPr>
      <w:r w:rsidRPr="000D119D">
        <w:t>EMPHN</w:t>
      </w:r>
      <w:r w:rsidR="00D5448E" w:rsidRPr="000D119D">
        <w:t xml:space="preserve"> hubs are co-located in community health </w:t>
      </w:r>
      <w:proofErr w:type="spellStart"/>
      <w:r w:rsidR="00D5448E" w:rsidRPr="000D119D">
        <w:t>centres</w:t>
      </w:r>
      <w:proofErr w:type="spellEnd"/>
      <w:r w:rsidR="00D5448E" w:rsidRPr="000D119D">
        <w:t xml:space="preserve">. </w:t>
      </w:r>
      <w:r w:rsidRPr="000D119D">
        <w:t>EMPHN</w:t>
      </w:r>
      <w:r w:rsidR="00D5448E" w:rsidRPr="000D119D">
        <w:t xml:space="preserve"> saw a significantly higher number of referrals from community health </w:t>
      </w:r>
      <w:proofErr w:type="spellStart"/>
      <w:r w:rsidR="00D5448E" w:rsidRPr="000D119D">
        <w:t>organisation</w:t>
      </w:r>
      <w:proofErr w:type="spellEnd"/>
      <w:r w:rsidR="00D5448E" w:rsidRPr="000D119D">
        <w:t xml:space="preserve"> referrals (</w:t>
      </w:r>
      <w:r w:rsidR="00B469C8" w:rsidRPr="000D119D">
        <w:t>36</w:t>
      </w:r>
      <w:r w:rsidR="00D5448E" w:rsidRPr="000D119D">
        <w:t xml:space="preserve"> per cent) as compared to GP referrals (</w:t>
      </w:r>
      <w:r w:rsidR="00B469C8" w:rsidRPr="000D119D">
        <w:t>11</w:t>
      </w:r>
      <w:r w:rsidR="00D5448E" w:rsidRPr="000D119D">
        <w:t xml:space="preserve"> per cent).</w:t>
      </w:r>
      <w:r w:rsidR="00D5448E" w:rsidRPr="000D119D">
        <w:rPr>
          <w:rStyle w:val="FootnoteReference"/>
        </w:rPr>
        <w:footnoteReference w:id="47"/>
      </w:r>
      <w:r w:rsidR="00D5448E" w:rsidRPr="000D119D">
        <w:t xml:space="preserve"> </w:t>
      </w:r>
    </w:p>
    <w:p w14:paraId="056487D8" w14:textId="5CD83B0D" w:rsidR="00D5448E" w:rsidRPr="006C3F6B" w:rsidRDefault="00D5448E" w:rsidP="00E457E2">
      <w:pPr>
        <w:pStyle w:val="ListBullet"/>
      </w:pPr>
      <w:r w:rsidRPr="000D119D">
        <w:t xml:space="preserve">Relative to other PHNs, </w:t>
      </w:r>
      <w:r w:rsidR="00160D51" w:rsidRPr="000D119D">
        <w:t>MPHN</w:t>
      </w:r>
      <w:r w:rsidRPr="000D119D">
        <w:t xml:space="preserve"> had the most varied referral sources (</w:t>
      </w:r>
      <w:r w:rsidR="00825667" w:rsidRPr="000D119D">
        <w:t>31</w:t>
      </w:r>
      <w:r w:rsidRPr="000D119D">
        <w:t xml:space="preserve"> per cent from GP, </w:t>
      </w:r>
      <w:r w:rsidR="00825667" w:rsidRPr="000D119D">
        <w:t>23</w:t>
      </w:r>
      <w:r w:rsidRPr="000D119D">
        <w:t xml:space="preserve"> per cent self-referral, </w:t>
      </w:r>
      <w:r w:rsidR="00B77B9C">
        <w:t>nine</w:t>
      </w:r>
      <w:r w:rsidRPr="000D119D">
        <w:t xml:space="preserve"> per cent from community health </w:t>
      </w:r>
      <w:proofErr w:type="spellStart"/>
      <w:r w:rsidRPr="000D119D">
        <w:t>organisations</w:t>
      </w:r>
      <w:proofErr w:type="spellEnd"/>
      <w:r w:rsidRPr="000D119D">
        <w:t>), including a significant amount from public mental health services (</w:t>
      </w:r>
      <w:r w:rsidR="000E0073">
        <w:t>nine</w:t>
      </w:r>
      <w:r w:rsidRPr="000D119D">
        <w:t xml:space="preserve"> per cent). This suggests hubs in </w:t>
      </w:r>
      <w:r w:rsidR="00160D51" w:rsidRPr="000D119D">
        <w:t>MPHN</w:t>
      </w:r>
      <w:r w:rsidRPr="000D119D">
        <w:t xml:space="preserve"> were better able to integrate with </w:t>
      </w:r>
      <w:r w:rsidR="00FF1326">
        <w:t>A</w:t>
      </w:r>
      <w:r w:rsidR="00280C61">
        <w:t>MHSs</w:t>
      </w:r>
      <w:r w:rsidRPr="000D119D">
        <w:t xml:space="preserve"> in the catchment</w:t>
      </w:r>
      <w:r w:rsidR="00F72C5B" w:rsidRPr="000D119D">
        <w:t xml:space="preserve"> (</w:t>
      </w:r>
      <w:r w:rsidR="000E0073">
        <w:t>e.g.</w:t>
      </w:r>
      <w:r w:rsidR="00F72C5B" w:rsidRPr="000D119D">
        <w:t xml:space="preserve">, </w:t>
      </w:r>
      <w:r w:rsidR="00F72C5B" w:rsidRPr="006C3F6B">
        <w:t>by</w:t>
      </w:r>
      <w:r w:rsidRPr="006C3F6B" w:rsidDel="00F72C5B">
        <w:t xml:space="preserve"> </w:t>
      </w:r>
      <w:r w:rsidRPr="006C3F6B">
        <w:t xml:space="preserve">having a clinician that sat in both the </w:t>
      </w:r>
      <w:proofErr w:type="spellStart"/>
      <w:r w:rsidRPr="00833DEE">
        <w:rPr>
          <w:rStyle w:val="Emphasis"/>
        </w:rPr>
        <w:t>HeadtoHelp</w:t>
      </w:r>
      <w:proofErr w:type="spellEnd"/>
      <w:r w:rsidRPr="006C3F6B">
        <w:t xml:space="preserve"> service and tertiary service</w:t>
      </w:r>
      <w:r w:rsidR="00F72C5B" w:rsidRPr="006C3F6B">
        <w:t>)</w:t>
      </w:r>
      <w:r w:rsidR="000E0073" w:rsidRPr="006C3F6B">
        <w:t>.</w:t>
      </w:r>
    </w:p>
    <w:p w14:paraId="7CBC1B4B" w14:textId="58C8219B" w:rsidR="00D5448E" w:rsidRPr="000D119D" w:rsidRDefault="00D5448E" w:rsidP="00E457E2">
      <w:pPr>
        <w:pStyle w:val="ListBullet"/>
      </w:pPr>
      <w:r w:rsidRPr="000D119D">
        <w:t xml:space="preserve">Gippsland hubs (like </w:t>
      </w:r>
      <w:r w:rsidR="00160D51" w:rsidRPr="000D119D">
        <w:t>SEMPHN</w:t>
      </w:r>
      <w:r w:rsidRPr="000D119D">
        <w:t xml:space="preserve">) are co-located in GP clinics. Despite having majority GP hubs and satellites, </w:t>
      </w:r>
      <w:r w:rsidR="00160D51" w:rsidRPr="000D119D">
        <w:t>GPHN</w:t>
      </w:r>
      <w:r w:rsidRPr="000D119D">
        <w:t xml:space="preserve"> received a relatively similar </w:t>
      </w:r>
      <w:proofErr w:type="gramStart"/>
      <w:r w:rsidRPr="000D119D">
        <w:t>amount</w:t>
      </w:r>
      <w:proofErr w:type="gramEnd"/>
      <w:r w:rsidRPr="000D119D">
        <w:t xml:space="preserve"> of referrals from GPs (4</w:t>
      </w:r>
      <w:r w:rsidR="00825667" w:rsidRPr="000D119D">
        <w:t>0</w:t>
      </w:r>
      <w:r w:rsidRPr="000D119D">
        <w:t xml:space="preserve"> per cent) and self-referral (</w:t>
      </w:r>
      <w:r w:rsidR="00475C27" w:rsidRPr="000D119D">
        <w:t>37</w:t>
      </w:r>
      <w:r w:rsidRPr="000D119D">
        <w:t xml:space="preserve"> per cent), which may suggest that there is a weaker link between service setting and referring </w:t>
      </w:r>
      <w:proofErr w:type="spellStart"/>
      <w:r w:rsidRPr="000D119D">
        <w:t>organisation</w:t>
      </w:r>
      <w:proofErr w:type="spellEnd"/>
      <w:r w:rsidRPr="000D119D">
        <w:t xml:space="preserve"> in rural and regional hubs given the greater mental health need and limited access to services, relative to the rest of Victoria. </w:t>
      </w:r>
      <w:r w:rsidR="00160D51" w:rsidRPr="000D119D">
        <w:t>GPHN</w:t>
      </w:r>
      <w:r w:rsidR="00475C27" w:rsidRPr="000D119D">
        <w:t xml:space="preserve"> also saw a significant </w:t>
      </w:r>
      <w:proofErr w:type="gramStart"/>
      <w:r w:rsidR="00475C27" w:rsidRPr="000D119D">
        <w:t>amount</w:t>
      </w:r>
      <w:proofErr w:type="gramEnd"/>
      <w:r w:rsidR="00475C27" w:rsidRPr="000D119D">
        <w:t xml:space="preserve"> of referrals from </w:t>
      </w:r>
      <w:r w:rsidR="008A6B7A" w:rsidRPr="000D119D">
        <w:t>p</w:t>
      </w:r>
      <w:r w:rsidR="00475C27" w:rsidRPr="000D119D">
        <w:t>ublic mental health services (12 per cent)</w:t>
      </w:r>
    </w:p>
    <w:p w14:paraId="5770046E" w14:textId="78816C8C" w:rsidR="00D5448E" w:rsidRPr="000D119D" w:rsidRDefault="00D5448E" w:rsidP="00D5448E">
      <w:pPr>
        <w:rPr>
          <w:lang w:val="en-AU"/>
        </w:rPr>
      </w:pPr>
      <w:r w:rsidRPr="000D119D">
        <w:rPr>
          <w:lang w:val="en-AU"/>
        </w:rPr>
        <w:t xml:space="preserve">Unfortunately, </w:t>
      </w:r>
      <w:proofErr w:type="gramStart"/>
      <w:r w:rsidR="009705DF" w:rsidRPr="000D119D">
        <w:rPr>
          <w:lang w:val="en-AU"/>
        </w:rPr>
        <w:t xml:space="preserve">the </w:t>
      </w:r>
      <w:r w:rsidR="004D5EC4" w:rsidRPr="000D119D">
        <w:rPr>
          <w:lang w:val="en-AU"/>
        </w:rPr>
        <w:t>majority of</w:t>
      </w:r>
      <w:proofErr w:type="gramEnd"/>
      <w:r w:rsidR="004D5EC4" w:rsidRPr="000D119D">
        <w:rPr>
          <w:lang w:val="en-AU"/>
        </w:rPr>
        <w:t xml:space="preserve"> </w:t>
      </w:r>
      <w:r w:rsidRPr="000D119D">
        <w:rPr>
          <w:lang w:val="en-AU"/>
        </w:rPr>
        <w:t xml:space="preserve">referrals in </w:t>
      </w:r>
      <w:r w:rsidR="00160D51" w:rsidRPr="000D119D">
        <w:rPr>
          <w:lang w:val="en-AU"/>
        </w:rPr>
        <w:t>WVPHN</w:t>
      </w:r>
      <w:r w:rsidRPr="000D119D">
        <w:rPr>
          <w:lang w:val="en-AU"/>
        </w:rPr>
        <w:t xml:space="preserve"> </w:t>
      </w:r>
      <w:r w:rsidR="004D5EC4" w:rsidRPr="000D119D">
        <w:rPr>
          <w:lang w:val="en-AU"/>
        </w:rPr>
        <w:t xml:space="preserve">and </w:t>
      </w:r>
      <w:r w:rsidR="00160D51" w:rsidRPr="000D119D">
        <w:rPr>
          <w:lang w:val="en-AU"/>
        </w:rPr>
        <w:t>NWMPHN</w:t>
      </w:r>
      <w:r w:rsidR="004D5EC4" w:rsidRPr="000D119D">
        <w:rPr>
          <w:lang w:val="en-AU"/>
        </w:rPr>
        <w:t xml:space="preserve"> </w:t>
      </w:r>
      <w:r w:rsidRPr="000D119D">
        <w:rPr>
          <w:lang w:val="en-AU"/>
        </w:rPr>
        <w:t>were recorded as ‘not stated’</w:t>
      </w:r>
      <w:r w:rsidR="00475C27" w:rsidRPr="000D119D">
        <w:rPr>
          <w:lang w:val="en-AU"/>
        </w:rPr>
        <w:t xml:space="preserve"> (60 per cent</w:t>
      </w:r>
      <w:r w:rsidR="004D5EC4" w:rsidRPr="000D119D">
        <w:rPr>
          <w:lang w:val="en-AU"/>
        </w:rPr>
        <w:t xml:space="preserve"> and 38 per cent respectively</w:t>
      </w:r>
      <w:r w:rsidR="00DF2E1E" w:rsidRPr="000D119D">
        <w:rPr>
          <w:lang w:val="en-AU"/>
        </w:rPr>
        <w:t>)</w:t>
      </w:r>
      <w:r w:rsidR="001F6A25" w:rsidRPr="000D119D">
        <w:rPr>
          <w:lang w:val="en-AU"/>
        </w:rPr>
        <w:t xml:space="preserve"> so much of the data could not be analysed in a meaningful and accurate way.</w:t>
      </w:r>
      <w:r w:rsidR="00DF2E1E" w:rsidRPr="000D119D">
        <w:rPr>
          <w:lang w:val="en-AU"/>
        </w:rPr>
        <w:t xml:space="preserve"> </w:t>
      </w:r>
    </w:p>
    <w:p w14:paraId="7F66D749" w14:textId="3FAB3484" w:rsidR="00D5448E" w:rsidRPr="00B23F13" w:rsidRDefault="00E31D79" w:rsidP="00BE0860">
      <w:pPr>
        <w:pStyle w:val="Heading4"/>
      </w:pPr>
      <w:r w:rsidRPr="00B23F13">
        <w:t xml:space="preserve">Most participants received services just over two weeks after a referral </w:t>
      </w:r>
    </w:p>
    <w:p w14:paraId="31A4405B" w14:textId="099D2F85" w:rsidR="00B23F13" w:rsidRDefault="00D5448E" w:rsidP="00D5448E">
      <w:pPr>
        <w:rPr>
          <w:lang w:val="en-AU"/>
        </w:rPr>
      </w:pPr>
      <w:r w:rsidRPr="000D119D">
        <w:rPr>
          <w:lang w:val="en-AU"/>
        </w:rPr>
        <w:t xml:space="preserve">The average number of days from intake referral </w:t>
      </w:r>
      <w:r w:rsidRPr="000D119D">
        <w:rPr>
          <w:rStyle w:val="FootnoteReference"/>
          <w:lang w:val="en-AU"/>
        </w:rPr>
        <w:footnoteReference w:id="48"/>
      </w:r>
      <w:r w:rsidRPr="000D119D">
        <w:rPr>
          <w:lang w:val="en-AU"/>
        </w:rPr>
        <w:t xml:space="preserve"> to comprehensive assessment</w:t>
      </w:r>
      <w:r w:rsidRPr="000D119D">
        <w:rPr>
          <w:rStyle w:val="FootnoteReference"/>
          <w:lang w:val="en-AU"/>
        </w:rPr>
        <w:footnoteReference w:id="49"/>
      </w:r>
      <w:r w:rsidRPr="000D119D">
        <w:rPr>
          <w:lang w:val="en-AU"/>
        </w:rPr>
        <w:t xml:space="preserve"> is approximately </w:t>
      </w:r>
      <w:r w:rsidR="001F20B7" w:rsidRPr="000D119D">
        <w:rPr>
          <w:lang w:val="en-AU"/>
        </w:rPr>
        <w:t>11</w:t>
      </w:r>
      <w:r w:rsidRPr="000D119D">
        <w:rPr>
          <w:lang w:val="en-AU"/>
        </w:rPr>
        <w:t xml:space="preserve"> days</w:t>
      </w:r>
      <w:r w:rsidR="00F729CE" w:rsidRPr="000D119D">
        <w:rPr>
          <w:lang w:val="en-AU"/>
        </w:rPr>
        <w:t xml:space="preserve"> (up from an average of </w:t>
      </w:r>
      <w:r w:rsidR="000E0073">
        <w:rPr>
          <w:lang w:val="en-AU"/>
        </w:rPr>
        <w:t>seven</w:t>
      </w:r>
      <w:r w:rsidR="00F729CE" w:rsidRPr="000D119D">
        <w:rPr>
          <w:lang w:val="en-AU"/>
        </w:rPr>
        <w:t xml:space="preserve"> days from the </w:t>
      </w:r>
      <w:r w:rsidR="0075147F" w:rsidRPr="000D119D">
        <w:rPr>
          <w:lang w:val="en-AU"/>
        </w:rPr>
        <w:t>Interim Evaluation Report</w:t>
      </w:r>
      <w:r w:rsidR="00F729CE" w:rsidRPr="000D119D">
        <w:rPr>
          <w:lang w:val="en-AU"/>
        </w:rPr>
        <w:t>)</w:t>
      </w:r>
      <w:r w:rsidRPr="000D119D">
        <w:rPr>
          <w:lang w:val="en-AU"/>
        </w:rPr>
        <w:t xml:space="preserve">, peaking in </w:t>
      </w:r>
      <w:r w:rsidR="001F20B7" w:rsidRPr="000D119D">
        <w:rPr>
          <w:lang w:val="en-AU"/>
        </w:rPr>
        <w:t xml:space="preserve">April 2021 </w:t>
      </w:r>
      <w:r w:rsidRPr="000D119D">
        <w:rPr>
          <w:lang w:val="en-AU"/>
        </w:rPr>
        <w:t>at 1</w:t>
      </w:r>
      <w:r w:rsidR="001F20B7" w:rsidRPr="000D119D">
        <w:rPr>
          <w:lang w:val="en-AU"/>
        </w:rPr>
        <w:t>8</w:t>
      </w:r>
      <w:r w:rsidRPr="000D119D">
        <w:rPr>
          <w:lang w:val="en-AU"/>
        </w:rPr>
        <w:t xml:space="preserve"> days (see </w:t>
      </w:r>
      <w:r w:rsidR="005F645B">
        <w:rPr>
          <w:lang w:val="en-AU"/>
        </w:rPr>
        <w:fldChar w:fldCharType="begin"/>
      </w:r>
      <w:r w:rsidR="005F645B">
        <w:rPr>
          <w:lang w:val="en-AU"/>
        </w:rPr>
        <w:instrText xml:space="preserve"> REF _Ref97026663 \h </w:instrText>
      </w:r>
      <w:r w:rsidR="005F645B">
        <w:rPr>
          <w:lang w:val="en-AU"/>
        </w:rPr>
      </w:r>
      <w:r w:rsidR="005F645B">
        <w:rPr>
          <w:lang w:val="en-AU"/>
        </w:rPr>
        <w:fldChar w:fldCharType="separate"/>
      </w:r>
      <w:r w:rsidR="00562174" w:rsidRPr="006C3F6B">
        <w:t xml:space="preserve">Figure </w:t>
      </w:r>
      <w:r w:rsidR="00562174">
        <w:rPr>
          <w:noProof/>
        </w:rPr>
        <w:t>25</w:t>
      </w:r>
      <w:r w:rsidR="005F645B">
        <w:rPr>
          <w:lang w:val="en-AU"/>
        </w:rPr>
        <w:fldChar w:fldCharType="end"/>
      </w:r>
      <w:r w:rsidRPr="000D119D">
        <w:rPr>
          <w:lang w:val="en-AU"/>
        </w:rPr>
        <w:t xml:space="preserve"> for a diagram of a typical participant journey). </w:t>
      </w:r>
      <w:r w:rsidR="00267968">
        <w:rPr>
          <w:lang w:val="en-AU"/>
        </w:rPr>
        <w:t>This</w:t>
      </w:r>
      <w:r w:rsidR="00737AE8">
        <w:rPr>
          <w:lang w:val="en-AU"/>
        </w:rPr>
        <w:t xml:space="preserve"> may reflect longer processing times due to an increase in participant numbers.</w:t>
      </w:r>
      <w:r w:rsidR="00F60801">
        <w:rPr>
          <w:lang w:val="en-AU"/>
        </w:rPr>
        <w:t xml:space="preserve"> </w:t>
      </w:r>
    </w:p>
    <w:p w14:paraId="2BB8B36F" w14:textId="73AF7A71" w:rsidR="00B23F13" w:rsidRPr="006C3F6B" w:rsidRDefault="00B23F13" w:rsidP="00B23F13">
      <w:pPr>
        <w:pStyle w:val="Caption"/>
      </w:pPr>
      <w:bookmarkStart w:id="77" w:name="_Ref97026663"/>
      <w:r w:rsidRPr="006C3F6B">
        <w:lastRenderedPageBreak/>
        <w:t xml:space="preserve">Figure </w:t>
      </w:r>
      <w:r w:rsidRPr="006C3F6B">
        <w:fldChar w:fldCharType="begin"/>
      </w:r>
      <w:r w:rsidRPr="00001C03">
        <w:instrText xml:space="preserve"> SEQ Figure \* ARABIC </w:instrText>
      </w:r>
      <w:r w:rsidRPr="006C3F6B">
        <w:fldChar w:fldCharType="separate"/>
      </w:r>
      <w:r w:rsidR="00562174">
        <w:rPr>
          <w:noProof/>
        </w:rPr>
        <w:t>25</w:t>
      </w:r>
      <w:r w:rsidRPr="006C3F6B">
        <w:fldChar w:fldCharType="end"/>
      </w:r>
      <w:bookmarkEnd w:id="77"/>
      <w:r w:rsidRPr="006C3F6B">
        <w:t xml:space="preserve"> | Typical participant journey</w:t>
      </w:r>
    </w:p>
    <w:p w14:paraId="67C861D1" w14:textId="6F0E9A3E" w:rsidR="00B23F13" w:rsidRPr="00857997" w:rsidRDefault="00857997" w:rsidP="00B23F13">
      <w:pPr>
        <w:rPr>
          <w:lang w:val="en-AU"/>
        </w:rPr>
      </w:pPr>
      <w:r w:rsidRPr="00857997">
        <w:rPr>
          <w:noProof/>
        </w:rPr>
        <w:drawing>
          <wp:inline distT="0" distB="0" distL="0" distR="0" wp14:anchorId="6F90DA37" wp14:editId="2319677A">
            <wp:extent cx="5670550" cy="2079625"/>
            <wp:effectExtent l="0" t="0" r="6350" b="0"/>
            <wp:docPr id="37" name="Picture 37" descr="Figure 25 is an infographic of a flow chart showing the typical participant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25 is an infographic of a flow chart showing the typical participant journe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70550" cy="2079625"/>
                    </a:xfrm>
                    <a:prstGeom prst="rect">
                      <a:avLst/>
                    </a:prstGeom>
                    <a:noFill/>
                    <a:ln>
                      <a:noFill/>
                    </a:ln>
                  </pic:spPr>
                </pic:pic>
              </a:graphicData>
            </a:graphic>
          </wp:inline>
        </w:drawing>
      </w:r>
    </w:p>
    <w:p w14:paraId="6F7878F4" w14:textId="42D4E433" w:rsidR="00955D14" w:rsidRPr="006C3F6B" w:rsidRDefault="00ED3648" w:rsidP="00D5448E">
      <w:pPr>
        <w:rPr>
          <w:lang w:val="en-AU"/>
        </w:rPr>
      </w:pPr>
      <w:r w:rsidRPr="000D119D">
        <w:rPr>
          <w:lang w:val="en-AU"/>
        </w:rPr>
        <w:t>As the Interim Evaluation Report covered d</w:t>
      </w:r>
      <w:r w:rsidR="001717F4" w:rsidRPr="000D119D">
        <w:rPr>
          <w:lang w:val="en-AU"/>
        </w:rPr>
        <w:t>ata until 30 June 2021, this suggests that the average number of days from intake referral to comprehensive assessment has increased in July 2021 to February 2022.</w:t>
      </w:r>
      <w:r w:rsidR="00225A5E">
        <w:rPr>
          <w:lang w:val="en-AU"/>
        </w:rPr>
        <w:t xml:space="preserve"> </w:t>
      </w:r>
      <w:r w:rsidR="00736D31">
        <w:rPr>
          <w:lang w:val="en-AU"/>
        </w:rPr>
        <w:t xml:space="preserve">This is noteworthy as participants and support people have indicated that one of the aspects of </w:t>
      </w:r>
      <w:proofErr w:type="spellStart"/>
      <w:r w:rsidR="00736D31" w:rsidRPr="00833DEE">
        <w:rPr>
          <w:rStyle w:val="Emphasis"/>
        </w:rPr>
        <w:t>HeadtoHelp</w:t>
      </w:r>
      <w:proofErr w:type="spellEnd"/>
      <w:r w:rsidR="00736D31">
        <w:rPr>
          <w:lang w:val="en-AU"/>
        </w:rPr>
        <w:t xml:space="preserve"> that they value most highly is the immediacy of the service. </w:t>
      </w:r>
      <w:r w:rsidR="00D5448E" w:rsidRPr="006C3F6B">
        <w:rPr>
          <w:lang w:val="en-AU"/>
        </w:rPr>
        <w:t xml:space="preserve">There were no major differences seen in the mean wait time by IAR level of care. It is worth noting that </w:t>
      </w:r>
      <w:r w:rsidR="008A6B7A" w:rsidRPr="000D119D">
        <w:rPr>
          <w:lang w:val="en-AU"/>
        </w:rPr>
        <w:t xml:space="preserve">despite the increase since the Interim Evaluation Report, </w:t>
      </w:r>
      <w:r w:rsidR="00D5448E" w:rsidRPr="006C3F6B">
        <w:rPr>
          <w:lang w:val="en-AU"/>
        </w:rPr>
        <w:t xml:space="preserve">these wait times </w:t>
      </w:r>
      <w:r w:rsidR="008A6B7A" w:rsidRPr="000D119D">
        <w:rPr>
          <w:lang w:val="en-AU"/>
        </w:rPr>
        <w:t>remain</w:t>
      </w:r>
      <w:r w:rsidR="008A6B7A" w:rsidRPr="006C3F6B">
        <w:rPr>
          <w:lang w:val="en-AU"/>
        </w:rPr>
        <w:t xml:space="preserve"> </w:t>
      </w:r>
      <w:r w:rsidR="00D5448E" w:rsidRPr="006C3F6B">
        <w:rPr>
          <w:lang w:val="en-AU"/>
        </w:rPr>
        <w:t>considerably lower than anecdotally reported elsewhere in the sector.</w:t>
      </w:r>
      <w:r w:rsidR="00D5448E" w:rsidRPr="006C3F6B">
        <w:rPr>
          <w:rStyle w:val="FootnoteReference"/>
          <w:lang w:val="en-AU"/>
        </w:rPr>
        <w:footnoteReference w:id="50"/>
      </w:r>
    </w:p>
    <w:p w14:paraId="10856171" w14:textId="4CA74B39" w:rsidR="00C92381" w:rsidRPr="000D119D" w:rsidRDefault="00D5448E" w:rsidP="00D5448E">
      <w:pPr>
        <w:rPr>
          <w:highlight w:val="cyan"/>
          <w:lang w:val="en-AU"/>
        </w:rPr>
      </w:pPr>
      <w:r w:rsidRPr="000D119D">
        <w:rPr>
          <w:lang w:val="en-AU"/>
        </w:rPr>
        <w:t xml:space="preserve">Average waiting time between referral to a core service (which does not include assessment or care coordination) was approximately </w:t>
      </w:r>
      <w:r w:rsidR="00955D14" w:rsidRPr="000D119D">
        <w:rPr>
          <w:lang w:val="en-AU"/>
        </w:rPr>
        <w:t>20 days</w:t>
      </w:r>
      <w:r w:rsidR="00F729CE" w:rsidRPr="000D119D">
        <w:rPr>
          <w:lang w:val="en-AU"/>
        </w:rPr>
        <w:t xml:space="preserve"> (up from an average of 17 days from the </w:t>
      </w:r>
      <w:r w:rsidR="008A6B7A" w:rsidRPr="000D119D">
        <w:rPr>
          <w:lang w:val="en-AU"/>
        </w:rPr>
        <w:t>I</w:t>
      </w:r>
      <w:r w:rsidR="00F729CE" w:rsidRPr="000D119D">
        <w:rPr>
          <w:lang w:val="en-AU"/>
        </w:rPr>
        <w:t xml:space="preserve">nterim </w:t>
      </w:r>
      <w:r w:rsidR="008A6B7A" w:rsidRPr="000D119D">
        <w:rPr>
          <w:lang w:val="en-AU"/>
        </w:rPr>
        <w:t>Evaluation Report</w:t>
      </w:r>
      <w:r w:rsidR="00F729CE" w:rsidRPr="000D119D">
        <w:rPr>
          <w:lang w:val="en-AU"/>
        </w:rPr>
        <w:t>)</w:t>
      </w:r>
      <w:r w:rsidR="00955D14" w:rsidRPr="000D119D">
        <w:rPr>
          <w:lang w:val="en-AU"/>
        </w:rPr>
        <w:t>.</w:t>
      </w:r>
      <w:r w:rsidRPr="000D119D">
        <w:rPr>
          <w:lang w:val="en-AU"/>
        </w:rPr>
        <w:t xml:space="preserve"> </w:t>
      </w:r>
    </w:p>
    <w:p w14:paraId="3ED71B8E" w14:textId="69A4CC17" w:rsidR="00046BDC" w:rsidRPr="000D119D" w:rsidRDefault="00046BDC" w:rsidP="00D5448E">
      <w:pPr>
        <w:rPr>
          <w:highlight w:val="cyan"/>
          <w:lang w:val="en-AU"/>
        </w:rPr>
      </w:pPr>
      <w:r w:rsidRPr="006C3F6B">
        <w:rPr>
          <w:lang w:val="en-AU"/>
        </w:rPr>
        <w:t xml:space="preserve">All PHNs, except </w:t>
      </w:r>
      <w:r w:rsidR="00160D51" w:rsidRPr="000D119D">
        <w:rPr>
          <w:lang w:val="en-AU"/>
        </w:rPr>
        <w:t>SEMPHN</w:t>
      </w:r>
      <w:r w:rsidRPr="006C3F6B">
        <w:rPr>
          <w:lang w:val="en-AU"/>
        </w:rPr>
        <w:t xml:space="preserve">, had average waiting times in the ranges of 17 days to 26 days. </w:t>
      </w:r>
      <w:r w:rsidR="00130647" w:rsidRPr="006C3F6B">
        <w:rPr>
          <w:lang w:val="en-AU"/>
        </w:rPr>
        <w:t>These PHNs generally had rising average waiting times from September 2020 to April 2021 before stabilising between 20</w:t>
      </w:r>
      <w:r w:rsidR="00225A5E">
        <w:rPr>
          <w:lang w:val="en-AU"/>
        </w:rPr>
        <w:t xml:space="preserve"> to </w:t>
      </w:r>
      <w:r w:rsidR="00130647" w:rsidRPr="006C3F6B">
        <w:rPr>
          <w:lang w:val="en-AU"/>
        </w:rPr>
        <w:t xml:space="preserve">30 days from April 2021 to December 2021. On the other hand, </w:t>
      </w:r>
      <w:r w:rsidR="00160D51" w:rsidRPr="000D119D">
        <w:rPr>
          <w:lang w:val="en-AU"/>
        </w:rPr>
        <w:t>SEMPHN</w:t>
      </w:r>
      <w:r w:rsidR="00C52B64" w:rsidRPr="006C3F6B">
        <w:rPr>
          <w:lang w:val="en-AU"/>
        </w:rPr>
        <w:t xml:space="preserve"> </w:t>
      </w:r>
      <w:r w:rsidR="00130647" w:rsidRPr="006C3F6B">
        <w:rPr>
          <w:lang w:val="en-AU"/>
        </w:rPr>
        <w:t xml:space="preserve">had an average waiting time of </w:t>
      </w:r>
      <w:r w:rsidR="00225A5E">
        <w:rPr>
          <w:lang w:val="en-AU"/>
        </w:rPr>
        <w:t>ten</w:t>
      </w:r>
      <w:r w:rsidR="00130647" w:rsidRPr="006C3F6B">
        <w:rPr>
          <w:lang w:val="en-AU"/>
        </w:rPr>
        <w:t xml:space="preserve"> days </w:t>
      </w:r>
      <w:r w:rsidR="00C52B64" w:rsidRPr="006C3F6B">
        <w:rPr>
          <w:lang w:val="en-AU"/>
        </w:rPr>
        <w:t xml:space="preserve">and maintained an average waiting time below </w:t>
      </w:r>
      <w:r w:rsidR="00920974">
        <w:rPr>
          <w:lang w:val="en-AU"/>
        </w:rPr>
        <w:t>ten</w:t>
      </w:r>
      <w:r w:rsidR="00C52B64" w:rsidRPr="006C3F6B">
        <w:rPr>
          <w:lang w:val="en-AU"/>
        </w:rPr>
        <w:t xml:space="preserve"> days from February 2021 onwards.</w:t>
      </w:r>
      <w:r w:rsidR="00C52B64" w:rsidRPr="000D119D">
        <w:rPr>
          <w:highlight w:val="cyan"/>
          <w:lang w:val="en-AU"/>
        </w:rPr>
        <w:t xml:space="preserve"> </w:t>
      </w:r>
    </w:p>
    <w:p w14:paraId="2DE8C4A8" w14:textId="100F3CEE" w:rsidR="00E6171F" w:rsidRPr="000D119D" w:rsidRDefault="00E6171F" w:rsidP="00E6171F">
      <w:pPr>
        <w:pStyle w:val="Caption"/>
      </w:pPr>
      <w:bookmarkStart w:id="78" w:name="_Ref97046140"/>
      <w:r w:rsidRPr="000D119D">
        <w:lastRenderedPageBreak/>
        <w:t xml:space="preserve">Figure </w:t>
      </w:r>
      <w:r w:rsidR="00C90990">
        <w:fldChar w:fldCharType="begin"/>
      </w:r>
      <w:r w:rsidR="00C90990">
        <w:instrText xml:space="preserve"> SEQ Figure \* ARABIC </w:instrText>
      </w:r>
      <w:r w:rsidR="00C90990">
        <w:fldChar w:fldCharType="separate"/>
      </w:r>
      <w:r w:rsidR="00562174">
        <w:rPr>
          <w:noProof/>
        </w:rPr>
        <w:t>26</w:t>
      </w:r>
      <w:r w:rsidR="00C90990">
        <w:fldChar w:fldCharType="end"/>
      </w:r>
      <w:bookmarkEnd w:id="78"/>
      <w:r w:rsidRPr="000D119D">
        <w:t xml:space="preserve"> | Mean number of days between referral and first service contact by PHN</w:t>
      </w:r>
    </w:p>
    <w:p w14:paraId="4227AF36" w14:textId="45759501" w:rsidR="00E31D79" w:rsidRPr="000D119D" w:rsidRDefault="00800E06" w:rsidP="00D5448E">
      <w:pPr>
        <w:rPr>
          <w:lang w:val="en-AU"/>
        </w:rPr>
      </w:pPr>
      <w:r w:rsidRPr="00800E06">
        <w:rPr>
          <w:noProof/>
        </w:rPr>
        <w:drawing>
          <wp:inline distT="0" distB="0" distL="0" distR="0" wp14:anchorId="4454A6F9" wp14:editId="6E8157D1">
            <wp:extent cx="5670550" cy="3977640"/>
            <wp:effectExtent l="0" t="0" r="6350" b="3810"/>
            <wp:docPr id="28196" name="Picture 28196" descr="Figure 26 is a line graph showing the mean number of days between referral and first service contact by PHN between September 2020 and February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6" name="Picture 28196" descr="Figure 26 is a line graph showing the mean number of days between referral and first service contact by PHN between September 2020 and February 2022.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70550" cy="3977640"/>
                    </a:xfrm>
                    <a:prstGeom prst="rect">
                      <a:avLst/>
                    </a:prstGeom>
                    <a:noFill/>
                    <a:ln>
                      <a:noFill/>
                    </a:ln>
                  </pic:spPr>
                </pic:pic>
              </a:graphicData>
            </a:graphic>
          </wp:inline>
        </w:drawing>
      </w:r>
    </w:p>
    <w:p w14:paraId="009D6758" w14:textId="00A537FC" w:rsidR="0038677A" w:rsidRPr="000D119D" w:rsidRDefault="0038677A" w:rsidP="00BE0860">
      <w:pPr>
        <w:pStyle w:val="Heading4"/>
        <w:rPr>
          <w:strike/>
        </w:rPr>
      </w:pPr>
      <w:r w:rsidRPr="000D119D">
        <w:t xml:space="preserve">Some service partners </w:t>
      </w:r>
      <w:r w:rsidR="00124D85" w:rsidRPr="000D119D">
        <w:t>were</w:t>
      </w:r>
      <w:r w:rsidRPr="000D119D">
        <w:t xml:space="preserve"> hesitant to refer to </w:t>
      </w:r>
      <w:proofErr w:type="spellStart"/>
      <w:r w:rsidRPr="000D119D">
        <w:rPr>
          <w:i/>
          <w:iCs/>
        </w:rPr>
        <w:t>HeadtoHelp</w:t>
      </w:r>
      <w:proofErr w:type="spellEnd"/>
      <w:r w:rsidRPr="000D119D">
        <w:rPr>
          <w:i/>
          <w:iCs/>
        </w:rPr>
        <w:t xml:space="preserve"> </w:t>
      </w:r>
    </w:p>
    <w:p w14:paraId="31924C0C" w14:textId="788EEFBC" w:rsidR="0038677A" w:rsidRPr="000D119D" w:rsidRDefault="0038677A" w:rsidP="0038677A">
      <w:pPr>
        <w:rPr>
          <w:lang w:val="en-AU"/>
        </w:rPr>
      </w:pPr>
      <w:r w:rsidRPr="000D119D">
        <w:rPr>
          <w:lang w:val="en-AU"/>
        </w:rPr>
        <w:t>S</w:t>
      </w:r>
      <w:r w:rsidR="00803924" w:rsidRPr="000D119D">
        <w:rPr>
          <w:lang w:val="en-AU"/>
        </w:rPr>
        <w:t>ome s</w:t>
      </w:r>
      <w:r w:rsidRPr="000D119D">
        <w:rPr>
          <w:lang w:val="en-AU"/>
        </w:rPr>
        <w:t>ervice partners</w:t>
      </w:r>
      <w:r w:rsidR="00803924" w:rsidRPr="000D119D">
        <w:rPr>
          <w:lang w:val="en-AU"/>
        </w:rPr>
        <w:t>,</w:t>
      </w:r>
      <w:r w:rsidRPr="000D119D">
        <w:rPr>
          <w:lang w:val="en-AU"/>
        </w:rPr>
        <w:t xml:space="preserve"> including AMHSs, children and family services, and </w:t>
      </w:r>
      <w:r w:rsidR="00A121A4">
        <w:rPr>
          <w:lang w:val="en-AU"/>
        </w:rPr>
        <w:t>h</w:t>
      </w:r>
      <w:r w:rsidR="00A121A4" w:rsidRPr="000D119D">
        <w:rPr>
          <w:lang w:val="en-AU"/>
        </w:rPr>
        <w:t>eadspace</w:t>
      </w:r>
      <w:r w:rsidR="00803924" w:rsidRPr="000D119D">
        <w:rPr>
          <w:lang w:val="en-AU"/>
        </w:rPr>
        <w:t>,</w:t>
      </w:r>
      <w:r w:rsidRPr="000D119D">
        <w:rPr>
          <w:lang w:val="en-AU"/>
        </w:rPr>
        <w:t xml:space="preserve"> report feeling frustrated and fatigued from the rejection of seemingly appropriate referrals to </w:t>
      </w:r>
      <w:proofErr w:type="spellStart"/>
      <w:r w:rsidRPr="00833DEE">
        <w:rPr>
          <w:rStyle w:val="Emphasis"/>
        </w:rPr>
        <w:t>HeadtoHelp</w:t>
      </w:r>
      <w:proofErr w:type="spellEnd"/>
      <w:r w:rsidRPr="000D119D">
        <w:rPr>
          <w:i/>
          <w:iCs/>
          <w:lang w:val="en-AU"/>
        </w:rPr>
        <w:t xml:space="preserve"> </w:t>
      </w:r>
      <w:r w:rsidRPr="000D119D">
        <w:rPr>
          <w:lang w:val="en-AU"/>
        </w:rPr>
        <w:t>hubs in their local areas. Service partners report</w:t>
      </w:r>
      <w:r w:rsidRPr="000D119D" w:rsidDel="009C6695">
        <w:rPr>
          <w:lang w:val="en-AU"/>
        </w:rPr>
        <w:t xml:space="preserve"> </w:t>
      </w:r>
      <w:r w:rsidRPr="000D119D">
        <w:rPr>
          <w:lang w:val="en-AU"/>
        </w:rPr>
        <w:t xml:space="preserve">that they have referred participants or families who in their view, fit the broad risk profile of </w:t>
      </w:r>
      <w:proofErr w:type="spellStart"/>
      <w:r w:rsidRPr="00833DEE">
        <w:rPr>
          <w:rStyle w:val="Emphasis"/>
        </w:rPr>
        <w:t>HeadtoHelp</w:t>
      </w:r>
      <w:proofErr w:type="spellEnd"/>
      <w:r w:rsidRPr="000D119D">
        <w:rPr>
          <w:lang w:val="en-AU"/>
        </w:rPr>
        <w:t xml:space="preserve">, however find their local </w:t>
      </w:r>
      <w:proofErr w:type="spellStart"/>
      <w:r w:rsidRPr="00833DEE">
        <w:rPr>
          <w:rStyle w:val="Emphasis"/>
        </w:rPr>
        <w:t>HeadtoHelp</w:t>
      </w:r>
      <w:proofErr w:type="spellEnd"/>
      <w:r w:rsidRPr="000D119D">
        <w:rPr>
          <w:i/>
          <w:iCs/>
          <w:lang w:val="en-AU"/>
        </w:rPr>
        <w:t xml:space="preserve"> </w:t>
      </w:r>
      <w:r w:rsidRPr="000D119D">
        <w:rPr>
          <w:lang w:val="en-AU"/>
        </w:rPr>
        <w:t xml:space="preserve">hub is hesitant or unqualified to take the referral on. Service partners that primarily support children and youth, report this is a common experience for the cohort they service. This has greatly impacted service partners’ perceptions of the </w:t>
      </w:r>
      <w:proofErr w:type="spellStart"/>
      <w:r w:rsidRPr="00833DEE">
        <w:rPr>
          <w:rStyle w:val="Emphasis"/>
        </w:rPr>
        <w:t>HeadtoHelp</w:t>
      </w:r>
      <w:proofErr w:type="spellEnd"/>
      <w:r w:rsidRPr="000D119D">
        <w:rPr>
          <w:lang w:val="en-AU"/>
        </w:rPr>
        <w:t xml:space="preserve"> service and its perceived value as a front door, with some stating they are no longer comfortable referring their participants to </w:t>
      </w:r>
      <w:proofErr w:type="spellStart"/>
      <w:r w:rsidRPr="00833DEE">
        <w:rPr>
          <w:rStyle w:val="Emphasis"/>
        </w:rPr>
        <w:t>HeadtoHelp</w:t>
      </w:r>
      <w:proofErr w:type="spellEnd"/>
      <w:r w:rsidRPr="000D119D">
        <w:rPr>
          <w:lang w:val="en-AU"/>
        </w:rPr>
        <w:t>. This feedback is also consistent with feedback from hub staff, who have noted they have found it challenging to recruit staff or upskill staff with expertise</w:t>
      </w:r>
      <w:r w:rsidR="00803924" w:rsidRPr="000D119D">
        <w:rPr>
          <w:lang w:val="en-AU"/>
        </w:rPr>
        <w:t xml:space="preserve"> to adequately meet the needs of young people</w:t>
      </w:r>
      <w:r w:rsidRPr="000D119D">
        <w:rPr>
          <w:lang w:val="en-AU"/>
        </w:rPr>
        <w:t xml:space="preserve">. </w:t>
      </w:r>
    </w:p>
    <w:p w14:paraId="547C4139" w14:textId="7833B9F9" w:rsidR="0038677A" w:rsidRPr="000D119D" w:rsidRDefault="0038677A" w:rsidP="0038677A">
      <w:pPr>
        <w:rPr>
          <w:lang w:val="en-AU"/>
        </w:rPr>
      </w:pPr>
      <w:r w:rsidRPr="000D119D">
        <w:rPr>
          <w:lang w:val="en-AU"/>
        </w:rPr>
        <w:t xml:space="preserve">This hesitancy from service partners highlights the importance of </w:t>
      </w:r>
      <w:proofErr w:type="spellStart"/>
      <w:r w:rsidRPr="00833DEE">
        <w:rPr>
          <w:rStyle w:val="Emphasis"/>
        </w:rPr>
        <w:t>HeadtoHelp</w:t>
      </w:r>
      <w:proofErr w:type="spellEnd"/>
      <w:r w:rsidRPr="000D119D">
        <w:rPr>
          <w:i/>
          <w:iCs/>
          <w:lang w:val="en-AU"/>
        </w:rPr>
        <w:t xml:space="preserve"> </w:t>
      </w:r>
      <w:r w:rsidRPr="000D119D">
        <w:rPr>
          <w:lang w:val="en-AU"/>
        </w:rPr>
        <w:t xml:space="preserve">(and any mental health initiative) clearly articulating the purpose of the service and level of risk the service </w:t>
      </w:r>
      <w:proofErr w:type="gramStart"/>
      <w:r w:rsidRPr="000D119D">
        <w:rPr>
          <w:lang w:val="en-AU"/>
        </w:rPr>
        <w:t>has the ability to</w:t>
      </w:r>
      <w:proofErr w:type="gramEnd"/>
      <w:r w:rsidRPr="000D119D">
        <w:rPr>
          <w:lang w:val="en-AU"/>
        </w:rPr>
        <w:t xml:space="preserve"> manage, including the capacity and capability of the service, to mitigate against fatigue from referrals being rejected.</w:t>
      </w:r>
      <w:r w:rsidR="002E6142">
        <w:rPr>
          <w:lang w:val="en-AU"/>
        </w:rPr>
        <w:t xml:space="preserve"> </w:t>
      </w:r>
      <w:r w:rsidR="00720293">
        <w:rPr>
          <w:lang w:val="en-AU"/>
        </w:rPr>
        <w:t xml:space="preserve">While the extent of this hesitancy varied across </w:t>
      </w:r>
      <w:r w:rsidR="00FE46D2">
        <w:rPr>
          <w:lang w:val="en-AU"/>
        </w:rPr>
        <w:t xml:space="preserve">partners and locations, it was a strong theme </w:t>
      </w:r>
      <w:r w:rsidR="00871870">
        <w:rPr>
          <w:lang w:val="en-AU"/>
        </w:rPr>
        <w:t>in the consultations</w:t>
      </w:r>
      <w:r w:rsidR="00481AE7">
        <w:rPr>
          <w:lang w:val="en-AU"/>
        </w:rPr>
        <w:t xml:space="preserve">, and requires </w:t>
      </w:r>
      <w:r w:rsidR="0042145E">
        <w:rPr>
          <w:lang w:val="en-AU"/>
        </w:rPr>
        <w:t>focused effort to overcome</w:t>
      </w:r>
      <w:r w:rsidR="00871870">
        <w:rPr>
          <w:lang w:val="en-AU"/>
        </w:rPr>
        <w:t>.</w:t>
      </w:r>
    </w:p>
    <w:p w14:paraId="70D662B8" w14:textId="399249BF" w:rsidR="00872836" w:rsidRPr="000D119D" w:rsidRDefault="00872836" w:rsidP="00872836">
      <w:pPr>
        <w:pStyle w:val="Heading3"/>
      </w:pPr>
      <w:bookmarkStart w:id="79" w:name="_Ref97009260"/>
      <w:bookmarkStart w:id="80" w:name="_Ref97009264"/>
      <w:bookmarkStart w:id="81" w:name="_Toc99650347"/>
      <w:r w:rsidRPr="000D119D">
        <w:t>Alignment of delivery with intended design</w:t>
      </w:r>
      <w:bookmarkEnd w:id="79"/>
      <w:bookmarkEnd w:id="80"/>
      <w:bookmarkEnd w:id="81"/>
    </w:p>
    <w:p w14:paraId="2AF3B918" w14:textId="5AD9CE90" w:rsidR="003B59D3" w:rsidRPr="000D119D" w:rsidRDefault="00244176" w:rsidP="00BE0860">
      <w:pPr>
        <w:pStyle w:val="Heading4"/>
      </w:pPr>
      <w:r w:rsidRPr="000D119D">
        <w:t>Anecdotally, t</w:t>
      </w:r>
      <w:r w:rsidR="003B59D3" w:rsidRPr="000D119D">
        <w:t xml:space="preserve">he average length of service is much longer than the model envisioned, where most </w:t>
      </w:r>
      <w:r w:rsidR="00F40845" w:rsidRPr="000D119D">
        <w:t>participants</w:t>
      </w:r>
      <w:r w:rsidR="003B59D3" w:rsidRPr="000D119D">
        <w:t xml:space="preserve"> continue to be serviced by the hub</w:t>
      </w:r>
    </w:p>
    <w:p w14:paraId="50AB468F" w14:textId="05DEA1FC" w:rsidR="00B5486A" w:rsidRPr="000D119D" w:rsidRDefault="008403B7" w:rsidP="001E3C55">
      <w:pPr>
        <w:rPr>
          <w:lang w:val="en-AU"/>
        </w:rPr>
      </w:pPr>
      <w:r w:rsidRPr="000D119D">
        <w:rPr>
          <w:lang w:val="en-AU"/>
        </w:rPr>
        <w:t>Hub staff report that t</w:t>
      </w:r>
      <w:r w:rsidR="00B5486A" w:rsidRPr="000D119D">
        <w:rPr>
          <w:lang w:val="en-AU"/>
        </w:rPr>
        <w:t xml:space="preserve">he </w:t>
      </w:r>
      <w:proofErr w:type="spellStart"/>
      <w:r w:rsidR="00B5486A" w:rsidRPr="00833DEE">
        <w:rPr>
          <w:rStyle w:val="Emphasis"/>
        </w:rPr>
        <w:t>HeadtoHelp</w:t>
      </w:r>
      <w:proofErr w:type="spellEnd"/>
      <w:r w:rsidR="00B5486A" w:rsidRPr="000D119D">
        <w:rPr>
          <w:lang w:val="en-AU"/>
        </w:rPr>
        <w:t xml:space="preserve"> funding model estimated</w:t>
      </w:r>
      <w:r w:rsidR="00ED4769" w:rsidRPr="000D119D">
        <w:rPr>
          <w:lang w:val="en-AU"/>
        </w:rPr>
        <w:t xml:space="preserve"> hubs would provide between</w:t>
      </w:r>
      <w:r w:rsidR="00B5486A" w:rsidRPr="000D119D">
        <w:rPr>
          <w:lang w:val="en-AU"/>
        </w:rPr>
        <w:t xml:space="preserve"> </w:t>
      </w:r>
      <w:r w:rsidR="00EA176A" w:rsidRPr="000D119D">
        <w:rPr>
          <w:lang w:val="en-AU"/>
        </w:rPr>
        <w:t>six</w:t>
      </w:r>
      <w:r w:rsidR="00B5486A" w:rsidRPr="000D119D">
        <w:rPr>
          <w:lang w:val="en-AU"/>
        </w:rPr>
        <w:t xml:space="preserve"> </w:t>
      </w:r>
      <w:r w:rsidR="00ED4769" w:rsidRPr="000D119D">
        <w:rPr>
          <w:lang w:val="en-AU"/>
        </w:rPr>
        <w:t>and</w:t>
      </w:r>
      <w:r w:rsidR="00B5486A" w:rsidRPr="000D119D">
        <w:rPr>
          <w:lang w:val="en-AU"/>
        </w:rPr>
        <w:t xml:space="preserve"> </w:t>
      </w:r>
      <w:r w:rsidR="00EA176A" w:rsidRPr="000D119D">
        <w:rPr>
          <w:lang w:val="en-AU"/>
        </w:rPr>
        <w:t>eight</w:t>
      </w:r>
      <w:r w:rsidR="00B5486A" w:rsidRPr="000D119D">
        <w:rPr>
          <w:lang w:val="en-AU"/>
        </w:rPr>
        <w:t xml:space="preserve"> </w:t>
      </w:r>
      <w:r w:rsidR="00AA6209">
        <w:rPr>
          <w:lang w:val="en-AU"/>
        </w:rPr>
        <w:t>occasions of service</w:t>
      </w:r>
      <w:r w:rsidR="00B5486A" w:rsidRPr="000D119D">
        <w:rPr>
          <w:lang w:val="en-AU"/>
        </w:rPr>
        <w:t xml:space="preserve"> per </w:t>
      </w:r>
      <w:r w:rsidR="00F40845" w:rsidRPr="000D119D">
        <w:rPr>
          <w:lang w:val="en-AU"/>
        </w:rPr>
        <w:t>participant</w:t>
      </w:r>
      <w:r w:rsidR="00B5486A" w:rsidRPr="000D119D">
        <w:rPr>
          <w:lang w:val="en-AU"/>
        </w:rPr>
        <w:t>.</w:t>
      </w:r>
      <w:r w:rsidR="009C7FAA" w:rsidRPr="000D119D">
        <w:rPr>
          <w:lang w:val="en-AU"/>
        </w:rPr>
        <w:t xml:space="preserve"> </w:t>
      </w:r>
      <w:r w:rsidR="002B07B8" w:rsidRPr="000D119D">
        <w:rPr>
          <w:lang w:val="en-AU"/>
        </w:rPr>
        <w:t>Howeve</w:t>
      </w:r>
      <w:r w:rsidR="00D44943" w:rsidRPr="000D119D">
        <w:rPr>
          <w:lang w:val="en-AU"/>
        </w:rPr>
        <w:t>r,</w:t>
      </w:r>
      <w:r w:rsidR="00CE287B" w:rsidRPr="000D119D">
        <w:rPr>
          <w:lang w:val="en-AU"/>
        </w:rPr>
        <w:t xml:space="preserve"> staff report</w:t>
      </w:r>
      <w:r w:rsidR="00D44943" w:rsidRPr="000D119D">
        <w:rPr>
          <w:lang w:val="en-AU"/>
        </w:rPr>
        <w:t xml:space="preserve"> </w:t>
      </w:r>
      <w:r w:rsidR="0026032F" w:rsidRPr="000D119D">
        <w:rPr>
          <w:lang w:val="en-AU"/>
        </w:rPr>
        <w:t xml:space="preserve">the average length of care </w:t>
      </w:r>
      <w:r w:rsidR="00692F4D" w:rsidRPr="000D119D">
        <w:rPr>
          <w:lang w:val="en-AU"/>
        </w:rPr>
        <w:t xml:space="preserve">is much longer </w:t>
      </w:r>
      <w:r w:rsidR="00CB2B84" w:rsidRPr="000D119D">
        <w:rPr>
          <w:lang w:val="en-AU"/>
        </w:rPr>
        <w:t>than the model anticipated</w:t>
      </w:r>
      <w:r w:rsidR="00CE287B" w:rsidRPr="000D119D">
        <w:rPr>
          <w:lang w:val="en-AU"/>
        </w:rPr>
        <w:t xml:space="preserve">. </w:t>
      </w:r>
      <w:r w:rsidR="00093AA7" w:rsidRPr="000D119D">
        <w:rPr>
          <w:lang w:val="en-AU"/>
        </w:rPr>
        <w:t xml:space="preserve">Quantitative evidence on this point varies – see </w:t>
      </w:r>
      <w:r w:rsidR="00031821" w:rsidRPr="000D119D">
        <w:rPr>
          <w:lang w:val="en-AU"/>
        </w:rPr>
        <w:t>analysis of the PMHC-MDS data below</w:t>
      </w:r>
      <w:r w:rsidR="00093AA7" w:rsidRPr="000D119D">
        <w:rPr>
          <w:lang w:val="en-AU"/>
        </w:rPr>
        <w:t>.</w:t>
      </w:r>
    </w:p>
    <w:p w14:paraId="28158318" w14:textId="47259C17" w:rsidR="0003158A" w:rsidRPr="000D119D" w:rsidRDefault="00AA2B54" w:rsidP="001E3C55">
      <w:pPr>
        <w:rPr>
          <w:lang w:val="en-AU"/>
        </w:rPr>
      </w:pPr>
      <w:r w:rsidRPr="000D119D">
        <w:rPr>
          <w:lang w:val="en-AU"/>
        </w:rPr>
        <w:lastRenderedPageBreak/>
        <w:t>Hub staff report that t</w:t>
      </w:r>
      <w:r w:rsidR="00784CAE" w:rsidRPr="000D119D">
        <w:rPr>
          <w:lang w:val="en-AU"/>
        </w:rPr>
        <w:t xml:space="preserve">here are </w:t>
      </w:r>
      <w:r w:rsidRPr="000D119D">
        <w:rPr>
          <w:lang w:val="en-AU"/>
        </w:rPr>
        <w:t xml:space="preserve">likely </w:t>
      </w:r>
      <w:r w:rsidR="00784CAE" w:rsidRPr="000D119D">
        <w:rPr>
          <w:lang w:val="en-AU"/>
        </w:rPr>
        <w:t xml:space="preserve">a </w:t>
      </w:r>
      <w:r w:rsidR="00C7424D" w:rsidRPr="000D119D">
        <w:rPr>
          <w:lang w:val="en-AU"/>
        </w:rPr>
        <w:t xml:space="preserve">range </w:t>
      </w:r>
      <w:r w:rsidR="00784CAE" w:rsidRPr="000D119D">
        <w:rPr>
          <w:lang w:val="en-AU"/>
        </w:rPr>
        <w:t>of factors that have contributed to this:</w:t>
      </w:r>
    </w:p>
    <w:p w14:paraId="3E4EC220" w14:textId="6CEA42E0" w:rsidR="003B59D3" w:rsidRPr="000D119D" w:rsidRDefault="00FB4FC7" w:rsidP="00E457E2">
      <w:pPr>
        <w:pStyle w:val="ListBullet"/>
      </w:pPr>
      <w:r w:rsidRPr="000D119D">
        <w:rPr>
          <w:rFonts w:asciiTheme="majorHAnsi" w:hAnsiTheme="majorHAnsi" w:cstheme="majorHAnsi"/>
        </w:rPr>
        <w:t>Agreed definition of occasion of service.</w:t>
      </w:r>
      <w:r w:rsidRPr="000D119D">
        <w:t xml:space="preserve"> Many hubs report </w:t>
      </w:r>
      <w:r w:rsidR="0043031D" w:rsidRPr="000D119D">
        <w:t>they do not have a clear definition within their cont</w:t>
      </w:r>
      <w:r w:rsidR="00633B2C" w:rsidRPr="000D119D">
        <w:t>r</w:t>
      </w:r>
      <w:r w:rsidR="0043031D" w:rsidRPr="000D119D">
        <w:t xml:space="preserve">act of what contributes to an </w:t>
      </w:r>
      <w:r w:rsidR="005F1CD6" w:rsidRPr="000D119D">
        <w:t>‘</w:t>
      </w:r>
      <w:r w:rsidR="0043031D" w:rsidRPr="000D119D">
        <w:t>occasion of service</w:t>
      </w:r>
      <w:r w:rsidR="005F1CD6" w:rsidRPr="000D119D">
        <w:t>’</w:t>
      </w:r>
      <w:r w:rsidR="006C1A32" w:rsidRPr="000D119D">
        <w:t xml:space="preserve"> (i.e.</w:t>
      </w:r>
      <w:r w:rsidR="005F1CD6" w:rsidRPr="000D119D">
        <w:t>,</w:t>
      </w:r>
      <w:r w:rsidR="006C1A32" w:rsidRPr="000D119D">
        <w:t xml:space="preserve"> the type of service/interaction and length of time). There was often a </w:t>
      </w:r>
      <w:r w:rsidR="009531AC" w:rsidRPr="000D119D">
        <w:t>discrepancy between hubs, where some reported administrative tasks as an occasion of service and others did not.</w:t>
      </w:r>
      <w:r w:rsidR="009C0434" w:rsidRPr="000D119D">
        <w:t xml:space="preserve"> This is evident in the level of variability between hubs.</w:t>
      </w:r>
    </w:p>
    <w:p w14:paraId="38C644FE" w14:textId="1A64E2C1" w:rsidR="00CD64B3" w:rsidRPr="000D119D" w:rsidRDefault="00CD64B3" w:rsidP="00E457E2">
      <w:pPr>
        <w:pStyle w:val="ListBullet"/>
      </w:pPr>
      <w:r w:rsidRPr="000D119D">
        <w:rPr>
          <w:rFonts w:asciiTheme="majorHAnsi" w:hAnsiTheme="majorHAnsi" w:cstheme="majorHAnsi"/>
        </w:rPr>
        <w:t xml:space="preserve">Complexity of </w:t>
      </w:r>
      <w:proofErr w:type="spellStart"/>
      <w:r w:rsidR="00326865" w:rsidRPr="000D119D">
        <w:rPr>
          <w:rFonts w:asciiTheme="majorHAnsi" w:hAnsiTheme="majorHAnsi" w:cstheme="majorHAnsi"/>
          <w:i/>
          <w:iCs/>
        </w:rPr>
        <w:t>HeadtoHelp</w:t>
      </w:r>
      <w:proofErr w:type="spellEnd"/>
      <w:r w:rsidR="00326865" w:rsidRPr="000D119D">
        <w:rPr>
          <w:rFonts w:asciiTheme="majorHAnsi" w:hAnsiTheme="majorHAnsi" w:cstheme="majorHAnsi"/>
        </w:rPr>
        <w:t xml:space="preserve"> cohort.</w:t>
      </w:r>
      <w:r w:rsidR="00326865" w:rsidRPr="000D119D">
        <w:rPr>
          <w:b/>
          <w:bCs/>
        </w:rPr>
        <w:t xml:space="preserve"> </w:t>
      </w:r>
      <w:r w:rsidR="00326865" w:rsidRPr="000D119D">
        <w:t xml:space="preserve">As outlined earlier, most hubs reported that the presenting cohort to </w:t>
      </w:r>
      <w:proofErr w:type="spellStart"/>
      <w:r w:rsidR="00326865" w:rsidRPr="00833DEE">
        <w:rPr>
          <w:rStyle w:val="Emphasis"/>
        </w:rPr>
        <w:t>HeadtoHelp</w:t>
      </w:r>
      <w:proofErr w:type="spellEnd"/>
      <w:r w:rsidR="00326865" w:rsidRPr="000D119D">
        <w:rPr>
          <w:i/>
          <w:iCs/>
        </w:rPr>
        <w:t xml:space="preserve"> </w:t>
      </w:r>
      <w:r w:rsidR="00326865" w:rsidRPr="000D119D">
        <w:t>(i.e</w:t>
      </w:r>
      <w:r w:rsidR="005F1CD6" w:rsidRPr="000D119D">
        <w:t>.,</w:t>
      </w:r>
      <w:r w:rsidR="00326865" w:rsidRPr="000D119D">
        <w:t xml:space="preserve"> the ‘missing middle’)</w:t>
      </w:r>
      <w:r w:rsidR="00326865" w:rsidRPr="000D119D">
        <w:rPr>
          <w:i/>
          <w:iCs/>
        </w:rPr>
        <w:t xml:space="preserve"> </w:t>
      </w:r>
      <w:r w:rsidR="00326865" w:rsidRPr="000D119D">
        <w:t xml:space="preserve">is much more complex </w:t>
      </w:r>
      <w:r w:rsidR="00355BC9" w:rsidRPr="000D119D">
        <w:t xml:space="preserve">than originally envisioned. </w:t>
      </w:r>
      <w:r w:rsidR="00C7424D" w:rsidRPr="000D119D">
        <w:t>As a result, this has</w:t>
      </w:r>
      <w:r w:rsidR="00355BC9" w:rsidRPr="000D119D">
        <w:t xml:space="preserve"> often translat</w:t>
      </w:r>
      <w:r w:rsidR="00C7424D" w:rsidRPr="000D119D">
        <w:t>ed</w:t>
      </w:r>
      <w:r w:rsidR="00355BC9" w:rsidRPr="000D119D">
        <w:t xml:space="preserve"> into a greater or longer intervention to meet the</w:t>
      </w:r>
      <w:r w:rsidR="00C7424D" w:rsidRPr="000D119D">
        <w:t xml:space="preserve"> </w:t>
      </w:r>
      <w:r w:rsidR="00F40845" w:rsidRPr="000D119D">
        <w:t>participant</w:t>
      </w:r>
      <w:r w:rsidR="00355BC9" w:rsidRPr="000D119D">
        <w:t xml:space="preserve"> needs</w:t>
      </w:r>
      <w:r w:rsidR="00C7424D" w:rsidRPr="000D119D">
        <w:t>, whilst</w:t>
      </w:r>
      <w:r w:rsidR="0049157F" w:rsidRPr="000D119D">
        <w:t xml:space="preserve"> sometimes</w:t>
      </w:r>
      <w:r w:rsidR="00C7424D" w:rsidRPr="000D119D">
        <w:t xml:space="preserve"> awaiting referral to a</w:t>
      </w:r>
      <w:r w:rsidR="00DC6292" w:rsidRPr="000D119D">
        <w:t>nother service.</w:t>
      </w:r>
      <w:r w:rsidR="00671009">
        <w:t xml:space="preserve"> This was corroborated by participants who indicated that their needs could not be met in a short period of time.</w:t>
      </w:r>
    </w:p>
    <w:p w14:paraId="1DA68589" w14:textId="5A5A97A7" w:rsidR="004A38A9" w:rsidRPr="000D119D" w:rsidRDefault="00036A41" w:rsidP="00E457E2">
      <w:pPr>
        <w:pStyle w:val="ListBullet"/>
      </w:pPr>
      <w:r w:rsidRPr="000D119D">
        <w:rPr>
          <w:rFonts w:asciiTheme="majorHAnsi" w:hAnsiTheme="majorHAnsi" w:cstheme="majorHAnsi"/>
        </w:rPr>
        <w:t>Lack of</w:t>
      </w:r>
      <w:r w:rsidR="000B098E" w:rsidRPr="000D119D">
        <w:rPr>
          <w:rFonts w:asciiTheme="majorHAnsi" w:hAnsiTheme="majorHAnsi" w:cstheme="majorHAnsi"/>
        </w:rPr>
        <w:t xml:space="preserve"> senior clinicians who are comfortable to discharge </w:t>
      </w:r>
      <w:r w:rsidR="00F40845" w:rsidRPr="000D119D">
        <w:rPr>
          <w:rFonts w:asciiTheme="majorHAnsi" w:hAnsiTheme="majorHAnsi" w:cstheme="majorHAnsi"/>
        </w:rPr>
        <w:t>participants</w:t>
      </w:r>
      <w:r w:rsidR="000B098E" w:rsidRPr="000D119D">
        <w:rPr>
          <w:rFonts w:asciiTheme="majorHAnsi" w:hAnsiTheme="majorHAnsi" w:cstheme="majorHAnsi"/>
        </w:rPr>
        <w:t>.</w:t>
      </w:r>
      <w:r w:rsidR="000B098E" w:rsidRPr="000D119D">
        <w:rPr>
          <w:b/>
          <w:bCs/>
        </w:rPr>
        <w:t xml:space="preserve"> </w:t>
      </w:r>
      <w:r w:rsidR="0058068E" w:rsidRPr="000D119D">
        <w:t xml:space="preserve">Managing </w:t>
      </w:r>
      <w:r w:rsidR="00F40845" w:rsidRPr="000D119D">
        <w:t>participant</w:t>
      </w:r>
      <w:r w:rsidR="0058068E" w:rsidRPr="000D119D">
        <w:t xml:space="preserve"> throughput </w:t>
      </w:r>
      <w:r w:rsidR="00A90A36" w:rsidRPr="000D119D">
        <w:t xml:space="preserve">in the </w:t>
      </w:r>
      <w:proofErr w:type="spellStart"/>
      <w:r w:rsidR="00A90A36" w:rsidRPr="00833DEE">
        <w:rPr>
          <w:rStyle w:val="Emphasis"/>
        </w:rPr>
        <w:t>HeadtoHelp</w:t>
      </w:r>
      <w:proofErr w:type="spellEnd"/>
      <w:r w:rsidR="00A90A36" w:rsidRPr="000D119D">
        <w:rPr>
          <w:i/>
          <w:iCs/>
        </w:rPr>
        <w:t xml:space="preserve"> </w:t>
      </w:r>
      <w:r w:rsidR="00A90A36" w:rsidRPr="000D119D">
        <w:t xml:space="preserve">hubs continues to be a challenge for many hubs. </w:t>
      </w:r>
      <w:r w:rsidR="00BF7324" w:rsidRPr="000D119D">
        <w:t xml:space="preserve">This may be attributed to the level of experience hub staff bring, where </w:t>
      </w:r>
      <w:r w:rsidR="00517A5D" w:rsidRPr="000D119D">
        <w:t>inexperienced</w:t>
      </w:r>
      <w:r w:rsidR="00240C90" w:rsidRPr="000D119D">
        <w:t xml:space="preserve"> staff </w:t>
      </w:r>
      <w:r w:rsidR="00BF7324" w:rsidRPr="000D119D">
        <w:t xml:space="preserve">are </w:t>
      </w:r>
      <w:r w:rsidR="00240C90" w:rsidRPr="000D119D">
        <w:t>overly</w:t>
      </w:r>
      <w:r w:rsidR="00BF7324" w:rsidRPr="000D119D">
        <w:t xml:space="preserve"> concerned about discharging a </w:t>
      </w:r>
      <w:r w:rsidR="00F40845" w:rsidRPr="000D119D">
        <w:t>participant</w:t>
      </w:r>
      <w:r w:rsidR="00BF7324" w:rsidRPr="000D119D">
        <w:t xml:space="preserve"> at the risk of something going wrong</w:t>
      </w:r>
      <w:r w:rsidR="00240C90" w:rsidRPr="000D119D">
        <w:t xml:space="preserve">. Some hubs may also lack sufficient clinical guidance or reviews from senior clinicians which limits their ability to safely discharge </w:t>
      </w:r>
      <w:r w:rsidR="00F40845" w:rsidRPr="000D119D">
        <w:t>participants</w:t>
      </w:r>
      <w:r w:rsidR="00240C90" w:rsidRPr="000D119D">
        <w:t xml:space="preserve"> from the service in a timely way.</w:t>
      </w:r>
    </w:p>
    <w:p w14:paraId="5B080D14" w14:textId="145036EB" w:rsidR="003B59D3" w:rsidRPr="000D119D" w:rsidRDefault="003B59D3" w:rsidP="00E457E2">
      <w:pPr>
        <w:pStyle w:val="ListBullet"/>
      </w:pPr>
      <w:r w:rsidRPr="000D119D">
        <w:rPr>
          <w:rFonts w:asciiTheme="majorHAnsi" w:hAnsiTheme="majorHAnsi" w:cstheme="majorHAnsi"/>
        </w:rPr>
        <w:t xml:space="preserve">Capacity of other services to take on referrals from </w:t>
      </w:r>
      <w:proofErr w:type="spellStart"/>
      <w:r w:rsidRPr="000D119D">
        <w:rPr>
          <w:rFonts w:asciiTheme="majorHAnsi" w:hAnsiTheme="majorHAnsi" w:cstheme="majorHAnsi"/>
          <w:i/>
          <w:iCs/>
        </w:rPr>
        <w:t>HeadtoHelp</w:t>
      </w:r>
      <w:proofErr w:type="spellEnd"/>
      <w:r w:rsidRPr="000D119D">
        <w:rPr>
          <w:rFonts w:asciiTheme="majorHAnsi" w:hAnsiTheme="majorHAnsi" w:cstheme="majorHAnsi"/>
        </w:rPr>
        <w:t>.</w:t>
      </w:r>
      <w:r w:rsidR="000B4152" w:rsidRPr="000D119D">
        <w:rPr>
          <w:rFonts w:asciiTheme="majorHAnsi" w:hAnsiTheme="majorHAnsi" w:cstheme="majorHAnsi"/>
        </w:rPr>
        <w:t xml:space="preserve"> </w:t>
      </w:r>
      <w:r w:rsidR="00352E48" w:rsidRPr="000D119D">
        <w:t xml:space="preserve">Several hubs and service partners noted that the capacity of existing community and tertiary services </w:t>
      </w:r>
      <w:r w:rsidR="00183C8B" w:rsidRPr="000D119D">
        <w:t>was limited.</w:t>
      </w:r>
      <w:r w:rsidR="00DB34CD" w:rsidRPr="000D119D">
        <w:t xml:space="preserve"> This impacted the </w:t>
      </w:r>
      <w:r w:rsidR="005B5433" w:rsidRPr="000D119D">
        <w:t>hubs’</w:t>
      </w:r>
      <w:r w:rsidR="00DB34CD" w:rsidRPr="000D119D">
        <w:t xml:space="preserve"> ability to promptly refer </w:t>
      </w:r>
      <w:r w:rsidR="00F40845" w:rsidRPr="000D119D">
        <w:t>participants</w:t>
      </w:r>
      <w:r w:rsidR="00DB34CD" w:rsidRPr="000D119D">
        <w:t xml:space="preserve"> out of the hubs to receive either more appropriate or additional services. Many hub</w:t>
      </w:r>
      <w:r w:rsidR="009377F3" w:rsidRPr="000D119D">
        <w:t xml:space="preserve"> </w:t>
      </w:r>
      <w:proofErr w:type="spellStart"/>
      <w:r w:rsidR="009377F3" w:rsidRPr="000D119D">
        <w:t>managers</w:t>
      </w:r>
      <w:proofErr w:type="spellEnd"/>
      <w:r w:rsidR="009377F3" w:rsidRPr="000D119D">
        <w:t xml:space="preserve"> report that a lack of capacity </w:t>
      </w:r>
      <w:r w:rsidR="004266D6" w:rsidRPr="000D119D">
        <w:t>in other services has limited their ability to</w:t>
      </w:r>
      <w:r w:rsidR="006E3CDE" w:rsidRPr="000D119D">
        <w:t xml:space="preserve"> transition </w:t>
      </w:r>
      <w:r w:rsidR="00F40845" w:rsidRPr="000D119D">
        <w:t>participants</w:t>
      </w:r>
      <w:r w:rsidR="006E3CDE" w:rsidRPr="000D119D">
        <w:t xml:space="preserve"> </w:t>
      </w:r>
      <w:r w:rsidR="00243019" w:rsidRPr="000D119D">
        <w:t xml:space="preserve">out of the </w:t>
      </w:r>
      <w:proofErr w:type="spellStart"/>
      <w:r w:rsidR="00243019" w:rsidRPr="00833DEE">
        <w:rPr>
          <w:rStyle w:val="Emphasis"/>
        </w:rPr>
        <w:t>HeadtoHelp</w:t>
      </w:r>
      <w:proofErr w:type="spellEnd"/>
      <w:r w:rsidR="00243019" w:rsidRPr="000D119D">
        <w:rPr>
          <w:i/>
          <w:iCs/>
        </w:rPr>
        <w:t xml:space="preserve"> </w:t>
      </w:r>
      <w:r w:rsidR="00243019" w:rsidRPr="000D119D">
        <w:t>hub.</w:t>
      </w:r>
    </w:p>
    <w:p w14:paraId="5B88B37F" w14:textId="41AF9E7F" w:rsidR="004E3681" w:rsidRPr="000D119D" w:rsidRDefault="00355BC9" w:rsidP="001E3C55">
      <w:pPr>
        <w:rPr>
          <w:lang w:val="en-AU"/>
        </w:rPr>
      </w:pPr>
      <w:r w:rsidRPr="000D119D">
        <w:rPr>
          <w:lang w:val="en-AU"/>
        </w:rPr>
        <w:t>Many stakeholder</w:t>
      </w:r>
      <w:r w:rsidR="00B27F80" w:rsidRPr="000D119D">
        <w:rPr>
          <w:lang w:val="en-AU"/>
        </w:rPr>
        <w:t xml:space="preserve"> groups</w:t>
      </w:r>
      <w:r w:rsidRPr="000D119D">
        <w:rPr>
          <w:lang w:val="en-AU"/>
        </w:rPr>
        <w:t>, including hubs, PHNs</w:t>
      </w:r>
      <w:r w:rsidR="006A6180" w:rsidRPr="000D119D">
        <w:rPr>
          <w:lang w:val="en-AU"/>
        </w:rPr>
        <w:t xml:space="preserve"> and service partners</w:t>
      </w:r>
      <w:r w:rsidR="00D6299E" w:rsidRPr="000D119D">
        <w:rPr>
          <w:lang w:val="en-AU"/>
        </w:rPr>
        <w:t>,</w:t>
      </w:r>
      <w:r w:rsidR="006A6180" w:rsidRPr="000D119D">
        <w:rPr>
          <w:lang w:val="en-AU"/>
        </w:rPr>
        <w:t xml:space="preserve"> raised concern over the </w:t>
      </w:r>
      <w:r w:rsidR="00AC34FA" w:rsidRPr="000D119D">
        <w:rPr>
          <w:lang w:val="en-AU"/>
        </w:rPr>
        <w:t>impact o</w:t>
      </w:r>
      <w:r w:rsidR="00645D26" w:rsidRPr="000D119D">
        <w:rPr>
          <w:lang w:val="en-AU"/>
        </w:rPr>
        <w:t xml:space="preserve">f </w:t>
      </w:r>
      <w:r w:rsidR="00616872" w:rsidRPr="000D119D">
        <w:rPr>
          <w:lang w:val="en-AU"/>
        </w:rPr>
        <w:t>the lengthy</w:t>
      </w:r>
      <w:r w:rsidR="00645D26" w:rsidRPr="000D119D">
        <w:rPr>
          <w:lang w:val="en-AU"/>
        </w:rPr>
        <w:t xml:space="preserve"> hub</w:t>
      </w:r>
      <w:r w:rsidR="006A6180" w:rsidRPr="000D119D">
        <w:rPr>
          <w:lang w:val="en-AU"/>
        </w:rPr>
        <w:t xml:space="preserve"> service</w:t>
      </w:r>
      <w:r w:rsidR="00AC34FA" w:rsidRPr="000D119D">
        <w:rPr>
          <w:lang w:val="en-AU"/>
        </w:rPr>
        <w:t xml:space="preserve"> delivery</w:t>
      </w:r>
      <w:r w:rsidR="0049157F" w:rsidRPr="000D119D">
        <w:rPr>
          <w:lang w:val="en-AU"/>
        </w:rPr>
        <w:t>. There are major c</w:t>
      </w:r>
      <w:r w:rsidR="00CD64B3" w:rsidRPr="000D119D">
        <w:rPr>
          <w:lang w:val="en-AU"/>
        </w:rPr>
        <w:t xml:space="preserve">oncerns </w:t>
      </w:r>
      <w:r w:rsidR="0049157F" w:rsidRPr="000D119D">
        <w:rPr>
          <w:lang w:val="en-AU"/>
        </w:rPr>
        <w:t xml:space="preserve">that </w:t>
      </w:r>
      <w:r w:rsidR="00CD64B3" w:rsidRPr="000D119D">
        <w:rPr>
          <w:lang w:val="en-AU"/>
        </w:rPr>
        <w:t>the length of service</w:t>
      </w:r>
      <w:r w:rsidR="0049157F" w:rsidRPr="000D119D">
        <w:rPr>
          <w:lang w:val="en-AU"/>
        </w:rPr>
        <w:t xml:space="preserve"> is</w:t>
      </w:r>
      <w:r w:rsidR="00CD64B3" w:rsidRPr="000D119D">
        <w:rPr>
          <w:lang w:val="en-AU"/>
        </w:rPr>
        <w:t xml:space="preserve"> </w:t>
      </w:r>
      <w:r w:rsidR="00A35EB0" w:rsidRPr="000D119D">
        <w:rPr>
          <w:lang w:val="en-AU"/>
        </w:rPr>
        <w:t xml:space="preserve">leading </w:t>
      </w:r>
      <w:proofErr w:type="spellStart"/>
      <w:r w:rsidR="0049157F" w:rsidRPr="00833DEE">
        <w:rPr>
          <w:rStyle w:val="Emphasis"/>
        </w:rPr>
        <w:t>HeadtoHelp</w:t>
      </w:r>
      <w:proofErr w:type="spellEnd"/>
      <w:r w:rsidR="00CD64B3" w:rsidRPr="000D119D">
        <w:rPr>
          <w:lang w:val="en-AU"/>
        </w:rPr>
        <w:t xml:space="preserve"> </w:t>
      </w:r>
      <w:r w:rsidR="009C5775" w:rsidRPr="000D119D">
        <w:rPr>
          <w:lang w:val="en-AU"/>
        </w:rPr>
        <w:t>hubs</w:t>
      </w:r>
      <w:r w:rsidR="00CD64B3" w:rsidRPr="000D119D">
        <w:rPr>
          <w:lang w:val="en-AU"/>
        </w:rPr>
        <w:t xml:space="preserve"> to fill up quickly</w:t>
      </w:r>
      <w:r w:rsidR="00434CF2" w:rsidRPr="000D119D">
        <w:rPr>
          <w:lang w:val="en-AU"/>
        </w:rPr>
        <w:t xml:space="preserve"> and reach capacity, thus being</w:t>
      </w:r>
      <w:r w:rsidR="00CD64B3" w:rsidRPr="000D119D">
        <w:rPr>
          <w:lang w:val="en-AU"/>
        </w:rPr>
        <w:t xml:space="preserve"> </w:t>
      </w:r>
      <w:r w:rsidR="009834F9" w:rsidRPr="000D119D">
        <w:rPr>
          <w:lang w:val="en-AU"/>
        </w:rPr>
        <w:t>‘</w:t>
      </w:r>
      <w:r w:rsidR="00CD64B3" w:rsidRPr="000D119D">
        <w:rPr>
          <w:lang w:val="en-AU"/>
        </w:rPr>
        <w:t>just another service</w:t>
      </w:r>
      <w:r w:rsidR="009834F9" w:rsidRPr="000D119D">
        <w:rPr>
          <w:lang w:val="en-AU"/>
        </w:rPr>
        <w:t>’</w:t>
      </w:r>
      <w:r w:rsidR="00CD64B3" w:rsidRPr="000D119D">
        <w:rPr>
          <w:lang w:val="en-AU"/>
        </w:rPr>
        <w:t xml:space="preserve"> in the mental health service system</w:t>
      </w:r>
      <w:r w:rsidR="00645D26" w:rsidRPr="000D119D">
        <w:rPr>
          <w:lang w:val="en-AU"/>
        </w:rPr>
        <w:t>, rather than act as a front door to the system</w:t>
      </w:r>
      <w:r w:rsidR="009C5775" w:rsidRPr="000D119D">
        <w:rPr>
          <w:lang w:val="en-AU"/>
        </w:rPr>
        <w:t xml:space="preserve"> with throughput to other services</w:t>
      </w:r>
      <w:r w:rsidR="00645D26" w:rsidRPr="000D119D">
        <w:rPr>
          <w:lang w:val="en-AU"/>
        </w:rPr>
        <w:t>.</w:t>
      </w:r>
    </w:p>
    <w:p w14:paraId="0B381034" w14:textId="6696C1EE" w:rsidR="00123E79" w:rsidRPr="000D119D" w:rsidRDefault="00123E79" w:rsidP="00BE0860">
      <w:pPr>
        <w:pStyle w:val="Heading4"/>
        <w:rPr>
          <w:bCs/>
        </w:rPr>
      </w:pPr>
      <w:r w:rsidRPr="004B0526">
        <w:t>Length of episode care has increased overall</w:t>
      </w:r>
      <w:r w:rsidR="00093AD2" w:rsidRPr="004B0526">
        <w:t xml:space="preserve">, </w:t>
      </w:r>
      <w:r w:rsidR="00E10C34" w:rsidRPr="004B0526">
        <w:t xml:space="preserve">and rural </w:t>
      </w:r>
      <w:r w:rsidRPr="004B0526">
        <w:t>and regional PHNs tend to deliver shorter episodes of</w:t>
      </w:r>
      <w:r w:rsidRPr="000D119D">
        <w:rPr>
          <w:bCs/>
        </w:rPr>
        <w:t xml:space="preserve"> care </w:t>
      </w:r>
    </w:p>
    <w:p w14:paraId="04E6940F" w14:textId="56075E91" w:rsidR="00E04E84" w:rsidRPr="000D119D" w:rsidRDefault="00E04E84" w:rsidP="00BE0860">
      <w:pPr>
        <w:rPr>
          <w:lang w:val="en-AU"/>
        </w:rPr>
      </w:pPr>
      <w:r w:rsidRPr="000D119D">
        <w:rPr>
          <w:lang w:val="en-AU"/>
        </w:rPr>
        <w:t>The average number of days between first</w:t>
      </w:r>
      <w:r w:rsidR="007F2F94" w:rsidRPr="000D119D">
        <w:rPr>
          <w:rStyle w:val="FootnoteReference"/>
          <w:lang w:val="en-AU"/>
        </w:rPr>
        <w:footnoteReference w:id="51"/>
      </w:r>
      <w:r w:rsidRPr="000D119D">
        <w:rPr>
          <w:lang w:val="en-AU"/>
        </w:rPr>
        <w:t xml:space="preserve"> and last service contact (or episode length) for closed episodes of care was approximately </w:t>
      </w:r>
      <w:r w:rsidR="00647110" w:rsidRPr="000D119D">
        <w:rPr>
          <w:lang w:val="en-AU"/>
        </w:rPr>
        <w:t xml:space="preserve">70 </w:t>
      </w:r>
      <w:r w:rsidRPr="000D119D">
        <w:rPr>
          <w:lang w:val="en-AU"/>
        </w:rPr>
        <w:t>days</w:t>
      </w:r>
      <w:r w:rsidR="00623FA2">
        <w:rPr>
          <w:lang w:val="en-AU"/>
        </w:rPr>
        <w:t>,</w:t>
      </w:r>
      <w:r w:rsidR="00BC04F0" w:rsidRPr="000D119D">
        <w:rPr>
          <w:lang w:val="en-AU"/>
        </w:rPr>
        <w:t xml:space="preserve"> an increase from 46 days from the Interim Evaluation Report</w:t>
      </w:r>
      <w:r w:rsidRPr="000D119D">
        <w:rPr>
          <w:lang w:val="en-AU"/>
        </w:rPr>
        <w:t xml:space="preserve">. </w:t>
      </w:r>
      <w:r w:rsidR="00E10C34" w:rsidRPr="000D119D">
        <w:rPr>
          <w:lang w:val="en-AU"/>
        </w:rPr>
        <w:t>This i</w:t>
      </w:r>
      <w:r w:rsidR="00BC04F0" w:rsidRPr="000D119D">
        <w:rPr>
          <w:lang w:val="en-AU"/>
        </w:rPr>
        <w:t>ncreased episode length was observed across all PHNs</w:t>
      </w:r>
      <w:r w:rsidR="00623FA2">
        <w:rPr>
          <w:lang w:val="en-AU"/>
        </w:rPr>
        <w:t xml:space="preserve"> </w:t>
      </w:r>
      <w:r w:rsidR="00623FA2" w:rsidRPr="000D119D">
        <w:rPr>
          <w:lang w:val="en-AU"/>
        </w:rPr>
        <w:t>(</w:t>
      </w:r>
      <w:r w:rsidR="00623FA2">
        <w:rPr>
          <w:lang w:val="en-AU"/>
        </w:rPr>
        <w:fldChar w:fldCharType="begin"/>
      </w:r>
      <w:r w:rsidR="00623FA2">
        <w:rPr>
          <w:lang w:val="en-AU"/>
        </w:rPr>
        <w:instrText xml:space="preserve"> REF _Ref97058889 \h </w:instrText>
      </w:r>
      <w:r w:rsidR="00623FA2">
        <w:rPr>
          <w:lang w:val="en-AU"/>
        </w:rPr>
      </w:r>
      <w:r w:rsidR="00623FA2">
        <w:rPr>
          <w:lang w:val="en-AU"/>
        </w:rPr>
        <w:fldChar w:fldCharType="separate"/>
      </w:r>
      <w:r w:rsidR="00562174" w:rsidRPr="0088721B">
        <w:t xml:space="preserve">Figure </w:t>
      </w:r>
      <w:r w:rsidR="00562174">
        <w:rPr>
          <w:noProof/>
        </w:rPr>
        <w:t>28</w:t>
      </w:r>
      <w:r w:rsidR="00623FA2">
        <w:rPr>
          <w:lang w:val="en-AU"/>
        </w:rPr>
        <w:fldChar w:fldCharType="end"/>
      </w:r>
      <w:r w:rsidR="00623FA2" w:rsidRPr="000D119D">
        <w:rPr>
          <w:lang w:val="en-AU"/>
        </w:rPr>
        <w:t>)</w:t>
      </w:r>
      <w:r w:rsidR="00BC04F0" w:rsidRPr="000D119D">
        <w:rPr>
          <w:lang w:val="en-AU"/>
        </w:rPr>
        <w:t>.</w:t>
      </w:r>
      <w:r w:rsidRPr="000D119D">
        <w:rPr>
          <w:lang w:val="en-AU"/>
        </w:rPr>
        <w:t xml:space="preserve"> </w:t>
      </w:r>
      <w:r w:rsidR="00160D51" w:rsidRPr="000D119D">
        <w:rPr>
          <w:lang w:val="en-AU"/>
        </w:rPr>
        <w:t>GPHN</w:t>
      </w:r>
      <w:r w:rsidR="00934123" w:rsidRPr="000D119D">
        <w:rPr>
          <w:lang w:val="en-AU"/>
        </w:rPr>
        <w:t xml:space="preserve"> and </w:t>
      </w:r>
      <w:r w:rsidR="00160D51" w:rsidRPr="000D119D">
        <w:rPr>
          <w:lang w:val="en-AU"/>
        </w:rPr>
        <w:t>MPHN</w:t>
      </w:r>
      <w:r w:rsidRPr="000D119D">
        <w:rPr>
          <w:lang w:val="en-AU"/>
        </w:rPr>
        <w:t xml:space="preserve"> </w:t>
      </w:r>
      <w:r w:rsidR="00934123" w:rsidRPr="000D119D">
        <w:rPr>
          <w:lang w:val="en-AU"/>
        </w:rPr>
        <w:t>had</w:t>
      </w:r>
      <w:r w:rsidR="00093AD2" w:rsidRPr="000D119D">
        <w:rPr>
          <w:lang w:val="en-AU"/>
        </w:rPr>
        <w:t xml:space="preserve"> </w:t>
      </w:r>
      <w:r w:rsidRPr="000D119D">
        <w:rPr>
          <w:lang w:val="en-AU"/>
        </w:rPr>
        <w:t xml:space="preserve">the lowest mean episode length </w:t>
      </w:r>
      <w:r w:rsidR="00934123" w:rsidRPr="000D119D">
        <w:rPr>
          <w:lang w:val="en-AU"/>
        </w:rPr>
        <w:t>at approximately 57 days</w:t>
      </w:r>
      <w:r w:rsidR="00BC04F0" w:rsidRPr="000D119D">
        <w:rPr>
          <w:lang w:val="en-AU"/>
        </w:rPr>
        <w:t>,</w:t>
      </w:r>
      <w:r w:rsidR="00093AD2" w:rsidRPr="000D119D">
        <w:rPr>
          <w:lang w:val="en-AU"/>
        </w:rPr>
        <w:t xml:space="preserve"> </w:t>
      </w:r>
      <w:r w:rsidR="00934123" w:rsidRPr="000D119D">
        <w:rPr>
          <w:lang w:val="en-AU"/>
        </w:rPr>
        <w:t xml:space="preserve">with the other PHNs having mean episode </w:t>
      </w:r>
      <w:r w:rsidR="009E29F1" w:rsidRPr="000D119D">
        <w:rPr>
          <w:lang w:val="en-AU"/>
        </w:rPr>
        <w:t>lengths</w:t>
      </w:r>
      <w:r w:rsidR="00934123" w:rsidRPr="000D119D">
        <w:rPr>
          <w:lang w:val="en-AU"/>
        </w:rPr>
        <w:t xml:space="preserve"> of greater than 70 days. </w:t>
      </w:r>
      <w:r w:rsidR="00160D51" w:rsidRPr="000D119D">
        <w:rPr>
          <w:lang w:val="en-AU"/>
        </w:rPr>
        <w:t>SEMPHN</w:t>
      </w:r>
      <w:r w:rsidRPr="000D119D">
        <w:rPr>
          <w:lang w:val="en-AU"/>
        </w:rPr>
        <w:t xml:space="preserve"> had the highest mean episode length </w:t>
      </w:r>
      <w:r w:rsidR="00934123" w:rsidRPr="000D119D">
        <w:rPr>
          <w:lang w:val="en-AU"/>
        </w:rPr>
        <w:t xml:space="preserve">at </w:t>
      </w:r>
      <w:r w:rsidR="00800FA9" w:rsidRPr="000D119D">
        <w:rPr>
          <w:lang w:val="en-AU"/>
        </w:rPr>
        <w:t>94</w:t>
      </w:r>
      <w:r w:rsidRPr="000D119D">
        <w:rPr>
          <w:lang w:val="en-AU"/>
        </w:rPr>
        <w:t xml:space="preserve"> days</w:t>
      </w:r>
      <w:r w:rsidR="00093AD2" w:rsidRPr="000D119D">
        <w:rPr>
          <w:lang w:val="en-AU"/>
        </w:rPr>
        <w:t>.</w:t>
      </w:r>
      <w:r w:rsidRPr="000D119D">
        <w:rPr>
          <w:lang w:val="en-AU"/>
        </w:rPr>
        <w:t xml:space="preserve"> Reduced episode lengths at </w:t>
      </w:r>
      <w:r w:rsidR="00160D51" w:rsidRPr="000D119D">
        <w:rPr>
          <w:lang w:val="en-AU"/>
        </w:rPr>
        <w:t>MPHN</w:t>
      </w:r>
      <w:r w:rsidRPr="000D119D">
        <w:rPr>
          <w:lang w:val="en-AU"/>
        </w:rPr>
        <w:t xml:space="preserve"> reflected qualitative feedback that demand was exceeding capacity and there was a need to adhere to a fixed number of sessions.</w:t>
      </w:r>
    </w:p>
    <w:p w14:paraId="1CCABC19" w14:textId="7312E0C3" w:rsidR="00E04E84" w:rsidRDefault="00E04E84" w:rsidP="00BE0860">
      <w:pPr>
        <w:rPr>
          <w:lang w:val="en-AU"/>
        </w:rPr>
      </w:pPr>
      <w:r w:rsidRPr="000D119D">
        <w:rPr>
          <w:lang w:val="en-AU"/>
        </w:rPr>
        <w:t xml:space="preserve">Based on closed episodes only, the mean number of service contacts for participants is approximately </w:t>
      </w:r>
      <w:r w:rsidR="00790E5B" w:rsidRPr="000D119D">
        <w:rPr>
          <w:lang w:val="en-AU"/>
        </w:rPr>
        <w:t>7.4</w:t>
      </w:r>
      <w:r w:rsidR="00123E79" w:rsidRPr="000D119D">
        <w:rPr>
          <w:lang w:val="en-AU"/>
        </w:rPr>
        <w:t>, an increase from 5.6 from the Interim Evaluation Report</w:t>
      </w:r>
      <w:r w:rsidR="00093AD2" w:rsidRPr="000D119D">
        <w:rPr>
          <w:lang w:val="en-AU"/>
        </w:rPr>
        <w:t>.</w:t>
      </w:r>
      <w:r w:rsidRPr="000D119D">
        <w:rPr>
          <w:lang w:val="en-AU"/>
        </w:rPr>
        <w:t xml:space="preserve"> </w:t>
      </w:r>
      <w:r w:rsidR="00160D51" w:rsidRPr="000D119D">
        <w:rPr>
          <w:lang w:val="en-AU"/>
        </w:rPr>
        <w:t>GPHN</w:t>
      </w:r>
      <w:r w:rsidRPr="000D119D">
        <w:rPr>
          <w:lang w:val="en-AU"/>
        </w:rPr>
        <w:t xml:space="preserve"> </w:t>
      </w:r>
      <w:r w:rsidR="00790E5B" w:rsidRPr="000D119D">
        <w:rPr>
          <w:lang w:val="en-AU"/>
        </w:rPr>
        <w:t>had</w:t>
      </w:r>
      <w:r w:rsidRPr="000D119D">
        <w:rPr>
          <w:lang w:val="en-AU"/>
        </w:rPr>
        <w:t xml:space="preserve"> the lowest mean number of service contacts per participant</w:t>
      </w:r>
      <w:r w:rsidR="00093AD2" w:rsidRPr="000D119D">
        <w:rPr>
          <w:lang w:val="en-AU"/>
        </w:rPr>
        <w:t xml:space="preserve"> </w:t>
      </w:r>
      <w:r w:rsidR="00790E5B" w:rsidRPr="000D119D">
        <w:rPr>
          <w:lang w:val="en-AU"/>
        </w:rPr>
        <w:t>at 4.5</w:t>
      </w:r>
      <w:r w:rsidRPr="000D119D">
        <w:rPr>
          <w:lang w:val="en-AU"/>
        </w:rPr>
        <w:t xml:space="preserve">, while </w:t>
      </w:r>
      <w:r w:rsidR="00160D51" w:rsidRPr="000D119D">
        <w:rPr>
          <w:lang w:val="en-AU"/>
        </w:rPr>
        <w:t>WVPHN</w:t>
      </w:r>
      <w:r w:rsidRPr="000D119D">
        <w:rPr>
          <w:lang w:val="en-AU"/>
        </w:rPr>
        <w:t xml:space="preserve"> has the highest mean number of service contacts per participant </w:t>
      </w:r>
      <w:r w:rsidR="00E03FE0" w:rsidRPr="000D119D">
        <w:rPr>
          <w:lang w:val="en-AU"/>
        </w:rPr>
        <w:t>with 13.</w:t>
      </w:r>
      <w:r w:rsidRPr="000D119D">
        <w:rPr>
          <w:lang w:val="en-AU"/>
        </w:rPr>
        <w:t xml:space="preserve"> </w:t>
      </w:r>
      <w:r w:rsidR="005070EE">
        <w:rPr>
          <w:lang w:val="en-AU"/>
        </w:rPr>
        <w:t xml:space="preserve">Interesting, </w:t>
      </w:r>
      <w:r w:rsidR="00537760">
        <w:rPr>
          <w:lang w:val="en-AU"/>
        </w:rPr>
        <w:t>four</w:t>
      </w:r>
      <w:r w:rsidR="00197BE0">
        <w:rPr>
          <w:lang w:val="en-AU"/>
        </w:rPr>
        <w:t xml:space="preserve"> of the </w:t>
      </w:r>
      <w:r w:rsidR="00537760">
        <w:rPr>
          <w:lang w:val="en-AU"/>
        </w:rPr>
        <w:t>six</w:t>
      </w:r>
      <w:r w:rsidR="0028319A">
        <w:rPr>
          <w:lang w:val="en-AU"/>
        </w:rPr>
        <w:t xml:space="preserve"> </w:t>
      </w:r>
      <w:r w:rsidR="00197BE0">
        <w:rPr>
          <w:lang w:val="en-AU"/>
        </w:rPr>
        <w:t xml:space="preserve">PHNs were able to keep mean number of service contacts within the </w:t>
      </w:r>
      <w:r w:rsidR="00772FB8">
        <w:rPr>
          <w:lang w:val="en-AU"/>
        </w:rPr>
        <w:t xml:space="preserve">anticipated range of </w:t>
      </w:r>
      <w:r w:rsidR="00537760">
        <w:rPr>
          <w:lang w:val="en-AU"/>
        </w:rPr>
        <w:t>six-to-eight</w:t>
      </w:r>
      <w:r w:rsidR="0028319A">
        <w:rPr>
          <w:lang w:val="en-AU"/>
        </w:rPr>
        <w:t>.</w:t>
      </w:r>
      <w:r w:rsidR="005070EE">
        <w:rPr>
          <w:lang w:val="en-AU"/>
        </w:rPr>
        <w:t xml:space="preserve"> </w:t>
      </w:r>
      <w:r w:rsidR="00160D51" w:rsidRPr="000D119D">
        <w:rPr>
          <w:lang w:val="en-AU"/>
        </w:rPr>
        <w:t>WVPHN</w:t>
      </w:r>
      <w:r w:rsidRPr="000D119D">
        <w:rPr>
          <w:lang w:val="en-AU"/>
        </w:rPr>
        <w:t>’s high number of service contacts per participant may be in part explained by the fact that this PHN has the second highest mean K10 score on entry</w:t>
      </w:r>
      <w:r w:rsidR="0082125E" w:rsidRPr="000D119D">
        <w:rPr>
          <w:lang w:val="en-AU"/>
        </w:rPr>
        <w:t xml:space="preserve"> (33.4)</w:t>
      </w:r>
      <w:r w:rsidRPr="000D119D">
        <w:rPr>
          <w:lang w:val="en-AU"/>
        </w:rPr>
        <w:t xml:space="preserve">, suggesting most participants have very high psychological distress and therefore require more care. However, this relationship does not hold for </w:t>
      </w:r>
      <w:r w:rsidR="00160D51" w:rsidRPr="000D119D">
        <w:rPr>
          <w:lang w:val="en-AU"/>
        </w:rPr>
        <w:t>GPHN</w:t>
      </w:r>
      <w:r w:rsidRPr="000D119D">
        <w:rPr>
          <w:lang w:val="en-AU"/>
        </w:rPr>
        <w:t>, which had the highest mean K10 score on entry</w:t>
      </w:r>
      <w:r w:rsidR="0082125E" w:rsidRPr="000D119D">
        <w:rPr>
          <w:lang w:val="en-AU"/>
        </w:rPr>
        <w:t xml:space="preserve"> (33.6)</w:t>
      </w:r>
      <w:r w:rsidRPr="000D119D">
        <w:rPr>
          <w:lang w:val="en-AU"/>
        </w:rPr>
        <w:t>.</w:t>
      </w:r>
    </w:p>
    <w:p w14:paraId="289ECAD9" w14:textId="77777777" w:rsidR="00E04E84" w:rsidRPr="005E25D2" w:rsidRDefault="00E04E84" w:rsidP="00BE0860">
      <w:pPr>
        <w:pStyle w:val="Heading5"/>
        <w:rPr>
          <w:rFonts w:asciiTheme="majorHAnsi" w:hAnsiTheme="majorHAnsi" w:cstheme="majorHAnsi"/>
          <w:i/>
          <w:iCs/>
          <w:sz w:val="16"/>
          <w:szCs w:val="18"/>
        </w:rPr>
      </w:pPr>
      <w:r w:rsidRPr="005E25D2">
        <w:lastRenderedPageBreak/>
        <w:t>Interpreting violin plots</w:t>
      </w:r>
    </w:p>
    <w:p w14:paraId="6ED8B069" w14:textId="3CCDD95E" w:rsidR="00E04E84" w:rsidRDefault="00E04E84" w:rsidP="00833DEE">
      <w:pPr>
        <w:rPr>
          <w:lang w:val="en-AU"/>
        </w:rPr>
      </w:pPr>
      <w:r w:rsidRPr="003748F2">
        <w:rPr>
          <w:lang w:val="en-AU"/>
        </w:rPr>
        <w:t>The next two diagrams contain violin plots, which are a standardised way of displaying the distribution of data based on the 25</w:t>
      </w:r>
      <w:r w:rsidRPr="003748F2">
        <w:rPr>
          <w:vertAlign w:val="superscript"/>
          <w:lang w:val="en-AU"/>
        </w:rPr>
        <w:t>th</w:t>
      </w:r>
      <w:r w:rsidRPr="003748F2">
        <w:rPr>
          <w:lang w:val="en-AU"/>
        </w:rPr>
        <w:t xml:space="preserve"> quartile, median, 75</w:t>
      </w:r>
      <w:r w:rsidRPr="003748F2">
        <w:rPr>
          <w:vertAlign w:val="superscript"/>
          <w:lang w:val="en-AU"/>
        </w:rPr>
        <w:t>th</w:t>
      </w:r>
      <w:r w:rsidRPr="003748F2">
        <w:rPr>
          <w:lang w:val="en-AU"/>
        </w:rPr>
        <w:t xml:space="preserve"> quartile, interquartile </w:t>
      </w:r>
      <w:proofErr w:type="gramStart"/>
      <w:r w:rsidRPr="003748F2">
        <w:rPr>
          <w:lang w:val="en-AU"/>
        </w:rPr>
        <w:t>range</w:t>
      </w:r>
      <w:proofErr w:type="gramEnd"/>
      <w:r w:rsidRPr="003748F2">
        <w:rPr>
          <w:lang w:val="en-AU"/>
        </w:rPr>
        <w:t xml:space="preserve"> and outliers, as well as visualising the frequency of data through the ‘violin’, where the width of the shape corresponds to the frequency of data points at that value. Violin plots enable easy comparison across PHNs as well as better visualise skewness or lack thereof in data than a standard boxplot. </w:t>
      </w:r>
    </w:p>
    <w:p w14:paraId="2F3AD354" w14:textId="4F809CE6" w:rsidR="001F5B9C" w:rsidRPr="002F6AA3" w:rsidRDefault="001F5B9C" w:rsidP="001F5B9C">
      <w:pPr>
        <w:pStyle w:val="Caption"/>
        <w:rPr>
          <w:rFonts w:ascii="Segoe UI" w:hAnsi="Segoe UI"/>
          <w:noProof/>
        </w:rPr>
      </w:pPr>
      <w:r>
        <w:t xml:space="preserve">Figure </w:t>
      </w:r>
      <w:r>
        <w:fldChar w:fldCharType="begin"/>
      </w:r>
      <w:r>
        <w:instrText xml:space="preserve"> SEQ Figure \* ARABIC </w:instrText>
      </w:r>
      <w:r>
        <w:fldChar w:fldCharType="separate"/>
      </w:r>
      <w:r w:rsidR="00562174">
        <w:rPr>
          <w:noProof/>
        </w:rPr>
        <w:t>27</w:t>
      </w:r>
      <w:r>
        <w:fldChar w:fldCharType="end"/>
      </w:r>
      <w:r>
        <w:t xml:space="preserve"> | Illustration of a violin plot</w:t>
      </w:r>
    </w:p>
    <w:p w14:paraId="06E70DBA" w14:textId="7ECA0E23" w:rsidR="00E04E84" w:rsidRPr="000D119D" w:rsidRDefault="009C1847" w:rsidP="00E04E84">
      <w:pPr>
        <w:rPr>
          <w:highlight w:val="cyan"/>
          <w:lang w:val="en-AU"/>
        </w:rPr>
      </w:pPr>
      <w:r w:rsidRPr="000D119D">
        <w:rPr>
          <w:noProof/>
          <w:highlight w:val="cyan"/>
          <w:lang w:val="en-AU"/>
        </w:rPr>
        <w:drawing>
          <wp:inline distT="0" distB="0" distL="0" distR="0" wp14:anchorId="1ED2E151" wp14:editId="535FD1EB">
            <wp:extent cx="4727022" cy="2331592"/>
            <wp:effectExtent l="0" t="0" r="0" b="0"/>
            <wp:docPr id="27778" name="Picture 27778" descr="Figure 27 is an illustration of a violin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8" name="Picture 27778" descr="Figure 27 is an illustration of a violin plot"/>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727022" cy="2331592"/>
                    </a:xfrm>
                    <a:prstGeom prst="rect">
                      <a:avLst/>
                    </a:prstGeom>
                    <a:noFill/>
                  </pic:spPr>
                </pic:pic>
              </a:graphicData>
            </a:graphic>
          </wp:inline>
        </w:drawing>
      </w:r>
    </w:p>
    <w:p w14:paraId="5EF0A301" w14:textId="36F5BB7E" w:rsidR="00590FAA" w:rsidRDefault="00E04E84" w:rsidP="00590FAA">
      <w:pPr>
        <w:pStyle w:val="Caption"/>
      </w:pPr>
      <w:bookmarkStart w:id="82" w:name="_Ref97058889"/>
      <w:bookmarkStart w:id="83" w:name="_Ref97058885"/>
      <w:r w:rsidRPr="0088721B">
        <w:t xml:space="preserve">Figure </w:t>
      </w:r>
      <w:r w:rsidR="00C90990">
        <w:fldChar w:fldCharType="begin"/>
      </w:r>
      <w:r w:rsidR="00C90990">
        <w:instrText xml:space="preserve"> SEQ Figure \* ARABIC </w:instrText>
      </w:r>
      <w:r w:rsidR="00C90990">
        <w:fldChar w:fldCharType="separate"/>
      </w:r>
      <w:r w:rsidR="00562174">
        <w:rPr>
          <w:noProof/>
        </w:rPr>
        <w:t>28</w:t>
      </w:r>
      <w:r w:rsidR="00C90990">
        <w:fldChar w:fldCharType="end"/>
      </w:r>
      <w:bookmarkEnd w:id="82"/>
      <w:r w:rsidR="00590FAA">
        <w:t xml:space="preserve"> | </w:t>
      </w:r>
      <w:r w:rsidR="00590FAA" w:rsidRPr="00767048">
        <w:t>Length of episodes by PHN for closed episodes of care</w:t>
      </w:r>
      <w:bookmarkEnd w:id="83"/>
    </w:p>
    <w:p w14:paraId="13571F11" w14:textId="67084777" w:rsidR="00E04E84" w:rsidRPr="00AD4CA8" w:rsidRDefault="004F3FB0" w:rsidP="00E04E84">
      <w:pPr>
        <w:rPr>
          <w:lang w:val="en-AU" w:eastAsia="en-AU"/>
        </w:rPr>
      </w:pPr>
      <w:r w:rsidRPr="00AD4CA8">
        <w:rPr>
          <w:noProof/>
          <w:lang w:val="en-AU" w:eastAsia="en-AU"/>
        </w:rPr>
        <w:drawing>
          <wp:inline distT="0" distB="0" distL="0" distR="0" wp14:anchorId="28F1BD43" wp14:editId="0D6AC78E">
            <wp:extent cx="5695200" cy="3280119"/>
            <wp:effectExtent l="0" t="0" r="1270" b="0"/>
            <wp:docPr id="28309" name="Picture 28309" descr="Figure 28 is a violin plots showing length of episodes by PHN for closed episodes of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9" name="Picture 28309" descr="Figure 28 is a violin plots showing length of episodes by PHN for closed episodes of care. "/>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695200" cy="3280119"/>
                    </a:xfrm>
                    <a:prstGeom prst="rect">
                      <a:avLst/>
                    </a:prstGeom>
                    <a:noFill/>
                  </pic:spPr>
                </pic:pic>
              </a:graphicData>
            </a:graphic>
          </wp:inline>
        </w:drawing>
      </w:r>
    </w:p>
    <w:p w14:paraId="34EF88D0" w14:textId="22A36720" w:rsidR="00590FAA" w:rsidRDefault="00E04E84" w:rsidP="00590FAA">
      <w:pPr>
        <w:pStyle w:val="Caption"/>
      </w:pPr>
      <w:bookmarkStart w:id="84" w:name="_Ref97032234"/>
      <w:r w:rsidRPr="0088721B">
        <w:lastRenderedPageBreak/>
        <w:t>Figure</w:t>
      </w:r>
      <w:bookmarkEnd w:id="84"/>
      <w:r w:rsidRPr="0088721B">
        <w:t xml:space="preserve"> </w:t>
      </w:r>
      <w:r w:rsidR="00C90990">
        <w:fldChar w:fldCharType="begin"/>
      </w:r>
      <w:r w:rsidR="00C90990">
        <w:instrText xml:space="preserve"> SEQ Figure \* ARABIC </w:instrText>
      </w:r>
      <w:r w:rsidR="00C90990">
        <w:fldChar w:fldCharType="separate"/>
      </w:r>
      <w:r w:rsidR="00562174">
        <w:rPr>
          <w:noProof/>
        </w:rPr>
        <w:t>29</w:t>
      </w:r>
      <w:r w:rsidR="00C90990">
        <w:fldChar w:fldCharType="end"/>
      </w:r>
      <w:r w:rsidR="00590FAA">
        <w:t xml:space="preserve"> | </w:t>
      </w:r>
      <w:r w:rsidR="00590FAA" w:rsidRPr="00D101EF">
        <w:t>Number of service contacts by PHN for closed episodes of care</w:t>
      </w:r>
      <w:r w:rsidR="006E2A12">
        <w:rPr>
          <w:rStyle w:val="FootnoteReference"/>
        </w:rPr>
        <w:footnoteReference w:id="52"/>
      </w:r>
    </w:p>
    <w:p w14:paraId="57597B0F" w14:textId="0121BD6C" w:rsidR="00E04E84" w:rsidRPr="000D119D" w:rsidRDefault="000C308A" w:rsidP="00E04E84">
      <w:pPr>
        <w:rPr>
          <w:lang w:val="en-AU" w:eastAsia="en-AU"/>
        </w:rPr>
      </w:pPr>
      <w:r w:rsidRPr="000D119D">
        <w:rPr>
          <w:noProof/>
          <w:lang w:val="en-AU" w:eastAsia="en-AU"/>
        </w:rPr>
        <w:drawing>
          <wp:inline distT="0" distB="0" distL="0" distR="0" wp14:anchorId="75E10C59" wp14:editId="3298BAC2">
            <wp:extent cx="5670550" cy="3429192"/>
            <wp:effectExtent l="0" t="0" r="6350" b="0"/>
            <wp:docPr id="688" name="Picture 687" descr="Figure 29 is an violin plots showing the number of service contacts by PHN for closed episodes of care. ">
              <a:extLst xmlns:a="http://schemas.openxmlformats.org/drawingml/2006/main">
                <a:ext uri="{FF2B5EF4-FFF2-40B4-BE49-F238E27FC236}">
                  <a16:creationId xmlns:a16="http://schemas.microsoft.com/office/drawing/2014/main" id="{7C847A93-E938-477F-837D-87FA5B4DB9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icture 687" descr="Figure 29 is an violin plots showing the number of service contacts by PHN for closed episodes of care. ">
                      <a:extLst>
                        <a:ext uri="{FF2B5EF4-FFF2-40B4-BE49-F238E27FC236}">
                          <a16:creationId xmlns:a16="http://schemas.microsoft.com/office/drawing/2014/main" id="{7C847A93-E938-477F-837D-87FA5B4DB9A1}"/>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670550" cy="3429192"/>
                    </a:xfrm>
                    <a:prstGeom prst="rect">
                      <a:avLst/>
                    </a:prstGeom>
                  </pic:spPr>
                </pic:pic>
              </a:graphicData>
            </a:graphic>
          </wp:inline>
        </w:drawing>
      </w:r>
    </w:p>
    <w:p w14:paraId="24AABE28" w14:textId="12A129EB" w:rsidR="005E25D2" w:rsidRPr="00960F26" w:rsidRDefault="00B928FB" w:rsidP="005E25D2">
      <w:pPr>
        <w:rPr>
          <w:rFonts w:asciiTheme="minorHAnsi" w:hAnsiTheme="minorHAnsi" w:cstheme="minorHAnsi"/>
          <w:lang w:val="en-AU"/>
        </w:rPr>
      </w:pPr>
      <w:r>
        <w:t>While the data is not conclusive it is suggestive</w:t>
      </w:r>
      <w:r w:rsidRPr="00960F26">
        <w:rPr>
          <w:rFonts w:asciiTheme="minorHAnsi" w:hAnsiTheme="minorHAnsi" w:cstheme="minorHAnsi"/>
          <w:lang w:val="en-AU"/>
        </w:rPr>
        <w:t xml:space="preserve"> </w:t>
      </w:r>
      <w:r>
        <w:rPr>
          <w:rFonts w:asciiTheme="minorHAnsi" w:hAnsiTheme="minorHAnsi" w:cstheme="minorHAnsi"/>
          <w:lang w:val="en-AU"/>
        </w:rPr>
        <w:t>that the</w:t>
      </w:r>
      <w:r w:rsidR="005E25D2" w:rsidRPr="00960F26">
        <w:rPr>
          <w:rFonts w:asciiTheme="minorHAnsi" w:hAnsiTheme="minorHAnsi" w:cstheme="minorHAnsi"/>
          <w:lang w:val="en-AU"/>
        </w:rPr>
        <w:t xml:space="preserve"> decreasing number of first service contacts (see </w:t>
      </w:r>
      <w:r w:rsidR="005E25D2" w:rsidRPr="00960F26">
        <w:rPr>
          <w:rFonts w:asciiTheme="minorHAnsi" w:hAnsiTheme="minorHAnsi" w:cstheme="minorHAnsi"/>
          <w:lang w:val="en-AU"/>
        </w:rPr>
        <w:fldChar w:fldCharType="begin"/>
      </w:r>
      <w:r w:rsidR="005E25D2" w:rsidRPr="00960F26">
        <w:rPr>
          <w:rFonts w:asciiTheme="minorHAnsi" w:hAnsiTheme="minorHAnsi" w:cstheme="minorHAnsi"/>
          <w:lang w:val="en-AU"/>
        </w:rPr>
        <w:instrText xml:space="preserve"> REF _Ref96979635 \h  \* MERGEFORMAT </w:instrText>
      </w:r>
      <w:r w:rsidR="005E25D2" w:rsidRPr="00960F26">
        <w:rPr>
          <w:rFonts w:asciiTheme="minorHAnsi" w:hAnsiTheme="minorHAnsi" w:cstheme="minorHAnsi"/>
          <w:lang w:val="en-AU"/>
        </w:rPr>
      </w:r>
      <w:r w:rsidR="005E25D2" w:rsidRPr="00960F26">
        <w:rPr>
          <w:rFonts w:asciiTheme="minorHAnsi" w:hAnsiTheme="minorHAnsi" w:cstheme="minorHAnsi"/>
          <w:lang w:val="en-AU"/>
        </w:rPr>
        <w:fldChar w:fldCharType="separate"/>
      </w:r>
      <w:r w:rsidR="00562174" w:rsidRPr="00562174">
        <w:rPr>
          <w:rFonts w:asciiTheme="minorHAnsi" w:hAnsiTheme="minorHAnsi" w:cstheme="minorHAnsi"/>
        </w:rPr>
        <w:t xml:space="preserve">Figure </w:t>
      </w:r>
      <w:r w:rsidR="00562174" w:rsidRPr="00562174">
        <w:rPr>
          <w:rFonts w:asciiTheme="minorHAnsi" w:hAnsiTheme="minorHAnsi" w:cstheme="minorHAnsi"/>
          <w:noProof/>
        </w:rPr>
        <w:t>14</w:t>
      </w:r>
      <w:r w:rsidR="005E25D2" w:rsidRPr="00960F26">
        <w:rPr>
          <w:rFonts w:asciiTheme="minorHAnsi" w:hAnsiTheme="minorHAnsi" w:cstheme="minorHAnsi"/>
          <w:lang w:val="en-AU"/>
        </w:rPr>
        <w:fldChar w:fldCharType="end"/>
      </w:r>
      <w:r w:rsidR="005E25D2" w:rsidRPr="00960F26">
        <w:rPr>
          <w:rFonts w:asciiTheme="minorHAnsi" w:hAnsiTheme="minorHAnsi" w:cstheme="minorHAnsi"/>
          <w:lang w:val="en-AU"/>
        </w:rPr>
        <w:t xml:space="preserve">) combined with the increasing length of episode care suggests that it is getting harder to get into hubs as demand for the service outstrips service supply. As referrals to </w:t>
      </w:r>
      <w:proofErr w:type="spellStart"/>
      <w:r w:rsidR="005E25D2" w:rsidRPr="00833DEE">
        <w:rPr>
          <w:rStyle w:val="Emphasis"/>
        </w:rPr>
        <w:t>HeadtoHelp</w:t>
      </w:r>
      <w:proofErr w:type="spellEnd"/>
      <w:r w:rsidR="005E25D2" w:rsidRPr="00960F26">
        <w:rPr>
          <w:rFonts w:asciiTheme="minorHAnsi" w:hAnsiTheme="minorHAnsi" w:cstheme="minorHAnsi"/>
          <w:i/>
          <w:lang w:val="en-AU"/>
        </w:rPr>
        <w:t xml:space="preserve"> </w:t>
      </w:r>
      <w:r w:rsidR="005E25D2" w:rsidRPr="00960F26">
        <w:rPr>
          <w:rFonts w:asciiTheme="minorHAnsi" w:hAnsiTheme="minorHAnsi" w:cstheme="minorHAnsi"/>
          <w:lang w:val="en-AU"/>
        </w:rPr>
        <w:t>grow, there is a clear risk that it could become another oversubscribed service that is unavailable to community members when they need immediate, accessible, no cost support. Availability and rapid access for all, regardless of economic status is critical and these must remain essential design features, with concomitant funding</w:t>
      </w:r>
      <w:r>
        <w:rPr>
          <w:rFonts w:asciiTheme="minorHAnsi" w:hAnsiTheme="minorHAnsi" w:cstheme="minorHAnsi"/>
          <w:lang w:val="en-AU"/>
        </w:rPr>
        <w:t>. This will need</w:t>
      </w:r>
      <w:r>
        <w:t xml:space="preserve"> to be closely monitored for AMHCs to avoid service blockages and losing the </w:t>
      </w:r>
      <w:r w:rsidR="00D864B0">
        <w:t xml:space="preserve">critical ease of </w:t>
      </w:r>
      <w:r>
        <w:t xml:space="preserve">access </w:t>
      </w:r>
      <w:r w:rsidR="00D864B0">
        <w:t>feature</w:t>
      </w:r>
      <w:r w:rsidR="00AA7210">
        <w:t>. This is</w:t>
      </w:r>
      <w:r>
        <w:t xml:space="preserve"> especially </w:t>
      </w:r>
      <w:r w:rsidR="00AA7210">
        <w:t xml:space="preserve">important given their role as </w:t>
      </w:r>
      <w:r>
        <w:t>a transitional service</w:t>
      </w:r>
      <w:r w:rsidR="00914FF9">
        <w:t xml:space="preserve">, as if clients are required to wait for a transitional service </w:t>
      </w:r>
      <w:r w:rsidR="00EF19F8">
        <w:t xml:space="preserve">the value is </w:t>
      </w:r>
      <w:r w:rsidR="00D17697">
        <w:t>lost,</w:t>
      </w:r>
      <w:r w:rsidR="00EF19F8">
        <w:t xml:space="preserve"> and they</w:t>
      </w:r>
      <w:r w:rsidR="00914FF9">
        <w:t xml:space="preserve"> ma</w:t>
      </w:r>
      <w:r w:rsidR="00EF19F8">
        <w:t xml:space="preserve">y bypass it completely. </w:t>
      </w:r>
    </w:p>
    <w:p w14:paraId="5E497739" w14:textId="445EB94D" w:rsidR="00050A96" w:rsidRPr="000D119D" w:rsidRDefault="00BA51B7" w:rsidP="00BE0860">
      <w:pPr>
        <w:pStyle w:val="Heading4"/>
      </w:pPr>
      <w:bookmarkStart w:id="85" w:name="_Ref74822796"/>
      <w:r w:rsidRPr="000D119D">
        <w:t xml:space="preserve">There </w:t>
      </w:r>
      <w:r w:rsidR="00E95189" w:rsidRPr="000D119D">
        <w:t>has</w:t>
      </w:r>
      <w:r w:rsidRPr="000D119D">
        <w:t xml:space="preserve"> been less use of </w:t>
      </w:r>
      <w:r w:rsidR="00050A96" w:rsidRPr="000D119D">
        <w:t>‘</w:t>
      </w:r>
      <w:r w:rsidRPr="000D119D">
        <w:t>w</w:t>
      </w:r>
      <w:r w:rsidR="00050A96" w:rsidRPr="000D119D">
        <w:t xml:space="preserve">arm referrals’ </w:t>
      </w:r>
      <w:r w:rsidRPr="000D119D">
        <w:t>than</w:t>
      </w:r>
      <w:r w:rsidR="00050A96" w:rsidRPr="000D119D">
        <w:t xml:space="preserve"> anticipated</w:t>
      </w:r>
      <w:r w:rsidR="00097B4B" w:rsidRPr="000D119D">
        <w:t xml:space="preserve"> </w:t>
      </w:r>
    </w:p>
    <w:p w14:paraId="67EC98FF" w14:textId="4DFD10AF" w:rsidR="003567BC" w:rsidRPr="000D119D" w:rsidRDefault="009D4DAC" w:rsidP="00D579A7">
      <w:pPr>
        <w:rPr>
          <w:lang w:val="en-AU"/>
        </w:rPr>
      </w:pPr>
      <w:r w:rsidRPr="000D119D">
        <w:rPr>
          <w:lang w:val="en-AU"/>
        </w:rPr>
        <w:t xml:space="preserve">Warm referrals are key to reducing the number of times participants and support people </w:t>
      </w:r>
      <w:proofErr w:type="gramStart"/>
      <w:r w:rsidRPr="000D119D">
        <w:rPr>
          <w:lang w:val="en-AU"/>
        </w:rPr>
        <w:t>have to</w:t>
      </w:r>
      <w:proofErr w:type="gramEnd"/>
      <w:r w:rsidRPr="000D119D">
        <w:rPr>
          <w:lang w:val="en-AU"/>
        </w:rPr>
        <w:t xml:space="preserve"> tell their story</w:t>
      </w:r>
      <w:r w:rsidR="00E70B2F" w:rsidRPr="000D119D">
        <w:rPr>
          <w:lang w:val="en-AU"/>
        </w:rPr>
        <w:t>,</w:t>
      </w:r>
      <w:r w:rsidR="000F3FAE" w:rsidRPr="000D119D">
        <w:rPr>
          <w:lang w:val="en-AU"/>
        </w:rPr>
        <w:t xml:space="preserve"> </w:t>
      </w:r>
      <w:r w:rsidRPr="000D119D">
        <w:rPr>
          <w:lang w:val="en-AU"/>
        </w:rPr>
        <w:t>ensuring that they meet the service offerings and risk profile of the intended service</w:t>
      </w:r>
      <w:r w:rsidR="00353AF4" w:rsidRPr="000D119D">
        <w:rPr>
          <w:lang w:val="en-AU"/>
        </w:rPr>
        <w:t xml:space="preserve"> and provid</w:t>
      </w:r>
      <w:r w:rsidR="00E70B2F" w:rsidRPr="000D119D">
        <w:rPr>
          <w:lang w:val="en-AU"/>
        </w:rPr>
        <w:t>ing</w:t>
      </w:r>
      <w:r w:rsidR="00353AF4" w:rsidRPr="000D119D">
        <w:rPr>
          <w:lang w:val="en-AU"/>
        </w:rPr>
        <w:t xml:space="preserve"> interim support </w:t>
      </w:r>
      <w:r w:rsidR="00F1070A" w:rsidRPr="000D119D">
        <w:rPr>
          <w:lang w:val="en-AU"/>
        </w:rPr>
        <w:t>to people while they are waiting f</w:t>
      </w:r>
      <w:r w:rsidR="00216E35" w:rsidRPr="000D119D">
        <w:rPr>
          <w:lang w:val="en-AU"/>
        </w:rPr>
        <w:t xml:space="preserve">or their referral to be </w:t>
      </w:r>
      <w:r w:rsidR="00A009F4" w:rsidRPr="000D119D">
        <w:rPr>
          <w:lang w:val="en-AU"/>
        </w:rPr>
        <w:t>accepted and actioned</w:t>
      </w:r>
      <w:r w:rsidRPr="000D119D">
        <w:rPr>
          <w:lang w:val="en-AU"/>
        </w:rPr>
        <w:t xml:space="preserve">. </w:t>
      </w:r>
      <w:r w:rsidR="00B426BD">
        <w:rPr>
          <w:lang w:val="en-AU"/>
        </w:rPr>
        <w:t xml:space="preserve">Warm referrals can be critical for the engagement of potential service users who are hesitant or anxious to contact a service themselves. </w:t>
      </w:r>
      <w:r w:rsidR="003567BC" w:rsidRPr="000D119D">
        <w:rPr>
          <w:lang w:val="en-AU"/>
        </w:rPr>
        <w:t xml:space="preserve">Low use of warm referrals has been seen both by </w:t>
      </w:r>
      <w:proofErr w:type="spellStart"/>
      <w:r w:rsidR="003567BC" w:rsidRPr="00833DEE">
        <w:rPr>
          <w:rStyle w:val="Emphasis"/>
        </w:rPr>
        <w:t>HeadtoHelp</w:t>
      </w:r>
      <w:proofErr w:type="spellEnd"/>
      <w:r w:rsidR="003567BC" w:rsidRPr="000D119D">
        <w:rPr>
          <w:i/>
          <w:iCs/>
          <w:lang w:val="en-AU"/>
        </w:rPr>
        <w:t xml:space="preserve"> </w:t>
      </w:r>
      <w:r w:rsidR="003567BC" w:rsidRPr="000D119D">
        <w:rPr>
          <w:lang w:val="en-AU"/>
        </w:rPr>
        <w:t xml:space="preserve">staff, as well as services referring into </w:t>
      </w:r>
      <w:proofErr w:type="spellStart"/>
      <w:r w:rsidR="003567BC" w:rsidRPr="00833DEE">
        <w:rPr>
          <w:rStyle w:val="Emphasis"/>
        </w:rPr>
        <w:t>HeadtoHelp</w:t>
      </w:r>
      <w:proofErr w:type="spellEnd"/>
      <w:r w:rsidR="00602EF1" w:rsidRPr="000D119D">
        <w:rPr>
          <w:lang w:val="en-AU"/>
        </w:rPr>
        <w:t>:</w:t>
      </w:r>
    </w:p>
    <w:p w14:paraId="7EA30D57" w14:textId="48F8F0A7" w:rsidR="00D579A7" w:rsidRPr="00B6253C" w:rsidRDefault="003567BC" w:rsidP="00E457E2">
      <w:pPr>
        <w:pStyle w:val="ListBullet"/>
      </w:pPr>
      <w:r w:rsidRPr="00F043CE">
        <w:t>For individuals referred to services outside of the hub</w:t>
      </w:r>
      <w:r w:rsidR="00183D76" w:rsidRPr="00F043CE">
        <w:rPr>
          <w:rStyle w:val="FootnoteReference"/>
          <w:rFonts w:asciiTheme="majorHAnsi" w:hAnsiTheme="majorHAnsi" w:cstheme="majorHAnsi"/>
        </w:rPr>
        <w:footnoteReference w:id="53"/>
      </w:r>
      <w:r w:rsidRPr="00F043CE">
        <w:t xml:space="preserve">, </w:t>
      </w:r>
      <w:r w:rsidR="006569D4" w:rsidRPr="00F043CE">
        <w:t xml:space="preserve">less </w:t>
      </w:r>
      <w:r w:rsidR="001C5DB2" w:rsidRPr="00F043CE">
        <w:t>than half</w:t>
      </w:r>
      <w:r w:rsidRPr="00F043CE">
        <w:t xml:space="preserve"> of these were warm referrals, where </w:t>
      </w:r>
      <w:proofErr w:type="spellStart"/>
      <w:r w:rsidRPr="00833DEE">
        <w:rPr>
          <w:rStyle w:val="Emphasis"/>
        </w:rPr>
        <w:t>HeadtoHelp</w:t>
      </w:r>
      <w:proofErr w:type="spellEnd"/>
      <w:r w:rsidRPr="00F043CE">
        <w:t xml:space="preserve"> contacted the service provider directly. </w:t>
      </w:r>
      <w:r w:rsidR="00D579A7" w:rsidRPr="00F043CE">
        <w:t xml:space="preserve">This </w:t>
      </w:r>
      <w:r w:rsidR="006E06AE" w:rsidRPr="00F043CE">
        <w:t xml:space="preserve">contrasts with the intent of </w:t>
      </w:r>
      <w:proofErr w:type="spellStart"/>
      <w:r w:rsidR="00D579A7" w:rsidRPr="00833DEE">
        <w:rPr>
          <w:rStyle w:val="Emphasis"/>
        </w:rPr>
        <w:t>HeadtoHelp</w:t>
      </w:r>
      <w:proofErr w:type="spellEnd"/>
      <w:r w:rsidR="00D579A7" w:rsidRPr="00F043CE">
        <w:t xml:space="preserve"> in providing warm referrals to other services. Warm referral figures differed between PHNs, with NWMPHN and WVPHN reporting 30</w:t>
      </w:r>
      <w:r w:rsidR="007F0DCC" w:rsidRPr="00F043CE">
        <w:t xml:space="preserve"> per cent</w:t>
      </w:r>
      <w:r w:rsidR="00D579A7" w:rsidRPr="00F043CE">
        <w:t xml:space="preserve"> warm referrals, and SEMPH</w:t>
      </w:r>
      <w:r w:rsidR="0010615C" w:rsidRPr="00F043CE">
        <w:t>N</w:t>
      </w:r>
      <w:r w:rsidR="00D579A7" w:rsidRPr="00F043CE">
        <w:t xml:space="preserve"> </w:t>
      </w:r>
      <w:r w:rsidR="00D579A7" w:rsidRPr="00F043CE">
        <w:lastRenderedPageBreak/>
        <w:t xml:space="preserve">reporting just over </w:t>
      </w:r>
      <w:r w:rsidR="007F0DCC" w:rsidRPr="00F043CE">
        <w:t>five per cent</w:t>
      </w:r>
      <w:r w:rsidR="00DC7D09" w:rsidRPr="00F043CE">
        <w:rPr>
          <w:rStyle w:val="FootnoteReference"/>
        </w:rPr>
        <w:footnoteReference w:id="54"/>
      </w:r>
      <w:r w:rsidR="00D579A7" w:rsidRPr="00F043CE">
        <w:t>.</w:t>
      </w:r>
      <w:r w:rsidR="00056FA1" w:rsidRPr="00F043CE">
        <w:t xml:space="preserve"> </w:t>
      </w:r>
      <w:r w:rsidR="001F6F8A" w:rsidRPr="00F043CE">
        <w:t>Of the participants who reported being pleased with their referral, all but one had received a warm referral.</w:t>
      </w:r>
    </w:p>
    <w:p w14:paraId="335C9565" w14:textId="47C58B19" w:rsidR="0080546F" w:rsidRPr="000D119D" w:rsidRDefault="0080546F" w:rsidP="00E457E2">
      <w:pPr>
        <w:pStyle w:val="ListBullet"/>
      </w:pPr>
      <w:r w:rsidRPr="000D119D">
        <w:t xml:space="preserve">Of the participants and support people engaged for this evaluation, only half reported that they received warm referrals to services outside of the hub. Support people were particularly frustrated by the lack of warm referral, reflecting that they feel ‘bounced around’ between services. Some participants commented that the current mental health system is fragmented and difficult to navigate, with a lack of linkages between different mental health services and between mental health, </w:t>
      </w:r>
      <w:proofErr w:type="gramStart"/>
      <w:r w:rsidRPr="000D119D">
        <w:t>addiction</w:t>
      </w:r>
      <w:proofErr w:type="gramEnd"/>
      <w:r w:rsidRPr="000D119D">
        <w:t xml:space="preserve"> and other health services. Further integration between </w:t>
      </w:r>
      <w:proofErr w:type="spellStart"/>
      <w:r w:rsidRPr="00833DEE">
        <w:rPr>
          <w:rStyle w:val="Emphasis"/>
        </w:rPr>
        <w:t>HeadtoHelp</w:t>
      </w:r>
      <w:proofErr w:type="spellEnd"/>
      <w:r w:rsidRPr="000D119D">
        <w:t xml:space="preserve"> and AMHSs should enable warm referrals between services and therefore improve the experience for participants and support people.</w:t>
      </w:r>
    </w:p>
    <w:p w14:paraId="54BECFE2" w14:textId="18ED4465" w:rsidR="0001440B" w:rsidRPr="000D119D" w:rsidRDefault="0001440B" w:rsidP="00E457E2">
      <w:pPr>
        <w:pStyle w:val="ListBullet"/>
      </w:pPr>
      <w:r w:rsidRPr="000D119D">
        <w:rPr>
          <w:rFonts w:asciiTheme="majorHAnsi" w:hAnsiTheme="majorHAnsi" w:cstheme="majorHAnsi"/>
        </w:rPr>
        <w:t xml:space="preserve">Many hubs also reported that they do not receive warm referrals from </w:t>
      </w:r>
      <w:r w:rsidR="00E26DA8" w:rsidRPr="000D119D">
        <w:rPr>
          <w:rFonts w:asciiTheme="majorHAnsi" w:hAnsiTheme="majorHAnsi" w:cstheme="majorHAnsi"/>
        </w:rPr>
        <w:t xml:space="preserve">service partners, </w:t>
      </w:r>
      <w:r w:rsidR="00E26DA8" w:rsidRPr="000D119D">
        <w:t xml:space="preserve">particularly AMHSs </w:t>
      </w:r>
      <w:r w:rsidRPr="000D119D">
        <w:t>in their area, with many participants often told to call the service directly or approach their GP to be referred to the hub.</w:t>
      </w:r>
      <w:r w:rsidRPr="000D119D">
        <w:rPr>
          <w:rFonts w:asciiTheme="majorHAnsi" w:hAnsiTheme="majorHAnsi" w:cstheme="majorHAnsi"/>
        </w:rPr>
        <w:t xml:space="preserve"> </w:t>
      </w:r>
      <w:r w:rsidRPr="000D119D">
        <w:t xml:space="preserve">This is likely because the default discharge pathway following an admission to an AMHSs is to a GP. Some hub staff reflect that ‘cold’ referrals into the service has resulted in some participants approaching the service in crisis, exceeding the level support </w:t>
      </w:r>
      <w:proofErr w:type="spellStart"/>
      <w:r w:rsidRPr="00833DEE">
        <w:rPr>
          <w:rStyle w:val="Emphasis"/>
        </w:rPr>
        <w:t>HeadtoHelp</w:t>
      </w:r>
      <w:proofErr w:type="spellEnd"/>
      <w:r w:rsidRPr="000D119D">
        <w:rPr>
          <w:i/>
          <w:iCs/>
        </w:rPr>
        <w:t xml:space="preserve"> </w:t>
      </w:r>
      <w:r w:rsidRPr="000D119D">
        <w:t xml:space="preserve">can provide. Hubs often attributed this to lack of awareness or understanding of the purpose of </w:t>
      </w:r>
      <w:proofErr w:type="spellStart"/>
      <w:r w:rsidRPr="00833DEE">
        <w:rPr>
          <w:rStyle w:val="Emphasis"/>
        </w:rPr>
        <w:t>HeadtoHelp</w:t>
      </w:r>
      <w:proofErr w:type="spellEnd"/>
      <w:r w:rsidRPr="000D119D">
        <w:t xml:space="preserve"> or the stepped care model.</w:t>
      </w:r>
      <w:r w:rsidR="00266B6B">
        <w:t xml:space="preserve"> Participant and support person interviews also indicated that cold referrals may have resulted in </w:t>
      </w:r>
      <w:proofErr w:type="gramStart"/>
      <w:r w:rsidR="00266B6B">
        <w:t>a number of</w:t>
      </w:r>
      <w:proofErr w:type="gramEnd"/>
      <w:r w:rsidR="00266B6B">
        <w:t xml:space="preserve"> potential participants not contacting the hub at all, due to being anxious or hesitant to make the phone call.</w:t>
      </w:r>
    </w:p>
    <w:p w14:paraId="794CCB91" w14:textId="07796ADB" w:rsidR="00554C5A" w:rsidRPr="000D119D" w:rsidRDefault="00AD279E" w:rsidP="00BE0860">
      <w:pPr>
        <w:pStyle w:val="Heading4"/>
      </w:pPr>
      <w:r w:rsidRPr="000D119D">
        <w:t>Satellite</w:t>
      </w:r>
      <w:r w:rsidR="00C75385" w:rsidRPr="000D119D">
        <w:t xml:space="preserve"> hubs were stoo</w:t>
      </w:r>
      <w:r w:rsidR="00056D5B" w:rsidRPr="000D119D">
        <w:t>d</w:t>
      </w:r>
      <w:r w:rsidR="00C75385" w:rsidRPr="000D119D">
        <w:t xml:space="preserve"> up to extend the re</w:t>
      </w:r>
      <w:r w:rsidR="00056D5B" w:rsidRPr="000D119D">
        <w:t xml:space="preserve">ach </w:t>
      </w:r>
      <w:r w:rsidR="00752A09" w:rsidRPr="000D119D">
        <w:t>of</w:t>
      </w:r>
      <w:r w:rsidR="00554C5A" w:rsidRPr="000D119D">
        <w:t xml:space="preserve"> </w:t>
      </w:r>
      <w:proofErr w:type="spellStart"/>
      <w:r w:rsidR="00752A09" w:rsidRPr="000D119D">
        <w:rPr>
          <w:i/>
          <w:iCs/>
        </w:rPr>
        <w:t>HeadtoH</w:t>
      </w:r>
      <w:r w:rsidR="00E0385A" w:rsidRPr="000D119D">
        <w:rPr>
          <w:i/>
          <w:iCs/>
        </w:rPr>
        <w:t>elp</w:t>
      </w:r>
      <w:proofErr w:type="spellEnd"/>
      <w:r w:rsidR="005B23AB" w:rsidRPr="000D119D">
        <w:t>;</w:t>
      </w:r>
      <w:r w:rsidR="00B6217D" w:rsidRPr="000D119D">
        <w:t xml:space="preserve"> </w:t>
      </w:r>
      <w:r w:rsidR="000940CC" w:rsidRPr="000D119D">
        <w:t>however</w:t>
      </w:r>
      <w:r w:rsidR="005B23AB" w:rsidRPr="000D119D">
        <w:t>,</w:t>
      </w:r>
      <w:r w:rsidR="000940CC" w:rsidRPr="000D119D">
        <w:t xml:space="preserve"> </w:t>
      </w:r>
      <w:r w:rsidR="00C66876" w:rsidRPr="000D119D">
        <w:t xml:space="preserve">they </w:t>
      </w:r>
      <w:r w:rsidR="005011CE" w:rsidRPr="000D119D">
        <w:t>present a potential risk to model fidelity</w:t>
      </w:r>
    </w:p>
    <w:p w14:paraId="699115C0" w14:textId="2A23E0F0" w:rsidR="002938F0" w:rsidRPr="000D119D" w:rsidRDefault="002938F0" w:rsidP="001E3C55">
      <w:pPr>
        <w:rPr>
          <w:lang w:val="en-AU"/>
        </w:rPr>
      </w:pPr>
      <w:r w:rsidRPr="000D119D">
        <w:rPr>
          <w:lang w:val="en-AU"/>
        </w:rPr>
        <w:t xml:space="preserve">Satellites have been established to extend the geographical reach of face-to-face services in some regions. </w:t>
      </w:r>
      <w:r w:rsidR="00DA6C5F" w:rsidRPr="000D119D">
        <w:rPr>
          <w:lang w:val="en-AU"/>
        </w:rPr>
        <w:t xml:space="preserve">Using discretionary spending </w:t>
      </w:r>
      <w:r w:rsidR="008B0A81" w:rsidRPr="000D119D">
        <w:rPr>
          <w:lang w:val="en-AU"/>
        </w:rPr>
        <w:t>under the</w:t>
      </w:r>
      <w:r w:rsidR="00DA6C5F" w:rsidRPr="000D119D">
        <w:rPr>
          <w:lang w:val="en-AU"/>
        </w:rPr>
        <w:t xml:space="preserve"> flexible </w:t>
      </w:r>
      <w:r w:rsidRPr="000D119D">
        <w:rPr>
          <w:lang w:val="en-AU"/>
        </w:rPr>
        <w:t xml:space="preserve">tranche of </w:t>
      </w:r>
      <w:proofErr w:type="spellStart"/>
      <w:r w:rsidR="008B0A81" w:rsidRPr="00833DEE">
        <w:rPr>
          <w:rStyle w:val="Emphasis"/>
        </w:rPr>
        <w:t>HeadtoHelp</w:t>
      </w:r>
      <w:proofErr w:type="spellEnd"/>
      <w:r w:rsidRPr="000D119D">
        <w:rPr>
          <w:i/>
          <w:lang w:val="en-AU"/>
        </w:rPr>
        <w:t xml:space="preserve"> </w:t>
      </w:r>
      <w:r w:rsidRPr="000D119D">
        <w:rPr>
          <w:lang w:val="en-AU"/>
        </w:rPr>
        <w:t xml:space="preserve">funding, some PHNs have elected to stand up satellite </w:t>
      </w:r>
      <w:r w:rsidR="00E21D5E" w:rsidRPr="000D119D">
        <w:rPr>
          <w:lang w:val="en-AU"/>
        </w:rPr>
        <w:t>h</w:t>
      </w:r>
      <w:r w:rsidRPr="000D119D">
        <w:rPr>
          <w:lang w:val="en-AU"/>
        </w:rPr>
        <w:t xml:space="preserve">ubs, whilst others used this </w:t>
      </w:r>
      <w:r w:rsidR="00025DA3" w:rsidRPr="000D119D">
        <w:rPr>
          <w:lang w:val="en-AU"/>
        </w:rPr>
        <w:t>to support their intake teams</w:t>
      </w:r>
      <w:r w:rsidR="000714EC" w:rsidRPr="000D119D">
        <w:rPr>
          <w:lang w:val="en-AU"/>
        </w:rPr>
        <w:t>.</w:t>
      </w:r>
    </w:p>
    <w:p w14:paraId="4BA7E52E" w14:textId="30C43938" w:rsidR="002938F0" w:rsidRPr="000D119D" w:rsidRDefault="002938F0" w:rsidP="001E3C55">
      <w:pPr>
        <w:rPr>
          <w:lang w:val="en-AU"/>
        </w:rPr>
      </w:pPr>
      <w:r w:rsidRPr="000D119D">
        <w:rPr>
          <w:lang w:val="en-AU"/>
        </w:rPr>
        <w:t>Three of</w:t>
      </w:r>
      <w:r w:rsidR="00BA6462" w:rsidRPr="000D119D">
        <w:rPr>
          <w:lang w:val="en-AU"/>
        </w:rPr>
        <w:t xml:space="preserve"> the</w:t>
      </w:r>
      <w:r w:rsidRPr="000D119D">
        <w:rPr>
          <w:lang w:val="en-AU"/>
        </w:rPr>
        <w:t xml:space="preserve"> six PHNs established satellite </w:t>
      </w:r>
      <w:r w:rsidR="0052309B" w:rsidRPr="000D119D">
        <w:rPr>
          <w:lang w:val="en-AU"/>
        </w:rPr>
        <w:t>h</w:t>
      </w:r>
      <w:r w:rsidRPr="000D119D">
        <w:rPr>
          <w:lang w:val="en-AU"/>
        </w:rPr>
        <w:t>ubs to better service people with mental health needs in their region. Two of these PHNs (</w:t>
      </w:r>
      <w:r w:rsidR="00160D51" w:rsidRPr="000D119D">
        <w:rPr>
          <w:lang w:val="en-AU"/>
        </w:rPr>
        <w:t>MPHN</w:t>
      </w:r>
      <w:r w:rsidRPr="000D119D">
        <w:rPr>
          <w:lang w:val="en-AU"/>
        </w:rPr>
        <w:t xml:space="preserve"> and </w:t>
      </w:r>
      <w:r w:rsidR="00160D51" w:rsidRPr="000D119D">
        <w:rPr>
          <w:lang w:val="en-AU"/>
        </w:rPr>
        <w:t>GPHN</w:t>
      </w:r>
      <w:r w:rsidRPr="000D119D">
        <w:rPr>
          <w:lang w:val="en-AU"/>
        </w:rPr>
        <w:t xml:space="preserve">) oversee large rural and regional areas where service access is </w:t>
      </w:r>
      <w:r w:rsidR="001414C1" w:rsidRPr="000D119D">
        <w:rPr>
          <w:lang w:val="en-AU"/>
        </w:rPr>
        <w:t xml:space="preserve">often a challenge. </w:t>
      </w:r>
      <w:r w:rsidRPr="000D119D">
        <w:rPr>
          <w:lang w:val="en-AU"/>
        </w:rPr>
        <w:t xml:space="preserve">Additionally, these regions are broken down into four sub-regions, and the provision of services to only half of the region was problematic both for service access and perceptions of equity. </w:t>
      </w:r>
      <w:r w:rsidR="00C12EAD" w:rsidRPr="000D119D">
        <w:rPr>
          <w:lang w:val="en-AU"/>
        </w:rPr>
        <w:t>Stakeholders reported that the design of</w:t>
      </w:r>
      <w:r w:rsidRPr="000D119D">
        <w:rPr>
          <w:lang w:val="en-AU"/>
        </w:rPr>
        <w:t xml:space="preserve"> satellite </w:t>
      </w:r>
      <w:r w:rsidR="00324A2A" w:rsidRPr="000D119D">
        <w:rPr>
          <w:lang w:val="en-AU"/>
        </w:rPr>
        <w:t>hub</w:t>
      </w:r>
      <w:r w:rsidRPr="000D119D">
        <w:rPr>
          <w:lang w:val="en-AU"/>
        </w:rPr>
        <w:t xml:space="preserve">s were in part informed by </w:t>
      </w:r>
      <w:r w:rsidR="00F40845" w:rsidRPr="000D119D">
        <w:rPr>
          <w:lang w:val="en-AU"/>
        </w:rPr>
        <w:t>participants</w:t>
      </w:r>
      <w:r w:rsidRPr="000D119D">
        <w:rPr>
          <w:lang w:val="en-AU"/>
        </w:rPr>
        <w:t>’ hesitancy to engage in telehealth services (i.e</w:t>
      </w:r>
      <w:r w:rsidR="004C0217" w:rsidRPr="000D119D">
        <w:rPr>
          <w:lang w:val="en-AU"/>
        </w:rPr>
        <w:t>.,</w:t>
      </w:r>
      <w:r w:rsidRPr="000D119D">
        <w:rPr>
          <w:lang w:val="en-AU"/>
        </w:rPr>
        <w:t xml:space="preserve"> they prefer to receive services in person).</w:t>
      </w:r>
    </w:p>
    <w:p w14:paraId="693FE77F" w14:textId="5F2B7EF9" w:rsidR="00F67E6C" w:rsidRPr="000D119D" w:rsidRDefault="00F67E6C" w:rsidP="001E3C55">
      <w:pPr>
        <w:rPr>
          <w:lang w:val="en-AU"/>
        </w:rPr>
      </w:pPr>
      <w:r w:rsidRPr="000D119D">
        <w:rPr>
          <w:lang w:val="en-AU"/>
        </w:rPr>
        <w:t xml:space="preserve">Co-location of </w:t>
      </w:r>
      <w:r w:rsidR="00324A2A" w:rsidRPr="000D119D">
        <w:rPr>
          <w:lang w:val="en-AU"/>
        </w:rPr>
        <w:t>hub</w:t>
      </w:r>
      <w:r w:rsidRPr="000D119D">
        <w:rPr>
          <w:lang w:val="en-AU"/>
        </w:rPr>
        <w:t xml:space="preserve">s with existing services has been raised as a key enabler (and barrier, in some instances) for the </w:t>
      </w:r>
      <w:r w:rsidR="004C0217" w:rsidRPr="000D119D">
        <w:rPr>
          <w:lang w:val="en-AU"/>
        </w:rPr>
        <w:t>stand-up</w:t>
      </w:r>
      <w:r w:rsidRPr="000D119D">
        <w:rPr>
          <w:lang w:val="en-AU"/>
        </w:rPr>
        <w:t xml:space="preserve"> of the services. Of the nine satellites currently operating, services have been co-located in general practices (</w:t>
      </w:r>
      <w:r w:rsidR="00CA5366" w:rsidRPr="000D119D">
        <w:rPr>
          <w:lang w:val="en-AU"/>
        </w:rPr>
        <w:t>four</w:t>
      </w:r>
      <w:r w:rsidRPr="000D119D">
        <w:rPr>
          <w:lang w:val="en-AU"/>
        </w:rPr>
        <w:t>)</w:t>
      </w:r>
      <w:r w:rsidR="00223B0F" w:rsidRPr="000D119D">
        <w:rPr>
          <w:lang w:val="en-AU"/>
        </w:rPr>
        <w:t xml:space="preserve"> and</w:t>
      </w:r>
      <w:r w:rsidRPr="000D119D">
        <w:rPr>
          <w:lang w:val="en-AU"/>
        </w:rPr>
        <w:t xml:space="preserve"> community health services (five)</w:t>
      </w:r>
      <w:r w:rsidR="00223B0F" w:rsidRPr="000D119D">
        <w:rPr>
          <w:lang w:val="en-AU"/>
        </w:rPr>
        <w:t xml:space="preserve">. </w:t>
      </w:r>
    </w:p>
    <w:p w14:paraId="22E60112" w14:textId="75B59C62" w:rsidR="0022075D" w:rsidRPr="000D119D" w:rsidRDefault="00C11B69" w:rsidP="001E3C55">
      <w:pPr>
        <w:rPr>
          <w:lang w:val="en-AU"/>
        </w:rPr>
      </w:pPr>
      <w:r w:rsidRPr="000D119D">
        <w:rPr>
          <w:lang w:val="en-AU"/>
        </w:rPr>
        <w:t xml:space="preserve">The approach to standing up satellites has differed and has implications for the fidelity of the </w:t>
      </w:r>
      <w:proofErr w:type="spellStart"/>
      <w:r w:rsidRPr="00DC6C2A">
        <w:rPr>
          <w:rStyle w:val="Emphasis"/>
        </w:rPr>
        <w:t>HeadtoHelp</w:t>
      </w:r>
      <w:proofErr w:type="spellEnd"/>
      <w:r w:rsidRPr="000D119D">
        <w:rPr>
          <w:lang w:val="en-AU"/>
        </w:rPr>
        <w:t xml:space="preserve"> model</w:t>
      </w:r>
      <w:r w:rsidR="00D70EBE" w:rsidRPr="000D119D">
        <w:rPr>
          <w:lang w:val="en-AU"/>
        </w:rPr>
        <w:t xml:space="preserve">. </w:t>
      </w:r>
      <w:r w:rsidRPr="000D119D">
        <w:rPr>
          <w:lang w:val="en-AU"/>
        </w:rPr>
        <w:t>There have been two approaches</w:t>
      </w:r>
      <w:r w:rsidR="0022075D" w:rsidRPr="000D119D">
        <w:rPr>
          <w:lang w:val="en-AU"/>
        </w:rPr>
        <w:t xml:space="preserve"> taken</w:t>
      </w:r>
      <w:r w:rsidRPr="000D119D">
        <w:rPr>
          <w:lang w:val="en-AU"/>
        </w:rPr>
        <w:t xml:space="preserve"> to establish satellites: </w:t>
      </w:r>
    </w:p>
    <w:p w14:paraId="7A53201B" w14:textId="4645EA6E" w:rsidR="0022075D" w:rsidRPr="000D119D" w:rsidRDefault="00CD7607" w:rsidP="006C2E61">
      <w:pPr>
        <w:pStyle w:val="Listnumbered"/>
        <w:numPr>
          <w:ilvl w:val="0"/>
          <w:numId w:val="18"/>
        </w:numPr>
        <w:rPr>
          <w:lang w:val="en-AU"/>
        </w:rPr>
      </w:pPr>
      <w:r w:rsidRPr="000D119D">
        <w:rPr>
          <w:lang w:val="en-AU"/>
        </w:rPr>
        <w:t>S</w:t>
      </w:r>
      <w:r w:rsidR="00C11B69" w:rsidRPr="000D119D">
        <w:rPr>
          <w:lang w:val="en-AU"/>
        </w:rPr>
        <w:t xml:space="preserve">ending an existing </w:t>
      </w:r>
      <w:r w:rsidR="00324A2A" w:rsidRPr="003B7F73">
        <w:rPr>
          <w:lang w:val="en-AU"/>
        </w:rPr>
        <w:t>hub</w:t>
      </w:r>
      <w:r w:rsidR="00C11B69" w:rsidRPr="000D119D">
        <w:rPr>
          <w:lang w:val="en-AU"/>
        </w:rPr>
        <w:t xml:space="preserve"> workforce to the satellite on a part-time or as needed basis</w:t>
      </w:r>
      <w:r w:rsidRPr="000D119D">
        <w:rPr>
          <w:lang w:val="en-AU"/>
        </w:rPr>
        <w:t>.</w:t>
      </w:r>
    </w:p>
    <w:p w14:paraId="3B1E07DA" w14:textId="60BBE917" w:rsidR="00C11B69" w:rsidRPr="000D119D" w:rsidRDefault="00CD7607" w:rsidP="00F17F4B">
      <w:pPr>
        <w:pStyle w:val="Listnumbered"/>
        <w:rPr>
          <w:lang w:val="en-AU"/>
        </w:rPr>
      </w:pPr>
      <w:r w:rsidRPr="000D119D">
        <w:rPr>
          <w:lang w:val="en-AU"/>
        </w:rPr>
        <w:t>E</w:t>
      </w:r>
      <w:r w:rsidR="00C11B69" w:rsidRPr="000D119D">
        <w:rPr>
          <w:lang w:val="en-AU"/>
        </w:rPr>
        <w:t>ngaging a third-party provider to deliver the service.</w:t>
      </w:r>
    </w:p>
    <w:p w14:paraId="0A200446" w14:textId="27FAAF82" w:rsidR="00C11B69" w:rsidRPr="000D119D" w:rsidRDefault="00C11B69" w:rsidP="001E3C55">
      <w:pPr>
        <w:rPr>
          <w:lang w:val="en-AU"/>
        </w:rPr>
      </w:pPr>
      <w:r w:rsidRPr="000D119D">
        <w:rPr>
          <w:lang w:val="en-AU"/>
        </w:rPr>
        <w:t>The PHN that engaged a third-party service provider emphasised the need to work in partnership with existing service providers across the community, to build engagement and strengthen referral pathways into and out of the satellite.</w:t>
      </w:r>
    </w:p>
    <w:p w14:paraId="0950AF40" w14:textId="775BBEEE" w:rsidR="00C11B69" w:rsidRDefault="00C11B69" w:rsidP="001E3C55">
      <w:pPr>
        <w:rPr>
          <w:lang w:val="en-AU"/>
        </w:rPr>
      </w:pPr>
      <w:r w:rsidRPr="000D119D">
        <w:rPr>
          <w:lang w:val="en-AU"/>
        </w:rPr>
        <w:t xml:space="preserve">Most satellites are characterised by a much smaller staffing profile. This reduces ability to deliver a multi-disciplinary and/or clinical approach for </w:t>
      </w:r>
      <w:r w:rsidR="00F40845" w:rsidRPr="000D119D">
        <w:rPr>
          <w:lang w:val="en-AU"/>
        </w:rPr>
        <w:t>participants</w:t>
      </w:r>
      <w:r w:rsidRPr="000D119D">
        <w:rPr>
          <w:lang w:val="en-AU"/>
        </w:rPr>
        <w:t xml:space="preserve"> and has been raised as a concern for model fidelity and </w:t>
      </w:r>
      <w:r w:rsidR="00F40845" w:rsidRPr="000D119D">
        <w:rPr>
          <w:lang w:val="en-AU"/>
        </w:rPr>
        <w:t>participant</w:t>
      </w:r>
      <w:r w:rsidRPr="000D119D">
        <w:rPr>
          <w:lang w:val="en-AU"/>
        </w:rPr>
        <w:t xml:space="preserve"> experience by some stakeholders. </w:t>
      </w:r>
      <w:r w:rsidR="008C555E" w:rsidRPr="000D119D">
        <w:rPr>
          <w:lang w:val="en-AU"/>
        </w:rPr>
        <w:t xml:space="preserve">While choice may not be able to be </w:t>
      </w:r>
      <w:r w:rsidR="008C555E" w:rsidRPr="000D119D">
        <w:rPr>
          <w:lang w:val="en-AU"/>
        </w:rPr>
        <w:lastRenderedPageBreak/>
        <w:t xml:space="preserve">provided in all aspects of treatment, well‐funded and well‐staffed services will have greater propensity to provide options. </w:t>
      </w:r>
    </w:p>
    <w:p w14:paraId="49338E0C" w14:textId="475CD427" w:rsidR="0038436C" w:rsidRPr="000D119D" w:rsidRDefault="0038436C" w:rsidP="007103D0">
      <w:pPr>
        <w:pStyle w:val="Heading3"/>
      </w:pPr>
      <w:bookmarkStart w:id="86" w:name="_Ref96961450"/>
      <w:bookmarkStart w:id="87" w:name="_Toc99650348"/>
      <w:r w:rsidRPr="000D119D">
        <w:t xml:space="preserve">Service </w:t>
      </w:r>
      <w:r w:rsidR="00D579A7" w:rsidRPr="000D119D">
        <w:t>awareness and promotion</w:t>
      </w:r>
      <w:bookmarkEnd w:id="86"/>
      <w:bookmarkEnd w:id="87"/>
    </w:p>
    <w:p w14:paraId="287ACDBC" w14:textId="2842E75F" w:rsidR="008C5FDF" w:rsidRPr="000D119D" w:rsidRDefault="00602EF1" w:rsidP="00BE0860">
      <w:pPr>
        <w:pStyle w:val="Heading4"/>
      </w:pPr>
      <w:r w:rsidRPr="000D119D">
        <w:rPr>
          <w:noProof/>
        </w:rPr>
        <mc:AlternateContent>
          <mc:Choice Requires="wps">
            <w:drawing>
              <wp:anchor distT="0" distB="0" distL="114300" distR="114300" simplePos="0" relativeHeight="251654656" behindDoc="0" locked="0" layoutInCell="1" allowOverlap="1" wp14:anchorId="2C9A05CD" wp14:editId="420E2A86">
                <wp:simplePos x="0" y="0"/>
                <wp:positionH relativeFrom="column">
                  <wp:posOffset>3907155</wp:posOffset>
                </wp:positionH>
                <wp:positionV relativeFrom="paragraph">
                  <wp:posOffset>415925</wp:posOffset>
                </wp:positionV>
                <wp:extent cx="1812290" cy="2226310"/>
                <wp:effectExtent l="0" t="0" r="0" b="2540"/>
                <wp:wrapSquare wrapText="bothSides"/>
                <wp:docPr id="27837" name="Text Box 278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12290" cy="2226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B027F" w14:textId="5C7595B4" w:rsidR="008E2AE0" w:rsidRPr="00DC6C2A" w:rsidRDefault="00625AE9" w:rsidP="00DC6C2A">
                            <w:pPr>
                              <w:pStyle w:val="Callout"/>
                              <w:pBdr>
                                <w:left w:val="single" w:sz="18" w:space="0" w:color="25B3E0" w:themeColor="accent6"/>
                              </w:pBdr>
                              <w:rPr>
                                <w:color w:val="0070C0"/>
                              </w:rPr>
                            </w:pPr>
                            <w:r w:rsidRPr="00D75BB6">
                              <w:rPr>
                                <w:color w:val="0070C0"/>
                              </w:rPr>
                              <w:t>“</w:t>
                            </w:r>
                            <w:r w:rsidR="008E2AE0" w:rsidRPr="00D75BB6">
                              <w:rPr>
                                <w:color w:val="0070C0"/>
                              </w:rPr>
                              <w:t>I had never heard of them… I don’t know how they advertised themselves but clearly for someone that’s vaguely aware of this stuff, yeah, the fact I’d never heard of them was probably – maybe they could do a bit more promotion</w:t>
                            </w:r>
                            <w:r w:rsidRPr="00D75BB6">
                              <w:rPr>
                                <w:color w:val="0070C0"/>
                              </w:rPr>
                              <w:t>.”</w:t>
                            </w:r>
                            <w:r w:rsidR="008E2AE0" w:rsidRPr="00D75BB6">
                              <w:rPr>
                                <w:color w:val="0070C0"/>
                              </w:rPr>
                              <w:t xml:space="preserve"> – </w:t>
                            </w:r>
                            <w:r w:rsidR="007C43A1">
                              <w:rPr>
                                <w:i/>
                                <w:color w:val="0070C0"/>
                              </w:rPr>
                              <w:t>Participant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9A05CD" id="Text Box 27837" o:spid="_x0000_s1029" type="#_x0000_t202" alt="&quot;&quot;" style="position:absolute;margin-left:307.65pt;margin-top:32.75pt;width:142.7pt;height:175.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" fillcolor="white [3201]" stroked="f" strokeweight=".5pt">
                <v:textbox inset="0,,1mm">
                  <w:txbxContent>
                    <w:p w14:paraId="5A7B027F" w14:textId="5C7595B4" w:rsidR="008E2AE0" w:rsidRPr="00DC6C2A" w:rsidRDefault="00625AE9" w:rsidP="00DC6C2A">
                      <w:pPr>
                        <w:pStyle w:val="Callout"/>
                        <w:pBdr>
                          <w:left w:val="single" w:sz="18" w:space="0" w:color="25B3E0" w:themeColor="accent6"/>
                        </w:pBdr>
                        <w:rPr>
                          <w:color w:val="0070C0"/>
                        </w:rPr>
                      </w:pPr>
                      <w:r w:rsidRPr="00D75BB6">
                        <w:rPr>
                          <w:color w:val="0070C0"/>
                        </w:rPr>
                        <w:t>“</w:t>
                      </w:r>
                      <w:r w:rsidR="008E2AE0" w:rsidRPr="00D75BB6">
                        <w:rPr>
                          <w:color w:val="0070C0"/>
                        </w:rPr>
                        <w:t>I had never heard of them… I don’t know how they advertised themselves but clearly for someone that’s vaguely aware of this stuff, yeah, the fact I’d never heard of them was probably – maybe they could do a bit more promotion</w:t>
                      </w:r>
                      <w:r w:rsidRPr="00D75BB6">
                        <w:rPr>
                          <w:color w:val="0070C0"/>
                        </w:rPr>
                        <w:t>.”</w:t>
                      </w:r>
                      <w:r w:rsidR="008E2AE0" w:rsidRPr="00D75BB6">
                        <w:rPr>
                          <w:color w:val="0070C0"/>
                        </w:rPr>
                        <w:t xml:space="preserve"> – </w:t>
                      </w:r>
                      <w:r w:rsidR="007C43A1">
                        <w:rPr>
                          <w:i/>
                          <w:color w:val="0070C0"/>
                        </w:rPr>
                        <w:t>Participant</w:t>
                      </w:r>
                    </w:p>
                  </w:txbxContent>
                </v:textbox>
                <w10:wrap type="square"/>
              </v:shape>
            </w:pict>
          </mc:Fallback>
        </mc:AlternateContent>
      </w:r>
      <w:r w:rsidR="0080055F">
        <w:t xml:space="preserve">Broader promotion of </w:t>
      </w:r>
      <w:proofErr w:type="spellStart"/>
      <w:r w:rsidR="0080055F">
        <w:t>HeadtoHelp</w:t>
      </w:r>
      <w:proofErr w:type="spellEnd"/>
      <w:r w:rsidR="0080055F">
        <w:t xml:space="preserve"> </w:t>
      </w:r>
      <w:r w:rsidR="00E20D0F">
        <w:t xml:space="preserve">could enable </w:t>
      </w:r>
      <w:r w:rsidR="000213F8">
        <w:t>greater</w:t>
      </w:r>
      <w:r w:rsidR="00E20D0F">
        <w:t xml:space="preserve"> access</w:t>
      </w:r>
    </w:p>
    <w:p w14:paraId="1B7679B8" w14:textId="4354FD9E" w:rsidR="00AD65C3" w:rsidRPr="000D119D" w:rsidRDefault="00F33051" w:rsidP="00DF6127">
      <w:pPr>
        <w:rPr>
          <w:lang w:val="en-AU"/>
        </w:rPr>
      </w:pPr>
      <w:r w:rsidRPr="00DC6C2A">
        <w:rPr>
          <w:rStyle w:val="Emphasis"/>
        </w:rPr>
        <mc:AlternateContent>
          <mc:Choice Requires="wps">
            <w:drawing>
              <wp:anchor distT="0" distB="0" distL="114300" distR="114300" simplePos="0" relativeHeight="251661824" behindDoc="0" locked="0" layoutInCell="1" allowOverlap="1" wp14:anchorId="7F1B4680" wp14:editId="755B2AE4">
                <wp:simplePos x="0" y="0"/>
                <wp:positionH relativeFrom="column">
                  <wp:posOffset>-4445</wp:posOffset>
                </wp:positionH>
                <wp:positionV relativeFrom="paragraph">
                  <wp:posOffset>875665</wp:posOffset>
                </wp:positionV>
                <wp:extent cx="1899920" cy="1976120"/>
                <wp:effectExtent l="0" t="0" r="5080" b="5080"/>
                <wp:wrapSquare wrapText="bothSides"/>
                <wp:docPr id="59" name="Text Box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99920" cy="1976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71DF2E" w14:textId="4B864ED0" w:rsidR="00287524" w:rsidRPr="00D75BB6" w:rsidRDefault="00287524" w:rsidP="00187317">
                            <w:pPr>
                              <w:pStyle w:val="Callout"/>
                              <w:rPr>
                                <w:color w:val="0070C0"/>
                              </w:rPr>
                            </w:pPr>
                            <w:r w:rsidRPr="00D75BB6">
                              <w:rPr>
                                <w:color w:val="0070C0"/>
                              </w:rPr>
                              <w:t>"I was just sort of surprised to learn that that kind of service existed and that I wasn't at all aware of it… If I had of known… we could have perhaps done it, you know, before we got to as bad a position that we were in</w:t>
                            </w:r>
                            <w:r w:rsidR="003A166F">
                              <w:rPr>
                                <w:color w:val="0070C0"/>
                              </w:rPr>
                              <w:t>.</w:t>
                            </w:r>
                            <w:r w:rsidRPr="00D75BB6">
                              <w:rPr>
                                <w:color w:val="0070C0"/>
                              </w:rPr>
                              <w:t xml:space="preserve">” – </w:t>
                            </w:r>
                            <w:r w:rsidRPr="005D5F50">
                              <w:rPr>
                                <w:i/>
                                <w:color w:val="0070C0"/>
                              </w:rPr>
                              <w:t>Support person</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1B4680" id="Text Box 59" o:spid="_x0000_s1030" type="#_x0000_t202" alt="&quot;&quot;" style="position:absolute;margin-left:-.35pt;margin-top:68.95pt;width:149.6pt;height:15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" fillcolor="white [3201]" stroked="f" strokeweight=".5pt">
                <v:textbox inset="0,,1mm">
                  <w:txbxContent>
                    <w:p w14:paraId="3C71DF2E" w14:textId="4B864ED0" w:rsidR="00287524" w:rsidRPr="00D75BB6" w:rsidRDefault="00287524" w:rsidP="00187317">
                      <w:pPr>
                        <w:pStyle w:val="Callout"/>
                        <w:rPr>
                          <w:color w:val="0070C0"/>
                        </w:rPr>
                      </w:pPr>
                      <w:r w:rsidRPr="00D75BB6">
                        <w:rPr>
                          <w:color w:val="0070C0"/>
                        </w:rPr>
                        <w:t>"I was just sort of surprised to learn that that kind of service existed and that I wasn't at all aware of it… If I had of known… we could have perhaps done it, you know, before we got to as bad a position that we were in</w:t>
                      </w:r>
                      <w:r w:rsidR="003A166F">
                        <w:rPr>
                          <w:color w:val="0070C0"/>
                        </w:rPr>
                        <w:t>.</w:t>
                      </w:r>
                      <w:r w:rsidRPr="00D75BB6">
                        <w:rPr>
                          <w:color w:val="0070C0"/>
                        </w:rPr>
                        <w:t xml:space="preserve">” – </w:t>
                      </w:r>
                      <w:r w:rsidRPr="005D5F50">
                        <w:rPr>
                          <w:i/>
                          <w:color w:val="0070C0"/>
                        </w:rPr>
                        <w:t>Support person</w:t>
                      </w:r>
                    </w:p>
                  </w:txbxContent>
                </v:textbox>
                <w10:wrap type="square"/>
              </v:shape>
            </w:pict>
          </mc:Fallback>
        </mc:AlternateContent>
      </w:r>
      <w:proofErr w:type="spellStart"/>
      <w:r w:rsidR="001B4C57" w:rsidRPr="00DC6C2A">
        <w:rPr>
          <w:rStyle w:val="Emphasis"/>
        </w:rPr>
        <w:t>HeadtoHelp</w:t>
      </w:r>
      <w:proofErr w:type="spellEnd"/>
      <w:r w:rsidR="001B4C57" w:rsidRPr="000D119D">
        <w:rPr>
          <w:lang w:val="en-AU"/>
        </w:rPr>
        <w:t xml:space="preserve"> appears to be predominantly accessed by people already connected to services delivered or supported through the </w:t>
      </w:r>
      <w:r w:rsidR="00866217">
        <w:rPr>
          <w:lang w:val="en-AU"/>
        </w:rPr>
        <w:t>PHNs</w:t>
      </w:r>
      <w:r w:rsidR="001B4C57" w:rsidRPr="000D119D">
        <w:rPr>
          <w:lang w:val="en-AU"/>
        </w:rPr>
        <w:t xml:space="preserve"> such as GPs and other government services</w:t>
      </w:r>
      <w:r w:rsidR="0023002E" w:rsidRPr="000D119D">
        <w:rPr>
          <w:lang w:val="en-AU"/>
        </w:rPr>
        <w:t xml:space="preserve"> (see </w:t>
      </w:r>
      <w:r w:rsidR="005E3CE0">
        <w:rPr>
          <w:lang w:val="en-AU"/>
        </w:rPr>
        <w:fldChar w:fldCharType="begin"/>
      </w:r>
      <w:r w:rsidR="005E3CE0">
        <w:rPr>
          <w:lang w:val="en-AU"/>
        </w:rPr>
        <w:instrText xml:space="preserve"> REF _Ref97046232 \h </w:instrText>
      </w:r>
      <w:r w:rsidR="005E3CE0">
        <w:rPr>
          <w:lang w:val="en-AU"/>
        </w:rPr>
      </w:r>
      <w:r w:rsidR="005E3CE0">
        <w:rPr>
          <w:lang w:val="en-AU"/>
        </w:rPr>
        <w:fldChar w:fldCharType="separate"/>
      </w:r>
      <w:r w:rsidR="00562174" w:rsidRPr="000D119D">
        <w:t xml:space="preserve">Figure </w:t>
      </w:r>
      <w:r w:rsidR="00562174">
        <w:rPr>
          <w:noProof/>
        </w:rPr>
        <w:t>30</w:t>
      </w:r>
      <w:r w:rsidR="005E3CE0">
        <w:rPr>
          <w:lang w:val="en-AU"/>
        </w:rPr>
        <w:fldChar w:fldCharType="end"/>
      </w:r>
      <w:r w:rsidR="0023002E" w:rsidRPr="000D119D">
        <w:rPr>
          <w:lang w:val="en-AU"/>
        </w:rPr>
        <w:t>)</w:t>
      </w:r>
      <w:r w:rsidR="001B4C57" w:rsidRPr="000D119D">
        <w:rPr>
          <w:lang w:val="en-AU"/>
        </w:rPr>
        <w:t xml:space="preserve">. </w:t>
      </w:r>
      <w:r w:rsidR="00124B1B" w:rsidRPr="000D119D">
        <w:rPr>
          <w:lang w:val="en-AU"/>
        </w:rPr>
        <w:t xml:space="preserve">Few people found out about </w:t>
      </w:r>
      <w:proofErr w:type="spellStart"/>
      <w:r w:rsidR="00124B1B" w:rsidRPr="00DC6C2A">
        <w:rPr>
          <w:rStyle w:val="Emphasis"/>
        </w:rPr>
        <w:t>HeadtoHelp</w:t>
      </w:r>
      <w:proofErr w:type="spellEnd"/>
      <w:r w:rsidR="00124B1B" w:rsidRPr="000D119D">
        <w:rPr>
          <w:lang w:val="en-AU"/>
        </w:rPr>
        <w:t xml:space="preserve"> through advertising and </w:t>
      </w:r>
      <w:r w:rsidR="003B7F73">
        <w:rPr>
          <w:lang w:val="en-AU"/>
        </w:rPr>
        <w:t>16</w:t>
      </w:r>
      <w:r w:rsidR="00124B1B" w:rsidRPr="000D119D">
        <w:rPr>
          <w:lang w:val="en-AU"/>
        </w:rPr>
        <w:t xml:space="preserve"> interviewees spontaneously commented that they thought that </w:t>
      </w:r>
      <w:proofErr w:type="spellStart"/>
      <w:r w:rsidR="00124B1B" w:rsidRPr="00DC6C2A">
        <w:rPr>
          <w:rStyle w:val="Emphasis"/>
        </w:rPr>
        <w:t>HeadtoHelp</w:t>
      </w:r>
      <w:proofErr w:type="spellEnd"/>
      <w:r w:rsidR="00124B1B" w:rsidRPr="000D119D">
        <w:rPr>
          <w:lang w:val="en-AU"/>
        </w:rPr>
        <w:t xml:space="preserve"> was not well known or promoted and that they had been lucky to stumble upon it. This situation did not appear to have improved over time.</w:t>
      </w:r>
    </w:p>
    <w:p w14:paraId="0F47EDE8" w14:textId="77777777" w:rsidR="000E2EF3" w:rsidRPr="00F043CE" w:rsidRDefault="000E2EF3" w:rsidP="000E2EF3">
      <w:pPr>
        <w:rPr>
          <w:lang w:val="en-AU"/>
        </w:rPr>
      </w:pPr>
      <w:r w:rsidRPr="00F043CE">
        <w:rPr>
          <w:lang w:val="en-AU"/>
        </w:rPr>
        <w:t xml:space="preserve">It should also be noted that there was sometimes a lack of understanding about the nature and purposes of </w:t>
      </w:r>
      <w:proofErr w:type="spellStart"/>
      <w:r w:rsidRPr="00DC6C2A">
        <w:rPr>
          <w:rStyle w:val="Emphasis"/>
        </w:rPr>
        <w:t>HeadtoHelp</w:t>
      </w:r>
      <w:proofErr w:type="spellEnd"/>
      <w:r w:rsidRPr="00F043CE">
        <w:rPr>
          <w:lang w:val="en-AU"/>
        </w:rPr>
        <w:t xml:space="preserve">. </w:t>
      </w:r>
      <w:r w:rsidRPr="00F043CE">
        <w:t xml:space="preserve">Thirty </w:t>
      </w:r>
      <w:proofErr w:type="spellStart"/>
      <w:r w:rsidRPr="00DC6C2A">
        <w:rPr>
          <w:rStyle w:val="Emphasis"/>
        </w:rPr>
        <w:t>HeadtoHelp</w:t>
      </w:r>
      <w:proofErr w:type="spellEnd"/>
      <w:r w:rsidRPr="00F043CE">
        <w:t xml:space="preserve"> participants showed evidence of having an incomplete or incorrect understanding of </w:t>
      </w:r>
      <w:proofErr w:type="spellStart"/>
      <w:r w:rsidRPr="00DC6C2A">
        <w:rPr>
          <w:rStyle w:val="Emphasis"/>
        </w:rPr>
        <w:t>HeadtoHelp</w:t>
      </w:r>
      <w:proofErr w:type="spellEnd"/>
      <w:r w:rsidRPr="00F043CE">
        <w:t xml:space="preserve"> and its functions or processes, including thinking of </w:t>
      </w:r>
      <w:proofErr w:type="spellStart"/>
      <w:r w:rsidRPr="00DC6C2A">
        <w:rPr>
          <w:rStyle w:val="Emphasis"/>
        </w:rPr>
        <w:t>HeadtoHelp</w:t>
      </w:r>
      <w:proofErr w:type="spellEnd"/>
      <w:r w:rsidRPr="00F043CE">
        <w:t xml:space="preserve"> as a referral line, that it was crisis or telephone counselling and that it only offered psychology services. Some reported thinking that a mental health plan was required, and others were confused about which health workers were part of </w:t>
      </w:r>
      <w:proofErr w:type="spellStart"/>
      <w:r w:rsidRPr="00DC6C2A">
        <w:rPr>
          <w:rStyle w:val="Emphasis"/>
        </w:rPr>
        <w:t>HeadtoHelp</w:t>
      </w:r>
      <w:proofErr w:type="spellEnd"/>
      <w:r w:rsidRPr="00F043CE">
        <w:t xml:space="preserve"> and which were external, as well as having misunderstandings about the assessment process.</w:t>
      </w:r>
    </w:p>
    <w:p w14:paraId="557E99AC" w14:textId="4F306FE9" w:rsidR="000E2EF3" w:rsidRPr="000D119D" w:rsidRDefault="000E2EF3" w:rsidP="000E2EF3">
      <w:pPr>
        <w:rPr>
          <w:lang w:val="en-AU"/>
        </w:rPr>
      </w:pPr>
      <w:r w:rsidRPr="00F043CE">
        <w:rPr>
          <w:lang w:val="en-AU"/>
        </w:rPr>
        <w:t xml:space="preserve">These participant’s understandings were based on their own experience – the level of care they were assessed as needing and the support they received. Another talked about being assessed at a particular ‘level’, however, not understanding what these levels meant. A lack of overall understanding of </w:t>
      </w:r>
      <w:proofErr w:type="spellStart"/>
      <w:r w:rsidRPr="00DC6C2A">
        <w:rPr>
          <w:rStyle w:val="Emphasis"/>
        </w:rPr>
        <w:t>HeadtoHelp</w:t>
      </w:r>
      <w:proofErr w:type="spellEnd"/>
      <w:r w:rsidRPr="00F043CE">
        <w:rPr>
          <w:lang w:val="en-AU"/>
        </w:rPr>
        <w:t xml:space="preserve"> may mean that in future, if people’s needs changed, they might not recontact </w:t>
      </w:r>
      <w:proofErr w:type="spellStart"/>
      <w:r w:rsidRPr="00DC6C2A">
        <w:rPr>
          <w:rStyle w:val="Emphasis"/>
        </w:rPr>
        <w:t>HeadtoHelp</w:t>
      </w:r>
      <w:proofErr w:type="spellEnd"/>
      <w:r w:rsidR="00650430" w:rsidRPr="00F043CE">
        <w:rPr>
          <w:i/>
          <w:lang w:val="en-AU"/>
        </w:rPr>
        <w:t>.</w:t>
      </w:r>
    </w:p>
    <w:p w14:paraId="67418CBB" w14:textId="694EC66C" w:rsidR="001B4C57" w:rsidRPr="000D119D" w:rsidRDefault="001B4C57" w:rsidP="00DF6127">
      <w:pPr>
        <w:rPr>
          <w:lang w:val="en-AU"/>
        </w:rPr>
      </w:pPr>
      <w:bookmarkStart w:id="88" w:name="_Ref97025241"/>
      <w:r w:rsidRPr="000D119D">
        <w:rPr>
          <w:lang w:val="en-AU"/>
        </w:rPr>
        <w:t xml:space="preserve">Broader promotion of the </w:t>
      </w:r>
      <w:proofErr w:type="spellStart"/>
      <w:r w:rsidRPr="00DC6C2A">
        <w:rPr>
          <w:rStyle w:val="Emphasis"/>
        </w:rPr>
        <w:t>HeadtoHelp</w:t>
      </w:r>
      <w:proofErr w:type="spellEnd"/>
      <w:r w:rsidRPr="000D119D">
        <w:rPr>
          <w:lang w:val="en-AU"/>
        </w:rPr>
        <w:t xml:space="preserve"> program using a range of advertising channels, including social media, is needed to achieve more equitable access.</w:t>
      </w:r>
      <w:bookmarkEnd w:id="88"/>
      <w:r w:rsidR="001363DF" w:rsidRPr="000D119D">
        <w:rPr>
          <w:lang w:val="en-AU"/>
        </w:rPr>
        <w:t xml:space="preserve"> </w:t>
      </w:r>
    </w:p>
    <w:p w14:paraId="43DE53E5" w14:textId="6A672E5B" w:rsidR="00497814" w:rsidRPr="000D119D" w:rsidRDefault="00497814" w:rsidP="00497814">
      <w:pPr>
        <w:pStyle w:val="Caption"/>
      </w:pPr>
      <w:bookmarkStart w:id="89" w:name="_Ref97046232"/>
      <w:r w:rsidRPr="000D119D">
        <w:lastRenderedPageBreak/>
        <w:t xml:space="preserve">Figure </w:t>
      </w:r>
      <w:r w:rsidR="00C90990">
        <w:fldChar w:fldCharType="begin"/>
      </w:r>
      <w:r w:rsidR="00C90990">
        <w:instrText xml:space="preserve"> SEQ Figure \* ARABIC </w:instrText>
      </w:r>
      <w:r w:rsidR="00C90990">
        <w:fldChar w:fldCharType="separate"/>
      </w:r>
      <w:r w:rsidR="00562174">
        <w:rPr>
          <w:noProof/>
        </w:rPr>
        <w:t>30</w:t>
      </w:r>
      <w:r w:rsidR="00C90990">
        <w:fldChar w:fldCharType="end"/>
      </w:r>
      <w:bookmarkEnd w:id="89"/>
      <w:r w:rsidRPr="000D119D">
        <w:t xml:space="preserve"> | Channels through which people found out about</w:t>
      </w:r>
      <w:r w:rsidRPr="00804F9D">
        <w:t xml:space="preserve"> </w:t>
      </w:r>
      <w:proofErr w:type="spellStart"/>
      <w:r w:rsidRPr="00804F9D">
        <w:t>HeadtoHelp</w:t>
      </w:r>
      <w:proofErr w:type="spellEnd"/>
    </w:p>
    <w:p w14:paraId="77CB0379" w14:textId="3F5E9650" w:rsidR="008E74EA" w:rsidRPr="000D119D" w:rsidRDefault="00557257" w:rsidP="001E3C55">
      <w:pPr>
        <w:rPr>
          <w:lang w:val="en-AU"/>
        </w:rPr>
      </w:pPr>
      <w:r w:rsidRPr="00557257">
        <w:rPr>
          <w:noProof/>
        </w:rPr>
        <w:drawing>
          <wp:inline distT="0" distB="0" distL="0" distR="0" wp14:anchorId="06BB0519" wp14:editId="77862884">
            <wp:extent cx="5670550" cy="2764155"/>
            <wp:effectExtent l="0" t="0" r="6350" b="0"/>
            <wp:docPr id="28199" name="Picture 28199" descr="Figure 30 is a bar graph showing the channels through which people found out about Head to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9" name="Picture 28199" descr="Figure 30 is a bar graph showing the channels through which people found out about Head to Hel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70550" cy="2764155"/>
                    </a:xfrm>
                    <a:prstGeom prst="rect">
                      <a:avLst/>
                    </a:prstGeom>
                    <a:noFill/>
                    <a:ln>
                      <a:noFill/>
                    </a:ln>
                  </pic:spPr>
                </pic:pic>
              </a:graphicData>
            </a:graphic>
          </wp:inline>
        </w:drawing>
      </w:r>
    </w:p>
    <w:p w14:paraId="51FAE44B" w14:textId="560A2C29" w:rsidR="00AD65C3" w:rsidRPr="000D119D" w:rsidRDefault="00AD65C3" w:rsidP="00BE0860">
      <w:pPr>
        <w:pStyle w:val="Heading4"/>
      </w:pPr>
      <w:r w:rsidRPr="000D119D">
        <w:t>Many stakeholders felt the level of service promotion and community engagement was underdone</w:t>
      </w:r>
    </w:p>
    <w:p w14:paraId="687BAB36" w14:textId="05315E4A" w:rsidR="00AD65C3" w:rsidRPr="000D119D" w:rsidRDefault="00AD65C3" w:rsidP="001E3C55">
      <w:pPr>
        <w:rPr>
          <w:lang w:val="en-AU"/>
        </w:rPr>
      </w:pPr>
      <w:r w:rsidRPr="000D119D">
        <w:rPr>
          <w:lang w:val="en-AU"/>
        </w:rPr>
        <w:t xml:space="preserve">Following the establishment of </w:t>
      </w:r>
      <w:proofErr w:type="spellStart"/>
      <w:r w:rsidRPr="00DC6C2A">
        <w:rPr>
          <w:rStyle w:val="Emphasis"/>
        </w:rPr>
        <w:t>HeadtoHelp</w:t>
      </w:r>
      <w:proofErr w:type="spellEnd"/>
      <w:r w:rsidRPr="000D119D">
        <w:rPr>
          <w:lang w:val="en-AU"/>
        </w:rPr>
        <w:t xml:space="preserve">, the communications team ran a four-week campaign from early April, timed for when </w:t>
      </w:r>
      <w:proofErr w:type="spellStart"/>
      <w:r w:rsidRPr="000D119D">
        <w:rPr>
          <w:lang w:val="en-AU"/>
        </w:rPr>
        <w:t>JobKeeper</w:t>
      </w:r>
      <w:proofErr w:type="spellEnd"/>
      <w:r w:rsidRPr="000D119D">
        <w:rPr>
          <w:lang w:val="en-AU"/>
        </w:rPr>
        <w:t xml:space="preserve"> ended. The campaign included paid Google search, radio advertisements, print and online media, and various social media platforms. </w:t>
      </w:r>
    </w:p>
    <w:p w14:paraId="5791D7C1" w14:textId="29FB65B7" w:rsidR="00885F5A" w:rsidRPr="000D119D" w:rsidRDefault="005E4458" w:rsidP="001E3C55">
      <w:pPr>
        <w:rPr>
          <w:lang w:val="en-AU"/>
        </w:rPr>
      </w:pPr>
      <w:r w:rsidRPr="000D119D">
        <w:rPr>
          <w:lang w:val="en-AU"/>
        </w:rPr>
        <w:t>Many</w:t>
      </w:r>
      <w:r w:rsidR="00885F5A" w:rsidRPr="000D119D">
        <w:rPr>
          <w:lang w:val="en-AU"/>
        </w:rPr>
        <w:t xml:space="preserve"> hubs felt frustrated with how the </w:t>
      </w:r>
      <w:proofErr w:type="spellStart"/>
      <w:r w:rsidR="00885F5A" w:rsidRPr="00DC6C2A">
        <w:rPr>
          <w:rStyle w:val="Emphasis"/>
        </w:rPr>
        <w:t>HeadtoHelp</w:t>
      </w:r>
      <w:proofErr w:type="spellEnd"/>
      <w:r w:rsidR="00885F5A" w:rsidRPr="000D119D">
        <w:rPr>
          <w:i/>
          <w:iCs/>
          <w:lang w:val="en-AU"/>
        </w:rPr>
        <w:t xml:space="preserve"> </w:t>
      </w:r>
      <w:r w:rsidR="00885F5A" w:rsidRPr="000D119D">
        <w:rPr>
          <w:lang w:val="en-AU"/>
        </w:rPr>
        <w:t xml:space="preserve">service was </w:t>
      </w:r>
      <w:r w:rsidR="00836F96" w:rsidRPr="000D119D">
        <w:rPr>
          <w:lang w:val="en-AU"/>
        </w:rPr>
        <w:t>promoted and</w:t>
      </w:r>
      <w:r w:rsidR="00312053" w:rsidRPr="000D119D">
        <w:rPr>
          <w:lang w:val="en-AU"/>
        </w:rPr>
        <w:t xml:space="preserve"> noted that</w:t>
      </w:r>
      <w:r w:rsidR="00741342" w:rsidRPr="000D119D">
        <w:rPr>
          <w:lang w:val="en-AU"/>
        </w:rPr>
        <w:t xml:space="preserve"> </w:t>
      </w:r>
      <w:r w:rsidR="007915A4" w:rsidRPr="000D119D">
        <w:rPr>
          <w:lang w:val="en-AU"/>
        </w:rPr>
        <w:t xml:space="preserve">the level of community engagement or tailored communication was limited, resulting in less </w:t>
      </w:r>
      <w:r w:rsidR="00A928EA" w:rsidRPr="000D119D">
        <w:rPr>
          <w:lang w:val="en-AU"/>
        </w:rPr>
        <w:t xml:space="preserve">initial referrals to the service. </w:t>
      </w:r>
      <w:r w:rsidR="00B548C3" w:rsidRPr="000D119D">
        <w:rPr>
          <w:lang w:val="en-AU"/>
        </w:rPr>
        <w:t xml:space="preserve">Staff highlighted </w:t>
      </w:r>
      <w:r w:rsidR="00E77397" w:rsidRPr="000D119D">
        <w:rPr>
          <w:lang w:val="en-AU"/>
        </w:rPr>
        <w:t>three</w:t>
      </w:r>
      <w:r w:rsidR="00B548C3" w:rsidRPr="000D119D">
        <w:rPr>
          <w:lang w:val="en-AU"/>
        </w:rPr>
        <w:t xml:space="preserve"> components of the </w:t>
      </w:r>
      <w:proofErr w:type="spellStart"/>
      <w:r w:rsidR="00B548C3" w:rsidRPr="00DC6C2A">
        <w:rPr>
          <w:rStyle w:val="Emphasis"/>
        </w:rPr>
        <w:t>HeadtoHelp</w:t>
      </w:r>
      <w:proofErr w:type="spellEnd"/>
      <w:r w:rsidR="00B548C3" w:rsidRPr="000D119D">
        <w:rPr>
          <w:i/>
          <w:iCs/>
          <w:lang w:val="en-AU"/>
        </w:rPr>
        <w:t xml:space="preserve"> </w:t>
      </w:r>
      <w:r w:rsidR="00B548C3" w:rsidRPr="000D119D">
        <w:rPr>
          <w:lang w:val="en-AU"/>
        </w:rPr>
        <w:t>branding and promotion that likely contributed to this:</w:t>
      </w:r>
    </w:p>
    <w:p w14:paraId="0A337998" w14:textId="2C79DF7E" w:rsidR="008C5FDF" w:rsidRPr="000D119D" w:rsidRDefault="00C524A9" w:rsidP="00E457E2">
      <w:pPr>
        <w:pStyle w:val="ListBullet"/>
      </w:pPr>
      <w:r w:rsidRPr="000D119D">
        <w:rPr>
          <w:rFonts w:asciiTheme="majorHAnsi" w:hAnsiTheme="majorHAnsi" w:cstheme="majorHAnsi"/>
          <w:noProof/>
        </w:rPr>
        <w:drawing>
          <wp:anchor distT="0" distB="0" distL="114300" distR="114300" simplePos="0" relativeHeight="251659776" behindDoc="0" locked="0" layoutInCell="1" allowOverlap="1" wp14:anchorId="6C9D41BD" wp14:editId="0AFD69CC">
            <wp:simplePos x="0" y="0"/>
            <wp:positionH relativeFrom="column">
              <wp:posOffset>4908378</wp:posOffset>
            </wp:positionH>
            <wp:positionV relativeFrom="paragraph">
              <wp:posOffset>38952</wp:posOffset>
            </wp:positionV>
            <wp:extent cx="878205" cy="1494790"/>
            <wp:effectExtent l="0" t="0" r="0" b="0"/>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8205" cy="1494790"/>
                    </a:xfrm>
                    <a:prstGeom prst="rect">
                      <a:avLst/>
                    </a:prstGeom>
                    <a:noFill/>
                  </pic:spPr>
                </pic:pic>
              </a:graphicData>
            </a:graphic>
            <wp14:sizeRelH relativeFrom="margin">
              <wp14:pctWidth>0</wp14:pctWidth>
            </wp14:sizeRelH>
            <wp14:sizeRelV relativeFrom="margin">
              <wp14:pctHeight>0</wp14:pctHeight>
            </wp14:sizeRelV>
          </wp:anchor>
        </w:drawing>
      </w:r>
      <w:r w:rsidR="00B548C3" w:rsidRPr="000D119D">
        <w:rPr>
          <w:rFonts w:asciiTheme="majorHAnsi" w:hAnsiTheme="majorHAnsi" w:cstheme="majorHAnsi"/>
        </w:rPr>
        <w:t xml:space="preserve">The </w:t>
      </w:r>
      <w:proofErr w:type="spellStart"/>
      <w:r w:rsidR="00C2008C" w:rsidRPr="000D119D">
        <w:rPr>
          <w:rFonts w:asciiTheme="majorHAnsi" w:hAnsiTheme="majorHAnsi" w:cstheme="majorHAnsi"/>
          <w:i/>
          <w:iCs/>
        </w:rPr>
        <w:t>HeadtoHelp</w:t>
      </w:r>
      <w:proofErr w:type="spellEnd"/>
      <w:r w:rsidR="00C2008C" w:rsidRPr="000D119D">
        <w:rPr>
          <w:rFonts w:asciiTheme="majorHAnsi" w:hAnsiTheme="majorHAnsi" w:cstheme="majorHAnsi"/>
        </w:rPr>
        <w:t xml:space="preserve"> Bear</w:t>
      </w:r>
      <w:r w:rsidR="00AD7CC3" w:rsidRPr="000D119D">
        <w:rPr>
          <w:rFonts w:asciiTheme="majorHAnsi" w:hAnsiTheme="majorHAnsi" w:cstheme="majorHAnsi"/>
        </w:rPr>
        <w:t xml:space="preserve"> </w:t>
      </w:r>
      <w:r w:rsidR="00AD7CC3" w:rsidRPr="000D119D">
        <w:rPr>
          <w:rFonts w:asciiTheme="minorHAnsi" w:hAnsiTheme="minorHAnsi" w:cstheme="minorHAnsi"/>
        </w:rPr>
        <w:t>(see right)</w:t>
      </w:r>
      <w:r w:rsidR="00C2008C" w:rsidRPr="000D119D">
        <w:rPr>
          <w:rFonts w:asciiTheme="minorHAnsi" w:hAnsiTheme="minorHAnsi" w:cstheme="minorHAnsi"/>
        </w:rPr>
        <w:t>.</w:t>
      </w:r>
      <w:r w:rsidR="00C2008C" w:rsidRPr="000D119D">
        <w:rPr>
          <w:rFonts w:asciiTheme="majorHAnsi" w:hAnsiTheme="majorHAnsi" w:cstheme="majorHAnsi"/>
        </w:rPr>
        <w:t xml:space="preserve"> </w:t>
      </w:r>
      <w:r w:rsidR="00A20571" w:rsidRPr="000D119D">
        <w:rPr>
          <w:rFonts w:asciiTheme="minorHAnsi" w:hAnsiTheme="minorHAnsi" w:cstheme="minorHAnsi"/>
        </w:rPr>
        <w:t xml:space="preserve">Views on the </w:t>
      </w:r>
      <w:proofErr w:type="spellStart"/>
      <w:r w:rsidR="00D774F4" w:rsidRPr="00DC6C2A">
        <w:rPr>
          <w:rStyle w:val="Emphasis"/>
        </w:rPr>
        <w:t>HeadtoHelp</w:t>
      </w:r>
      <w:proofErr w:type="spellEnd"/>
      <w:r w:rsidR="00D774F4" w:rsidRPr="000D119D">
        <w:rPr>
          <w:rFonts w:asciiTheme="minorHAnsi" w:hAnsiTheme="minorHAnsi" w:cstheme="minorHAnsi"/>
        </w:rPr>
        <w:t xml:space="preserve"> bear were mixed.</w:t>
      </w:r>
      <w:r w:rsidR="00D774F4" w:rsidRPr="000D119D">
        <w:rPr>
          <w:rFonts w:asciiTheme="majorHAnsi" w:hAnsiTheme="majorHAnsi" w:cstheme="majorHAnsi"/>
        </w:rPr>
        <w:t xml:space="preserve"> </w:t>
      </w:r>
      <w:r w:rsidR="00D774F4" w:rsidRPr="000D119D">
        <w:t>S</w:t>
      </w:r>
      <w:r w:rsidR="008C5FDF" w:rsidRPr="000D119D">
        <w:t xml:space="preserve">ome hubs felt the bear </w:t>
      </w:r>
      <w:r w:rsidR="0029727E" w:rsidRPr="000D119D">
        <w:t>did not</w:t>
      </w:r>
      <w:r w:rsidR="008C5FDF" w:rsidRPr="000D119D">
        <w:t xml:space="preserve"> </w:t>
      </w:r>
      <w:r w:rsidR="00161554" w:rsidRPr="000D119D">
        <w:t xml:space="preserve">‘hit the mark’ and failed to </w:t>
      </w:r>
      <w:r w:rsidR="00A330D0" w:rsidRPr="000D119D">
        <w:t xml:space="preserve">communicate </w:t>
      </w:r>
      <w:r w:rsidR="00463BD5" w:rsidRPr="000D119D">
        <w:t xml:space="preserve">the purpose and offering of </w:t>
      </w:r>
      <w:proofErr w:type="spellStart"/>
      <w:r w:rsidR="00463BD5" w:rsidRPr="00DC6C2A">
        <w:rPr>
          <w:rStyle w:val="Emphasis"/>
        </w:rPr>
        <w:t>HeadtoHelp</w:t>
      </w:r>
      <w:proofErr w:type="spellEnd"/>
      <w:r w:rsidR="00463BD5" w:rsidRPr="000D119D">
        <w:t xml:space="preserve"> clearly </w:t>
      </w:r>
      <w:r w:rsidR="00593D63" w:rsidRPr="000D119D">
        <w:t xml:space="preserve">to </w:t>
      </w:r>
      <w:proofErr w:type="gramStart"/>
      <w:r w:rsidR="00593D63" w:rsidRPr="000D119D">
        <w:t>particular cohorts</w:t>
      </w:r>
      <w:proofErr w:type="gramEnd"/>
      <w:r w:rsidR="00593D63" w:rsidRPr="000D119D">
        <w:t>, such as men and Aboriginal people</w:t>
      </w:r>
      <w:r w:rsidR="00463BD5" w:rsidRPr="000D119D">
        <w:t xml:space="preserve">, </w:t>
      </w:r>
      <w:r w:rsidR="00593D63" w:rsidRPr="000D119D">
        <w:t>and appeared</w:t>
      </w:r>
      <w:r w:rsidR="00463BD5" w:rsidRPr="000D119D">
        <w:t xml:space="preserve"> to</w:t>
      </w:r>
      <w:r w:rsidR="00C2008C" w:rsidRPr="000D119D">
        <w:t xml:space="preserve"> market the </w:t>
      </w:r>
      <w:r w:rsidR="008C5FDF" w:rsidRPr="000D119D">
        <w:t>service as a child service.</w:t>
      </w:r>
      <w:r w:rsidR="00AF04BD" w:rsidRPr="000D119D">
        <w:t xml:space="preserve"> </w:t>
      </w:r>
      <w:r w:rsidR="00593D63" w:rsidRPr="000D119D">
        <w:t xml:space="preserve">One hub </w:t>
      </w:r>
      <w:r w:rsidR="00EA1B6E" w:rsidRPr="000D119D">
        <w:t xml:space="preserve">described the bear as a barrier to community knowledge of the </w:t>
      </w:r>
      <w:r w:rsidR="00FB1E7E" w:rsidRPr="000D119D">
        <w:t>service and</w:t>
      </w:r>
      <w:r w:rsidR="00EA1B6E" w:rsidRPr="000D119D">
        <w:t xml:space="preserve"> questioned why an animal that is not native to Australia had been selected.</w:t>
      </w:r>
      <w:r w:rsidR="00593D63" w:rsidRPr="000D119D">
        <w:t xml:space="preserve"> </w:t>
      </w:r>
    </w:p>
    <w:p w14:paraId="0FAD7773" w14:textId="68D2CADF" w:rsidR="007915A4" w:rsidRPr="000D119D" w:rsidRDefault="00335259" w:rsidP="00E457E2">
      <w:pPr>
        <w:pStyle w:val="ListBullet"/>
      </w:pPr>
      <w:r w:rsidRPr="000D119D">
        <w:rPr>
          <w:rFonts w:ascii="Segoe UI Semibold" w:hAnsi="Segoe UI Semibold" w:cs="Segoe UI Semibold"/>
        </w:rPr>
        <w:t>Lack of tailor</w:t>
      </w:r>
      <w:r w:rsidR="00BA4FE6" w:rsidRPr="000D119D">
        <w:rPr>
          <w:rFonts w:ascii="Segoe UI Semibold" w:hAnsi="Segoe UI Semibold" w:cs="Segoe UI Semibold"/>
        </w:rPr>
        <w:t>ed</w:t>
      </w:r>
      <w:r w:rsidRPr="000D119D">
        <w:rPr>
          <w:rFonts w:ascii="Segoe UI Semibold" w:hAnsi="Segoe UI Semibold" w:cs="Segoe UI Semibold"/>
        </w:rPr>
        <w:t xml:space="preserve"> promotion to the local community context.</w:t>
      </w:r>
      <w:r w:rsidRPr="000D119D">
        <w:rPr>
          <w:b/>
          <w:bCs/>
        </w:rPr>
        <w:t xml:space="preserve"> </w:t>
      </w:r>
      <w:r w:rsidR="006A4893" w:rsidRPr="000D119D">
        <w:t xml:space="preserve">Several regional hubs </w:t>
      </w:r>
      <w:r w:rsidR="009F13D5" w:rsidRPr="000D119D">
        <w:t xml:space="preserve">highlighted the methods used to promote </w:t>
      </w:r>
      <w:proofErr w:type="spellStart"/>
      <w:r w:rsidR="009F13D5" w:rsidRPr="00DC6C2A">
        <w:rPr>
          <w:rStyle w:val="Emphasis"/>
        </w:rPr>
        <w:t>HeadtoHelp</w:t>
      </w:r>
      <w:proofErr w:type="spellEnd"/>
      <w:r w:rsidR="00D415CF" w:rsidRPr="000D119D">
        <w:rPr>
          <w:i/>
          <w:iCs/>
        </w:rPr>
        <w:t xml:space="preserve"> </w:t>
      </w:r>
      <w:r w:rsidR="00D415CF" w:rsidRPr="000D119D">
        <w:t>(e.g</w:t>
      </w:r>
      <w:r w:rsidR="0029727E" w:rsidRPr="000D119D">
        <w:t>.,</w:t>
      </w:r>
      <w:r w:rsidR="00D415CF" w:rsidRPr="000D119D">
        <w:t xml:space="preserve"> commercial radio and billboard advertisements)</w:t>
      </w:r>
      <w:r w:rsidR="009F13D5" w:rsidRPr="000D119D">
        <w:rPr>
          <w:i/>
          <w:iCs/>
        </w:rPr>
        <w:t xml:space="preserve"> </w:t>
      </w:r>
      <w:r w:rsidR="009F13D5" w:rsidRPr="000D119D">
        <w:t xml:space="preserve">were more appropriate and likely more effective within a metropolitan context </w:t>
      </w:r>
      <w:r w:rsidR="00D415CF" w:rsidRPr="000D119D">
        <w:t xml:space="preserve">rather </w:t>
      </w:r>
      <w:r w:rsidR="009F13D5" w:rsidRPr="000D119D">
        <w:t xml:space="preserve">than a regional </w:t>
      </w:r>
      <w:r w:rsidR="00D415CF" w:rsidRPr="000D119D">
        <w:t>setting</w:t>
      </w:r>
      <w:r w:rsidR="009F13D5" w:rsidRPr="000D119D">
        <w:t>.</w:t>
      </w:r>
      <w:r w:rsidR="00D415CF" w:rsidRPr="000D119D">
        <w:t xml:space="preserve"> </w:t>
      </w:r>
      <w:r w:rsidR="00426B8B" w:rsidRPr="000D119D">
        <w:t xml:space="preserve">Staff from regional hubs </w:t>
      </w:r>
      <w:r w:rsidR="0030636C" w:rsidRPr="000D119D">
        <w:t>noted a more effective promotion method may have been promoting the service through local agencies or community social media pages.</w:t>
      </w:r>
      <w:r w:rsidR="00D627AB" w:rsidRPr="000D119D">
        <w:t xml:space="preserve"> </w:t>
      </w:r>
    </w:p>
    <w:p w14:paraId="0750C221" w14:textId="3EE8A598" w:rsidR="004F7B07" w:rsidRPr="000D119D" w:rsidRDefault="004620AC" w:rsidP="00E457E2">
      <w:pPr>
        <w:pStyle w:val="ListBullet"/>
      </w:pPr>
      <w:r w:rsidRPr="000D119D">
        <w:rPr>
          <w:rFonts w:asciiTheme="majorHAnsi" w:hAnsiTheme="majorHAnsi" w:cstheme="majorHAnsi"/>
          <w:noProof/>
        </w:rPr>
        <mc:AlternateContent>
          <mc:Choice Requires="wps">
            <w:drawing>
              <wp:anchor distT="0" distB="0" distL="114300" distR="114300" simplePos="0" relativeHeight="251656704" behindDoc="0" locked="0" layoutInCell="1" allowOverlap="1" wp14:anchorId="3C3B2E3F" wp14:editId="77312938">
                <wp:simplePos x="0" y="0"/>
                <wp:positionH relativeFrom="column">
                  <wp:posOffset>3890010</wp:posOffset>
                </wp:positionH>
                <wp:positionV relativeFrom="paragraph">
                  <wp:posOffset>473075</wp:posOffset>
                </wp:positionV>
                <wp:extent cx="1895475" cy="1752600"/>
                <wp:effectExtent l="0" t="0" r="9525" b="0"/>
                <wp:wrapSquare wrapText="bothSides"/>
                <wp:docPr id="56" name="Text Box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95475" cy="175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8B80C" w14:textId="4B56467F" w:rsidR="004620AC" w:rsidRPr="009F1CB7" w:rsidRDefault="00D058DE" w:rsidP="001C2F45">
                            <w:pPr>
                              <w:pStyle w:val="Callout"/>
                              <w:rPr>
                                <w:color w:val="0070C0"/>
                              </w:rPr>
                            </w:pPr>
                            <w:proofErr w:type="gramStart"/>
                            <w:r w:rsidRPr="00013FFE">
                              <w:rPr>
                                <w:color w:val="0070C0"/>
                              </w:rPr>
                              <w:t>”</w:t>
                            </w:r>
                            <w:r w:rsidR="00CA3E22" w:rsidRPr="00013FFE">
                              <w:rPr>
                                <w:color w:val="0070C0"/>
                              </w:rPr>
                              <w:t>I</w:t>
                            </w:r>
                            <w:proofErr w:type="gramEnd"/>
                            <w:r w:rsidR="00CA3E22" w:rsidRPr="00013FFE">
                              <w:rPr>
                                <w:color w:val="0070C0"/>
                              </w:rPr>
                              <w:t xml:space="preserve"> think the doctor referred to them as Head to Health and at least one other person has called them that as well…</w:t>
                            </w:r>
                            <w:r w:rsidRPr="00013FFE">
                              <w:rPr>
                                <w:color w:val="0070C0"/>
                              </w:rPr>
                              <w:t xml:space="preserve">I’m looking up Head to Health, but I’m like ‘Head to… it’s just, is that what I’m looking for?” </w:t>
                            </w:r>
                            <w:r w:rsidR="000A243B" w:rsidRPr="00013FFE">
                              <w:rPr>
                                <w:color w:val="0070C0"/>
                              </w:rPr>
                              <w:t>–</w:t>
                            </w:r>
                            <w:r w:rsidRPr="00013FFE">
                              <w:rPr>
                                <w:color w:val="0070C0"/>
                              </w:rPr>
                              <w:t xml:space="preserve"> </w:t>
                            </w:r>
                            <w:r w:rsidR="007C43A1">
                              <w:rPr>
                                <w:i/>
                                <w:color w:val="0070C0"/>
                              </w:rPr>
                              <w:t>Participant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3B2E3F" id="Text Box 56" o:spid="_x0000_s1031" type="#_x0000_t202" alt="&quot;&quot;" style="position:absolute;left:0;text-align:left;margin-left:306.3pt;margin-top:37.25pt;width:149.25pt;height:13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" fillcolor="white [3201]" stroked="f" strokeweight=".5pt">
                <v:textbox inset="0,,1mm">
                  <w:txbxContent>
                    <w:p w14:paraId="3A68B80C" w14:textId="4B56467F" w:rsidR="004620AC" w:rsidRPr="009F1CB7" w:rsidRDefault="00D058DE" w:rsidP="001C2F45">
                      <w:pPr>
                        <w:pStyle w:val="Callout"/>
                        <w:rPr>
                          <w:color w:val="0070C0"/>
                        </w:rPr>
                      </w:pPr>
                      <w:proofErr w:type="gramStart"/>
                      <w:r w:rsidRPr="00013FFE">
                        <w:rPr>
                          <w:color w:val="0070C0"/>
                        </w:rPr>
                        <w:t>”</w:t>
                      </w:r>
                      <w:r w:rsidR="00CA3E22" w:rsidRPr="00013FFE">
                        <w:rPr>
                          <w:color w:val="0070C0"/>
                        </w:rPr>
                        <w:t>I</w:t>
                      </w:r>
                      <w:proofErr w:type="gramEnd"/>
                      <w:r w:rsidR="00CA3E22" w:rsidRPr="00013FFE">
                        <w:rPr>
                          <w:color w:val="0070C0"/>
                        </w:rPr>
                        <w:t xml:space="preserve"> think the doctor referred to them as Head to Health and at least one other person has called them that as well…</w:t>
                      </w:r>
                      <w:r w:rsidRPr="00013FFE">
                        <w:rPr>
                          <w:color w:val="0070C0"/>
                        </w:rPr>
                        <w:t xml:space="preserve">I’m looking up Head to Health, but I’m like ‘Head to… it’s just, is that what I’m looking for?” </w:t>
                      </w:r>
                      <w:r w:rsidR="000A243B" w:rsidRPr="00013FFE">
                        <w:rPr>
                          <w:color w:val="0070C0"/>
                        </w:rPr>
                        <w:t>–</w:t>
                      </w:r>
                      <w:r w:rsidRPr="00013FFE">
                        <w:rPr>
                          <w:color w:val="0070C0"/>
                        </w:rPr>
                        <w:t xml:space="preserve"> </w:t>
                      </w:r>
                      <w:r w:rsidR="007C43A1">
                        <w:rPr>
                          <w:i/>
                          <w:color w:val="0070C0"/>
                        </w:rPr>
                        <w:t>Participant</w:t>
                      </w:r>
                    </w:p>
                  </w:txbxContent>
                </v:textbox>
                <w10:wrap type="square"/>
              </v:shape>
            </w:pict>
          </mc:Fallback>
        </mc:AlternateContent>
      </w:r>
      <w:r w:rsidR="004F7B07" w:rsidRPr="000D119D">
        <w:rPr>
          <w:rFonts w:asciiTheme="majorHAnsi" w:hAnsiTheme="majorHAnsi" w:cstheme="majorHAnsi"/>
        </w:rPr>
        <w:t xml:space="preserve">Confusion between </w:t>
      </w:r>
      <w:proofErr w:type="spellStart"/>
      <w:r w:rsidR="004F7B07" w:rsidRPr="000D119D">
        <w:rPr>
          <w:rFonts w:asciiTheme="majorHAnsi" w:hAnsiTheme="majorHAnsi" w:cstheme="majorHAnsi"/>
          <w:i/>
          <w:iCs/>
        </w:rPr>
        <w:t>HeadtoHelp</w:t>
      </w:r>
      <w:proofErr w:type="spellEnd"/>
      <w:r w:rsidR="004F7B07" w:rsidRPr="000D119D">
        <w:rPr>
          <w:rFonts w:asciiTheme="majorHAnsi" w:hAnsiTheme="majorHAnsi" w:cstheme="majorHAnsi"/>
        </w:rPr>
        <w:t xml:space="preserve"> and Head</w:t>
      </w:r>
      <w:r w:rsidR="00720CC5">
        <w:rPr>
          <w:rFonts w:asciiTheme="majorHAnsi" w:hAnsiTheme="majorHAnsi" w:cstheme="majorHAnsi"/>
        </w:rPr>
        <w:t xml:space="preserve"> </w:t>
      </w:r>
      <w:r w:rsidR="004F7B07" w:rsidRPr="000D119D">
        <w:rPr>
          <w:rFonts w:asciiTheme="majorHAnsi" w:hAnsiTheme="majorHAnsi" w:cstheme="majorHAnsi"/>
        </w:rPr>
        <w:t>to</w:t>
      </w:r>
      <w:r w:rsidR="00720CC5">
        <w:rPr>
          <w:rFonts w:asciiTheme="majorHAnsi" w:hAnsiTheme="majorHAnsi" w:cstheme="majorHAnsi"/>
        </w:rPr>
        <w:t xml:space="preserve"> </w:t>
      </w:r>
      <w:r w:rsidR="004F7B07" w:rsidRPr="000D119D">
        <w:rPr>
          <w:rFonts w:asciiTheme="majorHAnsi" w:hAnsiTheme="majorHAnsi" w:cstheme="majorHAnsi"/>
        </w:rPr>
        <w:t>Health</w:t>
      </w:r>
      <w:r w:rsidR="004F7B07" w:rsidRPr="000D119D">
        <w:t xml:space="preserve">. The similarity in names and </w:t>
      </w:r>
      <w:r w:rsidR="00811989" w:rsidRPr="000D119D">
        <w:t xml:space="preserve">ambiguity about the differences in </w:t>
      </w:r>
      <w:r w:rsidR="00C909CB" w:rsidRPr="000D119D">
        <w:t xml:space="preserve">the </w:t>
      </w:r>
      <w:r w:rsidR="00811989" w:rsidRPr="000D119D">
        <w:t>service</w:t>
      </w:r>
      <w:r w:rsidR="00C909CB" w:rsidRPr="000D119D">
        <w:t xml:space="preserve"> offerings and purpose</w:t>
      </w:r>
      <w:r w:rsidR="00811989" w:rsidRPr="000D119D">
        <w:t xml:space="preserve"> of </w:t>
      </w:r>
      <w:proofErr w:type="spellStart"/>
      <w:r w:rsidR="00811989" w:rsidRPr="00DC6C2A">
        <w:rPr>
          <w:rStyle w:val="Emphasis"/>
        </w:rPr>
        <w:t>HeadtoHelp</w:t>
      </w:r>
      <w:proofErr w:type="spellEnd"/>
      <w:r w:rsidR="00811989" w:rsidRPr="000D119D">
        <w:t xml:space="preserve"> and Head</w:t>
      </w:r>
      <w:r w:rsidR="00720CC5">
        <w:t xml:space="preserve"> </w:t>
      </w:r>
      <w:r w:rsidR="00811989" w:rsidRPr="000D119D">
        <w:t>to</w:t>
      </w:r>
      <w:r w:rsidR="00720CC5">
        <w:t xml:space="preserve"> </w:t>
      </w:r>
      <w:r w:rsidR="00811989" w:rsidRPr="000D119D">
        <w:t>Health ha</w:t>
      </w:r>
      <w:r w:rsidR="00A14A3F" w:rsidRPr="000D119D">
        <w:t>ve created confusion amongst service providers and consumers</w:t>
      </w:r>
      <w:r w:rsidR="003E214C" w:rsidRPr="000D119D">
        <w:t xml:space="preserve"> which has increased with the roll out of Head</w:t>
      </w:r>
      <w:r w:rsidR="00720CC5">
        <w:t xml:space="preserve"> </w:t>
      </w:r>
      <w:r w:rsidR="003E214C" w:rsidRPr="000D119D">
        <w:t>to</w:t>
      </w:r>
      <w:r w:rsidR="00720CC5">
        <w:t xml:space="preserve"> </w:t>
      </w:r>
      <w:r w:rsidR="003E214C" w:rsidRPr="000D119D">
        <w:t>Health</w:t>
      </w:r>
      <w:r w:rsidR="00A14A3F" w:rsidRPr="000D119D">
        <w:t xml:space="preserve">. </w:t>
      </w:r>
      <w:r w:rsidR="00D93833" w:rsidRPr="000D119D">
        <w:t xml:space="preserve">Some participants </w:t>
      </w:r>
      <w:proofErr w:type="gramStart"/>
      <w:r w:rsidR="00D93833" w:rsidRPr="000D119D">
        <w:t>actually referred</w:t>
      </w:r>
      <w:proofErr w:type="gramEnd"/>
      <w:r w:rsidR="00D93833" w:rsidRPr="000D119D">
        <w:t xml:space="preserve"> to </w:t>
      </w:r>
      <w:proofErr w:type="spellStart"/>
      <w:r w:rsidR="00D93833" w:rsidRPr="00DC6C2A">
        <w:rPr>
          <w:rStyle w:val="Emphasis"/>
        </w:rPr>
        <w:t>HeadtoHelp</w:t>
      </w:r>
      <w:proofErr w:type="spellEnd"/>
      <w:r w:rsidR="00D93833" w:rsidRPr="000D119D">
        <w:t xml:space="preserve"> as Head</w:t>
      </w:r>
      <w:r w:rsidR="00720CC5">
        <w:t xml:space="preserve"> </w:t>
      </w:r>
      <w:r w:rsidR="00D93833" w:rsidRPr="000D119D">
        <w:t>to</w:t>
      </w:r>
      <w:r w:rsidR="00720CC5">
        <w:t xml:space="preserve"> </w:t>
      </w:r>
      <w:r w:rsidR="00D93833" w:rsidRPr="000D119D">
        <w:t>Health or mentioned the confusion between the similar sounding</w:t>
      </w:r>
      <w:r w:rsidRPr="000D119D">
        <w:t xml:space="preserve"> services.</w:t>
      </w:r>
    </w:p>
    <w:p w14:paraId="438FA187" w14:textId="5E308D51" w:rsidR="005C57FB" w:rsidRPr="000D119D" w:rsidRDefault="00782D85" w:rsidP="001E3C55">
      <w:pPr>
        <w:rPr>
          <w:lang w:val="en-AU"/>
        </w:rPr>
      </w:pPr>
      <w:r w:rsidRPr="000D119D">
        <w:rPr>
          <w:lang w:val="en-AU"/>
        </w:rPr>
        <w:t>M</w:t>
      </w:r>
      <w:r w:rsidR="007915A4" w:rsidRPr="000D119D">
        <w:rPr>
          <w:lang w:val="en-AU"/>
        </w:rPr>
        <w:t>any hubs report</w:t>
      </w:r>
      <w:r w:rsidRPr="000D119D">
        <w:rPr>
          <w:lang w:val="en-AU"/>
        </w:rPr>
        <w:t>ed</w:t>
      </w:r>
      <w:r w:rsidR="007915A4" w:rsidRPr="000D119D">
        <w:rPr>
          <w:lang w:val="en-AU"/>
        </w:rPr>
        <w:t xml:space="preserve"> it was unclear whether they were responsible for the ongoing promotion of service or if their PHN was</w:t>
      </w:r>
      <w:r w:rsidR="003234E8" w:rsidRPr="000D119D">
        <w:rPr>
          <w:lang w:val="en-AU"/>
        </w:rPr>
        <w:t>.</w:t>
      </w:r>
      <w:r w:rsidRPr="000D119D">
        <w:rPr>
          <w:lang w:val="en-AU"/>
        </w:rPr>
        <w:t xml:space="preserve"> In addition,</w:t>
      </w:r>
      <w:r w:rsidR="008C5FDF" w:rsidRPr="000D119D">
        <w:rPr>
          <w:lang w:val="en-AU"/>
        </w:rPr>
        <w:t xml:space="preserve"> hubs </w:t>
      </w:r>
      <w:r w:rsidRPr="000D119D">
        <w:rPr>
          <w:lang w:val="en-AU"/>
        </w:rPr>
        <w:t xml:space="preserve">often </w:t>
      </w:r>
      <w:r w:rsidR="008C5FDF" w:rsidRPr="000D119D">
        <w:rPr>
          <w:lang w:val="en-AU"/>
        </w:rPr>
        <w:t xml:space="preserve">felt there was no time </w:t>
      </w:r>
      <w:r w:rsidR="00317C0E" w:rsidRPr="000D119D">
        <w:rPr>
          <w:lang w:val="en-AU"/>
        </w:rPr>
        <w:t>available</w:t>
      </w:r>
      <w:r w:rsidR="008C5FDF" w:rsidRPr="000D119D">
        <w:rPr>
          <w:lang w:val="en-AU"/>
        </w:rPr>
        <w:t xml:space="preserve"> for hub staff to promote the service because they were already at </w:t>
      </w:r>
      <w:r w:rsidR="00B357F7" w:rsidRPr="000D119D">
        <w:rPr>
          <w:lang w:val="en-AU"/>
        </w:rPr>
        <w:t>capacity,</w:t>
      </w:r>
      <w:r w:rsidR="003234E8" w:rsidRPr="000D119D">
        <w:rPr>
          <w:lang w:val="en-AU"/>
        </w:rPr>
        <w:t xml:space="preserve"> and </w:t>
      </w:r>
      <w:r w:rsidR="003234E8" w:rsidRPr="000D119D">
        <w:rPr>
          <w:lang w:val="en-AU"/>
        </w:rPr>
        <w:lastRenderedPageBreak/>
        <w:t>this is a continuous balance they are trying to strike.</w:t>
      </w:r>
      <w:r w:rsidR="001363DF" w:rsidRPr="000D119D">
        <w:rPr>
          <w:lang w:val="en-AU"/>
        </w:rPr>
        <w:t xml:space="preserve"> </w:t>
      </w:r>
      <w:r w:rsidR="00495BA5" w:rsidRPr="000D119D">
        <w:rPr>
          <w:lang w:val="en-AU"/>
        </w:rPr>
        <w:t>Some hubs stopped promoting their service as they were at capacity and already had long waitlists.</w:t>
      </w:r>
    </w:p>
    <w:p w14:paraId="6C053A62" w14:textId="77777777" w:rsidR="00D579A7" w:rsidRPr="000D119D" w:rsidRDefault="00D579A7" w:rsidP="00BE0860">
      <w:pPr>
        <w:pStyle w:val="Heading4"/>
      </w:pPr>
      <w:bookmarkStart w:id="90" w:name="_Ref79093604"/>
      <w:r w:rsidRPr="000D119D">
        <w:rPr>
          <w:rFonts w:eastAsiaTheme="minorEastAsia"/>
        </w:rPr>
        <w:t>Building service awareness among providers still needs work</w:t>
      </w:r>
    </w:p>
    <w:p w14:paraId="1F9DAC87" w14:textId="1B55D83F" w:rsidR="00D579A7" w:rsidRPr="000D119D" w:rsidRDefault="00D579A7" w:rsidP="00D579A7">
      <w:pPr>
        <w:rPr>
          <w:lang w:val="en-AU" w:eastAsia="en-AU"/>
        </w:rPr>
      </w:pPr>
      <w:r w:rsidRPr="000D119D">
        <w:rPr>
          <w:lang w:val="en-AU" w:eastAsia="en-AU"/>
        </w:rPr>
        <w:t xml:space="preserve">Awareness among referring service providers requires further cultivation. Hub and intake staff noted that while some services are aware of </w:t>
      </w:r>
      <w:proofErr w:type="spellStart"/>
      <w:r w:rsidRPr="00DC6C2A">
        <w:rPr>
          <w:rStyle w:val="Emphasis"/>
        </w:rPr>
        <w:t>HeadtoHelp</w:t>
      </w:r>
      <w:proofErr w:type="spellEnd"/>
      <w:r w:rsidRPr="000D119D">
        <w:rPr>
          <w:lang w:val="en-AU" w:eastAsia="en-AU"/>
        </w:rPr>
        <w:t xml:space="preserve"> and refer frequently (e.g., co-located GPs), others have limited awareness and consequently limited referrals into </w:t>
      </w:r>
      <w:proofErr w:type="spellStart"/>
      <w:r w:rsidRPr="00DC6C2A">
        <w:rPr>
          <w:rStyle w:val="Emphasis"/>
        </w:rPr>
        <w:t>HeadtoHelp</w:t>
      </w:r>
      <w:proofErr w:type="spellEnd"/>
      <w:r w:rsidRPr="000D119D">
        <w:rPr>
          <w:lang w:val="en-AU" w:eastAsia="en-AU"/>
        </w:rPr>
        <w:t xml:space="preserve"> (e.g., AMHS). </w:t>
      </w:r>
    </w:p>
    <w:p w14:paraId="7EF0724F" w14:textId="18C14CD4" w:rsidR="00D579A7" w:rsidRPr="000D119D" w:rsidRDefault="00D579A7" w:rsidP="00D579A7">
      <w:pPr>
        <w:rPr>
          <w:lang w:val="en-AU" w:eastAsia="en-AU"/>
        </w:rPr>
      </w:pPr>
      <w:r w:rsidRPr="000D119D">
        <w:rPr>
          <w:lang w:val="en-AU" w:eastAsia="en-AU"/>
        </w:rPr>
        <w:t xml:space="preserve">Service awareness is heavily contingent on the PHN’s relationship or </w:t>
      </w:r>
      <w:proofErr w:type="spellStart"/>
      <w:r w:rsidRPr="00DC6C2A">
        <w:rPr>
          <w:rStyle w:val="Emphasis"/>
        </w:rPr>
        <w:t>HeadtoHelp</w:t>
      </w:r>
      <w:proofErr w:type="spellEnd"/>
      <w:r w:rsidRPr="000D119D">
        <w:rPr>
          <w:lang w:val="en-AU" w:eastAsia="en-AU"/>
        </w:rPr>
        <w:t xml:space="preserve"> hub managers relationship with other providers in the area. Some PHNs have strong relationships and established communication channels with AMHSs, </w:t>
      </w:r>
      <w:r w:rsidR="00C52FBD" w:rsidRPr="00C52FBD">
        <w:rPr>
          <w:lang w:val="en-AU" w:eastAsia="en-AU"/>
        </w:rPr>
        <w:t>Local Health District</w:t>
      </w:r>
      <w:r w:rsidR="00C52FBD">
        <w:rPr>
          <w:lang w:val="en-AU" w:eastAsia="en-AU"/>
        </w:rPr>
        <w:t>s</w:t>
      </w:r>
      <w:r w:rsidR="00C52FBD" w:rsidRPr="00C52FBD">
        <w:rPr>
          <w:lang w:val="en-AU" w:eastAsia="en-AU"/>
        </w:rPr>
        <w:t xml:space="preserve"> </w:t>
      </w:r>
      <w:r w:rsidR="00C52FBD">
        <w:rPr>
          <w:lang w:val="en-AU" w:eastAsia="en-AU"/>
        </w:rPr>
        <w:t>(</w:t>
      </w:r>
      <w:r w:rsidRPr="000D119D">
        <w:rPr>
          <w:lang w:val="en-AU" w:eastAsia="en-AU"/>
        </w:rPr>
        <w:t>LHDs</w:t>
      </w:r>
      <w:r w:rsidR="00C52FBD">
        <w:rPr>
          <w:lang w:val="en-AU" w:eastAsia="en-AU"/>
        </w:rPr>
        <w:t>)</w:t>
      </w:r>
      <w:r w:rsidRPr="000D119D">
        <w:rPr>
          <w:lang w:val="en-AU" w:eastAsia="en-AU"/>
        </w:rPr>
        <w:t xml:space="preserve"> and community mental health programs.</w:t>
      </w:r>
    </w:p>
    <w:p w14:paraId="695E3489" w14:textId="7E25902E" w:rsidR="00D579A7" w:rsidRPr="000D119D" w:rsidRDefault="00D579A7" w:rsidP="00D579A7">
      <w:pPr>
        <w:rPr>
          <w:lang w:val="en-AU"/>
        </w:rPr>
      </w:pPr>
      <w:r w:rsidRPr="000D119D">
        <w:rPr>
          <w:lang w:val="en-AU"/>
        </w:rPr>
        <w:t xml:space="preserve">Providing further clarity on the future of </w:t>
      </w:r>
      <w:proofErr w:type="spellStart"/>
      <w:r w:rsidRPr="00DC6C2A">
        <w:rPr>
          <w:rStyle w:val="Emphasis"/>
        </w:rPr>
        <w:t>HeadtoHelp</w:t>
      </w:r>
      <w:proofErr w:type="spellEnd"/>
      <w:r w:rsidRPr="000D119D">
        <w:rPr>
          <w:i/>
          <w:iCs/>
          <w:lang w:val="en-AU"/>
        </w:rPr>
        <w:t xml:space="preserve"> </w:t>
      </w:r>
      <w:r w:rsidRPr="000D119D">
        <w:rPr>
          <w:lang w:val="en-AU"/>
        </w:rPr>
        <w:t xml:space="preserve">is key to the success of building service awareness. As a result, the Australian Government need to provide a plan for services to either continue with additional funding or transition to other services that the Australian Government (or </w:t>
      </w:r>
      <w:r w:rsidR="00E800A6">
        <w:rPr>
          <w:lang w:val="en-AU"/>
        </w:rPr>
        <w:t>Victorian Government</w:t>
      </w:r>
      <w:r w:rsidRPr="000D119D">
        <w:rPr>
          <w:lang w:val="en-AU"/>
        </w:rPr>
        <w:t xml:space="preserve">) seek to establish. </w:t>
      </w:r>
    </w:p>
    <w:p w14:paraId="582B74F0" w14:textId="2F07F2C3" w:rsidR="004F2CA0" w:rsidRPr="000D119D" w:rsidRDefault="004F2CA0" w:rsidP="000456DC">
      <w:pPr>
        <w:pStyle w:val="Heading3"/>
      </w:pPr>
      <w:bookmarkStart w:id="91" w:name="_Ref96961029"/>
      <w:bookmarkStart w:id="92" w:name="_Toc99650349"/>
      <w:r w:rsidRPr="000D119D">
        <w:t>Workforce</w:t>
      </w:r>
      <w:bookmarkEnd w:id="91"/>
      <w:bookmarkEnd w:id="92"/>
    </w:p>
    <w:p w14:paraId="3FDAC999" w14:textId="3116F115" w:rsidR="000456DC" w:rsidRPr="000D119D" w:rsidRDefault="000456DC" w:rsidP="004F2CA0">
      <w:pPr>
        <w:rPr>
          <w:lang w:val="en-AU"/>
        </w:rPr>
      </w:pPr>
      <w:r w:rsidRPr="000D119D">
        <w:rPr>
          <w:lang w:val="en-AU"/>
        </w:rPr>
        <w:t xml:space="preserve">Challenges to recruit the envisioned multi-disciplinary hub workforce has impacted the capacity and capability of </w:t>
      </w:r>
      <w:proofErr w:type="spellStart"/>
      <w:r w:rsidRPr="00DC6C2A">
        <w:rPr>
          <w:rStyle w:val="Emphasis"/>
        </w:rPr>
        <w:t>HeadtoHelp</w:t>
      </w:r>
      <w:proofErr w:type="spellEnd"/>
      <w:r w:rsidRPr="000D119D">
        <w:rPr>
          <w:lang w:val="en-AU"/>
        </w:rPr>
        <w:t>.</w:t>
      </w:r>
    </w:p>
    <w:p w14:paraId="4774D197" w14:textId="77777777" w:rsidR="000456DC" w:rsidRPr="000D119D" w:rsidRDefault="000456DC" w:rsidP="00BE0860">
      <w:pPr>
        <w:pStyle w:val="Heading4"/>
      </w:pPr>
      <w:r w:rsidRPr="000D119D">
        <w:t xml:space="preserve">The funding approach and service contracts did </w:t>
      </w:r>
      <w:r w:rsidRPr="000D119D" w:rsidDel="00EE1542">
        <w:t>not</w:t>
      </w:r>
      <w:r w:rsidRPr="000D119D">
        <w:t xml:space="preserve"> support retention of a qualified workforce </w:t>
      </w:r>
    </w:p>
    <w:p w14:paraId="679973FB" w14:textId="7F7C5BBE" w:rsidR="000456DC" w:rsidRPr="000D119D" w:rsidRDefault="000456DC" w:rsidP="009F1CB7">
      <w:r w:rsidRPr="000D119D">
        <w:t xml:space="preserve">The confluence of short service contracts and conditional funding for staff have created workforce challenges for </w:t>
      </w:r>
      <w:proofErr w:type="spellStart"/>
      <w:r w:rsidRPr="00DC6C2A">
        <w:rPr>
          <w:rStyle w:val="Emphasis"/>
        </w:rPr>
        <w:t>HeadtoHelp</w:t>
      </w:r>
      <w:proofErr w:type="spellEnd"/>
      <w:r w:rsidRPr="000D119D">
        <w:t xml:space="preserve">. Service contracts were only for 12 months of operation and included funding for 3.5 FTE. Funding for additional FTE was tied to volume of service occasions (see </w:t>
      </w:r>
      <w:r w:rsidR="00063994" w:rsidRPr="00BB6F5F">
        <w:t>Appendix</w:t>
      </w:r>
      <w:r w:rsidRPr="00BB6F5F">
        <w:t xml:space="preserve"> </w:t>
      </w:r>
      <w:r w:rsidR="00C151D1" w:rsidRPr="00BB6F5F">
        <w:t>G</w:t>
      </w:r>
      <w:r w:rsidRPr="000D119D">
        <w:t xml:space="preserve">) that, once met, would allow </w:t>
      </w:r>
      <w:proofErr w:type="spellStart"/>
      <w:r w:rsidRPr="00DC6C2A">
        <w:rPr>
          <w:rStyle w:val="Emphasis"/>
        </w:rPr>
        <w:t>HeadtoHelp</w:t>
      </w:r>
      <w:proofErr w:type="spellEnd"/>
      <w:r w:rsidRPr="000D119D">
        <w:t xml:space="preserve"> to recruit additional staff.</w:t>
      </w:r>
    </w:p>
    <w:p w14:paraId="05035421" w14:textId="77777777" w:rsidR="000456DC" w:rsidRPr="000D119D" w:rsidRDefault="000456DC" w:rsidP="009F1CB7">
      <w:r w:rsidRPr="000D119D">
        <w:t xml:space="preserve">As discussed, the consequence of the short contracts is that (anecdotally) staff are leaving </w:t>
      </w:r>
      <w:proofErr w:type="spellStart"/>
      <w:r w:rsidRPr="00DC6C2A">
        <w:rPr>
          <w:rStyle w:val="Emphasis"/>
        </w:rPr>
        <w:t>HeadtoHelp</w:t>
      </w:r>
      <w:proofErr w:type="spellEnd"/>
      <w:r w:rsidRPr="000D119D">
        <w:t xml:space="preserve"> due to limited job security. Considering the limited extension of services from September to December 2021, retention has been made even more challenging. A three-month extension is neither enough to </w:t>
      </w:r>
      <w:proofErr w:type="spellStart"/>
      <w:r w:rsidRPr="000D119D">
        <w:t>incentivise</w:t>
      </w:r>
      <w:proofErr w:type="spellEnd"/>
      <w:r w:rsidRPr="000D119D">
        <w:t xml:space="preserve"> current staff to remain with the service, nor enough to attract new staff to the service.</w:t>
      </w:r>
      <w:r w:rsidRPr="000D119D" w:rsidDel="00607536">
        <w:t xml:space="preserve"> </w:t>
      </w:r>
    </w:p>
    <w:p w14:paraId="6BBF37B3" w14:textId="77777777" w:rsidR="000456DC" w:rsidRPr="000D119D" w:rsidRDefault="000456DC" w:rsidP="009F1CB7">
      <w:r w:rsidRPr="000D119D">
        <w:t xml:space="preserve">The most common challenge shared by service providers was the ability to meet the ‘all ages’ remit set out by the </w:t>
      </w:r>
      <w:proofErr w:type="spellStart"/>
      <w:r w:rsidRPr="00DC6C2A">
        <w:rPr>
          <w:rStyle w:val="Emphasis"/>
        </w:rPr>
        <w:t>HeadtoHelp</w:t>
      </w:r>
      <w:proofErr w:type="spellEnd"/>
      <w:r w:rsidRPr="000D119D">
        <w:t xml:space="preserve"> model of care. Recruiting clinicians with the qualifications for and confidence to deliver services to toddlers, children and youth was hampered due to the limited pool of clinicians. Stakeholders had shared that there are many options available with greater job security to </w:t>
      </w:r>
      <w:proofErr w:type="spellStart"/>
      <w:r w:rsidRPr="000D119D">
        <w:t>specialised</w:t>
      </w:r>
      <w:proofErr w:type="spellEnd"/>
      <w:r w:rsidRPr="000D119D">
        <w:t xml:space="preserve"> mental health staff, particularly those experienced in child and youth mental health.</w:t>
      </w:r>
    </w:p>
    <w:p w14:paraId="21C8B355" w14:textId="411A4110" w:rsidR="000456DC" w:rsidRDefault="000456DC" w:rsidP="009F1CB7">
      <w:r w:rsidRPr="000D119D">
        <w:t xml:space="preserve">Stakeholders indicated that the contracts are not long enough and pose risks to participants as the service is nearing the end of the contract. The lack of funding for clinical governance and other activities (e.g., promotion, relationship building, service integration, overseeing provisionally registered staff) has meant that current staff are time poor and under pressure to deliver. </w:t>
      </w:r>
    </w:p>
    <w:p w14:paraId="273ED469" w14:textId="0FDA835D" w:rsidR="00B56D01" w:rsidRPr="00F043CE" w:rsidRDefault="00B56D01" w:rsidP="009F1CB7">
      <w:r w:rsidRPr="00F043CE">
        <w:t>The issues arising from difficulties in retaining staff from a participant perspective were highlighted in interviews, as participants found it very important to have a regular contact person and a consistent therapist. Eleven support people described a change in therapist as a disruptive experience, either because they had to start building trust and rapport again and retell their story, because there was a gap or delay in service, or because the replacement staff member was not a good fit for them.</w:t>
      </w:r>
    </w:p>
    <w:p w14:paraId="2B948D89" w14:textId="77777777" w:rsidR="000456DC" w:rsidRPr="000D119D" w:rsidRDefault="000456DC" w:rsidP="00BE0860">
      <w:pPr>
        <w:pStyle w:val="Heading4"/>
      </w:pPr>
      <w:r w:rsidRPr="000D119D">
        <w:lastRenderedPageBreak/>
        <w:t xml:space="preserve">Workforce shortages and the uncertainty of </w:t>
      </w:r>
      <w:proofErr w:type="spellStart"/>
      <w:r w:rsidRPr="000D119D">
        <w:rPr>
          <w:i/>
          <w:iCs/>
        </w:rPr>
        <w:t>HeadtoHelp</w:t>
      </w:r>
      <w:r w:rsidRPr="000D119D">
        <w:t>’s</w:t>
      </w:r>
      <w:proofErr w:type="spellEnd"/>
      <w:r w:rsidRPr="000D119D">
        <w:t xml:space="preserve"> future has made it challenging to recruit and retain staff</w:t>
      </w:r>
    </w:p>
    <w:p w14:paraId="7D068972" w14:textId="77777777" w:rsidR="000456DC" w:rsidRPr="000D119D" w:rsidRDefault="000456DC" w:rsidP="000456DC">
      <w:pPr>
        <w:rPr>
          <w:lang w:val="en-AU"/>
        </w:rPr>
      </w:pPr>
      <w:r w:rsidRPr="000D119D">
        <w:rPr>
          <w:lang w:val="en-AU"/>
        </w:rPr>
        <w:t>The mental health workforce continues to be insufficient to meet demand in Victoria, as highlighted by the recent Royal Commission into Victoria’s Mental Health System</w:t>
      </w:r>
      <w:r w:rsidRPr="000D119D">
        <w:rPr>
          <w:rStyle w:val="FootnoteReference"/>
          <w:lang w:val="en-AU"/>
        </w:rPr>
        <w:footnoteReference w:id="55"/>
      </w:r>
      <w:r w:rsidRPr="000D119D">
        <w:rPr>
          <w:lang w:val="en-AU"/>
        </w:rPr>
        <w:t xml:space="preserve">. As outlined earlier in establishment, recruitment of a competent and qualified mental health workforce has continued to be an ongoing challenge for </w:t>
      </w:r>
      <w:proofErr w:type="spellStart"/>
      <w:r w:rsidRPr="00DC6C2A">
        <w:rPr>
          <w:rStyle w:val="Emphasis"/>
        </w:rPr>
        <w:t>HeadtoHelp</w:t>
      </w:r>
      <w:proofErr w:type="spellEnd"/>
      <w:r w:rsidRPr="000D119D">
        <w:rPr>
          <w:i/>
          <w:iCs/>
          <w:lang w:val="en-AU"/>
        </w:rPr>
        <w:t xml:space="preserve"> </w:t>
      </w:r>
      <w:r w:rsidRPr="000D119D">
        <w:rPr>
          <w:lang w:val="en-AU"/>
        </w:rPr>
        <w:t>hubs.</w:t>
      </w:r>
    </w:p>
    <w:p w14:paraId="7ED3E1F5" w14:textId="77777777" w:rsidR="000456DC" w:rsidRPr="000D119D" w:rsidRDefault="000456DC" w:rsidP="000456DC">
      <w:pPr>
        <w:rPr>
          <w:lang w:val="en-AU"/>
        </w:rPr>
      </w:pPr>
      <w:r w:rsidRPr="000D119D">
        <w:rPr>
          <w:lang w:val="en-AU"/>
        </w:rPr>
        <w:t xml:space="preserve">Hub managers noted that the current inability to adequately recruit and retain appropriate mental health staff will significantly impact the delivery of </w:t>
      </w:r>
      <w:proofErr w:type="spellStart"/>
      <w:r w:rsidRPr="00DC6C2A">
        <w:rPr>
          <w:rStyle w:val="Emphasis"/>
        </w:rPr>
        <w:t>HeadtoHelp</w:t>
      </w:r>
      <w:proofErr w:type="spellEnd"/>
      <w:r w:rsidRPr="000D119D">
        <w:rPr>
          <w:lang w:val="en-AU"/>
        </w:rPr>
        <w:t>, including the ability to take on new participants and manage their existing patient load and the breadth of the service offering due to the capability of staff. Several hub managers noted that there are three additional factors hindering recruitment and retention of staff, in addition to Victoria’s state-wide (</w:t>
      </w:r>
      <w:proofErr w:type="gramStart"/>
      <w:r w:rsidRPr="000D119D">
        <w:rPr>
          <w:lang w:val="en-AU"/>
        </w:rPr>
        <w:t>and also</w:t>
      </w:r>
      <w:proofErr w:type="gramEnd"/>
      <w:r w:rsidRPr="000D119D">
        <w:rPr>
          <w:lang w:val="en-AU"/>
        </w:rPr>
        <w:t xml:space="preserve"> national) shortage. These included:</w:t>
      </w:r>
    </w:p>
    <w:p w14:paraId="21906479" w14:textId="79DE307B" w:rsidR="000456DC" w:rsidRPr="000D119D" w:rsidRDefault="00C02B0F" w:rsidP="00E457E2">
      <w:pPr>
        <w:pStyle w:val="ListBullet"/>
      </w:pPr>
      <w:r>
        <w:rPr>
          <w:rFonts w:asciiTheme="majorHAnsi" w:hAnsiTheme="majorHAnsi" w:cstheme="majorHAnsi"/>
        </w:rPr>
        <w:t>a</w:t>
      </w:r>
      <w:r w:rsidR="000456DC" w:rsidRPr="000D119D">
        <w:rPr>
          <w:rFonts w:asciiTheme="majorHAnsi" w:hAnsiTheme="majorHAnsi" w:cstheme="majorHAnsi"/>
        </w:rPr>
        <w:t xml:space="preserve"> lack of awareness of the </w:t>
      </w:r>
      <w:proofErr w:type="spellStart"/>
      <w:r w:rsidR="000456DC" w:rsidRPr="000D119D">
        <w:rPr>
          <w:rFonts w:asciiTheme="majorHAnsi" w:hAnsiTheme="majorHAnsi" w:cstheme="majorHAnsi"/>
          <w:bCs/>
          <w:i/>
        </w:rPr>
        <w:t>HeadtoHelp</w:t>
      </w:r>
      <w:proofErr w:type="spellEnd"/>
      <w:r w:rsidR="000456DC" w:rsidRPr="000D119D">
        <w:rPr>
          <w:rFonts w:asciiTheme="majorHAnsi" w:hAnsiTheme="majorHAnsi" w:cstheme="majorHAnsi"/>
          <w:bCs/>
          <w:i/>
        </w:rPr>
        <w:t xml:space="preserve"> </w:t>
      </w:r>
      <w:r w:rsidR="000456DC" w:rsidRPr="000D119D">
        <w:rPr>
          <w:rFonts w:asciiTheme="majorHAnsi" w:hAnsiTheme="majorHAnsi" w:cstheme="majorHAnsi"/>
          <w:bCs/>
        </w:rPr>
        <w:t>hubs</w:t>
      </w:r>
      <w:r w:rsidR="000456DC" w:rsidRPr="000D119D">
        <w:t xml:space="preserve"> and their intended purpose and role within the Victorian mental health system</w:t>
      </w:r>
    </w:p>
    <w:p w14:paraId="3B6B4229" w14:textId="1D79F676" w:rsidR="000456DC" w:rsidRPr="000D119D" w:rsidRDefault="005559F0" w:rsidP="00E457E2">
      <w:pPr>
        <w:pStyle w:val="ListBullet"/>
      </w:pPr>
      <w:r>
        <w:rPr>
          <w:rFonts w:asciiTheme="majorHAnsi" w:hAnsiTheme="majorHAnsi" w:cstheme="majorHAnsi"/>
        </w:rPr>
        <w:t>f</w:t>
      </w:r>
      <w:r w:rsidR="000456DC" w:rsidRPr="000D119D">
        <w:rPr>
          <w:rFonts w:asciiTheme="majorHAnsi" w:hAnsiTheme="majorHAnsi" w:cstheme="majorHAnsi"/>
        </w:rPr>
        <w:t>ailure t</w:t>
      </w:r>
      <w:r w:rsidR="000456DC" w:rsidRPr="000D119D">
        <w:rPr>
          <w:rFonts w:asciiTheme="majorHAnsi" w:hAnsiTheme="majorHAnsi" w:cstheme="majorHAnsi"/>
          <w:bCs/>
        </w:rPr>
        <w:t>o assure job security</w:t>
      </w:r>
      <w:r w:rsidR="000456DC" w:rsidRPr="000D119D">
        <w:t xml:space="preserve"> due to the uncertain and short-term nature of the </w:t>
      </w:r>
      <w:proofErr w:type="spellStart"/>
      <w:r w:rsidR="000456DC" w:rsidRPr="00DC6C2A">
        <w:rPr>
          <w:rStyle w:val="Emphasis"/>
        </w:rPr>
        <w:t>HeadtoHelp</w:t>
      </w:r>
      <w:proofErr w:type="spellEnd"/>
      <w:r w:rsidR="000456DC" w:rsidRPr="000D119D">
        <w:rPr>
          <w:i/>
          <w:iCs/>
        </w:rPr>
        <w:t xml:space="preserve"> </w:t>
      </w:r>
      <w:r w:rsidR="000456DC" w:rsidRPr="000D119D">
        <w:t xml:space="preserve">hubs, noting that short-term contracts are unappealing to existing and potential recruits, particularly when they are in high demand across the mental health service system </w:t>
      </w:r>
    </w:p>
    <w:p w14:paraId="1CD5EE52" w14:textId="510B50BC" w:rsidR="000456DC" w:rsidRDefault="005559F0" w:rsidP="00E457E2">
      <w:pPr>
        <w:pStyle w:val="ListBullet"/>
      </w:pPr>
      <w:r>
        <w:t>a</w:t>
      </w:r>
      <w:r w:rsidR="000456DC" w:rsidRPr="000D119D">
        <w:t>necdotally, an inability to provide a competitive salary to clinicians, compared to other services</w:t>
      </w:r>
    </w:p>
    <w:p w14:paraId="0724B176" w14:textId="008B4CD5" w:rsidR="008B3ABF" w:rsidRPr="00F043CE" w:rsidRDefault="005559F0" w:rsidP="00E457E2">
      <w:pPr>
        <w:pStyle w:val="ListBullet"/>
      </w:pPr>
      <w:r w:rsidRPr="00F043CE">
        <w:t>s</w:t>
      </w:r>
      <w:r w:rsidR="008B3ABF" w:rsidRPr="00F043CE">
        <w:t xml:space="preserve">ome participants reported that they would like </w:t>
      </w:r>
      <w:proofErr w:type="spellStart"/>
      <w:r w:rsidR="008B3ABF" w:rsidRPr="00DC6C2A">
        <w:rPr>
          <w:rStyle w:val="Emphasis"/>
        </w:rPr>
        <w:t>HeadtoHelp</w:t>
      </w:r>
      <w:proofErr w:type="spellEnd"/>
      <w:r w:rsidR="008B3ABF" w:rsidRPr="00F043CE">
        <w:t xml:space="preserve"> to be both better funded and have guaranteed future funding to ensure its sustainability, increased reach and service offerings, and integration with other services. </w:t>
      </w:r>
    </w:p>
    <w:p w14:paraId="562487F2" w14:textId="41B513AC" w:rsidR="000456DC" w:rsidRPr="000D119D" w:rsidRDefault="000456DC" w:rsidP="000456DC">
      <w:pPr>
        <w:rPr>
          <w:lang w:val="en-AU"/>
        </w:rPr>
      </w:pPr>
      <w:r w:rsidRPr="000D119D">
        <w:rPr>
          <w:lang w:val="en-AU"/>
        </w:rPr>
        <w:t xml:space="preserve">A lack of qualified child and youth mental health workers has also impacted </w:t>
      </w:r>
      <w:proofErr w:type="spellStart"/>
      <w:r w:rsidRPr="00DC6C2A">
        <w:rPr>
          <w:rStyle w:val="Emphasis"/>
        </w:rPr>
        <w:t>HeadtoHelp's</w:t>
      </w:r>
      <w:proofErr w:type="spellEnd"/>
      <w:r w:rsidRPr="000D119D">
        <w:rPr>
          <w:lang w:val="en-AU"/>
        </w:rPr>
        <w:t xml:space="preserve"> ability to service this cohort. Several hubs reported an observed increase in youth and child referrals to hubs, however, many hubs were uncomfortable with these referrals as they did not have the appropriate staff and therefore rejected these referrals. The NWMPHN has sought to mitigate this by forming a partnership with The Royal Children’s Hospital (RCH) and </w:t>
      </w:r>
      <w:proofErr w:type="spellStart"/>
      <w:r w:rsidRPr="00DC6C2A">
        <w:rPr>
          <w:rStyle w:val="Emphasis"/>
        </w:rPr>
        <w:t>HeadtoHelp</w:t>
      </w:r>
      <w:proofErr w:type="spellEnd"/>
      <w:r w:rsidRPr="000D119D">
        <w:rPr>
          <w:i/>
          <w:iCs/>
          <w:lang w:val="en-AU"/>
        </w:rPr>
        <w:t xml:space="preserve"> </w:t>
      </w:r>
      <w:r w:rsidRPr="000D119D">
        <w:rPr>
          <w:lang w:val="en-AU"/>
        </w:rPr>
        <w:t>hubs to ensure hub staff are appropriate</w:t>
      </w:r>
      <w:r w:rsidR="005D7534">
        <w:rPr>
          <w:lang w:val="en-AU"/>
        </w:rPr>
        <w:t>ly</w:t>
      </w:r>
      <w:r w:rsidRPr="000D119D">
        <w:rPr>
          <w:lang w:val="en-AU"/>
        </w:rPr>
        <w:t xml:space="preserve"> supervised by a clinician with experience working with youth and children (see Section </w:t>
      </w:r>
      <w:r w:rsidR="00B258A2">
        <w:rPr>
          <w:lang w:val="en-AU"/>
        </w:rPr>
        <w:fldChar w:fldCharType="begin"/>
      </w:r>
      <w:r w:rsidR="00B258A2">
        <w:rPr>
          <w:lang w:val="en-AU"/>
        </w:rPr>
        <w:instrText xml:space="preserve"> REF _Ref97037725 \w \h </w:instrText>
      </w:r>
      <w:r w:rsidR="00B258A2">
        <w:rPr>
          <w:lang w:val="en-AU"/>
        </w:rPr>
      </w:r>
      <w:r w:rsidR="00B258A2">
        <w:rPr>
          <w:lang w:val="en-AU"/>
        </w:rPr>
        <w:fldChar w:fldCharType="separate"/>
      </w:r>
      <w:r w:rsidR="00562174">
        <w:rPr>
          <w:lang w:val="en-AU"/>
        </w:rPr>
        <w:t>5.2.3</w:t>
      </w:r>
      <w:r w:rsidR="00B258A2">
        <w:rPr>
          <w:lang w:val="en-AU"/>
        </w:rPr>
        <w:fldChar w:fldCharType="end"/>
      </w:r>
      <w:r w:rsidR="00B258A2">
        <w:rPr>
          <w:lang w:val="en-AU"/>
        </w:rPr>
        <w:t xml:space="preserve"> for further details</w:t>
      </w:r>
      <w:r w:rsidRPr="000D119D">
        <w:rPr>
          <w:lang w:val="en-AU"/>
        </w:rPr>
        <w:t>).</w:t>
      </w:r>
    </w:p>
    <w:p w14:paraId="77BCB483" w14:textId="77777777" w:rsidR="000456DC" w:rsidRPr="000D119D" w:rsidRDefault="000456DC" w:rsidP="00BE0860">
      <w:pPr>
        <w:pStyle w:val="Heading4"/>
      </w:pPr>
      <w:r w:rsidRPr="000D119D">
        <w:t>Most hubs have been unable to establish a peer workforce as the original model intended</w:t>
      </w:r>
    </w:p>
    <w:p w14:paraId="1D660CC3" w14:textId="77777777" w:rsidR="000456DC" w:rsidRPr="000D119D" w:rsidRDefault="000456DC" w:rsidP="000456DC">
      <w:pPr>
        <w:rPr>
          <w:lang w:val="en-AU"/>
        </w:rPr>
      </w:pPr>
      <w:r w:rsidRPr="000D119D">
        <w:rPr>
          <w:lang w:val="en-AU"/>
        </w:rPr>
        <w:t xml:space="preserve">The </w:t>
      </w:r>
      <w:proofErr w:type="spellStart"/>
      <w:r w:rsidRPr="00DC6C2A">
        <w:rPr>
          <w:rStyle w:val="Emphasis"/>
        </w:rPr>
        <w:t>HeadtoHelp</w:t>
      </w:r>
      <w:proofErr w:type="spellEnd"/>
      <w:r w:rsidRPr="000D119D">
        <w:rPr>
          <w:i/>
          <w:iCs/>
          <w:lang w:val="en-AU"/>
        </w:rPr>
        <w:t xml:space="preserve"> </w:t>
      </w:r>
      <w:r w:rsidRPr="000D119D">
        <w:rPr>
          <w:lang w:val="en-AU"/>
        </w:rPr>
        <w:t>model of care envisioned the hub workforce to be inclusive of peers. However, many hubs noted that they did not have capacity for a peer workforce citing the requirement of seven FTE with mental health or allied health qualifications, funding tranches and limited peer workforce governance and training as barriers to recruiting a peer workforce.</w:t>
      </w:r>
    </w:p>
    <w:p w14:paraId="6F046263" w14:textId="77777777" w:rsidR="000456DC" w:rsidRPr="000D119D" w:rsidRDefault="000456DC" w:rsidP="000456DC">
      <w:pPr>
        <w:rPr>
          <w:lang w:val="en-AU"/>
        </w:rPr>
      </w:pPr>
      <w:r w:rsidRPr="000D119D">
        <w:rPr>
          <w:lang w:val="en-AU"/>
        </w:rPr>
        <w:t xml:space="preserve">All hubs noted that they wanted more people with lived experience in their hub teams and there was a clear intention to hire this workforce should </w:t>
      </w:r>
      <w:proofErr w:type="spellStart"/>
      <w:r w:rsidRPr="00DC6C2A">
        <w:rPr>
          <w:rStyle w:val="Emphasis"/>
        </w:rPr>
        <w:t>HeadtoHelp</w:t>
      </w:r>
      <w:proofErr w:type="spellEnd"/>
      <w:r w:rsidRPr="000D119D">
        <w:rPr>
          <w:i/>
          <w:iCs/>
          <w:lang w:val="en-AU"/>
        </w:rPr>
        <w:t xml:space="preserve"> </w:t>
      </w:r>
      <w:r w:rsidRPr="000D119D">
        <w:rPr>
          <w:lang w:val="en-AU"/>
        </w:rPr>
        <w:t xml:space="preserve">be continued. </w:t>
      </w:r>
    </w:p>
    <w:p w14:paraId="163F7018" w14:textId="241A8F19" w:rsidR="000456DC" w:rsidRPr="000D119D" w:rsidRDefault="000456DC" w:rsidP="000456DC">
      <w:pPr>
        <w:rPr>
          <w:lang w:val="en-AU"/>
        </w:rPr>
      </w:pPr>
      <w:r w:rsidRPr="000D119D">
        <w:rPr>
          <w:lang w:val="en-AU"/>
        </w:rPr>
        <w:t xml:space="preserve">Many hub managers shared the perception that the clinical governance requirements to supervise and manage a peer workforce were costly and complex. One PHN stakeholder noted that there is a huge risk that the intent and role of the peer workforce is open to interpretation and there needs to be some form of standardised approach across PHNs for building peer workforce capability. However, consultations with SA Health in relation to the AMHC identified ways in which this was managed effectively by the service provider (see Section </w:t>
      </w:r>
      <w:r w:rsidRPr="000D119D">
        <w:rPr>
          <w:lang w:val="en-AU"/>
        </w:rPr>
        <w:fldChar w:fldCharType="begin"/>
      </w:r>
      <w:r w:rsidRPr="000D119D">
        <w:rPr>
          <w:lang w:val="en-AU"/>
        </w:rPr>
        <w:instrText xml:space="preserve"> REF _Ref79321908 \r \h  \* MERGEFORMAT </w:instrText>
      </w:r>
      <w:r w:rsidRPr="000D119D">
        <w:rPr>
          <w:lang w:val="en-AU"/>
        </w:rPr>
      </w:r>
      <w:r w:rsidRPr="000D119D">
        <w:rPr>
          <w:lang w:val="en-AU"/>
        </w:rPr>
        <w:fldChar w:fldCharType="separate"/>
      </w:r>
      <w:r w:rsidR="00562174">
        <w:rPr>
          <w:lang w:val="en-AU"/>
        </w:rPr>
        <w:t>6</w:t>
      </w:r>
      <w:r w:rsidRPr="000D119D">
        <w:rPr>
          <w:lang w:val="en-AU"/>
        </w:rPr>
        <w:fldChar w:fldCharType="end"/>
      </w:r>
      <w:r w:rsidRPr="000D119D">
        <w:rPr>
          <w:lang w:val="en-AU"/>
        </w:rPr>
        <w:t xml:space="preserve"> for further details).</w:t>
      </w:r>
    </w:p>
    <w:p w14:paraId="1ABC1393" w14:textId="0CBDCCCA" w:rsidR="000456DC" w:rsidRPr="000D119D" w:rsidRDefault="000456DC" w:rsidP="000456DC">
      <w:pPr>
        <w:rPr>
          <w:lang w:val="en-AU"/>
        </w:rPr>
      </w:pPr>
      <w:r w:rsidRPr="000D119D">
        <w:rPr>
          <w:lang w:val="en-AU"/>
        </w:rPr>
        <w:t xml:space="preserve">In addition, several stakeholders noted that for a peer workforce to be effective in the </w:t>
      </w:r>
      <w:proofErr w:type="spellStart"/>
      <w:r w:rsidRPr="00DC6C2A">
        <w:rPr>
          <w:rStyle w:val="Emphasis"/>
        </w:rPr>
        <w:t>HeadtoHelp</w:t>
      </w:r>
      <w:proofErr w:type="spellEnd"/>
      <w:r w:rsidRPr="000D119D">
        <w:rPr>
          <w:i/>
          <w:iCs/>
          <w:lang w:val="en-AU"/>
        </w:rPr>
        <w:t xml:space="preserve"> </w:t>
      </w:r>
      <w:r w:rsidRPr="000D119D">
        <w:rPr>
          <w:lang w:val="en-AU"/>
        </w:rPr>
        <w:t>hubs and more broadly</w:t>
      </w:r>
      <w:r w:rsidR="00FC6ACB">
        <w:rPr>
          <w:lang w:val="en-AU"/>
        </w:rPr>
        <w:t xml:space="preserve"> across</w:t>
      </w:r>
      <w:r w:rsidRPr="000D119D">
        <w:rPr>
          <w:lang w:val="en-AU"/>
        </w:rPr>
        <w:t xml:space="preserve"> other mental health programs, there needs to be a cultural shift within organisations, including by mental health clinicians, to embrace, collaborate and coordinate with the peer workforce, to allow them to be effective.</w:t>
      </w:r>
    </w:p>
    <w:p w14:paraId="7BA38CBB" w14:textId="3772DFAA" w:rsidR="004F2CA0" w:rsidRPr="000D119D" w:rsidRDefault="004F2CA0" w:rsidP="000456DC">
      <w:pPr>
        <w:pStyle w:val="Heading3"/>
        <w:spacing w:before="360"/>
      </w:pPr>
      <w:bookmarkStart w:id="93" w:name="_Toc99650350"/>
      <w:r w:rsidRPr="000D119D">
        <w:lastRenderedPageBreak/>
        <w:t>Data and reporting</w:t>
      </w:r>
      <w:bookmarkEnd w:id="93"/>
    </w:p>
    <w:p w14:paraId="3F2C4354" w14:textId="1A23DFF1" w:rsidR="000456DC" w:rsidRPr="000D119D" w:rsidRDefault="000456DC" w:rsidP="004F2CA0">
      <w:pPr>
        <w:rPr>
          <w:lang w:val="en-AU"/>
        </w:rPr>
      </w:pPr>
      <w:r w:rsidRPr="000D119D">
        <w:rPr>
          <w:lang w:val="en-AU"/>
        </w:rPr>
        <w:t xml:space="preserve">Information collected about </w:t>
      </w:r>
      <w:proofErr w:type="spellStart"/>
      <w:r w:rsidRPr="00DC6C2A">
        <w:rPr>
          <w:rStyle w:val="Emphasis"/>
        </w:rPr>
        <w:t>HeadtoHelp</w:t>
      </w:r>
      <w:proofErr w:type="spellEnd"/>
      <w:r w:rsidRPr="000D119D">
        <w:rPr>
          <w:i/>
          <w:iCs/>
          <w:lang w:val="en-AU"/>
        </w:rPr>
        <w:t xml:space="preserve"> </w:t>
      </w:r>
      <w:r w:rsidRPr="000D119D">
        <w:rPr>
          <w:lang w:val="en-AU"/>
        </w:rPr>
        <w:t>imposes a high administrative burden on service providers</w:t>
      </w:r>
      <w:r w:rsidR="00F60E6A">
        <w:rPr>
          <w:lang w:val="en-AU"/>
        </w:rPr>
        <w:t>.</w:t>
      </w:r>
    </w:p>
    <w:p w14:paraId="201FB36D" w14:textId="77777777" w:rsidR="000456DC" w:rsidRPr="000D119D" w:rsidRDefault="000456DC" w:rsidP="00BE0860">
      <w:pPr>
        <w:pStyle w:val="Heading4"/>
      </w:pPr>
      <w:r w:rsidRPr="000D119D">
        <w:t>Collecting correct and sufficient data has been a significant challenge</w:t>
      </w:r>
    </w:p>
    <w:p w14:paraId="7B332221" w14:textId="77777777" w:rsidR="000456DC" w:rsidRPr="000D119D" w:rsidRDefault="000456DC" w:rsidP="000456DC">
      <w:pPr>
        <w:rPr>
          <w:lang w:val="en-AU"/>
        </w:rPr>
      </w:pPr>
      <w:r w:rsidRPr="000D119D">
        <w:rPr>
          <w:lang w:val="en-AU"/>
        </w:rPr>
        <w:t xml:space="preserve">Hub staff are supportive of the need to collect data to understand how the service is working, for whom and what outcomes are being achieved. However, all hubs have found the data and reporting requirements to be onerous, </w:t>
      </w:r>
      <w:proofErr w:type="gramStart"/>
      <w:r w:rsidRPr="000D119D">
        <w:rPr>
          <w:lang w:val="en-AU"/>
        </w:rPr>
        <w:t>duplicative</w:t>
      </w:r>
      <w:proofErr w:type="gramEnd"/>
      <w:r w:rsidRPr="000D119D">
        <w:rPr>
          <w:lang w:val="en-AU"/>
        </w:rPr>
        <w:t xml:space="preserve"> and somewhat greater than initially envisioned or outlined in the service contracts. </w:t>
      </w:r>
    </w:p>
    <w:p w14:paraId="73B13B67" w14:textId="77777777" w:rsidR="000456DC" w:rsidRPr="000D119D" w:rsidRDefault="000456DC" w:rsidP="000456DC">
      <w:pPr>
        <w:rPr>
          <w:lang w:val="en-AU"/>
        </w:rPr>
      </w:pPr>
      <w:r w:rsidRPr="000D119D">
        <w:rPr>
          <w:lang w:val="en-AU"/>
        </w:rPr>
        <w:t xml:space="preserve">All hubs reported that the existing systems (i.e., </w:t>
      </w:r>
      <w:proofErr w:type="spellStart"/>
      <w:r w:rsidRPr="000D119D">
        <w:rPr>
          <w:lang w:val="en-AU"/>
        </w:rPr>
        <w:t>Fixus</w:t>
      </w:r>
      <w:proofErr w:type="spellEnd"/>
      <w:r w:rsidRPr="000D119D">
        <w:rPr>
          <w:lang w:val="en-AU"/>
        </w:rPr>
        <w:t xml:space="preserve"> and IAR-DST) do not integrate with each other and as a result create further work for staff to input data from one system to another. Hub managers noted that the salaries and position descriptions are not inclusive of this level of administrative requirement.</w:t>
      </w:r>
    </w:p>
    <w:p w14:paraId="7140E284" w14:textId="77777777" w:rsidR="000456DC" w:rsidRPr="000D119D" w:rsidRDefault="000456DC" w:rsidP="000456DC">
      <w:pPr>
        <w:rPr>
          <w:lang w:val="en-AU"/>
        </w:rPr>
      </w:pPr>
      <w:r w:rsidRPr="000D119D">
        <w:rPr>
          <w:lang w:val="en-AU"/>
        </w:rPr>
        <w:t>Hub staff reported that the extensive data collection and reporting requirements are impacting participant contact hours, which many hub managers consider has limited their ability to achieve KPIs. Anecdotally, the burden</w:t>
      </w:r>
      <w:r w:rsidRPr="000D119D" w:rsidDel="005A23FB">
        <w:rPr>
          <w:lang w:val="en-AU"/>
        </w:rPr>
        <w:t xml:space="preserve"> of </w:t>
      </w:r>
      <w:r w:rsidRPr="000D119D">
        <w:rPr>
          <w:lang w:val="en-AU"/>
        </w:rPr>
        <w:t>data collection has also impacted retention of staff at some hubs. One hub did not retain a psychologist due to the perceived amount of administrative data required for the program. This clinician had previously worked in similar PHN mental health programs that did not have intensive data requirements.</w:t>
      </w:r>
    </w:p>
    <w:p w14:paraId="613EC4C8" w14:textId="2435845E" w:rsidR="000456DC" w:rsidRPr="000D119D" w:rsidRDefault="000456DC" w:rsidP="000456DC">
      <w:pPr>
        <w:rPr>
          <w:lang w:val="en-AU"/>
        </w:rPr>
      </w:pPr>
      <w:r w:rsidRPr="000D119D">
        <w:rPr>
          <w:lang w:val="en-AU"/>
        </w:rPr>
        <w:t xml:space="preserve">In addition to the difficulty of data collection within hubs, there has been very low uptake of the YES and HIE surveys sent out by PHNs to clients, with response rates of only </w:t>
      </w:r>
      <w:r w:rsidR="003B03DF">
        <w:rPr>
          <w:lang w:val="en-AU"/>
        </w:rPr>
        <w:t>ten per cent</w:t>
      </w:r>
      <w:r w:rsidRPr="000D119D">
        <w:rPr>
          <w:lang w:val="en-AU"/>
        </w:rPr>
        <w:t xml:space="preserve"> and 14</w:t>
      </w:r>
      <w:r w:rsidR="003B03DF">
        <w:rPr>
          <w:lang w:val="en-AU"/>
        </w:rPr>
        <w:t xml:space="preserve"> per cent</w:t>
      </w:r>
      <w:r w:rsidRPr="000D119D">
        <w:rPr>
          <w:lang w:val="en-AU"/>
        </w:rPr>
        <w:t>, respectively. For the YES survey, reasonable data was only available for three PHNs, with one providing minimal data and no data available for two PHNs. The lack of YES survey responses from some PHNs is due to several issues including consent concerns resulting in invitations being sent to a limited number of clients, no invitations being sent from one PHN and very few, late invitations sent from another due to system difficulties.</w:t>
      </w:r>
      <w:r w:rsidR="001363DF" w:rsidRPr="000D119D">
        <w:rPr>
          <w:lang w:val="en-AU"/>
        </w:rPr>
        <w:t xml:space="preserve"> </w:t>
      </w:r>
      <w:r w:rsidRPr="000D119D">
        <w:rPr>
          <w:lang w:val="en-AU"/>
        </w:rPr>
        <w:t xml:space="preserve">Full details on survey participation rates and the characteristics of survey respondents can be found in </w:t>
      </w:r>
      <w:hyperlink w:anchor="_Appendices" w:history="1">
        <w:r w:rsidR="00777ADC" w:rsidRPr="0071308F">
          <w:rPr>
            <w:rStyle w:val="Hyperlink"/>
            <w:lang w:val="en-AU"/>
          </w:rPr>
          <w:t>Appendix E</w:t>
        </w:r>
      </w:hyperlink>
      <w:r>
        <w:rPr>
          <w:lang w:val="en-AU"/>
        </w:rPr>
        <w:t xml:space="preserve">. </w:t>
      </w:r>
    </w:p>
    <w:p w14:paraId="743DEF98" w14:textId="77777777" w:rsidR="00010032" w:rsidRPr="000D119D" w:rsidRDefault="00010032" w:rsidP="00BE0860">
      <w:pPr>
        <w:pStyle w:val="Heading4"/>
      </w:pPr>
      <w:r>
        <w:t xml:space="preserve">With </w:t>
      </w:r>
      <w:proofErr w:type="spellStart"/>
      <w:r w:rsidRPr="00EA33C6">
        <w:rPr>
          <w:i/>
          <w:iCs/>
        </w:rPr>
        <w:t>HeadtoHelp</w:t>
      </w:r>
      <w:proofErr w:type="spellEnd"/>
      <w:r>
        <w:t xml:space="preserve"> functioning as a front door to the mental health service system has enabled PHNs to have a </w:t>
      </w:r>
      <w:r w:rsidRPr="000D119D">
        <w:t>state-wide view of participants</w:t>
      </w:r>
      <w:r>
        <w:t>’</w:t>
      </w:r>
      <w:r w:rsidRPr="000D119D">
        <w:t xml:space="preserve"> </w:t>
      </w:r>
      <w:r>
        <w:t xml:space="preserve">pathways </w:t>
      </w:r>
    </w:p>
    <w:p w14:paraId="071D9062" w14:textId="0912B27E" w:rsidR="00010032" w:rsidRPr="000D119D" w:rsidRDefault="00010032" w:rsidP="00010032">
      <w:pPr>
        <w:rPr>
          <w:rFonts w:ascii="Calibri" w:hAnsi="Calibri"/>
          <w:sz w:val="22"/>
          <w:lang w:val="en-AU"/>
        </w:rPr>
      </w:pPr>
      <w:r w:rsidRPr="000D119D">
        <w:rPr>
          <w:lang w:val="en-AU"/>
        </w:rPr>
        <w:t xml:space="preserve">Collection of service and ‘front door’ data through new data collection tools (i.e., </w:t>
      </w:r>
      <w:r w:rsidRPr="00EA33C6">
        <w:rPr>
          <w:lang w:val="en-AU"/>
        </w:rPr>
        <w:t>HIE survey)</w:t>
      </w:r>
      <w:r w:rsidRPr="00C82C3C">
        <w:rPr>
          <w:lang w:val="en-AU"/>
        </w:rPr>
        <w:t xml:space="preserve"> </w:t>
      </w:r>
      <w:r w:rsidRPr="000D119D">
        <w:rPr>
          <w:lang w:val="en-AU"/>
        </w:rPr>
        <w:t xml:space="preserve">and use of existing datasets (i.e., PMHC-MDS and </w:t>
      </w:r>
      <w:proofErr w:type="spellStart"/>
      <w:r w:rsidRPr="0071308F">
        <w:rPr>
          <w:rStyle w:val="Emphasis"/>
        </w:rPr>
        <w:t>HeadtoHelp</w:t>
      </w:r>
      <w:proofErr w:type="spellEnd"/>
      <w:r w:rsidRPr="000D119D">
        <w:rPr>
          <w:i/>
          <w:lang w:val="en-AU"/>
        </w:rPr>
        <w:t xml:space="preserve"> </w:t>
      </w:r>
      <w:r w:rsidRPr="000D119D">
        <w:rPr>
          <w:lang w:val="en-AU"/>
        </w:rPr>
        <w:t>extension) has provided PHNs with a state-wide view of mental health, that has never been achieved before. The six Victorian PHNs established a framework for a data-driven quality improvement approach</w:t>
      </w:r>
      <w:r>
        <w:rPr>
          <w:lang w:val="en-AU"/>
        </w:rPr>
        <w:t xml:space="preserve"> </w:t>
      </w:r>
      <w:r w:rsidRPr="000D119D">
        <w:rPr>
          <w:lang w:val="en-AU"/>
        </w:rPr>
        <w:t>(see Section</w:t>
      </w:r>
      <w:r>
        <w:rPr>
          <w:lang w:val="en-AU"/>
        </w:rPr>
        <w:t xml:space="preserve"> </w:t>
      </w:r>
      <w:r>
        <w:rPr>
          <w:lang w:val="en-AU"/>
        </w:rPr>
        <w:fldChar w:fldCharType="begin"/>
      </w:r>
      <w:r>
        <w:rPr>
          <w:lang w:val="en-AU"/>
        </w:rPr>
        <w:instrText xml:space="preserve"> REF _Ref97019037 \w \h </w:instrText>
      </w:r>
      <w:r>
        <w:rPr>
          <w:lang w:val="en-AU"/>
        </w:rPr>
      </w:r>
      <w:r>
        <w:rPr>
          <w:lang w:val="en-AU"/>
        </w:rPr>
        <w:fldChar w:fldCharType="separate"/>
      </w:r>
      <w:r w:rsidR="00562174">
        <w:rPr>
          <w:lang w:val="en-AU"/>
        </w:rPr>
        <w:t>3.2.3</w:t>
      </w:r>
      <w:r>
        <w:rPr>
          <w:lang w:val="en-AU"/>
        </w:rPr>
        <w:fldChar w:fldCharType="end"/>
      </w:r>
      <w:r w:rsidRPr="000D119D">
        <w:rPr>
          <w:lang w:val="en-AU"/>
        </w:rPr>
        <w:t>) from which it was intended that service delivery teams would be able to learn and adapt the model of care based on this information.</w:t>
      </w:r>
    </w:p>
    <w:p w14:paraId="1438C450" w14:textId="700AD26E" w:rsidR="00010032" w:rsidRPr="00013FFE" w:rsidRDefault="00010032" w:rsidP="00010032">
      <w:pPr>
        <w:rPr>
          <w:rFonts w:ascii="Calibri" w:hAnsi="Calibri"/>
          <w:sz w:val="22"/>
          <w:lang w:val="en-AU"/>
        </w:rPr>
      </w:pPr>
      <w:r w:rsidRPr="000D119D">
        <w:rPr>
          <w:lang w:val="en-AU"/>
        </w:rPr>
        <w:t xml:space="preserve">PHNs noted that historically the planning and delivery of PHN mental health services has been informed by the review of actual service utilisation data as there was limited data captured at the ‘front door’. The introduction of the use of the PMHC-MDS and </w:t>
      </w:r>
      <w:proofErr w:type="spellStart"/>
      <w:r w:rsidRPr="0071308F">
        <w:rPr>
          <w:rStyle w:val="Emphasis"/>
        </w:rPr>
        <w:t>HeadtoHelp</w:t>
      </w:r>
      <w:proofErr w:type="spellEnd"/>
      <w:r w:rsidRPr="000D119D">
        <w:rPr>
          <w:i/>
          <w:iCs/>
          <w:lang w:val="en-AU"/>
        </w:rPr>
        <w:t xml:space="preserve"> </w:t>
      </w:r>
      <w:r w:rsidRPr="000D119D">
        <w:rPr>
          <w:lang w:val="en-AU"/>
        </w:rPr>
        <w:t xml:space="preserve">extension has created a robust state-wide linked data set which seeks to track the participant journey through the system from when they first reach out for support to when they complete their care with a provider (i.e., the </w:t>
      </w:r>
      <w:proofErr w:type="spellStart"/>
      <w:r w:rsidRPr="0071308F">
        <w:rPr>
          <w:rStyle w:val="Emphasis"/>
        </w:rPr>
        <w:t>HeadtoHelp</w:t>
      </w:r>
      <w:proofErr w:type="spellEnd"/>
      <w:r w:rsidRPr="000D119D">
        <w:rPr>
          <w:i/>
          <w:iCs/>
          <w:lang w:val="en-AU"/>
        </w:rPr>
        <w:t xml:space="preserve"> </w:t>
      </w:r>
      <w:r w:rsidRPr="000D119D">
        <w:rPr>
          <w:lang w:val="en-AU"/>
        </w:rPr>
        <w:t xml:space="preserve">hub). Data collected through the </w:t>
      </w:r>
      <w:r w:rsidR="00FE06CF" w:rsidRPr="00FE06CF">
        <w:rPr>
          <w:lang w:val="en-AU"/>
        </w:rPr>
        <w:t>HIE</w:t>
      </w:r>
      <w:r w:rsidRPr="00FE06CF">
        <w:rPr>
          <w:i/>
          <w:lang w:val="en-AU"/>
        </w:rPr>
        <w:t xml:space="preserve"> </w:t>
      </w:r>
      <w:r w:rsidRPr="000D119D">
        <w:rPr>
          <w:lang w:val="en-AU"/>
        </w:rPr>
        <w:t>survey also allows PHNs to understand the participant’s experience of the ‘front door’.</w:t>
      </w:r>
    </w:p>
    <w:p w14:paraId="2B15A241" w14:textId="5C61DB73" w:rsidR="00DD147D" w:rsidRDefault="00110089" w:rsidP="003E5BB2">
      <w:pPr>
        <w:pStyle w:val="Heading2"/>
      </w:pPr>
      <w:bookmarkStart w:id="94" w:name="_Ref96960883"/>
      <w:bookmarkStart w:id="95" w:name="_Toc99650351"/>
      <w:bookmarkEnd w:id="85"/>
      <w:bookmarkEnd w:id="90"/>
      <w:r w:rsidRPr="000D119D">
        <w:t xml:space="preserve">Has the </w:t>
      </w:r>
      <w:proofErr w:type="spellStart"/>
      <w:r w:rsidRPr="000D119D">
        <w:rPr>
          <w:i/>
          <w:iCs/>
        </w:rPr>
        <w:t>HeadtoHelp</w:t>
      </w:r>
      <w:proofErr w:type="spellEnd"/>
      <w:r w:rsidRPr="000D119D">
        <w:t xml:space="preserve"> service implemented effective IAR intake practices?</w:t>
      </w:r>
      <w:bookmarkEnd w:id="94"/>
      <w:bookmarkEnd w:id="95"/>
    </w:p>
    <w:p w14:paraId="312CA212" w14:textId="18525778" w:rsidR="0071308F" w:rsidRPr="0071308F" w:rsidRDefault="0071308F" w:rsidP="0071308F">
      <w:pPr>
        <w:pStyle w:val="Callout"/>
      </w:pPr>
      <w:r w:rsidRPr="00E07E42">
        <w:rPr>
          <w:b/>
          <w:color w:val="25B3E0" w:themeColor="accent6"/>
        </w:rPr>
        <w:t xml:space="preserve">Key findings: </w:t>
      </w:r>
      <w:r w:rsidRPr="000D119D">
        <w:t xml:space="preserve">The roll out of the IAR across </w:t>
      </w:r>
      <w:proofErr w:type="spellStart"/>
      <w:r w:rsidRPr="0071308F">
        <w:rPr>
          <w:rStyle w:val="Emphasis"/>
        </w:rPr>
        <w:t>HeadtoHelp</w:t>
      </w:r>
      <w:proofErr w:type="spellEnd"/>
      <w:r w:rsidRPr="000D119D">
        <w:rPr>
          <w:i/>
          <w:iCs/>
        </w:rPr>
        <w:t xml:space="preserve"> </w:t>
      </w:r>
      <w:r w:rsidRPr="000D119D">
        <w:t xml:space="preserve">was the first large-scale use of the tool, with largely positive feedback across all stakeholder groups. The IAR has the potential to become a national, standardised approach to conducting an initial intake process for participants of mental </w:t>
      </w:r>
      <w:r w:rsidRPr="000D119D">
        <w:lastRenderedPageBreak/>
        <w:t>health services. This has important implications for how participants enter and navigate/are referred through the system. There have been some limitations on the extent to which the IAR-DST has reduced ‘re-telling’ of participant stories.</w:t>
      </w:r>
    </w:p>
    <w:p w14:paraId="741E6151" w14:textId="41B72322" w:rsidR="00AC0734" w:rsidRPr="000D119D" w:rsidRDefault="000B1D0F" w:rsidP="00AC0734">
      <w:pPr>
        <w:pStyle w:val="Heading3"/>
      </w:pPr>
      <w:bookmarkStart w:id="96" w:name="_Toc99650352"/>
      <w:r w:rsidRPr="000D119D">
        <w:t>Experience</w:t>
      </w:r>
      <w:r w:rsidR="00AC0734" w:rsidRPr="000D119D">
        <w:t xml:space="preserve"> </w:t>
      </w:r>
      <w:r w:rsidR="00323C7A" w:rsidRPr="000D119D">
        <w:t>of use</w:t>
      </w:r>
      <w:bookmarkEnd w:id="96"/>
    </w:p>
    <w:p w14:paraId="46DA27B2" w14:textId="5E5C10F3" w:rsidR="00164FBC" w:rsidRPr="000D119D" w:rsidRDefault="00164FBC" w:rsidP="00BE0860">
      <w:pPr>
        <w:pStyle w:val="Heading4"/>
      </w:pPr>
      <w:r w:rsidRPr="000D119D">
        <w:t xml:space="preserve">The IAR has provided </w:t>
      </w:r>
      <w:r w:rsidR="00BE4251" w:rsidRPr="000D119D">
        <w:t xml:space="preserve">service providers with </w:t>
      </w:r>
      <w:r w:rsidRPr="000D119D">
        <w:t>a level of consistency</w:t>
      </w:r>
      <w:r w:rsidR="00FD4C4E" w:rsidRPr="000D119D">
        <w:t xml:space="preserve"> and structure</w:t>
      </w:r>
      <w:r w:rsidRPr="000D119D">
        <w:t xml:space="preserve"> not previously seen in PHN-funded programs</w:t>
      </w:r>
    </w:p>
    <w:p w14:paraId="088DE9A1" w14:textId="6D578B9C" w:rsidR="00D34074" w:rsidRPr="000D119D" w:rsidRDefault="00ED16A2" w:rsidP="001E3C55">
      <w:pPr>
        <w:rPr>
          <w:lang w:val="en-AU"/>
        </w:rPr>
      </w:pPr>
      <w:r w:rsidRPr="000D119D">
        <w:rPr>
          <w:lang w:val="en-AU"/>
        </w:rPr>
        <w:t>The IAR</w:t>
      </w:r>
      <w:r w:rsidR="00F54735" w:rsidRPr="000D119D">
        <w:rPr>
          <w:lang w:val="en-AU"/>
        </w:rPr>
        <w:t>-DST</w:t>
      </w:r>
      <w:r w:rsidR="00D34074" w:rsidRPr="000D119D">
        <w:rPr>
          <w:lang w:val="en-AU"/>
        </w:rPr>
        <w:t xml:space="preserve"> has been described by </w:t>
      </w:r>
      <w:r w:rsidR="00C70B65" w:rsidRPr="000D119D">
        <w:rPr>
          <w:lang w:val="en-AU"/>
        </w:rPr>
        <w:t xml:space="preserve">intake </w:t>
      </w:r>
      <w:r w:rsidR="00D34074" w:rsidRPr="000D119D">
        <w:rPr>
          <w:lang w:val="en-AU"/>
        </w:rPr>
        <w:t xml:space="preserve">clinicians as a highly effective, </w:t>
      </w:r>
      <w:r w:rsidR="00601722" w:rsidRPr="000D119D">
        <w:rPr>
          <w:lang w:val="en-AU"/>
        </w:rPr>
        <w:t>client-centric</w:t>
      </w:r>
      <w:r w:rsidR="00D34074" w:rsidRPr="000D119D">
        <w:rPr>
          <w:lang w:val="en-AU"/>
        </w:rPr>
        <w:t xml:space="preserve"> tool that ensures clinicians understand the needs of a person more deeply and reduces the potential for clinicians to refer to the same services based on habit or what they know. </w:t>
      </w:r>
      <w:r w:rsidR="00863F34" w:rsidRPr="000D119D">
        <w:rPr>
          <w:lang w:val="en-AU"/>
        </w:rPr>
        <w:t>Most</w:t>
      </w:r>
      <w:r w:rsidR="00EB49AC" w:rsidRPr="000D119D">
        <w:rPr>
          <w:lang w:val="en-AU"/>
        </w:rPr>
        <w:t xml:space="preserve"> intake clinicians </w:t>
      </w:r>
      <w:r w:rsidR="00EF2FFA" w:rsidRPr="000D119D">
        <w:rPr>
          <w:lang w:val="en-AU"/>
        </w:rPr>
        <w:t>noted that t</w:t>
      </w:r>
      <w:r w:rsidR="00EB49AC" w:rsidRPr="000D119D">
        <w:rPr>
          <w:lang w:val="en-AU"/>
        </w:rPr>
        <w:t xml:space="preserve">he IAR has supported </w:t>
      </w:r>
      <w:r w:rsidR="00EF2FFA" w:rsidRPr="000D119D">
        <w:rPr>
          <w:lang w:val="en-AU"/>
        </w:rPr>
        <w:t>them</w:t>
      </w:r>
      <w:r w:rsidR="00EB49AC" w:rsidRPr="000D119D">
        <w:rPr>
          <w:lang w:val="en-AU"/>
        </w:rPr>
        <w:t xml:space="preserve"> to make </w:t>
      </w:r>
      <w:r w:rsidR="00E61AF2" w:rsidRPr="000D119D">
        <w:rPr>
          <w:lang w:val="en-AU"/>
        </w:rPr>
        <w:t xml:space="preserve">decisions </w:t>
      </w:r>
      <w:r w:rsidR="00246A52" w:rsidRPr="000D119D">
        <w:rPr>
          <w:lang w:val="en-AU"/>
        </w:rPr>
        <w:t>on referrals to appropriate services</w:t>
      </w:r>
      <w:r w:rsidR="002F16ED" w:rsidRPr="000D119D">
        <w:rPr>
          <w:lang w:val="en-AU"/>
        </w:rPr>
        <w:t>.</w:t>
      </w:r>
    </w:p>
    <w:p w14:paraId="5E6A4244" w14:textId="6D466820" w:rsidR="008A2DE9" w:rsidRPr="000D119D" w:rsidRDefault="008A2DE9" w:rsidP="001E3C55">
      <w:pPr>
        <w:rPr>
          <w:lang w:val="en-AU"/>
        </w:rPr>
      </w:pPr>
      <w:r w:rsidRPr="000D119D">
        <w:rPr>
          <w:lang w:val="en-AU"/>
        </w:rPr>
        <w:t>Several service partners noted that the IAR</w:t>
      </w:r>
      <w:r w:rsidR="00F54735" w:rsidRPr="000D119D">
        <w:rPr>
          <w:lang w:val="en-AU"/>
        </w:rPr>
        <w:t>-DST</w:t>
      </w:r>
      <w:r w:rsidRPr="000D119D">
        <w:rPr>
          <w:lang w:val="en-AU"/>
        </w:rPr>
        <w:t xml:space="preserve"> provided a </w:t>
      </w:r>
      <w:r w:rsidR="005E10C2" w:rsidRPr="000D119D">
        <w:rPr>
          <w:lang w:val="en-AU"/>
        </w:rPr>
        <w:t xml:space="preserve">new and holistic perspective of a </w:t>
      </w:r>
      <w:r w:rsidR="00F40845" w:rsidRPr="000D119D">
        <w:rPr>
          <w:lang w:val="en-AU"/>
        </w:rPr>
        <w:t>participants</w:t>
      </w:r>
      <w:r w:rsidR="005E10C2" w:rsidRPr="000D119D">
        <w:rPr>
          <w:lang w:val="en-AU"/>
        </w:rPr>
        <w:t xml:space="preserve"> needs and provided a different structure to the state triage tool</w:t>
      </w:r>
      <w:r w:rsidR="00EF61A0" w:rsidRPr="000D119D">
        <w:rPr>
          <w:lang w:val="en-AU"/>
        </w:rPr>
        <w:t xml:space="preserve">, which is often used as a </w:t>
      </w:r>
      <w:r w:rsidR="00B32593" w:rsidRPr="000D119D">
        <w:rPr>
          <w:lang w:val="en-AU"/>
        </w:rPr>
        <w:t>‘</w:t>
      </w:r>
      <w:r w:rsidR="00EF61A0" w:rsidRPr="000D119D">
        <w:rPr>
          <w:lang w:val="en-AU"/>
        </w:rPr>
        <w:t>yes</w:t>
      </w:r>
      <w:r w:rsidR="00B32593" w:rsidRPr="000D119D">
        <w:rPr>
          <w:lang w:val="en-AU"/>
        </w:rPr>
        <w:t>’</w:t>
      </w:r>
      <w:r w:rsidR="00EF61A0" w:rsidRPr="000D119D">
        <w:rPr>
          <w:lang w:val="en-AU"/>
        </w:rPr>
        <w:t xml:space="preserve"> or </w:t>
      </w:r>
      <w:r w:rsidR="00B32593" w:rsidRPr="000D119D">
        <w:rPr>
          <w:lang w:val="en-AU"/>
        </w:rPr>
        <w:t>‘</w:t>
      </w:r>
      <w:r w:rsidR="00EF61A0" w:rsidRPr="000D119D">
        <w:rPr>
          <w:lang w:val="en-AU"/>
        </w:rPr>
        <w:t>no</w:t>
      </w:r>
      <w:r w:rsidR="00B32593" w:rsidRPr="000D119D">
        <w:rPr>
          <w:lang w:val="en-AU"/>
        </w:rPr>
        <w:t>’</w:t>
      </w:r>
      <w:r w:rsidR="00EF61A0" w:rsidRPr="000D119D">
        <w:rPr>
          <w:lang w:val="en-AU"/>
        </w:rPr>
        <w:t xml:space="preserve"> </w:t>
      </w:r>
      <w:r w:rsidR="002E7896" w:rsidRPr="000D119D">
        <w:rPr>
          <w:lang w:val="en-AU"/>
        </w:rPr>
        <w:t xml:space="preserve">assessment </w:t>
      </w:r>
      <w:r w:rsidR="00DA61F1" w:rsidRPr="000D119D">
        <w:rPr>
          <w:lang w:val="en-AU"/>
        </w:rPr>
        <w:t xml:space="preserve">of eligibility for the service </w:t>
      </w:r>
      <w:r w:rsidR="002E7896" w:rsidRPr="000D119D">
        <w:rPr>
          <w:lang w:val="en-AU"/>
        </w:rPr>
        <w:t xml:space="preserve">rather than directing the </w:t>
      </w:r>
      <w:r w:rsidR="00F40845" w:rsidRPr="000D119D">
        <w:rPr>
          <w:lang w:val="en-AU"/>
        </w:rPr>
        <w:t>participant</w:t>
      </w:r>
      <w:r w:rsidR="002E7896" w:rsidRPr="000D119D">
        <w:rPr>
          <w:lang w:val="en-AU"/>
        </w:rPr>
        <w:t xml:space="preserve"> to a service or support that best suits their needs.</w:t>
      </w:r>
    </w:p>
    <w:p w14:paraId="524AFA52" w14:textId="26205ABE" w:rsidR="00083919" w:rsidRPr="000D119D" w:rsidRDefault="00695D74" w:rsidP="001E3C55">
      <w:pPr>
        <w:rPr>
          <w:lang w:val="en-AU"/>
        </w:rPr>
      </w:pPr>
      <w:r w:rsidRPr="000D119D">
        <w:rPr>
          <w:lang w:val="en-AU"/>
        </w:rPr>
        <w:t>Intake clinicians and hub staff</w:t>
      </w:r>
      <w:r w:rsidR="00AC33A5" w:rsidRPr="000D119D">
        <w:rPr>
          <w:lang w:val="en-AU"/>
        </w:rPr>
        <w:t xml:space="preserve"> </w:t>
      </w:r>
      <w:r w:rsidR="00160D4F" w:rsidRPr="000D119D">
        <w:rPr>
          <w:lang w:val="en-AU"/>
        </w:rPr>
        <w:t>were</w:t>
      </w:r>
      <w:r w:rsidR="00AC33A5" w:rsidRPr="000D119D">
        <w:rPr>
          <w:lang w:val="en-AU"/>
        </w:rPr>
        <w:t xml:space="preserve"> regularly trained in the IAR</w:t>
      </w:r>
      <w:r w:rsidR="00F54735" w:rsidRPr="000D119D">
        <w:rPr>
          <w:lang w:val="en-AU"/>
        </w:rPr>
        <w:t>-DST</w:t>
      </w:r>
      <w:r w:rsidRPr="000D119D">
        <w:rPr>
          <w:lang w:val="en-AU"/>
        </w:rPr>
        <w:t>.</w:t>
      </w:r>
      <w:r w:rsidR="00AC33A5" w:rsidRPr="000D119D">
        <w:rPr>
          <w:lang w:val="en-AU"/>
        </w:rPr>
        <w:t xml:space="preserve"> </w:t>
      </w:r>
      <w:r w:rsidRPr="000D119D">
        <w:rPr>
          <w:lang w:val="en-AU"/>
        </w:rPr>
        <w:t>S</w:t>
      </w:r>
      <w:r w:rsidR="00AC33A5" w:rsidRPr="000D119D">
        <w:rPr>
          <w:lang w:val="en-AU"/>
        </w:rPr>
        <w:t>ome</w:t>
      </w:r>
      <w:r w:rsidRPr="000D119D">
        <w:rPr>
          <w:lang w:val="en-AU"/>
        </w:rPr>
        <w:t xml:space="preserve"> staff have</w:t>
      </w:r>
      <w:r w:rsidR="00AC33A5" w:rsidRPr="000D119D">
        <w:rPr>
          <w:lang w:val="en-AU"/>
        </w:rPr>
        <w:t xml:space="preserve"> attended multiple sessions to</w:t>
      </w:r>
      <w:r w:rsidRPr="000D119D">
        <w:rPr>
          <w:lang w:val="en-AU"/>
        </w:rPr>
        <w:t xml:space="preserve"> </w:t>
      </w:r>
      <w:r w:rsidR="00AC33A5" w:rsidRPr="000D119D">
        <w:rPr>
          <w:lang w:val="en-AU"/>
        </w:rPr>
        <w:t xml:space="preserve">consolidate learning. </w:t>
      </w:r>
      <w:r w:rsidRPr="000D119D">
        <w:rPr>
          <w:lang w:val="en-AU"/>
        </w:rPr>
        <w:t xml:space="preserve">Many stakeholders commented that the training provided in the tool was very useful and helped to develop their confidence to use the tool. </w:t>
      </w:r>
      <w:r w:rsidR="00BF07EA" w:rsidRPr="000D119D">
        <w:rPr>
          <w:lang w:val="en-AU"/>
        </w:rPr>
        <w:t xml:space="preserve">Some intake clinicians </w:t>
      </w:r>
      <w:r w:rsidR="0064472C" w:rsidRPr="000D119D">
        <w:rPr>
          <w:lang w:val="en-AU"/>
        </w:rPr>
        <w:t>noted</w:t>
      </w:r>
      <w:r w:rsidR="00BF07EA" w:rsidRPr="000D119D">
        <w:rPr>
          <w:lang w:val="en-AU"/>
        </w:rPr>
        <w:t xml:space="preserve"> that the training could be further adapted to include information on how to use the IAR webform and </w:t>
      </w:r>
      <w:proofErr w:type="spellStart"/>
      <w:r w:rsidR="00BF07EA" w:rsidRPr="000D119D">
        <w:rPr>
          <w:lang w:val="en-AU"/>
        </w:rPr>
        <w:t>PowerBI</w:t>
      </w:r>
      <w:proofErr w:type="spellEnd"/>
      <w:r w:rsidR="004A2B83">
        <w:rPr>
          <w:rStyle w:val="FootnoteReference"/>
          <w:lang w:val="en-AU"/>
        </w:rPr>
        <w:footnoteReference w:id="56"/>
      </w:r>
      <w:r w:rsidR="00BF07EA" w:rsidRPr="000D119D">
        <w:rPr>
          <w:lang w:val="en-AU"/>
        </w:rPr>
        <w:t xml:space="preserve"> tools.</w:t>
      </w:r>
    </w:p>
    <w:p w14:paraId="04612DB1" w14:textId="31F4DBE8" w:rsidR="00AE51A4" w:rsidRPr="000D119D" w:rsidRDefault="00083919" w:rsidP="001E3C55">
      <w:pPr>
        <w:rPr>
          <w:lang w:val="en-AU"/>
        </w:rPr>
      </w:pPr>
      <w:r w:rsidRPr="000D119D">
        <w:rPr>
          <w:lang w:val="en-AU"/>
        </w:rPr>
        <w:t xml:space="preserve">Many hub staff </w:t>
      </w:r>
      <w:r w:rsidR="00EE6B2F" w:rsidRPr="000D119D">
        <w:rPr>
          <w:lang w:val="en-AU"/>
        </w:rPr>
        <w:t>noted</w:t>
      </w:r>
      <w:r w:rsidRPr="000D119D">
        <w:rPr>
          <w:lang w:val="en-AU"/>
        </w:rPr>
        <w:t xml:space="preserve"> that for the </w:t>
      </w:r>
      <w:r w:rsidR="00E11734" w:rsidRPr="000D119D">
        <w:rPr>
          <w:lang w:val="en-AU"/>
        </w:rPr>
        <w:t>tool</w:t>
      </w:r>
      <w:r w:rsidRPr="000D119D">
        <w:rPr>
          <w:lang w:val="en-AU"/>
        </w:rPr>
        <w:t xml:space="preserve"> to be successfu</w:t>
      </w:r>
      <w:r w:rsidR="00E11734" w:rsidRPr="000D119D">
        <w:rPr>
          <w:lang w:val="en-AU"/>
        </w:rPr>
        <w:t xml:space="preserve">l, the use of the IAR requires knowledge of mental health and wellbeing, the social determinants of health, suicide, relapsing </w:t>
      </w:r>
      <w:proofErr w:type="gramStart"/>
      <w:r w:rsidR="00E11734" w:rsidRPr="000D119D">
        <w:rPr>
          <w:lang w:val="en-AU"/>
        </w:rPr>
        <w:t>illness</w:t>
      </w:r>
      <w:proofErr w:type="gramEnd"/>
      <w:r w:rsidR="00E11734" w:rsidRPr="000D119D">
        <w:rPr>
          <w:lang w:val="en-AU"/>
        </w:rPr>
        <w:t xml:space="preserve"> and the knowledge of services within the community. Consequently, there can be variability in the outcome and quality of the IAR depending on the application of the tool by the intake clinician or referrer and highlights the need for effective and consistent training in the tool</w:t>
      </w:r>
      <w:r w:rsidR="009215C8" w:rsidRPr="000D119D">
        <w:rPr>
          <w:lang w:val="en-AU"/>
        </w:rPr>
        <w:t xml:space="preserve">. </w:t>
      </w:r>
      <w:r w:rsidR="009215C8" w:rsidRPr="00D364EB">
        <w:rPr>
          <w:lang w:val="en-AU"/>
        </w:rPr>
        <w:t xml:space="preserve">Insights on participant experience with the IAR-DST provided in Section </w:t>
      </w:r>
      <w:r w:rsidR="00EC1A51" w:rsidRPr="00D364EB">
        <w:rPr>
          <w:lang w:val="en-AU"/>
        </w:rPr>
        <w:fldChar w:fldCharType="begin"/>
      </w:r>
      <w:r w:rsidR="00EC1A51" w:rsidRPr="00D364EB">
        <w:rPr>
          <w:lang w:val="en-AU"/>
        </w:rPr>
        <w:instrText xml:space="preserve"> REF _Ref99609823 \r \h </w:instrText>
      </w:r>
      <w:r w:rsidR="00D364EB">
        <w:rPr>
          <w:lang w:val="en-AU"/>
        </w:rPr>
        <w:instrText xml:space="preserve"> \* MERGEFORMAT </w:instrText>
      </w:r>
      <w:r w:rsidR="00EC1A51" w:rsidRPr="00D364EB">
        <w:rPr>
          <w:lang w:val="en-AU"/>
        </w:rPr>
      </w:r>
      <w:r w:rsidR="00EC1A51" w:rsidRPr="00D364EB">
        <w:rPr>
          <w:lang w:val="en-AU"/>
        </w:rPr>
        <w:fldChar w:fldCharType="separate"/>
      </w:r>
      <w:r w:rsidR="00562174">
        <w:rPr>
          <w:lang w:val="en-AU"/>
        </w:rPr>
        <w:t>5.2.2</w:t>
      </w:r>
      <w:r w:rsidR="00EC1A51" w:rsidRPr="00D364EB">
        <w:rPr>
          <w:lang w:val="en-AU"/>
        </w:rPr>
        <w:fldChar w:fldCharType="end"/>
      </w:r>
      <w:r w:rsidR="009215C8" w:rsidRPr="00D364EB">
        <w:rPr>
          <w:lang w:val="en-AU"/>
        </w:rPr>
        <w:t xml:space="preserve"> highlight the importance of this training, as participant experience is highly dependent on the experience and rapport building skills of the clinician conducting the intake process.</w:t>
      </w:r>
    </w:p>
    <w:p w14:paraId="14DFAD15" w14:textId="30AA2BA7" w:rsidR="00A21EB8" w:rsidRPr="000D119D" w:rsidRDefault="00013FFE" w:rsidP="00BE0860">
      <w:pPr>
        <w:pStyle w:val="Heading4"/>
      </w:pPr>
      <w:r w:rsidRPr="000D119D">
        <w:rPr>
          <w:noProof/>
        </w:rPr>
        <mc:AlternateContent>
          <mc:Choice Requires="wps">
            <w:drawing>
              <wp:anchor distT="0" distB="0" distL="114300" distR="114300" simplePos="0" relativeHeight="251812864" behindDoc="0" locked="0" layoutInCell="1" allowOverlap="1" wp14:anchorId="081FE049" wp14:editId="26C15DAA">
                <wp:simplePos x="0" y="0"/>
                <wp:positionH relativeFrom="column">
                  <wp:posOffset>3097530</wp:posOffset>
                </wp:positionH>
                <wp:positionV relativeFrom="paragraph">
                  <wp:posOffset>77470</wp:posOffset>
                </wp:positionV>
                <wp:extent cx="2459990" cy="1262380"/>
                <wp:effectExtent l="0" t="0" r="0" b="0"/>
                <wp:wrapThrough wrapText="bothSides">
                  <wp:wrapPolygon edited="0">
                    <wp:start x="0" y="0"/>
                    <wp:lineTo x="0" y="21187"/>
                    <wp:lineTo x="21410" y="21187"/>
                    <wp:lineTo x="21410" y="0"/>
                    <wp:lineTo x="0" y="0"/>
                  </wp:wrapPolygon>
                </wp:wrapThrough>
                <wp:docPr id="61" name="Text Box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59990" cy="1262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A6901" w14:textId="03B862F8" w:rsidR="00BD30AE" w:rsidRPr="005D5F50" w:rsidRDefault="00DC3465" w:rsidP="00187317">
                            <w:pPr>
                              <w:pStyle w:val="Callout"/>
                              <w:rPr>
                                <w:i/>
                                <w:color w:val="0070C0"/>
                              </w:rPr>
                            </w:pPr>
                            <w:r w:rsidRPr="00013FFE">
                              <w:rPr>
                                <w:color w:val="0070C0"/>
                              </w:rPr>
                              <w:t xml:space="preserve">“Well, that’s just traumatising to me. It’s just like, they haven’t even listened … you’re just repeating yourself and then no‐one’s listening, so it actually triggered trauma for me.” – </w:t>
                            </w:r>
                            <w:r w:rsidR="007C43A1">
                              <w:rPr>
                                <w:i/>
                                <w:color w:val="0070C0"/>
                              </w:rPr>
                              <w:t>Participant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1FE049" id="Text Box 61" o:spid="_x0000_s1032" type="#_x0000_t202" alt="&quot;&quot;" style="position:absolute;margin-left:243.9pt;margin-top:6.1pt;width:193.7pt;height:9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" fillcolor="white [3201]" stroked="f" strokeweight=".5pt">
                <v:textbox inset="0,,1mm">
                  <w:txbxContent>
                    <w:p w14:paraId="6FAA6901" w14:textId="03B862F8" w:rsidR="00BD30AE" w:rsidRPr="005D5F50" w:rsidRDefault="00DC3465" w:rsidP="00187317">
                      <w:pPr>
                        <w:pStyle w:val="Callout"/>
                        <w:rPr>
                          <w:i/>
                          <w:color w:val="0070C0"/>
                        </w:rPr>
                      </w:pPr>
                      <w:r w:rsidRPr="00013FFE">
                        <w:rPr>
                          <w:color w:val="0070C0"/>
                        </w:rPr>
                        <w:t xml:space="preserve">“Well, that’s just traumatising to me. It’s just like, they haven’t even listened … you’re just repeating yourself and then no‐one’s listening, so it actually triggered trauma for me.” – </w:t>
                      </w:r>
                      <w:r w:rsidR="007C43A1">
                        <w:rPr>
                          <w:i/>
                          <w:color w:val="0070C0"/>
                        </w:rPr>
                        <w:t>Participant</w:t>
                      </w:r>
                    </w:p>
                  </w:txbxContent>
                </v:textbox>
                <w10:wrap type="through"/>
              </v:shape>
            </w:pict>
          </mc:Fallback>
        </mc:AlternateContent>
      </w:r>
      <w:r w:rsidR="00DD147D" w:rsidRPr="000D119D">
        <w:t xml:space="preserve">While the IAR </w:t>
      </w:r>
      <w:r w:rsidR="00164FBC" w:rsidRPr="000D119D">
        <w:t>is fulfilling its purpose for service providers,</w:t>
      </w:r>
      <w:r w:rsidR="00E20E5A" w:rsidRPr="000D119D">
        <w:t xml:space="preserve"> </w:t>
      </w:r>
      <w:r w:rsidR="00F40845" w:rsidRPr="000D119D">
        <w:t>participants</w:t>
      </w:r>
      <w:r w:rsidR="00B4677A" w:rsidRPr="000D119D">
        <w:t xml:space="preserve"> have</w:t>
      </w:r>
      <w:r w:rsidR="00C11232" w:rsidRPr="000D119D">
        <w:t xml:space="preserve"> continue</w:t>
      </w:r>
      <w:r w:rsidR="00B4677A" w:rsidRPr="000D119D">
        <w:t>d</w:t>
      </w:r>
      <w:r w:rsidR="00C11232" w:rsidRPr="000D119D">
        <w:t xml:space="preserve"> to tell their stories more than once</w:t>
      </w:r>
      <w:r w:rsidR="00DD0716" w:rsidRPr="000D119D">
        <w:t xml:space="preserve"> and have varying expectations of the </w:t>
      </w:r>
      <w:proofErr w:type="spellStart"/>
      <w:r w:rsidR="00DD0716" w:rsidRPr="000D119D">
        <w:rPr>
          <w:i/>
          <w:iCs/>
        </w:rPr>
        <w:t>HeadtoHelp</w:t>
      </w:r>
      <w:proofErr w:type="spellEnd"/>
      <w:r w:rsidR="00DD0716" w:rsidRPr="000D119D">
        <w:rPr>
          <w:i/>
          <w:iCs/>
        </w:rPr>
        <w:t xml:space="preserve"> </w:t>
      </w:r>
      <w:r w:rsidR="00DD0716" w:rsidRPr="000D119D">
        <w:t>hub</w:t>
      </w:r>
    </w:p>
    <w:p w14:paraId="798F7853" w14:textId="5DD91A3A" w:rsidR="00181CC5" w:rsidRPr="000D119D" w:rsidRDefault="000941D0" w:rsidP="001E3C55">
      <w:pPr>
        <w:rPr>
          <w:lang w:val="en-AU"/>
        </w:rPr>
      </w:pPr>
      <w:r w:rsidRPr="000D119D">
        <w:rPr>
          <w:lang w:val="en-AU"/>
        </w:rPr>
        <w:t>Several</w:t>
      </w:r>
      <w:r w:rsidR="0067394B" w:rsidRPr="000D119D">
        <w:rPr>
          <w:lang w:val="en-AU"/>
        </w:rPr>
        <w:t xml:space="preserve"> </w:t>
      </w:r>
      <w:proofErr w:type="spellStart"/>
      <w:r w:rsidR="00131A2D" w:rsidRPr="0071308F">
        <w:rPr>
          <w:rStyle w:val="Emphasis"/>
        </w:rPr>
        <w:t>HeadtoHelp</w:t>
      </w:r>
      <w:proofErr w:type="spellEnd"/>
      <w:r w:rsidR="0067394B" w:rsidRPr="000D119D">
        <w:rPr>
          <w:lang w:val="en-AU"/>
        </w:rPr>
        <w:t xml:space="preserve"> </w:t>
      </w:r>
      <w:r w:rsidR="00F40845" w:rsidRPr="000D119D">
        <w:rPr>
          <w:lang w:val="en-AU"/>
        </w:rPr>
        <w:t>participants</w:t>
      </w:r>
      <w:r w:rsidR="0067394B" w:rsidRPr="000D119D">
        <w:rPr>
          <w:lang w:val="en-AU"/>
        </w:rPr>
        <w:t xml:space="preserve"> report they have continue</w:t>
      </w:r>
      <w:r w:rsidR="00131A2D" w:rsidRPr="000D119D">
        <w:rPr>
          <w:lang w:val="en-AU"/>
        </w:rPr>
        <w:t>d</w:t>
      </w:r>
      <w:r w:rsidR="0067394B" w:rsidRPr="000D119D">
        <w:rPr>
          <w:lang w:val="en-AU"/>
        </w:rPr>
        <w:t xml:space="preserve"> to</w:t>
      </w:r>
      <w:r w:rsidR="008209B1" w:rsidRPr="000D119D">
        <w:rPr>
          <w:lang w:val="en-AU"/>
        </w:rPr>
        <w:t xml:space="preserve"> tell their stories </w:t>
      </w:r>
      <w:r w:rsidR="00131A2D" w:rsidRPr="000D119D">
        <w:rPr>
          <w:lang w:val="en-AU"/>
        </w:rPr>
        <w:t xml:space="preserve">throughout their experience with </w:t>
      </w:r>
      <w:proofErr w:type="spellStart"/>
      <w:r w:rsidR="00131A2D" w:rsidRPr="0071308F">
        <w:rPr>
          <w:rStyle w:val="Emphasis"/>
        </w:rPr>
        <w:t>HeadtoHelp</w:t>
      </w:r>
      <w:proofErr w:type="spellEnd"/>
      <w:r w:rsidR="00131A2D" w:rsidRPr="000D119D">
        <w:rPr>
          <w:lang w:val="en-AU"/>
        </w:rPr>
        <w:t xml:space="preserve">. </w:t>
      </w:r>
      <w:r w:rsidR="00CA1C17" w:rsidRPr="000D119D">
        <w:rPr>
          <w:lang w:val="en-AU"/>
        </w:rPr>
        <w:t>Some people were accepting of this repetition, but others found it annoying or upsetting.</w:t>
      </w:r>
      <w:r w:rsidR="00727C38">
        <w:rPr>
          <w:lang w:val="en-AU"/>
        </w:rPr>
        <w:t xml:space="preserve"> </w:t>
      </w:r>
      <w:r w:rsidR="00CA1C17" w:rsidRPr="000D119D">
        <w:rPr>
          <w:lang w:val="en-AU"/>
        </w:rPr>
        <w:t>Stakeholders</w:t>
      </w:r>
      <w:r w:rsidR="00131A2D" w:rsidRPr="000D119D">
        <w:rPr>
          <w:lang w:val="en-AU"/>
        </w:rPr>
        <w:t xml:space="preserve"> </w:t>
      </w:r>
      <w:r w:rsidR="00181CC5" w:rsidRPr="000D119D">
        <w:rPr>
          <w:lang w:val="en-AU"/>
        </w:rPr>
        <w:t>report a range</w:t>
      </w:r>
      <w:r w:rsidR="008209B1" w:rsidRPr="000D119D">
        <w:rPr>
          <w:lang w:val="en-AU"/>
        </w:rPr>
        <w:t xml:space="preserve"> of </w:t>
      </w:r>
      <w:r w:rsidR="00181CC5" w:rsidRPr="000D119D">
        <w:rPr>
          <w:lang w:val="en-AU"/>
        </w:rPr>
        <w:t xml:space="preserve">reasons </w:t>
      </w:r>
      <w:r w:rsidR="00CA1C17" w:rsidRPr="000D119D">
        <w:rPr>
          <w:lang w:val="en-AU"/>
        </w:rPr>
        <w:t xml:space="preserve">that </w:t>
      </w:r>
      <w:r w:rsidR="00181CC5" w:rsidRPr="000D119D">
        <w:rPr>
          <w:lang w:val="en-AU"/>
        </w:rPr>
        <w:t>have contributed to this:</w:t>
      </w:r>
    </w:p>
    <w:p w14:paraId="14B00F35" w14:textId="4D8F6E2C" w:rsidR="009D6A27" w:rsidRPr="000D119D" w:rsidRDefault="009D6A27" w:rsidP="00E457E2">
      <w:pPr>
        <w:pStyle w:val="ListBullet"/>
      </w:pPr>
      <w:r w:rsidRPr="000D119D">
        <w:rPr>
          <w:rFonts w:ascii="Segoe UI Semibold" w:hAnsi="Segoe UI Semibold" w:cs="Segoe UI Semibold"/>
        </w:rPr>
        <w:t>Lack of warm handovers</w:t>
      </w:r>
      <w:r w:rsidRPr="000D119D">
        <w:rPr>
          <w:b/>
          <w:bCs/>
        </w:rPr>
        <w:t xml:space="preserve"> </w:t>
      </w:r>
      <w:r w:rsidRPr="000D119D">
        <w:t xml:space="preserve">between </w:t>
      </w:r>
      <w:r w:rsidR="00E32108" w:rsidRPr="000D119D">
        <w:t>AMHS</w:t>
      </w:r>
      <w:r w:rsidR="00741A78" w:rsidRPr="000D119D">
        <w:t>s</w:t>
      </w:r>
      <w:r w:rsidRPr="000D119D">
        <w:t xml:space="preserve"> and </w:t>
      </w:r>
      <w:proofErr w:type="spellStart"/>
      <w:r w:rsidRPr="0071308F">
        <w:rPr>
          <w:rStyle w:val="Emphasis"/>
        </w:rPr>
        <w:t>HeadtoHelp</w:t>
      </w:r>
      <w:proofErr w:type="spellEnd"/>
      <w:r w:rsidR="007F37BC" w:rsidRPr="000D119D">
        <w:rPr>
          <w:i/>
        </w:rPr>
        <w:t>.</w:t>
      </w:r>
    </w:p>
    <w:p w14:paraId="5B068745" w14:textId="7C0D9A48" w:rsidR="00A1513A" w:rsidRPr="000D119D" w:rsidRDefault="00A1513A" w:rsidP="00E457E2">
      <w:pPr>
        <w:pStyle w:val="ListBullet"/>
      </w:pPr>
      <w:r w:rsidRPr="000D119D">
        <w:t xml:space="preserve">Use of </w:t>
      </w:r>
      <w:r w:rsidR="008B7C63" w:rsidRPr="000D119D">
        <w:t xml:space="preserve">service provider specific intake tools </w:t>
      </w:r>
      <w:r w:rsidR="00BA4F9E" w:rsidRPr="000D119D">
        <w:t>to re-triage patient.</w:t>
      </w:r>
    </w:p>
    <w:p w14:paraId="7A62C27A" w14:textId="0914BD8A" w:rsidR="004E23FC" w:rsidRPr="000D119D" w:rsidRDefault="004E23FC" w:rsidP="00E457E2">
      <w:pPr>
        <w:pStyle w:val="ListBullet"/>
      </w:pPr>
      <w:r w:rsidRPr="000D119D">
        <w:rPr>
          <w:rFonts w:asciiTheme="majorHAnsi" w:hAnsiTheme="majorHAnsi" w:cstheme="majorHAnsi"/>
        </w:rPr>
        <w:t>Lack of trust between PHN intake teams and providers</w:t>
      </w:r>
      <w:r w:rsidR="00596E13" w:rsidRPr="000D119D">
        <w:t xml:space="preserve">. Providers are not confident that all necessary information on the client has been gathered by </w:t>
      </w:r>
      <w:proofErr w:type="spellStart"/>
      <w:r w:rsidR="00596E13" w:rsidRPr="0071308F">
        <w:rPr>
          <w:rStyle w:val="Emphasis"/>
        </w:rPr>
        <w:t>HeadtoHelp</w:t>
      </w:r>
      <w:proofErr w:type="spellEnd"/>
      <w:r w:rsidR="00596E13" w:rsidRPr="000D119D">
        <w:t>.</w:t>
      </w:r>
      <w:r w:rsidRPr="000D119D">
        <w:t xml:space="preserve"> </w:t>
      </w:r>
    </w:p>
    <w:p w14:paraId="1FC3E583" w14:textId="2A95F54C" w:rsidR="004E23FC" w:rsidRPr="000D119D" w:rsidRDefault="00625538" w:rsidP="00E457E2">
      <w:pPr>
        <w:pStyle w:val="ListBullet"/>
      </w:pPr>
      <w:r w:rsidRPr="000D119D">
        <w:rPr>
          <w:rFonts w:asciiTheme="majorHAnsi" w:hAnsiTheme="majorHAnsi" w:cstheme="majorHAnsi"/>
        </w:rPr>
        <w:t>Need for service providers to manage c</w:t>
      </w:r>
      <w:r w:rsidR="004E23FC" w:rsidRPr="000D119D">
        <w:rPr>
          <w:rFonts w:asciiTheme="majorHAnsi" w:hAnsiTheme="majorHAnsi" w:cstheme="majorHAnsi"/>
        </w:rPr>
        <w:t>linical risk</w:t>
      </w:r>
      <w:r w:rsidRPr="000D119D">
        <w:t xml:space="preserve">. </w:t>
      </w:r>
      <w:r w:rsidR="002561A9" w:rsidRPr="000D119D">
        <w:t>O</w:t>
      </w:r>
      <w:r w:rsidR="004E23FC" w:rsidRPr="000D119D">
        <w:t xml:space="preserve">nce </w:t>
      </w:r>
      <w:r w:rsidRPr="000D119D">
        <w:t>a</w:t>
      </w:r>
      <w:r w:rsidR="004E23FC" w:rsidRPr="000D119D">
        <w:t xml:space="preserve"> </w:t>
      </w:r>
      <w:r w:rsidRPr="000D119D">
        <w:t>client</w:t>
      </w:r>
      <w:r w:rsidR="004E23FC" w:rsidRPr="000D119D">
        <w:t xml:space="preserve"> </w:t>
      </w:r>
      <w:r w:rsidRPr="000D119D">
        <w:t xml:space="preserve">is </w:t>
      </w:r>
      <w:r w:rsidR="000B3BED" w:rsidRPr="000D119D">
        <w:t xml:space="preserve">handed over to a service provider, the provider is responsible for them, and many providers are reluctant to </w:t>
      </w:r>
      <w:r w:rsidR="00DF0B4E" w:rsidRPr="000D119D">
        <w:t>assume</w:t>
      </w:r>
      <w:r w:rsidR="000B3BED" w:rsidRPr="000D119D">
        <w:t xml:space="preserve"> </w:t>
      </w:r>
      <w:r w:rsidR="00DF0B4E" w:rsidRPr="000D119D">
        <w:t xml:space="preserve">the </w:t>
      </w:r>
      <w:r w:rsidR="000B3BED" w:rsidRPr="000D119D">
        <w:t xml:space="preserve">clinical risk </w:t>
      </w:r>
      <w:r w:rsidR="00DF0B4E" w:rsidRPr="000D119D">
        <w:t xml:space="preserve">associated with client responsibility </w:t>
      </w:r>
      <w:r w:rsidR="00DC6DA9" w:rsidRPr="000D119D">
        <w:t>unless they have undertaken their own assessment and are confident in the assessment information.</w:t>
      </w:r>
      <w:r w:rsidR="001363DF" w:rsidRPr="000D119D">
        <w:t xml:space="preserve"> </w:t>
      </w:r>
    </w:p>
    <w:p w14:paraId="53D21256" w14:textId="4772BFA5" w:rsidR="002B3EF3" w:rsidRDefault="002B3EF3" w:rsidP="00E457E2">
      <w:pPr>
        <w:pStyle w:val="ListBullet"/>
      </w:pPr>
      <w:r w:rsidRPr="000D119D">
        <w:rPr>
          <w:rFonts w:asciiTheme="majorHAnsi" w:hAnsiTheme="majorHAnsi" w:cstheme="majorHAnsi"/>
        </w:rPr>
        <w:lastRenderedPageBreak/>
        <w:t xml:space="preserve">Occasional </w:t>
      </w:r>
      <w:r w:rsidR="00931129" w:rsidRPr="000D119D">
        <w:rPr>
          <w:rFonts w:asciiTheme="majorHAnsi" w:hAnsiTheme="majorHAnsi" w:cstheme="majorHAnsi"/>
        </w:rPr>
        <w:t>operational/staff drivers</w:t>
      </w:r>
      <w:r w:rsidR="00931129" w:rsidRPr="000D119D">
        <w:t xml:space="preserve">. Such as </w:t>
      </w:r>
      <w:r w:rsidRPr="000D119D">
        <w:t>administrative glitches, poor record keeping, or a therapists’ failure to review records before sessions</w:t>
      </w:r>
      <w:r w:rsidR="00931129" w:rsidRPr="000D119D">
        <w:t>.</w:t>
      </w:r>
    </w:p>
    <w:p w14:paraId="182EED7E" w14:textId="2DC5745D" w:rsidR="002C290F" w:rsidRPr="002C290F" w:rsidRDefault="002C290F" w:rsidP="002C290F">
      <w:pPr>
        <w:pStyle w:val="Callout"/>
      </w:pPr>
      <w:r w:rsidRPr="000D119D">
        <w:t xml:space="preserve">As well as being hesitant to accept IAR data from </w:t>
      </w:r>
      <w:proofErr w:type="spellStart"/>
      <w:r w:rsidRPr="000D119D">
        <w:rPr>
          <w:i/>
          <w:iCs/>
        </w:rPr>
        <w:t>HeadtoHelp</w:t>
      </w:r>
      <w:proofErr w:type="spellEnd"/>
      <w:r w:rsidRPr="000D119D">
        <w:t xml:space="preserve"> as the complete story of a patient, some service partners, particularly AMHSs, are hesitant to use the IAR as their own </w:t>
      </w:r>
      <w:r>
        <w:t>assessment</w:t>
      </w:r>
      <w:r w:rsidRPr="000D119D">
        <w:t xml:space="preserve"> tool. The rationale often provided by AMHSs is they already have a</w:t>
      </w:r>
      <w:r>
        <w:t xml:space="preserve">n assessment </w:t>
      </w:r>
      <w:r w:rsidRPr="000D119D">
        <w:t xml:space="preserve">process in place and therefore do not need to take on another process. However, </w:t>
      </w:r>
      <w:r w:rsidRPr="00B6253C">
        <w:t xml:space="preserve">the AMHS </w:t>
      </w:r>
      <w:r>
        <w:t xml:space="preserve">process </w:t>
      </w:r>
      <w:r w:rsidRPr="00B6253C">
        <w:t>indicates urgency</w:t>
      </w:r>
      <w:r w:rsidRPr="00D364EB">
        <w:t xml:space="preserve"> based on risk</w:t>
      </w:r>
      <w:r w:rsidRPr="00B6253C">
        <w:t>, rather than</w:t>
      </w:r>
      <w:r w:rsidRPr="00D364EB">
        <w:t xml:space="preserve"> assessment of the</w:t>
      </w:r>
      <w:r w:rsidRPr="00B6253C">
        <w:t xml:space="preserve"> level of care</w:t>
      </w:r>
      <w:r w:rsidRPr="00D364EB">
        <w:t xml:space="preserve"> required</w:t>
      </w:r>
      <w:r w:rsidRPr="00B6253C">
        <w:t>,</w:t>
      </w:r>
      <w:r w:rsidRPr="00D364EB">
        <w:t xml:space="preserve"> and</w:t>
      </w:r>
      <w:r>
        <w:t xml:space="preserve"> </w:t>
      </w:r>
      <w:r w:rsidRPr="000D119D">
        <w:t>some AMHSs identified there was additional value to be drawn from the IAR and have worked with hubs and PHNs to organise training for their staff to upskill in the IAR-DST.</w:t>
      </w:r>
    </w:p>
    <w:p w14:paraId="2EF681F1" w14:textId="173493EC" w:rsidR="00D06A3A" w:rsidRPr="000D119D" w:rsidRDefault="00BC2FAE" w:rsidP="002C290F">
      <w:pPr>
        <w:rPr>
          <w:lang w:val="en-AU"/>
        </w:rPr>
      </w:pPr>
      <w:r w:rsidRPr="000D119D">
        <w:rPr>
          <w:lang w:val="en-AU"/>
        </w:rPr>
        <w:t>This highlights</w:t>
      </w:r>
      <w:r w:rsidR="008209B1" w:rsidRPr="000D119D">
        <w:rPr>
          <w:lang w:val="en-AU"/>
        </w:rPr>
        <w:t xml:space="preserve"> </w:t>
      </w:r>
      <w:r w:rsidR="00467C4A" w:rsidRPr="000D119D">
        <w:rPr>
          <w:lang w:val="en-AU"/>
        </w:rPr>
        <w:t xml:space="preserve">that there is a lack of </w:t>
      </w:r>
      <w:r w:rsidR="008209B1" w:rsidRPr="000D119D">
        <w:rPr>
          <w:lang w:val="en-AU"/>
        </w:rPr>
        <w:t xml:space="preserve">continuity between </w:t>
      </w:r>
      <w:r w:rsidRPr="000D119D">
        <w:rPr>
          <w:lang w:val="en-AU"/>
        </w:rPr>
        <w:t>services</w:t>
      </w:r>
      <w:r w:rsidR="00C75E57" w:rsidRPr="000D119D">
        <w:rPr>
          <w:lang w:val="en-AU"/>
        </w:rPr>
        <w:t xml:space="preserve"> and </w:t>
      </w:r>
      <w:r w:rsidR="00DC0574" w:rsidRPr="000D119D">
        <w:rPr>
          <w:lang w:val="en-AU"/>
        </w:rPr>
        <w:t>a lack of</w:t>
      </w:r>
      <w:r w:rsidR="00C75E57" w:rsidRPr="000D119D">
        <w:rPr>
          <w:lang w:val="en-AU"/>
        </w:rPr>
        <w:t xml:space="preserve"> </w:t>
      </w:r>
      <w:r w:rsidR="00DC0574" w:rsidRPr="000D119D">
        <w:rPr>
          <w:lang w:val="en-AU"/>
        </w:rPr>
        <w:t>fidelity</w:t>
      </w:r>
      <w:r w:rsidR="00C75E57" w:rsidRPr="000D119D">
        <w:rPr>
          <w:lang w:val="en-AU"/>
        </w:rPr>
        <w:t xml:space="preserve"> </w:t>
      </w:r>
      <w:r w:rsidR="00103EB3" w:rsidRPr="000D119D">
        <w:rPr>
          <w:lang w:val="en-AU"/>
        </w:rPr>
        <w:t>to</w:t>
      </w:r>
      <w:r w:rsidR="00C75E57" w:rsidRPr="000D119D">
        <w:rPr>
          <w:lang w:val="en-AU"/>
        </w:rPr>
        <w:t xml:space="preserve"> the primary intent of the </w:t>
      </w:r>
      <w:r w:rsidR="00CE458E">
        <w:rPr>
          <w:lang w:val="en-AU"/>
        </w:rPr>
        <w:t>centralised intake process</w:t>
      </w:r>
      <w:r w:rsidR="008209B1" w:rsidRPr="000D119D">
        <w:rPr>
          <w:lang w:val="en-AU"/>
        </w:rPr>
        <w:t>.</w:t>
      </w:r>
      <w:r w:rsidR="00487540" w:rsidRPr="000D119D">
        <w:rPr>
          <w:lang w:val="en-AU"/>
        </w:rPr>
        <w:t xml:space="preserve"> </w:t>
      </w:r>
      <w:r w:rsidR="00D06A3A" w:rsidRPr="000D119D">
        <w:rPr>
          <w:lang w:val="en-AU"/>
        </w:rPr>
        <w:t>That is, to provide ‘warm’ connection to ensure continuity of care and support</w:t>
      </w:r>
      <w:r w:rsidR="0098404C" w:rsidRPr="000D119D">
        <w:rPr>
          <w:lang w:val="en-AU"/>
        </w:rPr>
        <w:t>,</w:t>
      </w:r>
      <w:r w:rsidR="00D06A3A" w:rsidRPr="000D119D">
        <w:rPr>
          <w:lang w:val="en-AU"/>
        </w:rPr>
        <w:t xml:space="preserve"> and limit repetition of </w:t>
      </w:r>
      <w:r w:rsidR="00F40845" w:rsidRPr="000D119D">
        <w:rPr>
          <w:lang w:val="en-AU"/>
        </w:rPr>
        <w:t>participant</w:t>
      </w:r>
      <w:r w:rsidR="00D06A3A" w:rsidRPr="000D119D">
        <w:rPr>
          <w:lang w:val="en-AU"/>
        </w:rPr>
        <w:t xml:space="preserve"> story telling.</w:t>
      </w:r>
      <w:r w:rsidR="00AA4A06" w:rsidRPr="000D119D">
        <w:rPr>
          <w:lang w:val="en-AU"/>
        </w:rPr>
        <w:t xml:space="preserve"> Of the </w:t>
      </w:r>
      <w:r w:rsidR="00F40845" w:rsidRPr="000D119D">
        <w:rPr>
          <w:lang w:val="en-AU"/>
        </w:rPr>
        <w:t>participants</w:t>
      </w:r>
      <w:r w:rsidR="00AA4A06" w:rsidRPr="000D119D">
        <w:rPr>
          <w:lang w:val="en-AU"/>
        </w:rPr>
        <w:t xml:space="preserve"> and </w:t>
      </w:r>
      <w:r w:rsidR="005925AA" w:rsidRPr="000D119D">
        <w:rPr>
          <w:lang w:val="en-AU"/>
        </w:rPr>
        <w:t>support people</w:t>
      </w:r>
      <w:r w:rsidR="00AA4A06" w:rsidRPr="000D119D">
        <w:rPr>
          <w:lang w:val="en-AU"/>
        </w:rPr>
        <w:t xml:space="preserve"> interviewed for the evaluation,</w:t>
      </w:r>
      <w:r w:rsidR="00A13559" w:rsidRPr="000D119D">
        <w:rPr>
          <w:lang w:val="en-AU"/>
        </w:rPr>
        <w:t xml:space="preserve"> only</w:t>
      </w:r>
      <w:r w:rsidR="00AA4A06" w:rsidRPr="000D119D">
        <w:rPr>
          <w:lang w:val="en-AU"/>
        </w:rPr>
        <w:t xml:space="preserve"> half of those receiving services outside of the hub </w:t>
      </w:r>
      <w:r w:rsidR="00A13559" w:rsidRPr="000D119D">
        <w:rPr>
          <w:lang w:val="en-AU"/>
        </w:rPr>
        <w:t>received warm</w:t>
      </w:r>
      <w:r w:rsidR="00AA4A06" w:rsidRPr="000D119D">
        <w:rPr>
          <w:lang w:val="en-AU"/>
        </w:rPr>
        <w:t xml:space="preserve"> referrals.</w:t>
      </w:r>
    </w:p>
    <w:p w14:paraId="24B294CE" w14:textId="3FE42C09" w:rsidR="00874D7A" w:rsidRPr="000D119D" w:rsidRDefault="000B2C7A" w:rsidP="001E3C55">
      <w:pPr>
        <w:rPr>
          <w:lang w:val="en-AU"/>
        </w:rPr>
      </w:pPr>
      <w:r>
        <w:t xml:space="preserve">This is a difficult issue to resolve. Many stakeholders </w:t>
      </w:r>
      <w:r w:rsidRPr="000D119D">
        <w:rPr>
          <w:lang w:val="en-AU"/>
        </w:rPr>
        <w:t>observe</w:t>
      </w:r>
      <w:r>
        <w:rPr>
          <w:lang w:val="en-AU"/>
        </w:rPr>
        <w:t>d that in practice, a treating clinician will always want to make their own assessment,</w:t>
      </w:r>
      <w:r w:rsidR="008844F5" w:rsidRPr="000D119D">
        <w:rPr>
          <w:lang w:val="en-AU"/>
        </w:rPr>
        <w:t xml:space="preserve"> noting</w:t>
      </w:r>
      <w:r w:rsidR="00874D7A" w:rsidRPr="000D119D">
        <w:rPr>
          <w:lang w:val="en-AU"/>
        </w:rPr>
        <w:t xml:space="preserve"> it</w:t>
      </w:r>
      <w:r w:rsidR="008844F5" w:rsidRPr="000D119D">
        <w:rPr>
          <w:lang w:val="en-AU"/>
        </w:rPr>
        <w:t xml:space="preserve"> </w:t>
      </w:r>
      <w:r w:rsidR="00267B0B" w:rsidRPr="000D119D">
        <w:rPr>
          <w:lang w:val="en-AU"/>
        </w:rPr>
        <w:t xml:space="preserve">remains </w:t>
      </w:r>
      <w:r w:rsidR="00874D7A" w:rsidRPr="000D119D">
        <w:rPr>
          <w:lang w:val="en-AU"/>
        </w:rPr>
        <w:t xml:space="preserve">important to ask and clarify questions with </w:t>
      </w:r>
      <w:r w:rsidR="00F40845" w:rsidRPr="000D119D">
        <w:rPr>
          <w:lang w:val="en-AU"/>
        </w:rPr>
        <w:t>participants</w:t>
      </w:r>
      <w:r w:rsidR="008844F5" w:rsidRPr="000D119D">
        <w:rPr>
          <w:lang w:val="en-AU"/>
        </w:rPr>
        <w:t xml:space="preserve"> about their experience</w:t>
      </w:r>
      <w:r w:rsidR="00267B0B" w:rsidRPr="000D119D">
        <w:rPr>
          <w:lang w:val="en-AU"/>
        </w:rPr>
        <w:t xml:space="preserve"> to ensure clinicians have all the information they need when working with </w:t>
      </w:r>
      <w:r w:rsidR="00F40845" w:rsidRPr="000D119D">
        <w:rPr>
          <w:lang w:val="en-AU"/>
        </w:rPr>
        <w:t>participants</w:t>
      </w:r>
      <w:r w:rsidR="00225604" w:rsidRPr="000D119D">
        <w:rPr>
          <w:lang w:val="en-AU"/>
        </w:rPr>
        <w:t xml:space="preserve"> and can manage risk</w:t>
      </w:r>
      <w:r w:rsidR="00267B0B" w:rsidRPr="000D119D">
        <w:rPr>
          <w:lang w:val="en-AU"/>
        </w:rPr>
        <w:t xml:space="preserve">. </w:t>
      </w:r>
      <w:r w:rsidR="00E6574D">
        <w:rPr>
          <w:lang w:val="en-AU"/>
        </w:rPr>
        <w:t>Some h</w:t>
      </w:r>
      <w:r w:rsidR="00E6574D" w:rsidRPr="000D119D">
        <w:rPr>
          <w:lang w:val="en-AU"/>
        </w:rPr>
        <w:t xml:space="preserve">ub staff </w:t>
      </w:r>
      <w:r w:rsidR="00E6574D">
        <w:rPr>
          <w:lang w:val="en-AU"/>
        </w:rPr>
        <w:t>reflected</w:t>
      </w:r>
      <w:r w:rsidR="00E6574D" w:rsidRPr="000D119D">
        <w:rPr>
          <w:lang w:val="en-AU"/>
        </w:rPr>
        <w:t xml:space="preserve"> that often there is no way to reduce these questions at a hub level</w:t>
      </w:r>
      <w:r w:rsidR="00E6574D">
        <w:rPr>
          <w:lang w:val="en-AU"/>
        </w:rPr>
        <w:t>. Rather the objective needs to be to</w:t>
      </w:r>
      <w:r w:rsidR="00E6574D">
        <w:t xml:space="preserve"> </w:t>
      </w:r>
      <w:r>
        <w:t>create an environment where the next clinician has a</w:t>
      </w:r>
      <w:r w:rsidR="00E6574D">
        <w:t>s</w:t>
      </w:r>
      <w:r>
        <w:t xml:space="preserve"> much information as possible</w:t>
      </w:r>
      <w:r w:rsidR="00E6574D">
        <w:t>, and confidence in</w:t>
      </w:r>
      <w:r>
        <w:t xml:space="preserve"> that information</w:t>
      </w:r>
      <w:r w:rsidR="00E6574D">
        <w:t>, such that it can be relied on,</w:t>
      </w:r>
      <w:r>
        <w:t xml:space="preserve"> and </w:t>
      </w:r>
      <w:r w:rsidRPr="00E6574D">
        <w:rPr>
          <w:u w:val="single"/>
        </w:rPr>
        <w:t>reduce</w:t>
      </w:r>
      <w:r>
        <w:t xml:space="preserve"> the extent to which a person needs to retell their story. </w:t>
      </w:r>
      <w:r w:rsidR="00225604" w:rsidRPr="000D119D">
        <w:rPr>
          <w:lang w:val="en-AU"/>
        </w:rPr>
        <w:t xml:space="preserve">Interestingly, </w:t>
      </w:r>
      <w:r w:rsidR="00AF0586" w:rsidRPr="000D119D">
        <w:rPr>
          <w:lang w:val="en-AU"/>
        </w:rPr>
        <w:t xml:space="preserve">where </w:t>
      </w:r>
      <w:proofErr w:type="spellStart"/>
      <w:r w:rsidR="00853691" w:rsidRPr="0071308F">
        <w:rPr>
          <w:rStyle w:val="Emphasis"/>
        </w:rPr>
        <w:t>HeadtoHelp</w:t>
      </w:r>
      <w:proofErr w:type="spellEnd"/>
      <w:r w:rsidR="00853691" w:rsidRPr="000D119D">
        <w:rPr>
          <w:i/>
          <w:iCs/>
          <w:lang w:val="en-AU"/>
        </w:rPr>
        <w:t xml:space="preserve"> </w:t>
      </w:r>
      <w:r w:rsidR="00225604" w:rsidRPr="000D119D">
        <w:rPr>
          <w:lang w:val="en-AU"/>
        </w:rPr>
        <w:t xml:space="preserve">hubs </w:t>
      </w:r>
      <w:r w:rsidR="00AF0586" w:rsidRPr="000D119D">
        <w:rPr>
          <w:lang w:val="en-AU"/>
        </w:rPr>
        <w:t>were</w:t>
      </w:r>
      <w:r w:rsidR="00225604" w:rsidRPr="000D119D">
        <w:rPr>
          <w:lang w:val="en-AU"/>
        </w:rPr>
        <w:t xml:space="preserve"> co-located with</w:t>
      </w:r>
      <w:r w:rsidR="00AF0586" w:rsidRPr="000D119D">
        <w:rPr>
          <w:lang w:val="en-AU"/>
        </w:rPr>
        <w:t xml:space="preserve"> a</w:t>
      </w:r>
      <w:r w:rsidR="00225604" w:rsidRPr="000D119D">
        <w:rPr>
          <w:lang w:val="en-AU"/>
        </w:rPr>
        <w:t xml:space="preserve"> GP clinic</w:t>
      </w:r>
      <w:r w:rsidR="00AF0586" w:rsidRPr="000D119D">
        <w:rPr>
          <w:lang w:val="en-AU"/>
        </w:rPr>
        <w:t xml:space="preserve"> or tertiary service, staff noted that </w:t>
      </w:r>
      <w:r w:rsidR="007D6926" w:rsidRPr="000D119D">
        <w:rPr>
          <w:lang w:val="en-AU"/>
        </w:rPr>
        <w:t xml:space="preserve">there was a reduced need for </w:t>
      </w:r>
      <w:r w:rsidR="00F40845" w:rsidRPr="000D119D">
        <w:rPr>
          <w:lang w:val="en-AU"/>
        </w:rPr>
        <w:t>participants</w:t>
      </w:r>
      <w:r w:rsidR="007D6926" w:rsidRPr="000D119D">
        <w:rPr>
          <w:lang w:val="en-AU"/>
        </w:rPr>
        <w:t xml:space="preserve"> to re-tell their story.</w:t>
      </w:r>
    </w:p>
    <w:p w14:paraId="197F7880" w14:textId="7578E4B8" w:rsidR="0039374D" w:rsidRPr="000D119D" w:rsidRDefault="0039374D" w:rsidP="00BE0860">
      <w:pPr>
        <w:pStyle w:val="Heading4"/>
      </w:pPr>
      <w:r w:rsidRPr="000D119D">
        <w:t>There is an underlying tension between the consistency and efficiency of centralised intake versus the need for a more localised approach</w:t>
      </w:r>
    </w:p>
    <w:p w14:paraId="65EA4CED" w14:textId="1C99824C" w:rsidR="0024069D" w:rsidRPr="000D119D" w:rsidRDefault="0039374D" w:rsidP="0039374D">
      <w:pPr>
        <w:rPr>
          <w:lang w:val="en-AU"/>
        </w:rPr>
      </w:pPr>
      <w:r w:rsidRPr="000D119D">
        <w:rPr>
          <w:lang w:val="en-AU"/>
        </w:rPr>
        <w:t xml:space="preserve">Hub staff report varying experiences of intake into their hub. </w:t>
      </w:r>
      <w:r w:rsidR="003E65EA" w:rsidRPr="000D119D">
        <w:rPr>
          <w:lang w:val="en-AU"/>
        </w:rPr>
        <w:t xml:space="preserve">Intake can range from completely centralised, </w:t>
      </w:r>
      <w:r w:rsidR="00053EF5">
        <w:rPr>
          <w:lang w:val="en-AU"/>
        </w:rPr>
        <w:t>(</w:t>
      </w:r>
      <w:r w:rsidR="003E65EA" w:rsidRPr="000D119D">
        <w:rPr>
          <w:lang w:val="en-AU"/>
        </w:rPr>
        <w:t xml:space="preserve">i.e., intake for all hubs occurs at </w:t>
      </w:r>
      <w:r w:rsidR="00BD65DC" w:rsidRPr="000D119D">
        <w:rPr>
          <w:lang w:val="en-AU"/>
        </w:rPr>
        <w:t>a central</w:t>
      </w:r>
      <w:r w:rsidR="00A47B7E" w:rsidRPr="000D119D">
        <w:rPr>
          <w:lang w:val="en-AU"/>
        </w:rPr>
        <w:t>, national</w:t>
      </w:r>
      <w:r w:rsidR="00BD65DC" w:rsidRPr="000D119D">
        <w:rPr>
          <w:lang w:val="en-AU"/>
        </w:rPr>
        <w:t xml:space="preserve"> </w:t>
      </w:r>
      <w:r w:rsidR="00A47B7E" w:rsidRPr="000D119D">
        <w:rPr>
          <w:lang w:val="en-AU"/>
        </w:rPr>
        <w:t>level</w:t>
      </w:r>
      <w:r w:rsidR="00053EF5">
        <w:rPr>
          <w:lang w:val="en-AU"/>
        </w:rPr>
        <w:t>)</w:t>
      </w:r>
      <w:r w:rsidR="00BD65DC" w:rsidRPr="000D119D">
        <w:rPr>
          <w:lang w:val="en-AU"/>
        </w:rPr>
        <w:t xml:space="preserve"> to entirely localised, where each hub conducts its own intake. The benefit of a completely centralised intake function is that it is extremely efficient, wh</w:t>
      </w:r>
      <w:r w:rsidR="00C04777" w:rsidRPr="000D119D">
        <w:rPr>
          <w:lang w:val="en-AU"/>
        </w:rPr>
        <w:t>e</w:t>
      </w:r>
      <w:r w:rsidR="00BD65DC" w:rsidRPr="000D119D">
        <w:rPr>
          <w:lang w:val="en-AU"/>
        </w:rPr>
        <w:t>reas an entirely localised approach would be extremely inefficient for the system. However</w:t>
      </w:r>
      <w:r w:rsidR="00C04777" w:rsidRPr="000D119D">
        <w:rPr>
          <w:lang w:val="en-AU"/>
        </w:rPr>
        <w:t>,</w:t>
      </w:r>
      <w:r w:rsidR="00BD65DC" w:rsidRPr="000D119D">
        <w:rPr>
          <w:lang w:val="en-AU"/>
        </w:rPr>
        <w:t xml:space="preserve"> a more localised approach allows for local knowledge of </w:t>
      </w:r>
      <w:r w:rsidR="00C04777" w:rsidRPr="000D119D">
        <w:rPr>
          <w:lang w:val="en-AU"/>
        </w:rPr>
        <w:t>important elements such as referral services,</w:t>
      </w:r>
      <w:r w:rsidR="00BD65DC" w:rsidRPr="000D119D">
        <w:rPr>
          <w:lang w:val="en-AU"/>
        </w:rPr>
        <w:t xml:space="preserve"> which is important for quality of care. </w:t>
      </w:r>
      <w:r w:rsidRPr="000D119D">
        <w:rPr>
          <w:lang w:val="en-AU"/>
        </w:rPr>
        <w:t>S</w:t>
      </w:r>
      <w:r w:rsidR="00C04777" w:rsidRPr="000D119D">
        <w:rPr>
          <w:lang w:val="en-AU"/>
        </w:rPr>
        <w:t>ome hubs</w:t>
      </w:r>
      <w:r w:rsidRPr="000D119D">
        <w:rPr>
          <w:lang w:val="en-AU"/>
        </w:rPr>
        <w:t xml:space="preserve"> primarily use referrals from the centralised intake function (i.e., state-wide 1800 number), whilst others have introduced a localised approach (e.g., promoting contact via a direct number to the service) as they feel the centralised intake phone number does not work for their location, particularly for regional communities.</w:t>
      </w:r>
    </w:p>
    <w:p w14:paraId="5AC8D2C2" w14:textId="4B7ACB0E" w:rsidR="0039374D" w:rsidRPr="000D119D" w:rsidRDefault="0039374D" w:rsidP="0039374D">
      <w:pPr>
        <w:rPr>
          <w:lang w:val="en-AU"/>
        </w:rPr>
      </w:pPr>
      <w:r w:rsidRPr="000D119D">
        <w:rPr>
          <w:lang w:val="en-AU"/>
        </w:rPr>
        <w:t xml:space="preserve">The benefits and challenges of each intake approach are outlined in </w:t>
      </w:r>
      <w:r w:rsidR="005E5882">
        <w:rPr>
          <w:lang w:val="en-AU"/>
        </w:rPr>
        <w:fldChar w:fldCharType="begin"/>
      </w:r>
      <w:r w:rsidR="005E5882">
        <w:rPr>
          <w:lang w:val="en-AU"/>
        </w:rPr>
        <w:instrText xml:space="preserve"> REF _Ref97031536 \h </w:instrText>
      </w:r>
      <w:r w:rsidR="005E5882">
        <w:rPr>
          <w:lang w:val="en-AU"/>
        </w:rPr>
      </w:r>
      <w:r w:rsidR="005E5882">
        <w:rPr>
          <w:lang w:val="en-AU"/>
        </w:rPr>
        <w:fldChar w:fldCharType="separate"/>
      </w:r>
      <w:r w:rsidR="00562174" w:rsidRPr="000D119D">
        <w:t xml:space="preserve">Table </w:t>
      </w:r>
      <w:r w:rsidR="00562174">
        <w:rPr>
          <w:noProof/>
        </w:rPr>
        <w:t>3</w:t>
      </w:r>
      <w:r w:rsidR="005E5882">
        <w:rPr>
          <w:lang w:val="en-AU"/>
        </w:rPr>
        <w:fldChar w:fldCharType="end"/>
      </w:r>
      <w:r w:rsidR="005E5882">
        <w:rPr>
          <w:lang w:val="en-AU"/>
        </w:rPr>
        <w:t>.</w:t>
      </w:r>
    </w:p>
    <w:p w14:paraId="6AF0C1F7" w14:textId="288ED5FD" w:rsidR="0024069D" w:rsidRPr="000D119D" w:rsidRDefault="00A919A7" w:rsidP="0039374D">
      <w:pPr>
        <w:rPr>
          <w:lang w:val="en-AU"/>
        </w:rPr>
      </w:pPr>
      <w:r w:rsidRPr="000D119D">
        <w:rPr>
          <w:lang w:val="en-AU"/>
        </w:rPr>
        <w:t xml:space="preserve">Balancing the need for a consistent approach to intake to support a single ‘front door’ into the mental health system with the importance of local knowledge, </w:t>
      </w:r>
      <w:r w:rsidR="00176552" w:rsidRPr="000D119D">
        <w:rPr>
          <w:lang w:val="en-AU"/>
        </w:rPr>
        <w:t xml:space="preserve">this evaluation concludes that </w:t>
      </w:r>
      <w:proofErr w:type="spellStart"/>
      <w:r w:rsidR="00176552" w:rsidRPr="00053EF5">
        <w:rPr>
          <w:i/>
          <w:lang w:val="en-AU"/>
        </w:rPr>
        <w:t>HeadtoHelp</w:t>
      </w:r>
      <w:proofErr w:type="spellEnd"/>
      <w:r w:rsidR="00176552" w:rsidRPr="000D119D">
        <w:rPr>
          <w:lang w:val="en-AU"/>
        </w:rPr>
        <w:t xml:space="preserve"> should maintain a centralised intake at the PHN level</w:t>
      </w:r>
      <w:r w:rsidR="002D1C45" w:rsidRPr="000D119D">
        <w:rPr>
          <w:lang w:val="en-AU"/>
        </w:rPr>
        <w:t xml:space="preserve"> </w:t>
      </w:r>
      <w:r w:rsidR="00176552" w:rsidRPr="000D119D">
        <w:rPr>
          <w:lang w:val="en-AU"/>
        </w:rPr>
        <w:t>as this appears to be the most effective method to find this balance.</w:t>
      </w:r>
    </w:p>
    <w:p w14:paraId="6B7CEE4F" w14:textId="2EBEC0E0" w:rsidR="0039374D" w:rsidRPr="000D119D" w:rsidRDefault="0039374D" w:rsidP="0039374D">
      <w:pPr>
        <w:pStyle w:val="Caption"/>
      </w:pPr>
      <w:bookmarkStart w:id="97" w:name="_Ref97031536"/>
      <w:r w:rsidRPr="000D119D">
        <w:t xml:space="preserve">Table </w:t>
      </w:r>
      <w:r w:rsidRPr="000D119D">
        <w:fldChar w:fldCharType="begin"/>
      </w:r>
      <w:r w:rsidRPr="000D119D">
        <w:instrText xml:space="preserve"> SEQ Table \* ARABIC </w:instrText>
      </w:r>
      <w:r w:rsidRPr="000D119D">
        <w:fldChar w:fldCharType="separate"/>
      </w:r>
      <w:r w:rsidR="00562174">
        <w:rPr>
          <w:noProof/>
        </w:rPr>
        <w:t>3</w:t>
      </w:r>
      <w:r w:rsidRPr="000D119D">
        <w:fldChar w:fldCharType="end"/>
      </w:r>
      <w:bookmarkEnd w:id="97"/>
      <w:r w:rsidRPr="000D119D">
        <w:t xml:space="preserve"> | Benefits and challenges of each intake approach</w:t>
      </w:r>
    </w:p>
    <w:tbl>
      <w:tblPr>
        <w:tblStyle w:val="NousTableStyletopandsideheading"/>
        <w:tblW w:w="0" w:type="auto"/>
        <w:tblLook w:val="04A0" w:firstRow="1" w:lastRow="0" w:firstColumn="1" w:lastColumn="0" w:noHBand="0" w:noVBand="1"/>
        <w:tblDescription w:val="Table 3 is a list of the benefits and challenges of each intake approach"/>
      </w:tblPr>
      <w:tblGrid>
        <w:gridCol w:w="1219"/>
        <w:gridCol w:w="3940"/>
        <w:gridCol w:w="3941"/>
      </w:tblGrid>
      <w:tr w:rsidR="0039374D" w:rsidRPr="00141636" w14:paraId="7256394F" w14:textId="77777777" w:rsidTr="007130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9" w:type="dxa"/>
            <w:tcBorders>
              <w:top w:val="single" w:sz="18" w:space="0" w:color="0070C0"/>
              <w:bottom w:val="single" w:sz="8" w:space="0" w:color="F9F9F9"/>
            </w:tcBorders>
          </w:tcPr>
          <w:p w14:paraId="32CF4D6D" w14:textId="77777777" w:rsidR="0039374D" w:rsidRPr="000D119D" w:rsidRDefault="0039374D" w:rsidP="00382FFF">
            <w:pPr>
              <w:pStyle w:val="TableNheader"/>
              <w:rPr>
                <w:b w:val="0"/>
                <w:bCs/>
              </w:rPr>
            </w:pPr>
          </w:p>
        </w:tc>
        <w:tc>
          <w:tcPr>
            <w:tcW w:w="3940" w:type="dxa"/>
            <w:tcBorders>
              <w:top w:val="single" w:sz="18" w:space="0" w:color="0070C0"/>
              <w:bottom w:val="single" w:sz="8" w:space="0" w:color="F9F9F9"/>
            </w:tcBorders>
          </w:tcPr>
          <w:p w14:paraId="55DA2AD5" w14:textId="77777777" w:rsidR="0039374D" w:rsidRPr="000D119D" w:rsidRDefault="0039374D" w:rsidP="00382FFF">
            <w:pPr>
              <w:pStyle w:val="TableNheader"/>
              <w:cnfStyle w:val="100000000000" w:firstRow="1" w:lastRow="0" w:firstColumn="0" w:lastColumn="0" w:oddVBand="0" w:evenVBand="0" w:oddHBand="0" w:evenHBand="0" w:firstRowFirstColumn="0" w:firstRowLastColumn="0" w:lastRowFirstColumn="0" w:lastRowLastColumn="0"/>
              <w:rPr>
                <w:b w:val="0"/>
                <w:bCs/>
              </w:rPr>
            </w:pPr>
            <w:r w:rsidRPr="000D119D">
              <w:rPr>
                <w:b w:val="0"/>
                <w:bCs/>
              </w:rPr>
              <w:t>Benefits identified by stakeholders</w:t>
            </w:r>
          </w:p>
        </w:tc>
        <w:tc>
          <w:tcPr>
            <w:tcW w:w="3941" w:type="dxa"/>
            <w:tcBorders>
              <w:top w:val="single" w:sz="18" w:space="0" w:color="0070C0"/>
              <w:bottom w:val="single" w:sz="8" w:space="0" w:color="F9F9F9"/>
            </w:tcBorders>
          </w:tcPr>
          <w:p w14:paraId="2DAA1E39" w14:textId="77777777" w:rsidR="0039374D" w:rsidRPr="000D119D" w:rsidRDefault="0039374D" w:rsidP="00382FFF">
            <w:pPr>
              <w:pStyle w:val="TableNheader"/>
              <w:cnfStyle w:val="100000000000" w:firstRow="1" w:lastRow="0" w:firstColumn="0" w:lastColumn="0" w:oddVBand="0" w:evenVBand="0" w:oddHBand="0" w:evenHBand="0" w:firstRowFirstColumn="0" w:firstRowLastColumn="0" w:lastRowFirstColumn="0" w:lastRowLastColumn="0"/>
              <w:rPr>
                <w:b w:val="0"/>
                <w:bCs/>
              </w:rPr>
            </w:pPr>
            <w:r w:rsidRPr="000D119D">
              <w:rPr>
                <w:b w:val="0"/>
                <w:bCs/>
              </w:rPr>
              <w:t>Challenges identified by stakeholders</w:t>
            </w:r>
          </w:p>
        </w:tc>
      </w:tr>
      <w:tr w:rsidR="0039374D" w:rsidRPr="00141636" w14:paraId="5717FDC4" w14:textId="77777777" w:rsidTr="00382FFF">
        <w:tc>
          <w:tcPr>
            <w:cnfStyle w:val="001000000000" w:firstRow="0" w:lastRow="0" w:firstColumn="1" w:lastColumn="0" w:oddVBand="0" w:evenVBand="0" w:oddHBand="0" w:evenHBand="0" w:firstRowFirstColumn="0" w:firstRowLastColumn="0" w:lastRowFirstColumn="0" w:lastRowLastColumn="0"/>
            <w:tcW w:w="1219" w:type="dxa"/>
            <w:tcBorders>
              <w:top w:val="single" w:sz="8" w:space="0" w:color="F9F9F9"/>
            </w:tcBorders>
          </w:tcPr>
          <w:p w14:paraId="70E18C46" w14:textId="77777777" w:rsidR="0039374D" w:rsidRPr="000D119D" w:rsidRDefault="0039374D" w:rsidP="00382FFF">
            <w:pPr>
              <w:pStyle w:val="TableNheader"/>
              <w:jc w:val="left"/>
              <w:rPr>
                <w:b w:val="0"/>
                <w:bCs/>
              </w:rPr>
            </w:pPr>
            <w:r w:rsidRPr="000D119D">
              <w:rPr>
                <w:b w:val="0"/>
                <w:bCs/>
              </w:rPr>
              <w:t>Centralised intake approach</w:t>
            </w:r>
          </w:p>
        </w:tc>
        <w:tc>
          <w:tcPr>
            <w:tcW w:w="3940" w:type="dxa"/>
            <w:tcBorders>
              <w:top w:val="single" w:sz="8" w:space="0" w:color="F9F9F9"/>
            </w:tcBorders>
          </w:tcPr>
          <w:p w14:paraId="17CF4DF2" w14:textId="77777777" w:rsidR="0039374D" w:rsidRPr="000D119D" w:rsidRDefault="0039374D" w:rsidP="00382FFF">
            <w:pPr>
              <w:pStyle w:val="TableNBullet"/>
              <w:cnfStyle w:val="000000000000" w:firstRow="0" w:lastRow="0" w:firstColumn="0" w:lastColumn="0" w:oddVBand="0" w:evenVBand="0" w:oddHBand="0" w:evenHBand="0" w:firstRowFirstColumn="0" w:firstRowLastColumn="0" w:lastRowFirstColumn="0" w:lastRowLastColumn="0"/>
            </w:pPr>
            <w:r w:rsidRPr="000D119D">
              <w:t xml:space="preserve">Provides a clear point of entry for people seeking assistance with their or someone else’s mental health issues, thus avoiding confusion among participants attempting to access the service and referrers attempting to refer to the </w:t>
            </w:r>
            <w:r w:rsidRPr="000D119D">
              <w:lastRenderedPageBreak/>
              <w:t>service.</w:t>
            </w:r>
          </w:p>
          <w:p w14:paraId="06EE01C7" w14:textId="77777777" w:rsidR="0039374D" w:rsidRPr="000D119D" w:rsidRDefault="0039374D" w:rsidP="00382FFF">
            <w:pPr>
              <w:pStyle w:val="TableNBullet"/>
              <w:cnfStyle w:val="000000000000" w:firstRow="0" w:lastRow="0" w:firstColumn="0" w:lastColumn="0" w:oddVBand="0" w:evenVBand="0" w:oddHBand="0" w:evenHBand="0" w:firstRowFirstColumn="0" w:firstRowLastColumn="0" w:lastRowFirstColumn="0" w:lastRowLastColumn="0"/>
            </w:pPr>
            <w:r w:rsidRPr="000D119D">
              <w:t>Some participants appreciate speaking with someone ‘neutral’ or unknown to them to tell their story.</w:t>
            </w:r>
          </w:p>
          <w:p w14:paraId="73C6DFFE" w14:textId="77777777" w:rsidR="0039374D" w:rsidRPr="000D119D" w:rsidRDefault="0039374D" w:rsidP="00382FFF">
            <w:pPr>
              <w:pStyle w:val="TableNBullet"/>
              <w:cnfStyle w:val="000000000000" w:firstRow="0" w:lastRow="0" w:firstColumn="0" w:lastColumn="0" w:oddVBand="0" w:evenVBand="0" w:oddHBand="0" w:evenHBand="0" w:firstRowFirstColumn="0" w:firstRowLastColumn="0" w:lastRowFirstColumn="0" w:lastRowLastColumn="0"/>
            </w:pPr>
            <w:r w:rsidRPr="000D119D">
              <w:t>Supports a ‘system-wide’ approach.</w:t>
            </w:r>
          </w:p>
        </w:tc>
        <w:tc>
          <w:tcPr>
            <w:tcW w:w="3941" w:type="dxa"/>
            <w:tcBorders>
              <w:top w:val="single" w:sz="8" w:space="0" w:color="F9F9F9"/>
            </w:tcBorders>
          </w:tcPr>
          <w:p w14:paraId="2F8C1606" w14:textId="77777777" w:rsidR="0039374D" w:rsidRPr="000D119D" w:rsidRDefault="0039374D" w:rsidP="00382FFF">
            <w:pPr>
              <w:pStyle w:val="TableNText"/>
              <w:cnfStyle w:val="000000000000" w:firstRow="0" w:lastRow="0" w:firstColumn="0" w:lastColumn="0" w:oddVBand="0" w:evenVBand="0" w:oddHBand="0" w:evenHBand="0" w:firstRowFirstColumn="0" w:firstRowLastColumn="0" w:lastRowFirstColumn="0" w:lastRowLastColumn="0"/>
              <w:rPr>
                <w:i/>
                <w:iCs/>
              </w:rPr>
            </w:pPr>
            <w:r w:rsidRPr="000D119D">
              <w:rPr>
                <w:i/>
                <w:iCs/>
              </w:rPr>
              <w:lastRenderedPageBreak/>
              <w:t>Challenges observed relate to PHNs delivering the centralised intake on behalf of another PHN.</w:t>
            </w:r>
          </w:p>
          <w:p w14:paraId="2C35BCAC" w14:textId="77777777" w:rsidR="0039374D" w:rsidRPr="000D119D" w:rsidRDefault="0039374D" w:rsidP="00382FFF">
            <w:pPr>
              <w:pStyle w:val="TableNBullet"/>
              <w:cnfStyle w:val="000000000000" w:firstRow="0" w:lastRow="0" w:firstColumn="0" w:lastColumn="0" w:oddVBand="0" w:evenVBand="0" w:oddHBand="0" w:evenHBand="0" w:firstRowFirstColumn="0" w:firstRowLastColumn="0" w:lastRowFirstColumn="0" w:lastRowLastColumn="0"/>
            </w:pPr>
            <w:r w:rsidRPr="000D119D">
              <w:t xml:space="preserve">When performed by intake clinicians who are not in the local PHN catchment, clinicians may lack knowledge about geographic area and/or </w:t>
            </w:r>
            <w:r w:rsidRPr="000D119D">
              <w:lastRenderedPageBreak/>
              <w:t>what is available to participants to best support their needs leaving participants feeling frustrated or lacking confidence in the service.</w:t>
            </w:r>
          </w:p>
          <w:p w14:paraId="2493D9D1" w14:textId="77777777" w:rsidR="0039374D" w:rsidRPr="000D119D" w:rsidRDefault="0039374D" w:rsidP="00382FFF">
            <w:pPr>
              <w:pStyle w:val="TableNBullet"/>
              <w:cnfStyle w:val="000000000000" w:firstRow="0" w:lastRow="0" w:firstColumn="0" w:lastColumn="0" w:oddVBand="0" w:evenVBand="0" w:oddHBand="0" w:evenHBand="0" w:firstRowFirstColumn="0" w:firstRowLastColumn="0" w:lastRowFirstColumn="0" w:lastRowLastColumn="0"/>
            </w:pPr>
            <w:r w:rsidRPr="000D119D">
              <w:t>Centralised intake number not always helpful in regional context.</w:t>
            </w:r>
          </w:p>
        </w:tc>
      </w:tr>
      <w:tr w:rsidR="0039374D" w:rsidRPr="00141636" w14:paraId="72B1B48F" w14:textId="77777777" w:rsidTr="00382FFF">
        <w:tc>
          <w:tcPr>
            <w:cnfStyle w:val="001000000000" w:firstRow="0" w:lastRow="0" w:firstColumn="1" w:lastColumn="0" w:oddVBand="0" w:evenVBand="0" w:oddHBand="0" w:evenHBand="0" w:firstRowFirstColumn="0" w:firstRowLastColumn="0" w:lastRowFirstColumn="0" w:lastRowLastColumn="0"/>
            <w:tcW w:w="1219" w:type="dxa"/>
          </w:tcPr>
          <w:p w14:paraId="4E6F360C" w14:textId="77777777" w:rsidR="0039374D" w:rsidRPr="000D119D" w:rsidRDefault="0039374D" w:rsidP="00382FFF">
            <w:pPr>
              <w:pStyle w:val="TableNheader"/>
              <w:jc w:val="left"/>
              <w:rPr>
                <w:b w:val="0"/>
                <w:bCs/>
              </w:rPr>
            </w:pPr>
            <w:r w:rsidRPr="000D119D">
              <w:rPr>
                <w:b w:val="0"/>
                <w:bCs/>
              </w:rPr>
              <w:lastRenderedPageBreak/>
              <w:t>Localised intake approach</w:t>
            </w:r>
          </w:p>
        </w:tc>
        <w:tc>
          <w:tcPr>
            <w:tcW w:w="3940" w:type="dxa"/>
          </w:tcPr>
          <w:p w14:paraId="1B794F24" w14:textId="77777777" w:rsidR="0039374D" w:rsidRPr="000D119D" w:rsidRDefault="0039374D" w:rsidP="00382FFF">
            <w:pPr>
              <w:pStyle w:val="TableNBullet"/>
              <w:cnfStyle w:val="000000000000" w:firstRow="0" w:lastRow="0" w:firstColumn="0" w:lastColumn="0" w:oddVBand="0" w:evenVBand="0" w:oddHBand="0" w:evenHBand="0" w:firstRowFirstColumn="0" w:firstRowLastColumn="0" w:lastRowFirstColumn="0" w:lastRowLastColumn="0"/>
            </w:pPr>
            <w:r w:rsidRPr="000D119D">
              <w:t>Intake clinicians have knowledge of geographic area, available supports and waiting times.</w:t>
            </w:r>
          </w:p>
          <w:p w14:paraId="17DDD752" w14:textId="77777777" w:rsidR="0039374D" w:rsidRPr="000D119D" w:rsidRDefault="0039374D" w:rsidP="00382FFF">
            <w:pPr>
              <w:pStyle w:val="TableNBullet"/>
              <w:cnfStyle w:val="000000000000" w:firstRow="0" w:lastRow="0" w:firstColumn="0" w:lastColumn="0" w:oddVBand="0" w:evenVBand="0" w:oddHBand="0" w:evenHBand="0" w:firstRowFirstColumn="0" w:firstRowLastColumn="0" w:lastRowFirstColumn="0" w:lastRowLastColumn="0"/>
            </w:pPr>
            <w:r w:rsidRPr="000D119D">
              <w:t>Participants within the community may know the person and be more comfortable to access and use the service.</w:t>
            </w:r>
          </w:p>
        </w:tc>
        <w:tc>
          <w:tcPr>
            <w:tcW w:w="3941" w:type="dxa"/>
          </w:tcPr>
          <w:p w14:paraId="349A23F4" w14:textId="77777777" w:rsidR="0039374D" w:rsidRPr="000D119D" w:rsidRDefault="0039374D" w:rsidP="00382FFF">
            <w:pPr>
              <w:pStyle w:val="TableNBullet"/>
              <w:cnfStyle w:val="000000000000" w:firstRow="0" w:lastRow="0" w:firstColumn="0" w:lastColumn="0" w:oddVBand="0" w:evenVBand="0" w:oddHBand="0" w:evenHBand="0" w:firstRowFirstColumn="0" w:firstRowLastColumn="0" w:lastRowFirstColumn="0" w:lastRowLastColumn="0"/>
            </w:pPr>
            <w:r w:rsidRPr="000D119D">
              <w:t>People may have to re-tell their story as local intake is not connected to centralised intake.</w:t>
            </w:r>
          </w:p>
          <w:p w14:paraId="18622634" w14:textId="77777777" w:rsidR="0039374D" w:rsidRPr="000D119D" w:rsidRDefault="0039374D" w:rsidP="00382FFF">
            <w:pPr>
              <w:pStyle w:val="TableNBullet"/>
              <w:cnfStyle w:val="000000000000" w:firstRow="0" w:lastRow="0" w:firstColumn="0" w:lastColumn="0" w:oddVBand="0" w:evenVBand="0" w:oddHBand="0" w:evenHBand="0" w:firstRowFirstColumn="0" w:firstRowLastColumn="0" w:lastRowFirstColumn="0" w:lastRowLastColumn="0"/>
            </w:pPr>
            <w:r w:rsidRPr="000D119D">
              <w:t>Intake clinician and/or hub staff may not have a picture of participants service usage.</w:t>
            </w:r>
          </w:p>
          <w:p w14:paraId="08605536" w14:textId="77777777" w:rsidR="0039374D" w:rsidRPr="000D119D" w:rsidRDefault="0039374D" w:rsidP="00382FFF">
            <w:pPr>
              <w:pStyle w:val="TableNBullet"/>
              <w:cnfStyle w:val="000000000000" w:firstRow="0" w:lastRow="0" w:firstColumn="0" w:lastColumn="0" w:oddVBand="0" w:evenVBand="0" w:oddHBand="0" w:evenHBand="0" w:firstRowFirstColumn="0" w:firstRowLastColumn="0" w:lastRowFirstColumn="0" w:lastRowLastColumn="0"/>
            </w:pPr>
            <w:r w:rsidRPr="000D119D">
              <w:t>Intake requires a significant amount of administrative work, and therefore an extra staff member dedicated to intake.</w:t>
            </w:r>
          </w:p>
        </w:tc>
      </w:tr>
    </w:tbl>
    <w:p w14:paraId="1A5F2171" w14:textId="4A5811F6" w:rsidR="0039374D" w:rsidRPr="000D119D" w:rsidRDefault="0039374D" w:rsidP="0039374D">
      <w:pPr>
        <w:rPr>
          <w:lang w:val="en-AU"/>
        </w:rPr>
      </w:pPr>
      <w:r w:rsidRPr="000D119D">
        <w:rPr>
          <w:lang w:val="en-AU"/>
        </w:rPr>
        <w:t>Some service providers are also undertaking additional activities that deviate from the centralised intake function. For example, some hubs undertake a re-triage/intake process following the referral of a participant to their hub. Some hubs use their own triage</w:t>
      </w:r>
      <w:r w:rsidR="000D2FE6" w:rsidRPr="000D119D">
        <w:rPr>
          <w:lang w:val="en-AU"/>
        </w:rPr>
        <w:t xml:space="preserve"> or assessment</w:t>
      </w:r>
      <w:r w:rsidRPr="000D119D">
        <w:rPr>
          <w:lang w:val="en-AU"/>
        </w:rPr>
        <w:t xml:space="preserve"> tool</w:t>
      </w:r>
      <w:r w:rsidR="000D2FE6" w:rsidRPr="000D119D">
        <w:rPr>
          <w:lang w:val="en-AU"/>
        </w:rPr>
        <w:t>s</w:t>
      </w:r>
      <w:r w:rsidRPr="000D119D">
        <w:rPr>
          <w:lang w:val="en-AU"/>
        </w:rPr>
        <w:t xml:space="preserve"> to support this process. Hubs report this additional function is completed for </w:t>
      </w:r>
      <w:r w:rsidR="005A1A60" w:rsidRPr="000D119D">
        <w:rPr>
          <w:lang w:val="en-AU"/>
        </w:rPr>
        <w:t>three</w:t>
      </w:r>
      <w:r w:rsidRPr="000D119D">
        <w:rPr>
          <w:lang w:val="en-AU"/>
        </w:rPr>
        <w:t xml:space="preserve"> reasons:</w:t>
      </w:r>
    </w:p>
    <w:p w14:paraId="4E929EDA" w14:textId="77777777" w:rsidR="0039374D" w:rsidRPr="000D119D" w:rsidRDefault="0039374D" w:rsidP="006C2E61">
      <w:pPr>
        <w:pStyle w:val="Listnumbered"/>
        <w:numPr>
          <w:ilvl w:val="0"/>
          <w:numId w:val="17"/>
        </w:numPr>
        <w:rPr>
          <w:lang w:val="en-AU"/>
        </w:rPr>
      </w:pPr>
      <w:r w:rsidRPr="000D119D">
        <w:rPr>
          <w:lang w:val="en-AU"/>
        </w:rPr>
        <w:t>Referrals from the relevant PHN centralised intake team are not comprehensive and do not provide a clear picture about the individuals entire mental health journey.</w:t>
      </w:r>
    </w:p>
    <w:p w14:paraId="69E4F0E0" w14:textId="77777777" w:rsidR="0039374D" w:rsidRPr="000D119D" w:rsidRDefault="0039374D" w:rsidP="0039374D">
      <w:pPr>
        <w:pStyle w:val="Listnumbered"/>
        <w:rPr>
          <w:lang w:val="en-AU"/>
        </w:rPr>
      </w:pPr>
      <w:r w:rsidRPr="000D119D">
        <w:rPr>
          <w:lang w:val="en-AU"/>
        </w:rPr>
        <w:t>Referrals do not reflect understanding of the local context (as completed by a different PHN to where the participant is located).</w:t>
      </w:r>
    </w:p>
    <w:p w14:paraId="6B316108" w14:textId="7A6AEC89" w:rsidR="00073F29" w:rsidRPr="000D119D" w:rsidRDefault="00A70E7A" w:rsidP="0039374D">
      <w:pPr>
        <w:pStyle w:val="Listnumbered"/>
        <w:rPr>
          <w:lang w:val="en-AU"/>
        </w:rPr>
      </w:pPr>
      <w:r w:rsidRPr="000D119D">
        <w:rPr>
          <w:lang w:val="en-AU"/>
        </w:rPr>
        <w:t xml:space="preserve">Service providers </w:t>
      </w:r>
      <w:r w:rsidR="005A1A60" w:rsidRPr="000D119D">
        <w:rPr>
          <w:lang w:val="en-AU"/>
        </w:rPr>
        <w:t xml:space="preserve">have </w:t>
      </w:r>
      <w:r w:rsidR="00936934" w:rsidRPr="000D119D">
        <w:rPr>
          <w:lang w:val="en-AU"/>
        </w:rPr>
        <w:t>ultimate liability</w:t>
      </w:r>
      <w:r w:rsidR="00961AB9" w:rsidRPr="000D119D">
        <w:rPr>
          <w:lang w:val="en-AU"/>
        </w:rPr>
        <w:t xml:space="preserve"> for their clients’ clinical safety</w:t>
      </w:r>
      <w:r w:rsidR="00E747F5" w:rsidRPr="000D119D">
        <w:rPr>
          <w:lang w:val="en-AU"/>
        </w:rPr>
        <w:t xml:space="preserve"> and </w:t>
      </w:r>
      <w:r w:rsidR="00014A36" w:rsidRPr="000D119D">
        <w:rPr>
          <w:lang w:val="en-AU"/>
        </w:rPr>
        <w:t xml:space="preserve">therefore </w:t>
      </w:r>
      <w:r w:rsidR="009B662C" w:rsidRPr="000D119D">
        <w:rPr>
          <w:lang w:val="en-AU"/>
        </w:rPr>
        <w:t xml:space="preserve">want to ensure they have </w:t>
      </w:r>
      <w:r w:rsidR="00B4334E" w:rsidRPr="000D119D">
        <w:rPr>
          <w:lang w:val="en-AU"/>
        </w:rPr>
        <w:t xml:space="preserve">full knowledge of the clinical risk associated with each client, </w:t>
      </w:r>
      <w:r w:rsidR="00785F56" w:rsidRPr="000D119D">
        <w:rPr>
          <w:lang w:val="en-AU"/>
        </w:rPr>
        <w:t>especially as many of their staff are provisional or new to the workforce.</w:t>
      </w:r>
      <w:r w:rsidR="001363DF" w:rsidRPr="000D119D">
        <w:rPr>
          <w:lang w:val="en-AU"/>
        </w:rPr>
        <w:t xml:space="preserve"> </w:t>
      </w:r>
      <w:r w:rsidR="00F75532" w:rsidRPr="000D119D">
        <w:rPr>
          <w:lang w:val="en-AU"/>
        </w:rPr>
        <w:t xml:space="preserve"> </w:t>
      </w:r>
    </w:p>
    <w:p w14:paraId="418DFE13" w14:textId="58FFEE45" w:rsidR="00323C7A" w:rsidRPr="000D119D" w:rsidRDefault="00323C7A" w:rsidP="00323C7A">
      <w:pPr>
        <w:pStyle w:val="Heading3"/>
      </w:pPr>
      <w:bookmarkStart w:id="98" w:name="_Toc99650353"/>
      <w:r w:rsidRPr="000D119D">
        <w:t>Limitations</w:t>
      </w:r>
      <w:bookmarkEnd w:id="98"/>
      <w:r w:rsidRPr="000D119D">
        <w:t xml:space="preserve"> </w:t>
      </w:r>
    </w:p>
    <w:p w14:paraId="065F14BB" w14:textId="51122E7B" w:rsidR="009A5E61" w:rsidRPr="000D119D" w:rsidRDefault="009A5E61" w:rsidP="00BE0860">
      <w:pPr>
        <w:pStyle w:val="Heading4"/>
      </w:pPr>
      <w:r w:rsidRPr="000D119D">
        <w:t xml:space="preserve">The </w:t>
      </w:r>
      <w:r w:rsidR="00105CC5" w:rsidRPr="000D119D">
        <w:t xml:space="preserve">IAR is not appropriate for children, </w:t>
      </w:r>
      <w:proofErr w:type="gramStart"/>
      <w:r w:rsidR="00105CC5" w:rsidRPr="000D119D">
        <w:t>youth</w:t>
      </w:r>
      <w:proofErr w:type="gramEnd"/>
      <w:r w:rsidR="00105CC5" w:rsidRPr="000D119D">
        <w:t xml:space="preserve"> or Aboriginal and Torres Strait Islander people</w:t>
      </w:r>
    </w:p>
    <w:p w14:paraId="5264653B" w14:textId="32A5C19B" w:rsidR="002B2E39" w:rsidRPr="000D119D" w:rsidRDefault="004B29AA" w:rsidP="00DC562D">
      <w:pPr>
        <w:rPr>
          <w:lang w:val="en-AU"/>
        </w:rPr>
      </w:pPr>
      <w:r w:rsidRPr="000D119D">
        <w:rPr>
          <w:lang w:val="en-AU"/>
        </w:rPr>
        <w:t xml:space="preserve">Most </w:t>
      </w:r>
      <w:r w:rsidR="00DC562D" w:rsidRPr="000D119D">
        <w:rPr>
          <w:lang w:val="en-AU"/>
        </w:rPr>
        <w:t xml:space="preserve">intake clinicians and </w:t>
      </w:r>
      <w:r w:rsidRPr="000D119D">
        <w:rPr>
          <w:lang w:val="en-AU"/>
        </w:rPr>
        <w:t>hubs noted the IAR</w:t>
      </w:r>
      <w:r w:rsidR="006F7E88" w:rsidRPr="000D119D">
        <w:rPr>
          <w:lang w:val="en-AU"/>
        </w:rPr>
        <w:t>-DST</w:t>
      </w:r>
      <w:r w:rsidRPr="000D119D">
        <w:rPr>
          <w:lang w:val="en-AU"/>
        </w:rPr>
        <w:t xml:space="preserve"> </w:t>
      </w:r>
      <w:r w:rsidR="006F7E88" w:rsidRPr="000D119D">
        <w:rPr>
          <w:lang w:val="en-AU"/>
        </w:rPr>
        <w:t>i</w:t>
      </w:r>
      <w:r w:rsidRPr="000D119D">
        <w:rPr>
          <w:lang w:val="en-AU"/>
        </w:rPr>
        <w:t>s not practical for use in child or youth cohorts</w:t>
      </w:r>
      <w:r w:rsidR="001A59E8" w:rsidRPr="000D119D">
        <w:rPr>
          <w:lang w:val="en-AU"/>
        </w:rPr>
        <w:t xml:space="preserve"> and </w:t>
      </w:r>
      <w:r w:rsidR="006F7E88" w:rsidRPr="000D119D">
        <w:rPr>
          <w:lang w:val="en-AU"/>
        </w:rPr>
        <w:t xml:space="preserve">is inappropriate for Aboriginal and Torres Strait Islander people. </w:t>
      </w:r>
      <w:r w:rsidR="00121521">
        <w:rPr>
          <w:lang w:val="en-AU"/>
        </w:rPr>
        <w:t>While the IAR is currently being used in some Aboriginal Medical Services,</w:t>
      </w:r>
      <w:r w:rsidR="002C2663">
        <w:rPr>
          <w:lang w:val="en-AU"/>
        </w:rPr>
        <w:t xml:space="preserve"> clinicians</w:t>
      </w:r>
      <w:r w:rsidR="00101FCF">
        <w:rPr>
          <w:lang w:val="en-AU"/>
        </w:rPr>
        <w:t xml:space="preserve"> </w:t>
      </w:r>
      <w:r w:rsidR="00121521">
        <w:rPr>
          <w:lang w:val="en-AU"/>
        </w:rPr>
        <w:t>need to be aware of any</w:t>
      </w:r>
      <w:r w:rsidR="00101FCF">
        <w:rPr>
          <w:lang w:val="en-AU"/>
        </w:rPr>
        <w:t xml:space="preserve"> cultural sensitivities and services that might be more appropriate</w:t>
      </w:r>
      <w:r w:rsidR="00121521">
        <w:rPr>
          <w:lang w:val="en-AU"/>
        </w:rPr>
        <w:t xml:space="preserve"> when using the current version. More</w:t>
      </w:r>
      <w:r w:rsidR="006F7E88" w:rsidRPr="000D119D">
        <w:rPr>
          <w:lang w:val="en-AU"/>
        </w:rPr>
        <w:t xml:space="preserve"> work </w:t>
      </w:r>
      <w:r w:rsidR="00121521">
        <w:rPr>
          <w:lang w:val="en-AU"/>
        </w:rPr>
        <w:t>is required</w:t>
      </w:r>
      <w:r w:rsidR="006F7E88" w:rsidRPr="000D119D">
        <w:rPr>
          <w:lang w:val="en-AU"/>
        </w:rPr>
        <w:t xml:space="preserve"> to ensure a tool that is </w:t>
      </w:r>
      <w:r w:rsidR="00B45106" w:rsidRPr="000D119D">
        <w:rPr>
          <w:lang w:val="en-AU"/>
        </w:rPr>
        <w:t xml:space="preserve">both culturally and age appropriate is </w:t>
      </w:r>
      <w:r w:rsidR="00403E80">
        <w:rPr>
          <w:lang w:val="en-AU"/>
        </w:rPr>
        <w:t>designed</w:t>
      </w:r>
      <w:r w:rsidR="00B45106" w:rsidRPr="000D119D">
        <w:rPr>
          <w:lang w:val="en-AU"/>
        </w:rPr>
        <w:t xml:space="preserve"> to effectively </w:t>
      </w:r>
      <w:r w:rsidR="00B26FF7" w:rsidRPr="000D119D">
        <w:rPr>
          <w:lang w:val="en-AU"/>
        </w:rPr>
        <w:t>triage these cohorts</w:t>
      </w:r>
      <w:r w:rsidRPr="000D119D">
        <w:rPr>
          <w:lang w:val="en-AU"/>
        </w:rPr>
        <w:t>.</w:t>
      </w:r>
      <w:r w:rsidR="005C5FA9" w:rsidRPr="000D119D">
        <w:rPr>
          <w:lang w:val="en-AU"/>
        </w:rPr>
        <w:t xml:space="preserve"> </w:t>
      </w:r>
      <w:r w:rsidR="00B26FF7" w:rsidRPr="000D119D">
        <w:rPr>
          <w:lang w:val="en-AU"/>
        </w:rPr>
        <w:t xml:space="preserve">Many </w:t>
      </w:r>
      <w:r w:rsidR="005826A9">
        <w:rPr>
          <w:lang w:val="en-AU"/>
        </w:rPr>
        <w:t>hub staff</w:t>
      </w:r>
      <w:r w:rsidR="005826A9" w:rsidRPr="000D119D">
        <w:rPr>
          <w:lang w:val="en-AU"/>
        </w:rPr>
        <w:t xml:space="preserve"> </w:t>
      </w:r>
      <w:r w:rsidR="00B26FF7" w:rsidRPr="000D119D">
        <w:rPr>
          <w:lang w:val="en-AU"/>
        </w:rPr>
        <w:t>also see an</w:t>
      </w:r>
      <w:r w:rsidRPr="000D119D">
        <w:rPr>
          <w:lang w:val="en-AU"/>
        </w:rPr>
        <w:t xml:space="preserve"> opportunity to make the IAR</w:t>
      </w:r>
      <w:r w:rsidR="00B26FF7" w:rsidRPr="000D119D">
        <w:rPr>
          <w:lang w:val="en-AU"/>
        </w:rPr>
        <w:t>-DST</w:t>
      </w:r>
      <w:r w:rsidRPr="000D119D">
        <w:rPr>
          <w:lang w:val="en-AU"/>
        </w:rPr>
        <w:t xml:space="preserve"> more user friendly for </w:t>
      </w:r>
      <w:r w:rsidR="00F34C8E" w:rsidRPr="000D119D">
        <w:rPr>
          <w:lang w:val="en-AU"/>
        </w:rPr>
        <w:t>CALD</w:t>
      </w:r>
      <w:r w:rsidRPr="000D119D">
        <w:rPr>
          <w:lang w:val="en-AU"/>
        </w:rPr>
        <w:t xml:space="preserve"> communities.</w:t>
      </w:r>
    </w:p>
    <w:p w14:paraId="192A8FEB" w14:textId="1A0CC13E" w:rsidR="004B7485" w:rsidRPr="000D119D" w:rsidRDefault="004F39A0" w:rsidP="00DC562D">
      <w:pPr>
        <w:rPr>
          <w:lang w:val="en-AU"/>
        </w:rPr>
      </w:pPr>
      <w:r>
        <w:rPr>
          <w:lang w:val="en-AU"/>
        </w:rPr>
        <w:t xml:space="preserve">To address these </w:t>
      </w:r>
      <w:r w:rsidR="00FC20AA" w:rsidRPr="000D119D">
        <w:rPr>
          <w:lang w:val="en-AU"/>
        </w:rPr>
        <w:t>limitations</w:t>
      </w:r>
      <w:r>
        <w:rPr>
          <w:lang w:val="en-AU"/>
        </w:rPr>
        <w:t>,</w:t>
      </w:r>
      <w:r w:rsidR="00FC20AA" w:rsidRPr="000D119D">
        <w:rPr>
          <w:lang w:val="en-AU"/>
        </w:rPr>
        <w:t xml:space="preserve"> </w:t>
      </w:r>
      <w:r w:rsidR="00206C3D" w:rsidRPr="000D119D">
        <w:rPr>
          <w:lang w:val="en-AU"/>
        </w:rPr>
        <w:t xml:space="preserve">different versions </w:t>
      </w:r>
      <w:r>
        <w:rPr>
          <w:lang w:val="en-AU"/>
        </w:rPr>
        <w:t>of the IAR-DST</w:t>
      </w:r>
      <w:r w:rsidR="00206C3D" w:rsidRPr="000D119D">
        <w:rPr>
          <w:lang w:val="en-AU"/>
        </w:rPr>
        <w:t xml:space="preserve"> are currently in development</w:t>
      </w:r>
      <w:r w:rsidR="0003193A">
        <w:rPr>
          <w:lang w:val="en-AU"/>
        </w:rPr>
        <w:t>. The Commonwealth has developed child and adolescent versions and is working on a version for Older Adults. Adaptations of the tool will be undertaken by the Commonwealth in 2022-23</w:t>
      </w:r>
      <w:r w:rsidR="00A2496B">
        <w:rPr>
          <w:lang w:val="en-AU"/>
        </w:rPr>
        <w:t xml:space="preserve"> for Aboriginal and Torres Strait Islander Peoples, in 2023-24 for CALD </w:t>
      </w:r>
      <w:r w:rsidR="00303C0B">
        <w:rPr>
          <w:lang w:val="en-AU"/>
        </w:rPr>
        <w:t xml:space="preserve">people, and in 2024-25 for veterans and people with co-occurrences. </w:t>
      </w:r>
      <w:r w:rsidR="00D5179D">
        <w:rPr>
          <w:lang w:val="en-AU"/>
        </w:rPr>
        <w:t xml:space="preserve"> </w:t>
      </w:r>
    </w:p>
    <w:p w14:paraId="348151A6" w14:textId="21F3C4B9" w:rsidR="00D32AE5" w:rsidRPr="000D119D" w:rsidRDefault="00885DED" w:rsidP="00BE0860">
      <w:pPr>
        <w:pStyle w:val="Heading4"/>
      </w:pPr>
      <w:r w:rsidRPr="000D119D">
        <w:t xml:space="preserve">The IAR does not currently integrate </w:t>
      </w:r>
      <w:r w:rsidR="00D32AE5" w:rsidRPr="000D119D">
        <w:t xml:space="preserve">with existing </w:t>
      </w:r>
      <w:r w:rsidR="00DE2ECF" w:rsidRPr="000D119D">
        <w:t>systems</w:t>
      </w:r>
      <w:r w:rsidR="00A63C07" w:rsidRPr="000D119D">
        <w:t xml:space="preserve"> which limits hub view</w:t>
      </w:r>
      <w:r w:rsidR="00601B44" w:rsidRPr="000D119D">
        <w:t>s</w:t>
      </w:r>
      <w:r w:rsidR="00A63C07" w:rsidRPr="000D119D">
        <w:t xml:space="preserve"> of the </w:t>
      </w:r>
      <w:r w:rsidR="00F40845" w:rsidRPr="000D119D">
        <w:t>participant</w:t>
      </w:r>
      <w:r w:rsidR="00D55106" w:rsidRPr="000D119D">
        <w:t xml:space="preserve">’s </w:t>
      </w:r>
      <w:r w:rsidR="00DE2ECF" w:rsidRPr="000D119D">
        <w:t>mental health</w:t>
      </w:r>
      <w:r w:rsidR="00A63C07" w:rsidRPr="000D119D">
        <w:t xml:space="preserve"> journey</w:t>
      </w:r>
    </w:p>
    <w:p w14:paraId="427CADAE" w14:textId="07FC1692" w:rsidR="00B64FD8" w:rsidRPr="000D119D" w:rsidRDefault="00B64FD8" w:rsidP="00B64FD8">
      <w:pPr>
        <w:rPr>
          <w:lang w:val="en-AU"/>
        </w:rPr>
      </w:pPr>
      <w:r w:rsidRPr="000D119D">
        <w:rPr>
          <w:lang w:val="en-AU"/>
        </w:rPr>
        <w:t>Early consultations with h</w:t>
      </w:r>
      <w:r w:rsidR="00251677" w:rsidRPr="000D119D">
        <w:rPr>
          <w:lang w:val="en-AU"/>
        </w:rPr>
        <w:t>ub</w:t>
      </w:r>
      <w:r w:rsidR="008837BD" w:rsidRPr="000D119D">
        <w:rPr>
          <w:lang w:val="en-AU"/>
        </w:rPr>
        <w:t xml:space="preserve"> staff</w:t>
      </w:r>
      <w:r w:rsidR="00251677" w:rsidRPr="000D119D">
        <w:rPr>
          <w:lang w:val="en-AU"/>
        </w:rPr>
        <w:t xml:space="preserve"> report</w:t>
      </w:r>
      <w:r w:rsidRPr="000D119D">
        <w:rPr>
          <w:lang w:val="en-AU"/>
        </w:rPr>
        <w:t>ed</w:t>
      </w:r>
      <w:r w:rsidR="00251677" w:rsidRPr="000D119D">
        <w:rPr>
          <w:lang w:val="en-AU"/>
        </w:rPr>
        <w:t xml:space="preserve"> that the </w:t>
      </w:r>
      <w:r w:rsidR="00490807" w:rsidRPr="000D119D">
        <w:rPr>
          <w:lang w:val="en-AU"/>
        </w:rPr>
        <w:t>completion of the</w:t>
      </w:r>
      <w:r w:rsidR="00251677" w:rsidRPr="000D119D">
        <w:rPr>
          <w:lang w:val="en-AU"/>
        </w:rPr>
        <w:t xml:space="preserve"> IAR</w:t>
      </w:r>
      <w:r w:rsidR="003B37D7" w:rsidRPr="000D119D">
        <w:rPr>
          <w:lang w:val="en-AU"/>
        </w:rPr>
        <w:t>-DST</w:t>
      </w:r>
      <w:r w:rsidR="00383B6E" w:rsidRPr="000D119D">
        <w:rPr>
          <w:lang w:val="en-AU"/>
        </w:rPr>
        <w:t xml:space="preserve"> and</w:t>
      </w:r>
      <w:r w:rsidR="00954414" w:rsidRPr="000D119D">
        <w:rPr>
          <w:lang w:val="en-AU"/>
        </w:rPr>
        <w:t xml:space="preserve"> </w:t>
      </w:r>
      <w:r w:rsidR="00490807" w:rsidRPr="000D119D">
        <w:rPr>
          <w:lang w:val="en-AU"/>
        </w:rPr>
        <w:t xml:space="preserve">subsequent </w:t>
      </w:r>
      <w:r w:rsidR="00541055" w:rsidRPr="000D119D">
        <w:rPr>
          <w:lang w:val="en-AU"/>
        </w:rPr>
        <w:t>‘</w:t>
      </w:r>
      <w:r w:rsidR="00490807" w:rsidRPr="000D119D">
        <w:rPr>
          <w:lang w:val="en-AU"/>
        </w:rPr>
        <w:t>rat</w:t>
      </w:r>
      <w:r w:rsidR="00F13B2F" w:rsidRPr="000D119D">
        <w:rPr>
          <w:lang w:val="en-AU"/>
        </w:rPr>
        <w:t>ing</w:t>
      </w:r>
      <w:r w:rsidR="00541055" w:rsidRPr="000D119D">
        <w:rPr>
          <w:lang w:val="en-AU"/>
        </w:rPr>
        <w:t>’</w:t>
      </w:r>
      <w:r w:rsidR="00251677" w:rsidRPr="000D119D">
        <w:rPr>
          <w:lang w:val="en-AU"/>
        </w:rPr>
        <w:t xml:space="preserve"> </w:t>
      </w:r>
      <w:r w:rsidR="001A6A5F" w:rsidRPr="000D119D">
        <w:rPr>
          <w:lang w:val="en-AU"/>
        </w:rPr>
        <w:t xml:space="preserve">is </w:t>
      </w:r>
      <w:r w:rsidR="0042783D" w:rsidRPr="000D119D">
        <w:rPr>
          <w:lang w:val="en-AU"/>
        </w:rPr>
        <w:t xml:space="preserve">completely dependent upon what </w:t>
      </w:r>
      <w:r w:rsidR="00F40845" w:rsidRPr="000D119D">
        <w:rPr>
          <w:lang w:val="en-AU"/>
        </w:rPr>
        <w:t>participants</w:t>
      </w:r>
      <w:r w:rsidR="0042783D" w:rsidRPr="000D119D">
        <w:rPr>
          <w:lang w:val="en-AU"/>
        </w:rPr>
        <w:t xml:space="preserve"> re</w:t>
      </w:r>
      <w:r w:rsidR="008E2C26" w:rsidRPr="000D119D">
        <w:rPr>
          <w:lang w:val="en-AU"/>
        </w:rPr>
        <w:t xml:space="preserve">port at the time of intake, which </w:t>
      </w:r>
      <w:r w:rsidR="00B72A64" w:rsidRPr="000D119D">
        <w:rPr>
          <w:lang w:val="en-AU"/>
        </w:rPr>
        <w:t xml:space="preserve">impacts </w:t>
      </w:r>
      <w:r w:rsidR="00904A7F" w:rsidRPr="000D119D">
        <w:rPr>
          <w:lang w:val="en-AU"/>
        </w:rPr>
        <w:t>staff’s</w:t>
      </w:r>
      <w:r w:rsidR="008E2C26" w:rsidRPr="000D119D">
        <w:rPr>
          <w:lang w:val="en-AU"/>
        </w:rPr>
        <w:t xml:space="preserve"> ability to form a clear picture about what other services </w:t>
      </w:r>
      <w:r w:rsidR="00AD51CB" w:rsidRPr="000D119D">
        <w:rPr>
          <w:lang w:val="en-AU"/>
        </w:rPr>
        <w:t xml:space="preserve">may already be involved in the </w:t>
      </w:r>
      <w:r w:rsidR="00F40845" w:rsidRPr="000D119D">
        <w:rPr>
          <w:lang w:val="en-AU"/>
        </w:rPr>
        <w:t>participants</w:t>
      </w:r>
      <w:r w:rsidR="00AD51CB" w:rsidRPr="000D119D">
        <w:rPr>
          <w:lang w:val="en-AU"/>
        </w:rPr>
        <w:t xml:space="preserve"> care (e.g.</w:t>
      </w:r>
      <w:r w:rsidR="00904A7F" w:rsidRPr="000D119D">
        <w:rPr>
          <w:lang w:val="en-AU"/>
        </w:rPr>
        <w:t>,</w:t>
      </w:r>
      <w:r w:rsidR="00AD51CB" w:rsidRPr="000D119D">
        <w:rPr>
          <w:lang w:val="en-AU"/>
        </w:rPr>
        <w:t xml:space="preserve"> presentations to an </w:t>
      </w:r>
      <w:r w:rsidR="000B4ADC" w:rsidRPr="000D119D">
        <w:rPr>
          <w:lang w:val="en-AU"/>
        </w:rPr>
        <w:t>ED</w:t>
      </w:r>
      <w:r w:rsidR="00AD51CB" w:rsidRPr="000D119D">
        <w:rPr>
          <w:lang w:val="en-AU"/>
        </w:rPr>
        <w:t xml:space="preserve">, using other community health services, </w:t>
      </w:r>
      <w:r w:rsidR="00D55106" w:rsidRPr="000D119D">
        <w:rPr>
          <w:lang w:val="en-AU"/>
        </w:rPr>
        <w:t xml:space="preserve">accessing </w:t>
      </w:r>
      <w:r w:rsidR="007866A3" w:rsidRPr="000D119D">
        <w:rPr>
          <w:lang w:val="en-AU"/>
        </w:rPr>
        <w:lastRenderedPageBreak/>
        <w:t>counsell</w:t>
      </w:r>
      <w:r w:rsidR="00D55106" w:rsidRPr="000D119D">
        <w:rPr>
          <w:lang w:val="en-AU"/>
        </w:rPr>
        <w:t>ing</w:t>
      </w:r>
      <w:r w:rsidR="007866A3" w:rsidRPr="000D119D">
        <w:rPr>
          <w:lang w:val="en-AU"/>
        </w:rPr>
        <w:t>).</w:t>
      </w:r>
      <w:r w:rsidRPr="000D119D">
        <w:rPr>
          <w:lang w:val="en-AU"/>
        </w:rPr>
        <w:t xml:space="preserve"> This demonstrated the need for greater integration of the IAR-DST with existing health record information (e.g., </w:t>
      </w:r>
      <w:proofErr w:type="spellStart"/>
      <w:r w:rsidRPr="000D119D">
        <w:rPr>
          <w:lang w:val="en-AU"/>
        </w:rPr>
        <w:t>myhealthrecord</w:t>
      </w:r>
      <w:proofErr w:type="spellEnd"/>
      <w:r w:rsidRPr="000D119D">
        <w:rPr>
          <w:lang w:val="en-AU"/>
        </w:rPr>
        <w:t>) to support clinicians’ knowledge of patient history</w:t>
      </w:r>
      <w:r w:rsidR="00C23269">
        <w:rPr>
          <w:lang w:val="en-AU"/>
        </w:rPr>
        <w:t>)</w:t>
      </w:r>
      <w:r w:rsidRPr="000D119D">
        <w:rPr>
          <w:lang w:val="en-AU"/>
        </w:rPr>
        <w:t>.</w:t>
      </w:r>
    </w:p>
    <w:p w14:paraId="6CAA9D93" w14:textId="66528A7C" w:rsidR="00251677" w:rsidRPr="000D119D" w:rsidRDefault="00D3442F" w:rsidP="001503AB">
      <w:pPr>
        <w:rPr>
          <w:lang w:val="en-AU"/>
        </w:rPr>
      </w:pPr>
      <w:r w:rsidRPr="000D119D">
        <w:rPr>
          <w:lang w:val="en-AU"/>
        </w:rPr>
        <w:t xml:space="preserve">As </w:t>
      </w:r>
      <w:proofErr w:type="spellStart"/>
      <w:r w:rsidRPr="0071308F">
        <w:rPr>
          <w:rStyle w:val="Emphasis"/>
        </w:rPr>
        <w:t>HeadtoHelp</w:t>
      </w:r>
      <w:proofErr w:type="spellEnd"/>
      <w:r w:rsidRPr="000D119D">
        <w:rPr>
          <w:lang w:val="en-AU"/>
        </w:rPr>
        <w:t xml:space="preserve"> evolved, </w:t>
      </w:r>
      <w:r w:rsidR="00B962FB">
        <w:rPr>
          <w:lang w:val="en-AU"/>
        </w:rPr>
        <w:t xml:space="preserve">the functionality of the PHN IT systems improved </w:t>
      </w:r>
      <w:r w:rsidR="00AB4798">
        <w:rPr>
          <w:lang w:val="en-AU"/>
        </w:rPr>
        <w:t xml:space="preserve">to allow IAR DST </w:t>
      </w:r>
      <w:r w:rsidR="007C5D3C">
        <w:rPr>
          <w:lang w:val="en-AU"/>
        </w:rPr>
        <w:t>assessments</w:t>
      </w:r>
      <w:r w:rsidR="00AB4798">
        <w:rPr>
          <w:lang w:val="en-AU"/>
        </w:rPr>
        <w:t xml:space="preserve"> to be sent as part of the referrals</w:t>
      </w:r>
      <w:r w:rsidR="00AD7E12" w:rsidRPr="000D119D">
        <w:rPr>
          <w:lang w:val="en-AU"/>
        </w:rPr>
        <w:t xml:space="preserve">. Intake teams are still required to contact </w:t>
      </w:r>
      <w:r w:rsidR="00BA21C6" w:rsidRPr="000D119D">
        <w:rPr>
          <w:lang w:val="en-AU"/>
        </w:rPr>
        <w:t xml:space="preserve">services to inquire on referral capacity, but automatic data transfer occurs regularly throughout each day. </w:t>
      </w:r>
    </w:p>
    <w:p w14:paraId="278500ED" w14:textId="07242A97" w:rsidR="00D32AE5" w:rsidRPr="000D119D" w:rsidRDefault="006241E6" w:rsidP="001503AB">
      <w:pPr>
        <w:rPr>
          <w:lang w:val="en-AU"/>
        </w:rPr>
      </w:pPr>
      <w:r w:rsidRPr="000D119D">
        <w:rPr>
          <w:lang w:val="en-AU"/>
        </w:rPr>
        <w:t xml:space="preserve">There </w:t>
      </w:r>
      <w:r w:rsidR="00C96D85" w:rsidRPr="000D119D">
        <w:rPr>
          <w:lang w:val="en-AU"/>
        </w:rPr>
        <w:t xml:space="preserve">would also be </w:t>
      </w:r>
      <w:r w:rsidRPr="000D119D">
        <w:rPr>
          <w:lang w:val="en-AU"/>
        </w:rPr>
        <w:t>v</w:t>
      </w:r>
      <w:r w:rsidR="00D32AE5" w:rsidRPr="000D119D">
        <w:rPr>
          <w:lang w:val="en-AU"/>
        </w:rPr>
        <w:t>alue</w:t>
      </w:r>
      <w:r w:rsidRPr="000D119D">
        <w:rPr>
          <w:lang w:val="en-AU"/>
        </w:rPr>
        <w:t xml:space="preserve"> </w:t>
      </w:r>
      <w:r w:rsidR="00C96D85" w:rsidRPr="000D119D">
        <w:rPr>
          <w:lang w:val="en-AU"/>
        </w:rPr>
        <w:t xml:space="preserve">in </w:t>
      </w:r>
      <w:r w:rsidR="00AA5FD2" w:rsidRPr="000D119D">
        <w:rPr>
          <w:lang w:val="en-AU"/>
        </w:rPr>
        <w:t>ensuring all PHN mental health programs are using the IAR</w:t>
      </w:r>
      <w:r w:rsidR="00D25F0D" w:rsidRPr="000D119D">
        <w:rPr>
          <w:lang w:val="en-AU"/>
        </w:rPr>
        <w:t>-DST</w:t>
      </w:r>
      <w:r w:rsidR="00135217" w:rsidRPr="000D119D">
        <w:rPr>
          <w:lang w:val="en-AU"/>
        </w:rPr>
        <w:t xml:space="preserve"> to support </w:t>
      </w:r>
      <w:r w:rsidR="00D32AE5" w:rsidRPr="000D119D">
        <w:rPr>
          <w:lang w:val="en-AU"/>
        </w:rPr>
        <w:t>cross-referrals</w:t>
      </w:r>
      <w:r w:rsidR="00135217" w:rsidRPr="000D119D">
        <w:rPr>
          <w:lang w:val="en-AU"/>
        </w:rPr>
        <w:t xml:space="preserve"> between programs </w:t>
      </w:r>
      <w:r w:rsidR="00CB4B09" w:rsidRPr="000D119D">
        <w:rPr>
          <w:lang w:val="en-AU"/>
        </w:rPr>
        <w:t>and</w:t>
      </w:r>
      <w:r w:rsidR="00135217" w:rsidRPr="000D119D">
        <w:rPr>
          <w:lang w:val="en-AU"/>
        </w:rPr>
        <w:t xml:space="preserve"> to </w:t>
      </w:r>
      <w:r w:rsidR="00BD7116" w:rsidRPr="000D119D">
        <w:rPr>
          <w:lang w:val="en-AU"/>
        </w:rPr>
        <w:t>provide</w:t>
      </w:r>
      <w:r w:rsidR="002765F0" w:rsidRPr="000D119D">
        <w:rPr>
          <w:lang w:val="en-AU"/>
        </w:rPr>
        <w:t xml:space="preserve"> the history</w:t>
      </w:r>
      <w:r w:rsidR="00135217" w:rsidRPr="000D119D">
        <w:rPr>
          <w:lang w:val="en-AU"/>
        </w:rPr>
        <w:t xml:space="preserve"> of a </w:t>
      </w:r>
      <w:r w:rsidR="00F40845" w:rsidRPr="000D119D">
        <w:rPr>
          <w:lang w:val="en-AU"/>
        </w:rPr>
        <w:t>participant</w:t>
      </w:r>
      <w:r w:rsidR="002765F0" w:rsidRPr="000D119D">
        <w:rPr>
          <w:lang w:val="en-AU"/>
        </w:rPr>
        <w:t xml:space="preserve">’s </w:t>
      </w:r>
      <w:r w:rsidR="00135217" w:rsidRPr="000D119D">
        <w:rPr>
          <w:lang w:val="en-AU"/>
        </w:rPr>
        <w:t>journey without them having to repeat their story.</w:t>
      </w:r>
    </w:p>
    <w:p w14:paraId="6765992E" w14:textId="191B3C37" w:rsidR="006849FA" w:rsidRPr="000D119D" w:rsidRDefault="00A21EB8" w:rsidP="00252DAB">
      <w:pPr>
        <w:pStyle w:val="Heading1"/>
      </w:pPr>
      <w:bookmarkStart w:id="99" w:name="_Ref78967586"/>
      <w:bookmarkStart w:id="100" w:name="_Toc99650354"/>
      <w:r w:rsidRPr="000D119D">
        <w:lastRenderedPageBreak/>
        <w:t>Short-term outcome findings</w:t>
      </w:r>
      <w:bookmarkEnd w:id="99"/>
      <w:bookmarkEnd w:id="100"/>
    </w:p>
    <w:p w14:paraId="3E0364CE" w14:textId="77777777" w:rsidR="00AD1224" w:rsidRDefault="00EB18CA" w:rsidP="00EB18CA">
      <w:pPr>
        <w:rPr>
          <w:rFonts w:asciiTheme="minorHAnsi" w:hAnsiTheme="minorHAnsi" w:cstheme="minorHAnsi"/>
          <w:lang w:val="en-AU"/>
        </w:rPr>
      </w:pPr>
      <w:r w:rsidRPr="009749ED">
        <w:rPr>
          <w:rFonts w:asciiTheme="minorHAnsi" w:hAnsiTheme="minorHAnsi" w:cstheme="minorHAnsi"/>
          <w:lang w:val="en-AU"/>
        </w:rPr>
        <w:t>This section address</w:t>
      </w:r>
      <w:r w:rsidR="00517B3D" w:rsidRPr="009749ED">
        <w:rPr>
          <w:rFonts w:asciiTheme="minorHAnsi" w:hAnsiTheme="minorHAnsi" w:cstheme="minorHAnsi"/>
          <w:lang w:val="en-AU"/>
        </w:rPr>
        <w:t>es</w:t>
      </w:r>
      <w:r w:rsidRPr="009749ED">
        <w:rPr>
          <w:rFonts w:asciiTheme="minorHAnsi" w:hAnsiTheme="minorHAnsi" w:cstheme="minorHAnsi"/>
          <w:lang w:val="en-AU"/>
        </w:rPr>
        <w:t xml:space="preserve"> KEQ 5 (How effective is the program in achieving outcomes for Victorians?)</w:t>
      </w:r>
      <w:r w:rsidR="00517B3D" w:rsidRPr="009749ED">
        <w:rPr>
          <w:rFonts w:asciiTheme="minorHAnsi" w:hAnsiTheme="minorHAnsi" w:cstheme="minorHAnsi"/>
          <w:lang w:val="en-AU"/>
        </w:rPr>
        <w:t>,</w:t>
      </w:r>
      <w:r w:rsidR="00393F88">
        <w:rPr>
          <w:rFonts w:asciiTheme="majorHAnsi" w:hAnsiTheme="majorHAnsi" w:cstheme="majorHAnsi"/>
          <w:lang w:val="en-AU"/>
        </w:rPr>
        <w:t xml:space="preserve"> </w:t>
      </w:r>
      <w:r w:rsidRPr="009749ED">
        <w:rPr>
          <w:rFonts w:asciiTheme="minorHAnsi" w:hAnsiTheme="minorHAnsi" w:cstheme="minorHAnsi"/>
          <w:lang w:val="en-AU"/>
        </w:rPr>
        <w:t xml:space="preserve">KEQ 6 (What has been and is the likely impact of the implementation of the </w:t>
      </w:r>
      <w:proofErr w:type="spellStart"/>
      <w:r w:rsidRPr="0071308F">
        <w:rPr>
          <w:rStyle w:val="Emphasis"/>
        </w:rPr>
        <w:t>HeadtoHelp</w:t>
      </w:r>
      <w:proofErr w:type="spellEnd"/>
      <w:r w:rsidRPr="009749ED">
        <w:rPr>
          <w:rFonts w:asciiTheme="minorHAnsi" w:hAnsiTheme="minorHAnsi" w:cstheme="minorHAnsi"/>
          <w:lang w:val="en-AU"/>
        </w:rPr>
        <w:t>?)</w:t>
      </w:r>
      <w:r w:rsidR="00306722" w:rsidRPr="009749ED">
        <w:rPr>
          <w:rFonts w:asciiTheme="minorHAnsi" w:hAnsiTheme="minorHAnsi" w:cstheme="minorHAnsi"/>
          <w:lang w:val="en-AU"/>
        </w:rPr>
        <w:t xml:space="preserve"> and </w:t>
      </w:r>
      <w:r w:rsidRPr="009749ED">
        <w:rPr>
          <w:rFonts w:asciiTheme="minorHAnsi" w:hAnsiTheme="minorHAnsi" w:cstheme="minorHAnsi"/>
          <w:lang w:val="en-AU"/>
        </w:rPr>
        <w:t xml:space="preserve">KEQ 7 (How efficient is the program?). </w:t>
      </w:r>
    </w:p>
    <w:p w14:paraId="7211E7EA" w14:textId="7063C181" w:rsidR="00EB18CA" w:rsidRPr="009749ED" w:rsidRDefault="00AD1224" w:rsidP="00EB18CA">
      <w:pPr>
        <w:rPr>
          <w:rFonts w:asciiTheme="minorHAnsi" w:hAnsiTheme="minorHAnsi" w:cstheme="minorHAnsi"/>
          <w:lang w:val="en-AU"/>
        </w:rPr>
      </w:pPr>
      <w:r>
        <w:rPr>
          <w:lang w:val="en-AU" w:eastAsia="en-AU"/>
        </w:rPr>
        <w:t xml:space="preserve">It is important to note that while this evaluation includes short term outcomes findings for </w:t>
      </w:r>
      <w:proofErr w:type="spellStart"/>
      <w:r w:rsidRPr="0071308F">
        <w:rPr>
          <w:rStyle w:val="Emphasis"/>
        </w:rPr>
        <w:t>HeadtoHelp</w:t>
      </w:r>
      <w:proofErr w:type="spellEnd"/>
      <w:r w:rsidRPr="00C35049">
        <w:rPr>
          <w:lang w:val="en-AU" w:eastAsia="en-AU"/>
        </w:rPr>
        <w:t>,</w:t>
      </w:r>
      <w:r>
        <w:rPr>
          <w:u w:val="single"/>
          <w:lang w:val="en-AU" w:eastAsia="en-AU"/>
        </w:rPr>
        <w:t xml:space="preserve"> </w:t>
      </w:r>
      <w:r w:rsidRPr="002C290F">
        <w:rPr>
          <w:lang w:val="en-AU" w:eastAsia="en-AU"/>
        </w:rPr>
        <w:t>findings in relation to AMHCs are limited to the establishment phase</w:t>
      </w:r>
      <w:r w:rsidRPr="00C35049">
        <w:rPr>
          <w:lang w:val="en-AU" w:eastAsia="en-AU"/>
        </w:rPr>
        <w:t xml:space="preserve">. </w:t>
      </w:r>
      <w:r>
        <w:t xml:space="preserve">Despite being similar programs, we cannot infer </w:t>
      </w:r>
      <w:proofErr w:type="gramStart"/>
      <w:r>
        <w:t>that outcomes</w:t>
      </w:r>
      <w:proofErr w:type="gramEnd"/>
      <w:r>
        <w:t xml:space="preserve"> achieved through </w:t>
      </w:r>
      <w:proofErr w:type="spellStart"/>
      <w:r w:rsidRPr="0071308F">
        <w:rPr>
          <w:rStyle w:val="Emphasis"/>
        </w:rPr>
        <w:t>HeadtoHelp</w:t>
      </w:r>
      <w:proofErr w:type="spellEnd"/>
      <w:r>
        <w:rPr>
          <w:i/>
        </w:rPr>
        <w:t xml:space="preserve"> </w:t>
      </w:r>
      <w:r>
        <w:rPr>
          <w:iCs/>
        </w:rPr>
        <w:t>will be the same as outcomes achieved through AMHC.</w:t>
      </w:r>
    </w:p>
    <w:p w14:paraId="4759CBFA" w14:textId="1BF89830" w:rsidR="00970364" w:rsidRDefault="00970364" w:rsidP="00970364">
      <w:pPr>
        <w:pStyle w:val="Heading2"/>
      </w:pPr>
      <w:bookmarkStart w:id="101" w:name="_Ref96775143"/>
      <w:bookmarkStart w:id="102" w:name="_Toc99650355"/>
      <w:bookmarkStart w:id="103" w:name="_Ref79396130"/>
      <w:bookmarkStart w:id="104" w:name="_Ref79396163"/>
      <w:bookmarkStart w:id="105" w:name="_Ref79396181"/>
      <w:r w:rsidRPr="000D119D">
        <w:t>How effective is the program in achieving outcomes for Victorians?</w:t>
      </w:r>
      <w:bookmarkEnd w:id="101"/>
      <w:bookmarkEnd w:id="102"/>
    </w:p>
    <w:p w14:paraId="4B167546" w14:textId="77777777" w:rsidR="002C290F" w:rsidRPr="002C290F" w:rsidRDefault="002C290F" w:rsidP="002C290F">
      <w:pPr>
        <w:pStyle w:val="Callout"/>
      </w:pPr>
      <w:r w:rsidRPr="002C290F">
        <w:t xml:space="preserve">Key findings: </w:t>
      </w:r>
    </w:p>
    <w:p w14:paraId="379DEA2D" w14:textId="77777777" w:rsidR="002C290F" w:rsidRPr="000D119D" w:rsidRDefault="002C290F" w:rsidP="002C290F">
      <w:pPr>
        <w:pStyle w:val="Callout"/>
        <w:rPr>
          <w:bCs/>
        </w:rPr>
      </w:pPr>
      <w:r w:rsidRPr="000D119D">
        <w:t xml:space="preserve">On average, participants experienced a statistically significant reduction in K10 scores from the beginning of their engagement with </w:t>
      </w:r>
      <w:proofErr w:type="spellStart"/>
      <w:r w:rsidRPr="0071308F">
        <w:rPr>
          <w:rStyle w:val="Emphasis"/>
        </w:rPr>
        <w:t>HeadtoHelp</w:t>
      </w:r>
      <w:proofErr w:type="spellEnd"/>
      <w:r w:rsidRPr="000D119D">
        <w:t xml:space="preserve"> to the end of service, which reflects an improvement in psychological distress. It is worth noting that the 10.5 reduction in scores only represents the average change and further analysis reveals that while 84</w:t>
      </w:r>
      <w:r>
        <w:t xml:space="preserve"> per cent</w:t>
      </w:r>
      <w:r w:rsidRPr="000D119D">
        <w:t xml:space="preserve"> of participants ultimately had a lower mean post-K10 score, 11 per cent of participants did not see an improvement and </w:t>
      </w:r>
      <w:r>
        <w:t>six</w:t>
      </w:r>
      <w:r w:rsidRPr="000D119D">
        <w:t xml:space="preserve"> per cent had an increase in their post-K10 score. Similarly, on average, participants experienced a statistically significant reduction in K5 scores, or an improvement in self-reported psychological distress. K5 tends to be used with Aboriginal and/or Torres Strait Islanders, though not exclusively. </w:t>
      </w:r>
    </w:p>
    <w:p w14:paraId="402DA1D4" w14:textId="77777777" w:rsidR="002C290F" w:rsidRPr="000D119D" w:rsidRDefault="002C290F" w:rsidP="002C290F">
      <w:pPr>
        <w:pStyle w:val="Callout"/>
      </w:pPr>
      <w:r w:rsidRPr="00F90B1E">
        <w:t xml:space="preserve">Demographic and service factors do not typically impact outcomes of participating in </w:t>
      </w:r>
      <w:proofErr w:type="spellStart"/>
      <w:r w:rsidRPr="0071308F">
        <w:rPr>
          <w:rStyle w:val="Emphasis"/>
        </w:rPr>
        <w:t>HeadtoHelp</w:t>
      </w:r>
      <w:proofErr w:type="spellEnd"/>
      <w:r w:rsidRPr="00F90B1E">
        <w:t>.</w:t>
      </w:r>
      <w:r w:rsidRPr="000D119D">
        <w:t xml:space="preserve"> Of the factors considered, the PHN where the episode took place, </w:t>
      </w:r>
      <w:r>
        <w:t>l</w:t>
      </w:r>
      <w:r w:rsidRPr="000D119D">
        <w:t xml:space="preserve">abour force status (unemployed) and main service contact type (psychosocial support) were all statistically significant at the 90 per cent significant level. While the relationship between PHNs and change in K10 scores varied among PHNs the model shows unambiguously that regardless of PHN, participants tended to have better outcomes through </w:t>
      </w:r>
      <w:proofErr w:type="spellStart"/>
      <w:r w:rsidRPr="0071308F">
        <w:rPr>
          <w:rStyle w:val="Emphasis"/>
        </w:rPr>
        <w:t>HeadtoHelp</w:t>
      </w:r>
      <w:proofErr w:type="spellEnd"/>
      <w:r w:rsidRPr="000D119D">
        <w:rPr>
          <w:iCs/>
        </w:rPr>
        <w:t xml:space="preserve">. For individuals identifying as unemployed, or who had a main </w:t>
      </w:r>
      <w:r w:rsidRPr="000D119D">
        <w:t xml:space="preserve">service contact type of psychosocial support, they experienced a less positive outcome at the end of service relative to individuals not displaying these factors. The reasons behind this are unclear but may reflect specific service capabilities and connection to other intersecting service types. </w:t>
      </w:r>
    </w:p>
    <w:p w14:paraId="31A627EB" w14:textId="77777777" w:rsidR="002C290F" w:rsidRPr="002C290F" w:rsidRDefault="002C290F" w:rsidP="002C290F">
      <w:pPr>
        <w:pStyle w:val="Callout"/>
      </w:pPr>
      <w:r w:rsidRPr="000D119D">
        <w:t xml:space="preserve">In addition to the quantitative metrics, this evaluation also considered the qualitative benefits of </w:t>
      </w:r>
      <w:proofErr w:type="spellStart"/>
      <w:r w:rsidRPr="0071308F">
        <w:rPr>
          <w:rStyle w:val="Emphasis"/>
        </w:rPr>
        <w:t>HeadtoHelp</w:t>
      </w:r>
      <w:proofErr w:type="spellEnd"/>
      <w:r w:rsidRPr="000D119D">
        <w:t xml:space="preserve">. Interviews with </w:t>
      </w:r>
      <w:r>
        <w:t>participant</w:t>
      </w:r>
      <w:r w:rsidRPr="000D119D">
        <w:t xml:space="preserve">s and support people identified </w:t>
      </w:r>
      <w:proofErr w:type="gramStart"/>
      <w:r w:rsidRPr="000D119D">
        <w:t>a number of</w:t>
      </w:r>
      <w:proofErr w:type="gramEnd"/>
      <w:r w:rsidRPr="000D119D">
        <w:t xml:space="preserve"> benefits for clients including </w:t>
      </w:r>
      <w:r>
        <w:t>participant</w:t>
      </w:r>
      <w:r w:rsidRPr="000D119D">
        <w:t xml:space="preserve">s being able to think differently, </w:t>
      </w:r>
      <w:r>
        <w:t>for example</w:t>
      </w:r>
      <w:r w:rsidRPr="000D119D">
        <w:t xml:space="preserve">, having a better understanding of their mental health situation, and being better able to use the services that they need. </w:t>
      </w:r>
    </w:p>
    <w:p w14:paraId="2AF31918" w14:textId="4E563D69" w:rsidR="002C290F" w:rsidRPr="002C290F" w:rsidRDefault="002C290F" w:rsidP="002C290F">
      <w:pPr>
        <w:pStyle w:val="Callout"/>
      </w:pPr>
      <w:r w:rsidRPr="000D119D">
        <w:t xml:space="preserve">Section </w:t>
      </w:r>
      <w:r w:rsidRPr="000D119D">
        <w:fldChar w:fldCharType="begin"/>
      </w:r>
      <w:r w:rsidRPr="000D119D">
        <w:instrText xml:space="preserve"> REF _Ref96775143 \n \h  \* MERGEFORMAT </w:instrText>
      </w:r>
      <w:r w:rsidRPr="000D119D">
        <w:fldChar w:fldCharType="separate"/>
      </w:r>
      <w:r>
        <w:t>5.1</w:t>
      </w:r>
      <w:r w:rsidRPr="000D119D">
        <w:fldChar w:fldCharType="end"/>
      </w:r>
      <w:r w:rsidRPr="000D119D">
        <w:t xml:space="preserve"> looks at the participant </w:t>
      </w:r>
      <w:r w:rsidRPr="000D119D">
        <w:rPr>
          <w:rFonts w:asciiTheme="majorHAnsi" w:hAnsiTheme="majorHAnsi" w:cstheme="majorHAnsi"/>
        </w:rPr>
        <w:t>outcomes</w:t>
      </w:r>
      <w:r w:rsidRPr="000D119D">
        <w:t xml:space="preserve"> of receiving services from </w:t>
      </w:r>
      <w:proofErr w:type="spellStart"/>
      <w:r w:rsidRPr="0071308F">
        <w:rPr>
          <w:rStyle w:val="Emphasis"/>
        </w:rPr>
        <w:t>HeadtoHelp</w:t>
      </w:r>
      <w:proofErr w:type="spellEnd"/>
      <w:r w:rsidRPr="000D119D">
        <w:t xml:space="preserve">. Participant </w:t>
      </w:r>
      <w:r w:rsidRPr="000D119D">
        <w:rPr>
          <w:rFonts w:asciiTheme="majorHAnsi" w:hAnsiTheme="majorHAnsi" w:cstheme="majorHAnsi"/>
        </w:rPr>
        <w:t xml:space="preserve">experience </w:t>
      </w:r>
      <w:r w:rsidRPr="000D119D">
        <w:rPr>
          <w:rFonts w:asciiTheme="minorHAnsi" w:hAnsiTheme="minorHAnsi" w:cstheme="minorHAnsi"/>
        </w:rPr>
        <w:t xml:space="preserve">with the service is discussed in Section </w:t>
      </w:r>
      <w:r w:rsidRPr="000D119D">
        <w:rPr>
          <w:rFonts w:asciiTheme="minorHAnsi" w:hAnsiTheme="minorHAnsi" w:cstheme="minorHAnsi"/>
        </w:rPr>
        <w:fldChar w:fldCharType="begin"/>
      </w:r>
      <w:r w:rsidRPr="000D119D">
        <w:rPr>
          <w:rFonts w:asciiTheme="minorHAnsi" w:hAnsiTheme="minorHAnsi" w:cstheme="minorHAnsi"/>
        </w:rPr>
        <w:instrText xml:space="preserve"> REF _Ref96775230 \n \h  \* MERGEFORMAT </w:instrText>
      </w:r>
      <w:r w:rsidRPr="000D119D">
        <w:rPr>
          <w:rFonts w:asciiTheme="minorHAnsi" w:hAnsiTheme="minorHAnsi" w:cstheme="minorHAnsi"/>
        </w:rPr>
      </w:r>
      <w:r w:rsidRPr="000D119D">
        <w:rPr>
          <w:rFonts w:asciiTheme="minorHAnsi" w:hAnsiTheme="minorHAnsi" w:cstheme="minorHAnsi"/>
        </w:rPr>
        <w:fldChar w:fldCharType="separate"/>
      </w:r>
      <w:r>
        <w:rPr>
          <w:rFonts w:asciiTheme="minorHAnsi" w:hAnsiTheme="minorHAnsi" w:cstheme="minorHAnsi"/>
        </w:rPr>
        <w:t>5.2</w:t>
      </w:r>
      <w:r w:rsidRPr="000D119D">
        <w:rPr>
          <w:rFonts w:asciiTheme="minorHAnsi" w:hAnsiTheme="minorHAnsi" w:cstheme="minorHAnsi"/>
        </w:rPr>
        <w:fldChar w:fldCharType="end"/>
      </w:r>
      <w:r w:rsidRPr="000D119D">
        <w:rPr>
          <w:rFonts w:asciiTheme="minorHAnsi" w:hAnsiTheme="minorHAnsi" w:cstheme="minorHAnsi"/>
        </w:rPr>
        <w:t>.</w:t>
      </w:r>
    </w:p>
    <w:p w14:paraId="640C75FE" w14:textId="117F2789" w:rsidR="005943DF" w:rsidRPr="000D119D" w:rsidRDefault="007C43A1" w:rsidP="005943DF">
      <w:pPr>
        <w:pStyle w:val="Heading3"/>
      </w:pPr>
      <w:bookmarkStart w:id="106" w:name="_Ref97022256"/>
      <w:bookmarkStart w:id="107" w:name="_Ref97022899"/>
      <w:bookmarkStart w:id="108" w:name="_Ref97022933"/>
      <w:bookmarkStart w:id="109" w:name="_Toc99650356"/>
      <w:r>
        <w:t>Participant</w:t>
      </w:r>
      <w:r w:rsidR="005943DF" w:rsidRPr="000D119D">
        <w:t xml:space="preserve"> outcomes</w:t>
      </w:r>
      <w:bookmarkEnd w:id="106"/>
      <w:bookmarkEnd w:id="107"/>
      <w:bookmarkEnd w:id="108"/>
      <w:bookmarkEnd w:id="109"/>
    </w:p>
    <w:p w14:paraId="1D45F4D9" w14:textId="5477E444" w:rsidR="00A05749" w:rsidRPr="000D119D" w:rsidRDefault="00A05749" w:rsidP="00BE0860">
      <w:pPr>
        <w:pStyle w:val="Heading4"/>
      </w:pPr>
      <w:r w:rsidRPr="000D119D">
        <w:t xml:space="preserve">Approximately </w:t>
      </w:r>
      <w:r w:rsidR="00E10360" w:rsidRPr="000D119D">
        <w:t xml:space="preserve">74 per cent </w:t>
      </w:r>
      <w:r w:rsidR="00235C54" w:rsidRPr="000D119D">
        <w:t>of service episodes have been closed</w:t>
      </w:r>
    </w:p>
    <w:p w14:paraId="1FCEE4DA" w14:textId="1A8F1400" w:rsidR="00A05749" w:rsidRPr="000D119D" w:rsidRDefault="00E10360" w:rsidP="00A05749">
      <w:pPr>
        <w:rPr>
          <w:lang w:val="en-AU" w:eastAsia="en-AU"/>
        </w:rPr>
      </w:pPr>
      <w:r w:rsidRPr="000D119D">
        <w:rPr>
          <w:lang w:val="en-AU" w:eastAsia="en-AU"/>
        </w:rPr>
        <w:t>At time of analysis</w:t>
      </w:r>
      <w:r w:rsidR="00A05749" w:rsidRPr="000D119D">
        <w:rPr>
          <w:lang w:val="en-AU" w:eastAsia="en-AU"/>
        </w:rPr>
        <w:t xml:space="preserve">, approximately </w:t>
      </w:r>
      <w:r w:rsidR="001220DF" w:rsidRPr="000D119D">
        <w:rPr>
          <w:lang w:val="en-AU" w:eastAsia="en-AU"/>
        </w:rPr>
        <w:t>74</w:t>
      </w:r>
      <w:r w:rsidR="00A05749" w:rsidRPr="000D119D">
        <w:rPr>
          <w:lang w:val="en-AU" w:eastAsia="en-AU"/>
        </w:rPr>
        <w:t xml:space="preserve"> per cent of episodes were closed. </w:t>
      </w:r>
      <w:r w:rsidR="0035583D">
        <w:rPr>
          <w:lang w:val="en-AU" w:eastAsia="en-AU"/>
        </w:rPr>
        <w:t>Almost a third (</w:t>
      </w:r>
      <w:r w:rsidR="001220DF" w:rsidRPr="000D119D">
        <w:rPr>
          <w:lang w:val="en-AU" w:eastAsia="en-AU"/>
        </w:rPr>
        <w:t>32</w:t>
      </w:r>
      <w:r w:rsidR="00A05749" w:rsidRPr="000D119D">
        <w:rPr>
          <w:lang w:val="en-AU" w:eastAsia="en-AU"/>
        </w:rPr>
        <w:t xml:space="preserve"> per cent</w:t>
      </w:r>
      <w:r w:rsidR="0035583D">
        <w:rPr>
          <w:lang w:val="en-AU" w:eastAsia="en-AU"/>
        </w:rPr>
        <w:t>)</w:t>
      </w:r>
      <w:r w:rsidR="00A05749" w:rsidRPr="000D119D">
        <w:rPr>
          <w:lang w:val="en-AU" w:eastAsia="en-AU"/>
        </w:rPr>
        <w:t xml:space="preserve"> of episodes were closed because service concluded. The remaining </w:t>
      </w:r>
      <w:r w:rsidR="006A4036" w:rsidRPr="000D119D">
        <w:rPr>
          <w:lang w:val="en-AU" w:eastAsia="en-AU"/>
        </w:rPr>
        <w:t>68</w:t>
      </w:r>
      <w:r w:rsidR="00A05749" w:rsidRPr="000D119D">
        <w:rPr>
          <w:lang w:val="en-AU" w:eastAsia="en-AU"/>
        </w:rPr>
        <w:t xml:space="preserve"> per cent of episodes were closed for administrative reasons, </w:t>
      </w:r>
      <w:r w:rsidR="006A4036" w:rsidRPr="000D119D">
        <w:rPr>
          <w:lang w:val="en-AU" w:eastAsia="en-AU"/>
        </w:rPr>
        <w:t>with</w:t>
      </w:r>
      <w:r w:rsidR="00A05749" w:rsidRPr="000D119D" w:rsidDel="006A4036">
        <w:rPr>
          <w:lang w:val="en-AU" w:eastAsia="en-AU"/>
        </w:rPr>
        <w:t xml:space="preserve"> </w:t>
      </w:r>
      <w:r w:rsidR="006A4036" w:rsidRPr="000D119D">
        <w:rPr>
          <w:lang w:val="en-AU" w:eastAsia="en-AU"/>
        </w:rPr>
        <w:t>35</w:t>
      </w:r>
      <w:r w:rsidR="00A05749" w:rsidRPr="000D119D">
        <w:rPr>
          <w:lang w:val="en-AU" w:eastAsia="en-AU"/>
        </w:rPr>
        <w:t xml:space="preserve"> per cent of the participants referred elsewhere</w:t>
      </w:r>
      <w:r w:rsidR="006A4036" w:rsidRPr="000D119D">
        <w:rPr>
          <w:lang w:val="en-AU" w:eastAsia="en-AU"/>
        </w:rPr>
        <w:t xml:space="preserve"> or the </w:t>
      </w:r>
      <w:r w:rsidR="006A4036" w:rsidRPr="000D119D">
        <w:rPr>
          <w:lang w:val="en-AU" w:eastAsia="en-AU"/>
        </w:rPr>
        <w:lastRenderedPageBreak/>
        <w:t>participant moved out of the area</w:t>
      </w:r>
      <w:r w:rsidR="00A05749" w:rsidRPr="000D119D">
        <w:rPr>
          <w:lang w:val="en-AU" w:eastAsia="en-AU"/>
        </w:rPr>
        <w:t xml:space="preserve">, </w:t>
      </w:r>
      <w:r w:rsidR="006A4036" w:rsidRPr="000D119D">
        <w:rPr>
          <w:lang w:val="en-AU" w:eastAsia="en-AU"/>
        </w:rPr>
        <w:t>16</w:t>
      </w:r>
      <w:r w:rsidR="00A05749" w:rsidRPr="000D119D">
        <w:rPr>
          <w:lang w:val="en-AU" w:eastAsia="en-AU"/>
        </w:rPr>
        <w:t xml:space="preserve"> per cent could not be contacted, </w:t>
      </w:r>
      <w:r w:rsidR="000B53A5">
        <w:rPr>
          <w:lang w:val="en-AU" w:eastAsia="en-AU"/>
        </w:rPr>
        <w:t>eight</w:t>
      </w:r>
      <w:r w:rsidR="00A05749" w:rsidRPr="000D119D">
        <w:rPr>
          <w:lang w:val="en-AU" w:eastAsia="en-AU"/>
        </w:rPr>
        <w:t xml:space="preserve"> per cent declined further contact</w:t>
      </w:r>
      <w:r w:rsidR="0072417D" w:rsidRPr="000D119D">
        <w:rPr>
          <w:lang w:val="en-AU" w:eastAsia="en-AU"/>
        </w:rPr>
        <w:t xml:space="preserve"> and </w:t>
      </w:r>
      <w:r w:rsidR="000B53A5">
        <w:rPr>
          <w:lang w:val="en-AU" w:eastAsia="en-AU"/>
        </w:rPr>
        <w:t>ten</w:t>
      </w:r>
      <w:r w:rsidR="0072417D" w:rsidRPr="000D119D">
        <w:rPr>
          <w:lang w:val="en-AU" w:eastAsia="en-AU"/>
        </w:rPr>
        <w:t xml:space="preserve"> per cent were closed for other reasons.</w:t>
      </w:r>
    </w:p>
    <w:p w14:paraId="69E92CC3" w14:textId="561C7F15" w:rsidR="00484855" w:rsidRPr="000D119D" w:rsidRDefault="007C43A1" w:rsidP="00A05749">
      <w:pPr>
        <w:rPr>
          <w:lang w:val="en-AU" w:eastAsia="en-AU"/>
        </w:rPr>
      </w:pPr>
      <w:r>
        <w:rPr>
          <w:lang w:val="en-AU" w:eastAsia="en-AU"/>
        </w:rPr>
        <w:t>Participant</w:t>
      </w:r>
      <w:r w:rsidR="00D365EA" w:rsidRPr="000D119D">
        <w:rPr>
          <w:lang w:val="en-AU" w:eastAsia="en-AU"/>
        </w:rPr>
        <w:t xml:space="preserve"> and support person interviews highlighted that </w:t>
      </w:r>
      <w:r w:rsidR="00D365EA" w:rsidRPr="000D119D">
        <w:rPr>
          <w:lang w:val="en-AU"/>
        </w:rPr>
        <w:t xml:space="preserve">completion of service is a critical aspect and needs to be better and more consistently addressed within the </w:t>
      </w:r>
      <w:proofErr w:type="spellStart"/>
      <w:r w:rsidR="00D365EA" w:rsidRPr="0071308F">
        <w:rPr>
          <w:rStyle w:val="Emphasis"/>
        </w:rPr>
        <w:t>HeadtoHelp</w:t>
      </w:r>
      <w:proofErr w:type="spellEnd"/>
      <w:r w:rsidR="00D365EA" w:rsidRPr="000D119D">
        <w:rPr>
          <w:lang w:val="en-AU"/>
        </w:rPr>
        <w:t xml:space="preserve"> program</w:t>
      </w:r>
      <w:r w:rsidR="00BC6962" w:rsidRPr="000D119D">
        <w:rPr>
          <w:lang w:val="en-AU"/>
        </w:rPr>
        <w:t>, including through</w:t>
      </w:r>
      <w:r w:rsidR="0093720F" w:rsidRPr="000D119D">
        <w:rPr>
          <w:lang w:val="en-AU"/>
        </w:rPr>
        <w:t xml:space="preserve"> discharge planning, agreed timing for service completion, follow-up and ‘keeping an open door’</w:t>
      </w:r>
      <w:r w:rsidR="00D365EA" w:rsidRPr="000D119D">
        <w:rPr>
          <w:lang w:val="en-AU"/>
        </w:rPr>
        <w:t>.</w:t>
      </w:r>
      <w:r w:rsidR="001363DF" w:rsidRPr="000D119D">
        <w:rPr>
          <w:lang w:val="en-AU"/>
        </w:rPr>
        <w:t xml:space="preserve"> </w:t>
      </w:r>
    </w:p>
    <w:p w14:paraId="5F2E45A0" w14:textId="770D63F3" w:rsidR="00A05749" w:rsidRPr="00E457E2" w:rsidRDefault="002E723D" w:rsidP="00BE0860">
      <w:pPr>
        <w:pStyle w:val="Heading4"/>
      </w:pPr>
      <w:r w:rsidRPr="000D119D">
        <w:t xml:space="preserve">On average, participants experienced an improvement in levels of psychological distress post-engagement with </w:t>
      </w:r>
      <w:proofErr w:type="spellStart"/>
      <w:r w:rsidRPr="000D119D">
        <w:rPr>
          <w:i/>
        </w:rPr>
        <w:t>HeadtoHelp</w:t>
      </w:r>
      <w:proofErr w:type="spellEnd"/>
    </w:p>
    <w:p w14:paraId="0D320171" w14:textId="566B8D61" w:rsidR="00A05749" w:rsidRPr="000D119D" w:rsidRDefault="00A05749" w:rsidP="00A05749">
      <w:pPr>
        <w:rPr>
          <w:lang w:val="en-AU"/>
        </w:rPr>
      </w:pPr>
      <w:r w:rsidRPr="000D119D">
        <w:rPr>
          <w:lang w:val="en-AU"/>
        </w:rPr>
        <w:t>On average, participants experienced a statistically significant reduction on K10 or K5 scores from start of service to end of service, which reflects an improvement in psychological distress (</w:t>
      </w:r>
      <w:r w:rsidR="004D27B4">
        <w:rPr>
          <w:lang w:val="en-AU"/>
        </w:rPr>
        <w:fldChar w:fldCharType="begin"/>
      </w:r>
      <w:r w:rsidR="004D27B4">
        <w:rPr>
          <w:lang w:val="en-AU"/>
        </w:rPr>
        <w:instrText xml:space="preserve"> REF _Ref97046290 \h </w:instrText>
      </w:r>
      <w:r w:rsidR="004D27B4">
        <w:rPr>
          <w:lang w:val="en-AU"/>
        </w:rPr>
      </w:r>
      <w:r w:rsidR="004D27B4">
        <w:rPr>
          <w:lang w:val="en-AU"/>
        </w:rPr>
        <w:fldChar w:fldCharType="separate"/>
      </w:r>
      <w:r w:rsidR="00562174" w:rsidRPr="000D119D">
        <w:t xml:space="preserve">Figure </w:t>
      </w:r>
      <w:r w:rsidR="00562174">
        <w:rPr>
          <w:noProof/>
        </w:rPr>
        <w:t>31</w:t>
      </w:r>
      <w:r w:rsidR="004D27B4">
        <w:rPr>
          <w:lang w:val="en-AU"/>
        </w:rPr>
        <w:fldChar w:fldCharType="end"/>
      </w:r>
      <w:r w:rsidR="004D27B4">
        <w:rPr>
          <w:lang w:val="en-AU"/>
        </w:rPr>
        <w:t>)</w:t>
      </w:r>
      <w:r w:rsidR="00381BC9">
        <w:rPr>
          <w:lang w:val="en-AU"/>
        </w:rPr>
        <w:t>. A pair</w:t>
      </w:r>
      <w:r w:rsidR="00554EC1">
        <w:rPr>
          <w:lang w:val="en-AU"/>
        </w:rPr>
        <w:t xml:space="preserve">ed t-test was used to investigate the differences from pre- to post-service K10 and K5 scores. Only participants with a valid </w:t>
      </w:r>
      <w:r w:rsidR="0058436E">
        <w:rPr>
          <w:lang w:val="en-AU"/>
        </w:rPr>
        <w:t xml:space="preserve">pre- and post-service </w:t>
      </w:r>
      <w:r w:rsidR="00554EC1">
        <w:rPr>
          <w:lang w:val="en-AU"/>
        </w:rPr>
        <w:t xml:space="preserve">K10 </w:t>
      </w:r>
      <w:r w:rsidR="00F15B06">
        <w:rPr>
          <w:lang w:val="en-AU"/>
        </w:rPr>
        <w:t xml:space="preserve">or </w:t>
      </w:r>
      <w:r w:rsidR="00554EC1">
        <w:rPr>
          <w:lang w:val="en-AU"/>
        </w:rPr>
        <w:t>K5</w:t>
      </w:r>
      <w:r w:rsidR="0058436E">
        <w:rPr>
          <w:lang w:val="en-AU"/>
        </w:rPr>
        <w:t xml:space="preserve"> were included in the </w:t>
      </w:r>
      <w:r w:rsidR="00F15B06">
        <w:rPr>
          <w:lang w:val="en-AU"/>
        </w:rPr>
        <w:t>respective analyses</w:t>
      </w:r>
      <w:r w:rsidR="0058436E">
        <w:rPr>
          <w:lang w:val="en-AU"/>
        </w:rPr>
        <w:t xml:space="preserve">. For the K10 analysis, the sample size was 1,411 participants while </w:t>
      </w:r>
      <w:r w:rsidR="00F15B06">
        <w:rPr>
          <w:lang w:val="en-AU"/>
        </w:rPr>
        <w:t xml:space="preserve">the K5 </w:t>
      </w:r>
      <w:r w:rsidR="00765EC9">
        <w:rPr>
          <w:lang w:val="en-AU"/>
        </w:rPr>
        <w:t xml:space="preserve">analysis </w:t>
      </w:r>
      <w:r w:rsidR="00F15B06">
        <w:rPr>
          <w:lang w:val="en-AU"/>
        </w:rPr>
        <w:t xml:space="preserve">had a sample size of 183 participants. </w:t>
      </w:r>
    </w:p>
    <w:p w14:paraId="43E3B97A" w14:textId="39CC760F" w:rsidR="00A05749" w:rsidRPr="000D119D" w:rsidRDefault="00A05749" w:rsidP="00A05749">
      <w:pPr>
        <w:rPr>
          <w:lang w:val="en-AU"/>
        </w:rPr>
      </w:pPr>
      <w:r w:rsidRPr="000D119D">
        <w:rPr>
          <w:rFonts w:asciiTheme="majorHAnsi" w:hAnsiTheme="majorHAnsi" w:cstheme="majorHAnsi"/>
          <w:lang w:val="en-AU"/>
        </w:rPr>
        <w:t>K10.</w:t>
      </w:r>
      <w:r w:rsidRPr="000D119D">
        <w:rPr>
          <w:lang w:val="en-AU"/>
        </w:rPr>
        <w:t xml:space="preserve"> On average, participants experienced a statistically significant reduction in K10 scores, or an improvement in self-reported psychological distress in all PHNs. The mean difference in K10 scores from pre- to post-episode was 10.</w:t>
      </w:r>
      <w:r w:rsidR="0072417D" w:rsidRPr="000D119D">
        <w:rPr>
          <w:lang w:val="en-AU"/>
        </w:rPr>
        <w:t>5</w:t>
      </w:r>
      <w:r w:rsidRPr="000D119D">
        <w:rPr>
          <w:lang w:val="en-AU"/>
        </w:rPr>
        <w:t xml:space="preserve"> points on the K10 (P &lt;0.0001, 95 per cent CI: -1</w:t>
      </w:r>
      <w:r w:rsidR="00A82C5E" w:rsidRPr="000D119D">
        <w:rPr>
          <w:lang w:val="en-AU"/>
        </w:rPr>
        <w:t>1</w:t>
      </w:r>
      <w:r w:rsidRPr="000D119D">
        <w:rPr>
          <w:lang w:val="en-AU"/>
        </w:rPr>
        <w:t>, -9.9), a reduction from a mean entry score of 31.</w:t>
      </w:r>
      <w:r w:rsidR="0072417D" w:rsidRPr="000D119D">
        <w:rPr>
          <w:lang w:val="en-AU"/>
        </w:rPr>
        <w:t>6</w:t>
      </w:r>
      <w:r w:rsidRPr="000D119D">
        <w:rPr>
          <w:lang w:val="en-AU"/>
        </w:rPr>
        <w:t>.</w:t>
      </w:r>
      <w:r w:rsidRPr="000D119D">
        <w:rPr>
          <w:rStyle w:val="FootnoteReference"/>
          <w:lang w:val="en-AU"/>
        </w:rPr>
        <w:footnoteReference w:id="57"/>
      </w:r>
      <w:r w:rsidR="0072417D" w:rsidRPr="000D119D">
        <w:rPr>
          <w:vertAlign w:val="superscript"/>
          <w:lang w:val="en-AU"/>
        </w:rPr>
        <w:t>,</w:t>
      </w:r>
      <w:r w:rsidR="0072417D" w:rsidRPr="000D119D">
        <w:rPr>
          <w:rStyle w:val="FootnoteReference"/>
          <w:lang w:val="en-AU"/>
        </w:rPr>
        <w:t xml:space="preserve"> </w:t>
      </w:r>
      <w:r w:rsidRPr="000D119D">
        <w:rPr>
          <w:rStyle w:val="FootnoteReference"/>
          <w:lang w:val="en-AU"/>
        </w:rPr>
        <w:footnoteReference w:id="58"/>
      </w:r>
      <w:r w:rsidRPr="000D119D">
        <w:rPr>
          <w:lang w:val="en-AU"/>
        </w:rPr>
        <w:t xml:space="preserve"> </w:t>
      </w:r>
      <w:r w:rsidR="004D1837" w:rsidRPr="000D119D">
        <w:rPr>
          <w:lang w:val="en-AU"/>
        </w:rPr>
        <w:t xml:space="preserve">This extent of change was consistent with the findings of the Interim Evaluation Report (average </w:t>
      </w:r>
      <w:proofErr w:type="gramStart"/>
      <w:r w:rsidR="004D1837" w:rsidRPr="000D119D">
        <w:rPr>
          <w:lang w:val="en-AU"/>
        </w:rPr>
        <w:t>10.6 point</w:t>
      </w:r>
      <w:proofErr w:type="gramEnd"/>
      <w:r w:rsidR="004D1837" w:rsidRPr="000D119D">
        <w:rPr>
          <w:lang w:val="en-AU"/>
        </w:rPr>
        <w:t xml:space="preserve"> change).</w:t>
      </w:r>
      <w:r w:rsidRPr="000D119D">
        <w:rPr>
          <w:lang w:val="en-AU"/>
        </w:rPr>
        <w:t xml:space="preserve"> At an average of 21 points on the K10 at the end of service, this suggests that participants typically conclude service with moderate psychological distress. </w:t>
      </w:r>
      <w:r w:rsidR="00960A8C" w:rsidRPr="000D119D">
        <w:rPr>
          <w:lang w:val="en-AU"/>
        </w:rPr>
        <w:t xml:space="preserve">It is worth noting that the 10.5 reduction in scores </w:t>
      </w:r>
      <w:r w:rsidR="000B3E68" w:rsidRPr="000D119D">
        <w:rPr>
          <w:lang w:val="en-AU"/>
        </w:rPr>
        <w:t>only</w:t>
      </w:r>
      <w:r w:rsidR="00960A8C" w:rsidRPr="000D119D">
        <w:rPr>
          <w:lang w:val="en-AU"/>
        </w:rPr>
        <w:t xml:space="preserve"> represents the average change and further analysis reveals that while 84</w:t>
      </w:r>
      <w:r w:rsidR="0024308A">
        <w:rPr>
          <w:lang w:val="en-AU"/>
        </w:rPr>
        <w:t xml:space="preserve"> per cent</w:t>
      </w:r>
      <w:r w:rsidR="00960A8C" w:rsidRPr="000D119D">
        <w:rPr>
          <w:lang w:val="en-AU"/>
        </w:rPr>
        <w:t xml:space="preserve"> of participants ultimately had a lower mean post-K10 score, 11 per cent of participants did not see an improvement and </w:t>
      </w:r>
      <w:r w:rsidR="0024308A">
        <w:rPr>
          <w:lang w:val="en-AU"/>
        </w:rPr>
        <w:t>six</w:t>
      </w:r>
      <w:r w:rsidR="00960A8C" w:rsidRPr="000D119D">
        <w:rPr>
          <w:lang w:val="en-AU"/>
        </w:rPr>
        <w:t xml:space="preserve"> per cent had an increase in their post-K10 score.</w:t>
      </w:r>
      <w:r w:rsidR="004922EE">
        <w:rPr>
          <w:lang w:val="en-AU"/>
        </w:rPr>
        <w:t xml:space="preserve"> I</w:t>
      </w:r>
      <w:r w:rsidRPr="000D119D">
        <w:rPr>
          <w:lang w:val="en-AU"/>
        </w:rPr>
        <w:t xml:space="preserve">t appears that </w:t>
      </w:r>
      <w:r w:rsidR="004922EE">
        <w:rPr>
          <w:lang w:val="en-AU"/>
        </w:rPr>
        <w:t>GPHN</w:t>
      </w:r>
      <w:r w:rsidRPr="000D119D">
        <w:rPr>
          <w:lang w:val="en-AU"/>
        </w:rPr>
        <w:t xml:space="preserve"> had the largest positive difference in K10 scores from pre- to post-episode, reflecting a greater reduction in psychological distress on average</w:t>
      </w:r>
      <w:r w:rsidR="00946F21">
        <w:rPr>
          <w:lang w:val="en-AU"/>
        </w:rPr>
        <w:t>. This is particularly noteworthy, given GPHN had the lowest average number of service contacts.</w:t>
      </w:r>
    </w:p>
    <w:p w14:paraId="124F4D92" w14:textId="361E25A9" w:rsidR="00A05749" w:rsidRPr="00731C28" w:rsidRDefault="00A05749" w:rsidP="00A05749">
      <w:pPr>
        <w:rPr>
          <w:lang w:val="en-AU"/>
        </w:rPr>
      </w:pPr>
      <w:r w:rsidRPr="000D119D">
        <w:rPr>
          <w:rFonts w:asciiTheme="majorHAnsi" w:hAnsiTheme="majorHAnsi" w:cstheme="majorHAnsi"/>
          <w:lang w:val="en-AU"/>
        </w:rPr>
        <w:t>K5.</w:t>
      </w:r>
      <w:r w:rsidRPr="000D119D">
        <w:rPr>
          <w:lang w:val="en-AU"/>
        </w:rPr>
        <w:t xml:space="preserve"> On average, participants experienced a statistically significant reduction in K5 scores, or an improvement in self-reported psychological distress. K5 tends to be used with Aboriginal and/or Torres Strait Islanders, as changes were made to K10 items to enhance understanding in an Indigenous context, however not exclusively.</w:t>
      </w:r>
      <w:r w:rsidRPr="000D119D">
        <w:rPr>
          <w:rStyle w:val="FootnoteReference"/>
          <w:lang w:val="en-AU"/>
        </w:rPr>
        <w:footnoteReference w:id="59"/>
      </w:r>
      <w:r w:rsidRPr="000D119D">
        <w:rPr>
          <w:lang w:val="en-AU"/>
        </w:rPr>
        <w:t xml:space="preserve"> The mean difference in K5 scores pre- to post-episode was 3.</w:t>
      </w:r>
      <w:r w:rsidR="000B3E68" w:rsidRPr="000D119D">
        <w:rPr>
          <w:lang w:val="en-AU"/>
        </w:rPr>
        <w:t>5</w:t>
      </w:r>
      <w:r w:rsidRPr="000D119D">
        <w:rPr>
          <w:lang w:val="en-AU"/>
        </w:rPr>
        <w:t xml:space="preserve"> points (P &lt;0.0001, 95 per cent CI: -4.</w:t>
      </w:r>
      <w:r w:rsidR="000B19A6" w:rsidRPr="000D119D">
        <w:rPr>
          <w:lang w:val="en-AU"/>
        </w:rPr>
        <w:t>1</w:t>
      </w:r>
      <w:r w:rsidRPr="000D119D">
        <w:rPr>
          <w:lang w:val="en-AU"/>
        </w:rPr>
        <w:t>, -</w:t>
      </w:r>
      <w:r w:rsidR="000B19A6" w:rsidRPr="000D119D">
        <w:rPr>
          <w:lang w:val="en-AU"/>
        </w:rPr>
        <w:t>3</w:t>
      </w:r>
      <w:r w:rsidRPr="000D119D">
        <w:rPr>
          <w:lang w:val="en-AU"/>
        </w:rPr>
        <w:t>), a reduction from a mean entry score of 15.5</w:t>
      </w:r>
      <w:r w:rsidRPr="005A56F2">
        <w:rPr>
          <w:rStyle w:val="FootnoteReference"/>
          <w:lang w:val="en-AU"/>
        </w:rPr>
        <w:footnoteReference w:id="60"/>
      </w:r>
      <w:r w:rsidR="000B3E68" w:rsidRPr="005A56F2">
        <w:rPr>
          <w:vertAlign w:val="superscript"/>
          <w:lang w:val="en-AU"/>
        </w:rPr>
        <w:t>,</w:t>
      </w:r>
      <w:r w:rsidR="000B3E68" w:rsidRPr="005A56F2">
        <w:rPr>
          <w:rStyle w:val="FootnoteReference"/>
          <w:lang w:val="en-AU"/>
        </w:rPr>
        <w:footnoteReference w:id="61"/>
      </w:r>
      <w:r w:rsidR="00F44E7B" w:rsidRPr="005A56F2">
        <w:rPr>
          <w:lang w:val="en-AU"/>
        </w:rPr>
        <w:t xml:space="preserve">. </w:t>
      </w:r>
      <w:r w:rsidR="00F44E7B" w:rsidRPr="00B6253C">
        <w:rPr>
          <w:lang w:val="en-AU"/>
        </w:rPr>
        <w:t>However, the mean post-episode score of 12</w:t>
      </w:r>
      <w:r w:rsidR="00801031" w:rsidRPr="005A56F2">
        <w:rPr>
          <w:lang w:val="en-AU"/>
        </w:rPr>
        <w:t xml:space="preserve"> is still </w:t>
      </w:r>
      <w:r w:rsidR="00E624E8" w:rsidRPr="005A56F2">
        <w:rPr>
          <w:lang w:val="en-AU"/>
        </w:rPr>
        <w:t xml:space="preserve">a </w:t>
      </w:r>
      <w:r w:rsidR="00801031" w:rsidRPr="00B6253C">
        <w:rPr>
          <w:lang w:val="en-AU"/>
        </w:rPr>
        <w:t>high</w:t>
      </w:r>
      <w:r w:rsidR="00E624E8" w:rsidRPr="005A56F2">
        <w:rPr>
          <w:lang w:val="en-AU"/>
        </w:rPr>
        <w:t xml:space="preserve"> level of psychological distress</w:t>
      </w:r>
      <w:r w:rsidR="00EE228B" w:rsidRPr="005A56F2">
        <w:rPr>
          <w:lang w:val="en-AU"/>
        </w:rPr>
        <w:t xml:space="preserve"> – albeit at the bottom end of this range</w:t>
      </w:r>
      <w:r w:rsidR="00801031" w:rsidRPr="005A56F2">
        <w:rPr>
          <w:lang w:val="en-AU"/>
        </w:rPr>
        <w:t>.</w:t>
      </w:r>
      <w:r w:rsidR="00EE228B" w:rsidRPr="005A56F2">
        <w:rPr>
          <w:rStyle w:val="FootnoteReference"/>
          <w:lang w:val="en-AU"/>
        </w:rPr>
        <w:footnoteReference w:id="62"/>
      </w:r>
    </w:p>
    <w:p w14:paraId="5E4F1A78" w14:textId="5A069B02" w:rsidR="00B946B6" w:rsidRDefault="00A05749" w:rsidP="00B946B6">
      <w:pPr>
        <w:pStyle w:val="Caption"/>
      </w:pPr>
      <w:bookmarkStart w:id="110" w:name="_Ref97046290"/>
      <w:r w:rsidRPr="000D119D">
        <w:lastRenderedPageBreak/>
        <w:t xml:space="preserve">Figure </w:t>
      </w:r>
      <w:r w:rsidR="00C90990">
        <w:fldChar w:fldCharType="begin"/>
      </w:r>
      <w:r w:rsidR="00C90990">
        <w:instrText xml:space="preserve"> SEQ Figure \* ARABIC </w:instrText>
      </w:r>
      <w:r w:rsidR="00C90990">
        <w:fldChar w:fldCharType="separate"/>
      </w:r>
      <w:r w:rsidR="00562174">
        <w:rPr>
          <w:noProof/>
        </w:rPr>
        <w:t>31</w:t>
      </w:r>
      <w:r w:rsidR="00C90990">
        <w:fldChar w:fldCharType="end"/>
      </w:r>
      <w:bookmarkEnd w:id="110"/>
      <w:r w:rsidR="00B946B6">
        <w:t xml:space="preserve"> | </w:t>
      </w:r>
      <w:r w:rsidR="00B946B6" w:rsidRPr="00E34B3F">
        <w:t>Boxplot of K10 and K5 scores from pre- to post-episode</w:t>
      </w:r>
    </w:p>
    <w:p w14:paraId="56181AD9" w14:textId="28A40253" w:rsidR="00A05749" w:rsidRPr="002C290F" w:rsidRDefault="00631EA7" w:rsidP="002C290F">
      <w:r w:rsidRPr="00631EA7">
        <w:rPr>
          <w:noProof/>
        </w:rPr>
        <w:drawing>
          <wp:inline distT="0" distB="0" distL="0" distR="0" wp14:anchorId="43E0AA83" wp14:editId="3BB638EE">
            <wp:extent cx="5670550" cy="2888615"/>
            <wp:effectExtent l="0" t="0" r="6350" b="6985"/>
            <wp:docPr id="28200" name="Picture 28200" descr="Figure 31 is a boxplot of K10 and K5 scores from pre- to post-epis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0" name="Picture 28200" descr="Figure 31 is a boxplot of K10 and K5 scores from pre- to post-episode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70550" cy="2888615"/>
                    </a:xfrm>
                    <a:prstGeom prst="rect">
                      <a:avLst/>
                    </a:prstGeom>
                    <a:noFill/>
                    <a:ln>
                      <a:noFill/>
                    </a:ln>
                  </pic:spPr>
                </pic:pic>
              </a:graphicData>
            </a:graphic>
          </wp:inline>
        </w:drawing>
      </w:r>
    </w:p>
    <w:p w14:paraId="352B0B62" w14:textId="2A1008B4" w:rsidR="0088497E" w:rsidRPr="000D119D" w:rsidRDefault="0088497E" w:rsidP="00BE0860">
      <w:pPr>
        <w:pStyle w:val="Heading4"/>
      </w:pPr>
      <w:r w:rsidRPr="000D119D">
        <w:t xml:space="preserve">Demographic and service factors do not </w:t>
      </w:r>
      <w:r w:rsidR="007E0710" w:rsidRPr="000D119D">
        <w:t>typically</w:t>
      </w:r>
      <w:r w:rsidRPr="000D119D">
        <w:t xml:space="preserve"> </w:t>
      </w:r>
      <w:r w:rsidR="00E07CD7" w:rsidRPr="000D119D">
        <w:t xml:space="preserve">impact </w:t>
      </w:r>
      <w:r w:rsidRPr="000D119D">
        <w:t xml:space="preserve">outcomes of participating in </w:t>
      </w:r>
      <w:proofErr w:type="spellStart"/>
      <w:r w:rsidRPr="000D119D">
        <w:rPr>
          <w:i/>
        </w:rPr>
        <w:t>HeadtoHelp</w:t>
      </w:r>
      <w:proofErr w:type="spellEnd"/>
    </w:p>
    <w:p w14:paraId="4A74DD72" w14:textId="6DD23AEA" w:rsidR="00A05749" w:rsidRPr="00E457E2" w:rsidRDefault="00A05749" w:rsidP="002C290F">
      <w:pPr>
        <w:pStyle w:val="Heading5"/>
      </w:pPr>
      <w:r w:rsidRPr="000D119D">
        <w:t>Outcome measures correlated with explanatory variables</w:t>
      </w:r>
    </w:p>
    <w:p w14:paraId="006046F1" w14:textId="1717E258" w:rsidR="00A05749" w:rsidRPr="000D119D" w:rsidRDefault="00A05749" w:rsidP="00A05749">
      <w:pPr>
        <w:rPr>
          <w:lang w:val="en-AU"/>
        </w:rPr>
      </w:pPr>
      <w:r w:rsidRPr="000D119D">
        <w:rPr>
          <w:lang w:val="en-AU"/>
        </w:rPr>
        <w:t>We generated a regression model to estimate the effect of several factors on the change in K10 scores from pre- and post-episode. Data included in this analysis were only for participants who had both pre- and post-episode K10 scores</w:t>
      </w:r>
      <w:r w:rsidR="00B13AA2">
        <w:rPr>
          <w:rStyle w:val="FootnoteReference"/>
          <w:lang w:val="en-AU"/>
        </w:rPr>
        <w:footnoteReference w:id="63"/>
      </w:r>
      <w:r w:rsidRPr="000D119D">
        <w:rPr>
          <w:lang w:val="en-AU"/>
        </w:rPr>
        <w:t>. A multiple linear regression was used</w:t>
      </w:r>
      <w:r w:rsidR="00340B64" w:rsidRPr="000D119D">
        <w:rPr>
          <w:rStyle w:val="FootnoteReference"/>
          <w:lang w:val="en-AU"/>
        </w:rPr>
        <w:footnoteReference w:id="64"/>
      </w:r>
      <w:r w:rsidRPr="000D119D">
        <w:rPr>
          <w:lang w:val="en-AU"/>
        </w:rPr>
        <w:t>. Service and demographic factors included in the regression model include:</w:t>
      </w:r>
    </w:p>
    <w:p w14:paraId="088E4DF1" w14:textId="4F2FB969" w:rsidR="00A05749" w:rsidRPr="002C290F" w:rsidRDefault="00A05749" w:rsidP="002C290F">
      <w:pPr>
        <w:pStyle w:val="Heading6"/>
      </w:pPr>
      <w:r w:rsidRPr="002C290F">
        <w:t>Service</w:t>
      </w:r>
      <w:r w:rsidR="000F7873" w:rsidRPr="000D119D">
        <w:rPr>
          <w:rStyle w:val="FootnoteReference"/>
          <w:rFonts w:asciiTheme="majorHAnsi" w:hAnsiTheme="majorHAnsi" w:cstheme="majorHAnsi"/>
        </w:rPr>
        <w:footnoteReference w:id="65"/>
      </w:r>
    </w:p>
    <w:p w14:paraId="5650C77B" w14:textId="03AE1812" w:rsidR="00A05749" w:rsidRPr="000D119D" w:rsidRDefault="00441C2C" w:rsidP="00E457E2">
      <w:pPr>
        <w:pStyle w:val="ListBullet"/>
      </w:pPr>
      <w:r w:rsidRPr="000D119D">
        <w:t>number</w:t>
      </w:r>
      <w:r w:rsidR="00A05749" w:rsidRPr="000D119D">
        <w:t xml:space="preserve"> of service contacts</w:t>
      </w:r>
    </w:p>
    <w:p w14:paraId="4E37D332" w14:textId="02E1F173" w:rsidR="000B19A6" w:rsidRPr="000D119D" w:rsidRDefault="000B19A6" w:rsidP="00E457E2">
      <w:pPr>
        <w:pStyle w:val="ListBullet"/>
      </w:pPr>
      <w:r w:rsidRPr="000D119D">
        <w:t xml:space="preserve">PHN where the episode </w:t>
      </w:r>
      <w:r w:rsidR="0024308A" w:rsidRPr="000D119D">
        <w:t>occurred</w:t>
      </w:r>
    </w:p>
    <w:p w14:paraId="740192FC" w14:textId="09976F22" w:rsidR="00A05749" w:rsidRPr="000D119D" w:rsidRDefault="00441C2C" w:rsidP="00E457E2">
      <w:pPr>
        <w:pStyle w:val="ListBullet"/>
      </w:pPr>
      <w:r w:rsidRPr="000D119D">
        <w:t>main</w:t>
      </w:r>
      <w:r w:rsidR="00A05749" w:rsidRPr="000D119D">
        <w:t xml:space="preserve"> modality of service contacts</w:t>
      </w:r>
    </w:p>
    <w:p w14:paraId="26AD5439" w14:textId="3A1A42A3" w:rsidR="000F7873" w:rsidRPr="000D119D" w:rsidRDefault="00441C2C" w:rsidP="00E457E2">
      <w:pPr>
        <w:pStyle w:val="ListBullet"/>
      </w:pPr>
      <w:r w:rsidRPr="000D119D">
        <w:t>main</w:t>
      </w:r>
      <w:r w:rsidR="000F7873" w:rsidRPr="000D119D">
        <w:t xml:space="preserve"> type of service contact type</w:t>
      </w:r>
      <w:r w:rsidR="0024308A">
        <w:t>.</w:t>
      </w:r>
    </w:p>
    <w:p w14:paraId="24108A03" w14:textId="77777777" w:rsidR="00A05749" w:rsidRPr="002C290F" w:rsidRDefault="00A05749" w:rsidP="002C290F">
      <w:pPr>
        <w:pStyle w:val="Heading6"/>
      </w:pPr>
      <w:r w:rsidRPr="002C290F">
        <w:t>Demographic</w:t>
      </w:r>
    </w:p>
    <w:p w14:paraId="298B5647" w14:textId="3F140C6A" w:rsidR="00A05749" w:rsidRPr="000D119D" w:rsidRDefault="00441C2C" w:rsidP="00E457E2">
      <w:pPr>
        <w:pStyle w:val="ListBullet"/>
      </w:pPr>
      <w:proofErr w:type="spellStart"/>
      <w:r w:rsidRPr="000D119D">
        <w:t>labour</w:t>
      </w:r>
      <w:proofErr w:type="spellEnd"/>
      <w:r w:rsidR="00A05749" w:rsidRPr="000D119D">
        <w:t xml:space="preserve"> force status</w:t>
      </w:r>
    </w:p>
    <w:p w14:paraId="6179BCAE" w14:textId="7F372992" w:rsidR="00A05749" w:rsidRPr="000D119D" w:rsidRDefault="00441C2C" w:rsidP="00E457E2">
      <w:pPr>
        <w:pStyle w:val="ListBullet"/>
      </w:pPr>
      <w:r w:rsidRPr="000D119D">
        <w:t>main</w:t>
      </w:r>
      <w:r w:rsidR="00A05749" w:rsidRPr="000D119D">
        <w:t xml:space="preserve"> language at home</w:t>
      </w:r>
    </w:p>
    <w:p w14:paraId="164845B7" w14:textId="56600E68" w:rsidR="00A05749" w:rsidRPr="000D119D" w:rsidRDefault="00441C2C" w:rsidP="00E457E2">
      <w:pPr>
        <w:pStyle w:val="ListBullet"/>
      </w:pPr>
      <w:r w:rsidRPr="000D119D">
        <w:t>homelessness</w:t>
      </w:r>
    </w:p>
    <w:p w14:paraId="6DA74389" w14:textId="5E320537" w:rsidR="00A05749" w:rsidRPr="000D119D" w:rsidRDefault="00441C2C" w:rsidP="00E457E2">
      <w:pPr>
        <w:pStyle w:val="ListBullet"/>
      </w:pPr>
      <w:r w:rsidRPr="000D119D">
        <w:t>gender</w:t>
      </w:r>
    </w:p>
    <w:p w14:paraId="707DFB80" w14:textId="4C0CB0D8" w:rsidR="00E80B6B" w:rsidRPr="00E457E2" w:rsidRDefault="00441C2C" w:rsidP="00E457E2">
      <w:pPr>
        <w:pStyle w:val="ListBullet"/>
        <w:rPr>
          <w:rFonts w:eastAsia="Times New Roman"/>
          <w:lang w:val="en-AU"/>
        </w:rPr>
      </w:pPr>
      <w:r w:rsidRPr="000D119D">
        <w:t>age</w:t>
      </w:r>
      <w:r w:rsidR="0024308A">
        <w:t>.</w:t>
      </w:r>
    </w:p>
    <w:p w14:paraId="0BD8E62C" w14:textId="1D8913ED" w:rsidR="0018787F" w:rsidRPr="000D119D" w:rsidRDefault="00A05749" w:rsidP="00A05749">
      <w:pPr>
        <w:rPr>
          <w:lang w:val="en-AU"/>
        </w:rPr>
      </w:pPr>
      <w:r w:rsidRPr="000D119D">
        <w:rPr>
          <w:rFonts w:eastAsia="Times New Roman"/>
          <w:lang w:val="en-AU"/>
        </w:rPr>
        <w:t xml:space="preserve">The regression model (with demographic and service factors) explains about </w:t>
      </w:r>
      <w:r w:rsidR="0066542E" w:rsidRPr="000D119D">
        <w:rPr>
          <w:rFonts w:eastAsia="Times New Roman"/>
          <w:lang w:val="en-AU"/>
        </w:rPr>
        <w:t>11</w:t>
      </w:r>
      <w:r w:rsidRPr="000D119D">
        <w:rPr>
          <w:rFonts w:eastAsia="Times New Roman"/>
          <w:lang w:val="en-AU"/>
        </w:rPr>
        <w:t xml:space="preserve"> per cent of the variability in the data</w:t>
      </w:r>
      <w:r w:rsidR="0024308A">
        <w:rPr>
          <w:rFonts w:eastAsia="Times New Roman"/>
          <w:lang w:val="en-AU"/>
        </w:rPr>
        <w:t>.</w:t>
      </w:r>
      <w:r w:rsidRPr="000D119D">
        <w:rPr>
          <w:rStyle w:val="FootnoteReference"/>
          <w:rFonts w:eastAsia="Times New Roman"/>
          <w:lang w:val="en-AU"/>
        </w:rPr>
        <w:footnoteReference w:id="66"/>
      </w:r>
      <w:r w:rsidRPr="000D119D">
        <w:rPr>
          <w:rFonts w:eastAsia="Times New Roman"/>
          <w:lang w:val="en-AU"/>
        </w:rPr>
        <w:t xml:space="preserve"> This figure is meaningful to this evaluation as it indicates that demographic </w:t>
      </w:r>
      <w:r w:rsidRPr="000D119D">
        <w:rPr>
          <w:rFonts w:eastAsia="Times New Roman"/>
          <w:lang w:val="en-AU"/>
        </w:rPr>
        <w:lastRenderedPageBreak/>
        <w:t xml:space="preserve">and service factors do not </w:t>
      </w:r>
      <w:r w:rsidR="00B80A5B" w:rsidRPr="000D119D">
        <w:rPr>
          <w:rFonts w:eastAsia="Times New Roman"/>
          <w:lang w:val="en-AU"/>
        </w:rPr>
        <w:t xml:space="preserve">have a strong relationship with </w:t>
      </w:r>
      <w:r w:rsidRPr="000D119D">
        <w:rPr>
          <w:rFonts w:eastAsia="Times New Roman"/>
          <w:lang w:val="en-AU"/>
        </w:rPr>
        <w:t xml:space="preserve">the outcomes of participating in </w:t>
      </w:r>
      <w:proofErr w:type="spellStart"/>
      <w:r w:rsidRPr="000D119D">
        <w:rPr>
          <w:i/>
          <w:lang w:val="en-AU"/>
        </w:rPr>
        <w:t>HeadtoHelp</w:t>
      </w:r>
      <w:proofErr w:type="spellEnd"/>
      <w:r w:rsidRPr="000D119D">
        <w:rPr>
          <w:lang w:val="en-AU"/>
        </w:rPr>
        <w:t xml:space="preserve">. It also reflects a high variance in K10 scores and reinforces that there are many factors which can influence an individual’s mental health outcomes. </w:t>
      </w:r>
      <w:r w:rsidR="0018787F" w:rsidRPr="000D119D">
        <w:rPr>
          <w:lang w:val="en-AU"/>
        </w:rPr>
        <w:t xml:space="preserve">The linear model also has </w:t>
      </w:r>
      <w:r w:rsidR="0018787F" w:rsidRPr="000D119D">
        <w:rPr>
          <w:rFonts w:eastAsia="Times New Roman"/>
          <w:lang w:val="en-AU"/>
        </w:rPr>
        <w:t xml:space="preserve">with an intercept of -7.4. This value indicates that an individual across the reference levels in the model (see </w:t>
      </w:r>
      <w:r w:rsidR="00E737CD">
        <w:rPr>
          <w:rFonts w:eastAsia="Times New Roman"/>
          <w:lang w:val="en-AU"/>
        </w:rPr>
        <w:fldChar w:fldCharType="begin"/>
      </w:r>
      <w:r w:rsidR="00E737CD">
        <w:rPr>
          <w:rFonts w:eastAsia="Times New Roman"/>
          <w:lang w:val="en-AU"/>
        </w:rPr>
        <w:instrText xml:space="preserve"> REF _Ref97046368 \h </w:instrText>
      </w:r>
      <w:r w:rsidR="00E737CD">
        <w:rPr>
          <w:rFonts w:eastAsia="Times New Roman"/>
          <w:lang w:val="en-AU"/>
        </w:rPr>
      </w:r>
      <w:r w:rsidR="00E737CD">
        <w:rPr>
          <w:rFonts w:eastAsia="Times New Roman"/>
          <w:lang w:val="en-AU"/>
        </w:rPr>
        <w:fldChar w:fldCharType="separate"/>
      </w:r>
      <w:r w:rsidR="00562174" w:rsidRPr="000D119D">
        <w:t xml:space="preserve">Figure </w:t>
      </w:r>
      <w:r w:rsidR="00562174">
        <w:rPr>
          <w:noProof/>
        </w:rPr>
        <w:t>32</w:t>
      </w:r>
      <w:r w:rsidR="00E737CD">
        <w:rPr>
          <w:rFonts w:eastAsia="Times New Roman"/>
          <w:lang w:val="en-AU"/>
        </w:rPr>
        <w:fldChar w:fldCharType="end"/>
      </w:r>
      <w:r w:rsidR="0018787F" w:rsidRPr="000D119D">
        <w:rPr>
          <w:rFonts w:eastAsia="Times New Roman"/>
          <w:lang w:val="en-AU"/>
        </w:rPr>
        <w:t xml:space="preserve">) will </w:t>
      </w:r>
      <w:r w:rsidR="00F46E6E" w:rsidRPr="000D119D">
        <w:rPr>
          <w:rFonts w:eastAsia="Times New Roman"/>
          <w:lang w:val="en-AU"/>
        </w:rPr>
        <w:t>most likely see</w:t>
      </w:r>
      <w:r w:rsidR="0018787F" w:rsidRPr="000D119D">
        <w:rPr>
          <w:rFonts w:eastAsia="Times New Roman"/>
          <w:lang w:val="en-AU"/>
        </w:rPr>
        <w:t xml:space="preserve"> an average change of -7.4 in their K10 score from pre</w:t>
      </w:r>
      <w:r w:rsidR="00BD5BB9">
        <w:rPr>
          <w:rFonts w:eastAsia="Times New Roman"/>
          <w:lang w:val="en-AU"/>
        </w:rPr>
        <w:t>-</w:t>
      </w:r>
      <w:r w:rsidR="0018787F" w:rsidRPr="000D119D">
        <w:rPr>
          <w:rFonts w:eastAsia="Times New Roman"/>
          <w:lang w:val="en-AU"/>
        </w:rPr>
        <w:t xml:space="preserve"> to post-service</w:t>
      </w:r>
      <w:r w:rsidR="00F46E6E" w:rsidRPr="000D119D">
        <w:rPr>
          <w:rFonts w:eastAsia="Times New Roman"/>
          <w:lang w:val="en-AU"/>
        </w:rPr>
        <w:t>.</w:t>
      </w:r>
    </w:p>
    <w:p w14:paraId="2F4BF154" w14:textId="6D545CDC" w:rsidR="00A05749" w:rsidRPr="000D119D" w:rsidRDefault="00A05749" w:rsidP="00A05749">
      <w:pPr>
        <w:rPr>
          <w:rFonts w:eastAsia="Times New Roman"/>
          <w:lang w:val="en-AU"/>
        </w:rPr>
      </w:pPr>
      <w:r w:rsidRPr="000D119D">
        <w:rPr>
          <w:lang w:val="en-AU"/>
        </w:rPr>
        <w:t>Of the factors considered,</w:t>
      </w:r>
      <w:r w:rsidR="0066542E" w:rsidRPr="000D119D">
        <w:rPr>
          <w:lang w:val="en-AU"/>
        </w:rPr>
        <w:t xml:space="preserve"> </w:t>
      </w:r>
      <w:r w:rsidR="00BD5BB9">
        <w:rPr>
          <w:lang w:val="en-AU"/>
        </w:rPr>
        <w:t>the</w:t>
      </w:r>
      <w:r w:rsidR="0066542E" w:rsidRPr="000D119D">
        <w:rPr>
          <w:lang w:val="en-AU"/>
        </w:rPr>
        <w:t xml:space="preserve"> PHN where the episode took place</w:t>
      </w:r>
      <w:r w:rsidR="001F103E">
        <w:rPr>
          <w:lang w:val="en-AU"/>
        </w:rPr>
        <w:t xml:space="preserve"> was statistically significant at the 99 per cent significance level</w:t>
      </w:r>
      <w:r w:rsidR="009476B7">
        <w:rPr>
          <w:lang w:val="en-AU"/>
        </w:rPr>
        <w:t>, and bot</w:t>
      </w:r>
      <w:r w:rsidR="00EB42ED">
        <w:rPr>
          <w:lang w:val="en-AU"/>
        </w:rPr>
        <w:t>h</w:t>
      </w:r>
      <w:r w:rsidR="002E2FBF">
        <w:rPr>
          <w:lang w:val="en-AU"/>
        </w:rPr>
        <w:t xml:space="preserve"> </w:t>
      </w:r>
      <w:r w:rsidR="00355ACC">
        <w:rPr>
          <w:lang w:val="en-AU"/>
        </w:rPr>
        <w:t>l</w:t>
      </w:r>
      <w:r w:rsidR="00AD25E8" w:rsidRPr="000D119D">
        <w:rPr>
          <w:lang w:val="en-AU"/>
        </w:rPr>
        <w:t xml:space="preserve">abour force status (unemployed) and main service contact type (psychosocial support) were all statistically significant at </w:t>
      </w:r>
      <w:r w:rsidR="00B80A5B" w:rsidRPr="000D119D">
        <w:rPr>
          <w:lang w:val="en-AU"/>
        </w:rPr>
        <w:t>the 9</w:t>
      </w:r>
      <w:r w:rsidR="001F103E">
        <w:rPr>
          <w:lang w:val="en-AU"/>
        </w:rPr>
        <w:t>5</w:t>
      </w:r>
      <w:r w:rsidR="00B80A5B" w:rsidRPr="000D119D">
        <w:rPr>
          <w:lang w:val="en-AU"/>
        </w:rPr>
        <w:t xml:space="preserve"> per cent </w:t>
      </w:r>
      <w:r w:rsidR="001F103E">
        <w:rPr>
          <w:lang w:val="en-AU"/>
        </w:rPr>
        <w:t>significance</w:t>
      </w:r>
      <w:r w:rsidR="001F103E" w:rsidRPr="000D119D">
        <w:rPr>
          <w:lang w:val="en-AU"/>
        </w:rPr>
        <w:t xml:space="preserve"> </w:t>
      </w:r>
      <w:r w:rsidR="00B80A5B" w:rsidRPr="000D119D">
        <w:rPr>
          <w:lang w:val="en-AU"/>
        </w:rPr>
        <w:t>level</w:t>
      </w:r>
      <w:r w:rsidR="00A21512">
        <w:rPr>
          <w:rStyle w:val="FootnoteReference"/>
          <w:lang w:val="en-AU"/>
        </w:rPr>
        <w:footnoteReference w:id="67"/>
      </w:r>
      <w:r w:rsidR="002E15D0">
        <w:rPr>
          <w:lang w:val="en-AU"/>
        </w:rPr>
        <w:t>.</w:t>
      </w:r>
      <w:r w:rsidR="009476B7">
        <w:rPr>
          <w:lang w:val="en-AU"/>
        </w:rPr>
        <w:t xml:space="preserve"> </w:t>
      </w:r>
    </w:p>
    <w:p w14:paraId="0F7BDB74" w14:textId="54DDC09E" w:rsidR="00D87DAA" w:rsidRPr="000D119D" w:rsidRDefault="00A05749" w:rsidP="00D87DAA">
      <w:pPr>
        <w:pStyle w:val="Caption"/>
      </w:pPr>
      <w:bookmarkStart w:id="111" w:name="_Ref97034600"/>
      <w:bookmarkStart w:id="112" w:name="_Ref97046368"/>
      <w:r w:rsidRPr="000D119D">
        <w:t>Figure</w:t>
      </w:r>
      <w:bookmarkEnd w:id="111"/>
      <w:r w:rsidRPr="000D119D">
        <w:t xml:space="preserve"> </w:t>
      </w:r>
      <w:r w:rsidR="00C90990">
        <w:fldChar w:fldCharType="begin"/>
      </w:r>
      <w:r w:rsidR="00C90990">
        <w:instrText xml:space="preserve"> SEQ Figure \* ARABIC </w:instrText>
      </w:r>
      <w:r w:rsidR="00C90990">
        <w:fldChar w:fldCharType="separate"/>
      </w:r>
      <w:r w:rsidR="00562174">
        <w:rPr>
          <w:noProof/>
        </w:rPr>
        <w:t>32</w:t>
      </w:r>
      <w:r w:rsidR="00C90990">
        <w:fldChar w:fldCharType="end"/>
      </w:r>
      <w:bookmarkEnd w:id="112"/>
      <w:r w:rsidR="00D87DAA" w:rsidRPr="000D119D">
        <w:t xml:space="preserve"> | Effect size of factors correlated with change in K10 scores from pre- to post-service</w:t>
      </w:r>
      <w:r w:rsidR="00C50757">
        <w:rPr>
          <w:rStyle w:val="FootnoteReference"/>
          <w:rFonts w:eastAsia="Times New Roman"/>
        </w:rPr>
        <w:footnoteReference w:id="68"/>
      </w:r>
    </w:p>
    <w:p w14:paraId="53930FB4" w14:textId="5742A6E3" w:rsidR="00D87DAA" w:rsidRPr="000D119D" w:rsidRDefault="00EB6C20" w:rsidP="00D87DAA">
      <w:pPr>
        <w:rPr>
          <w:lang w:val="en-AU" w:eastAsia="en-AU"/>
        </w:rPr>
      </w:pPr>
      <w:r w:rsidRPr="00EB6C20">
        <w:rPr>
          <w:noProof/>
        </w:rPr>
        <w:drawing>
          <wp:inline distT="0" distB="0" distL="0" distR="0" wp14:anchorId="573C7162" wp14:editId="3B25F9BA">
            <wp:extent cx="5670550" cy="4620895"/>
            <wp:effectExtent l="0" t="0" r="6350" b="8255"/>
            <wp:docPr id="28201" name="Picture 28201" descr="Figure 32 is a plot chart showing the effect size of factors correlated with change in K10 scores from pre- to post-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1" name="Picture 28201" descr="Figure 32 is a plot chart showing the effect size of factors correlated with change in K10 scores from pre- to post-service.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70550" cy="4620895"/>
                    </a:xfrm>
                    <a:prstGeom prst="rect">
                      <a:avLst/>
                    </a:prstGeom>
                    <a:noFill/>
                    <a:ln>
                      <a:noFill/>
                    </a:ln>
                  </pic:spPr>
                </pic:pic>
              </a:graphicData>
            </a:graphic>
          </wp:inline>
        </w:drawing>
      </w:r>
    </w:p>
    <w:p w14:paraId="52B4F09E" w14:textId="587B5BA8" w:rsidR="00B80A5B" w:rsidRPr="000D119D" w:rsidRDefault="00B80A5B" w:rsidP="00A05749">
      <w:pPr>
        <w:rPr>
          <w:lang w:val="en-AU"/>
        </w:rPr>
      </w:pPr>
      <w:r w:rsidRPr="000D119D">
        <w:rPr>
          <w:lang w:val="en-AU"/>
        </w:rPr>
        <w:t xml:space="preserve">All other factors in the model held constant, </w:t>
      </w:r>
      <w:r w:rsidR="00916801" w:rsidRPr="000D119D">
        <w:rPr>
          <w:lang w:val="en-AU"/>
        </w:rPr>
        <w:t>the PHN where</w:t>
      </w:r>
      <w:r w:rsidRPr="000D119D">
        <w:rPr>
          <w:lang w:val="en-AU"/>
        </w:rPr>
        <w:t xml:space="preserve"> </w:t>
      </w:r>
      <w:r w:rsidR="000E0B98" w:rsidRPr="000D119D">
        <w:rPr>
          <w:lang w:val="en-AU"/>
        </w:rPr>
        <w:t xml:space="preserve">the service was conducted had a relationship with outcomes. </w:t>
      </w:r>
      <w:r w:rsidR="00DA3784" w:rsidRPr="000D119D">
        <w:rPr>
          <w:lang w:val="en-AU"/>
        </w:rPr>
        <w:t>While the</w:t>
      </w:r>
      <w:r w:rsidR="003C5C92" w:rsidRPr="000D119D">
        <w:rPr>
          <w:lang w:val="en-AU"/>
        </w:rPr>
        <w:t xml:space="preserve"> relationship between PHNs and change in K10 scores varied among PHNs, with </w:t>
      </w:r>
      <w:r w:rsidR="00160D51" w:rsidRPr="000D119D">
        <w:rPr>
          <w:lang w:val="en-AU"/>
        </w:rPr>
        <w:t>EMPHN</w:t>
      </w:r>
      <w:r w:rsidR="003C5C92" w:rsidRPr="000D119D">
        <w:rPr>
          <w:lang w:val="en-AU"/>
        </w:rPr>
        <w:t xml:space="preserve"> having the weakest relationship and </w:t>
      </w:r>
      <w:r w:rsidR="00160D51" w:rsidRPr="000D119D">
        <w:rPr>
          <w:lang w:val="en-AU"/>
        </w:rPr>
        <w:t>GPHN</w:t>
      </w:r>
      <w:r w:rsidR="003C5C92" w:rsidRPr="000D119D">
        <w:rPr>
          <w:lang w:val="en-AU"/>
        </w:rPr>
        <w:t xml:space="preserve"> having the strongest</w:t>
      </w:r>
      <w:r w:rsidR="00DA3784" w:rsidRPr="000D119D">
        <w:rPr>
          <w:lang w:val="en-AU"/>
        </w:rPr>
        <w:t xml:space="preserve">, </w:t>
      </w:r>
      <w:r w:rsidR="009E7AA2" w:rsidRPr="000D119D">
        <w:rPr>
          <w:lang w:val="en-AU"/>
        </w:rPr>
        <w:t xml:space="preserve">it should be noted </w:t>
      </w:r>
      <w:r w:rsidR="00DA3784" w:rsidRPr="000D119D">
        <w:rPr>
          <w:lang w:val="en-AU"/>
        </w:rPr>
        <w:t xml:space="preserve">the model shows unambiguously that regardless of PHN, participants tended to have better </w:t>
      </w:r>
      <w:r w:rsidR="009E7AA2" w:rsidRPr="000D119D">
        <w:rPr>
          <w:lang w:val="en-AU"/>
        </w:rPr>
        <w:t xml:space="preserve">outcomes </w:t>
      </w:r>
      <w:r w:rsidR="00062B37">
        <w:rPr>
          <w:lang w:val="en-AU"/>
        </w:rPr>
        <w:t>after engaging with</w:t>
      </w:r>
      <w:r w:rsidR="00062B37" w:rsidRPr="000D119D">
        <w:rPr>
          <w:lang w:val="en-AU"/>
        </w:rPr>
        <w:t xml:space="preserve"> </w:t>
      </w:r>
      <w:proofErr w:type="spellStart"/>
      <w:r w:rsidR="009E7AA2" w:rsidRPr="0071308F">
        <w:rPr>
          <w:rStyle w:val="Emphasis"/>
        </w:rPr>
        <w:t>HeadtoHelp</w:t>
      </w:r>
      <w:proofErr w:type="spellEnd"/>
      <w:r w:rsidR="009E7AA2" w:rsidRPr="000D119D">
        <w:rPr>
          <w:i/>
          <w:lang w:val="en-AU"/>
        </w:rPr>
        <w:t>.</w:t>
      </w:r>
      <w:r w:rsidR="00DA3784" w:rsidRPr="000D119D">
        <w:rPr>
          <w:i/>
          <w:lang w:val="en-AU"/>
        </w:rPr>
        <w:t xml:space="preserve"> </w:t>
      </w:r>
    </w:p>
    <w:p w14:paraId="6004FD0A" w14:textId="14570B39" w:rsidR="000E0B98" w:rsidRPr="000D119D" w:rsidRDefault="009E7AA2" w:rsidP="00A05749">
      <w:pPr>
        <w:rPr>
          <w:lang w:val="en-AU"/>
        </w:rPr>
      </w:pPr>
      <w:r w:rsidRPr="000D119D">
        <w:rPr>
          <w:lang w:val="en-AU"/>
        </w:rPr>
        <w:t>Similarly, all other factors held constant, people who were unemployed tend</w:t>
      </w:r>
      <w:r w:rsidR="00C830EC" w:rsidRPr="000D119D">
        <w:rPr>
          <w:lang w:val="en-AU"/>
        </w:rPr>
        <w:t xml:space="preserve">ed to experience positive outcomes at the end of service, but not to the same degree as people who were not in the labour </w:t>
      </w:r>
      <w:r w:rsidR="00C830EC" w:rsidRPr="000D119D">
        <w:rPr>
          <w:lang w:val="en-AU"/>
        </w:rPr>
        <w:lastRenderedPageBreak/>
        <w:t>force or held employment.</w:t>
      </w:r>
      <w:r w:rsidR="00192BE3" w:rsidRPr="000D119D">
        <w:rPr>
          <w:lang w:val="en-AU"/>
        </w:rPr>
        <w:t xml:space="preserve"> </w:t>
      </w:r>
      <w:r w:rsidR="00E12344" w:rsidRPr="000D119D">
        <w:rPr>
          <w:lang w:val="en-AU"/>
        </w:rPr>
        <w:t>An objective of the ‘free service’ component of the model is to increase access</w:t>
      </w:r>
      <w:r w:rsidR="00C321CA" w:rsidRPr="000D119D">
        <w:rPr>
          <w:lang w:val="en-AU"/>
        </w:rPr>
        <w:t xml:space="preserve"> </w:t>
      </w:r>
      <w:r w:rsidR="00252C9E">
        <w:rPr>
          <w:lang w:val="en-AU"/>
        </w:rPr>
        <w:t>for</w:t>
      </w:r>
      <w:r w:rsidR="00252C9E" w:rsidRPr="000D119D">
        <w:rPr>
          <w:lang w:val="en-AU"/>
        </w:rPr>
        <w:t xml:space="preserve"> </w:t>
      </w:r>
      <w:r w:rsidR="00C321CA" w:rsidRPr="000D119D">
        <w:rPr>
          <w:lang w:val="en-AU"/>
        </w:rPr>
        <w:t xml:space="preserve">those who may not otherwise be able to </w:t>
      </w:r>
      <w:r w:rsidR="0005612F" w:rsidRPr="000D119D">
        <w:rPr>
          <w:lang w:val="en-AU"/>
        </w:rPr>
        <w:t>access services</w:t>
      </w:r>
      <w:r w:rsidR="0005612F">
        <w:rPr>
          <w:lang w:val="en-AU"/>
        </w:rPr>
        <w:t xml:space="preserve">; </w:t>
      </w:r>
      <w:r w:rsidR="0005612F">
        <w:t>removing that barrier helps to improve the chances of those facing other stressful life circumstances, such as unemployment and poverty, to experience positive outcomes</w:t>
      </w:r>
      <w:r w:rsidR="00381364" w:rsidRPr="000D119D">
        <w:rPr>
          <w:lang w:val="en-AU"/>
        </w:rPr>
        <w:t>. A</w:t>
      </w:r>
      <w:r w:rsidR="00E12344" w:rsidRPr="000D119D">
        <w:rPr>
          <w:lang w:val="en-AU"/>
        </w:rPr>
        <w:t xml:space="preserve"> </w:t>
      </w:r>
      <w:r w:rsidR="00D77FAC" w:rsidRPr="000D119D">
        <w:rPr>
          <w:lang w:val="en-AU"/>
        </w:rPr>
        <w:t xml:space="preserve">further rationale for this finding is that over </w:t>
      </w:r>
      <w:r w:rsidR="00FF555B" w:rsidRPr="000D119D">
        <w:rPr>
          <w:lang w:val="en-AU"/>
        </w:rPr>
        <w:t xml:space="preserve">their engagement with </w:t>
      </w:r>
      <w:proofErr w:type="spellStart"/>
      <w:r w:rsidR="00FF555B" w:rsidRPr="0071308F">
        <w:rPr>
          <w:rStyle w:val="Emphasis"/>
        </w:rPr>
        <w:t>HeadtoHelp</w:t>
      </w:r>
      <w:proofErr w:type="spellEnd"/>
      <w:r w:rsidR="00FF555B" w:rsidRPr="000D119D">
        <w:rPr>
          <w:lang w:val="en-AU"/>
        </w:rPr>
        <w:t xml:space="preserve">, an individual’s time unemployed may have increased, together with their experience of rejection from potential job options, which could result in </w:t>
      </w:r>
      <w:r w:rsidR="00542F54" w:rsidRPr="000D119D">
        <w:rPr>
          <w:lang w:val="en-AU"/>
        </w:rPr>
        <w:t>worsening mental state.</w:t>
      </w:r>
    </w:p>
    <w:p w14:paraId="0EB1DBA3" w14:textId="3AFB6453" w:rsidR="00C830EC" w:rsidRPr="000D119D" w:rsidRDefault="00C830EC" w:rsidP="00A05749">
      <w:pPr>
        <w:rPr>
          <w:lang w:val="en-AU"/>
        </w:rPr>
      </w:pPr>
      <w:r w:rsidRPr="000D119D">
        <w:rPr>
          <w:lang w:val="en-AU"/>
        </w:rPr>
        <w:t xml:space="preserve">Finally, participants whose main service contact type in their episode was psychosocial support tended to have </w:t>
      </w:r>
      <w:proofErr w:type="gramStart"/>
      <w:r w:rsidR="00452775" w:rsidRPr="000D119D">
        <w:rPr>
          <w:lang w:val="en-AU"/>
        </w:rPr>
        <w:t>less</w:t>
      </w:r>
      <w:proofErr w:type="gramEnd"/>
      <w:r w:rsidR="00452775" w:rsidRPr="000D119D">
        <w:rPr>
          <w:lang w:val="en-AU"/>
        </w:rPr>
        <w:t xml:space="preserve"> </w:t>
      </w:r>
      <w:r w:rsidRPr="000D119D">
        <w:rPr>
          <w:lang w:val="en-AU"/>
        </w:rPr>
        <w:t>positive outcomes at the end of service</w:t>
      </w:r>
      <w:r w:rsidR="00BC0623" w:rsidRPr="000D119D">
        <w:rPr>
          <w:lang w:val="en-AU"/>
        </w:rPr>
        <w:t xml:space="preserve">. This suggests that </w:t>
      </w:r>
      <w:proofErr w:type="spellStart"/>
      <w:r w:rsidR="00BC0623" w:rsidRPr="0071308F">
        <w:rPr>
          <w:rStyle w:val="Emphasis"/>
        </w:rPr>
        <w:t>HeadtoHelp</w:t>
      </w:r>
      <w:proofErr w:type="spellEnd"/>
      <w:r w:rsidR="006E20C3" w:rsidRPr="000D119D">
        <w:rPr>
          <w:iCs/>
          <w:lang w:val="en-AU"/>
        </w:rPr>
        <w:t xml:space="preserve"> hubs may have concentrated capability on </w:t>
      </w:r>
      <w:r w:rsidR="004F7624" w:rsidRPr="000D119D">
        <w:rPr>
          <w:iCs/>
          <w:lang w:val="en-AU"/>
        </w:rPr>
        <w:t>psychological therapies but have less capability in other evidence informed services and support</w:t>
      </w:r>
      <w:r w:rsidR="00E86672" w:rsidRPr="000D119D">
        <w:rPr>
          <w:iCs/>
          <w:lang w:val="en-AU"/>
        </w:rPr>
        <w:t xml:space="preserve"> that build capacity and connectedness</w:t>
      </w:r>
      <w:r w:rsidR="00542F54" w:rsidRPr="000D119D">
        <w:rPr>
          <w:iCs/>
          <w:lang w:val="en-AU"/>
        </w:rPr>
        <w:t xml:space="preserve">, and/or connections with </w:t>
      </w:r>
      <w:r w:rsidR="00F01449" w:rsidRPr="000D119D">
        <w:rPr>
          <w:iCs/>
          <w:lang w:val="en-AU"/>
        </w:rPr>
        <w:t>other</w:t>
      </w:r>
      <w:r w:rsidR="003C4D4F" w:rsidRPr="000D119D">
        <w:rPr>
          <w:iCs/>
          <w:lang w:val="en-AU"/>
        </w:rPr>
        <w:t xml:space="preserve"> services such as housing, </w:t>
      </w:r>
      <w:proofErr w:type="gramStart"/>
      <w:r w:rsidR="003C4D4F" w:rsidRPr="000D119D">
        <w:rPr>
          <w:iCs/>
          <w:lang w:val="en-AU"/>
        </w:rPr>
        <w:t>finance</w:t>
      </w:r>
      <w:proofErr w:type="gramEnd"/>
      <w:r w:rsidR="00E86672" w:rsidRPr="000D119D">
        <w:rPr>
          <w:iCs/>
          <w:lang w:val="en-AU"/>
        </w:rPr>
        <w:t xml:space="preserve"> and </w:t>
      </w:r>
      <w:r w:rsidR="00F01449" w:rsidRPr="000D119D">
        <w:rPr>
          <w:iCs/>
          <w:lang w:val="en-AU"/>
        </w:rPr>
        <w:t>education</w:t>
      </w:r>
      <w:r w:rsidR="00E86672" w:rsidRPr="000D119D">
        <w:rPr>
          <w:iCs/>
          <w:lang w:val="en-AU"/>
        </w:rPr>
        <w:t>.</w:t>
      </w:r>
    </w:p>
    <w:p w14:paraId="0572D6F9" w14:textId="12378B8A" w:rsidR="00FE2E1D" w:rsidRPr="000D119D" w:rsidRDefault="00620EE2" w:rsidP="00A05749">
      <w:pPr>
        <w:rPr>
          <w:lang w:val="en-AU"/>
        </w:rPr>
      </w:pPr>
      <w:bookmarkStart w:id="113" w:name="_Ref84859858"/>
      <w:r w:rsidRPr="000D119D">
        <w:rPr>
          <w:lang w:val="en-AU"/>
        </w:rPr>
        <w:t>Interesting</w:t>
      </w:r>
      <w:r w:rsidR="00257506">
        <w:rPr>
          <w:lang w:val="en-AU"/>
        </w:rPr>
        <w:t>ly</w:t>
      </w:r>
      <w:r w:rsidRPr="000D119D">
        <w:rPr>
          <w:lang w:val="en-AU"/>
        </w:rPr>
        <w:t xml:space="preserve">, </w:t>
      </w:r>
      <w:r w:rsidR="00343C29" w:rsidRPr="000D119D">
        <w:rPr>
          <w:lang w:val="en-AU"/>
        </w:rPr>
        <w:t>this analysis has shifted since the Interim Evaluation Report, where the regression model identified</w:t>
      </w:r>
      <w:r w:rsidRPr="000D119D">
        <w:rPr>
          <w:lang w:val="en-AU"/>
        </w:rPr>
        <w:t xml:space="preserve"> </w:t>
      </w:r>
      <w:r w:rsidR="003854FA" w:rsidRPr="000D119D">
        <w:rPr>
          <w:lang w:val="en-AU"/>
        </w:rPr>
        <w:t>two alternate factors that were</w:t>
      </w:r>
      <w:r w:rsidR="00343C29" w:rsidRPr="000D119D">
        <w:rPr>
          <w:lang w:val="en-AU"/>
        </w:rPr>
        <w:t xml:space="preserve"> </w:t>
      </w:r>
      <w:r w:rsidR="00BC0623" w:rsidRPr="000D119D">
        <w:rPr>
          <w:lang w:val="en-AU"/>
        </w:rPr>
        <w:t>statistically significant: homeless</w:t>
      </w:r>
      <w:r w:rsidR="00257506">
        <w:rPr>
          <w:lang w:val="en-AU"/>
        </w:rPr>
        <w:t>n</w:t>
      </w:r>
      <w:r w:rsidR="00BC0623" w:rsidRPr="000D119D">
        <w:rPr>
          <w:lang w:val="en-AU"/>
        </w:rPr>
        <w:t>ess (sleeping rough or in non-conventional accommodation) and age (people under 18).</w:t>
      </w:r>
      <w:r w:rsidR="003854FA" w:rsidRPr="000D119D">
        <w:rPr>
          <w:rStyle w:val="FootnoteReference"/>
          <w:lang w:val="en-AU"/>
        </w:rPr>
        <w:footnoteReference w:id="69"/>
      </w:r>
      <w:r w:rsidR="00290E15" w:rsidRPr="000D119D">
        <w:rPr>
          <w:lang w:val="en-AU"/>
        </w:rPr>
        <w:t xml:space="preserve"> </w:t>
      </w:r>
      <w:r w:rsidR="00A20BBA" w:rsidRPr="000D119D">
        <w:rPr>
          <w:lang w:val="en-AU"/>
        </w:rPr>
        <w:t>In relation to homelessness (sleeping rough or in non-conventional accommodation), the sample size on which the initial finding was drawn was very small, and this variation was not further proved by the larger dataset. In relation to age, concern about capability to provide appropriate services to people under 18</w:t>
      </w:r>
      <w:r w:rsidR="00D2353C" w:rsidRPr="000D119D">
        <w:rPr>
          <w:lang w:val="en-AU"/>
        </w:rPr>
        <w:t xml:space="preserve"> was frequently raised by PHNs and hubs in consultation – it may be possible to infer that this dedicated attention </w:t>
      </w:r>
      <w:r w:rsidR="00A7330B" w:rsidRPr="000D119D">
        <w:rPr>
          <w:lang w:val="en-AU"/>
        </w:rPr>
        <w:t xml:space="preserve">has resulted in better </w:t>
      </w:r>
      <w:r w:rsidR="00796410" w:rsidRPr="000D119D">
        <w:rPr>
          <w:lang w:val="en-AU"/>
        </w:rPr>
        <w:t xml:space="preserve">service provision and </w:t>
      </w:r>
      <w:r w:rsidR="00A7330B" w:rsidRPr="000D119D">
        <w:rPr>
          <w:lang w:val="en-AU"/>
        </w:rPr>
        <w:t>outcomes for people under 18.</w:t>
      </w:r>
      <w:r w:rsidR="001363DF" w:rsidRPr="000D119D">
        <w:rPr>
          <w:lang w:val="en-AU"/>
        </w:rPr>
        <w:t xml:space="preserve"> </w:t>
      </w:r>
    </w:p>
    <w:p w14:paraId="51E162F4" w14:textId="7105D49C" w:rsidR="00963B7B" w:rsidRPr="000D119D" w:rsidRDefault="00B46537" w:rsidP="00963B7B">
      <w:pPr>
        <w:pStyle w:val="Heading3"/>
      </w:pPr>
      <w:bookmarkStart w:id="114" w:name="_Toc99650357"/>
      <w:bookmarkEnd w:id="113"/>
      <w:r w:rsidRPr="000D119D">
        <w:t>Qualitative b</w:t>
      </w:r>
      <w:r w:rsidR="00963B7B" w:rsidRPr="000D119D">
        <w:t>enefits</w:t>
      </w:r>
      <w:bookmarkEnd w:id="114"/>
      <w:r w:rsidR="00963B7B" w:rsidRPr="000D119D">
        <w:t xml:space="preserve"> </w:t>
      </w:r>
    </w:p>
    <w:p w14:paraId="223530CB" w14:textId="4CECF3AE" w:rsidR="00963B7B" w:rsidRPr="000D119D" w:rsidRDefault="007C43A1" w:rsidP="00963B7B">
      <w:pPr>
        <w:rPr>
          <w:lang w:val="en-AU"/>
        </w:rPr>
      </w:pPr>
      <w:r>
        <w:rPr>
          <w:lang w:val="en-AU"/>
        </w:rPr>
        <w:t>Participant</w:t>
      </w:r>
      <w:r w:rsidR="00963B7B" w:rsidRPr="000D119D">
        <w:rPr>
          <w:lang w:val="en-AU"/>
        </w:rPr>
        <w:t xml:space="preserve"> and support person interviews</w:t>
      </w:r>
      <w:r w:rsidR="00B46537" w:rsidRPr="000D119D">
        <w:rPr>
          <w:lang w:val="en-AU"/>
        </w:rPr>
        <w:t xml:space="preserve"> also</w:t>
      </w:r>
      <w:r w:rsidR="00963B7B" w:rsidRPr="000D119D">
        <w:rPr>
          <w:lang w:val="en-AU"/>
        </w:rPr>
        <w:t xml:space="preserve"> identified many qualitative </w:t>
      </w:r>
      <w:r w:rsidR="00B46537" w:rsidRPr="000D119D">
        <w:rPr>
          <w:lang w:val="en-AU"/>
        </w:rPr>
        <w:t>benefits</w:t>
      </w:r>
      <w:r w:rsidR="00963B7B" w:rsidRPr="000D119D">
        <w:rPr>
          <w:lang w:val="en-AU"/>
        </w:rPr>
        <w:t xml:space="preserve"> of participation in </w:t>
      </w:r>
      <w:proofErr w:type="spellStart"/>
      <w:r w:rsidR="00963B7B" w:rsidRPr="0071308F">
        <w:rPr>
          <w:rStyle w:val="Emphasis"/>
        </w:rPr>
        <w:t>HeadtoHelp</w:t>
      </w:r>
      <w:proofErr w:type="spellEnd"/>
      <w:r w:rsidR="00963B7B" w:rsidRPr="000D119D">
        <w:rPr>
          <w:lang w:val="en-AU"/>
        </w:rPr>
        <w:t>.</w:t>
      </w:r>
    </w:p>
    <w:p w14:paraId="6D9DA061" w14:textId="144D45E2" w:rsidR="00963B7B" w:rsidRPr="000D119D" w:rsidRDefault="00963B7B" w:rsidP="00963B7B">
      <w:pPr>
        <w:rPr>
          <w:lang w:val="en-AU"/>
        </w:rPr>
      </w:pPr>
      <w:r w:rsidRPr="000D119D">
        <w:rPr>
          <w:lang w:val="en-AU"/>
        </w:rPr>
        <w:t>In total, 77</w:t>
      </w:r>
      <w:r w:rsidR="00257506">
        <w:rPr>
          <w:lang w:val="en-AU"/>
        </w:rPr>
        <w:t xml:space="preserve"> per cent</w:t>
      </w:r>
      <w:r w:rsidRPr="000D119D">
        <w:rPr>
          <w:lang w:val="en-AU"/>
        </w:rPr>
        <w:t xml:space="preserve"> of </w:t>
      </w:r>
      <w:r w:rsidR="007C43A1">
        <w:rPr>
          <w:lang w:val="en-AU"/>
        </w:rPr>
        <w:t>participant</w:t>
      </w:r>
      <w:r w:rsidRPr="000D119D">
        <w:rPr>
          <w:lang w:val="en-AU"/>
        </w:rPr>
        <w:t>s reported experiencing some benefit for themselves and 46</w:t>
      </w:r>
      <w:r w:rsidR="009132B9">
        <w:rPr>
          <w:lang w:val="en-AU"/>
        </w:rPr>
        <w:t xml:space="preserve"> per cent</w:t>
      </w:r>
      <w:r w:rsidRPr="000D119D">
        <w:rPr>
          <w:lang w:val="en-AU"/>
        </w:rPr>
        <w:t xml:space="preserve"> of support people reported positive impacts of </w:t>
      </w:r>
      <w:proofErr w:type="spellStart"/>
      <w:r w:rsidR="00810D54" w:rsidRPr="0071308F">
        <w:rPr>
          <w:rStyle w:val="Emphasis"/>
        </w:rPr>
        <w:t>HeadtoHelp</w:t>
      </w:r>
      <w:proofErr w:type="spellEnd"/>
      <w:r w:rsidR="00810D54" w:rsidRPr="000D119D">
        <w:rPr>
          <w:lang w:val="en-AU"/>
        </w:rPr>
        <w:t xml:space="preserve"> </w:t>
      </w:r>
      <w:r w:rsidRPr="000D119D">
        <w:rPr>
          <w:lang w:val="en-AU"/>
        </w:rPr>
        <w:t xml:space="preserve">for their loved one. A summary of the benefits experienced are shown in </w:t>
      </w:r>
      <w:r w:rsidR="0033218D">
        <w:rPr>
          <w:highlight w:val="yellow"/>
          <w:lang w:val="en-AU"/>
        </w:rPr>
        <w:fldChar w:fldCharType="begin"/>
      </w:r>
      <w:r w:rsidR="0033218D">
        <w:rPr>
          <w:lang w:val="en-AU"/>
        </w:rPr>
        <w:instrText xml:space="preserve"> REF _Ref97046428 \h </w:instrText>
      </w:r>
      <w:r w:rsidR="0033218D">
        <w:rPr>
          <w:highlight w:val="yellow"/>
          <w:lang w:val="en-AU"/>
        </w:rPr>
      </w:r>
      <w:r w:rsidR="0033218D">
        <w:rPr>
          <w:highlight w:val="yellow"/>
          <w:lang w:val="en-AU"/>
        </w:rPr>
        <w:fldChar w:fldCharType="separate"/>
      </w:r>
      <w:r w:rsidR="00562174" w:rsidRPr="000D119D">
        <w:t xml:space="preserve">Figure </w:t>
      </w:r>
      <w:r w:rsidR="00562174">
        <w:rPr>
          <w:noProof/>
        </w:rPr>
        <w:t>33</w:t>
      </w:r>
      <w:r w:rsidR="0033218D">
        <w:rPr>
          <w:highlight w:val="yellow"/>
          <w:lang w:val="en-AU"/>
        </w:rPr>
        <w:fldChar w:fldCharType="end"/>
      </w:r>
      <w:r w:rsidR="009132B9">
        <w:rPr>
          <w:lang w:val="en-AU"/>
        </w:rPr>
        <w:t>.</w:t>
      </w:r>
    </w:p>
    <w:p w14:paraId="05A38B13" w14:textId="734D50EC" w:rsidR="00B946B6" w:rsidRDefault="00963B7B" w:rsidP="00B946B6">
      <w:pPr>
        <w:pStyle w:val="Caption"/>
      </w:pPr>
      <w:bookmarkStart w:id="115" w:name="_Ref97046428"/>
      <w:r w:rsidRPr="000D119D">
        <w:lastRenderedPageBreak/>
        <w:t xml:space="preserve">Figure </w:t>
      </w:r>
      <w:r w:rsidR="00C90990">
        <w:fldChar w:fldCharType="begin"/>
      </w:r>
      <w:r w:rsidR="00C90990">
        <w:instrText xml:space="preserve"> SEQ Figure \* ARABIC </w:instrText>
      </w:r>
      <w:r w:rsidR="00C90990">
        <w:fldChar w:fldCharType="separate"/>
      </w:r>
      <w:r w:rsidR="00562174">
        <w:rPr>
          <w:noProof/>
        </w:rPr>
        <w:t>33</w:t>
      </w:r>
      <w:r w:rsidR="00C90990">
        <w:fldChar w:fldCharType="end"/>
      </w:r>
      <w:bookmarkEnd w:id="115"/>
      <w:r w:rsidR="00B946B6">
        <w:t xml:space="preserve"> | </w:t>
      </w:r>
      <w:r w:rsidR="00B946B6" w:rsidRPr="00B47DB9">
        <w:t xml:space="preserve">Benefits experienced by </w:t>
      </w:r>
      <w:proofErr w:type="spellStart"/>
      <w:r w:rsidR="00B946B6" w:rsidRPr="00810D54">
        <w:rPr>
          <w:i/>
          <w:iCs/>
        </w:rPr>
        <w:t>Headto</w:t>
      </w:r>
      <w:r w:rsidR="00810D54" w:rsidRPr="00810D54">
        <w:rPr>
          <w:i/>
          <w:iCs/>
        </w:rPr>
        <w:t>Help</w:t>
      </w:r>
      <w:proofErr w:type="spellEnd"/>
      <w:r w:rsidR="00B946B6" w:rsidRPr="00B47DB9">
        <w:t xml:space="preserve"> </w:t>
      </w:r>
      <w:r w:rsidR="007C43A1">
        <w:t>participant</w:t>
      </w:r>
      <w:r w:rsidR="00B946B6" w:rsidRPr="00B47DB9">
        <w:t>s</w:t>
      </w:r>
    </w:p>
    <w:p w14:paraId="56CACEAA" w14:textId="5C744379" w:rsidR="00963B7B" w:rsidRPr="000D119D" w:rsidRDefault="00980237" w:rsidP="00963B7B">
      <w:pPr>
        <w:rPr>
          <w:lang w:val="en-AU"/>
        </w:rPr>
      </w:pPr>
      <w:r w:rsidRPr="00980237">
        <w:rPr>
          <w:noProof/>
        </w:rPr>
        <w:drawing>
          <wp:inline distT="0" distB="0" distL="0" distR="0" wp14:anchorId="64287E34" wp14:editId="7C1FDF32">
            <wp:extent cx="5670550" cy="4587875"/>
            <wp:effectExtent l="0" t="0" r="0" b="3175"/>
            <wp:docPr id="27864" name="Picture 27864" descr="Figure 33 is a collection of dot points listing of benefits experienced by Head to Help participants, including having more strategies in my toolbox, acting in my own best interests, thinking differently, using the services I need, improved life situation and improved mental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4" name="Picture 27864" descr="Figure 33 is a collection of dot points listing of benefits experienced by Head to Help participants, including having more strategies in my toolbox, acting in my own best interests, thinking differently, using the services I need, improved life situation and improved mental health and wellbeing.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70550" cy="4587875"/>
                    </a:xfrm>
                    <a:prstGeom prst="rect">
                      <a:avLst/>
                    </a:prstGeom>
                    <a:noFill/>
                    <a:ln>
                      <a:noFill/>
                    </a:ln>
                  </pic:spPr>
                </pic:pic>
              </a:graphicData>
            </a:graphic>
          </wp:inline>
        </w:drawing>
      </w:r>
    </w:p>
    <w:p w14:paraId="269CC021" w14:textId="30292FB6" w:rsidR="00640F27" w:rsidRPr="000D119D" w:rsidRDefault="00640F27" w:rsidP="00640F27">
      <w:pPr>
        <w:rPr>
          <w:lang w:val="en-AU"/>
        </w:rPr>
      </w:pPr>
      <w:r w:rsidRPr="000D119D">
        <w:rPr>
          <w:lang w:val="en-AU"/>
        </w:rPr>
        <w:t xml:space="preserve">As illustrated above, most participants described positive impacts of </w:t>
      </w:r>
      <w:proofErr w:type="spellStart"/>
      <w:r w:rsidRPr="009132B9">
        <w:rPr>
          <w:i/>
          <w:lang w:val="en-AU"/>
        </w:rPr>
        <w:t>HeadtoHelp</w:t>
      </w:r>
      <w:proofErr w:type="spellEnd"/>
      <w:r w:rsidRPr="000D119D">
        <w:rPr>
          <w:lang w:val="en-AU"/>
        </w:rPr>
        <w:t xml:space="preserve"> on their lives. Interestingly, these tended to relate less to alleviation of specific symptoms and more to having hope, better management strategies, and new ways of thinking and ‘doing’ – a greater ability for people to take control of their own lives going forward. These recovery‐focused (rather than </w:t>
      </w:r>
      <w:proofErr w:type="gramStart"/>
      <w:r w:rsidRPr="000D119D">
        <w:rPr>
          <w:lang w:val="en-AU"/>
        </w:rPr>
        <w:t>clinically‐focused</w:t>
      </w:r>
      <w:proofErr w:type="gramEnd"/>
      <w:r w:rsidRPr="000D119D">
        <w:rPr>
          <w:lang w:val="en-AU"/>
        </w:rPr>
        <w:t xml:space="preserve">) outcomes are hopeful and should be a focus of </w:t>
      </w:r>
      <w:proofErr w:type="spellStart"/>
      <w:r w:rsidRPr="009132B9">
        <w:rPr>
          <w:i/>
          <w:lang w:val="en-AU"/>
        </w:rPr>
        <w:t>HeadtoHelp</w:t>
      </w:r>
      <w:proofErr w:type="spellEnd"/>
      <w:r w:rsidRPr="000D119D">
        <w:rPr>
          <w:lang w:val="en-AU"/>
        </w:rPr>
        <w:t xml:space="preserve"> going forward. While more difficult to measure, these types of outcomes are more sustainable and personally meaningful than traditional </w:t>
      </w:r>
      <w:r w:rsidR="00F95E7B">
        <w:rPr>
          <w:lang w:val="en-AU"/>
        </w:rPr>
        <w:t xml:space="preserve">clinical </w:t>
      </w:r>
      <w:r w:rsidRPr="00640F27">
        <w:rPr>
          <w:lang w:val="en-AU"/>
        </w:rPr>
        <w:t>outcome</w:t>
      </w:r>
      <w:r w:rsidR="00F95E7B">
        <w:rPr>
          <w:lang w:val="en-AU"/>
        </w:rPr>
        <w:t xml:space="preserve"> measures</w:t>
      </w:r>
      <w:r w:rsidRPr="000D119D">
        <w:rPr>
          <w:lang w:val="en-AU"/>
        </w:rPr>
        <w:t xml:space="preserve"> like reduced symptomatology and hospital presentations.</w:t>
      </w:r>
    </w:p>
    <w:p w14:paraId="3A5D3CA0" w14:textId="13CBED9F" w:rsidR="00963B7B" w:rsidRPr="000D119D" w:rsidRDefault="00963B7B" w:rsidP="00963B7B">
      <w:pPr>
        <w:rPr>
          <w:lang w:val="en-AU"/>
        </w:rPr>
      </w:pPr>
      <w:r w:rsidRPr="000D119D">
        <w:rPr>
          <w:lang w:val="en-AU"/>
        </w:rPr>
        <w:t xml:space="preserve">Those people whose experiences were less positive often still reported some benefits, such as knowing a bit more about available services, or making some progress. </w:t>
      </w:r>
      <w:r w:rsidR="00BE79EA">
        <w:rPr>
          <w:lang w:val="en-AU"/>
        </w:rPr>
        <w:t>Support</w:t>
      </w:r>
      <w:r w:rsidRPr="000D119D">
        <w:rPr>
          <w:lang w:val="en-AU"/>
        </w:rPr>
        <w:t xml:space="preserve"> people often also experienced benefits for themselves, including feeling calmer or more at peace, and experiencing a new sense of hope.</w:t>
      </w:r>
      <w:r w:rsidR="001363DF" w:rsidRPr="000D119D">
        <w:rPr>
          <w:lang w:val="en-AU"/>
        </w:rPr>
        <w:t xml:space="preserve"> </w:t>
      </w:r>
      <w:r w:rsidRPr="000D119D">
        <w:rPr>
          <w:lang w:val="en-AU"/>
        </w:rPr>
        <w:t xml:space="preserve">However, a few </w:t>
      </w:r>
      <w:r w:rsidR="007C43A1">
        <w:rPr>
          <w:lang w:val="en-AU"/>
        </w:rPr>
        <w:t>participant</w:t>
      </w:r>
      <w:r w:rsidRPr="000D119D">
        <w:rPr>
          <w:lang w:val="en-AU"/>
        </w:rPr>
        <w:t xml:space="preserve">s reported feeling disappointed or ‘disheartened’ by the outcome of their attempts to get help, wondering whether they would ever get the support they needed. Some described feeling they had wasted their time and that their interaction with </w:t>
      </w:r>
      <w:proofErr w:type="spellStart"/>
      <w:r w:rsidRPr="003011A8">
        <w:rPr>
          <w:rStyle w:val="Emphasis"/>
        </w:rPr>
        <w:t>HeadtoHelp</w:t>
      </w:r>
      <w:proofErr w:type="spellEnd"/>
      <w:r w:rsidRPr="000D119D">
        <w:rPr>
          <w:lang w:val="en-AU"/>
        </w:rPr>
        <w:t xml:space="preserve"> had delayed getting the services they needed.</w:t>
      </w:r>
    </w:p>
    <w:p w14:paraId="0AD43D54" w14:textId="77777777" w:rsidR="00A05749" w:rsidRPr="000D119D" w:rsidRDefault="00A05749" w:rsidP="00A05749">
      <w:pPr>
        <w:spacing w:after="160" w:line="259" w:lineRule="auto"/>
        <w:rPr>
          <w:lang w:val="en-AU" w:eastAsia="en-AU"/>
        </w:rPr>
      </w:pPr>
      <w:r w:rsidRPr="000D119D">
        <w:rPr>
          <w:lang w:val="en-AU" w:eastAsia="en-AU"/>
        </w:rPr>
        <w:br w:type="page"/>
      </w:r>
    </w:p>
    <w:p w14:paraId="5AF30398" w14:textId="6DC26B43" w:rsidR="0095516E" w:rsidRDefault="00970364" w:rsidP="0095516E">
      <w:pPr>
        <w:pStyle w:val="Heading2"/>
      </w:pPr>
      <w:bookmarkStart w:id="116" w:name="_Ref96775230"/>
      <w:bookmarkStart w:id="117" w:name="_Toc99650358"/>
      <w:r w:rsidRPr="000D119D">
        <w:lastRenderedPageBreak/>
        <w:t xml:space="preserve">What has been and is the likely impact of the implementation of the </w:t>
      </w:r>
      <w:proofErr w:type="spellStart"/>
      <w:r w:rsidRPr="000D119D">
        <w:rPr>
          <w:i/>
          <w:iCs/>
        </w:rPr>
        <w:t>HeadtoHelp</w:t>
      </w:r>
      <w:proofErr w:type="spellEnd"/>
      <w:r w:rsidRPr="000D119D">
        <w:t>?</w:t>
      </w:r>
      <w:bookmarkEnd w:id="116"/>
      <w:bookmarkEnd w:id="117"/>
    </w:p>
    <w:p w14:paraId="563B6256" w14:textId="2C00F7D2" w:rsidR="003011A8" w:rsidRPr="003011A8" w:rsidRDefault="003011A8" w:rsidP="003011A8">
      <w:pPr>
        <w:pStyle w:val="Callout"/>
        <w:rPr>
          <w:b/>
          <w:color w:val="25B3E0" w:themeColor="accent6"/>
        </w:rPr>
      </w:pPr>
      <w:r w:rsidRPr="00E16A67">
        <w:rPr>
          <w:b/>
          <w:color w:val="25B3E0" w:themeColor="accent6"/>
        </w:rPr>
        <w:t xml:space="preserve">Key findings: </w:t>
      </w:r>
      <w:proofErr w:type="gramStart"/>
      <w:r w:rsidRPr="000D119D">
        <w:t>The majority of</w:t>
      </w:r>
      <w:proofErr w:type="gramEnd"/>
      <w:r w:rsidRPr="000D119D">
        <w:t xml:space="preserve"> </w:t>
      </w:r>
      <w:r>
        <w:t>participant</w:t>
      </w:r>
      <w:r w:rsidRPr="000D119D">
        <w:t xml:space="preserve">s and support people were satisfied with the service they have received, as well as with their intake experience, with some occasions where </w:t>
      </w:r>
      <w:r>
        <w:t>participant</w:t>
      </w:r>
      <w:r w:rsidRPr="000D119D">
        <w:t xml:space="preserve">s reported </w:t>
      </w:r>
      <w:r>
        <w:t>they were as satisfied with this</w:t>
      </w:r>
      <w:r w:rsidRPr="000D119D">
        <w:t xml:space="preserve"> intake experience as </w:t>
      </w:r>
      <w:r>
        <w:t xml:space="preserve">they were with the intake experience of </w:t>
      </w:r>
      <w:r w:rsidRPr="000D119D">
        <w:t xml:space="preserve">other services. Factors determining high satisfaction included a </w:t>
      </w:r>
      <w:r w:rsidRPr="000D119D">
        <w:rPr>
          <w:bCs/>
        </w:rPr>
        <w:t>client-centric</w:t>
      </w:r>
      <w:r w:rsidRPr="000D119D">
        <w:t xml:space="preserve"> system, staff competence, timeliness and the ease with which clients were able to access </w:t>
      </w:r>
      <w:proofErr w:type="spellStart"/>
      <w:r w:rsidRPr="003011A8">
        <w:rPr>
          <w:rStyle w:val="Emphasis"/>
        </w:rPr>
        <w:t>HeadtoHelp</w:t>
      </w:r>
      <w:proofErr w:type="spellEnd"/>
      <w:r w:rsidRPr="000D119D">
        <w:t>. However, intake experiences depended on the intake clinician, and where clients indicated dissatisfaction with intake this was usually due to what they felt was a superficial intake conversation and an intake staff member who lacked experience.</w:t>
      </w:r>
    </w:p>
    <w:p w14:paraId="3F385C40" w14:textId="77777777" w:rsidR="003011A8" w:rsidRPr="000D119D" w:rsidRDefault="003011A8" w:rsidP="003011A8">
      <w:pPr>
        <w:pStyle w:val="Callout"/>
      </w:pPr>
      <w:r w:rsidRPr="000D119D">
        <w:t>There were slight differences in satisfaction depending on whether the client received a service at the hub or only a referral, as well as differences in service experience ratings between PHNs.</w:t>
      </w:r>
    </w:p>
    <w:p w14:paraId="5699CAF8" w14:textId="7037E960" w:rsidR="003011A8" w:rsidRPr="003011A8" w:rsidRDefault="003011A8" w:rsidP="003011A8">
      <w:pPr>
        <w:pStyle w:val="Callout"/>
      </w:pPr>
      <w:r w:rsidRPr="000D119D">
        <w:t xml:space="preserve">Interviews with both service partners and </w:t>
      </w:r>
      <w:r>
        <w:t>participant</w:t>
      </w:r>
      <w:r w:rsidRPr="000D119D">
        <w:t xml:space="preserve">s indicated that integration between </w:t>
      </w:r>
      <w:proofErr w:type="spellStart"/>
      <w:r w:rsidRPr="003011A8">
        <w:rPr>
          <w:rStyle w:val="Emphasis"/>
        </w:rPr>
        <w:t>HeadtoHelp</w:t>
      </w:r>
      <w:proofErr w:type="spellEnd"/>
      <w:r w:rsidRPr="000D119D">
        <w:t xml:space="preserve"> and other services could be improved, and the importance of this for achieving positive outcomes was emphasised by </w:t>
      </w:r>
      <w:r>
        <w:t>participant</w:t>
      </w:r>
      <w:r w:rsidRPr="000D119D">
        <w:t xml:space="preserve">s. Where service integration was achieved, some success factors included co-location and establishing genuine partnerships to build trust in </w:t>
      </w:r>
      <w:proofErr w:type="spellStart"/>
      <w:r w:rsidRPr="003011A8">
        <w:rPr>
          <w:rStyle w:val="Emphasis"/>
        </w:rPr>
        <w:t>HeadtoHelp</w:t>
      </w:r>
      <w:proofErr w:type="spellEnd"/>
      <w:r w:rsidRPr="000D119D">
        <w:t>.</w:t>
      </w:r>
    </w:p>
    <w:p w14:paraId="011A1BA8" w14:textId="79163969" w:rsidR="00742868" w:rsidRPr="000D119D" w:rsidRDefault="007C43A1" w:rsidP="00742868">
      <w:pPr>
        <w:pStyle w:val="Heading3"/>
      </w:pPr>
      <w:bookmarkStart w:id="118" w:name="_Toc99650359"/>
      <w:r>
        <w:t>Participant</w:t>
      </w:r>
      <w:r w:rsidR="00742868" w:rsidRPr="000D119D">
        <w:t xml:space="preserve"> </w:t>
      </w:r>
      <w:r w:rsidR="007829B5" w:rsidRPr="000D119D">
        <w:t>experience</w:t>
      </w:r>
      <w:bookmarkEnd w:id="118"/>
    </w:p>
    <w:p w14:paraId="61A39AAD" w14:textId="64A56DE6" w:rsidR="00742868" w:rsidRPr="000D119D" w:rsidRDefault="00742868" w:rsidP="00BE0860">
      <w:pPr>
        <w:pStyle w:val="Heading4"/>
      </w:pPr>
      <w:r w:rsidRPr="000D119D">
        <w:t xml:space="preserve">Service satisfaction was largely high, with only a small difference in satisfaction levels depending on service type, and between support people and </w:t>
      </w:r>
      <w:r w:rsidR="007C43A1">
        <w:t>participant</w:t>
      </w:r>
      <w:r w:rsidRPr="000D119D">
        <w:t>s</w:t>
      </w:r>
    </w:p>
    <w:p w14:paraId="5C71C3DA" w14:textId="109A88B0" w:rsidR="00742868" w:rsidRPr="000D119D" w:rsidRDefault="00654891" w:rsidP="00742868">
      <w:pPr>
        <w:rPr>
          <w:lang w:val="en-AU"/>
        </w:rPr>
      </w:pPr>
      <w:r>
        <w:rPr>
          <w:lang w:val="en-AU"/>
        </w:rPr>
        <w:fldChar w:fldCharType="begin"/>
      </w:r>
      <w:r>
        <w:rPr>
          <w:lang w:val="en-AU"/>
        </w:rPr>
        <w:instrText xml:space="preserve"> REF _Ref97046467 \h </w:instrText>
      </w:r>
      <w:r>
        <w:rPr>
          <w:lang w:val="en-AU"/>
        </w:rPr>
      </w:r>
      <w:r>
        <w:rPr>
          <w:lang w:val="en-AU"/>
        </w:rPr>
        <w:fldChar w:fldCharType="separate"/>
      </w:r>
      <w:r w:rsidR="00562174" w:rsidRPr="000D119D">
        <w:t xml:space="preserve">Figure </w:t>
      </w:r>
      <w:r w:rsidR="00562174">
        <w:rPr>
          <w:noProof/>
        </w:rPr>
        <w:t>34</w:t>
      </w:r>
      <w:r>
        <w:rPr>
          <w:lang w:val="en-AU"/>
        </w:rPr>
        <w:fldChar w:fldCharType="end"/>
      </w:r>
      <w:r w:rsidR="00742868" w:rsidRPr="005536EF">
        <w:rPr>
          <w:lang w:val="en-AU"/>
        </w:rPr>
        <w:t xml:space="preserve"> and </w:t>
      </w:r>
      <w:r>
        <w:rPr>
          <w:lang w:val="en-AU"/>
        </w:rPr>
        <w:fldChar w:fldCharType="begin"/>
      </w:r>
      <w:r>
        <w:rPr>
          <w:lang w:val="en-AU"/>
        </w:rPr>
        <w:instrText xml:space="preserve"> REF _Ref97046470 \h </w:instrText>
      </w:r>
      <w:r>
        <w:rPr>
          <w:lang w:val="en-AU"/>
        </w:rPr>
      </w:r>
      <w:r>
        <w:rPr>
          <w:lang w:val="en-AU"/>
        </w:rPr>
        <w:fldChar w:fldCharType="separate"/>
      </w:r>
      <w:r w:rsidR="00562174" w:rsidRPr="000D119D">
        <w:t xml:space="preserve">Figure </w:t>
      </w:r>
      <w:r w:rsidR="00562174">
        <w:rPr>
          <w:noProof/>
        </w:rPr>
        <w:t>35</w:t>
      </w:r>
      <w:r>
        <w:rPr>
          <w:lang w:val="en-AU"/>
        </w:rPr>
        <w:fldChar w:fldCharType="end"/>
      </w:r>
      <w:r w:rsidR="00742868" w:rsidRPr="000D119D">
        <w:rPr>
          <w:lang w:val="en-AU"/>
        </w:rPr>
        <w:t xml:space="preserve"> illustrate the satisfaction ratings from </w:t>
      </w:r>
      <w:r w:rsidR="008C2AFF">
        <w:rPr>
          <w:lang w:val="en-AU"/>
        </w:rPr>
        <w:t>e</w:t>
      </w:r>
      <w:r w:rsidR="008C2AFF" w:rsidRPr="008C2AFF">
        <w:rPr>
          <w:lang w:val="en-AU"/>
        </w:rPr>
        <w:t>xpressions of interest</w:t>
      </w:r>
      <w:r w:rsidR="008C2AFF">
        <w:rPr>
          <w:lang w:val="en-AU"/>
        </w:rPr>
        <w:t xml:space="preserve"> (</w:t>
      </w:r>
      <w:r w:rsidR="00742868" w:rsidRPr="000D119D">
        <w:rPr>
          <w:lang w:val="en-AU"/>
        </w:rPr>
        <w:t>EOI</w:t>
      </w:r>
      <w:r w:rsidR="008C2AFF">
        <w:rPr>
          <w:lang w:val="en-AU"/>
        </w:rPr>
        <w:t>)</w:t>
      </w:r>
      <w:r w:rsidR="00742868" w:rsidRPr="000D119D">
        <w:rPr>
          <w:lang w:val="en-AU"/>
        </w:rPr>
        <w:t xml:space="preserve"> survey data of </w:t>
      </w:r>
      <w:r w:rsidR="000721CD">
        <w:rPr>
          <w:lang w:val="en-AU"/>
        </w:rPr>
        <w:t>participants</w:t>
      </w:r>
      <w:r w:rsidR="00742868" w:rsidRPr="000D119D">
        <w:rPr>
          <w:lang w:val="en-AU"/>
        </w:rPr>
        <w:t xml:space="preserve"> and support people respectively, according to the type of service received. The data shows that whether </w:t>
      </w:r>
      <w:r w:rsidR="007C43A1">
        <w:rPr>
          <w:lang w:val="en-AU"/>
        </w:rPr>
        <w:t>participant</w:t>
      </w:r>
      <w:r w:rsidR="00742868" w:rsidRPr="000D119D">
        <w:rPr>
          <w:lang w:val="en-AU"/>
        </w:rPr>
        <w:t>s or support people received support at the hub or a referral only, satisfaction ratings in the higher score categories were the dominant result.</w:t>
      </w:r>
    </w:p>
    <w:p w14:paraId="137361CF" w14:textId="7CE0FAE6" w:rsidR="00742868" w:rsidRPr="000D119D" w:rsidRDefault="00742868" w:rsidP="00742868">
      <w:pPr>
        <w:rPr>
          <w:lang w:val="en-AU"/>
        </w:rPr>
      </w:pPr>
      <w:r w:rsidRPr="000D119D">
        <w:rPr>
          <w:lang w:val="en-AU"/>
        </w:rPr>
        <w:t xml:space="preserve">Those who received referrals only appeared slightly less satisfied than those receiving service at the hubs. This may have been due to a </w:t>
      </w:r>
      <w:r w:rsidR="007C43A1">
        <w:rPr>
          <w:lang w:val="en-AU"/>
        </w:rPr>
        <w:t>participant</w:t>
      </w:r>
      <w:r w:rsidRPr="000D119D">
        <w:rPr>
          <w:lang w:val="en-AU"/>
        </w:rPr>
        <w:t xml:space="preserve"> or support person requiring support in the moment of contact and thus a referral at that time was not helpful to them. Additionally for support people this may have been due to parents being disappointed with the lack of child-specific services in the hubs. </w:t>
      </w:r>
    </w:p>
    <w:p w14:paraId="3B7DEE65" w14:textId="22C96AD1" w:rsidR="00B946B6" w:rsidRDefault="00742868" w:rsidP="00B946B6">
      <w:pPr>
        <w:pStyle w:val="Caption"/>
      </w:pPr>
      <w:bookmarkStart w:id="119" w:name="_Ref97046467"/>
      <w:r w:rsidRPr="000D119D">
        <w:t xml:space="preserve">Figure </w:t>
      </w:r>
      <w:r w:rsidR="00C90990">
        <w:fldChar w:fldCharType="begin"/>
      </w:r>
      <w:r w:rsidR="00C90990">
        <w:instrText xml:space="preserve"> SEQ Figure \* ARABIC </w:instrText>
      </w:r>
      <w:r w:rsidR="00C90990">
        <w:fldChar w:fldCharType="separate"/>
      </w:r>
      <w:r w:rsidR="00562174">
        <w:rPr>
          <w:noProof/>
        </w:rPr>
        <w:t>34</w:t>
      </w:r>
      <w:r w:rsidR="00C90990">
        <w:fldChar w:fldCharType="end"/>
      </w:r>
      <w:bookmarkEnd w:id="119"/>
      <w:r w:rsidR="00B946B6">
        <w:t xml:space="preserve"> | </w:t>
      </w:r>
      <w:r w:rsidR="00B946B6" w:rsidRPr="005B7B36">
        <w:t xml:space="preserve">Satisfaction rating by service type: </w:t>
      </w:r>
      <w:r w:rsidR="007C43A1">
        <w:t>Participant</w:t>
      </w:r>
      <w:r w:rsidR="00B946B6" w:rsidRPr="005B7B36">
        <w:t>s</w:t>
      </w:r>
    </w:p>
    <w:p w14:paraId="3254125D" w14:textId="332FF2DC" w:rsidR="00742868" w:rsidRPr="000D119D" w:rsidRDefault="00A76EDD" w:rsidP="00742868">
      <w:pPr>
        <w:rPr>
          <w:lang w:val="en-AU"/>
        </w:rPr>
      </w:pPr>
      <w:r w:rsidRPr="00A76EDD">
        <w:rPr>
          <w:noProof/>
        </w:rPr>
        <w:drawing>
          <wp:inline distT="0" distB="0" distL="0" distR="0" wp14:anchorId="2556CE37" wp14:editId="5356CAE2">
            <wp:extent cx="5670550" cy="2474595"/>
            <wp:effectExtent l="0" t="0" r="6350" b="1905"/>
            <wp:docPr id="28202" name="Picture 28202" descr="Figure 34 is a bar graph of satisfaction rating by service type for Head to Help particip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2" name="Picture 28202" descr="Figure 34 is a bar graph of satisfaction rating by service type for Head to Help participants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70550" cy="2474595"/>
                    </a:xfrm>
                    <a:prstGeom prst="rect">
                      <a:avLst/>
                    </a:prstGeom>
                    <a:noFill/>
                    <a:ln>
                      <a:noFill/>
                    </a:ln>
                  </pic:spPr>
                </pic:pic>
              </a:graphicData>
            </a:graphic>
          </wp:inline>
        </w:drawing>
      </w:r>
    </w:p>
    <w:p w14:paraId="22534F24" w14:textId="0BE08437" w:rsidR="00B946B6" w:rsidRDefault="00742868" w:rsidP="00B946B6">
      <w:pPr>
        <w:pStyle w:val="Caption"/>
      </w:pPr>
      <w:bookmarkStart w:id="120" w:name="_Ref97046470"/>
      <w:r w:rsidRPr="000D119D">
        <w:lastRenderedPageBreak/>
        <w:t xml:space="preserve">Figure </w:t>
      </w:r>
      <w:r w:rsidR="00C90990">
        <w:fldChar w:fldCharType="begin"/>
      </w:r>
      <w:r w:rsidR="00C90990">
        <w:instrText xml:space="preserve"> SEQ Figure \* ARABIC </w:instrText>
      </w:r>
      <w:r w:rsidR="00C90990">
        <w:fldChar w:fldCharType="separate"/>
      </w:r>
      <w:r w:rsidR="00562174">
        <w:rPr>
          <w:noProof/>
        </w:rPr>
        <w:t>35</w:t>
      </w:r>
      <w:r w:rsidR="00C90990">
        <w:fldChar w:fldCharType="end"/>
      </w:r>
      <w:bookmarkEnd w:id="120"/>
      <w:r w:rsidR="00B946B6">
        <w:t xml:space="preserve"> | </w:t>
      </w:r>
      <w:r w:rsidR="00B946B6" w:rsidRPr="00165E29">
        <w:t xml:space="preserve">Satisfaction rating by service type: </w:t>
      </w:r>
      <w:r w:rsidR="00BE79EA">
        <w:t>Support</w:t>
      </w:r>
      <w:r w:rsidR="00B946B6" w:rsidRPr="00165E29">
        <w:t xml:space="preserve"> people</w:t>
      </w:r>
    </w:p>
    <w:p w14:paraId="40C53282" w14:textId="55B10E2A" w:rsidR="00742868" w:rsidRPr="000D119D" w:rsidRDefault="00F3138D" w:rsidP="00742868">
      <w:pPr>
        <w:rPr>
          <w:lang w:val="en-AU"/>
        </w:rPr>
      </w:pPr>
      <w:r w:rsidRPr="00F3138D">
        <w:rPr>
          <w:noProof/>
        </w:rPr>
        <w:drawing>
          <wp:inline distT="0" distB="0" distL="0" distR="0" wp14:anchorId="64793284" wp14:editId="2F0849A9">
            <wp:extent cx="5670550" cy="2474595"/>
            <wp:effectExtent l="0" t="0" r="6350" b="1905"/>
            <wp:docPr id="28203" name="Picture 28203" descr="Figure 35 is a bar graph of satisfaction rating by service type for Head to Help support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3" name="Picture 28203" descr="Figure 35 is a bar graph of satisfaction rating by service type for Head to Help support peopl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70550" cy="2474595"/>
                    </a:xfrm>
                    <a:prstGeom prst="rect">
                      <a:avLst/>
                    </a:prstGeom>
                    <a:noFill/>
                    <a:ln>
                      <a:noFill/>
                    </a:ln>
                  </pic:spPr>
                </pic:pic>
              </a:graphicData>
            </a:graphic>
          </wp:inline>
        </w:drawing>
      </w:r>
    </w:p>
    <w:p w14:paraId="349EE522" w14:textId="13279E28" w:rsidR="00742868" w:rsidRPr="00E457E2" w:rsidRDefault="00742868" w:rsidP="00E457E2">
      <w:proofErr w:type="gramStart"/>
      <w:r w:rsidRPr="000D119D">
        <w:t>YES</w:t>
      </w:r>
      <w:proofErr w:type="gramEnd"/>
      <w:r w:rsidRPr="000D119D">
        <w:t xml:space="preserve"> survey results on overall service experience varied across PHNs, </w:t>
      </w:r>
      <w:r w:rsidR="00120C9B" w:rsidRPr="000D119D">
        <w:t>noting</w:t>
      </w:r>
      <w:r w:rsidRPr="000D119D">
        <w:t xml:space="preserve"> that reasonable data was only obtained from NWMPH</w:t>
      </w:r>
      <w:r w:rsidR="000721CD">
        <w:t>N</w:t>
      </w:r>
      <w:r w:rsidRPr="000D119D">
        <w:t xml:space="preserve">, SEMPHN and WVPHN. </w:t>
      </w:r>
      <w:r w:rsidR="00654891">
        <w:rPr>
          <w:highlight w:val="yellow"/>
        </w:rPr>
        <w:fldChar w:fldCharType="begin"/>
      </w:r>
      <w:r w:rsidR="00654891">
        <w:instrText xml:space="preserve"> REF _Ref97046499 \h </w:instrText>
      </w:r>
      <w:r w:rsidR="00654891">
        <w:rPr>
          <w:highlight w:val="yellow"/>
        </w:rPr>
      </w:r>
      <w:r w:rsidR="00654891">
        <w:rPr>
          <w:highlight w:val="yellow"/>
        </w:rPr>
        <w:fldChar w:fldCharType="separate"/>
      </w:r>
      <w:r w:rsidR="00562174" w:rsidRPr="000D119D">
        <w:t xml:space="preserve">Figure </w:t>
      </w:r>
      <w:r w:rsidR="00562174">
        <w:rPr>
          <w:noProof/>
        </w:rPr>
        <w:t>36</w:t>
      </w:r>
      <w:r w:rsidR="00654891">
        <w:rPr>
          <w:highlight w:val="yellow"/>
        </w:rPr>
        <w:fldChar w:fldCharType="end"/>
      </w:r>
      <w:r w:rsidRPr="000D119D">
        <w:t xml:space="preserve"> shows the distribution of answers to the YES survey question “Overall, how would you rate your experience with this service in the last three months or less?” Interestingly, SEMPHN respondents had a median rating of ‘Excellent’ for their service experience (with over 60</w:t>
      </w:r>
      <w:r w:rsidR="008C2AFF">
        <w:t xml:space="preserve"> per cent</w:t>
      </w:r>
      <w:r w:rsidRPr="000D119D">
        <w:t xml:space="preserve"> of respondents selecting this rating), which is in contrast with the views of service partners from that region, who cited clarity on the model/risk profile and low engagement as major barriers to referrals. </w:t>
      </w:r>
    </w:p>
    <w:p w14:paraId="4EC92104" w14:textId="70B63749" w:rsidR="00742868" w:rsidRPr="00E457E2" w:rsidRDefault="00742868" w:rsidP="00E457E2">
      <w:r w:rsidRPr="000D119D">
        <w:t>WVPHN and NWMPHN both had over 20</w:t>
      </w:r>
      <w:r w:rsidR="006C642D">
        <w:t xml:space="preserve"> per cent</w:t>
      </w:r>
      <w:r w:rsidRPr="000D119D">
        <w:t xml:space="preserve"> of respondents rating their service experience as Poor, however, </w:t>
      </w:r>
      <w:proofErr w:type="gramStart"/>
      <w:r w:rsidRPr="000D119D">
        <w:t>the majority of</w:t>
      </w:r>
      <w:proofErr w:type="gramEnd"/>
      <w:r w:rsidRPr="000D119D">
        <w:t xml:space="preserve"> respondents from these PHNs did rate their experience as Very Good or Excellent (with the Excellent ratings being significantly lower than for SEMPHN). </w:t>
      </w:r>
    </w:p>
    <w:p w14:paraId="1504843A" w14:textId="317C867A" w:rsidR="00742868" w:rsidRPr="000D119D" w:rsidRDefault="00742868" w:rsidP="00742868">
      <w:pPr>
        <w:pStyle w:val="Caption"/>
      </w:pPr>
      <w:bookmarkStart w:id="121" w:name="_Ref97046499"/>
      <w:r w:rsidRPr="000D119D">
        <w:t xml:space="preserve">Figure </w:t>
      </w:r>
      <w:r w:rsidR="00C90990">
        <w:fldChar w:fldCharType="begin"/>
      </w:r>
      <w:r w:rsidR="00C90990">
        <w:instrText xml:space="preserve"> SEQ Figure \* ARABIC </w:instrText>
      </w:r>
      <w:r w:rsidR="00C90990">
        <w:fldChar w:fldCharType="separate"/>
      </w:r>
      <w:r w:rsidR="00562174">
        <w:rPr>
          <w:noProof/>
        </w:rPr>
        <w:t>36</w:t>
      </w:r>
      <w:r w:rsidR="00C90990">
        <w:fldChar w:fldCharType="end"/>
      </w:r>
      <w:bookmarkEnd w:id="121"/>
      <w:r w:rsidRPr="000D119D">
        <w:t xml:space="preserve"> | Overall service experience in last </w:t>
      </w:r>
      <w:r w:rsidR="006C642D">
        <w:t>three</w:t>
      </w:r>
      <w:r w:rsidRPr="000D119D">
        <w:t xml:space="preserve"> months by PHN (YES survey results)</w:t>
      </w:r>
    </w:p>
    <w:p w14:paraId="050DDBC8" w14:textId="74B540AF" w:rsidR="00742868" w:rsidRPr="00E457E2" w:rsidRDefault="00A6422B" w:rsidP="00E457E2">
      <w:r w:rsidRPr="00A6422B">
        <w:rPr>
          <w:noProof/>
        </w:rPr>
        <w:drawing>
          <wp:inline distT="0" distB="0" distL="0" distR="0" wp14:anchorId="7EAC6878" wp14:editId="065550FB">
            <wp:extent cx="5670550" cy="2250440"/>
            <wp:effectExtent l="0" t="0" r="6350" b="0"/>
            <wp:docPr id="28204" name="Picture 28204" descr="Figure 36 is a bar graph showing overall service experience in the last three months by PHN as measured by the YE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4" name="Picture 28204" descr="Figure 36 is a bar graph showing overall service experience in the last three months by PHN as measured by the YES surve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70550" cy="2250440"/>
                    </a:xfrm>
                    <a:prstGeom prst="rect">
                      <a:avLst/>
                    </a:prstGeom>
                    <a:noFill/>
                    <a:ln>
                      <a:noFill/>
                    </a:ln>
                  </pic:spPr>
                </pic:pic>
              </a:graphicData>
            </a:graphic>
          </wp:inline>
        </w:drawing>
      </w:r>
    </w:p>
    <w:p w14:paraId="71571DAD" w14:textId="77777777" w:rsidR="00742868" w:rsidRPr="000D119D" w:rsidRDefault="00742868" w:rsidP="00BE0860">
      <w:pPr>
        <w:pStyle w:val="Heading4"/>
      </w:pPr>
      <w:r w:rsidRPr="000D119D">
        <w:t xml:space="preserve">Almost all participants would recommend </w:t>
      </w:r>
      <w:proofErr w:type="spellStart"/>
      <w:r w:rsidRPr="000D119D">
        <w:rPr>
          <w:i/>
        </w:rPr>
        <w:t>HeadtoHelp</w:t>
      </w:r>
      <w:proofErr w:type="spellEnd"/>
    </w:p>
    <w:p w14:paraId="59F0FB97" w14:textId="313E8C11" w:rsidR="008F0D3C" w:rsidRPr="000D119D" w:rsidRDefault="008F0D3C" w:rsidP="008F0D3C">
      <w:pPr>
        <w:rPr>
          <w:lang w:val="en-AU"/>
        </w:rPr>
      </w:pPr>
      <w:r w:rsidRPr="00F043CE">
        <w:rPr>
          <w:lang w:val="en-AU"/>
        </w:rPr>
        <w:t xml:space="preserve">Overall, 76 per cent of participants asked said that they would recommend </w:t>
      </w:r>
      <w:proofErr w:type="spellStart"/>
      <w:r w:rsidRPr="003011A8">
        <w:rPr>
          <w:rStyle w:val="Emphasis"/>
        </w:rPr>
        <w:t>HeadtoHelp</w:t>
      </w:r>
      <w:proofErr w:type="spellEnd"/>
      <w:r w:rsidRPr="00F043CE">
        <w:rPr>
          <w:lang w:val="en-AU"/>
        </w:rPr>
        <w:t xml:space="preserve"> and a further 12 per cent said they might, depending on the circumstances, or with some reservations. However, this rate may </w:t>
      </w:r>
      <w:r w:rsidR="006459FF" w:rsidRPr="00F043CE">
        <w:rPr>
          <w:lang w:val="en-AU"/>
        </w:rPr>
        <w:t>h</w:t>
      </w:r>
      <w:r w:rsidRPr="00F043CE">
        <w:rPr>
          <w:lang w:val="en-AU"/>
        </w:rPr>
        <w:t>ave been higher in a representative sample, as less satisfied people were oversampled interviews.</w:t>
      </w:r>
    </w:p>
    <w:p w14:paraId="584FD415" w14:textId="392C3E6B" w:rsidR="003E7829" w:rsidRPr="000D119D" w:rsidRDefault="00742868" w:rsidP="00742868">
      <w:pPr>
        <w:rPr>
          <w:lang w:val="en-AU"/>
        </w:rPr>
      </w:pPr>
      <w:r w:rsidRPr="000D119D">
        <w:rPr>
          <w:lang w:val="en-AU"/>
        </w:rPr>
        <w:t xml:space="preserve">When asked whether they would use </w:t>
      </w:r>
      <w:proofErr w:type="spellStart"/>
      <w:r w:rsidRPr="003011A8">
        <w:rPr>
          <w:rStyle w:val="Emphasis"/>
        </w:rPr>
        <w:t>HeadtoHelp</w:t>
      </w:r>
      <w:proofErr w:type="spellEnd"/>
      <w:r w:rsidRPr="000D119D">
        <w:rPr>
          <w:lang w:val="en-AU"/>
        </w:rPr>
        <w:t xml:space="preserve"> again if the need arose, most people said that they would. Even people who said that they would not use </w:t>
      </w:r>
      <w:proofErr w:type="spellStart"/>
      <w:r w:rsidRPr="003011A8">
        <w:rPr>
          <w:rStyle w:val="Emphasis"/>
        </w:rPr>
        <w:t>HeadtoHelp</w:t>
      </w:r>
      <w:proofErr w:type="spellEnd"/>
      <w:r w:rsidRPr="000D119D">
        <w:rPr>
          <w:lang w:val="en-AU"/>
        </w:rPr>
        <w:t xml:space="preserve"> to seek services for themselves or their loved one often said that they would still recommend it to other people, depending on the </w:t>
      </w:r>
      <w:r w:rsidRPr="000D119D">
        <w:rPr>
          <w:lang w:val="en-AU"/>
        </w:rPr>
        <w:lastRenderedPageBreak/>
        <w:t xml:space="preserve">circumstances. One participant noted that </w:t>
      </w:r>
      <w:proofErr w:type="spellStart"/>
      <w:r w:rsidRPr="003011A8">
        <w:rPr>
          <w:rStyle w:val="Emphasis"/>
        </w:rPr>
        <w:t>HeadtoHelp</w:t>
      </w:r>
      <w:proofErr w:type="spellEnd"/>
      <w:r w:rsidRPr="000D119D">
        <w:rPr>
          <w:lang w:val="en-AU"/>
        </w:rPr>
        <w:t xml:space="preserve"> might be useful for someone newer to the mental health system, while a couple of support people said that they would not use it for a child, however, would recommend it for an adult.</w:t>
      </w:r>
      <w:r w:rsidR="00383869">
        <w:rPr>
          <w:lang w:val="en-AU"/>
        </w:rPr>
        <w:t xml:space="preserve"> </w:t>
      </w:r>
      <w:r w:rsidR="00383869" w:rsidRPr="00F043CE">
        <w:rPr>
          <w:lang w:val="en-AU"/>
        </w:rPr>
        <w:t xml:space="preserve">A few people acknowledged that a lack of comparable options influenced their willingness to recommend </w:t>
      </w:r>
      <w:proofErr w:type="spellStart"/>
      <w:r w:rsidR="00383869" w:rsidRPr="003011A8">
        <w:rPr>
          <w:rStyle w:val="Emphasis"/>
        </w:rPr>
        <w:t>HeadtoHelp</w:t>
      </w:r>
      <w:proofErr w:type="spellEnd"/>
      <w:r w:rsidR="00383869" w:rsidRPr="00F043CE">
        <w:rPr>
          <w:i/>
          <w:iCs/>
          <w:lang w:val="en-AU"/>
        </w:rPr>
        <w:t>.</w:t>
      </w:r>
    </w:p>
    <w:p w14:paraId="2F21DA47" w14:textId="507AA804" w:rsidR="00EA611F" w:rsidRPr="000D119D" w:rsidRDefault="00BE79EA" w:rsidP="00742868">
      <w:pPr>
        <w:rPr>
          <w:lang w:val="en-AU"/>
        </w:rPr>
      </w:pPr>
      <w:r>
        <w:rPr>
          <w:lang w:val="en-AU"/>
        </w:rPr>
        <w:t>Support</w:t>
      </w:r>
      <w:r w:rsidR="00EA611F" w:rsidRPr="000D119D">
        <w:rPr>
          <w:lang w:val="en-AU"/>
        </w:rPr>
        <w:t xml:space="preserve">ers of children were the least satisfied with the service, with their satisfaction lower than that of the </w:t>
      </w:r>
      <w:r>
        <w:rPr>
          <w:lang w:val="en-AU"/>
        </w:rPr>
        <w:t>support</w:t>
      </w:r>
      <w:r w:rsidR="00EA611F" w:rsidRPr="000D119D">
        <w:rPr>
          <w:lang w:val="en-AU"/>
        </w:rPr>
        <w:t xml:space="preserve">ers of adults. This fits with the service provider feedback regarding difficulties of providing child and adolescent services within the current </w:t>
      </w:r>
      <w:r w:rsidR="003011A8" w:rsidRPr="000D119D">
        <w:rPr>
          <w:lang w:val="en-AU"/>
        </w:rPr>
        <w:t>model and</w:t>
      </w:r>
      <w:r w:rsidR="00EA611F" w:rsidRPr="000D119D">
        <w:rPr>
          <w:lang w:val="en-AU"/>
        </w:rPr>
        <w:t xml:space="preserve"> aligns with other findings in this report</w:t>
      </w:r>
      <w:r w:rsidR="00860CEE">
        <w:rPr>
          <w:lang w:val="en-AU"/>
        </w:rPr>
        <w:t>.</w:t>
      </w:r>
    </w:p>
    <w:p w14:paraId="6DC7CD5B" w14:textId="7DF8FFCF" w:rsidR="003452E0" w:rsidRPr="000D119D" w:rsidRDefault="000E5C3A" w:rsidP="00BE0860">
      <w:pPr>
        <w:pStyle w:val="Heading4"/>
        <w:rPr>
          <w:highlight w:val="yellow"/>
        </w:rPr>
      </w:pPr>
      <w:proofErr w:type="spellStart"/>
      <w:r w:rsidRPr="006C642D">
        <w:rPr>
          <w:i/>
        </w:rPr>
        <w:t>HeadtoHelp</w:t>
      </w:r>
      <w:proofErr w:type="spellEnd"/>
      <w:r w:rsidRPr="000D119D">
        <w:t xml:space="preserve"> appears to be relevant and acceptable to other diverse, minority groups</w:t>
      </w:r>
    </w:p>
    <w:p w14:paraId="5CFFAD2C" w14:textId="1CB2AB2B" w:rsidR="00221572" w:rsidRPr="000D119D" w:rsidRDefault="0061192E" w:rsidP="003452E0">
      <w:pPr>
        <w:rPr>
          <w:lang w:val="en-AU" w:eastAsia="en-AU"/>
        </w:rPr>
      </w:pPr>
      <w:r w:rsidRPr="000D119D">
        <w:rPr>
          <w:lang w:val="en-AU" w:eastAsia="en-AU"/>
        </w:rPr>
        <w:t xml:space="preserve">Limited data from the YES survey appeared to indicate that satisfaction with </w:t>
      </w:r>
      <w:proofErr w:type="spellStart"/>
      <w:r w:rsidRPr="003011A8">
        <w:rPr>
          <w:rStyle w:val="Emphasis"/>
        </w:rPr>
        <w:t>HeadtoHelp</w:t>
      </w:r>
      <w:proofErr w:type="spellEnd"/>
      <w:r w:rsidRPr="000D119D">
        <w:rPr>
          <w:lang w:val="en-AU" w:eastAsia="en-AU"/>
        </w:rPr>
        <w:t xml:space="preserve"> was lower for </w:t>
      </w:r>
      <w:r w:rsidR="00E54C4F" w:rsidRPr="000D119D">
        <w:rPr>
          <w:lang w:val="en-AU" w:eastAsia="en-AU"/>
        </w:rPr>
        <w:t xml:space="preserve">Aboriginal and Torres Strait Islander people. However, those who were interviewed indicated that </w:t>
      </w:r>
      <w:r w:rsidR="003068D3" w:rsidRPr="000D119D">
        <w:rPr>
          <w:lang w:val="en-AU" w:eastAsia="en-AU"/>
        </w:rPr>
        <w:t xml:space="preserve">they found </w:t>
      </w:r>
      <w:proofErr w:type="spellStart"/>
      <w:r w:rsidR="003068D3" w:rsidRPr="003011A8">
        <w:rPr>
          <w:rStyle w:val="Emphasis"/>
        </w:rPr>
        <w:t>HeadtoHelp</w:t>
      </w:r>
      <w:proofErr w:type="spellEnd"/>
      <w:r w:rsidR="003068D3" w:rsidRPr="000D119D">
        <w:rPr>
          <w:lang w:val="en-AU" w:eastAsia="en-AU"/>
        </w:rPr>
        <w:t xml:space="preserve"> to be culturally sensitive once they engaged with the service. </w:t>
      </w:r>
      <w:r w:rsidR="00032301" w:rsidRPr="000D119D">
        <w:rPr>
          <w:lang w:val="en-AU"/>
        </w:rPr>
        <w:t xml:space="preserve">This was also the case for other diverse, minority groups, including CALD groups and </w:t>
      </w:r>
      <w:r w:rsidR="005A6025" w:rsidRPr="000D119D">
        <w:rPr>
          <w:lang w:val="en-AU"/>
        </w:rPr>
        <w:t xml:space="preserve">the </w:t>
      </w:r>
      <w:r w:rsidR="00032301" w:rsidRPr="000D119D">
        <w:rPr>
          <w:lang w:val="en-AU"/>
        </w:rPr>
        <w:t xml:space="preserve">LGBTQI+ community. </w:t>
      </w:r>
    </w:p>
    <w:p w14:paraId="785539A5" w14:textId="709A7EAF" w:rsidR="003E7829" w:rsidRPr="000D119D" w:rsidRDefault="00C523E2" w:rsidP="00BE0860">
      <w:pPr>
        <w:pStyle w:val="Heading4"/>
      </w:pPr>
      <w:r w:rsidRPr="000D119D">
        <w:t xml:space="preserve">Timeliness and staff competence and personal qualities were the </w:t>
      </w:r>
      <w:proofErr w:type="gramStart"/>
      <w:r w:rsidR="00A03794" w:rsidRPr="000D119D">
        <w:t>most commonly cited</w:t>
      </w:r>
      <w:proofErr w:type="gramEnd"/>
      <w:r w:rsidR="00A03794" w:rsidRPr="000D119D">
        <w:t xml:space="preserve"> </w:t>
      </w:r>
      <w:r w:rsidR="00EE20D3" w:rsidRPr="000D119D">
        <w:t xml:space="preserve">factors in </w:t>
      </w:r>
      <w:r w:rsidR="00E4679D" w:rsidRPr="000D119D">
        <w:t>determining</w:t>
      </w:r>
      <w:r w:rsidR="00EE20D3" w:rsidRPr="000D119D">
        <w:t xml:space="preserve"> a positive experience with </w:t>
      </w:r>
      <w:proofErr w:type="spellStart"/>
      <w:r w:rsidR="00EE20D3" w:rsidRPr="006C642D">
        <w:rPr>
          <w:i/>
        </w:rPr>
        <w:t>HeadtoHelp</w:t>
      </w:r>
      <w:proofErr w:type="spellEnd"/>
    </w:p>
    <w:p w14:paraId="202A4836" w14:textId="10689933" w:rsidR="0073449D" w:rsidRPr="000D119D" w:rsidRDefault="0073449D" w:rsidP="0073449D">
      <w:pPr>
        <w:rPr>
          <w:lang w:val="en-AU"/>
        </w:rPr>
      </w:pPr>
      <w:r w:rsidRPr="000D119D">
        <w:rPr>
          <w:lang w:val="en-AU"/>
        </w:rPr>
        <w:t>Important features that determined participant satisfaction with their experiences are described below</w:t>
      </w:r>
      <w:r>
        <w:rPr>
          <w:rStyle w:val="FootnoteReference"/>
          <w:lang w:val="en-AU"/>
        </w:rPr>
        <w:footnoteReference w:id="70"/>
      </w:r>
      <w:r w:rsidRPr="000D119D">
        <w:rPr>
          <w:lang w:val="en-AU"/>
        </w:rPr>
        <w:t>.</w:t>
      </w:r>
      <w:r>
        <w:rPr>
          <w:lang w:val="en-AU"/>
        </w:rPr>
        <w:t xml:space="preserve"> </w:t>
      </w:r>
      <w:r w:rsidR="003011A8" w:rsidRPr="000D119D">
        <w:rPr>
          <w:lang w:val="en-AU"/>
        </w:rPr>
        <w:t>YES,</w:t>
      </w:r>
      <w:r w:rsidRPr="000D119D">
        <w:rPr>
          <w:lang w:val="en-AU"/>
        </w:rPr>
        <w:t xml:space="preserve"> survey data is included</w:t>
      </w:r>
      <w:r>
        <w:rPr>
          <w:lang w:val="en-AU"/>
        </w:rPr>
        <w:t xml:space="preserve"> where relevant. </w:t>
      </w:r>
    </w:p>
    <w:p w14:paraId="2F926C70" w14:textId="42C567CD" w:rsidR="00742868" w:rsidRPr="000D119D" w:rsidRDefault="00742868" w:rsidP="00E457E2">
      <w:pPr>
        <w:pStyle w:val="ListBullet"/>
      </w:pPr>
      <w:r w:rsidRPr="000D119D">
        <w:rPr>
          <w:rFonts w:asciiTheme="majorHAnsi" w:hAnsiTheme="majorHAnsi" w:cstheme="majorHAnsi"/>
        </w:rPr>
        <w:t>Staff competence and personal qualities</w:t>
      </w:r>
      <w:r w:rsidRPr="000D119D">
        <w:t xml:space="preserve">. It was extremely clear that the qualities of individual clinicians and participants’ interactions with them was of primary importance to people’s experiences. This was implied in nearly every story and the personal qualities highlighted included competence, professionalism, empathy, </w:t>
      </w:r>
      <w:proofErr w:type="gramStart"/>
      <w:r w:rsidRPr="000D119D">
        <w:t>kind</w:t>
      </w:r>
      <w:r w:rsidR="006C642D">
        <w:t>n</w:t>
      </w:r>
      <w:r w:rsidRPr="000D119D">
        <w:t>ess</w:t>
      </w:r>
      <w:proofErr w:type="gramEnd"/>
      <w:r w:rsidRPr="000D119D">
        <w:t xml:space="preserve"> and respect. Empathy was valued highly</w:t>
      </w:r>
      <w:r w:rsidR="00955B53">
        <w:t>,</w:t>
      </w:r>
      <w:r w:rsidRPr="000D119D">
        <w:t xml:space="preserve"> and people appreciated the opportunity to talk to someone and feel they were ‘heard and not judged.’ Often people were not only describing their psychologist or clinician, but also the person who spoke to them at intake or </w:t>
      </w:r>
      <w:proofErr w:type="spellStart"/>
      <w:r w:rsidRPr="000D119D">
        <w:t>organised</w:t>
      </w:r>
      <w:proofErr w:type="spellEnd"/>
      <w:r w:rsidRPr="000D119D">
        <w:t xml:space="preserve"> their appointments. </w:t>
      </w:r>
      <w:r w:rsidR="003011A8" w:rsidRPr="000D119D">
        <w:t>YES,</w:t>
      </w:r>
      <w:r w:rsidRPr="000D119D">
        <w:t xml:space="preserve"> survey results showed that </w:t>
      </w:r>
      <w:proofErr w:type="gramStart"/>
      <w:r w:rsidRPr="000D119D">
        <w:t>the majority of</w:t>
      </w:r>
      <w:proofErr w:type="gramEnd"/>
      <w:r w:rsidRPr="000D119D">
        <w:t xml:space="preserve"> participants felt safe and welcome in using the services. However, there were some people who mentioned interacting exclusively with staff who were not empathetic and were perceived as lacking training and competence, appearing not to understand participants’ issues and/or making them feel uncomfortable. </w:t>
      </w:r>
      <w:r w:rsidR="00E33CEF" w:rsidRPr="00F043CE">
        <w:t xml:space="preserve">Sometimes while staff may have been generally competent, people described a poor match between themselves and a clinician, for example, if the staff member lacked training and experience with specific issues such as trauma, </w:t>
      </w:r>
      <w:proofErr w:type="gramStart"/>
      <w:r w:rsidR="00E33CEF" w:rsidRPr="00F043CE">
        <w:t>autism</w:t>
      </w:r>
      <w:proofErr w:type="gramEnd"/>
      <w:r w:rsidR="00E33CEF" w:rsidRPr="00F043CE">
        <w:t xml:space="preserve"> or substance issues. </w:t>
      </w:r>
      <w:r w:rsidR="006C10CD" w:rsidRPr="00F043CE">
        <w:t>While</w:t>
      </w:r>
      <w:r w:rsidR="006C10CD" w:rsidRPr="000D119D">
        <w:t xml:space="preserve"> </w:t>
      </w:r>
      <w:r w:rsidR="00641398">
        <w:t>the Department</w:t>
      </w:r>
      <w:r w:rsidR="00A53842" w:rsidRPr="000D119D">
        <w:t xml:space="preserve"> does not directly influence the quality of intake staff, there are levers </w:t>
      </w:r>
      <w:r w:rsidR="00641398">
        <w:t>the Department</w:t>
      </w:r>
      <w:r w:rsidR="00A53842" w:rsidRPr="000D119D">
        <w:t xml:space="preserve"> can use to e</w:t>
      </w:r>
      <w:r w:rsidR="00355ECD" w:rsidRPr="000D119D">
        <w:t xml:space="preserve">nsure the </w:t>
      </w:r>
      <w:r w:rsidR="0063381E" w:rsidRPr="000D119D">
        <w:t>quality of intake clinicians</w:t>
      </w:r>
      <w:r w:rsidR="00EA611F" w:rsidRPr="000D119D">
        <w:t xml:space="preserve"> – such as ensuring appropriate staff funding to enable </w:t>
      </w:r>
      <w:r w:rsidR="00E1547B" w:rsidRPr="000D119D">
        <w:t>hubs to hire experienced staff</w:t>
      </w:r>
      <w:r w:rsidR="0063381E" w:rsidRPr="000D119D">
        <w:t xml:space="preserve">. </w:t>
      </w:r>
    </w:p>
    <w:p w14:paraId="1F56D683" w14:textId="53D18C57" w:rsidR="00742868" w:rsidRPr="000D119D" w:rsidRDefault="00742868" w:rsidP="00E457E2">
      <w:pPr>
        <w:pStyle w:val="ListBullet"/>
      </w:pPr>
      <w:r w:rsidRPr="000D119D">
        <w:rPr>
          <w:rFonts w:asciiTheme="majorHAnsi" w:hAnsiTheme="majorHAnsi" w:cstheme="majorHAnsi"/>
        </w:rPr>
        <w:t>Timeliness</w:t>
      </w:r>
      <w:r w:rsidRPr="000D119D">
        <w:t xml:space="preserve">. </w:t>
      </w:r>
      <w:r w:rsidR="003011A8" w:rsidRPr="000D119D">
        <w:t>YES,</w:t>
      </w:r>
      <w:r w:rsidRPr="000D119D">
        <w:t xml:space="preserve"> survey results showed that around 75</w:t>
      </w:r>
      <w:r w:rsidR="001F7B01">
        <w:t xml:space="preserve"> per cent</w:t>
      </w:r>
      <w:r w:rsidRPr="000D119D">
        <w:t xml:space="preserve"> of respondents found they were usually or always able to access the service when they needed it, something that delighted and often surprised participants, as with other services they would likely have had to wait for months for a first appointment. This was a consistent and very strong theme. Most were able to see a clinician within a couple of weeks, sometimes in a matter of days. Several had resorted to contacting </w:t>
      </w:r>
      <w:proofErr w:type="spellStart"/>
      <w:r w:rsidRPr="003011A8">
        <w:rPr>
          <w:rStyle w:val="Emphasis"/>
        </w:rPr>
        <w:t>HeadtoHelp</w:t>
      </w:r>
      <w:proofErr w:type="spellEnd"/>
      <w:r w:rsidRPr="000D119D">
        <w:t xml:space="preserve"> after discovering that appointments for a psychologist or a community mental health team were not available for </w:t>
      </w:r>
      <w:r w:rsidRPr="00F043CE">
        <w:t xml:space="preserve">at least several months. </w:t>
      </w:r>
      <w:r w:rsidR="00D84594" w:rsidRPr="00F043CE">
        <w:t xml:space="preserve">Some participants, however, reported distressing delays with </w:t>
      </w:r>
      <w:proofErr w:type="spellStart"/>
      <w:r w:rsidR="00D84594" w:rsidRPr="003011A8">
        <w:rPr>
          <w:rStyle w:val="Emphasis"/>
        </w:rPr>
        <w:t>HeadtoHelp</w:t>
      </w:r>
      <w:proofErr w:type="spellEnd"/>
      <w:r w:rsidR="00D84594" w:rsidRPr="00F043CE">
        <w:t xml:space="preserve"> due to calls not being returned, appointments cancelled, or long waits for appointments at the hubs.</w:t>
      </w:r>
      <w:r w:rsidR="00D84594">
        <w:t xml:space="preserve"> </w:t>
      </w:r>
      <w:r w:rsidR="007C43A1">
        <w:t>Participant</w:t>
      </w:r>
      <w:r w:rsidRPr="000D119D">
        <w:t xml:space="preserve">s also found it important that the frequency of appointments was based on need, without long delays in between. </w:t>
      </w:r>
      <w:proofErr w:type="gramStart"/>
      <w:r w:rsidR="00BD52A8">
        <w:t>YES</w:t>
      </w:r>
      <w:proofErr w:type="gramEnd"/>
      <w:r w:rsidR="00BD52A8">
        <w:t xml:space="preserve"> survey results showed that around 75 per cent of respondents found they were usually or always able to access the service when they needed it.</w:t>
      </w:r>
    </w:p>
    <w:p w14:paraId="0FADDCEE" w14:textId="770B14AB" w:rsidR="004366EF" w:rsidRPr="000D119D" w:rsidRDefault="004366EF" w:rsidP="00E457E2">
      <w:pPr>
        <w:pStyle w:val="ListBullet"/>
      </w:pPr>
      <w:r w:rsidRPr="000D119D">
        <w:rPr>
          <w:rFonts w:asciiTheme="majorHAnsi" w:hAnsiTheme="majorHAnsi" w:cstheme="majorHAnsi"/>
        </w:rPr>
        <w:lastRenderedPageBreak/>
        <w:t>Cost</w:t>
      </w:r>
      <w:r w:rsidRPr="000D119D">
        <w:t>. The fact that services were provide free of charge was important to most people</w:t>
      </w:r>
      <w:r>
        <w:t xml:space="preserve">. </w:t>
      </w:r>
      <w:r w:rsidRPr="000D119D">
        <w:t xml:space="preserve">For some, the free service was the deciding factor in whether they would seek help or not. </w:t>
      </w:r>
      <w:proofErr w:type="gramStart"/>
      <w:r>
        <w:t>A number of</w:t>
      </w:r>
      <w:proofErr w:type="gramEnd"/>
      <w:r>
        <w:t xml:space="preserve"> people</w:t>
      </w:r>
      <w:r w:rsidRPr="000D119D">
        <w:t xml:space="preserve"> mentioned that a critical feature was having services for as long as needed rather than being limited to six or eight appointments</w:t>
      </w:r>
      <w:r>
        <w:t xml:space="preserve"> or therefore perhaps being withdrawn before they were ready</w:t>
      </w:r>
      <w:r w:rsidRPr="000D119D">
        <w:t xml:space="preserve">, as would be the case with a mental health plan. Participants also found it important that </w:t>
      </w:r>
      <w:proofErr w:type="spellStart"/>
      <w:r w:rsidRPr="003011A8">
        <w:rPr>
          <w:rStyle w:val="Emphasis"/>
        </w:rPr>
        <w:t>HeadtoHelp</w:t>
      </w:r>
      <w:proofErr w:type="spellEnd"/>
      <w:r w:rsidRPr="000D119D">
        <w:t xml:space="preserve"> took their financial status into account when making tailored referrals.</w:t>
      </w:r>
    </w:p>
    <w:p w14:paraId="25D5C12C" w14:textId="50412EAD" w:rsidR="00162D29" w:rsidRPr="000D119D" w:rsidRDefault="004366EF" w:rsidP="00E457E2">
      <w:pPr>
        <w:pStyle w:val="ListBullet"/>
      </w:pPr>
      <w:r w:rsidRPr="000D119D">
        <w:rPr>
          <w:rFonts w:asciiTheme="majorHAnsi" w:hAnsiTheme="majorHAnsi" w:cstheme="majorHAnsi"/>
        </w:rPr>
        <w:t>Client-</w:t>
      </w:r>
      <w:proofErr w:type="spellStart"/>
      <w:r>
        <w:rPr>
          <w:rFonts w:asciiTheme="majorHAnsi" w:hAnsiTheme="majorHAnsi" w:cstheme="majorHAnsi"/>
        </w:rPr>
        <w:t>centredness</w:t>
      </w:r>
      <w:proofErr w:type="spellEnd"/>
      <w:r>
        <w:rPr>
          <w:rFonts w:asciiTheme="majorHAnsi" w:hAnsiTheme="majorHAnsi" w:cstheme="majorHAnsi"/>
        </w:rPr>
        <w:t xml:space="preserve"> </w:t>
      </w:r>
      <w:r w:rsidRPr="000D119D">
        <w:rPr>
          <w:rFonts w:asciiTheme="majorHAnsi" w:hAnsiTheme="majorHAnsi" w:cstheme="majorHAnsi"/>
        </w:rPr>
        <w:t>(41)</w:t>
      </w:r>
      <w:r w:rsidRPr="000D119D">
        <w:t xml:space="preserve">. One of the other things that were most appreciated by participants was </w:t>
      </w:r>
      <w:r>
        <w:t xml:space="preserve">when a </w:t>
      </w:r>
      <w:r w:rsidRPr="000D119D">
        <w:t>client-centric approach</w:t>
      </w:r>
      <w:r>
        <w:t xml:space="preserve"> was</w:t>
      </w:r>
      <w:r w:rsidRPr="000D119D">
        <w:t xml:space="preserve"> taken by the </w:t>
      </w:r>
      <w:proofErr w:type="spellStart"/>
      <w:r w:rsidRPr="003011A8">
        <w:rPr>
          <w:rStyle w:val="Emphasis"/>
        </w:rPr>
        <w:t>HeadtoHelp</w:t>
      </w:r>
      <w:proofErr w:type="spellEnd"/>
      <w:r w:rsidRPr="000D119D">
        <w:t xml:space="preserve"> hub workers. Examples of client-</w:t>
      </w:r>
      <w:proofErr w:type="spellStart"/>
      <w:r>
        <w:t>centredness</w:t>
      </w:r>
      <w:proofErr w:type="spellEnd"/>
      <w:r w:rsidRPr="000D119D">
        <w:t xml:space="preserve"> included:</w:t>
      </w:r>
    </w:p>
    <w:p w14:paraId="2D18868B" w14:textId="17D5C368" w:rsidR="00742868" w:rsidRPr="00E457E2" w:rsidRDefault="001F7B01" w:rsidP="00E457E2">
      <w:pPr>
        <w:pStyle w:val="ListBullet2"/>
      </w:pPr>
      <w:r>
        <w:t>c</w:t>
      </w:r>
      <w:r w:rsidR="00742868" w:rsidRPr="000D119D">
        <w:t>hoice ar</w:t>
      </w:r>
      <w:r w:rsidR="00742868" w:rsidRPr="00E457E2">
        <w:t xml:space="preserve">ound which therapist they saw and/or the option to change therapists if they </w:t>
      </w:r>
      <w:r w:rsidRPr="00E457E2">
        <w:t>were not</w:t>
      </w:r>
      <w:r w:rsidR="00742868" w:rsidRPr="00E457E2">
        <w:t xml:space="preserve"> suitable</w:t>
      </w:r>
    </w:p>
    <w:p w14:paraId="20EE476F" w14:textId="48038C45" w:rsidR="00742868" w:rsidRPr="00E457E2" w:rsidRDefault="001F7B01" w:rsidP="00E457E2">
      <w:pPr>
        <w:pStyle w:val="ListBullet2"/>
      </w:pPr>
      <w:r w:rsidRPr="00E457E2">
        <w:t>c</w:t>
      </w:r>
      <w:r w:rsidR="00742868" w:rsidRPr="00E457E2">
        <w:t>hoice around face to face, phone or zoom sessions</w:t>
      </w:r>
    </w:p>
    <w:p w14:paraId="703724FE" w14:textId="443EC35C" w:rsidR="00742868" w:rsidRPr="00E457E2" w:rsidRDefault="001F7B01" w:rsidP="00E457E2">
      <w:pPr>
        <w:pStyle w:val="ListBullet2"/>
      </w:pPr>
      <w:r w:rsidRPr="00E457E2">
        <w:t>t</w:t>
      </w:r>
      <w:r w:rsidR="00742868" w:rsidRPr="00E457E2">
        <w:t>he length and frequency of services being determined by need, rather than pre-defined criteria</w:t>
      </w:r>
    </w:p>
    <w:p w14:paraId="0E9322E8" w14:textId="46A3EF19" w:rsidR="00742868" w:rsidRPr="00E457E2" w:rsidRDefault="001F7B01" w:rsidP="00E457E2">
      <w:pPr>
        <w:pStyle w:val="ListBullet2"/>
      </w:pPr>
      <w:r w:rsidRPr="00E457E2">
        <w:t>e</w:t>
      </w:r>
      <w:r w:rsidR="00742868" w:rsidRPr="00E457E2">
        <w:t>nough time to explain themselves and their needs</w:t>
      </w:r>
    </w:p>
    <w:p w14:paraId="3DAED0DC" w14:textId="1F83196E" w:rsidR="00742868" w:rsidRPr="00E457E2" w:rsidRDefault="001F7B01" w:rsidP="00E457E2">
      <w:pPr>
        <w:pStyle w:val="ListBullet2"/>
      </w:pPr>
      <w:r w:rsidRPr="00E457E2">
        <w:t>h</w:t>
      </w:r>
      <w:r w:rsidR="00742868" w:rsidRPr="00E457E2">
        <w:t>aving a flexible and accommodating booking service to suit the participant’s schedule</w:t>
      </w:r>
    </w:p>
    <w:p w14:paraId="768F52B3" w14:textId="7681AACB" w:rsidR="00742868" w:rsidRPr="00E457E2" w:rsidRDefault="001F7B01" w:rsidP="00E457E2">
      <w:pPr>
        <w:pStyle w:val="ListBullet2"/>
      </w:pPr>
      <w:r w:rsidRPr="00E457E2">
        <w:t>g</w:t>
      </w:r>
      <w:r w:rsidR="00742868" w:rsidRPr="00E457E2">
        <w:t>oing ‘above and beyond’ their assigned duties, such as spending extra time with participants outside appointments</w:t>
      </w:r>
    </w:p>
    <w:p w14:paraId="1BA36B2F" w14:textId="14A67738" w:rsidR="00742868" w:rsidRPr="00E457E2" w:rsidRDefault="001F7B01" w:rsidP="00E457E2">
      <w:pPr>
        <w:pStyle w:val="ListBullet2"/>
      </w:pPr>
      <w:r w:rsidRPr="00E457E2">
        <w:t>f</w:t>
      </w:r>
      <w:r w:rsidR="00742868" w:rsidRPr="00E457E2">
        <w:t xml:space="preserve">ocusing on what the participant wanted to work on and </w:t>
      </w:r>
      <w:r w:rsidR="003011A8" w:rsidRPr="00E457E2">
        <w:t>achieve and</w:t>
      </w:r>
      <w:r w:rsidR="00742868" w:rsidRPr="00E457E2">
        <w:t xml:space="preserve"> asking for feedback to improve the process. </w:t>
      </w:r>
    </w:p>
    <w:p w14:paraId="607297D6" w14:textId="77777777" w:rsidR="00742868" w:rsidRPr="00E457E2" w:rsidRDefault="00742868" w:rsidP="00E457E2">
      <w:r w:rsidRPr="000D119D">
        <w:t>The YES survey found that it was important to people that they were able to make decisions around their treatment and that these d</w:t>
      </w:r>
      <w:r w:rsidRPr="00E457E2">
        <w:t>ecisions were respected.</w:t>
      </w:r>
    </w:p>
    <w:p w14:paraId="4C2B6399" w14:textId="2737DFAF" w:rsidR="00742868" w:rsidRPr="000D119D" w:rsidRDefault="003E7829" w:rsidP="00E457E2">
      <w:r w:rsidRPr="00E457E2">
        <w:rPr>
          <w:noProof/>
        </w:rPr>
        <mc:AlternateContent>
          <mc:Choice Requires="wps">
            <w:drawing>
              <wp:anchor distT="0" distB="0" distL="114300" distR="114300" simplePos="0" relativeHeight="251582464" behindDoc="0" locked="0" layoutInCell="1" allowOverlap="1" wp14:anchorId="53108A48" wp14:editId="7AB64DA6">
                <wp:simplePos x="0" y="0"/>
                <wp:positionH relativeFrom="column">
                  <wp:posOffset>4144465</wp:posOffset>
                </wp:positionH>
                <wp:positionV relativeFrom="paragraph">
                  <wp:posOffset>1340882</wp:posOffset>
                </wp:positionV>
                <wp:extent cx="1487170" cy="1623695"/>
                <wp:effectExtent l="0" t="0" r="0" b="0"/>
                <wp:wrapSquare wrapText="bothSides"/>
                <wp:docPr id="55" name="Text Box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87170" cy="162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CECED2" w14:textId="5138695F" w:rsidR="00742868" w:rsidRPr="003011A8" w:rsidRDefault="00742868" w:rsidP="00742868">
                            <w:pPr>
                              <w:pStyle w:val="Callout"/>
                              <w:rPr>
                                <w:color w:val="0070C0"/>
                              </w:rPr>
                            </w:pPr>
                            <w:proofErr w:type="gramStart"/>
                            <w:r w:rsidRPr="00C72099">
                              <w:rPr>
                                <w:color w:val="0070C0"/>
                              </w:rPr>
                              <w:t>”If</w:t>
                            </w:r>
                            <w:proofErr w:type="gramEnd"/>
                            <w:r w:rsidRPr="00C72099">
                              <w:rPr>
                                <w:color w:val="0070C0"/>
                              </w:rPr>
                              <w:t xml:space="preserve"> I want to talk about my Aboriginality, they’re fine with that but they don’t bring it up unless you want to, which is good.” – </w:t>
                            </w:r>
                            <w:r w:rsidR="007C43A1">
                              <w:rPr>
                                <w:i/>
                                <w:color w:val="0070C0"/>
                              </w:rPr>
                              <w:t>Participant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108A48" id="Text Box 55" o:spid="_x0000_s1033" type="#_x0000_t202" alt="&quot;&quot;" style="position:absolute;margin-left:326.35pt;margin-top:105.6pt;width:117.1pt;height:127.8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" fillcolor="white [3201]" stroked="f" strokeweight=".5pt">
                <v:textbox inset="0,,1mm">
                  <w:txbxContent>
                    <w:p w14:paraId="04CECED2" w14:textId="5138695F" w:rsidR="00742868" w:rsidRPr="003011A8" w:rsidRDefault="00742868" w:rsidP="00742868">
                      <w:pPr>
                        <w:pStyle w:val="Callout"/>
                        <w:rPr>
                          <w:color w:val="0070C0"/>
                        </w:rPr>
                      </w:pPr>
                      <w:proofErr w:type="gramStart"/>
                      <w:r w:rsidRPr="00C72099">
                        <w:rPr>
                          <w:color w:val="0070C0"/>
                        </w:rPr>
                        <w:t>”If</w:t>
                      </w:r>
                      <w:proofErr w:type="gramEnd"/>
                      <w:r w:rsidRPr="00C72099">
                        <w:rPr>
                          <w:color w:val="0070C0"/>
                        </w:rPr>
                        <w:t xml:space="preserve"> I want to talk about my Aboriginality, they’re fine with that but they don’t bring it up unless you want to, which is good.” – </w:t>
                      </w:r>
                      <w:r w:rsidR="007C43A1">
                        <w:rPr>
                          <w:i/>
                          <w:color w:val="0070C0"/>
                        </w:rPr>
                        <w:t>Participant</w:t>
                      </w:r>
                    </w:p>
                  </w:txbxContent>
                </v:textbox>
                <w10:wrap type="square"/>
              </v:shape>
            </w:pict>
          </mc:Fallback>
        </mc:AlternateContent>
      </w:r>
      <w:r w:rsidR="00742868" w:rsidRPr="00E457E2">
        <w:t xml:space="preserve">While most participants were happy with the </w:t>
      </w:r>
      <w:r w:rsidR="00601722" w:rsidRPr="00E457E2">
        <w:t>client-</w:t>
      </w:r>
      <w:proofErr w:type="spellStart"/>
      <w:r w:rsidR="00BB6F5F" w:rsidRPr="00E457E2">
        <w:t>centredness</w:t>
      </w:r>
      <w:proofErr w:type="spellEnd"/>
      <w:r w:rsidR="00742868" w:rsidRPr="00E457E2">
        <w:t xml:space="preserve"> of the service, some reported negative experiences, including clinicians asking situation-inappropriate questions and not engaging in appropriate language; experiencing difficulties and system problems with booking appointments and not being able to find appropriate times </w:t>
      </w:r>
      <w:r w:rsidR="00D4092A" w:rsidRPr="00E457E2">
        <w:t>(</w:t>
      </w:r>
      <w:r w:rsidR="00742868" w:rsidRPr="00E457E2">
        <w:t>e.g., weekends</w:t>
      </w:r>
      <w:r w:rsidR="00D4092A" w:rsidRPr="00E457E2">
        <w:t>)</w:t>
      </w:r>
      <w:r w:rsidR="00742868" w:rsidRPr="00E457E2">
        <w:t xml:space="preserve"> to fit into their schedule. Some people also reported not having enough information to </w:t>
      </w:r>
      <w:proofErr w:type="gramStart"/>
      <w:r w:rsidR="00742868" w:rsidRPr="00E457E2">
        <w:t>make a decision</w:t>
      </w:r>
      <w:proofErr w:type="gramEnd"/>
      <w:r w:rsidR="00742868" w:rsidRPr="00E457E2">
        <w:t xml:space="preserve"> on which therapist to select and others felt uncomfortable to ask for a different therapist or type of professional. The YES survey</w:t>
      </w:r>
      <w:r w:rsidR="00742868" w:rsidRPr="000D119D">
        <w:t xml:space="preserve"> indicated that whilst nearly all participants felt that their right to make decisions was respected, only 66.1</w:t>
      </w:r>
      <w:r w:rsidR="00D4092A">
        <w:t xml:space="preserve"> per cent</w:t>
      </w:r>
      <w:r w:rsidR="00742868" w:rsidRPr="000D119D">
        <w:t xml:space="preserve"> reported that their treatment plan took all their needs into account.</w:t>
      </w:r>
    </w:p>
    <w:p w14:paraId="3798C491" w14:textId="7760C187" w:rsidR="00742868" w:rsidRPr="000D119D" w:rsidRDefault="00742868" w:rsidP="00E457E2">
      <w:pPr>
        <w:pStyle w:val="ListBullet"/>
      </w:pPr>
      <w:r w:rsidRPr="000D119D">
        <w:rPr>
          <w:rFonts w:asciiTheme="majorHAnsi" w:hAnsiTheme="majorHAnsi" w:cstheme="majorHAnsi"/>
        </w:rPr>
        <w:t>Responsiveness to diversity</w:t>
      </w:r>
      <w:r w:rsidRPr="000D119D">
        <w:t xml:space="preserve">. </w:t>
      </w:r>
      <w:r w:rsidR="006341C8" w:rsidRPr="000D119D">
        <w:t xml:space="preserve">Almost all participants from diverse backgrounds felt that their cultural background was respected in all their interactions with </w:t>
      </w:r>
      <w:proofErr w:type="spellStart"/>
      <w:r w:rsidR="006341C8" w:rsidRPr="003011A8">
        <w:rPr>
          <w:rStyle w:val="Emphasis"/>
        </w:rPr>
        <w:t>HeadtoHelp</w:t>
      </w:r>
      <w:proofErr w:type="spellEnd"/>
      <w:r w:rsidR="006341C8" w:rsidRPr="000D119D">
        <w:t xml:space="preserve">, even if their cultural heritage was not specifically mentioned or discussed in detail. One participant highlighted the importance of making space for conversations </w:t>
      </w:r>
      <w:r w:rsidR="006341C8">
        <w:t>around</w:t>
      </w:r>
      <w:r w:rsidR="006341C8" w:rsidRPr="000D119D">
        <w:t xml:space="preserve"> cultural identity and </w:t>
      </w:r>
      <w:r w:rsidR="003011A8" w:rsidRPr="000D119D">
        <w:t>heritage but</w:t>
      </w:r>
      <w:r w:rsidR="006341C8" w:rsidRPr="000D119D">
        <w:t xml:space="preserve"> allowing the </w:t>
      </w:r>
      <w:r w:rsidR="006341C8">
        <w:t>participant</w:t>
      </w:r>
      <w:r w:rsidR="006341C8" w:rsidRPr="000D119D">
        <w:t xml:space="preserve"> to raise these issues and direct the conversation, rather than asking pointed questions. Some of the specific strategies that were noted as demonstrating awareness and respect for cultural diversity included: performing an Acknowledgement of Country during counselling sessions, offering access to an Aboriginal and Torres Strait Islander service provider, or asking for a person’s preferences in relation to service provider (e.g., gender). A few Aboriginal and culturally diverse participants commented on the benefit of having a service provider from a similar background</w:t>
      </w:r>
      <w:r w:rsidR="006341C8">
        <w:t>, though this was sometimes not possible</w:t>
      </w:r>
      <w:r w:rsidR="006341C8" w:rsidRPr="000D119D">
        <w:t>.</w:t>
      </w:r>
    </w:p>
    <w:p w14:paraId="16416027" w14:textId="55ED407E" w:rsidR="005E70A3" w:rsidRDefault="00742868" w:rsidP="00E457E2">
      <w:pPr>
        <w:pStyle w:val="ListBullet"/>
      </w:pPr>
      <w:r w:rsidRPr="000D119D">
        <w:rPr>
          <w:rFonts w:asciiTheme="majorHAnsi" w:hAnsiTheme="majorHAnsi" w:cstheme="majorHAnsi"/>
        </w:rPr>
        <w:t>Proactive communication and follow up</w:t>
      </w:r>
      <w:r w:rsidRPr="000D119D">
        <w:t xml:space="preserve">. Participants really appreciated when </w:t>
      </w:r>
      <w:proofErr w:type="spellStart"/>
      <w:r w:rsidRPr="003011A8">
        <w:rPr>
          <w:rStyle w:val="Emphasis"/>
        </w:rPr>
        <w:t>HeadtoHelp</w:t>
      </w:r>
      <w:proofErr w:type="spellEnd"/>
      <w:r w:rsidRPr="000D119D">
        <w:t xml:space="preserve"> staff followed-up with them proactively to see how they were getting along, or to check on them if they missed appointments. This kept them engaged with the service and made them feel supported. However, other participants reported the opposite experience, where staff failed to </w:t>
      </w:r>
      <w:r w:rsidRPr="000D119D">
        <w:lastRenderedPageBreak/>
        <w:t xml:space="preserve">return calls or contact them in agreed-upon timeframes and did not follow up with or check in on people. Participants who had disengaged from the service due to worsening mental health issues reflected that they would have liked some follow up. Other communication issues included lack of clarity around treatment timeframes, lack of communication during waiting periods </w:t>
      </w:r>
      <w:r w:rsidR="006341C8">
        <w:t>and services</w:t>
      </w:r>
      <w:r w:rsidR="006341C8" w:rsidRPr="000D119D">
        <w:t xml:space="preserve"> </w:t>
      </w:r>
      <w:r w:rsidRPr="000D119D">
        <w:t>finishing before the person was ready with no other support in place.</w:t>
      </w:r>
    </w:p>
    <w:p w14:paraId="2668A391" w14:textId="77777777" w:rsidR="003011A8" w:rsidRPr="003011A8" w:rsidRDefault="003011A8" w:rsidP="003011A8">
      <w:pPr>
        <w:pStyle w:val="Heading4"/>
      </w:pPr>
      <w:proofErr w:type="spellStart"/>
      <w:r w:rsidRPr="003011A8">
        <w:rPr>
          <w:rStyle w:val="Emphasis"/>
        </w:rPr>
        <w:t>HeadtoHelp</w:t>
      </w:r>
      <w:proofErr w:type="spellEnd"/>
      <w:r w:rsidRPr="003011A8">
        <w:t xml:space="preserve"> overall service ratings are high, but do not stand out compared to other state services</w:t>
      </w:r>
    </w:p>
    <w:p w14:paraId="1757C0BA" w14:textId="77777777" w:rsidR="003011A8" w:rsidRPr="000D119D" w:rsidRDefault="003011A8" w:rsidP="003011A8">
      <w:pPr>
        <w:pStyle w:val="ListBullet"/>
        <w:numPr>
          <w:ilvl w:val="0"/>
          <w:numId w:val="0"/>
        </w:numPr>
      </w:pPr>
      <w:r w:rsidRPr="000D119D">
        <w:t xml:space="preserve">To provide some perspective, a comparison of </w:t>
      </w:r>
      <w:proofErr w:type="spellStart"/>
      <w:r w:rsidRPr="003011A8">
        <w:rPr>
          <w:rStyle w:val="Emphasis"/>
        </w:rPr>
        <w:t>HeadtoHelp</w:t>
      </w:r>
      <w:proofErr w:type="spellEnd"/>
      <w:r w:rsidRPr="000D119D">
        <w:t xml:space="preserve"> participant ratings of “How would you rate your experience with this service in the last </w:t>
      </w:r>
      <w:r>
        <w:t>three</w:t>
      </w:r>
      <w:r w:rsidRPr="000D119D">
        <w:t xml:space="preserve"> months or less?” has been compared to YES survey results for the same question for </w:t>
      </w:r>
      <w:r>
        <w:t>four</w:t>
      </w:r>
      <w:r w:rsidRPr="000D119D">
        <w:t xml:space="preserve"> state services. The graph below shows the percentage of participants who responded “very good” or “excellent” to the question. </w:t>
      </w:r>
    </w:p>
    <w:p w14:paraId="09D003B5" w14:textId="61C7B427" w:rsidR="003011A8" w:rsidRDefault="003011A8" w:rsidP="003011A8">
      <w:pPr>
        <w:pStyle w:val="Caption"/>
      </w:pPr>
      <w:r>
        <w:t xml:space="preserve">Figure </w:t>
      </w:r>
      <w:r>
        <w:fldChar w:fldCharType="begin"/>
      </w:r>
      <w:r>
        <w:instrText xml:space="preserve"> SEQ Figure \* ARABIC </w:instrText>
      </w:r>
      <w:r>
        <w:fldChar w:fldCharType="separate"/>
      </w:r>
      <w:r>
        <w:rPr>
          <w:noProof/>
        </w:rPr>
        <w:t>37</w:t>
      </w:r>
      <w:r>
        <w:fldChar w:fldCharType="end"/>
      </w:r>
      <w:r>
        <w:t xml:space="preserve"> | Comparison of </w:t>
      </w:r>
      <w:proofErr w:type="spellStart"/>
      <w:r w:rsidRPr="00F12039">
        <w:rPr>
          <w:i/>
        </w:rPr>
        <w:t>HeadtoHel</w:t>
      </w:r>
      <w:r>
        <w:rPr>
          <w:i/>
        </w:rPr>
        <w:t>p</w:t>
      </w:r>
      <w:proofErr w:type="spellEnd"/>
      <w:r>
        <w:t xml:space="preserve"> service ratings with other state services</w:t>
      </w:r>
    </w:p>
    <w:p w14:paraId="4C30DD8C" w14:textId="5A5ED175" w:rsidR="003011A8" w:rsidRDefault="003011A8" w:rsidP="003011A8">
      <w:r w:rsidRPr="000D119D">
        <w:rPr>
          <w:noProof/>
        </w:rPr>
        <w:drawing>
          <wp:inline distT="0" distB="0" distL="0" distR="0" wp14:anchorId="029658A3" wp14:editId="33526995">
            <wp:extent cx="4184439" cy="2596704"/>
            <wp:effectExtent l="0" t="0" r="6985" b="0"/>
            <wp:docPr id="28160" name="Picture 28160" descr="Figure 37 is a horzontial bar graph showing the comparison of Head to Health service ratings with other stat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0" name="Picture 28160" descr="Figure 37 is a horzontial bar graph showing the comparison of Head to Health service ratings with other state service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184439" cy="2596704"/>
                    </a:xfrm>
                    <a:prstGeom prst="rect">
                      <a:avLst/>
                    </a:prstGeom>
                  </pic:spPr>
                </pic:pic>
              </a:graphicData>
            </a:graphic>
          </wp:inline>
        </w:drawing>
      </w:r>
    </w:p>
    <w:p w14:paraId="45700230" w14:textId="7510D5AF" w:rsidR="003011A8" w:rsidRPr="003011A8" w:rsidRDefault="003011A8" w:rsidP="003011A8">
      <w:r w:rsidRPr="000D119D">
        <w:rPr>
          <w:bCs/>
        </w:rPr>
        <w:t xml:space="preserve">This comparison shows that </w:t>
      </w:r>
      <w:proofErr w:type="spellStart"/>
      <w:r w:rsidRPr="003011A8">
        <w:rPr>
          <w:rStyle w:val="Emphasis"/>
        </w:rPr>
        <w:t>HeadtoHelp</w:t>
      </w:r>
      <w:proofErr w:type="spellEnd"/>
      <w:r w:rsidRPr="000D119D">
        <w:rPr>
          <w:bCs/>
        </w:rPr>
        <w:t xml:space="preserve"> service ratings are </w:t>
      </w:r>
      <w:proofErr w:type="gramStart"/>
      <w:r w:rsidRPr="000D119D">
        <w:rPr>
          <w:bCs/>
        </w:rPr>
        <w:t>fairly high</w:t>
      </w:r>
      <w:proofErr w:type="gramEnd"/>
      <w:r w:rsidRPr="000D119D">
        <w:rPr>
          <w:bCs/>
        </w:rPr>
        <w:t xml:space="preserve"> at 66</w:t>
      </w:r>
      <w:r>
        <w:rPr>
          <w:bCs/>
        </w:rPr>
        <w:t xml:space="preserve"> per cent</w:t>
      </w:r>
      <w:r w:rsidRPr="000D119D">
        <w:rPr>
          <w:bCs/>
        </w:rPr>
        <w:t xml:space="preserve"> but slightly lower than for those reported in other surveys, particularly when compared to community-based services, reported separately in WA and NSW. Further to this, 19</w:t>
      </w:r>
      <w:r>
        <w:rPr>
          <w:bCs/>
        </w:rPr>
        <w:t xml:space="preserve"> per cent</w:t>
      </w:r>
      <w:r w:rsidRPr="000D119D">
        <w:rPr>
          <w:bCs/>
        </w:rPr>
        <w:t xml:space="preserve"> of </w:t>
      </w:r>
      <w:proofErr w:type="spellStart"/>
      <w:r w:rsidRPr="00C458AF">
        <w:rPr>
          <w:rStyle w:val="Emphasis"/>
        </w:rPr>
        <w:t>HeadtoHelp</w:t>
      </w:r>
      <w:proofErr w:type="spellEnd"/>
      <w:r w:rsidRPr="000D119D">
        <w:rPr>
          <w:bCs/>
        </w:rPr>
        <w:t xml:space="preserve"> clients rated their service experience as poor, whereas this was only </w:t>
      </w:r>
      <w:r>
        <w:rPr>
          <w:bCs/>
        </w:rPr>
        <w:t>four per cent</w:t>
      </w:r>
      <w:r w:rsidRPr="000D119D">
        <w:rPr>
          <w:bCs/>
        </w:rPr>
        <w:t xml:space="preserve"> for both QLD and NSW, and 2.7</w:t>
      </w:r>
      <w:r>
        <w:rPr>
          <w:bCs/>
        </w:rPr>
        <w:t xml:space="preserve"> per cent</w:t>
      </w:r>
      <w:r w:rsidRPr="000D119D">
        <w:rPr>
          <w:bCs/>
        </w:rPr>
        <w:t xml:space="preserve"> for WA.</w:t>
      </w:r>
    </w:p>
    <w:p w14:paraId="03B43D50" w14:textId="77777777" w:rsidR="005E2C81" w:rsidRPr="000D119D" w:rsidRDefault="005E2C81" w:rsidP="005E2C81">
      <w:pPr>
        <w:pStyle w:val="Heading3"/>
      </w:pPr>
      <w:bookmarkStart w:id="122" w:name="_Ref99609823"/>
      <w:bookmarkStart w:id="123" w:name="_Toc99650360"/>
      <w:r w:rsidRPr="000D119D">
        <w:t>Intake-specific experience</w:t>
      </w:r>
      <w:bookmarkEnd w:id="122"/>
      <w:bookmarkEnd w:id="123"/>
    </w:p>
    <w:p w14:paraId="34A0C7B5" w14:textId="494EFF47" w:rsidR="005E2C81" w:rsidRPr="000D119D" w:rsidRDefault="005E2C81" w:rsidP="00BE0860">
      <w:pPr>
        <w:pStyle w:val="Heading4"/>
      </w:pPr>
      <w:r w:rsidRPr="000D119D">
        <w:t xml:space="preserve">Participants and support people </w:t>
      </w:r>
      <w:r w:rsidR="009F3D07" w:rsidRPr="000D119D">
        <w:t>generally</w:t>
      </w:r>
      <w:r w:rsidRPr="000D119D">
        <w:t xml:space="preserve"> found the service easy to access</w:t>
      </w:r>
    </w:p>
    <w:p w14:paraId="171A3396" w14:textId="503E01DF" w:rsidR="005E2C81" w:rsidRPr="000D119D" w:rsidRDefault="005E2C81" w:rsidP="005E2C81">
      <w:pPr>
        <w:rPr>
          <w:lang w:val="en-AU"/>
        </w:rPr>
      </w:pPr>
      <w:proofErr w:type="gramStart"/>
      <w:r w:rsidRPr="000D119D">
        <w:rPr>
          <w:lang w:val="en-AU"/>
        </w:rPr>
        <w:t>The vast majority of</w:t>
      </w:r>
      <w:proofErr w:type="gramEnd"/>
      <w:r w:rsidRPr="000D119D">
        <w:rPr>
          <w:lang w:val="en-AU"/>
        </w:rPr>
        <w:t xml:space="preserve"> participants have described </w:t>
      </w:r>
      <w:proofErr w:type="spellStart"/>
      <w:r w:rsidRPr="00C458AF">
        <w:rPr>
          <w:rStyle w:val="Emphasis"/>
        </w:rPr>
        <w:t>HeadtoHelp</w:t>
      </w:r>
      <w:proofErr w:type="spellEnd"/>
      <w:r w:rsidRPr="000D119D">
        <w:rPr>
          <w:lang w:val="en-AU"/>
        </w:rPr>
        <w:t xml:space="preserve"> as very easy and straightforward to access. Most participants heard about </w:t>
      </w:r>
      <w:proofErr w:type="spellStart"/>
      <w:r w:rsidRPr="00C458AF">
        <w:rPr>
          <w:rStyle w:val="Emphasis"/>
        </w:rPr>
        <w:t>HeadtoHelp</w:t>
      </w:r>
      <w:proofErr w:type="spellEnd"/>
      <w:r w:rsidRPr="000D119D">
        <w:rPr>
          <w:lang w:val="en-AU"/>
        </w:rPr>
        <w:t xml:space="preserve"> via a cold referral (i.e., they were given the 1800 phone number to call). In considerably fewer cases did the referrer contact </w:t>
      </w:r>
      <w:proofErr w:type="spellStart"/>
      <w:r w:rsidRPr="00C458AF">
        <w:rPr>
          <w:rStyle w:val="Emphasis"/>
        </w:rPr>
        <w:t>HeadtoHelp</w:t>
      </w:r>
      <w:proofErr w:type="spellEnd"/>
      <w:r w:rsidRPr="000D119D">
        <w:rPr>
          <w:i/>
          <w:lang w:val="en-AU"/>
        </w:rPr>
        <w:t xml:space="preserve"> </w:t>
      </w:r>
      <w:r w:rsidRPr="000D119D">
        <w:rPr>
          <w:lang w:val="en-AU"/>
        </w:rPr>
        <w:t xml:space="preserve">on behalf of the participant or support person. </w:t>
      </w:r>
    </w:p>
    <w:p w14:paraId="6339CA3F" w14:textId="5CDAE76A" w:rsidR="005E2C81" w:rsidRPr="000D119D" w:rsidRDefault="006A6E93" w:rsidP="005E2C81">
      <w:pPr>
        <w:rPr>
          <w:lang w:val="en-AU"/>
        </w:rPr>
      </w:pPr>
      <w:r>
        <w:rPr>
          <w:lang w:val="en-AU"/>
        </w:rPr>
        <w:t>Twelve participants and two support people</w:t>
      </w:r>
      <w:r w:rsidR="005E2C81" w:rsidRPr="000D119D">
        <w:rPr>
          <w:lang w:val="en-AU"/>
        </w:rPr>
        <w:t xml:space="preserve"> mentioned being initially reluctant, anxious, or hesitant to call. </w:t>
      </w:r>
    </w:p>
    <w:p w14:paraId="3285D681" w14:textId="6A477C1F" w:rsidR="008F6DB6" w:rsidRPr="00F043CE" w:rsidRDefault="00CD7FCB" w:rsidP="008F6DB6">
      <w:pPr>
        <w:rPr>
          <w:lang w:val="en-AU"/>
        </w:rPr>
      </w:pPr>
      <w:r w:rsidRPr="00F043CE">
        <w:rPr>
          <w:noProof/>
          <w:lang w:val="en-AU"/>
        </w:rPr>
        <mc:AlternateContent>
          <mc:Choice Requires="wps">
            <w:drawing>
              <wp:anchor distT="0" distB="0" distL="114300" distR="114300" simplePos="0" relativeHeight="251771904" behindDoc="0" locked="0" layoutInCell="1" allowOverlap="1" wp14:anchorId="229A4745" wp14:editId="2FA2F582">
                <wp:simplePos x="0" y="0"/>
                <wp:positionH relativeFrom="column">
                  <wp:posOffset>4321285</wp:posOffset>
                </wp:positionH>
                <wp:positionV relativeFrom="paragraph">
                  <wp:posOffset>11430</wp:posOffset>
                </wp:positionV>
                <wp:extent cx="2059305" cy="1995170"/>
                <wp:effectExtent l="0" t="0" r="0" b="5080"/>
                <wp:wrapSquare wrapText="bothSides"/>
                <wp:docPr id="28163" name="Text Box 281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59305" cy="1995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8CD7E" w14:textId="77777777" w:rsidR="005E2C81" w:rsidRPr="00C72099" w:rsidRDefault="005E2C81" w:rsidP="005E2C81">
                            <w:pPr>
                              <w:pStyle w:val="Callout"/>
                              <w:rPr>
                                <w:i/>
                                <w:color w:val="0070C0"/>
                              </w:rPr>
                            </w:pPr>
                            <w:r w:rsidRPr="00C72099">
                              <w:rPr>
                                <w:color w:val="0070C0"/>
                              </w:rPr>
                              <w:t xml:space="preserve">“I think because it is a quick response and when you’re in … a crisis or when your mindset is in crisis mode, that’s really important. And often, just having someone hear you is enough to dissipate that crisis feeling and you can get more into the active space.” – </w:t>
                            </w:r>
                            <w:r w:rsidRPr="00C72099">
                              <w:rPr>
                                <w:i/>
                                <w:color w:val="0070C0"/>
                              </w:rPr>
                              <w:t>Support person</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9A4745" id="Text Box 28163" o:spid="_x0000_s1034" type="#_x0000_t202" alt="&quot;&quot;" style="position:absolute;margin-left:340.25pt;margin-top:.9pt;width:162.15pt;height:157.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" fillcolor="white [3201]" stroked="f" strokeweight=".5pt">
                <v:textbox inset="0,,1mm">
                  <w:txbxContent>
                    <w:p w14:paraId="7C38CD7E" w14:textId="77777777" w:rsidR="005E2C81" w:rsidRPr="00C72099" w:rsidRDefault="005E2C81" w:rsidP="005E2C81">
                      <w:pPr>
                        <w:pStyle w:val="Callout"/>
                        <w:rPr>
                          <w:i/>
                          <w:color w:val="0070C0"/>
                        </w:rPr>
                      </w:pPr>
                      <w:r w:rsidRPr="00C72099">
                        <w:rPr>
                          <w:color w:val="0070C0"/>
                        </w:rPr>
                        <w:t xml:space="preserve">“I think because it is a quick response and when you’re in … a crisis or when your mindset is in crisis mode, that’s really important. And often, just having someone hear you is enough to dissipate that crisis feeling and you can get more into the active space.” – </w:t>
                      </w:r>
                      <w:r w:rsidRPr="00C72099">
                        <w:rPr>
                          <w:i/>
                          <w:color w:val="0070C0"/>
                        </w:rPr>
                        <w:t>Support person</w:t>
                      </w:r>
                    </w:p>
                  </w:txbxContent>
                </v:textbox>
                <w10:wrap type="square"/>
              </v:shape>
            </w:pict>
          </mc:Fallback>
        </mc:AlternateContent>
      </w:r>
      <w:r w:rsidR="00CD3B96" w:rsidRPr="00F043CE">
        <w:rPr>
          <w:lang w:val="en-AU"/>
        </w:rPr>
        <w:t xml:space="preserve">This suggests the possibility that other people who would have benefited from </w:t>
      </w:r>
      <w:proofErr w:type="spellStart"/>
      <w:r w:rsidR="00CD3B96" w:rsidRPr="00DE4F9A">
        <w:rPr>
          <w:rStyle w:val="Emphasis"/>
        </w:rPr>
        <w:t>HeadtoHelp</w:t>
      </w:r>
      <w:proofErr w:type="spellEnd"/>
      <w:r w:rsidR="00CD3B96" w:rsidRPr="00F043CE">
        <w:rPr>
          <w:lang w:val="en-AU"/>
        </w:rPr>
        <w:t xml:space="preserve"> may not have accessed the service. </w:t>
      </w:r>
    </w:p>
    <w:p w14:paraId="5FA3FA1C" w14:textId="713A5A3B" w:rsidR="008F6DB6" w:rsidRPr="00F043CE" w:rsidRDefault="00B47ADD" w:rsidP="008F6DB6">
      <w:pPr>
        <w:rPr>
          <w:lang w:val="en-AU"/>
        </w:rPr>
      </w:pPr>
      <w:r w:rsidRPr="00F043CE">
        <w:rPr>
          <w:noProof/>
          <w:lang w:val="en-AU"/>
        </w:rPr>
        <mc:AlternateContent>
          <mc:Choice Requires="wps">
            <w:drawing>
              <wp:anchor distT="0" distB="0" distL="114300" distR="114300" simplePos="0" relativeHeight="251564032" behindDoc="0" locked="0" layoutInCell="1" allowOverlap="1" wp14:anchorId="6FB8552F" wp14:editId="68AFCC67">
                <wp:simplePos x="0" y="0"/>
                <wp:positionH relativeFrom="column">
                  <wp:posOffset>3147</wp:posOffset>
                </wp:positionH>
                <wp:positionV relativeFrom="paragraph">
                  <wp:posOffset>353281</wp:posOffset>
                </wp:positionV>
                <wp:extent cx="1423035" cy="1605915"/>
                <wp:effectExtent l="0" t="0" r="5715" b="0"/>
                <wp:wrapSquare wrapText="bothSides"/>
                <wp:docPr id="28162" name="Text Box 28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23035" cy="1605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06265" w14:textId="20D3A3BB" w:rsidR="005E2C81" w:rsidRPr="00C72099" w:rsidRDefault="005E2C81" w:rsidP="005E2C81">
                            <w:pPr>
                              <w:pStyle w:val="Callout"/>
                              <w:rPr>
                                <w:color w:val="0070C0"/>
                              </w:rPr>
                            </w:pPr>
                            <w:r w:rsidRPr="00C72099">
                              <w:rPr>
                                <w:color w:val="0070C0"/>
                              </w:rPr>
                              <w:t xml:space="preserve">“It was really straightforward. They gave me the number, I </w:t>
                            </w:r>
                            <w:proofErr w:type="gramStart"/>
                            <w:r w:rsidRPr="00C72099">
                              <w:rPr>
                                <w:color w:val="0070C0"/>
                              </w:rPr>
                              <w:t>rang</w:t>
                            </w:r>
                            <w:proofErr w:type="gramEnd"/>
                            <w:r w:rsidRPr="00C72099">
                              <w:rPr>
                                <w:color w:val="0070C0"/>
                              </w:rPr>
                              <w:t xml:space="preserve"> and I spoke to someone straightaway.” – </w:t>
                            </w:r>
                            <w:r w:rsidR="007C43A1">
                              <w:rPr>
                                <w:i/>
                                <w:color w:val="0070C0"/>
                              </w:rPr>
                              <w:t>Participant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B8552F" id="Text Box 28162" o:spid="_x0000_s1035" type="#_x0000_t202" alt="&quot;&quot;" style="position:absolute;margin-left:.25pt;margin-top:27.8pt;width:112.05pt;height:126.4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" fillcolor="white [3201]" stroked="f" strokeweight=".5pt">
                <v:textbox inset="0,,1mm">
                  <w:txbxContent>
                    <w:p w14:paraId="2A306265" w14:textId="20D3A3BB" w:rsidR="005E2C81" w:rsidRPr="00C72099" w:rsidRDefault="005E2C81" w:rsidP="005E2C81">
                      <w:pPr>
                        <w:pStyle w:val="Callout"/>
                        <w:rPr>
                          <w:color w:val="0070C0"/>
                        </w:rPr>
                      </w:pPr>
                      <w:r w:rsidRPr="00C72099">
                        <w:rPr>
                          <w:color w:val="0070C0"/>
                        </w:rPr>
                        <w:t xml:space="preserve">“It was really straightforward. They gave me the number, I </w:t>
                      </w:r>
                      <w:proofErr w:type="gramStart"/>
                      <w:r w:rsidRPr="00C72099">
                        <w:rPr>
                          <w:color w:val="0070C0"/>
                        </w:rPr>
                        <w:t>rang</w:t>
                      </w:r>
                      <w:proofErr w:type="gramEnd"/>
                      <w:r w:rsidRPr="00C72099">
                        <w:rPr>
                          <w:color w:val="0070C0"/>
                        </w:rPr>
                        <w:t xml:space="preserve"> and I spoke to someone straightaway.” – </w:t>
                      </w:r>
                      <w:r w:rsidR="007C43A1">
                        <w:rPr>
                          <w:i/>
                          <w:color w:val="0070C0"/>
                        </w:rPr>
                        <w:t>Participant</w:t>
                      </w:r>
                    </w:p>
                  </w:txbxContent>
                </v:textbox>
                <w10:wrap type="square"/>
              </v:shape>
            </w:pict>
          </mc:Fallback>
        </mc:AlternateContent>
      </w:r>
      <w:r w:rsidR="008F6DB6" w:rsidRPr="00B6253C">
        <w:rPr>
          <w:lang w:val="en-AU"/>
        </w:rPr>
        <w:t xml:space="preserve">Of </w:t>
      </w:r>
      <w:r w:rsidR="008F6DB6" w:rsidRPr="00F043CE">
        <w:rPr>
          <w:lang w:val="en-AU"/>
        </w:rPr>
        <w:t xml:space="preserve">the ten participants who had difficulty accessing the service, four from SEMPHN who called the 1800 number commented that being triaged through the central phone line added extra steps to the process of obtaining help. </w:t>
      </w:r>
      <w:r w:rsidR="008F6DB6" w:rsidRPr="00F043CE">
        <w:rPr>
          <w:lang w:val="en-AU"/>
        </w:rPr>
        <w:lastRenderedPageBreak/>
        <w:t xml:space="preserve">One of these participants mentioned being told the number they had called was for country Victoria and it is unclear what </w:t>
      </w:r>
      <w:proofErr w:type="gramStart"/>
      <w:r w:rsidR="008F6DB6" w:rsidRPr="00F043CE">
        <w:rPr>
          <w:lang w:val="en-AU"/>
        </w:rPr>
        <w:t>the end result</w:t>
      </w:r>
      <w:proofErr w:type="gramEnd"/>
      <w:r w:rsidR="008F6DB6" w:rsidRPr="00F043CE">
        <w:rPr>
          <w:lang w:val="en-AU"/>
        </w:rPr>
        <w:t xml:space="preserve"> was for the other three. The other seven participants who had difficulty accessing the service cited issues with phone calls or warm referrals not being followed up promptly or at all.</w:t>
      </w:r>
    </w:p>
    <w:p w14:paraId="30BEEE46" w14:textId="77777777" w:rsidR="008F6DB6" w:rsidRPr="000D119D" w:rsidRDefault="008F6DB6" w:rsidP="008F6DB6">
      <w:pPr>
        <w:rPr>
          <w:lang w:val="en-AU"/>
        </w:rPr>
      </w:pPr>
      <w:r w:rsidRPr="00F043CE">
        <w:rPr>
          <w:lang w:val="en-AU"/>
        </w:rPr>
        <w:t>However, overall, the use of a simple 1800 contact number was seen as a benefit. A few participants reported finding it more comfortable to contact someone they did not know to discuss their problems by phone, than to approach someone in-person, for example, their GP.</w:t>
      </w:r>
      <w:r w:rsidRPr="000D119D">
        <w:rPr>
          <w:lang w:val="en-AU"/>
        </w:rPr>
        <w:t xml:space="preserve"> </w:t>
      </w:r>
    </w:p>
    <w:p w14:paraId="4CC07E07" w14:textId="77777777" w:rsidR="005E2C81" w:rsidRPr="000D119D" w:rsidRDefault="005E2C81" w:rsidP="005E2C81">
      <w:pPr>
        <w:rPr>
          <w:lang w:val="en-AU"/>
        </w:rPr>
      </w:pPr>
      <w:r w:rsidRPr="000D119D">
        <w:rPr>
          <w:lang w:val="en-AU"/>
        </w:rPr>
        <w:t xml:space="preserve">Regardless of any initial reluctance, most participants were able to access </w:t>
      </w:r>
      <w:proofErr w:type="spellStart"/>
      <w:r w:rsidRPr="00DE4F9A">
        <w:rPr>
          <w:rStyle w:val="Emphasis"/>
        </w:rPr>
        <w:t>HeadtoHelp</w:t>
      </w:r>
      <w:proofErr w:type="spellEnd"/>
      <w:r w:rsidRPr="000D119D">
        <w:rPr>
          <w:lang w:val="en-AU"/>
        </w:rPr>
        <w:t xml:space="preserve"> easily and quickly. People sometimes reported being surprised either that someone answered the phone or that their call was returned promptly, sometimes within the hour.</w:t>
      </w:r>
    </w:p>
    <w:p w14:paraId="0FAFC1F7" w14:textId="77777777" w:rsidR="005E2C81" w:rsidRPr="000D119D" w:rsidRDefault="005E2C81" w:rsidP="005E2C81">
      <w:pPr>
        <w:rPr>
          <w:lang w:val="en-AU"/>
        </w:rPr>
      </w:pPr>
      <w:r w:rsidRPr="000D119D">
        <w:rPr>
          <w:lang w:val="en-AU"/>
        </w:rPr>
        <w:t xml:space="preserve">This was a real strength of </w:t>
      </w:r>
      <w:proofErr w:type="spellStart"/>
      <w:r w:rsidRPr="00DE4F9A">
        <w:rPr>
          <w:rStyle w:val="Emphasis"/>
        </w:rPr>
        <w:t>HeadtoHelp</w:t>
      </w:r>
      <w:proofErr w:type="spellEnd"/>
      <w:r w:rsidRPr="000D119D">
        <w:rPr>
          <w:lang w:val="en-AU"/>
        </w:rPr>
        <w:t xml:space="preserve"> that was acknowledged even by some participants whose experiences were not positive overall. The promptness with which they were able to speak to the intake worker was highly appreciated and some participants emphasised the importance of these, with one stating that ease of access ‘could be the difference between continuing to seek services or giving up again.’</w:t>
      </w:r>
    </w:p>
    <w:p w14:paraId="64B0D807" w14:textId="34B64A79" w:rsidR="005E2C81" w:rsidRPr="000D119D" w:rsidRDefault="005E2C81" w:rsidP="00BE0860">
      <w:pPr>
        <w:pStyle w:val="Heading4"/>
      </w:pPr>
      <w:r w:rsidRPr="000D119D">
        <w:t xml:space="preserve">Intake experiences were largely positive, although </w:t>
      </w:r>
      <w:r w:rsidR="00B00BD6" w:rsidRPr="000D119D">
        <w:t>highly clinician-</w:t>
      </w:r>
      <w:r w:rsidRPr="000D119D">
        <w:t xml:space="preserve">dependent </w:t>
      </w:r>
    </w:p>
    <w:p w14:paraId="6F5C6054" w14:textId="77777777" w:rsidR="005E2C81" w:rsidRPr="000D119D" w:rsidRDefault="005E2C81" w:rsidP="005E2C81">
      <w:pPr>
        <w:rPr>
          <w:lang w:val="en-AU"/>
        </w:rPr>
      </w:pPr>
      <w:proofErr w:type="gramStart"/>
      <w:r w:rsidRPr="000D119D">
        <w:rPr>
          <w:lang w:val="en-AU"/>
        </w:rPr>
        <w:t>The majority of</w:t>
      </w:r>
      <w:proofErr w:type="gramEnd"/>
      <w:r w:rsidRPr="000D119D">
        <w:rPr>
          <w:lang w:val="en-AU"/>
        </w:rPr>
        <w:t xml:space="preserve"> participants and support people described the initial interview with </w:t>
      </w:r>
      <w:proofErr w:type="spellStart"/>
      <w:r w:rsidRPr="00DE4F9A">
        <w:rPr>
          <w:rStyle w:val="Emphasis"/>
        </w:rPr>
        <w:t>HeadtoHelp</w:t>
      </w:r>
      <w:proofErr w:type="spellEnd"/>
      <w:r w:rsidRPr="000D119D">
        <w:rPr>
          <w:lang w:val="en-AU"/>
        </w:rPr>
        <w:t xml:space="preserve"> as a positive experience and finished the call believing that </w:t>
      </w:r>
      <w:proofErr w:type="spellStart"/>
      <w:r w:rsidRPr="00DE4F9A">
        <w:rPr>
          <w:rStyle w:val="Emphasis"/>
        </w:rPr>
        <w:t>HeadtoHelp</w:t>
      </w:r>
      <w:proofErr w:type="spellEnd"/>
      <w:r w:rsidRPr="000D119D">
        <w:rPr>
          <w:lang w:val="en-AU"/>
        </w:rPr>
        <w:t xml:space="preserve"> had helped or would be able to help them. </w:t>
      </w:r>
    </w:p>
    <w:p w14:paraId="45E863E9" w14:textId="77777777" w:rsidR="005E2C81" w:rsidRPr="000D119D" w:rsidRDefault="005E2C81" w:rsidP="005E2C81">
      <w:pPr>
        <w:rPr>
          <w:lang w:val="en-AU"/>
        </w:rPr>
      </w:pPr>
      <w:r w:rsidRPr="000D119D">
        <w:rPr>
          <w:lang w:val="en-AU"/>
        </w:rPr>
        <w:t xml:space="preserve">Each of the support people initially spoke to the intake clinician without their loved one being present. Parents of children provided background information about their child and progressed to the next step. The relative of an adult participant was advised to have them call but felt that the intake clinician had been receptive to her advice to be ‘a bit delicate and careful with her to try and get her to come around’, so they called again together for intake. The mother of an 18-year-old particularly mentioned that </w:t>
      </w:r>
      <w:proofErr w:type="spellStart"/>
      <w:r w:rsidRPr="00DE4F9A">
        <w:rPr>
          <w:rStyle w:val="Emphasis"/>
        </w:rPr>
        <w:t>HeadtoHelp</w:t>
      </w:r>
      <w:proofErr w:type="spellEnd"/>
      <w:r w:rsidRPr="000D119D">
        <w:rPr>
          <w:lang w:val="en-AU"/>
        </w:rPr>
        <w:t xml:space="preserve"> were very respectful of her as a parent and willing to work with her rather than dismissing or diminishing her role just because her daughter was 18. </w:t>
      </w:r>
    </w:p>
    <w:p w14:paraId="7F4DC2F9" w14:textId="77777777" w:rsidR="005E2C81" w:rsidRPr="000D119D" w:rsidRDefault="005E2C81" w:rsidP="005E2C81">
      <w:pPr>
        <w:rPr>
          <w:lang w:val="en-AU"/>
        </w:rPr>
      </w:pPr>
      <w:r w:rsidRPr="000D119D">
        <w:rPr>
          <w:lang w:val="en-AU"/>
        </w:rPr>
        <w:t xml:space="preserve">Apart from the promptness of contact (as above) some of the </w:t>
      </w:r>
      <w:proofErr w:type="gramStart"/>
      <w:r w:rsidRPr="000D119D">
        <w:rPr>
          <w:lang w:val="en-AU"/>
        </w:rPr>
        <w:t>most commonly reported</w:t>
      </w:r>
      <w:proofErr w:type="gramEnd"/>
      <w:r w:rsidRPr="000D119D">
        <w:rPr>
          <w:lang w:val="en-AU"/>
        </w:rPr>
        <w:t xml:space="preserve"> features that made the experience of intake positive were:</w:t>
      </w:r>
    </w:p>
    <w:p w14:paraId="653DC8C9" w14:textId="2DAFD54A" w:rsidR="005E2C81" w:rsidRPr="000D119D" w:rsidRDefault="005E2C81" w:rsidP="00E457E2">
      <w:pPr>
        <w:pStyle w:val="ListBullet"/>
      </w:pPr>
      <w:r w:rsidRPr="000D119D">
        <w:t xml:space="preserve">It was </w:t>
      </w:r>
      <w:r w:rsidR="00601722" w:rsidRPr="000D119D">
        <w:rPr>
          <w:rFonts w:asciiTheme="majorHAnsi" w:hAnsiTheme="majorHAnsi" w:cstheme="majorHAnsi"/>
        </w:rPr>
        <w:t>client-centric</w:t>
      </w:r>
      <w:r w:rsidRPr="000D119D">
        <w:t xml:space="preserve">: “The assessment interview with </w:t>
      </w:r>
      <w:proofErr w:type="spellStart"/>
      <w:r w:rsidRPr="00DE4F9A">
        <w:rPr>
          <w:rStyle w:val="Emphasis"/>
        </w:rPr>
        <w:t>HeadtoHelp</w:t>
      </w:r>
      <w:proofErr w:type="spellEnd"/>
      <w:r w:rsidRPr="000D119D">
        <w:rPr>
          <w:i/>
        </w:rPr>
        <w:t xml:space="preserve"> </w:t>
      </w:r>
      <w:r w:rsidRPr="000D119D">
        <w:t xml:space="preserve">was based really on what it is that I was talking about and … not </w:t>
      </w:r>
      <w:proofErr w:type="spellStart"/>
      <w:r w:rsidRPr="000D119D">
        <w:t>focussing</w:t>
      </w:r>
      <w:proofErr w:type="spellEnd"/>
      <w:r w:rsidRPr="000D119D">
        <w:t xml:space="preserve"> on stuff that I didn’t see as an issue at the time</w:t>
      </w:r>
      <w:r w:rsidR="00CA7123">
        <w:t>.</w:t>
      </w:r>
      <w:r w:rsidRPr="000D119D">
        <w:t xml:space="preserve">” – </w:t>
      </w:r>
      <w:r w:rsidRPr="00DE4F9A">
        <w:rPr>
          <w:rStyle w:val="Emphasis"/>
        </w:rPr>
        <w:t>Participant</w:t>
      </w:r>
    </w:p>
    <w:p w14:paraId="0E4CAA74" w14:textId="4D965432" w:rsidR="005E2C81" w:rsidRPr="000D119D" w:rsidRDefault="005E2C81" w:rsidP="00E457E2">
      <w:pPr>
        <w:pStyle w:val="ListBullet"/>
      </w:pPr>
      <w:r w:rsidRPr="000D119D">
        <w:t xml:space="preserve">The assessment was relatively </w:t>
      </w:r>
      <w:r w:rsidRPr="000D119D">
        <w:rPr>
          <w:rFonts w:asciiTheme="majorHAnsi" w:hAnsiTheme="majorHAnsi" w:cstheme="majorHAnsi"/>
        </w:rPr>
        <w:t>brief</w:t>
      </w:r>
      <w:r w:rsidRPr="000D119D">
        <w:t>: “It was very quick. I remember she just sped through everything, but still managed to keep it really personable and friendly, which was really, really nice</w:t>
      </w:r>
      <w:r w:rsidR="00CA7123">
        <w:t>.</w:t>
      </w:r>
      <w:r w:rsidRPr="000D119D">
        <w:t xml:space="preserve">” – </w:t>
      </w:r>
      <w:r w:rsidRPr="00DE4F9A">
        <w:rPr>
          <w:rStyle w:val="Emphasis"/>
        </w:rPr>
        <w:t>Participant</w:t>
      </w:r>
    </w:p>
    <w:p w14:paraId="2E33D90B" w14:textId="1B28D39D" w:rsidR="005E2C81" w:rsidRPr="000D119D" w:rsidRDefault="005E2C81" w:rsidP="00E457E2">
      <w:pPr>
        <w:pStyle w:val="ListBullet"/>
      </w:pPr>
      <w:r w:rsidRPr="000D119D">
        <w:t xml:space="preserve">The intake clinician was </w:t>
      </w:r>
      <w:r w:rsidRPr="000D119D">
        <w:rPr>
          <w:rFonts w:asciiTheme="majorHAnsi" w:hAnsiTheme="majorHAnsi" w:cstheme="majorHAnsi"/>
        </w:rPr>
        <w:t>caring, understanding and respectful</w:t>
      </w:r>
      <w:r w:rsidRPr="000D119D">
        <w:t xml:space="preserve">: “So the intake was great. They were </w:t>
      </w:r>
      <w:proofErr w:type="gramStart"/>
      <w:r w:rsidRPr="000D119D">
        <w:t>really good</w:t>
      </w:r>
      <w:proofErr w:type="gramEnd"/>
      <w:r w:rsidRPr="000D119D">
        <w:t xml:space="preserve">, they listened to the issue. They were totally </w:t>
      </w:r>
      <w:proofErr w:type="spellStart"/>
      <w:r w:rsidRPr="000D119D">
        <w:t>non-judgemental</w:t>
      </w:r>
      <w:proofErr w:type="spellEnd"/>
      <w:r w:rsidR="00CA7123">
        <w:t>.</w:t>
      </w:r>
      <w:r w:rsidRPr="000D119D">
        <w:t xml:space="preserve">” – </w:t>
      </w:r>
      <w:r w:rsidRPr="00DE4F9A">
        <w:rPr>
          <w:rStyle w:val="Emphasis"/>
        </w:rPr>
        <w:t>Support person</w:t>
      </w:r>
    </w:p>
    <w:p w14:paraId="161A379E" w14:textId="3E46B2E8" w:rsidR="005E2C81" w:rsidRPr="000D119D" w:rsidRDefault="005E2C81" w:rsidP="00E457E2">
      <w:pPr>
        <w:pStyle w:val="ListBullet"/>
      </w:pPr>
      <w:r w:rsidRPr="000D119D">
        <w:t xml:space="preserve">The intake clinician was </w:t>
      </w:r>
      <w:r w:rsidRPr="000D119D">
        <w:rPr>
          <w:rFonts w:asciiTheme="majorHAnsi" w:hAnsiTheme="majorHAnsi" w:cstheme="majorHAnsi"/>
        </w:rPr>
        <w:t>knowledgeable</w:t>
      </w:r>
      <w:r w:rsidRPr="000D119D">
        <w:t>: “I felt like she knew what she was doing</w:t>
      </w:r>
      <w:r w:rsidR="00CA7123">
        <w:t>.</w:t>
      </w:r>
      <w:r w:rsidRPr="000D119D">
        <w:t xml:space="preserve">” – </w:t>
      </w:r>
      <w:r w:rsidRPr="000D119D">
        <w:rPr>
          <w:i/>
          <w:iCs/>
        </w:rPr>
        <w:t>Participant</w:t>
      </w:r>
    </w:p>
    <w:p w14:paraId="4EC5B6E4" w14:textId="35E5658D" w:rsidR="00303093" w:rsidRPr="00303093" w:rsidRDefault="005E2C81" w:rsidP="00E457E2">
      <w:pPr>
        <w:pStyle w:val="ListBullet"/>
      </w:pPr>
      <w:r w:rsidRPr="000D119D">
        <w:t xml:space="preserve">The intake clinician helped them </w:t>
      </w:r>
      <w:r w:rsidRPr="000D119D">
        <w:rPr>
          <w:rFonts w:asciiTheme="majorHAnsi" w:hAnsiTheme="majorHAnsi" w:cstheme="majorHAnsi"/>
        </w:rPr>
        <w:t>to identify what was needed</w:t>
      </w:r>
      <w:r w:rsidRPr="000D119D">
        <w:t xml:space="preserve"> if they were unsure: “I didn’t really know the direction I was looking for. So, I felt like they were really good in asking me questions to get me to be able to put a label on the outcome</w:t>
      </w:r>
      <w:r w:rsidR="004540FE">
        <w:t>.</w:t>
      </w:r>
      <w:r w:rsidRPr="000D119D">
        <w:t xml:space="preserve">” – </w:t>
      </w:r>
      <w:r w:rsidRPr="00DE4F9A">
        <w:rPr>
          <w:rStyle w:val="Emphasis"/>
        </w:rPr>
        <w:t>Support person</w:t>
      </w:r>
    </w:p>
    <w:p w14:paraId="06D459DB" w14:textId="05AD9DA6" w:rsidR="005E2C81" w:rsidRPr="000D119D" w:rsidRDefault="005E2C81" w:rsidP="00E457E2">
      <w:pPr>
        <w:pStyle w:val="ListBullet"/>
      </w:pPr>
      <w:r w:rsidRPr="000D119D">
        <w:t xml:space="preserve">The process was </w:t>
      </w:r>
      <w:r w:rsidRPr="000D119D">
        <w:rPr>
          <w:rFonts w:asciiTheme="majorHAnsi" w:hAnsiTheme="majorHAnsi" w:cstheme="majorHAnsi"/>
        </w:rPr>
        <w:t>easy and efficient</w:t>
      </w:r>
      <w:r w:rsidRPr="000D119D">
        <w:t>: “It was really, really easy to communicate and deliver what I’m stressing about… [They] provided help immediately, so I didn’t have to contact them again at all. It was really efficient and useful</w:t>
      </w:r>
      <w:r w:rsidR="004540FE">
        <w:t>.</w:t>
      </w:r>
      <w:r w:rsidRPr="000D119D">
        <w:t xml:space="preserve">” – </w:t>
      </w:r>
      <w:r w:rsidRPr="00DE4F9A">
        <w:rPr>
          <w:rStyle w:val="Emphasis"/>
        </w:rPr>
        <w:t>Participant</w:t>
      </w:r>
    </w:p>
    <w:p w14:paraId="1B87D58B" w14:textId="53A19651" w:rsidR="005E2C81" w:rsidRDefault="005E2C81" w:rsidP="00E457E2">
      <w:pPr>
        <w:pStyle w:val="ListBullet"/>
        <w:rPr>
          <w:i/>
          <w:iCs/>
        </w:rPr>
      </w:pPr>
      <w:r w:rsidRPr="000D119D">
        <w:rPr>
          <w:rFonts w:asciiTheme="majorHAnsi" w:hAnsiTheme="majorHAnsi" w:cstheme="majorHAnsi"/>
        </w:rPr>
        <w:t xml:space="preserve">Supportive </w:t>
      </w:r>
      <w:r w:rsidRPr="000D119D">
        <w:t xml:space="preserve">of support people: “I wasn’t belittled or [told] ‘oh, you need to do this, you can’t do that because you’re not, they’re over this age’… it was ‘you’re coming from a place of care and we’re here to help you care for them and here we go’.” – </w:t>
      </w:r>
      <w:r w:rsidRPr="00DE4F9A">
        <w:rPr>
          <w:rStyle w:val="Emphasis"/>
        </w:rPr>
        <w:t>Support person</w:t>
      </w:r>
    </w:p>
    <w:p w14:paraId="4517E4B3" w14:textId="6490C8EC" w:rsidR="005E2C81" w:rsidRPr="000D119D" w:rsidRDefault="005E2C81" w:rsidP="005E2C81">
      <w:pPr>
        <w:rPr>
          <w:lang w:val="en-AU"/>
        </w:rPr>
      </w:pPr>
      <w:r w:rsidRPr="000D119D">
        <w:rPr>
          <w:lang w:val="en-AU"/>
        </w:rPr>
        <w:t xml:space="preserve">Participants who did not report a good intake experience had </w:t>
      </w:r>
      <w:proofErr w:type="gramStart"/>
      <w:r w:rsidRPr="000D119D">
        <w:rPr>
          <w:lang w:val="en-AU"/>
        </w:rPr>
        <w:t>a number of</w:t>
      </w:r>
      <w:proofErr w:type="gramEnd"/>
      <w:r w:rsidRPr="000D119D">
        <w:rPr>
          <w:lang w:val="en-AU"/>
        </w:rPr>
        <w:t xml:space="preserve"> common reasons</w:t>
      </w:r>
      <w:r w:rsidR="0012264D">
        <w:rPr>
          <w:lang w:val="en-AU"/>
        </w:rPr>
        <w:t>:</w:t>
      </w:r>
    </w:p>
    <w:p w14:paraId="40AD9180" w14:textId="6DCDF59D" w:rsidR="005E2C81" w:rsidRPr="000D119D" w:rsidRDefault="005E2C81" w:rsidP="00E457E2">
      <w:pPr>
        <w:pStyle w:val="ListBullet"/>
      </w:pPr>
      <w:r w:rsidRPr="000D119D">
        <w:lastRenderedPageBreak/>
        <w:t xml:space="preserve">They found the assessment to be </w:t>
      </w:r>
      <w:r w:rsidRPr="000D119D">
        <w:rPr>
          <w:rFonts w:asciiTheme="majorHAnsi" w:hAnsiTheme="majorHAnsi" w:cstheme="majorHAnsi"/>
        </w:rPr>
        <w:t>superficial</w:t>
      </w:r>
      <w:r w:rsidRPr="000D119D">
        <w:t>, not comprehensive enough, or too standardised to be helpful: “It seemed very impersonal… it seemed very rushed and informal and just not like my best interest was in place</w:t>
      </w:r>
      <w:r w:rsidR="004540FE">
        <w:t>.</w:t>
      </w:r>
      <w:r w:rsidRPr="000D119D">
        <w:t xml:space="preserve">” – </w:t>
      </w:r>
      <w:r w:rsidRPr="00DE4F9A">
        <w:rPr>
          <w:rStyle w:val="Emphasis"/>
        </w:rPr>
        <w:t>Participant</w:t>
      </w:r>
    </w:p>
    <w:p w14:paraId="5DB3B99C" w14:textId="4730C286" w:rsidR="005E2C81" w:rsidRPr="000D119D" w:rsidRDefault="005E2C81" w:rsidP="00E457E2">
      <w:pPr>
        <w:pStyle w:val="ListBullet"/>
      </w:pPr>
      <w:r w:rsidRPr="000D119D">
        <w:t xml:space="preserve">The intake clinician appeared to </w:t>
      </w:r>
      <w:r w:rsidRPr="000D119D">
        <w:rPr>
          <w:rFonts w:asciiTheme="majorHAnsi" w:hAnsiTheme="majorHAnsi" w:cstheme="majorHAnsi"/>
        </w:rPr>
        <w:t>lack experience in mental health</w:t>
      </w:r>
      <w:r w:rsidRPr="000D119D">
        <w:t>: “He mentioned that he's just only the intake person… [It would be better if] maybe someone they got trained… or someone they know more about maybe mental health</w:t>
      </w:r>
      <w:r w:rsidR="008E0011">
        <w:t>.</w:t>
      </w:r>
      <w:r w:rsidRPr="000D119D">
        <w:t xml:space="preserve">” – </w:t>
      </w:r>
      <w:r w:rsidRPr="00DE4F9A">
        <w:rPr>
          <w:rStyle w:val="Emphasis"/>
        </w:rPr>
        <w:t>Participant</w:t>
      </w:r>
    </w:p>
    <w:p w14:paraId="52E474E8" w14:textId="7B74CD6B" w:rsidR="005E2C81" w:rsidRPr="000D119D" w:rsidRDefault="005E2C81" w:rsidP="00E457E2">
      <w:pPr>
        <w:pStyle w:val="ListBullet"/>
      </w:pPr>
      <w:r w:rsidRPr="000D119D">
        <w:t xml:space="preserve">The intake clinician was </w:t>
      </w:r>
      <w:r w:rsidRPr="000D119D">
        <w:rPr>
          <w:rFonts w:asciiTheme="majorHAnsi" w:hAnsiTheme="majorHAnsi" w:cstheme="majorHAnsi"/>
        </w:rPr>
        <w:t>unable to build rapport</w:t>
      </w:r>
      <w:r w:rsidRPr="000D119D">
        <w:t>: “Honestly it felt like scripted empathy from someone who didn't know what to say</w:t>
      </w:r>
      <w:r w:rsidR="008E0011">
        <w:t>.</w:t>
      </w:r>
      <w:r w:rsidRPr="000D119D">
        <w:t xml:space="preserve">” – </w:t>
      </w:r>
      <w:r w:rsidRPr="00DE4F9A">
        <w:rPr>
          <w:rStyle w:val="Emphasis"/>
        </w:rPr>
        <w:t>Support person</w:t>
      </w:r>
    </w:p>
    <w:p w14:paraId="2165BCF4" w14:textId="5E2005C1" w:rsidR="005E2C81" w:rsidRPr="000D119D" w:rsidRDefault="005E2C81" w:rsidP="00E457E2">
      <w:pPr>
        <w:pStyle w:val="ListBullet"/>
      </w:pPr>
      <w:r w:rsidRPr="000D119D">
        <w:rPr>
          <w:rFonts w:asciiTheme="majorHAnsi" w:hAnsiTheme="majorHAnsi" w:cstheme="majorHAnsi"/>
        </w:rPr>
        <w:t>Participants or support people were expected to know</w:t>
      </w:r>
      <w:r w:rsidRPr="000D119D">
        <w:t xml:space="preserve"> what was required: “We present to </w:t>
      </w:r>
      <w:proofErr w:type="gramStart"/>
      <w:r w:rsidRPr="000D119D">
        <w:t>places</w:t>
      </w:r>
      <w:proofErr w:type="gramEnd"/>
      <w:r w:rsidRPr="000D119D">
        <w:t xml:space="preserve"> and they go, ‘Oh, how can we help you?’ … We're not the experts in the field. We don't know what is helpful and, you know, what we're supposed to do next</w:t>
      </w:r>
      <w:r w:rsidR="008E0011">
        <w:t>.</w:t>
      </w:r>
      <w:r w:rsidRPr="000D119D">
        <w:t xml:space="preserve">” – </w:t>
      </w:r>
      <w:r w:rsidRPr="00DE4F9A">
        <w:rPr>
          <w:rStyle w:val="Emphasis"/>
        </w:rPr>
        <w:t>Support person</w:t>
      </w:r>
    </w:p>
    <w:p w14:paraId="570E99DB" w14:textId="5AB1DB89" w:rsidR="005E2C81" w:rsidRPr="000D119D" w:rsidRDefault="005E2C81" w:rsidP="005E2C81">
      <w:pPr>
        <w:rPr>
          <w:lang w:val="en-AU"/>
        </w:rPr>
      </w:pPr>
      <w:r w:rsidRPr="000D119D">
        <w:rPr>
          <w:lang w:val="en-AU"/>
        </w:rPr>
        <w:t xml:space="preserve">While most participants described the intake interview in a similar way – as a process of being asked questions, having their situation understood, then having a suitable course of action agreed upon – there </w:t>
      </w:r>
      <w:r w:rsidRPr="000D119D">
        <w:rPr>
          <w:noProof/>
          <w:lang w:val="en-AU"/>
        </w:rPr>
        <mc:AlternateContent>
          <mc:Choice Requires="wps">
            <w:drawing>
              <wp:anchor distT="0" distB="0" distL="114300" distR="114300" simplePos="0" relativeHeight="251716608" behindDoc="0" locked="0" layoutInCell="1" allowOverlap="1" wp14:anchorId="69C818CF" wp14:editId="55807778">
                <wp:simplePos x="0" y="0"/>
                <wp:positionH relativeFrom="column">
                  <wp:posOffset>0</wp:posOffset>
                </wp:positionH>
                <wp:positionV relativeFrom="paragraph">
                  <wp:posOffset>31750</wp:posOffset>
                </wp:positionV>
                <wp:extent cx="2076450" cy="1981200"/>
                <wp:effectExtent l="0" t="0" r="0" b="0"/>
                <wp:wrapSquare wrapText="bothSides"/>
                <wp:docPr id="28164" name="Text Box 28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76450" cy="198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E2D44" w14:textId="6B0662E6" w:rsidR="005E2C81" w:rsidRPr="00DE4F9A" w:rsidRDefault="005E2C81" w:rsidP="005E2C81">
                            <w:pPr>
                              <w:pStyle w:val="Callout"/>
                              <w:rPr>
                                <w:i/>
                                <w:color w:val="0070C0"/>
                              </w:rPr>
                            </w:pPr>
                            <w:r w:rsidRPr="00C72099">
                              <w:rPr>
                                <w:color w:val="0070C0"/>
                              </w:rPr>
                              <w:t xml:space="preserve">“I felt the </w:t>
                            </w:r>
                            <w:proofErr w:type="spellStart"/>
                            <w:r w:rsidRPr="00C72099">
                              <w:rPr>
                                <w:i/>
                                <w:iCs/>
                                <w:color w:val="0070C0"/>
                              </w:rPr>
                              <w:t>HeadtoHelp</w:t>
                            </w:r>
                            <w:proofErr w:type="spellEnd"/>
                            <w:r w:rsidRPr="00C72099">
                              <w:rPr>
                                <w:color w:val="0070C0"/>
                              </w:rPr>
                              <w:t xml:space="preserve"> was – yeah, like focused on – they're just dealing with my day-to-day stuff… it was almost like everything that I brought up she would just give me something to think about with it or just an alternate thought rather than the ones that I was on.” – </w:t>
                            </w:r>
                            <w:r w:rsidR="007C43A1">
                              <w:rPr>
                                <w:i/>
                                <w:color w:val="0070C0"/>
                              </w:rPr>
                              <w:t>Participant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C818CF" id="Text Box 28164" o:spid="_x0000_s1036" type="#_x0000_t202" alt="&quot;&quot;" style="position:absolute;margin-left:0;margin-top:2.5pt;width:163.5pt;height:15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" fillcolor="white [3201]" stroked="f" strokeweight=".5pt">
                <v:textbox inset="0,,1mm">
                  <w:txbxContent>
                    <w:p w14:paraId="668E2D44" w14:textId="6B0662E6" w:rsidR="005E2C81" w:rsidRPr="00DE4F9A" w:rsidRDefault="005E2C81" w:rsidP="005E2C81">
                      <w:pPr>
                        <w:pStyle w:val="Callout"/>
                        <w:rPr>
                          <w:i/>
                          <w:color w:val="0070C0"/>
                        </w:rPr>
                      </w:pPr>
                      <w:r w:rsidRPr="00C72099">
                        <w:rPr>
                          <w:color w:val="0070C0"/>
                        </w:rPr>
                        <w:t xml:space="preserve">“I felt the </w:t>
                      </w:r>
                      <w:proofErr w:type="spellStart"/>
                      <w:r w:rsidRPr="00C72099">
                        <w:rPr>
                          <w:i/>
                          <w:iCs/>
                          <w:color w:val="0070C0"/>
                        </w:rPr>
                        <w:t>HeadtoHelp</w:t>
                      </w:r>
                      <w:proofErr w:type="spellEnd"/>
                      <w:r w:rsidRPr="00C72099">
                        <w:rPr>
                          <w:color w:val="0070C0"/>
                        </w:rPr>
                        <w:t xml:space="preserve"> was – yeah, like focused on – they're just dealing with my day-to-day stuff… it was almost like everything that I brought up she would just give me something to think about with it or just an alternate thought rather than the ones that I was on.” – </w:t>
                      </w:r>
                      <w:r w:rsidR="007C43A1">
                        <w:rPr>
                          <w:i/>
                          <w:color w:val="0070C0"/>
                        </w:rPr>
                        <w:t>Participant</w:t>
                      </w:r>
                    </w:p>
                  </w:txbxContent>
                </v:textbox>
                <w10:wrap type="square"/>
              </v:shape>
            </w:pict>
          </mc:Fallback>
        </mc:AlternateContent>
      </w:r>
      <w:r w:rsidRPr="000D119D">
        <w:rPr>
          <w:lang w:val="en-AU"/>
        </w:rPr>
        <w:t xml:space="preserve">were exceptions. One participant reported that she spent around an hour on that initial call, during which she was able to discuss her problems and receive wise advice (see left). Although this participant was so distressed when she called that if she had not reached </w:t>
      </w:r>
      <w:proofErr w:type="spellStart"/>
      <w:r w:rsidRPr="00DE4F9A">
        <w:rPr>
          <w:rStyle w:val="Emphasis"/>
        </w:rPr>
        <w:t>HeadtoHelp</w:t>
      </w:r>
      <w:proofErr w:type="spellEnd"/>
      <w:r w:rsidRPr="000D119D">
        <w:rPr>
          <w:lang w:val="en-AU"/>
        </w:rPr>
        <w:t xml:space="preserve">, she said she might have phoned triple </w:t>
      </w:r>
      <w:r w:rsidR="003D2A4C">
        <w:rPr>
          <w:lang w:val="en-AU"/>
        </w:rPr>
        <w:t>zero</w:t>
      </w:r>
      <w:r w:rsidRPr="000D119D">
        <w:rPr>
          <w:lang w:val="en-AU"/>
        </w:rPr>
        <w:t xml:space="preserve">, she did not feel that she needed anything more from </w:t>
      </w:r>
      <w:proofErr w:type="spellStart"/>
      <w:r w:rsidRPr="00DE4F9A">
        <w:rPr>
          <w:rStyle w:val="Emphasis"/>
        </w:rPr>
        <w:t>HeadtoHelp</w:t>
      </w:r>
      <w:proofErr w:type="spellEnd"/>
      <w:r w:rsidRPr="000D119D">
        <w:rPr>
          <w:lang w:val="en-AU"/>
        </w:rPr>
        <w:t xml:space="preserve"> after that one extremely helpful phone call.</w:t>
      </w:r>
    </w:p>
    <w:p w14:paraId="66314FC2" w14:textId="77777777" w:rsidR="005E2C81" w:rsidRPr="000D119D" w:rsidRDefault="005E2C81" w:rsidP="005E2C81">
      <w:pPr>
        <w:rPr>
          <w:lang w:val="en-AU"/>
        </w:rPr>
      </w:pPr>
      <w:r w:rsidRPr="000D119D">
        <w:rPr>
          <w:noProof/>
          <w:lang w:val="en-AU"/>
        </w:rPr>
        <mc:AlternateContent>
          <mc:Choice Requires="wps">
            <w:drawing>
              <wp:anchor distT="0" distB="0" distL="114300" distR="114300" simplePos="0" relativeHeight="251663872" behindDoc="0" locked="0" layoutInCell="1" allowOverlap="1" wp14:anchorId="3309C5D3" wp14:editId="5D835E09">
                <wp:simplePos x="0" y="0"/>
                <wp:positionH relativeFrom="column">
                  <wp:posOffset>-2187575</wp:posOffset>
                </wp:positionH>
                <wp:positionV relativeFrom="paragraph">
                  <wp:posOffset>640260</wp:posOffset>
                </wp:positionV>
                <wp:extent cx="5443855" cy="1073785"/>
                <wp:effectExtent l="0" t="0" r="4445" b="0"/>
                <wp:wrapSquare wrapText="bothSides"/>
                <wp:docPr id="28165" name="Text Box 281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443855" cy="1073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52FF4" w14:textId="4CB86EB6" w:rsidR="005E2C81" w:rsidRPr="00DE4F9A" w:rsidRDefault="005E2C81" w:rsidP="005E2C81">
                            <w:pPr>
                              <w:pStyle w:val="Callout"/>
                              <w:rPr>
                                <w:i/>
                                <w:color w:val="0070C0"/>
                              </w:rPr>
                            </w:pPr>
                            <w:r w:rsidRPr="00C72099">
                              <w:rPr>
                                <w:color w:val="0070C0"/>
                              </w:rPr>
                              <w:t xml:space="preserve">“I understand he couldn't give me any further advice that I wish at that time, [but I would have liked] a little bit comfort or at least like hear my story... even though they cannot provide a particular solution, but at least I feel being heard, whether they just ask me to do goals, or make another phone call to another organisation.” – </w:t>
                            </w:r>
                            <w:r w:rsidR="007C43A1">
                              <w:rPr>
                                <w:i/>
                                <w:color w:val="0070C0"/>
                              </w:rPr>
                              <w:t>Participant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09C5D3" id="Text Box 28165" o:spid="_x0000_s1037" type="#_x0000_t202" alt="&quot;&quot;" style="position:absolute;margin-left:-172.25pt;margin-top:50.4pt;width:428.65pt;height:84.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" fillcolor="white [3201]" stroked="f" strokeweight=".5pt">
                <v:textbox inset="0,,1mm">
                  <w:txbxContent>
                    <w:p w14:paraId="51152FF4" w14:textId="4CB86EB6" w:rsidR="005E2C81" w:rsidRPr="00DE4F9A" w:rsidRDefault="005E2C81" w:rsidP="005E2C81">
                      <w:pPr>
                        <w:pStyle w:val="Callout"/>
                        <w:rPr>
                          <w:i/>
                          <w:color w:val="0070C0"/>
                        </w:rPr>
                      </w:pPr>
                      <w:r w:rsidRPr="00C72099">
                        <w:rPr>
                          <w:color w:val="0070C0"/>
                        </w:rPr>
                        <w:t xml:space="preserve">“I understand he couldn't give me any further advice that I wish at that time, [but I would have liked] a little bit comfort or at least like hear my story... even though they cannot provide a particular solution, but at least I feel being heard, whether they just ask me to do goals, or make another phone call to another organisation.” – </w:t>
                      </w:r>
                      <w:r w:rsidR="007C43A1">
                        <w:rPr>
                          <w:i/>
                          <w:color w:val="0070C0"/>
                        </w:rPr>
                        <w:t>Participant</w:t>
                      </w:r>
                    </w:p>
                  </w:txbxContent>
                </v:textbox>
                <w10:wrap type="square"/>
              </v:shape>
            </w:pict>
          </mc:Fallback>
        </mc:AlternateContent>
      </w:r>
      <w:r w:rsidRPr="000D119D">
        <w:rPr>
          <w:lang w:val="en-AU"/>
        </w:rPr>
        <w:t xml:space="preserve">Other participants, however had the opposite experience. A participant phoned </w:t>
      </w:r>
      <w:proofErr w:type="spellStart"/>
      <w:r w:rsidRPr="00DE4F9A">
        <w:rPr>
          <w:rStyle w:val="Emphasis"/>
        </w:rPr>
        <w:t>HeadtoHelp</w:t>
      </w:r>
      <w:proofErr w:type="spellEnd"/>
      <w:r w:rsidRPr="000D119D">
        <w:rPr>
          <w:lang w:val="en-AU"/>
        </w:rPr>
        <w:t xml:space="preserve"> because she was distressed by problems in her life and found little assistance (see below).</w:t>
      </w:r>
    </w:p>
    <w:p w14:paraId="13B9B80C" w14:textId="0140627B" w:rsidR="006F2F65" w:rsidRDefault="006F2F65" w:rsidP="00BE0860">
      <w:pPr>
        <w:pStyle w:val="Heading4"/>
      </w:pPr>
      <w:r>
        <w:t>Around half of people who received referrals to other services felt that those referrals were appropriate</w:t>
      </w:r>
    </w:p>
    <w:p w14:paraId="0CCDA038" w14:textId="30B10FD9" w:rsidR="005E2C81" w:rsidRPr="000D119D" w:rsidRDefault="005E2C81" w:rsidP="005E2C81">
      <w:pPr>
        <w:rPr>
          <w:lang w:val="en-AU"/>
        </w:rPr>
      </w:pPr>
      <w:r w:rsidRPr="000D119D">
        <w:rPr>
          <w:lang w:val="en-AU"/>
        </w:rPr>
        <w:t>Where participants were not satisfied with their referrals, a range of issues were cited, including:</w:t>
      </w:r>
    </w:p>
    <w:p w14:paraId="4788368C" w14:textId="5AAD7EAB" w:rsidR="005E2C81" w:rsidRPr="000D119D" w:rsidRDefault="005E2C81" w:rsidP="00E457E2">
      <w:pPr>
        <w:pStyle w:val="ListBullet"/>
      </w:pPr>
      <w:r w:rsidRPr="000D119D">
        <w:t>The intake clinician had little knowledge about the services they were recommending (e.g., eligibility, specialties, wait times, costs</w:t>
      </w:r>
      <w:r w:rsidR="007F08A9">
        <w:t>,</w:t>
      </w:r>
      <w:r w:rsidRPr="000D119D">
        <w:t xml:space="preserve"> </w:t>
      </w:r>
      <w:proofErr w:type="spellStart"/>
      <w:r w:rsidRPr="000D119D">
        <w:t>etc</w:t>
      </w:r>
      <w:proofErr w:type="spellEnd"/>
      <w:r w:rsidRPr="000D119D">
        <w:t xml:space="preserve">). </w:t>
      </w:r>
    </w:p>
    <w:p w14:paraId="4FA16729" w14:textId="77777777" w:rsidR="005E2C81" w:rsidRPr="000D119D" w:rsidRDefault="005E2C81" w:rsidP="00E457E2">
      <w:pPr>
        <w:pStyle w:val="ListBullet"/>
      </w:pPr>
      <w:r w:rsidRPr="000D119D">
        <w:t>Referred services had already been tried and had either closed their books or had long waiting lists.</w:t>
      </w:r>
    </w:p>
    <w:p w14:paraId="7DFF629D" w14:textId="051BD6AA" w:rsidR="005E2C81" w:rsidRPr="000D119D" w:rsidRDefault="00D809E9" w:rsidP="00E457E2">
      <w:pPr>
        <w:pStyle w:val="ListBullet"/>
      </w:pPr>
      <w:r w:rsidRPr="000D119D">
        <w:rPr>
          <w:noProof/>
        </w:rPr>
        <mc:AlternateContent>
          <mc:Choice Requires="wps">
            <w:drawing>
              <wp:anchor distT="0" distB="0" distL="114300" distR="114300" simplePos="0" relativeHeight="251885568" behindDoc="0" locked="0" layoutInCell="1" allowOverlap="1" wp14:anchorId="5500BD4D" wp14:editId="386D2A6C">
                <wp:simplePos x="0" y="0"/>
                <wp:positionH relativeFrom="column">
                  <wp:posOffset>3899535</wp:posOffset>
                </wp:positionH>
                <wp:positionV relativeFrom="paragraph">
                  <wp:posOffset>163830</wp:posOffset>
                </wp:positionV>
                <wp:extent cx="1772920" cy="1367155"/>
                <wp:effectExtent l="0" t="0" r="0" b="4445"/>
                <wp:wrapSquare wrapText="bothSides"/>
                <wp:docPr id="28166" name="Text Box 281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72920" cy="1367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FDB21" w14:textId="77777777" w:rsidR="005E2C81" w:rsidRPr="00C72099" w:rsidRDefault="005E2C81" w:rsidP="005E2C81">
                            <w:pPr>
                              <w:pStyle w:val="Callout"/>
                              <w:rPr>
                                <w:color w:val="0070C0"/>
                              </w:rPr>
                            </w:pPr>
                            <w:r w:rsidRPr="005C60FD">
                              <w:rPr>
                                <w:color w:val="0070C0"/>
                              </w:rPr>
                              <w:t>“We’re always bouncing from person to person… what we’re looking for is somebody who can actually help us with the problem.”</w:t>
                            </w:r>
                            <w:r w:rsidRPr="00C72099">
                              <w:rPr>
                                <w:rStyle w:val="SubtleReference"/>
                                <w:color w:val="0070C0"/>
                              </w:rPr>
                              <w:t xml:space="preserve"> </w:t>
                            </w:r>
                            <w:r w:rsidRPr="00C72099">
                              <w:rPr>
                                <w:color w:val="0070C0"/>
                              </w:rPr>
                              <w:t xml:space="preserve">– </w:t>
                            </w:r>
                            <w:r w:rsidRPr="00C72099">
                              <w:rPr>
                                <w:i/>
                                <w:color w:val="0070C0"/>
                              </w:rPr>
                              <w:t>Support person</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0BD4D" id="Text Box 28166" o:spid="_x0000_s1038" type="#_x0000_t202" alt="&quot;&quot;" style="position:absolute;left:0;text-align:left;margin-left:307.05pt;margin-top:12.9pt;width:139.6pt;height:107.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" fillcolor="white [3201]" stroked="f" strokeweight=".5pt">
                <v:textbox inset="0,,1mm">
                  <w:txbxContent>
                    <w:p w14:paraId="315FDB21" w14:textId="77777777" w:rsidR="005E2C81" w:rsidRPr="00C72099" w:rsidRDefault="005E2C81" w:rsidP="005E2C81">
                      <w:pPr>
                        <w:pStyle w:val="Callout"/>
                        <w:rPr>
                          <w:color w:val="0070C0"/>
                        </w:rPr>
                      </w:pPr>
                      <w:r w:rsidRPr="005C60FD">
                        <w:rPr>
                          <w:color w:val="0070C0"/>
                        </w:rPr>
                        <w:t>“We’re always bouncing from person to person… what we’re looking for is somebody who can actually help us with the problem.”</w:t>
                      </w:r>
                      <w:r w:rsidRPr="00C72099">
                        <w:rPr>
                          <w:rStyle w:val="SubtleReference"/>
                          <w:color w:val="0070C0"/>
                        </w:rPr>
                        <w:t xml:space="preserve"> </w:t>
                      </w:r>
                      <w:r w:rsidRPr="00C72099">
                        <w:rPr>
                          <w:color w:val="0070C0"/>
                        </w:rPr>
                        <w:t xml:space="preserve">– </w:t>
                      </w:r>
                      <w:r w:rsidRPr="00C72099">
                        <w:rPr>
                          <w:i/>
                          <w:color w:val="0070C0"/>
                        </w:rPr>
                        <w:t>Support person</w:t>
                      </w:r>
                    </w:p>
                  </w:txbxContent>
                </v:textbox>
                <w10:wrap type="square"/>
              </v:shape>
            </w:pict>
          </mc:Fallback>
        </mc:AlternateContent>
      </w:r>
      <w:r w:rsidR="005E2C81" w:rsidRPr="000D119D">
        <w:t>Referred services were well-known services that participants could have contacted in the first place, however, were hoping for something different.</w:t>
      </w:r>
    </w:p>
    <w:p w14:paraId="76F95DC4" w14:textId="04F9897F" w:rsidR="00D809E9" w:rsidRDefault="005E2C81" w:rsidP="00E457E2">
      <w:pPr>
        <w:pStyle w:val="ListBullet"/>
      </w:pPr>
      <w:r w:rsidRPr="000D119D">
        <w:t xml:space="preserve">Referred services, when contacted, said that they could not help or had long waiting times. </w:t>
      </w:r>
    </w:p>
    <w:p w14:paraId="779111F1" w14:textId="470DC989" w:rsidR="005E2C81" w:rsidRPr="000D119D" w:rsidRDefault="005E2C81" w:rsidP="00E457E2">
      <w:pPr>
        <w:pStyle w:val="ListBullet"/>
      </w:pPr>
      <w:r w:rsidRPr="000D119D">
        <w:t>Referred services did not address the issue perceived by the participant.</w:t>
      </w:r>
    </w:p>
    <w:p w14:paraId="641541B9" w14:textId="4E91383B" w:rsidR="003353D0" w:rsidRDefault="005E2C81" w:rsidP="00E457E2">
      <w:pPr>
        <w:pStyle w:val="ListBullet"/>
      </w:pPr>
      <w:r w:rsidRPr="000D119D">
        <w:t>Being referred to services that were not appropriate to the person’s needs. For example, one support person was referred to online services, which she saw as inappropriate for her young son.</w:t>
      </w:r>
    </w:p>
    <w:p w14:paraId="6F7AC32A" w14:textId="77777777" w:rsidR="005E2C81" w:rsidRPr="000D119D" w:rsidRDefault="005E2C81" w:rsidP="00E457E2">
      <w:pPr>
        <w:pStyle w:val="ListBullet"/>
      </w:pPr>
      <w:r w:rsidRPr="000D119D">
        <w:lastRenderedPageBreak/>
        <w:t xml:space="preserve">Warm referral not being carried through, requiring </w:t>
      </w:r>
      <w:proofErr w:type="gramStart"/>
      <w:r w:rsidRPr="000D119D">
        <w:t>follow-up</w:t>
      </w:r>
      <w:proofErr w:type="gramEnd"/>
      <w:r w:rsidRPr="000D119D">
        <w:t xml:space="preserve"> and delaying support.</w:t>
      </w:r>
    </w:p>
    <w:p w14:paraId="539E23E2" w14:textId="77777777" w:rsidR="005E2C81" w:rsidRPr="000D119D" w:rsidRDefault="005E2C81" w:rsidP="00E457E2">
      <w:pPr>
        <w:pStyle w:val="ListBullet"/>
      </w:pPr>
      <w:r w:rsidRPr="000D119D">
        <w:t xml:space="preserve">Being given no options – one recommended </w:t>
      </w:r>
      <w:proofErr w:type="spellStart"/>
      <w:r w:rsidRPr="000D119D">
        <w:t>organisation</w:t>
      </w:r>
      <w:proofErr w:type="spellEnd"/>
      <w:r w:rsidRPr="000D119D">
        <w:t xml:space="preserve"> with no Plan B for if that did not work out. </w:t>
      </w:r>
    </w:p>
    <w:p w14:paraId="0F9BCF2A" w14:textId="0EB4EE68" w:rsidR="00742868" w:rsidRPr="000D119D" w:rsidRDefault="005E2C81" w:rsidP="00E457E2">
      <w:pPr>
        <w:pStyle w:val="ListBullet"/>
      </w:pPr>
      <w:r w:rsidRPr="000D119D">
        <w:t xml:space="preserve">Lack of follow-up from </w:t>
      </w:r>
      <w:proofErr w:type="spellStart"/>
      <w:r w:rsidRPr="00DE4F9A">
        <w:rPr>
          <w:rStyle w:val="Emphasis"/>
        </w:rPr>
        <w:t>HeadtoHelp</w:t>
      </w:r>
      <w:proofErr w:type="spellEnd"/>
      <w:r w:rsidRPr="000D119D">
        <w:t xml:space="preserve"> as to outcome of the referrals.</w:t>
      </w:r>
    </w:p>
    <w:p w14:paraId="4C72B055" w14:textId="37A787F4" w:rsidR="00970364" w:rsidRPr="000D119D" w:rsidRDefault="007829B5" w:rsidP="0042372B">
      <w:pPr>
        <w:pStyle w:val="Heading3"/>
      </w:pPr>
      <w:bookmarkStart w:id="124" w:name="_Ref97037281"/>
      <w:bookmarkStart w:id="125" w:name="_Ref97037312"/>
      <w:bookmarkStart w:id="126" w:name="_Ref97037725"/>
      <w:bookmarkStart w:id="127" w:name="_Toc99650361"/>
      <w:r w:rsidRPr="000D119D">
        <w:t>Impact on</w:t>
      </w:r>
      <w:r w:rsidR="00970364" w:rsidRPr="000D119D">
        <w:t xml:space="preserve"> system integration</w:t>
      </w:r>
      <w:bookmarkEnd w:id="124"/>
      <w:bookmarkEnd w:id="125"/>
      <w:bookmarkEnd w:id="126"/>
      <w:bookmarkEnd w:id="127"/>
    </w:p>
    <w:p w14:paraId="57E1F1D2" w14:textId="683B96A1" w:rsidR="005F645D" w:rsidRPr="000D119D" w:rsidRDefault="008A52DB" w:rsidP="00BE0860">
      <w:pPr>
        <w:pStyle w:val="Heading4"/>
      </w:pPr>
      <w:r w:rsidRPr="000D119D">
        <w:t>I</w:t>
      </w:r>
      <w:r w:rsidR="005F645D" w:rsidRPr="000D119D">
        <w:t xml:space="preserve">ntegration </w:t>
      </w:r>
      <w:r w:rsidRPr="000D119D">
        <w:t xml:space="preserve">with service partners, </w:t>
      </w:r>
      <w:proofErr w:type="gramStart"/>
      <w:r w:rsidRPr="000D119D">
        <w:t>in particular AMHSs</w:t>
      </w:r>
      <w:proofErr w:type="gramEnd"/>
      <w:r w:rsidR="00CB07D4" w:rsidRPr="000D119D">
        <w:t>,</w:t>
      </w:r>
      <w:r w:rsidRPr="000D119D">
        <w:t xml:space="preserve"> </w:t>
      </w:r>
      <w:r w:rsidR="00CB07D4" w:rsidRPr="000D119D">
        <w:t xml:space="preserve">has had </w:t>
      </w:r>
      <w:r w:rsidR="005F645D" w:rsidRPr="000D119D">
        <w:t>mixed success</w:t>
      </w:r>
    </w:p>
    <w:p w14:paraId="646FF0E6" w14:textId="02C32100" w:rsidR="005F645D" w:rsidRPr="000D119D" w:rsidRDefault="00142A29" w:rsidP="005F645D">
      <w:pPr>
        <w:rPr>
          <w:lang w:val="en-AU"/>
        </w:rPr>
      </w:pPr>
      <w:r w:rsidRPr="000D119D">
        <w:rPr>
          <w:noProof/>
          <w:lang w:val="en-AU"/>
        </w:rPr>
        <mc:AlternateContent>
          <mc:Choice Requires="wps">
            <w:drawing>
              <wp:anchor distT="0" distB="0" distL="114300" distR="114300" simplePos="0" relativeHeight="251699200" behindDoc="0" locked="0" layoutInCell="1" allowOverlap="1" wp14:anchorId="08570F6E" wp14:editId="283F62AD">
                <wp:simplePos x="0" y="0"/>
                <wp:positionH relativeFrom="column">
                  <wp:posOffset>2973870</wp:posOffset>
                </wp:positionH>
                <wp:positionV relativeFrom="paragraph">
                  <wp:posOffset>10188</wp:posOffset>
                </wp:positionV>
                <wp:extent cx="2463165" cy="2374265"/>
                <wp:effectExtent l="0" t="0" r="0" b="6985"/>
                <wp:wrapSquare wrapText="bothSides"/>
                <wp:docPr id="33" name="Text Box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63165" cy="2374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5F19C" w14:textId="4F013532" w:rsidR="005F645D" w:rsidRPr="00DE4F9A" w:rsidRDefault="005F645D" w:rsidP="005F645D">
                            <w:pPr>
                              <w:pStyle w:val="Callout"/>
                              <w:rPr>
                                <w:color w:val="0070C0"/>
                              </w:rPr>
                            </w:pPr>
                            <w:r w:rsidRPr="00C72099">
                              <w:rPr>
                                <w:color w:val="0070C0"/>
                              </w:rPr>
                              <w:t xml:space="preserve">‘It’s important for them to collaborate – look, all these services are great they’re brilliant, they’re awesome. [But] can we be honest and not rush and just call it for what it is?... I just feel the government of the day are just putting a band-aid approach to all of this and just throwing money for the sake of throwing money at it. Really not thinking about it from a collaborative approach.’ – </w:t>
                            </w:r>
                            <w:r w:rsidR="007C43A1">
                              <w:rPr>
                                <w:i/>
                                <w:color w:val="0070C0"/>
                              </w:rPr>
                              <w:t>Participant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570F6E" id="Text Box 33" o:spid="_x0000_s1039" type="#_x0000_t202" alt="&quot;&quot;" style="position:absolute;margin-left:234.15pt;margin-top:.8pt;width:193.95pt;height:18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" fillcolor="white [3201]" stroked="f" strokeweight=".5pt">
                <v:textbox inset="0,,1mm">
                  <w:txbxContent>
                    <w:p w14:paraId="0425F19C" w14:textId="4F013532" w:rsidR="005F645D" w:rsidRPr="00DE4F9A" w:rsidRDefault="005F645D" w:rsidP="005F645D">
                      <w:pPr>
                        <w:pStyle w:val="Callout"/>
                        <w:rPr>
                          <w:color w:val="0070C0"/>
                        </w:rPr>
                      </w:pPr>
                      <w:r w:rsidRPr="00C72099">
                        <w:rPr>
                          <w:color w:val="0070C0"/>
                        </w:rPr>
                        <w:t xml:space="preserve">‘It’s important for them to collaborate – look, all these services are great they’re brilliant, they’re awesome. [But] can we be honest and not rush and just call it for what it is?... I just feel the government of the day are just putting a band-aid approach to all of this and just throwing money for the sake of throwing money at it. Really not thinking about it from a collaborative approach.’ – </w:t>
                      </w:r>
                      <w:r w:rsidR="007C43A1">
                        <w:rPr>
                          <w:i/>
                          <w:color w:val="0070C0"/>
                        </w:rPr>
                        <w:t>Participant</w:t>
                      </w:r>
                    </w:p>
                  </w:txbxContent>
                </v:textbox>
                <w10:wrap type="square"/>
              </v:shape>
            </w:pict>
          </mc:Fallback>
        </mc:AlternateContent>
      </w:r>
      <w:r w:rsidR="005F645D" w:rsidRPr="000D119D">
        <w:rPr>
          <w:lang w:val="en-AU"/>
        </w:rPr>
        <w:t xml:space="preserve">The amount of collaboration, </w:t>
      </w:r>
      <w:proofErr w:type="gramStart"/>
      <w:r w:rsidR="005F645D" w:rsidRPr="000D119D">
        <w:rPr>
          <w:lang w:val="en-AU"/>
        </w:rPr>
        <w:t>awareness</w:t>
      </w:r>
      <w:proofErr w:type="gramEnd"/>
      <w:r w:rsidR="005F645D" w:rsidRPr="000D119D">
        <w:rPr>
          <w:lang w:val="en-AU"/>
        </w:rPr>
        <w:t xml:space="preserve"> and communication between local AMHSs</w:t>
      </w:r>
      <w:r w:rsidR="00CB07D4" w:rsidRPr="000D119D">
        <w:rPr>
          <w:lang w:val="en-AU"/>
        </w:rPr>
        <w:t xml:space="preserve"> and other service partners</w:t>
      </w:r>
      <w:r w:rsidR="00594651" w:rsidRPr="000D119D">
        <w:rPr>
          <w:lang w:val="en-AU"/>
        </w:rPr>
        <w:t>,</w:t>
      </w:r>
      <w:r w:rsidR="005F645D" w:rsidRPr="000D119D">
        <w:rPr>
          <w:lang w:val="en-AU"/>
        </w:rPr>
        <w:t xml:space="preserve"> and </w:t>
      </w:r>
      <w:proofErr w:type="spellStart"/>
      <w:r w:rsidR="005F645D" w:rsidRPr="00DE4F9A">
        <w:rPr>
          <w:rStyle w:val="Emphasis"/>
        </w:rPr>
        <w:t>HeadtoHelp</w:t>
      </w:r>
      <w:proofErr w:type="spellEnd"/>
      <w:r w:rsidR="005F645D" w:rsidRPr="000D119D">
        <w:rPr>
          <w:i/>
          <w:lang w:val="en-AU"/>
        </w:rPr>
        <w:t xml:space="preserve"> </w:t>
      </w:r>
      <w:r w:rsidR="005F645D" w:rsidRPr="000D119D">
        <w:rPr>
          <w:lang w:val="en-AU"/>
        </w:rPr>
        <w:t>hubs is mixed, although often not occurring to the extent that the model envisioned.</w:t>
      </w:r>
    </w:p>
    <w:p w14:paraId="2CF550DC" w14:textId="3BC21CFE" w:rsidR="005F645D" w:rsidRDefault="005F645D" w:rsidP="005F645D">
      <w:pPr>
        <w:rPr>
          <w:lang w:val="en-AU"/>
        </w:rPr>
      </w:pPr>
      <w:r w:rsidRPr="000D119D">
        <w:rPr>
          <w:lang w:val="en-AU"/>
        </w:rPr>
        <w:t xml:space="preserve">AMHS managers noted that some opportunities for collaboration such as the development of referral pathways were missed. AMHS staff who were unaware of the service or did not refer many participants to the service noted that the purpose and level of risk taken on by the hubs was unclear. Some staff were also sceptical of the service and the capability of hub staff to appropriately service participant’s needs. </w:t>
      </w:r>
      <w:r w:rsidR="00DC6832" w:rsidRPr="000D119D">
        <w:rPr>
          <w:lang w:val="en-AU"/>
        </w:rPr>
        <w:t xml:space="preserve">Some service partners also noted that </w:t>
      </w:r>
      <w:proofErr w:type="spellStart"/>
      <w:r w:rsidR="00DC6832" w:rsidRPr="00DE4F9A">
        <w:rPr>
          <w:rStyle w:val="Emphasis"/>
        </w:rPr>
        <w:t>HeadtoHelp</w:t>
      </w:r>
      <w:proofErr w:type="spellEnd"/>
      <w:r w:rsidR="0018521D" w:rsidRPr="000D119D">
        <w:rPr>
          <w:i/>
          <w:iCs/>
          <w:lang w:val="en-AU"/>
        </w:rPr>
        <w:t xml:space="preserve"> </w:t>
      </w:r>
      <w:r w:rsidR="0018521D" w:rsidRPr="000D119D">
        <w:rPr>
          <w:lang w:val="en-AU"/>
        </w:rPr>
        <w:t xml:space="preserve">staff did not participate consistently in regional planning and networking forums, or that there was no regular ‘face’ </w:t>
      </w:r>
      <w:r w:rsidR="00245422" w:rsidRPr="000D119D">
        <w:rPr>
          <w:lang w:val="en-AU"/>
        </w:rPr>
        <w:t xml:space="preserve">in </w:t>
      </w:r>
      <w:proofErr w:type="spellStart"/>
      <w:r w:rsidR="0018521D" w:rsidRPr="00DE4F9A">
        <w:rPr>
          <w:rStyle w:val="Emphasis"/>
        </w:rPr>
        <w:t>HeadtoHelp</w:t>
      </w:r>
      <w:proofErr w:type="spellEnd"/>
      <w:r w:rsidR="0018521D" w:rsidRPr="000D119D">
        <w:rPr>
          <w:lang w:val="en-AU"/>
        </w:rPr>
        <w:t xml:space="preserve"> </w:t>
      </w:r>
      <w:r w:rsidR="00245422" w:rsidRPr="000D119D">
        <w:rPr>
          <w:lang w:val="en-AU"/>
        </w:rPr>
        <w:t xml:space="preserve">participation. From the perspective of the </w:t>
      </w:r>
      <w:proofErr w:type="spellStart"/>
      <w:r w:rsidR="00245422" w:rsidRPr="00DE4F9A">
        <w:rPr>
          <w:rStyle w:val="Emphasis"/>
        </w:rPr>
        <w:t>HeadtoHelp</w:t>
      </w:r>
      <w:proofErr w:type="spellEnd"/>
      <w:r w:rsidR="00245422" w:rsidRPr="000D119D">
        <w:rPr>
          <w:i/>
          <w:iCs/>
          <w:lang w:val="en-AU"/>
        </w:rPr>
        <w:t xml:space="preserve"> </w:t>
      </w:r>
      <w:r w:rsidR="00245422" w:rsidRPr="000D119D">
        <w:rPr>
          <w:lang w:val="en-AU"/>
        </w:rPr>
        <w:t xml:space="preserve">hubs, many felt they did not have the resourcing to support </w:t>
      </w:r>
      <w:r w:rsidR="001262CB" w:rsidRPr="000D119D">
        <w:rPr>
          <w:lang w:val="en-AU"/>
        </w:rPr>
        <w:t>integration through these channels</w:t>
      </w:r>
      <w:r w:rsidR="00245422" w:rsidRPr="000D119D">
        <w:rPr>
          <w:lang w:val="en-AU"/>
        </w:rPr>
        <w:t>.</w:t>
      </w:r>
      <w:r w:rsidR="001262CB" w:rsidRPr="000D119D">
        <w:rPr>
          <w:lang w:val="en-AU"/>
        </w:rPr>
        <w:t xml:space="preserve"> </w:t>
      </w:r>
      <w:r w:rsidRPr="000D119D">
        <w:rPr>
          <w:lang w:val="en-AU"/>
        </w:rPr>
        <w:t xml:space="preserve">This indicates a lot of work remains to be done to develop greater trust and rapport between </w:t>
      </w:r>
      <w:proofErr w:type="spellStart"/>
      <w:r w:rsidRPr="00DE4F9A">
        <w:rPr>
          <w:rStyle w:val="Emphasis"/>
        </w:rPr>
        <w:t>HeadtoHelp</w:t>
      </w:r>
      <w:proofErr w:type="spellEnd"/>
      <w:r w:rsidRPr="000D119D">
        <w:rPr>
          <w:i/>
          <w:iCs/>
          <w:lang w:val="en-AU"/>
        </w:rPr>
        <w:t xml:space="preserve"> </w:t>
      </w:r>
      <w:r w:rsidRPr="000D119D">
        <w:rPr>
          <w:lang w:val="en-AU"/>
        </w:rPr>
        <w:t xml:space="preserve">hubs and AMHSs, and successfully build the profile of </w:t>
      </w:r>
      <w:proofErr w:type="spellStart"/>
      <w:r w:rsidRPr="00DE4F9A">
        <w:rPr>
          <w:rStyle w:val="Emphasis"/>
        </w:rPr>
        <w:t>HeadtoHelp</w:t>
      </w:r>
      <w:proofErr w:type="spellEnd"/>
      <w:r w:rsidRPr="000D119D">
        <w:rPr>
          <w:lang w:val="en-AU"/>
        </w:rPr>
        <w:t>. This may be further supported through the involvement and advocacy of the Victorian Government.</w:t>
      </w:r>
    </w:p>
    <w:p w14:paraId="3C0CC0C7" w14:textId="77777777" w:rsidR="00DE4F9A" w:rsidRPr="00DE4F9A" w:rsidRDefault="00DE4F9A" w:rsidP="00DE4F9A">
      <w:pPr>
        <w:pStyle w:val="Callout"/>
        <w:rPr>
          <w:rStyle w:val="Strong"/>
        </w:rPr>
      </w:pPr>
      <w:proofErr w:type="spellStart"/>
      <w:r w:rsidRPr="00DE4F9A">
        <w:rPr>
          <w:rStyle w:val="Strong"/>
        </w:rPr>
        <w:t>HeadtoHelp</w:t>
      </w:r>
      <w:proofErr w:type="spellEnd"/>
      <w:r w:rsidRPr="00DE4F9A">
        <w:rPr>
          <w:rStyle w:val="Strong"/>
        </w:rPr>
        <w:t xml:space="preserve"> participants and formal support people are not aware of any communication between </w:t>
      </w:r>
      <w:proofErr w:type="spellStart"/>
      <w:r w:rsidRPr="00DE4F9A">
        <w:rPr>
          <w:rStyle w:val="Strong"/>
        </w:rPr>
        <w:t>HeadtoHelp</w:t>
      </w:r>
      <w:proofErr w:type="spellEnd"/>
      <w:r w:rsidRPr="00DE4F9A">
        <w:rPr>
          <w:rStyle w:val="Strong"/>
        </w:rPr>
        <w:t xml:space="preserve"> and other mental health services they use</w:t>
      </w:r>
    </w:p>
    <w:p w14:paraId="504C6A7C" w14:textId="77777777" w:rsidR="00DE4F9A" w:rsidRPr="000D119D" w:rsidRDefault="00DE4F9A" w:rsidP="00DE4F9A">
      <w:pPr>
        <w:pStyle w:val="Callout"/>
        <w:rPr>
          <w:bCs/>
        </w:rPr>
      </w:pPr>
      <w:r w:rsidRPr="000D119D">
        <w:rPr>
          <w:bCs/>
        </w:rPr>
        <w:t xml:space="preserve">Of 54 </w:t>
      </w:r>
      <w:r>
        <w:rPr>
          <w:bCs/>
        </w:rPr>
        <w:t>participant</w:t>
      </w:r>
      <w:r w:rsidRPr="000D119D">
        <w:rPr>
          <w:bCs/>
        </w:rPr>
        <w:t xml:space="preserve">s or formal supports who were asked whether there was any communication between </w:t>
      </w:r>
      <w:proofErr w:type="spellStart"/>
      <w:r w:rsidRPr="00DE4F9A">
        <w:rPr>
          <w:rStyle w:val="Emphasis"/>
        </w:rPr>
        <w:t>HeadtoHelp</w:t>
      </w:r>
      <w:proofErr w:type="spellEnd"/>
      <w:r w:rsidRPr="000D119D">
        <w:rPr>
          <w:bCs/>
        </w:rPr>
        <w:t xml:space="preserve"> and other services that they used, 23 answered ‘I don’t know’ and 12 answered ‘no’. Only </w:t>
      </w:r>
      <w:r>
        <w:rPr>
          <w:bCs/>
        </w:rPr>
        <w:t>four</w:t>
      </w:r>
      <w:r w:rsidRPr="000D119D">
        <w:rPr>
          <w:bCs/>
        </w:rPr>
        <w:t xml:space="preserve"> answered ‘yes’, and </w:t>
      </w:r>
      <w:r>
        <w:rPr>
          <w:bCs/>
        </w:rPr>
        <w:t>ten</w:t>
      </w:r>
      <w:r w:rsidRPr="000D119D">
        <w:rPr>
          <w:bCs/>
        </w:rPr>
        <w:t xml:space="preserve"> reported ‘some level of communication’. </w:t>
      </w:r>
    </w:p>
    <w:p w14:paraId="1E9DE8DF" w14:textId="77777777" w:rsidR="00DE4F9A" w:rsidRPr="000D119D" w:rsidRDefault="00DE4F9A" w:rsidP="00DE4F9A">
      <w:pPr>
        <w:pStyle w:val="Callout"/>
        <w:rPr>
          <w:bCs/>
        </w:rPr>
      </w:pPr>
      <w:r w:rsidRPr="000D119D">
        <w:rPr>
          <w:bCs/>
        </w:rPr>
        <w:t>Those who did report a collaborative approach between their supports highly valued this approach, and several mentioned that they had strongly advocated for it themselves.</w:t>
      </w:r>
    </w:p>
    <w:p w14:paraId="2AFB73FA" w14:textId="77777777" w:rsidR="00DE4F9A" w:rsidRPr="000D119D" w:rsidRDefault="00DE4F9A" w:rsidP="00DE4F9A">
      <w:pPr>
        <w:pStyle w:val="Callout"/>
        <w:rPr>
          <w:bCs/>
        </w:rPr>
      </w:pPr>
      <w:r w:rsidRPr="000D119D">
        <w:rPr>
          <w:bCs/>
        </w:rPr>
        <w:t>“When I do go to a doctor’s appointment, they ask me whether I want them to be in the room with us… I get them to come in with me so the more they know about me and my problems, the more they can help me, that’s my mentality.”</w:t>
      </w:r>
    </w:p>
    <w:p w14:paraId="0B9D03CF" w14:textId="77777777" w:rsidR="00DE4F9A" w:rsidRPr="000D119D" w:rsidRDefault="00DE4F9A" w:rsidP="00DE4F9A">
      <w:pPr>
        <w:pStyle w:val="Callout"/>
        <w:rPr>
          <w:bCs/>
        </w:rPr>
      </w:pPr>
      <w:r w:rsidRPr="000D119D">
        <w:rPr>
          <w:bCs/>
        </w:rPr>
        <w:t xml:space="preserve">Most participants who reported no communication either did not expect this to happen, did not think it was needed, or thought it would happen if required. However, </w:t>
      </w:r>
      <w:r>
        <w:rPr>
          <w:bCs/>
        </w:rPr>
        <w:t>ten</w:t>
      </w:r>
      <w:r w:rsidRPr="000D119D">
        <w:rPr>
          <w:bCs/>
        </w:rPr>
        <w:t xml:space="preserve"> participants thought that more communication would be helpful or was needed. </w:t>
      </w:r>
    </w:p>
    <w:p w14:paraId="20DF00AF" w14:textId="21A7C257" w:rsidR="00DE4F9A" w:rsidRPr="000D119D" w:rsidRDefault="00DE4F9A" w:rsidP="00DE4F9A">
      <w:pPr>
        <w:pStyle w:val="Callout"/>
      </w:pPr>
      <w:r w:rsidRPr="000D119D">
        <w:rPr>
          <w:bCs/>
        </w:rPr>
        <w:t xml:space="preserve">One type of collaboration experienced by only two people but seen as extremely beneficial, was between a </w:t>
      </w:r>
      <w:proofErr w:type="spellStart"/>
      <w:r w:rsidRPr="00DE4F9A">
        <w:rPr>
          <w:rStyle w:val="Emphasis"/>
        </w:rPr>
        <w:t>HeadtoHelp</w:t>
      </w:r>
      <w:proofErr w:type="spellEnd"/>
      <w:r w:rsidRPr="000D119D">
        <w:rPr>
          <w:bCs/>
        </w:rPr>
        <w:t xml:space="preserve"> psychiatrist and a GP around medication.</w:t>
      </w:r>
    </w:p>
    <w:p w14:paraId="1B07EAD0" w14:textId="10E0E00B" w:rsidR="005F645D" w:rsidRPr="000D119D" w:rsidRDefault="005F645D" w:rsidP="00BE0860">
      <w:pPr>
        <w:pStyle w:val="Heading4"/>
      </w:pPr>
      <w:r w:rsidRPr="000D119D">
        <w:t>However, there are success factors that have improved integration</w:t>
      </w:r>
    </w:p>
    <w:p w14:paraId="272CAC98" w14:textId="52ACAB2E" w:rsidR="009C025E" w:rsidRPr="000D119D" w:rsidRDefault="00CB4849" w:rsidP="009C025E">
      <w:pPr>
        <w:rPr>
          <w:lang w:val="en-AU"/>
        </w:rPr>
      </w:pPr>
      <w:r w:rsidRPr="000D119D">
        <w:rPr>
          <w:lang w:val="en-AU" w:eastAsia="en-AU"/>
        </w:rPr>
        <w:t>De</w:t>
      </w:r>
      <w:r w:rsidR="00572564" w:rsidRPr="000D119D">
        <w:rPr>
          <w:lang w:val="en-AU" w:eastAsia="en-AU"/>
        </w:rPr>
        <w:t>liberate and genuine partnerships, as well as co</w:t>
      </w:r>
      <w:r w:rsidR="00DE78A8">
        <w:rPr>
          <w:lang w:val="en-AU" w:eastAsia="en-AU"/>
        </w:rPr>
        <w:t>-</w:t>
      </w:r>
      <w:r w:rsidR="00572564" w:rsidRPr="000D119D">
        <w:rPr>
          <w:lang w:val="en-AU" w:eastAsia="en-AU"/>
        </w:rPr>
        <w:t>location, has supported greater integration of</w:t>
      </w:r>
      <w:r w:rsidR="005F645D" w:rsidRPr="000D119D">
        <w:rPr>
          <w:lang w:val="en-AU" w:eastAsia="en-AU"/>
        </w:rPr>
        <w:t xml:space="preserve"> </w:t>
      </w:r>
      <w:proofErr w:type="spellStart"/>
      <w:r w:rsidR="005F645D" w:rsidRPr="00DE4F9A">
        <w:rPr>
          <w:rStyle w:val="Emphasis"/>
        </w:rPr>
        <w:t>HeadtoHelp</w:t>
      </w:r>
      <w:proofErr w:type="spellEnd"/>
      <w:r w:rsidR="005F645D" w:rsidRPr="000D119D">
        <w:rPr>
          <w:i/>
          <w:iCs/>
          <w:lang w:val="en-AU" w:eastAsia="en-AU"/>
        </w:rPr>
        <w:t xml:space="preserve"> </w:t>
      </w:r>
      <w:r w:rsidR="005F645D" w:rsidRPr="000D119D">
        <w:rPr>
          <w:lang w:val="en-AU" w:eastAsia="en-AU"/>
        </w:rPr>
        <w:t xml:space="preserve">hubs </w:t>
      </w:r>
      <w:r w:rsidR="00572564" w:rsidRPr="000D119D">
        <w:rPr>
          <w:lang w:val="en-AU" w:eastAsia="en-AU"/>
        </w:rPr>
        <w:t xml:space="preserve">with the broader mental health system. </w:t>
      </w:r>
      <w:r w:rsidR="005F645D" w:rsidRPr="000D119D">
        <w:rPr>
          <w:lang w:val="en-AU" w:eastAsia="en-AU"/>
        </w:rPr>
        <w:t xml:space="preserve">Details on </w:t>
      </w:r>
      <w:r w:rsidR="00572564" w:rsidRPr="000D119D">
        <w:rPr>
          <w:lang w:val="en-AU" w:eastAsia="en-AU"/>
        </w:rPr>
        <w:t>each</w:t>
      </w:r>
      <w:r w:rsidR="005F645D" w:rsidRPr="000D119D">
        <w:rPr>
          <w:lang w:val="en-AU" w:eastAsia="en-AU"/>
        </w:rPr>
        <w:t xml:space="preserve"> success and the outcome </w:t>
      </w:r>
      <w:r w:rsidR="005F645D" w:rsidRPr="000D119D">
        <w:rPr>
          <w:lang w:val="en-AU" w:eastAsia="en-AU"/>
        </w:rPr>
        <w:lastRenderedPageBreak/>
        <w:t xml:space="preserve">observed are outlined in </w:t>
      </w:r>
      <w:r w:rsidR="005F645D" w:rsidRPr="000D119D">
        <w:rPr>
          <w:lang w:val="en-AU" w:eastAsia="en-AU"/>
        </w:rPr>
        <w:fldChar w:fldCharType="begin"/>
      </w:r>
      <w:r w:rsidR="005F645D" w:rsidRPr="000D119D">
        <w:rPr>
          <w:lang w:val="en-AU" w:eastAsia="en-AU"/>
        </w:rPr>
        <w:instrText xml:space="preserve"> REF _Ref78974333 \h </w:instrText>
      </w:r>
      <w:r w:rsidR="005F645D" w:rsidRPr="000D119D">
        <w:rPr>
          <w:lang w:val="en-AU" w:eastAsia="en-AU"/>
        </w:rPr>
      </w:r>
      <w:r w:rsidR="005F645D" w:rsidRPr="000D119D">
        <w:rPr>
          <w:lang w:val="en-AU" w:eastAsia="en-AU"/>
        </w:rPr>
        <w:fldChar w:fldCharType="separate"/>
      </w:r>
      <w:r w:rsidR="00562174" w:rsidRPr="000D119D">
        <w:t xml:space="preserve">Table </w:t>
      </w:r>
      <w:r w:rsidR="00562174">
        <w:rPr>
          <w:noProof/>
        </w:rPr>
        <w:t>4</w:t>
      </w:r>
      <w:r w:rsidR="005F645D" w:rsidRPr="000D119D">
        <w:rPr>
          <w:lang w:val="en-AU" w:eastAsia="en-AU"/>
        </w:rPr>
        <w:fldChar w:fldCharType="end"/>
      </w:r>
      <w:r w:rsidR="005F645D" w:rsidRPr="000D119D">
        <w:rPr>
          <w:lang w:val="en-AU" w:eastAsia="en-AU"/>
        </w:rPr>
        <w:t xml:space="preserve">. </w:t>
      </w:r>
      <w:r w:rsidR="009A2F45" w:rsidRPr="000D119D">
        <w:rPr>
          <w:lang w:val="en-AU" w:eastAsia="en-AU"/>
        </w:rPr>
        <w:t xml:space="preserve">Two case studies illustrating how specific </w:t>
      </w:r>
      <w:proofErr w:type="spellStart"/>
      <w:r w:rsidR="009A2F45" w:rsidRPr="00DE4F9A">
        <w:rPr>
          <w:rStyle w:val="Emphasis"/>
        </w:rPr>
        <w:t>HeadtoHelp</w:t>
      </w:r>
      <w:proofErr w:type="spellEnd"/>
      <w:r w:rsidR="009A2F45" w:rsidRPr="000D119D">
        <w:rPr>
          <w:i/>
          <w:iCs/>
          <w:lang w:val="en-AU" w:eastAsia="en-AU"/>
        </w:rPr>
        <w:t xml:space="preserve"> </w:t>
      </w:r>
      <w:r w:rsidR="009A2F45" w:rsidRPr="000D119D">
        <w:rPr>
          <w:lang w:val="en-AU" w:eastAsia="en-AU"/>
        </w:rPr>
        <w:t>hubs and PHNs have adopted these approaches are detailed below</w:t>
      </w:r>
      <w:r w:rsidR="00CD6630" w:rsidRPr="000D119D">
        <w:rPr>
          <w:lang w:val="en-AU" w:eastAsia="en-AU"/>
        </w:rPr>
        <w:t xml:space="preserve"> (</w:t>
      </w:r>
      <w:r w:rsidR="00357F9B">
        <w:rPr>
          <w:lang w:val="en-AU" w:eastAsia="en-AU"/>
        </w:rPr>
        <w:fldChar w:fldCharType="begin"/>
      </w:r>
      <w:r w:rsidR="00357F9B">
        <w:rPr>
          <w:lang w:val="en-AU" w:eastAsia="en-AU"/>
        </w:rPr>
        <w:instrText xml:space="preserve"> REF _Ref97046536 \h </w:instrText>
      </w:r>
      <w:r w:rsidR="00357F9B">
        <w:rPr>
          <w:lang w:val="en-AU" w:eastAsia="en-AU"/>
        </w:rPr>
      </w:r>
      <w:r w:rsidR="00357F9B">
        <w:rPr>
          <w:lang w:val="en-AU" w:eastAsia="en-AU"/>
        </w:rPr>
        <w:fldChar w:fldCharType="separate"/>
      </w:r>
      <w:r w:rsidR="00562174">
        <w:t xml:space="preserve">Figure </w:t>
      </w:r>
      <w:r w:rsidR="00562174">
        <w:rPr>
          <w:noProof/>
        </w:rPr>
        <w:t>38</w:t>
      </w:r>
      <w:r w:rsidR="00357F9B">
        <w:rPr>
          <w:lang w:val="en-AU" w:eastAsia="en-AU"/>
        </w:rPr>
        <w:fldChar w:fldCharType="end"/>
      </w:r>
      <w:r w:rsidR="00CD6630" w:rsidRPr="000D119D">
        <w:rPr>
          <w:lang w:val="en-AU" w:eastAsia="en-AU"/>
        </w:rPr>
        <w:t>)</w:t>
      </w:r>
      <w:r w:rsidR="009A2F45" w:rsidRPr="000D119D">
        <w:rPr>
          <w:lang w:val="en-AU" w:eastAsia="en-AU"/>
        </w:rPr>
        <w:t xml:space="preserve">. </w:t>
      </w:r>
      <w:r w:rsidR="009C025E" w:rsidRPr="000D119D">
        <w:rPr>
          <w:lang w:val="en-AU" w:eastAsia="en-AU"/>
        </w:rPr>
        <w:t>T</w:t>
      </w:r>
      <w:r w:rsidR="009C025E" w:rsidRPr="000D119D">
        <w:rPr>
          <w:lang w:val="en-AU"/>
        </w:rPr>
        <w:t xml:space="preserve">hese success factors are likely not specific to </w:t>
      </w:r>
      <w:proofErr w:type="spellStart"/>
      <w:r w:rsidR="009C025E" w:rsidRPr="00DE4F9A">
        <w:rPr>
          <w:rStyle w:val="Emphasis"/>
        </w:rPr>
        <w:t>HeadtoHelp</w:t>
      </w:r>
      <w:proofErr w:type="spellEnd"/>
      <w:r w:rsidR="009C025E" w:rsidRPr="000D119D">
        <w:rPr>
          <w:i/>
          <w:iCs/>
          <w:lang w:val="en-AU"/>
        </w:rPr>
        <w:t xml:space="preserve"> </w:t>
      </w:r>
      <w:r w:rsidR="009C025E" w:rsidRPr="000D119D">
        <w:rPr>
          <w:lang w:val="en-AU"/>
        </w:rPr>
        <w:t>and therefore are applicable to other mental health programs such as the AMHCs.</w:t>
      </w:r>
    </w:p>
    <w:p w14:paraId="19C7E5C3" w14:textId="6E8A0EC9" w:rsidR="005F645D" w:rsidRPr="000D119D" w:rsidRDefault="009A2F45" w:rsidP="005F645D">
      <w:pPr>
        <w:rPr>
          <w:lang w:val="en-AU" w:eastAsia="en-AU"/>
        </w:rPr>
      </w:pPr>
      <w:r w:rsidRPr="000D119D">
        <w:rPr>
          <w:lang w:val="en-AU" w:eastAsia="en-AU"/>
        </w:rPr>
        <w:t xml:space="preserve">In addition to these specific factors, stakeholders also noted that it takes time for new services to be embedded and integrated within the broader system – particularly in a context of </w:t>
      </w:r>
      <w:r w:rsidR="001738B3" w:rsidRPr="000D119D">
        <w:rPr>
          <w:lang w:val="en-AU" w:eastAsia="en-AU"/>
        </w:rPr>
        <w:t>typically short-term funded initiatives – noting there is often a layer of scepti</w:t>
      </w:r>
      <w:r w:rsidR="00BF2743" w:rsidRPr="000D119D">
        <w:rPr>
          <w:lang w:val="en-AU" w:eastAsia="en-AU"/>
        </w:rPr>
        <w:t>ci</w:t>
      </w:r>
      <w:r w:rsidR="001738B3" w:rsidRPr="000D119D">
        <w:rPr>
          <w:lang w:val="en-AU" w:eastAsia="en-AU"/>
        </w:rPr>
        <w:t xml:space="preserve">sm </w:t>
      </w:r>
      <w:r w:rsidR="00BF2743" w:rsidRPr="000D119D">
        <w:rPr>
          <w:lang w:val="en-AU" w:eastAsia="en-AU"/>
        </w:rPr>
        <w:t xml:space="preserve">as to how long new players will ‘be around’ – which can be a disincentive </w:t>
      </w:r>
      <w:r w:rsidR="00E120B1" w:rsidRPr="000D119D">
        <w:rPr>
          <w:lang w:val="en-AU" w:eastAsia="en-AU"/>
        </w:rPr>
        <w:t xml:space="preserve">to engagement. </w:t>
      </w:r>
    </w:p>
    <w:p w14:paraId="24C62629" w14:textId="7AC28BDA" w:rsidR="005F645D" w:rsidRPr="000D119D" w:rsidRDefault="005F645D" w:rsidP="005F645D">
      <w:pPr>
        <w:pStyle w:val="Caption"/>
      </w:pPr>
      <w:bookmarkStart w:id="128" w:name="_Ref78974333"/>
      <w:r w:rsidRPr="000D119D">
        <w:t xml:space="preserve">Table </w:t>
      </w:r>
      <w:r w:rsidRPr="000D119D">
        <w:fldChar w:fldCharType="begin"/>
      </w:r>
      <w:r w:rsidRPr="000D119D">
        <w:instrText xml:space="preserve"> SEQ Table \* ARABIC </w:instrText>
      </w:r>
      <w:r w:rsidRPr="000D119D">
        <w:fldChar w:fldCharType="separate"/>
      </w:r>
      <w:r w:rsidR="00562174">
        <w:rPr>
          <w:noProof/>
        </w:rPr>
        <w:t>4</w:t>
      </w:r>
      <w:r w:rsidRPr="000D119D">
        <w:fldChar w:fldCharType="end"/>
      </w:r>
      <w:bookmarkEnd w:id="128"/>
      <w:r w:rsidRPr="000D119D">
        <w:t xml:space="preserve"> | Integration success factors</w:t>
      </w:r>
    </w:p>
    <w:tbl>
      <w:tblPr>
        <w:tblStyle w:val="NousTableStyletopandsideheading"/>
        <w:tblW w:w="0" w:type="auto"/>
        <w:tblLook w:val="04A0" w:firstRow="1" w:lastRow="0" w:firstColumn="1" w:lastColumn="0" w:noHBand="0" w:noVBand="1"/>
        <w:tblDescription w:val="Table 4 is list of Integration success factors"/>
      </w:tblPr>
      <w:tblGrid>
        <w:gridCol w:w="2070"/>
        <w:gridCol w:w="3685"/>
        <w:gridCol w:w="3345"/>
      </w:tblGrid>
      <w:tr w:rsidR="005F645D" w:rsidRPr="00141636" w14:paraId="54A11A5E" w14:textId="77777777" w:rsidTr="00DE4F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70" w:type="dxa"/>
            <w:tcBorders>
              <w:top w:val="single" w:sz="18" w:space="0" w:color="0070C0"/>
              <w:bottom w:val="single" w:sz="8" w:space="0" w:color="F9F9F9"/>
            </w:tcBorders>
          </w:tcPr>
          <w:p w14:paraId="60B2AED6" w14:textId="77777777" w:rsidR="005F645D" w:rsidRPr="000D119D" w:rsidRDefault="005F645D" w:rsidP="00382FFF">
            <w:pPr>
              <w:pStyle w:val="TableNheader"/>
              <w:rPr>
                <w:b w:val="0"/>
                <w:bCs/>
              </w:rPr>
            </w:pPr>
            <w:r w:rsidRPr="000D119D">
              <w:rPr>
                <w:b w:val="0"/>
                <w:bCs/>
              </w:rPr>
              <w:t>Success factor</w:t>
            </w:r>
          </w:p>
        </w:tc>
        <w:tc>
          <w:tcPr>
            <w:tcW w:w="3685" w:type="dxa"/>
            <w:tcBorders>
              <w:top w:val="single" w:sz="18" w:space="0" w:color="0070C0"/>
              <w:bottom w:val="single" w:sz="8" w:space="0" w:color="F9F9F9"/>
            </w:tcBorders>
          </w:tcPr>
          <w:p w14:paraId="41EA2D92" w14:textId="77777777" w:rsidR="005F645D" w:rsidRPr="000D119D" w:rsidRDefault="005F645D" w:rsidP="00382FFF">
            <w:pPr>
              <w:pStyle w:val="TableNheader"/>
              <w:cnfStyle w:val="100000000000" w:firstRow="1" w:lastRow="0" w:firstColumn="0" w:lastColumn="0" w:oddVBand="0" w:evenVBand="0" w:oddHBand="0" w:evenHBand="0" w:firstRowFirstColumn="0" w:firstRowLastColumn="0" w:lastRowFirstColumn="0" w:lastRowLastColumn="0"/>
              <w:rPr>
                <w:b w:val="0"/>
                <w:bCs/>
              </w:rPr>
            </w:pPr>
            <w:r w:rsidRPr="000D119D">
              <w:rPr>
                <w:b w:val="0"/>
                <w:bCs/>
              </w:rPr>
              <w:t>Details</w:t>
            </w:r>
          </w:p>
        </w:tc>
        <w:tc>
          <w:tcPr>
            <w:tcW w:w="3345" w:type="dxa"/>
            <w:tcBorders>
              <w:top w:val="single" w:sz="18" w:space="0" w:color="0070C0"/>
              <w:bottom w:val="single" w:sz="8" w:space="0" w:color="F9F9F9"/>
            </w:tcBorders>
          </w:tcPr>
          <w:p w14:paraId="4FE30E1C" w14:textId="77777777" w:rsidR="005F645D" w:rsidRPr="000D119D" w:rsidRDefault="005F645D" w:rsidP="00382FFF">
            <w:pPr>
              <w:pStyle w:val="TableNheader"/>
              <w:cnfStyle w:val="100000000000" w:firstRow="1" w:lastRow="0" w:firstColumn="0" w:lastColumn="0" w:oddVBand="0" w:evenVBand="0" w:oddHBand="0" w:evenHBand="0" w:firstRowFirstColumn="0" w:firstRowLastColumn="0" w:lastRowFirstColumn="0" w:lastRowLastColumn="0"/>
              <w:rPr>
                <w:b w:val="0"/>
                <w:bCs/>
              </w:rPr>
            </w:pPr>
            <w:r w:rsidRPr="000D119D">
              <w:rPr>
                <w:b w:val="0"/>
                <w:bCs/>
              </w:rPr>
              <w:t>Outcome observed in evaluation</w:t>
            </w:r>
          </w:p>
        </w:tc>
      </w:tr>
      <w:tr w:rsidR="005F645D" w:rsidRPr="00141636" w14:paraId="18E7FE80" w14:textId="77777777" w:rsidTr="00382FFF">
        <w:tc>
          <w:tcPr>
            <w:cnfStyle w:val="001000000000" w:firstRow="0" w:lastRow="0" w:firstColumn="1" w:lastColumn="0" w:oddVBand="0" w:evenVBand="0" w:oddHBand="0" w:evenHBand="0" w:firstRowFirstColumn="0" w:firstRowLastColumn="0" w:lastRowFirstColumn="0" w:lastRowLastColumn="0"/>
            <w:tcW w:w="2070" w:type="dxa"/>
            <w:tcBorders>
              <w:top w:val="single" w:sz="8" w:space="0" w:color="F9F9F9"/>
            </w:tcBorders>
          </w:tcPr>
          <w:p w14:paraId="437D6BF4" w14:textId="77777777" w:rsidR="005F645D" w:rsidRPr="000D119D" w:rsidRDefault="005F645D" w:rsidP="00382FFF">
            <w:pPr>
              <w:pStyle w:val="TableNheader"/>
              <w:jc w:val="left"/>
              <w:rPr>
                <w:b w:val="0"/>
                <w:i/>
              </w:rPr>
            </w:pPr>
            <w:r w:rsidRPr="000D119D">
              <w:rPr>
                <w:b w:val="0"/>
                <w:bCs/>
              </w:rPr>
              <w:t xml:space="preserve">Establishing genuine partnerships with LHDs and AMHSs to build trust in </w:t>
            </w:r>
            <w:proofErr w:type="spellStart"/>
            <w:r w:rsidRPr="000D119D">
              <w:rPr>
                <w:b w:val="0"/>
                <w:bCs/>
                <w:i/>
                <w:iCs/>
              </w:rPr>
              <w:t>HeadtoHelp</w:t>
            </w:r>
            <w:proofErr w:type="spellEnd"/>
          </w:p>
        </w:tc>
        <w:tc>
          <w:tcPr>
            <w:tcW w:w="3685" w:type="dxa"/>
            <w:tcBorders>
              <w:top w:val="single" w:sz="8" w:space="0" w:color="F9F9F9"/>
            </w:tcBorders>
          </w:tcPr>
          <w:p w14:paraId="3DA34762" w14:textId="77777777" w:rsidR="005F645D" w:rsidRPr="000D119D" w:rsidRDefault="005F645D" w:rsidP="00382FFF">
            <w:pPr>
              <w:pStyle w:val="TableNText"/>
              <w:cnfStyle w:val="000000000000" w:firstRow="0" w:lastRow="0" w:firstColumn="0" w:lastColumn="0" w:oddVBand="0" w:evenVBand="0" w:oddHBand="0" w:evenHBand="0" w:firstRowFirstColumn="0" w:firstRowLastColumn="0" w:lastRowFirstColumn="0" w:lastRowLastColumn="0"/>
            </w:pPr>
            <w:r w:rsidRPr="000D119D">
              <w:t xml:space="preserve">Factors that have been critical to </w:t>
            </w:r>
            <w:proofErr w:type="spellStart"/>
            <w:r w:rsidRPr="000D119D">
              <w:rPr>
                <w:i/>
                <w:iCs/>
              </w:rPr>
              <w:t>HeadtoHelp</w:t>
            </w:r>
            <w:proofErr w:type="spellEnd"/>
            <w:r w:rsidRPr="000D119D">
              <w:rPr>
                <w:i/>
                <w:iCs/>
              </w:rPr>
              <w:t xml:space="preserve"> </w:t>
            </w:r>
            <w:r w:rsidRPr="000D119D">
              <w:t>hub providers forming genuine relationships:</w:t>
            </w:r>
          </w:p>
          <w:p w14:paraId="3BF648FA" w14:textId="564E5525" w:rsidR="005F645D" w:rsidRPr="000D119D" w:rsidRDefault="005F645D" w:rsidP="00382FFF">
            <w:pPr>
              <w:pStyle w:val="TableNBullet"/>
              <w:cnfStyle w:val="000000000000" w:firstRow="0" w:lastRow="0" w:firstColumn="0" w:lastColumn="0" w:oddVBand="0" w:evenVBand="0" w:oddHBand="0" w:evenHBand="0" w:firstRowFirstColumn="0" w:firstRowLastColumn="0" w:lastRowFirstColumn="0" w:lastRowLastColumn="0"/>
            </w:pPr>
            <w:r w:rsidRPr="000D119D">
              <w:t>Awareness of changes within the service environment (e.g., restructures in AMHSs, new organisation executives, etc.)</w:t>
            </w:r>
            <w:r w:rsidR="00231840">
              <w:t>.</w:t>
            </w:r>
          </w:p>
          <w:p w14:paraId="725A7882" w14:textId="77777777" w:rsidR="005F645D" w:rsidRPr="000D119D" w:rsidRDefault="005F645D" w:rsidP="00382FFF">
            <w:pPr>
              <w:pStyle w:val="TableNBullet"/>
              <w:cnfStyle w:val="000000000000" w:firstRow="0" w:lastRow="0" w:firstColumn="0" w:lastColumn="0" w:oddVBand="0" w:evenVBand="0" w:oddHBand="0" w:evenHBand="0" w:firstRowFirstColumn="0" w:firstRowLastColumn="0" w:lastRowFirstColumn="0" w:lastRowLastColumn="0"/>
            </w:pPr>
            <w:r w:rsidRPr="000D119D">
              <w:t xml:space="preserve">Identifying how the IAR and state-wide mental health triage scale </w:t>
            </w:r>
            <w:proofErr w:type="spellStart"/>
            <w:r w:rsidRPr="000D119D">
              <w:t>compliment</w:t>
            </w:r>
            <w:proofErr w:type="spellEnd"/>
            <w:r w:rsidRPr="000D119D">
              <w:t xml:space="preserve"> each other.</w:t>
            </w:r>
          </w:p>
          <w:p w14:paraId="13CDFD54" w14:textId="77777777" w:rsidR="005F645D" w:rsidRPr="000D119D" w:rsidRDefault="005F645D" w:rsidP="00382FFF">
            <w:pPr>
              <w:pStyle w:val="TableNBullet"/>
              <w:cnfStyle w:val="000000000000" w:firstRow="0" w:lastRow="0" w:firstColumn="0" w:lastColumn="0" w:oddVBand="0" w:evenVBand="0" w:oddHBand="0" w:evenHBand="0" w:firstRowFirstColumn="0" w:firstRowLastColumn="0" w:lastRowFirstColumn="0" w:lastRowLastColumn="0"/>
            </w:pPr>
            <w:r w:rsidRPr="000D119D">
              <w:t>Providing reciprocal opportunities for staff across organisations.</w:t>
            </w:r>
          </w:p>
        </w:tc>
        <w:tc>
          <w:tcPr>
            <w:tcW w:w="3345" w:type="dxa"/>
            <w:tcBorders>
              <w:top w:val="single" w:sz="8" w:space="0" w:color="F9F9F9"/>
            </w:tcBorders>
          </w:tcPr>
          <w:p w14:paraId="607C3AC8" w14:textId="583F1CCC" w:rsidR="005F645D" w:rsidRPr="000D119D" w:rsidRDefault="005F645D" w:rsidP="00382FFF">
            <w:pPr>
              <w:pStyle w:val="TableNText"/>
              <w:cnfStyle w:val="000000000000" w:firstRow="0" w:lastRow="0" w:firstColumn="0" w:lastColumn="0" w:oddVBand="0" w:evenVBand="0" w:oddHBand="0" w:evenHBand="0" w:firstRowFirstColumn="0" w:firstRowLastColumn="0" w:lastRowFirstColumn="0" w:lastRowLastColumn="0"/>
            </w:pPr>
            <w:r w:rsidRPr="000D119D">
              <w:t xml:space="preserve">The evaluation found that some service providers in the </w:t>
            </w:r>
            <w:r w:rsidR="00160D51" w:rsidRPr="000D119D">
              <w:t>MPHN</w:t>
            </w:r>
            <w:r w:rsidRPr="000D119D">
              <w:t xml:space="preserve"> and </w:t>
            </w:r>
            <w:r w:rsidR="00160D51" w:rsidRPr="000D119D">
              <w:t>WVPHN</w:t>
            </w:r>
            <w:r w:rsidRPr="000D119D">
              <w:t xml:space="preserve"> regions have established closer working relationships with AMHSs in their region, which service providers reported anecdotally resulted in </w:t>
            </w:r>
            <w:proofErr w:type="gramStart"/>
            <w:r w:rsidRPr="000D119D">
              <w:t>the majority of</w:t>
            </w:r>
            <w:proofErr w:type="gramEnd"/>
            <w:r w:rsidRPr="000D119D">
              <w:t xml:space="preserve"> referrals to </w:t>
            </w:r>
            <w:proofErr w:type="spellStart"/>
            <w:r w:rsidRPr="000D119D">
              <w:rPr>
                <w:i/>
              </w:rPr>
              <w:t>HeadtoHelp</w:t>
            </w:r>
            <w:proofErr w:type="spellEnd"/>
            <w:r w:rsidRPr="000D119D">
              <w:t xml:space="preserve"> from AMHSs in these regions. This </w:t>
            </w:r>
            <w:r w:rsidR="00DE78A8">
              <w:t>is</w:t>
            </w:r>
            <w:r w:rsidRPr="000D119D">
              <w:t xml:space="preserve"> validated through analysis of the PMHC-MDS and </w:t>
            </w:r>
            <w:proofErr w:type="spellStart"/>
            <w:r w:rsidRPr="000D119D">
              <w:rPr>
                <w:i/>
                <w:iCs/>
              </w:rPr>
              <w:t>HeadtoHelp</w:t>
            </w:r>
            <w:proofErr w:type="spellEnd"/>
            <w:r w:rsidRPr="000D119D">
              <w:rPr>
                <w:i/>
                <w:iCs/>
              </w:rPr>
              <w:t xml:space="preserve"> </w:t>
            </w:r>
            <w:r w:rsidRPr="000D119D">
              <w:t>extension</w:t>
            </w:r>
            <w:r w:rsidR="00DE78A8">
              <w:t xml:space="preserve"> in Section </w:t>
            </w:r>
            <w:r w:rsidR="00FB78C6">
              <w:fldChar w:fldCharType="begin"/>
            </w:r>
            <w:r w:rsidR="00FB78C6">
              <w:instrText xml:space="preserve"> REF _Ref97037281 \r \h </w:instrText>
            </w:r>
            <w:r w:rsidR="00FB78C6">
              <w:fldChar w:fldCharType="separate"/>
            </w:r>
            <w:r w:rsidR="00562174">
              <w:t>5.2.3</w:t>
            </w:r>
            <w:r w:rsidR="00FB78C6">
              <w:fldChar w:fldCharType="end"/>
            </w:r>
            <w:r w:rsidRPr="000D119D">
              <w:t>.</w:t>
            </w:r>
          </w:p>
        </w:tc>
      </w:tr>
      <w:tr w:rsidR="005F645D" w:rsidRPr="00141636" w14:paraId="73B492B4" w14:textId="77777777" w:rsidTr="00382FFF">
        <w:tc>
          <w:tcPr>
            <w:cnfStyle w:val="001000000000" w:firstRow="0" w:lastRow="0" w:firstColumn="1" w:lastColumn="0" w:oddVBand="0" w:evenVBand="0" w:oddHBand="0" w:evenHBand="0" w:firstRowFirstColumn="0" w:firstRowLastColumn="0" w:lastRowFirstColumn="0" w:lastRowLastColumn="0"/>
            <w:tcW w:w="2070" w:type="dxa"/>
          </w:tcPr>
          <w:p w14:paraId="171B20EF" w14:textId="77777777" w:rsidR="005F645D" w:rsidRPr="000D119D" w:rsidRDefault="005F645D" w:rsidP="00382FFF">
            <w:pPr>
              <w:pStyle w:val="TableNheader"/>
              <w:jc w:val="left"/>
              <w:rPr>
                <w:b w:val="0"/>
                <w:bCs/>
              </w:rPr>
            </w:pPr>
            <w:r w:rsidRPr="000D119D">
              <w:rPr>
                <w:b w:val="0"/>
                <w:bCs/>
              </w:rPr>
              <w:t>Co-location with AMHSs, community health services and GP clinics</w:t>
            </w:r>
            <w:r w:rsidRPr="000D119D">
              <w:t xml:space="preserve"> </w:t>
            </w:r>
            <w:r w:rsidRPr="000D119D">
              <w:rPr>
                <w:b w:val="0"/>
                <w:bCs/>
              </w:rPr>
              <w:t xml:space="preserve">improved the accessibility and awareness of </w:t>
            </w:r>
            <w:proofErr w:type="spellStart"/>
            <w:r w:rsidRPr="000D119D">
              <w:rPr>
                <w:b w:val="0"/>
                <w:bCs/>
                <w:i/>
                <w:iCs/>
              </w:rPr>
              <w:t>HeadtoHelp</w:t>
            </w:r>
            <w:proofErr w:type="spellEnd"/>
          </w:p>
        </w:tc>
        <w:tc>
          <w:tcPr>
            <w:tcW w:w="3685" w:type="dxa"/>
          </w:tcPr>
          <w:p w14:paraId="06CB3FA7" w14:textId="30A6666E" w:rsidR="005F645D" w:rsidRPr="000D119D" w:rsidRDefault="005F645D" w:rsidP="00382FFF">
            <w:pPr>
              <w:pStyle w:val="TableNText"/>
              <w:cnfStyle w:val="000000000000" w:firstRow="0" w:lastRow="0" w:firstColumn="0" w:lastColumn="0" w:oddVBand="0" w:evenVBand="0" w:oddHBand="0" w:evenHBand="0" w:firstRowFirstColumn="0" w:firstRowLastColumn="0" w:lastRowFirstColumn="0" w:lastRowLastColumn="0"/>
            </w:pPr>
            <w:proofErr w:type="gramStart"/>
            <w:r w:rsidRPr="000D119D">
              <w:t>The majority of</w:t>
            </w:r>
            <w:proofErr w:type="gramEnd"/>
            <w:r w:rsidRPr="000D119D">
              <w:t xml:space="preserve"> hubs are co-located with community or tertiary health services. Of the 15 </w:t>
            </w:r>
            <w:r w:rsidR="009E3989" w:rsidRPr="000D119D">
              <w:t>hubs</w:t>
            </w:r>
            <w:r w:rsidRPr="000D119D">
              <w:t xml:space="preserve"> and nine satellites currently operating, services have been co-located in general practices (13), community health services (five), a hospital (one) and in a specialised mental health service (one).</w:t>
            </w:r>
          </w:p>
          <w:p w14:paraId="3E55A071" w14:textId="77777777" w:rsidR="005F645D" w:rsidRPr="000D119D" w:rsidRDefault="005F645D" w:rsidP="00382FFF">
            <w:pPr>
              <w:pStyle w:val="TableNText"/>
              <w:cnfStyle w:val="000000000000" w:firstRow="0" w:lastRow="0" w:firstColumn="0" w:lastColumn="0" w:oddVBand="0" w:evenVBand="0" w:oddHBand="0" w:evenHBand="0" w:firstRowFirstColumn="0" w:firstRowLastColumn="0" w:lastRowFirstColumn="0" w:lastRowLastColumn="0"/>
            </w:pPr>
            <w:r w:rsidRPr="000D119D">
              <w:t>Co-location within an existing community service supported:</w:t>
            </w:r>
          </w:p>
          <w:p w14:paraId="75F8E06C" w14:textId="77777777" w:rsidR="005F645D" w:rsidRPr="000D119D" w:rsidRDefault="005F645D" w:rsidP="00382FFF">
            <w:pPr>
              <w:pStyle w:val="TableNBullet"/>
              <w:cnfStyle w:val="000000000000" w:firstRow="0" w:lastRow="0" w:firstColumn="0" w:lastColumn="0" w:oddVBand="0" w:evenVBand="0" w:oddHBand="0" w:evenHBand="0" w:firstRowFirstColumn="0" w:firstRowLastColumn="0" w:lastRowFirstColumn="0" w:lastRowLastColumn="0"/>
            </w:pPr>
            <w:r w:rsidRPr="000D119D">
              <w:t>service awareness</w:t>
            </w:r>
          </w:p>
          <w:p w14:paraId="67C6731D" w14:textId="77777777" w:rsidR="005F645D" w:rsidRPr="000D119D" w:rsidRDefault="005F645D" w:rsidP="00382FFF">
            <w:pPr>
              <w:pStyle w:val="TableNBullet"/>
              <w:cnfStyle w:val="000000000000" w:firstRow="0" w:lastRow="0" w:firstColumn="0" w:lastColumn="0" w:oddVBand="0" w:evenVBand="0" w:oddHBand="0" w:evenHBand="0" w:firstRowFirstColumn="0" w:firstRowLastColumn="0" w:lastRowFirstColumn="0" w:lastRowLastColumn="0"/>
            </w:pPr>
            <w:r w:rsidRPr="000D119D">
              <w:t>access to existing infrastructure (e.g., clinic rooms, a phone line, medical software).</w:t>
            </w:r>
          </w:p>
          <w:p w14:paraId="433AFE52" w14:textId="6E41B2BF" w:rsidR="005F645D" w:rsidRPr="000D119D" w:rsidRDefault="005F645D" w:rsidP="00382FFF">
            <w:pPr>
              <w:pStyle w:val="TableNText"/>
              <w:cnfStyle w:val="000000000000" w:firstRow="0" w:lastRow="0" w:firstColumn="0" w:lastColumn="0" w:oddVBand="0" w:evenVBand="0" w:oddHBand="0" w:evenHBand="0" w:firstRowFirstColumn="0" w:firstRowLastColumn="0" w:lastRowFirstColumn="0" w:lastRowLastColumn="0"/>
            </w:pPr>
            <w:r w:rsidRPr="000D119D">
              <w:t xml:space="preserve">However, some stakeholders raised concerns that co-locating </w:t>
            </w:r>
            <w:r w:rsidR="009E3989" w:rsidRPr="000D119D">
              <w:t>hub</w:t>
            </w:r>
            <w:r w:rsidRPr="000D119D">
              <w:t xml:space="preserve">s with GP services led to a perception of competition from referring GPs. The communications stream managed this on an ad-hoc basis, creating FAQ documents to inform referring GPs of the service. </w:t>
            </w:r>
          </w:p>
          <w:p w14:paraId="493B6103" w14:textId="77777777" w:rsidR="005F645D" w:rsidRPr="000D119D" w:rsidRDefault="005F645D" w:rsidP="00382FFF">
            <w:pPr>
              <w:pStyle w:val="TableNText"/>
              <w:cnfStyle w:val="000000000000" w:firstRow="0" w:lastRow="0" w:firstColumn="0" w:lastColumn="0" w:oddVBand="0" w:evenVBand="0" w:oddHBand="0" w:evenHBand="0" w:firstRowFirstColumn="0" w:firstRowLastColumn="0" w:lastRowFirstColumn="0" w:lastRowLastColumn="0"/>
            </w:pPr>
            <w:r w:rsidRPr="000D119D">
              <w:t>However, hubs should be mindful of the services they are co-located with as location with a tertiary service may be traumatic for some cohorts (e.g., Aboriginal and Torres Strait Islander people).</w:t>
            </w:r>
          </w:p>
        </w:tc>
        <w:tc>
          <w:tcPr>
            <w:tcW w:w="3345" w:type="dxa"/>
          </w:tcPr>
          <w:p w14:paraId="06058609" w14:textId="539585A8" w:rsidR="005F645D" w:rsidRPr="000D119D" w:rsidRDefault="005F645D" w:rsidP="00382FFF">
            <w:pPr>
              <w:pStyle w:val="TableNBullet"/>
              <w:cnfStyle w:val="000000000000" w:firstRow="0" w:lastRow="0" w:firstColumn="0" w:lastColumn="0" w:oddVBand="0" w:evenVBand="0" w:oddHBand="0" w:evenHBand="0" w:firstRowFirstColumn="0" w:firstRowLastColumn="0" w:lastRowFirstColumn="0" w:lastRowLastColumn="0"/>
            </w:pPr>
            <w:r w:rsidRPr="000D119D">
              <w:t>Many hubs reported that co-location with a GP clinic, headspace</w:t>
            </w:r>
            <w:r w:rsidR="0036303C">
              <w:t xml:space="preserve"> </w:t>
            </w:r>
            <w:r w:rsidRPr="000D119D">
              <w:t xml:space="preserve">and/or child and maternal services was important for visibility and accessibility of the service and improving care coordination. </w:t>
            </w:r>
          </w:p>
          <w:p w14:paraId="1CF3C7DC" w14:textId="77777777" w:rsidR="005F645D" w:rsidRPr="000D119D" w:rsidRDefault="005F645D" w:rsidP="00382FFF">
            <w:pPr>
              <w:pStyle w:val="TableNBullet"/>
              <w:cnfStyle w:val="000000000000" w:firstRow="0" w:lastRow="0" w:firstColumn="0" w:lastColumn="0" w:oddVBand="0" w:evenVBand="0" w:oddHBand="0" w:evenHBand="0" w:firstRowFirstColumn="0" w:firstRowLastColumn="0" w:lastRowFirstColumn="0" w:lastRowLastColumn="0"/>
            </w:pPr>
            <w:r w:rsidRPr="000D119D">
              <w:t>Additionally, co-located hubs have benefited from referring participants to other existing services.</w:t>
            </w:r>
          </w:p>
          <w:p w14:paraId="4F470C6D" w14:textId="77777777" w:rsidR="005F645D" w:rsidRPr="000D119D" w:rsidRDefault="005F645D" w:rsidP="00382FFF">
            <w:pPr>
              <w:pStyle w:val="TableNBullet"/>
              <w:cnfStyle w:val="000000000000" w:firstRow="0" w:lastRow="0" w:firstColumn="0" w:lastColumn="0" w:oddVBand="0" w:evenVBand="0" w:oddHBand="0" w:evenHBand="0" w:firstRowFirstColumn="0" w:firstRowLastColumn="0" w:lastRowFirstColumn="0" w:lastRowLastColumn="0"/>
            </w:pPr>
            <w:r w:rsidRPr="000D119D">
              <w:t xml:space="preserve">Hubs co-located with GP clinics over time have built partnerships with GPs to refer into the service, thus building confidence and trust in the hub model. Where </w:t>
            </w:r>
            <w:proofErr w:type="spellStart"/>
            <w:r w:rsidRPr="000D119D">
              <w:rPr>
                <w:i/>
              </w:rPr>
              <w:t>HeadtoHelp</w:t>
            </w:r>
            <w:proofErr w:type="spellEnd"/>
            <w:r w:rsidRPr="000D119D">
              <w:t xml:space="preserve"> is co-located in GPs or hospitals, staff have reflected that the access to the existing infrastructure and proximity to other medical services has worked very well.</w:t>
            </w:r>
          </w:p>
        </w:tc>
      </w:tr>
    </w:tbl>
    <w:p w14:paraId="7429E099" w14:textId="103E5DCD" w:rsidR="00B946B6" w:rsidRDefault="00B946B6" w:rsidP="00864EF9">
      <w:pPr>
        <w:pStyle w:val="Caption"/>
        <w:pageBreakBefore/>
      </w:pPr>
      <w:bookmarkStart w:id="129" w:name="_Ref97046536"/>
      <w:r>
        <w:lastRenderedPageBreak/>
        <w:t xml:space="preserve">Figure </w:t>
      </w:r>
      <w:r>
        <w:fldChar w:fldCharType="begin"/>
      </w:r>
      <w:r>
        <w:instrText xml:space="preserve"> SEQ Figure \* ARABIC </w:instrText>
      </w:r>
      <w:r>
        <w:fldChar w:fldCharType="separate"/>
      </w:r>
      <w:r w:rsidR="00562174">
        <w:rPr>
          <w:noProof/>
        </w:rPr>
        <w:t>38</w:t>
      </w:r>
      <w:r>
        <w:fldChar w:fldCharType="end"/>
      </w:r>
      <w:bookmarkEnd w:id="129"/>
      <w:r>
        <w:t xml:space="preserve"> | </w:t>
      </w:r>
      <w:r w:rsidRPr="00DC1B38">
        <w:t>Integration case studies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igure 38 is a table listing the integration case studies"/>
      </w:tblPr>
      <w:tblGrid>
        <w:gridCol w:w="1809"/>
        <w:gridCol w:w="7291"/>
      </w:tblGrid>
      <w:tr w:rsidR="005F645D" w:rsidRPr="00141636" w14:paraId="520F19C3" w14:textId="77777777" w:rsidTr="003D209E">
        <w:trPr>
          <w:trHeight w:val="454"/>
          <w:tblHeader/>
        </w:trPr>
        <w:tc>
          <w:tcPr>
            <w:tcW w:w="9100" w:type="dxa"/>
            <w:gridSpan w:val="2"/>
            <w:shd w:val="clear" w:color="auto" w:fill="00264D" w:themeFill="background2"/>
            <w:vAlign w:val="center"/>
          </w:tcPr>
          <w:p w14:paraId="12E0B868" w14:textId="77777777" w:rsidR="005F645D" w:rsidRPr="000D119D" w:rsidRDefault="005F645D" w:rsidP="00382FFF">
            <w:pPr>
              <w:pStyle w:val="TableNheader"/>
              <w:rPr>
                <w:color w:val="000000" w:themeColor="text1"/>
              </w:rPr>
            </w:pPr>
            <w:r w:rsidRPr="000D119D">
              <w:t>The NWMPHN hubs partnered with RCH creating a range of reciprocal opportunities for staff</w:t>
            </w:r>
          </w:p>
        </w:tc>
      </w:tr>
      <w:tr w:rsidR="003D209E" w:rsidRPr="00141636" w14:paraId="5A92EB5A" w14:textId="77777777" w:rsidTr="005D52D1">
        <w:trPr>
          <w:trHeight w:val="3502"/>
        </w:trPr>
        <w:tc>
          <w:tcPr>
            <w:tcW w:w="1809" w:type="dxa"/>
            <w:shd w:val="clear" w:color="auto" w:fill="E6E6E1" w:themeFill="accent5"/>
          </w:tcPr>
          <w:p w14:paraId="285C3F95" w14:textId="2718A900" w:rsidR="003D209E" w:rsidRPr="000D119D" w:rsidRDefault="003D209E" w:rsidP="00382FFF">
            <w:pPr>
              <w:pStyle w:val="TableNText"/>
              <w:rPr>
                <w:rFonts w:asciiTheme="majorHAnsi" w:hAnsiTheme="majorHAnsi" w:cstheme="majorHAnsi"/>
                <w:i/>
                <w:iCs/>
                <w:color w:val="00264D" w:themeColor="background2"/>
              </w:rPr>
            </w:pPr>
            <w:r w:rsidRPr="000D119D">
              <w:rPr>
                <w:rFonts w:asciiTheme="majorHAnsi" w:hAnsiTheme="majorHAnsi" w:cstheme="majorHAnsi"/>
                <w:i/>
                <w:iCs/>
                <w:color w:val="00264D" w:themeColor="background2"/>
              </w:rPr>
              <w:t xml:space="preserve">Case study included with permission from the </w:t>
            </w:r>
            <w:r>
              <w:rPr>
                <w:rFonts w:asciiTheme="majorHAnsi" w:hAnsiTheme="majorHAnsi" w:cstheme="majorHAnsi"/>
                <w:i/>
                <w:iCs/>
                <w:color w:val="00264D" w:themeColor="background2"/>
              </w:rPr>
              <w:t>RCH</w:t>
            </w:r>
          </w:p>
        </w:tc>
        <w:tc>
          <w:tcPr>
            <w:tcW w:w="7291" w:type="dxa"/>
            <w:shd w:val="clear" w:color="auto" w:fill="auto"/>
          </w:tcPr>
          <w:p w14:paraId="760006A0" w14:textId="77777777" w:rsidR="003D209E" w:rsidRPr="000D119D" w:rsidRDefault="003D209E" w:rsidP="00382FFF">
            <w:pPr>
              <w:pStyle w:val="TableNText"/>
              <w:rPr>
                <w:color w:val="000000" w:themeColor="text1"/>
              </w:rPr>
            </w:pPr>
            <w:r w:rsidRPr="000D119D">
              <w:rPr>
                <w:color w:val="000000" w:themeColor="text1"/>
              </w:rPr>
              <w:t xml:space="preserve">During COVID-19, RCH was funded to deliver against specific initiatives, including secondary consultation and the provision of outreach services. As a result of this funding, the RCH partnered with the NWMPHN to provide expert advice on working with children and youth cohorts. This was viewed as critical </w:t>
            </w:r>
            <w:proofErr w:type="gramStart"/>
            <w:r w:rsidRPr="000D119D">
              <w:rPr>
                <w:color w:val="000000" w:themeColor="text1"/>
              </w:rPr>
              <w:t>in light of</w:t>
            </w:r>
            <w:proofErr w:type="gramEnd"/>
            <w:r w:rsidRPr="000D119D">
              <w:rPr>
                <w:color w:val="000000" w:themeColor="text1"/>
              </w:rPr>
              <w:t xml:space="preserve"> workforce shortages for child and youth mental health clinicians. The NWMPHN intake team, hubs and the RCH met regularly to establish key components of the partnership. As a result of the partnership a range of opportunities were identified to support the NWMPHN </w:t>
            </w:r>
            <w:proofErr w:type="spellStart"/>
            <w:r w:rsidRPr="000D119D">
              <w:rPr>
                <w:i/>
                <w:iCs/>
                <w:color w:val="000000" w:themeColor="text1"/>
              </w:rPr>
              <w:t>HeadtoHelp</w:t>
            </w:r>
            <w:proofErr w:type="spellEnd"/>
            <w:r w:rsidRPr="000D119D">
              <w:rPr>
                <w:color w:val="000000" w:themeColor="text1"/>
              </w:rPr>
              <w:t xml:space="preserve"> hub staff deliver services to children and youth. These opportunities include:</w:t>
            </w:r>
          </w:p>
          <w:p w14:paraId="7A0B1D9C" w14:textId="77777777" w:rsidR="003D209E" w:rsidRPr="000D119D" w:rsidRDefault="003D209E" w:rsidP="00382FFF">
            <w:pPr>
              <w:pStyle w:val="TableNBullet"/>
            </w:pPr>
            <w:r w:rsidRPr="000D119D">
              <w:t>free access to RCH professional development for all hub staff</w:t>
            </w:r>
          </w:p>
          <w:p w14:paraId="177BE2AF" w14:textId="77777777" w:rsidR="003D209E" w:rsidRPr="000D119D" w:rsidRDefault="003D209E" w:rsidP="00382FFF">
            <w:pPr>
              <w:pStyle w:val="TableNBullet"/>
            </w:pPr>
            <w:r w:rsidRPr="000D119D">
              <w:t>an RCH senior mental health clinician provides:</w:t>
            </w:r>
          </w:p>
          <w:p w14:paraId="06B4148A" w14:textId="77777777" w:rsidR="003D209E" w:rsidRPr="000D119D" w:rsidRDefault="003D209E" w:rsidP="00382FFF">
            <w:pPr>
              <w:pStyle w:val="TableNBullet"/>
              <w:numPr>
                <w:ilvl w:val="1"/>
                <w:numId w:val="4"/>
              </w:numPr>
            </w:pPr>
            <w:r w:rsidRPr="000D119D">
              <w:t>secondary consultation and advice to hub staff up to three days per fortnight</w:t>
            </w:r>
          </w:p>
          <w:p w14:paraId="4584B81E" w14:textId="77777777" w:rsidR="003D209E" w:rsidRPr="000D119D" w:rsidRDefault="003D209E" w:rsidP="00382FFF">
            <w:pPr>
              <w:pStyle w:val="TableNBullet"/>
              <w:numPr>
                <w:ilvl w:val="1"/>
                <w:numId w:val="4"/>
              </w:numPr>
            </w:pPr>
            <w:r w:rsidRPr="000D119D">
              <w:t>facilitates monthly reflective practice and case reviews with each hub</w:t>
            </w:r>
          </w:p>
          <w:p w14:paraId="0F982367" w14:textId="77777777" w:rsidR="003D209E" w:rsidRPr="000D119D" w:rsidRDefault="003D209E" w:rsidP="00382FFF">
            <w:pPr>
              <w:pStyle w:val="TableNBullet"/>
            </w:pPr>
            <w:r w:rsidRPr="000D119D">
              <w:t>development of a joint referral pathway.</w:t>
            </w:r>
          </w:p>
        </w:tc>
      </w:tr>
      <w:tr w:rsidR="005F645D" w:rsidRPr="00141636" w14:paraId="05BFC3FF" w14:textId="77777777" w:rsidTr="004346F9">
        <w:trPr>
          <w:trHeight w:val="454"/>
        </w:trPr>
        <w:tc>
          <w:tcPr>
            <w:tcW w:w="9100" w:type="dxa"/>
            <w:gridSpan w:val="2"/>
            <w:shd w:val="clear" w:color="auto" w:fill="00264D" w:themeFill="background2"/>
            <w:vAlign w:val="center"/>
          </w:tcPr>
          <w:p w14:paraId="0DAB754D" w14:textId="77777777" w:rsidR="005F645D" w:rsidRPr="000D119D" w:rsidRDefault="005F645D" w:rsidP="00382FFF">
            <w:pPr>
              <w:pStyle w:val="TableNheader"/>
              <w:rPr>
                <w:color w:val="000000" w:themeColor="text1"/>
              </w:rPr>
            </w:pPr>
            <w:r w:rsidRPr="000D119D">
              <w:t>Gateway Health and local AMHS effectively collaborate by establishing a project control group</w:t>
            </w:r>
          </w:p>
        </w:tc>
      </w:tr>
      <w:tr w:rsidR="003D209E" w:rsidRPr="00141636" w14:paraId="55784626" w14:textId="77777777" w:rsidTr="00226E19">
        <w:trPr>
          <w:trHeight w:val="3402"/>
        </w:trPr>
        <w:tc>
          <w:tcPr>
            <w:tcW w:w="1809" w:type="dxa"/>
            <w:shd w:val="clear" w:color="auto" w:fill="E6E6E1" w:themeFill="accent5"/>
          </w:tcPr>
          <w:p w14:paraId="28CEC9E1" w14:textId="77777777" w:rsidR="003D209E" w:rsidRPr="000D119D" w:rsidRDefault="003D209E" w:rsidP="00382FFF">
            <w:pPr>
              <w:pStyle w:val="TableNText"/>
              <w:rPr>
                <w:rFonts w:asciiTheme="majorHAnsi" w:hAnsiTheme="majorHAnsi" w:cstheme="majorHAnsi"/>
                <w:i/>
                <w:iCs/>
                <w:color w:val="00264D" w:themeColor="background2"/>
              </w:rPr>
            </w:pPr>
            <w:r w:rsidRPr="000D119D">
              <w:rPr>
                <w:rFonts w:asciiTheme="majorHAnsi" w:hAnsiTheme="majorHAnsi" w:cstheme="majorHAnsi"/>
                <w:i/>
                <w:iCs/>
                <w:color w:val="00264D" w:themeColor="background2"/>
              </w:rPr>
              <w:t>Case study included with permission from Gateway Health</w:t>
            </w:r>
          </w:p>
        </w:tc>
        <w:tc>
          <w:tcPr>
            <w:tcW w:w="7291" w:type="dxa"/>
            <w:shd w:val="clear" w:color="auto" w:fill="auto"/>
          </w:tcPr>
          <w:p w14:paraId="20239814" w14:textId="77777777" w:rsidR="003D209E" w:rsidRPr="000D119D" w:rsidRDefault="003D209E" w:rsidP="00382FFF">
            <w:pPr>
              <w:pStyle w:val="TableNText"/>
              <w:rPr>
                <w:color w:val="000000" w:themeColor="text1"/>
              </w:rPr>
            </w:pPr>
            <w:r w:rsidRPr="000D119D">
              <w:rPr>
                <w:color w:val="000000" w:themeColor="text1"/>
              </w:rPr>
              <w:t xml:space="preserve">Gateway Health had a productive pre-existing relationship with the local AMHS, however, a restructure of the service provided them with a timely opportunity to refresh relationships. Gateway Health established a project control group to support the implementation of </w:t>
            </w:r>
            <w:proofErr w:type="spellStart"/>
            <w:r w:rsidRPr="000D119D">
              <w:rPr>
                <w:i/>
                <w:iCs/>
                <w:color w:val="000000" w:themeColor="text1"/>
              </w:rPr>
              <w:t>HeadtoHelp</w:t>
            </w:r>
            <w:proofErr w:type="spellEnd"/>
            <w:r w:rsidRPr="000D119D">
              <w:rPr>
                <w:color w:val="000000" w:themeColor="text1"/>
              </w:rPr>
              <w:t xml:space="preserve"> in Wodonga and the surrounding region. The group had representation from the local AMHS and other services in the region. </w:t>
            </w:r>
          </w:p>
          <w:p w14:paraId="108DFADB" w14:textId="77777777" w:rsidR="003D209E" w:rsidRPr="000D119D" w:rsidRDefault="003D209E" w:rsidP="00382FFF">
            <w:pPr>
              <w:pStyle w:val="TableNText"/>
              <w:rPr>
                <w:color w:val="000000" w:themeColor="text1"/>
              </w:rPr>
            </w:pPr>
            <w:r w:rsidRPr="000D119D">
              <w:rPr>
                <w:color w:val="000000" w:themeColor="text1"/>
              </w:rPr>
              <w:t>Gateway Health and the AMHS report this project control group was an effective way to work together during the first months of service implementation. This approach supported them to:</w:t>
            </w:r>
          </w:p>
          <w:p w14:paraId="31DD50E4" w14:textId="77777777" w:rsidR="003D209E" w:rsidRPr="000D119D" w:rsidRDefault="003D209E" w:rsidP="00382FFF">
            <w:pPr>
              <w:pStyle w:val="TableNBullet"/>
            </w:pPr>
            <w:r w:rsidRPr="000D119D">
              <w:t>make decisions in an efficient manner</w:t>
            </w:r>
          </w:p>
          <w:p w14:paraId="1275108D" w14:textId="77777777" w:rsidR="003D209E" w:rsidRPr="000D119D" w:rsidRDefault="003D209E" w:rsidP="00382FFF">
            <w:pPr>
              <w:pStyle w:val="TableNBullet"/>
            </w:pPr>
            <w:r w:rsidRPr="000D119D">
              <w:t xml:space="preserve">establish a clear referral pathway into </w:t>
            </w:r>
            <w:proofErr w:type="spellStart"/>
            <w:r w:rsidRPr="000D119D">
              <w:rPr>
                <w:i/>
                <w:iCs/>
              </w:rPr>
              <w:t>HeadtoHelp</w:t>
            </w:r>
            <w:proofErr w:type="spellEnd"/>
            <w:r w:rsidRPr="000D119D">
              <w:t xml:space="preserve"> for the AMHS, including identifying ways the IAR and state-wide mental health triage scale fit together and support appropriate referrals into </w:t>
            </w:r>
            <w:proofErr w:type="spellStart"/>
            <w:r w:rsidRPr="000D119D">
              <w:rPr>
                <w:i/>
                <w:iCs/>
              </w:rPr>
              <w:t>HeadtoHelp</w:t>
            </w:r>
            <w:proofErr w:type="spellEnd"/>
          </w:p>
          <w:p w14:paraId="30089CE8" w14:textId="77777777" w:rsidR="003D209E" w:rsidRPr="000D119D" w:rsidRDefault="003D209E" w:rsidP="00382FFF">
            <w:pPr>
              <w:pStyle w:val="TableNBullet"/>
            </w:pPr>
            <w:r w:rsidRPr="000D119D">
              <w:t>identifying opportunities to build service capacity in the region, recognising workforce constraints.</w:t>
            </w:r>
          </w:p>
        </w:tc>
      </w:tr>
    </w:tbl>
    <w:p w14:paraId="5619333B" w14:textId="11F01394" w:rsidR="00970364" w:rsidRDefault="00970364" w:rsidP="00970364">
      <w:pPr>
        <w:pStyle w:val="Heading2"/>
      </w:pPr>
      <w:bookmarkStart w:id="130" w:name="_Toc99650362"/>
      <w:r w:rsidRPr="000D119D">
        <w:t>How efficient is the program?</w:t>
      </w:r>
      <w:bookmarkEnd w:id="130"/>
    </w:p>
    <w:p w14:paraId="609E547F" w14:textId="598937B9" w:rsidR="003D209E" w:rsidRPr="003D209E" w:rsidRDefault="003D209E" w:rsidP="003D209E">
      <w:pPr>
        <w:pStyle w:val="Callout"/>
      </w:pPr>
      <w:r w:rsidRPr="004346F9">
        <w:rPr>
          <w:b/>
          <w:color w:val="25B3E0" w:themeColor="accent6"/>
        </w:rPr>
        <w:t>Key findings:</w:t>
      </w:r>
      <w:r w:rsidRPr="004346F9">
        <w:t xml:space="preserve"> </w:t>
      </w:r>
      <w:r w:rsidRPr="000D119D">
        <w:rPr>
          <w:bCs/>
        </w:rPr>
        <w:t xml:space="preserve">Noting the limitations of the approach, analysis of costs per service contact and costs per episode of care indicate that while efficiencies are largely dependent on service volumes, some PHNs appear to be more cost efficient than others. </w:t>
      </w:r>
    </w:p>
    <w:p w14:paraId="351C660D" w14:textId="77777777" w:rsidR="003D209E" w:rsidRPr="000D119D" w:rsidRDefault="003D209E" w:rsidP="003D209E">
      <w:pPr>
        <w:pStyle w:val="Callout"/>
        <w:rPr>
          <w:bCs/>
        </w:rPr>
      </w:pPr>
      <w:r w:rsidRPr="000D119D">
        <w:rPr>
          <w:bCs/>
        </w:rPr>
        <w:t xml:space="preserve">Comparison of overall </w:t>
      </w:r>
      <w:proofErr w:type="spellStart"/>
      <w:r w:rsidRPr="003D209E">
        <w:rPr>
          <w:rStyle w:val="Emphasis"/>
        </w:rPr>
        <w:t>HeadtoHelp</w:t>
      </w:r>
      <w:proofErr w:type="spellEnd"/>
      <w:r w:rsidRPr="000D119D">
        <w:rPr>
          <w:bCs/>
        </w:rPr>
        <w:t xml:space="preserve"> efficiency with headspace costs per occasion of service indicates that despite differences in efficiencies between PHNs, </w:t>
      </w:r>
      <w:proofErr w:type="spellStart"/>
      <w:r w:rsidRPr="003D209E">
        <w:rPr>
          <w:rStyle w:val="Emphasis"/>
        </w:rPr>
        <w:t>HeadtoHelp</w:t>
      </w:r>
      <w:proofErr w:type="spellEnd"/>
      <w:r w:rsidRPr="000D119D">
        <w:rPr>
          <w:bCs/>
        </w:rPr>
        <w:t xml:space="preserve"> is reasonably efficient across the board.</w:t>
      </w:r>
    </w:p>
    <w:p w14:paraId="422BDD39" w14:textId="1D83D95E" w:rsidR="003D209E" w:rsidRPr="003D209E" w:rsidRDefault="003D209E" w:rsidP="003D209E">
      <w:pPr>
        <w:pStyle w:val="Callout"/>
      </w:pPr>
      <w:r w:rsidRPr="000D119D">
        <w:t>The slow uptake in service provision is also likely to have impacted this efficiency analysis. Repeating this analysis with data and service activity from the final December 2021 to June 2022 extension, where funding was distributed based on actuals from the preceding year, would address this limitation and likely to be more reflective.</w:t>
      </w:r>
    </w:p>
    <w:p w14:paraId="760359A5" w14:textId="78183CBD" w:rsidR="000C6AC8" w:rsidRPr="00E457E2" w:rsidRDefault="00742684" w:rsidP="00E457E2">
      <w:pPr>
        <w:pStyle w:val="Heading3"/>
        <w:rPr>
          <w:rStyle w:val="Strong"/>
        </w:rPr>
      </w:pPr>
      <w:r w:rsidRPr="00E457E2">
        <w:rPr>
          <w:rStyle w:val="Strong"/>
        </w:rPr>
        <w:t xml:space="preserve">The analysis used to measure </w:t>
      </w:r>
      <w:r w:rsidR="0001402E" w:rsidRPr="00E457E2">
        <w:rPr>
          <w:rStyle w:val="Strong"/>
        </w:rPr>
        <w:t>efficiency</w:t>
      </w:r>
      <w:r w:rsidRPr="00E457E2">
        <w:rPr>
          <w:rStyle w:val="Strong"/>
        </w:rPr>
        <w:t xml:space="preserve"> is limited</w:t>
      </w:r>
    </w:p>
    <w:p w14:paraId="2C734C10" w14:textId="0CF809E6" w:rsidR="00D80026" w:rsidRPr="000D119D" w:rsidRDefault="001161D5" w:rsidP="001161D5">
      <w:pPr>
        <w:rPr>
          <w:lang w:val="en-AU" w:eastAsia="en-AU"/>
        </w:rPr>
      </w:pPr>
      <w:r w:rsidRPr="000D119D">
        <w:rPr>
          <w:lang w:val="en-AU" w:eastAsia="en-AU"/>
        </w:rPr>
        <w:t xml:space="preserve">This report has undertaken an analysis comparison of </w:t>
      </w:r>
      <w:r w:rsidR="0001402E">
        <w:rPr>
          <w:lang w:val="en-AU" w:eastAsia="en-AU"/>
        </w:rPr>
        <w:t>efficiency</w:t>
      </w:r>
      <w:r w:rsidRPr="000D119D">
        <w:rPr>
          <w:lang w:val="en-AU" w:eastAsia="en-AU"/>
        </w:rPr>
        <w:t xml:space="preserve"> considering program costs and volume of activity</w:t>
      </w:r>
      <w:r w:rsidR="006C0D60" w:rsidRPr="000D119D">
        <w:rPr>
          <w:lang w:val="en-AU" w:eastAsia="en-AU"/>
        </w:rPr>
        <w:t xml:space="preserve"> – both distinct episodes and total service contacts. Volume data has been taken from the </w:t>
      </w:r>
      <w:r w:rsidR="00E343D6">
        <w:rPr>
          <w:lang w:val="en-AU" w:eastAsia="en-AU"/>
        </w:rPr>
        <w:t>PMHC</w:t>
      </w:r>
      <w:r w:rsidR="006C0D60" w:rsidRPr="000D119D">
        <w:rPr>
          <w:lang w:val="en-AU" w:eastAsia="en-AU"/>
        </w:rPr>
        <w:t>-MDS</w:t>
      </w:r>
      <w:r w:rsidR="00E343D6">
        <w:rPr>
          <w:lang w:val="en-AU" w:eastAsia="en-AU"/>
        </w:rPr>
        <w:t>,</w:t>
      </w:r>
      <w:r w:rsidRPr="000D119D">
        <w:rPr>
          <w:lang w:val="en-AU" w:eastAsia="en-AU"/>
        </w:rPr>
        <w:t xml:space="preserve"> </w:t>
      </w:r>
      <w:r w:rsidR="00155BB3">
        <w:rPr>
          <w:lang w:val="en-AU" w:eastAsia="en-AU"/>
        </w:rPr>
        <w:t>f</w:t>
      </w:r>
      <w:r w:rsidR="009474F8" w:rsidRPr="000D119D">
        <w:rPr>
          <w:lang w:val="en-AU" w:eastAsia="en-AU"/>
        </w:rPr>
        <w:t xml:space="preserve">inancial data was provided by the PHNs and does not include the latest funding extension to June 2022. </w:t>
      </w:r>
      <w:r w:rsidRPr="000D119D">
        <w:rPr>
          <w:lang w:val="en-AU" w:eastAsia="en-AU"/>
        </w:rPr>
        <w:t xml:space="preserve">This </w:t>
      </w:r>
      <w:r w:rsidR="006C0D60" w:rsidRPr="000D119D">
        <w:rPr>
          <w:lang w:val="en-AU" w:eastAsia="en-AU"/>
        </w:rPr>
        <w:t xml:space="preserve">analysis </w:t>
      </w:r>
      <w:r w:rsidRPr="000D119D">
        <w:rPr>
          <w:lang w:val="en-AU" w:eastAsia="en-AU"/>
        </w:rPr>
        <w:t xml:space="preserve">has been done at both the overall and PHN level. </w:t>
      </w:r>
    </w:p>
    <w:p w14:paraId="4125A150" w14:textId="22A067DE" w:rsidR="00742684" w:rsidRPr="000D119D" w:rsidRDefault="00524599" w:rsidP="001161D5">
      <w:pPr>
        <w:rPr>
          <w:lang w:val="en-AU" w:eastAsia="en-AU"/>
        </w:rPr>
      </w:pPr>
      <w:r w:rsidRPr="000D119D">
        <w:rPr>
          <w:lang w:val="en-AU" w:eastAsia="en-AU"/>
        </w:rPr>
        <w:lastRenderedPageBreak/>
        <w:t>Findings need to be interpreted with caution. This analysis is based purely on volume – it does not</w:t>
      </w:r>
      <w:r w:rsidR="00B47358" w:rsidRPr="000D119D">
        <w:rPr>
          <w:lang w:val="en-AU" w:eastAsia="en-AU"/>
        </w:rPr>
        <w:t xml:space="preserve"> </w:t>
      </w:r>
      <w:r w:rsidR="004F5607">
        <w:rPr>
          <w:lang w:val="en-AU" w:eastAsia="en-AU"/>
        </w:rPr>
        <w:t>consider</w:t>
      </w:r>
      <w:r w:rsidR="00B47358" w:rsidRPr="000D119D">
        <w:rPr>
          <w:lang w:val="en-AU" w:eastAsia="en-AU"/>
        </w:rPr>
        <w:t xml:space="preserve"> the quality </w:t>
      </w:r>
      <w:r w:rsidR="004F5607">
        <w:rPr>
          <w:lang w:val="en-AU" w:eastAsia="en-AU"/>
        </w:rPr>
        <w:t xml:space="preserve">or effectiveness </w:t>
      </w:r>
      <w:r w:rsidR="00B47358" w:rsidRPr="000D119D">
        <w:rPr>
          <w:lang w:val="en-AU" w:eastAsia="en-AU"/>
        </w:rPr>
        <w:t>of service</w:t>
      </w:r>
      <w:r w:rsidR="004F5607">
        <w:rPr>
          <w:lang w:val="en-AU" w:eastAsia="en-AU"/>
        </w:rPr>
        <w:t xml:space="preserve"> (in either outcomes or experience of service)</w:t>
      </w:r>
      <w:r w:rsidR="00B47358" w:rsidRPr="000D119D">
        <w:rPr>
          <w:lang w:val="en-AU" w:eastAsia="en-AU"/>
        </w:rPr>
        <w:t>, population factors in particular regions, or the complexity behind each episode or service contact</w:t>
      </w:r>
      <w:r w:rsidRPr="000D119D">
        <w:rPr>
          <w:lang w:val="en-AU" w:eastAsia="en-AU"/>
        </w:rPr>
        <w:t xml:space="preserve">. </w:t>
      </w:r>
      <w:r w:rsidR="009474F8" w:rsidRPr="000D119D">
        <w:rPr>
          <w:lang w:val="en-AU" w:eastAsia="en-AU"/>
        </w:rPr>
        <w:t xml:space="preserve">In addition, it has been done using the </w:t>
      </w:r>
      <w:r w:rsidR="003F2C70">
        <w:rPr>
          <w:lang w:val="en-AU" w:eastAsia="en-AU"/>
        </w:rPr>
        <w:t>funding data</w:t>
      </w:r>
      <w:r w:rsidR="009474F8" w:rsidRPr="000D119D">
        <w:rPr>
          <w:lang w:val="en-AU" w:eastAsia="en-AU"/>
        </w:rPr>
        <w:t xml:space="preserve"> from the first two stages of </w:t>
      </w:r>
      <w:proofErr w:type="spellStart"/>
      <w:r w:rsidR="009474F8" w:rsidRPr="000D119D">
        <w:rPr>
          <w:i/>
          <w:iCs/>
          <w:lang w:val="en-AU" w:eastAsia="en-AU"/>
        </w:rPr>
        <w:t>HeadtoHelp</w:t>
      </w:r>
      <w:proofErr w:type="spellEnd"/>
      <w:r w:rsidR="009474F8" w:rsidRPr="000D119D">
        <w:rPr>
          <w:lang w:val="en-AU" w:eastAsia="en-AU"/>
        </w:rPr>
        <w:t xml:space="preserve"> delivery, which was based on projected need only</w:t>
      </w:r>
      <w:r w:rsidR="003F2C70">
        <w:rPr>
          <w:lang w:val="en-AU" w:eastAsia="en-AU"/>
        </w:rPr>
        <w:t>, and not on actual expenditure</w:t>
      </w:r>
      <w:r w:rsidR="009474F8" w:rsidRPr="000D119D">
        <w:rPr>
          <w:lang w:val="en-AU" w:eastAsia="en-AU"/>
        </w:rPr>
        <w:t xml:space="preserve">. It may be useful to repeat this analysis using the financial information and volume data from the final December 2021 to June 2022 extension, where funding was distributed based on actuals from the </w:t>
      </w:r>
      <w:r w:rsidR="00310470" w:rsidRPr="000D119D">
        <w:rPr>
          <w:lang w:val="en-AU" w:eastAsia="en-AU"/>
        </w:rPr>
        <w:t>preceding</w:t>
      </w:r>
      <w:r w:rsidR="009474F8" w:rsidRPr="000D119D">
        <w:rPr>
          <w:lang w:val="en-AU" w:eastAsia="en-AU"/>
        </w:rPr>
        <w:t xml:space="preserve"> year, and likely to be more reflective.</w:t>
      </w:r>
      <w:r w:rsidR="00310470" w:rsidRPr="000D119D">
        <w:rPr>
          <w:lang w:val="en-AU" w:eastAsia="en-AU"/>
        </w:rPr>
        <w:t xml:space="preserve"> This analysis should be used with the PHNs to promote learning and sharing of good practice, </w:t>
      </w:r>
      <w:r w:rsidR="000D448E" w:rsidRPr="000D119D">
        <w:rPr>
          <w:lang w:val="en-AU" w:eastAsia="en-AU"/>
        </w:rPr>
        <w:t>not</w:t>
      </w:r>
      <w:r w:rsidR="00310470" w:rsidRPr="000D119D">
        <w:rPr>
          <w:lang w:val="en-AU" w:eastAsia="en-AU"/>
        </w:rPr>
        <w:t xml:space="preserve"> as a sole driver of future funding </w:t>
      </w:r>
      <w:r w:rsidR="000D448E" w:rsidRPr="000D119D">
        <w:rPr>
          <w:lang w:val="en-AU" w:eastAsia="en-AU"/>
        </w:rPr>
        <w:t>allocations.</w:t>
      </w:r>
    </w:p>
    <w:p w14:paraId="1A4B69AC" w14:textId="151E1C16" w:rsidR="000C6AC8" w:rsidRPr="000D119D" w:rsidRDefault="00E85BC1" w:rsidP="00BE0860">
      <w:pPr>
        <w:pStyle w:val="Heading3"/>
      </w:pPr>
      <w:r w:rsidRPr="000D119D">
        <w:t>There appear</w:t>
      </w:r>
      <w:r w:rsidR="00B71DA0" w:rsidRPr="000D119D">
        <w:t>s</w:t>
      </w:r>
      <w:r w:rsidRPr="000D119D">
        <w:t xml:space="preserve"> to be </w:t>
      </w:r>
      <w:r w:rsidR="00406F70" w:rsidRPr="000D119D">
        <w:t xml:space="preserve">efficiency variances </w:t>
      </w:r>
      <w:r w:rsidRPr="000D119D">
        <w:t xml:space="preserve">between PHNs </w:t>
      </w:r>
    </w:p>
    <w:p w14:paraId="79B5E209" w14:textId="4C3B353F" w:rsidR="00EC2123" w:rsidRPr="000D119D" w:rsidRDefault="00E85BC1" w:rsidP="0024320D">
      <w:pPr>
        <w:rPr>
          <w:lang w:val="en-AU"/>
        </w:rPr>
      </w:pPr>
      <w:r w:rsidRPr="000D119D">
        <w:rPr>
          <w:lang w:val="en-AU"/>
        </w:rPr>
        <w:fldChar w:fldCharType="begin"/>
      </w:r>
      <w:r w:rsidRPr="000D119D">
        <w:rPr>
          <w:lang w:val="en-AU"/>
        </w:rPr>
        <w:instrText xml:space="preserve"> REF _Ref96977494 \h </w:instrText>
      </w:r>
      <w:r w:rsidRPr="000D119D">
        <w:rPr>
          <w:lang w:val="en-AU"/>
        </w:rPr>
      </w:r>
      <w:r w:rsidRPr="000D119D">
        <w:rPr>
          <w:lang w:val="en-AU"/>
        </w:rPr>
        <w:fldChar w:fldCharType="separate"/>
      </w:r>
      <w:r w:rsidR="00562174" w:rsidRPr="000D119D">
        <w:t xml:space="preserve">Table </w:t>
      </w:r>
      <w:r w:rsidR="00562174">
        <w:rPr>
          <w:noProof/>
        </w:rPr>
        <w:t>5</w:t>
      </w:r>
      <w:r w:rsidRPr="000D119D">
        <w:rPr>
          <w:lang w:val="en-AU"/>
        </w:rPr>
        <w:fldChar w:fldCharType="end"/>
      </w:r>
      <w:r w:rsidR="0024320D" w:rsidRPr="000D119D">
        <w:rPr>
          <w:lang w:val="en-AU"/>
        </w:rPr>
        <w:t xml:space="preserve"> gives details on the investment into </w:t>
      </w:r>
      <w:r w:rsidR="00420637">
        <w:rPr>
          <w:lang w:val="en-AU"/>
        </w:rPr>
        <w:t xml:space="preserve">establishment and operations of the </w:t>
      </w:r>
      <w:proofErr w:type="spellStart"/>
      <w:r w:rsidR="0024320D" w:rsidRPr="000D119D">
        <w:rPr>
          <w:i/>
          <w:iCs/>
          <w:lang w:val="en-AU"/>
        </w:rPr>
        <w:t>HeadtoHelp</w:t>
      </w:r>
      <w:proofErr w:type="spellEnd"/>
      <w:r w:rsidR="0024320D" w:rsidRPr="000D119D">
        <w:rPr>
          <w:lang w:val="en-AU"/>
        </w:rPr>
        <w:t xml:space="preserve"> </w:t>
      </w:r>
      <w:r w:rsidR="00420637">
        <w:rPr>
          <w:lang w:val="en-AU"/>
        </w:rPr>
        <w:t xml:space="preserve">hubs, not including PHN flexible funding, </w:t>
      </w:r>
      <w:r w:rsidR="009F08FE" w:rsidRPr="000D119D">
        <w:rPr>
          <w:lang w:val="en-AU"/>
        </w:rPr>
        <w:t>f</w:t>
      </w:r>
      <w:r w:rsidR="0024320D" w:rsidRPr="000D119D">
        <w:rPr>
          <w:lang w:val="en-AU"/>
        </w:rPr>
        <w:t>rom September 2020 to 31 December 2021</w:t>
      </w:r>
      <w:r w:rsidR="00645241">
        <w:rPr>
          <w:rStyle w:val="FootnoteReference"/>
          <w:lang w:val="en-AU"/>
        </w:rPr>
        <w:footnoteReference w:id="71"/>
      </w:r>
      <w:r w:rsidR="00420637">
        <w:rPr>
          <w:lang w:val="en-AU"/>
        </w:rPr>
        <w:t>.</w:t>
      </w:r>
      <w:r w:rsidR="009F08FE" w:rsidRPr="000D119D">
        <w:rPr>
          <w:lang w:val="en-AU"/>
        </w:rPr>
        <w:t xml:space="preserve"> </w:t>
      </w:r>
      <w:r w:rsidR="00420637">
        <w:rPr>
          <w:lang w:val="en-AU"/>
        </w:rPr>
        <w:t xml:space="preserve">It also </w:t>
      </w:r>
      <w:r w:rsidR="004F2425">
        <w:rPr>
          <w:lang w:val="en-AU"/>
        </w:rPr>
        <w:t>shows</w:t>
      </w:r>
      <w:r w:rsidR="009F08FE" w:rsidRPr="000D119D">
        <w:rPr>
          <w:lang w:val="en-AU"/>
        </w:rPr>
        <w:t xml:space="preserve"> service contact and episodes of care numbers</w:t>
      </w:r>
      <w:r w:rsidR="00524599" w:rsidRPr="000D119D">
        <w:rPr>
          <w:lang w:val="en-AU"/>
        </w:rPr>
        <w:t xml:space="preserve"> over this period</w:t>
      </w:r>
      <w:r w:rsidR="00EC2123" w:rsidRPr="000D119D">
        <w:rPr>
          <w:lang w:val="en-AU"/>
        </w:rPr>
        <w:t>, which have been used to estimate the cost</w:t>
      </w:r>
      <w:r w:rsidR="009F08FE" w:rsidRPr="000D119D">
        <w:rPr>
          <w:lang w:val="en-AU"/>
        </w:rPr>
        <w:t xml:space="preserve"> per </w:t>
      </w:r>
      <w:r w:rsidR="00EC2123" w:rsidRPr="000D119D">
        <w:rPr>
          <w:lang w:val="en-AU"/>
        </w:rPr>
        <w:t xml:space="preserve">episode of care and per service contact in each </w:t>
      </w:r>
      <w:r w:rsidR="009F08FE" w:rsidRPr="000D119D">
        <w:rPr>
          <w:lang w:val="en-AU"/>
        </w:rPr>
        <w:t>PHN and overall.</w:t>
      </w:r>
      <w:r w:rsidR="00EC2123" w:rsidRPr="000D119D">
        <w:rPr>
          <w:lang w:val="en-AU"/>
        </w:rPr>
        <w:t xml:space="preserve"> Establishment costs were excluded from calculations for both metrics, as these costs are not costs incurred when offering care, and intake costs are excluded in calculations for service contact costs</w:t>
      </w:r>
      <w:r w:rsidR="00040ACA">
        <w:rPr>
          <w:lang w:val="en-AU"/>
        </w:rPr>
        <w:t>.</w:t>
      </w:r>
      <w:r w:rsidR="00D34FE0" w:rsidRPr="000D119D">
        <w:rPr>
          <w:rStyle w:val="FootnoteReference"/>
          <w:lang w:val="en-AU"/>
        </w:rPr>
        <w:footnoteReference w:id="72"/>
      </w:r>
    </w:p>
    <w:p w14:paraId="7C7B5097" w14:textId="7EBD62AC" w:rsidR="00102950" w:rsidRPr="000D119D" w:rsidRDefault="00102950" w:rsidP="0024320D">
      <w:pPr>
        <w:rPr>
          <w:rFonts w:asciiTheme="majorHAnsi" w:hAnsiTheme="majorHAnsi" w:cstheme="majorHAnsi"/>
          <w:lang w:val="en-AU"/>
        </w:rPr>
      </w:pPr>
      <w:r w:rsidRPr="000D119D">
        <w:rPr>
          <w:rFonts w:asciiTheme="majorHAnsi" w:hAnsiTheme="majorHAnsi" w:cstheme="majorHAnsi"/>
          <w:lang w:val="en-AU"/>
        </w:rPr>
        <w:t xml:space="preserve">Across all PHNs, the average </w:t>
      </w:r>
      <w:r w:rsidR="00CD4B6E" w:rsidRPr="000D119D">
        <w:rPr>
          <w:rFonts w:asciiTheme="majorHAnsi" w:hAnsiTheme="majorHAnsi" w:cstheme="majorHAnsi"/>
          <w:lang w:val="en-AU"/>
        </w:rPr>
        <w:t xml:space="preserve">cost per service contact was $194.45 and </w:t>
      </w:r>
      <w:r w:rsidRPr="000D119D">
        <w:rPr>
          <w:rFonts w:asciiTheme="majorHAnsi" w:hAnsiTheme="majorHAnsi" w:cstheme="majorHAnsi"/>
          <w:lang w:val="en-AU"/>
        </w:rPr>
        <w:t>cost per episode of care was $1,509.94</w:t>
      </w:r>
    </w:p>
    <w:p w14:paraId="4A06E077" w14:textId="427F5513" w:rsidR="00EC2123" w:rsidRPr="000D119D" w:rsidRDefault="00B74573" w:rsidP="0024320D">
      <w:pPr>
        <w:rPr>
          <w:lang w:val="en-AU"/>
        </w:rPr>
      </w:pPr>
      <w:r w:rsidRPr="000D119D">
        <w:rPr>
          <w:lang w:val="en-AU"/>
        </w:rPr>
        <w:t>What this data appears to show is that PHNs with higher volumes of service contacts have lower c</w:t>
      </w:r>
      <w:r w:rsidR="00B71DA0" w:rsidRPr="000D119D">
        <w:rPr>
          <w:lang w:val="en-AU"/>
        </w:rPr>
        <w:t xml:space="preserve">osts per service contact, </w:t>
      </w:r>
      <w:r w:rsidR="00D0391B">
        <w:rPr>
          <w:lang w:val="en-AU"/>
        </w:rPr>
        <w:t>for example,</w:t>
      </w:r>
      <w:r w:rsidR="00B71DA0" w:rsidRPr="000D119D">
        <w:rPr>
          <w:lang w:val="en-AU"/>
        </w:rPr>
        <w:t xml:space="preserve"> EMPHN which had 13</w:t>
      </w:r>
      <w:r w:rsidR="00D0391B">
        <w:rPr>
          <w:lang w:val="en-AU"/>
        </w:rPr>
        <w:t>,</w:t>
      </w:r>
      <w:r w:rsidR="00B71DA0" w:rsidRPr="000D119D">
        <w:rPr>
          <w:lang w:val="en-AU"/>
        </w:rPr>
        <w:t>729 service contacts had an estimated cost per service contact of $194.45, compared to NWMPHN, which had the lowest number of service contacts at 9</w:t>
      </w:r>
      <w:r w:rsidR="00FC2F0E">
        <w:rPr>
          <w:lang w:val="en-AU"/>
        </w:rPr>
        <w:t>,</w:t>
      </w:r>
      <w:r w:rsidR="00B71DA0" w:rsidRPr="000D119D">
        <w:rPr>
          <w:lang w:val="en-AU"/>
        </w:rPr>
        <w:t xml:space="preserve">055 at the highest cost of $307.97. </w:t>
      </w:r>
      <w:r w:rsidR="005D60B1" w:rsidRPr="000D119D">
        <w:rPr>
          <w:lang w:val="en-AU"/>
        </w:rPr>
        <w:t xml:space="preserve">There are </w:t>
      </w:r>
      <w:proofErr w:type="gramStart"/>
      <w:r w:rsidR="005D60B1" w:rsidRPr="000D119D">
        <w:rPr>
          <w:lang w:val="en-AU"/>
        </w:rPr>
        <w:t xml:space="preserve">a </w:t>
      </w:r>
      <w:r w:rsidR="005931B5">
        <w:rPr>
          <w:lang w:val="en-AU"/>
        </w:rPr>
        <w:t>number of</w:t>
      </w:r>
      <w:proofErr w:type="gramEnd"/>
      <w:r w:rsidR="005931B5">
        <w:rPr>
          <w:lang w:val="en-AU"/>
        </w:rPr>
        <w:t xml:space="preserve"> possible explanations for</w:t>
      </w:r>
      <w:r w:rsidR="005D60B1" w:rsidRPr="000D119D">
        <w:rPr>
          <w:lang w:val="en-AU"/>
        </w:rPr>
        <w:t xml:space="preserve"> this. Over time, </w:t>
      </w:r>
      <w:r w:rsidR="00CD4B6E" w:rsidRPr="000D119D">
        <w:rPr>
          <w:lang w:val="en-AU"/>
        </w:rPr>
        <w:t xml:space="preserve">delivery of a higher volume of contacts </w:t>
      </w:r>
      <w:r w:rsidR="005931B5">
        <w:rPr>
          <w:lang w:val="en-AU"/>
        </w:rPr>
        <w:t>is likely to</w:t>
      </w:r>
      <w:r w:rsidR="005931B5" w:rsidRPr="000D119D">
        <w:rPr>
          <w:lang w:val="en-AU"/>
        </w:rPr>
        <w:t xml:space="preserve"> </w:t>
      </w:r>
      <w:r w:rsidR="00CD4B6E" w:rsidRPr="000D119D">
        <w:rPr>
          <w:lang w:val="en-AU"/>
        </w:rPr>
        <w:t xml:space="preserve">result in </w:t>
      </w:r>
      <w:r w:rsidR="00B05B48">
        <w:rPr>
          <w:lang w:val="en-AU"/>
        </w:rPr>
        <w:t>lower cost per service contact (driven by the increased denominator)</w:t>
      </w:r>
      <w:r w:rsidR="00CD4B6E" w:rsidRPr="000D119D">
        <w:rPr>
          <w:lang w:val="en-AU"/>
        </w:rPr>
        <w:t>. It</w:t>
      </w:r>
      <w:r w:rsidR="00372F57" w:rsidRPr="000D119D">
        <w:rPr>
          <w:lang w:val="en-AU"/>
        </w:rPr>
        <w:t xml:space="preserve"> </w:t>
      </w:r>
      <w:r w:rsidR="00985B63" w:rsidRPr="000D119D">
        <w:rPr>
          <w:lang w:val="en-AU"/>
        </w:rPr>
        <w:t xml:space="preserve">may </w:t>
      </w:r>
      <w:r w:rsidR="00CD4B6E" w:rsidRPr="000D119D">
        <w:rPr>
          <w:lang w:val="en-AU"/>
        </w:rPr>
        <w:t xml:space="preserve">also </w:t>
      </w:r>
      <w:r w:rsidR="00985B63" w:rsidRPr="000D119D">
        <w:rPr>
          <w:lang w:val="en-AU"/>
        </w:rPr>
        <w:t xml:space="preserve">reflect </w:t>
      </w:r>
      <w:proofErr w:type="gramStart"/>
      <w:r w:rsidR="00CD4B6E" w:rsidRPr="000D119D">
        <w:rPr>
          <w:lang w:val="en-AU"/>
        </w:rPr>
        <w:t>that hubs</w:t>
      </w:r>
      <w:proofErr w:type="gramEnd"/>
      <w:r w:rsidR="00523B80" w:rsidRPr="000D119D">
        <w:rPr>
          <w:lang w:val="en-AU"/>
        </w:rPr>
        <w:t xml:space="preserve"> delivering</w:t>
      </w:r>
      <w:r w:rsidR="00FA7968">
        <w:rPr>
          <w:lang w:val="en-AU"/>
        </w:rPr>
        <w:t xml:space="preserve"> a</w:t>
      </w:r>
      <w:r w:rsidR="00523B80" w:rsidRPr="000D119D">
        <w:rPr>
          <w:lang w:val="en-AU"/>
        </w:rPr>
        <w:t xml:space="preserve"> larger number of service contacts </w:t>
      </w:r>
      <w:r w:rsidR="00165C21">
        <w:rPr>
          <w:lang w:val="en-AU"/>
        </w:rPr>
        <w:t>may</w:t>
      </w:r>
      <w:r w:rsidR="00523B80" w:rsidRPr="000D119D">
        <w:rPr>
          <w:lang w:val="en-AU"/>
        </w:rPr>
        <w:t xml:space="preserve"> have </w:t>
      </w:r>
      <w:r w:rsidR="00985B63" w:rsidRPr="000D119D">
        <w:rPr>
          <w:lang w:val="en-AU"/>
        </w:rPr>
        <w:t>larger multi-disciplinary team</w:t>
      </w:r>
      <w:r w:rsidR="00165C21">
        <w:rPr>
          <w:lang w:val="en-AU"/>
        </w:rPr>
        <w:t>s</w:t>
      </w:r>
      <w:r w:rsidR="00985B63" w:rsidRPr="000D119D">
        <w:rPr>
          <w:lang w:val="en-AU"/>
        </w:rPr>
        <w:t xml:space="preserve">, </w:t>
      </w:r>
      <w:r w:rsidR="00407CE4">
        <w:rPr>
          <w:lang w:val="en-AU"/>
        </w:rPr>
        <w:t>thus relying less on relatively higher cost professions (</w:t>
      </w:r>
      <w:r w:rsidR="008974D0">
        <w:rPr>
          <w:lang w:val="en-AU"/>
        </w:rPr>
        <w:t>e.g.,</w:t>
      </w:r>
      <w:r w:rsidR="00407CE4">
        <w:rPr>
          <w:lang w:val="en-AU"/>
        </w:rPr>
        <w:t xml:space="preserve"> psychologists)</w:t>
      </w:r>
      <w:r w:rsidR="005D60B1" w:rsidRPr="000D119D">
        <w:rPr>
          <w:lang w:val="en-AU"/>
        </w:rPr>
        <w:t>.</w:t>
      </w:r>
      <w:r w:rsidR="00985B63" w:rsidRPr="000D119D">
        <w:rPr>
          <w:lang w:val="en-AU"/>
        </w:rPr>
        <w:t xml:space="preserve"> </w:t>
      </w:r>
    </w:p>
    <w:p w14:paraId="16031A77" w14:textId="55E1EF2A" w:rsidR="00B71DA0" w:rsidRPr="000D119D" w:rsidRDefault="00B71DA0" w:rsidP="0024320D">
      <w:pPr>
        <w:rPr>
          <w:lang w:val="en-AU"/>
        </w:rPr>
      </w:pPr>
      <w:r w:rsidRPr="000D119D">
        <w:rPr>
          <w:lang w:val="en-AU"/>
        </w:rPr>
        <w:t xml:space="preserve">However, the costs per service contact are not </w:t>
      </w:r>
      <w:r w:rsidR="009358DF">
        <w:rPr>
          <w:lang w:val="en-AU"/>
        </w:rPr>
        <w:t>necessarily</w:t>
      </w:r>
      <w:r w:rsidRPr="000D119D">
        <w:rPr>
          <w:lang w:val="en-AU"/>
        </w:rPr>
        <w:t xml:space="preserve"> directly proportional</w:t>
      </w:r>
      <w:r w:rsidR="009358DF">
        <w:rPr>
          <w:lang w:val="en-AU"/>
        </w:rPr>
        <w:t>.</w:t>
      </w:r>
      <w:r w:rsidRPr="000D119D">
        <w:rPr>
          <w:lang w:val="en-AU"/>
        </w:rPr>
        <w:t xml:space="preserve"> </w:t>
      </w:r>
      <w:r w:rsidR="009358DF">
        <w:rPr>
          <w:lang w:val="en-AU"/>
        </w:rPr>
        <w:t>F</w:t>
      </w:r>
      <w:r w:rsidR="00FC2F0E">
        <w:rPr>
          <w:lang w:val="en-AU"/>
        </w:rPr>
        <w:t>or example</w:t>
      </w:r>
      <w:r w:rsidRPr="000D119D">
        <w:rPr>
          <w:lang w:val="en-AU"/>
        </w:rPr>
        <w:t xml:space="preserve">, EMPHN and MPHN both have higher volumes of service contacts than GPHN, but GPHN has the lowest cost per contact. This </w:t>
      </w:r>
      <w:r w:rsidR="00310470" w:rsidRPr="000D119D">
        <w:rPr>
          <w:lang w:val="en-AU"/>
        </w:rPr>
        <w:t>c</w:t>
      </w:r>
      <w:r w:rsidR="008A2214" w:rsidRPr="000D119D">
        <w:rPr>
          <w:lang w:val="en-AU"/>
        </w:rPr>
        <w:t xml:space="preserve">ould </w:t>
      </w:r>
      <w:r w:rsidRPr="000D119D">
        <w:rPr>
          <w:lang w:val="en-AU"/>
        </w:rPr>
        <w:t>suggest that GPHN may be operating more efficiently than the others.</w:t>
      </w:r>
    </w:p>
    <w:p w14:paraId="13A1F412" w14:textId="599B4568" w:rsidR="00F505D6" w:rsidRPr="000D119D" w:rsidRDefault="00B71DA0" w:rsidP="0024320D">
      <w:pPr>
        <w:rPr>
          <w:lang w:val="en-AU"/>
        </w:rPr>
      </w:pPr>
      <w:r w:rsidRPr="000D119D">
        <w:rPr>
          <w:lang w:val="en-AU"/>
        </w:rPr>
        <w:t>The same pattern in costs v</w:t>
      </w:r>
      <w:r w:rsidR="006156E8">
        <w:rPr>
          <w:lang w:val="en-AU"/>
        </w:rPr>
        <w:t>er</w:t>
      </w:r>
      <w:r w:rsidRPr="000D119D">
        <w:rPr>
          <w:lang w:val="en-AU"/>
        </w:rPr>
        <w:t>s</w:t>
      </w:r>
      <w:r w:rsidR="006156E8">
        <w:rPr>
          <w:lang w:val="en-AU"/>
        </w:rPr>
        <w:t>us</w:t>
      </w:r>
      <w:r w:rsidRPr="000D119D">
        <w:rPr>
          <w:lang w:val="en-AU"/>
        </w:rPr>
        <w:t xml:space="preserve"> volumes can be seen in episodes of care. </w:t>
      </w:r>
      <w:r w:rsidR="00477721" w:rsidRPr="000D119D">
        <w:rPr>
          <w:lang w:val="en-AU"/>
        </w:rPr>
        <w:t xml:space="preserve">These findings are heavily influenced by the average number of service contacts per episode of care </w:t>
      </w:r>
      <w:r w:rsidR="00854C7E">
        <w:rPr>
          <w:lang w:val="en-AU"/>
        </w:rPr>
        <w:t>–</w:t>
      </w:r>
      <w:r w:rsidR="00477721" w:rsidRPr="000D119D">
        <w:rPr>
          <w:lang w:val="en-AU"/>
        </w:rPr>
        <w:t xml:space="preserve"> see analysis included in </w:t>
      </w:r>
      <w:r w:rsidR="00854C7E">
        <w:rPr>
          <w:lang w:val="en-AU"/>
        </w:rPr>
        <w:t>S</w:t>
      </w:r>
      <w:r w:rsidR="00477721" w:rsidRPr="000D119D">
        <w:rPr>
          <w:lang w:val="en-AU"/>
        </w:rPr>
        <w:t xml:space="preserve">ection </w:t>
      </w:r>
      <w:r w:rsidR="00477721" w:rsidRPr="000D119D">
        <w:rPr>
          <w:lang w:val="en-AU"/>
        </w:rPr>
        <w:fldChar w:fldCharType="begin"/>
      </w:r>
      <w:r w:rsidR="00477721" w:rsidRPr="000D119D">
        <w:rPr>
          <w:lang w:val="en-AU"/>
        </w:rPr>
        <w:instrText xml:space="preserve"> REF _Ref97009264 \r \h </w:instrText>
      </w:r>
      <w:r w:rsidR="00477721" w:rsidRPr="000D119D">
        <w:rPr>
          <w:lang w:val="en-AU"/>
        </w:rPr>
      </w:r>
      <w:r w:rsidR="00477721" w:rsidRPr="000D119D">
        <w:rPr>
          <w:lang w:val="en-AU"/>
        </w:rPr>
        <w:fldChar w:fldCharType="separate"/>
      </w:r>
      <w:r w:rsidR="00562174">
        <w:rPr>
          <w:lang w:val="en-AU"/>
        </w:rPr>
        <w:t>4.1.6</w:t>
      </w:r>
      <w:r w:rsidR="00477721" w:rsidRPr="000D119D">
        <w:rPr>
          <w:lang w:val="en-AU"/>
        </w:rPr>
        <w:fldChar w:fldCharType="end"/>
      </w:r>
      <w:r w:rsidR="00477721" w:rsidRPr="000D119D">
        <w:rPr>
          <w:lang w:val="en-AU"/>
        </w:rPr>
        <w:t>. EMPHN and SEMPN have the lowest volume of episodes of care and the highest costs</w:t>
      </w:r>
      <w:r w:rsidR="006156E8">
        <w:rPr>
          <w:lang w:val="en-AU"/>
        </w:rPr>
        <w:t xml:space="preserve"> per episode</w:t>
      </w:r>
      <w:r w:rsidR="00477721" w:rsidRPr="000D119D">
        <w:rPr>
          <w:lang w:val="en-AU"/>
        </w:rPr>
        <w:t xml:space="preserve">. </w:t>
      </w:r>
      <w:r w:rsidR="00160D51" w:rsidRPr="000D119D">
        <w:rPr>
          <w:lang w:val="en-AU"/>
        </w:rPr>
        <w:t>MPHN</w:t>
      </w:r>
      <w:r w:rsidR="002D1D5A" w:rsidRPr="000D119D">
        <w:rPr>
          <w:lang w:val="en-AU"/>
        </w:rPr>
        <w:t xml:space="preserve"> has the lowest costs per episode, reflecting earlier analysis </w:t>
      </w:r>
      <w:r w:rsidR="00390A38" w:rsidRPr="000D119D">
        <w:rPr>
          <w:lang w:val="en-AU"/>
        </w:rPr>
        <w:t>that this PHN has typically shorter length of stay and number of contacts</w:t>
      </w:r>
      <w:r w:rsidR="002D1D5A" w:rsidRPr="000D119D">
        <w:rPr>
          <w:lang w:val="en-AU"/>
        </w:rPr>
        <w:t xml:space="preserve">. </w:t>
      </w:r>
      <w:r w:rsidR="009474F8" w:rsidRPr="000D119D">
        <w:rPr>
          <w:lang w:val="en-AU"/>
        </w:rPr>
        <w:t xml:space="preserve">There are some small exceptions to this pattern – </w:t>
      </w:r>
      <w:r w:rsidR="00AA6924" w:rsidRPr="000D119D">
        <w:rPr>
          <w:lang w:val="en-AU"/>
        </w:rPr>
        <w:t>for</w:t>
      </w:r>
      <w:r w:rsidR="00310470" w:rsidRPr="000D119D">
        <w:rPr>
          <w:lang w:val="en-AU"/>
        </w:rPr>
        <w:t xml:space="preserve"> example WVPHN has the fourth highest volume of episode of care but is the third most efficient – indicating some greater efficiency, however what can be taken from these insights is limited. The high correlation between number of service contacts per episode and efficiency of episodes of care suggests that the analysis of cost per service contact is the more useful.</w:t>
      </w:r>
      <w:r w:rsidR="001363DF" w:rsidRPr="000D119D">
        <w:rPr>
          <w:lang w:val="en-AU"/>
        </w:rPr>
        <w:t xml:space="preserve"> </w:t>
      </w:r>
    </w:p>
    <w:p w14:paraId="44FFAD2C" w14:textId="7969C831" w:rsidR="00E85BC1" w:rsidRPr="000D119D" w:rsidRDefault="00E85BC1" w:rsidP="00E85BC1">
      <w:pPr>
        <w:pStyle w:val="Caption"/>
      </w:pPr>
      <w:bookmarkStart w:id="131" w:name="_Ref96977494"/>
      <w:r w:rsidRPr="000D119D">
        <w:t xml:space="preserve">Table </w:t>
      </w:r>
      <w:r w:rsidRPr="000D119D">
        <w:fldChar w:fldCharType="begin"/>
      </w:r>
      <w:r w:rsidRPr="000D119D">
        <w:instrText xml:space="preserve"> SEQ Table \* ARABIC </w:instrText>
      </w:r>
      <w:r w:rsidRPr="000D119D">
        <w:fldChar w:fldCharType="separate"/>
      </w:r>
      <w:r w:rsidR="00562174">
        <w:rPr>
          <w:noProof/>
        </w:rPr>
        <w:t>5</w:t>
      </w:r>
      <w:r w:rsidRPr="000D119D">
        <w:fldChar w:fldCharType="end"/>
      </w:r>
      <w:bookmarkEnd w:id="131"/>
      <w:r w:rsidRPr="000D119D">
        <w:t xml:space="preserve"> | </w:t>
      </w:r>
      <w:proofErr w:type="spellStart"/>
      <w:r w:rsidRPr="00436D8F">
        <w:rPr>
          <w:i/>
        </w:rPr>
        <w:t>HeadtoHelp</w:t>
      </w:r>
      <w:proofErr w:type="spellEnd"/>
      <w:r w:rsidRPr="000D119D">
        <w:t xml:space="preserve"> funding</w:t>
      </w:r>
      <w:r w:rsidR="009D4D1B" w:rsidRPr="000D119D">
        <w:t xml:space="preserve"> and activity</w:t>
      </w:r>
      <w:r w:rsidRPr="000D119D">
        <w:t xml:space="preserve"> data</w:t>
      </w:r>
    </w:p>
    <w:tbl>
      <w:tblPr>
        <w:tblStyle w:val="NousTableStyletopandsideheading"/>
        <w:tblW w:w="0" w:type="auto"/>
        <w:tblLook w:val="04A0" w:firstRow="1" w:lastRow="0" w:firstColumn="1" w:lastColumn="0" w:noHBand="0" w:noVBand="1"/>
        <w:tblDescription w:val="Table 5 is a list of HeadtoHelp funding and activity data"/>
      </w:tblPr>
      <w:tblGrid>
        <w:gridCol w:w="978"/>
        <w:gridCol w:w="1237"/>
        <w:gridCol w:w="1399"/>
        <w:gridCol w:w="1532"/>
        <w:gridCol w:w="1007"/>
        <w:gridCol w:w="975"/>
        <w:gridCol w:w="1031"/>
        <w:gridCol w:w="941"/>
      </w:tblGrid>
      <w:tr w:rsidR="000635CF" w:rsidRPr="00EF2DD9" w14:paraId="38802609" w14:textId="77777777" w:rsidTr="003D209E">
        <w:trPr>
          <w:cnfStyle w:val="100000000000" w:firstRow="1" w:lastRow="0" w:firstColumn="0" w:lastColumn="0" w:oddVBand="0" w:evenVBand="0" w:oddHBand="0" w:evenHBand="0" w:firstRowFirstColumn="0" w:firstRowLastColumn="0" w:lastRowFirstColumn="0" w:lastRowLastColumn="0"/>
          <w:trHeight w:val="99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5441C32" w14:textId="77777777" w:rsidR="00A33306" w:rsidRPr="00D9090A" w:rsidRDefault="00A33306" w:rsidP="00D9090A">
            <w:pPr>
              <w:pStyle w:val="TableNheader"/>
              <w:rPr>
                <w:sz w:val="17"/>
                <w:szCs w:val="17"/>
              </w:rPr>
            </w:pPr>
            <w:r w:rsidRPr="00D9090A">
              <w:rPr>
                <w:sz w:val="17"/>
                <w:szCs w:val="17"/>
              </w:rPr>
              <w:t>PHN</w:t>
            </w:r>
          </w:p>
        </w:tc>
        <w:tc>
          <w:tcPr>
            <w:tcW w:w="0" w:type="auto"/>
            <w:hideMark/>
          </w:tcPr>
          <w:p w14:paraId="00FA9CE2" w14:textId="77777777" w:rsidR="00A33306" w:rsidRPr="00D9090A" w:rsidRDefault="00A33306" w:rsidP="00D9090A">
            <w:pPr>
              <w:pStyle w:val="TableNheader"/>
              <w:cnfStyle w:val="100000000000" w:firstRow="1" w:lastRow="0" w:firstColumn="0" w:lastColumn="0" w:oddVBand="0" w:evenVBand="0" w:oddHBand="0" w:evenHBand="0" w:firstRowFirstColumn="0" w:firstRowLastColumn="0" w:lastRowFirstColumn="0" w:lastRowLastColumn="0"/>
              <w:rPr>
                <w:sz w:val="17"/>
                <w:szCs w:val="17"/>
              </w:rPr>
            </w:pPr>
            <w:r w:rsidRPr="00D9090A">
              <w:rPr>
                <w:sz w:val="17"/>
                <w:szCs w:val="17"/>
              </w:rPr>
              <w:t>Total allocated</w:t>
            </w:r>
          </w:p>
        </w:tc>
        <w:tc>
          <w:tcPr>
            <w:tcW w:w="0" w:type="auto"/>
            <w:hideMark/>
          </w:tcPr>
          <w:p w14:paraId="2961411A" w14:textId="77777777" w:rsidR="00A33306" w:rsidRPr="00D9090A" w:rsidRDefault="00A33306" w:rsidP="00D9090A">
            <w:pPr>
              <w:pStyle w:val="TableNheader"/>
              <w:cnfStyle w:val="100000000000" w:firstRow="1" w:lastRow="0" w:firstColumn="0" w:lastColumn="0" w:oddVBand="0" w:evenVBand="0" w:oddHBand="0" w:evenHBand="0" w:firstRowFirstColumn="0" w:firstRowLastColumn="0" w:lastRowFirstColumn="0" w:lastRowLastColumn="0"/>
              <w:rPr>
                <w:sz w:val="17"/>
                <w:szCs w:val="17"/>
              </w:rPr>
            </w:pPr>
            <w:r w:rsidRPr="00D9090A">
              <w:rPr>
                <w:sz w:val="17"/>
                <w:szCs w:val="17"/>
              </w:rPr>
              <w:t>Total minus establishment</w:t>
            </w:r>
          </w:p>
        </w:tc>
        <w:tc>
          <w:tcPr>
            <w:tcW w:w="0" w:type="auto"/>
            <w:hideMark/>
          </w:tcPr>
          <w:p w14:paraId="130B425D" w14:textId="77777777" w:rsidR="00A33306" w:rsidRPr="00D9090A" w:rsidRDefault="00A33306" w:rsidP="00D9090A">
            <w:pPr>
              <w:pStyle w:val="TableNheader"/>
              <w:cnfStyle w:val="100000000000" w:firstRow="1" w:lastRow="0" w:firstColumn="0" w:lastColumn="0" w:oddVBand="0" w:evenVBand="0" w:oddHBand="0" w:evenHBand="0" w:firstRowFirstColumn="0" w:firstRowLastColumn="0" w:lastRowFirstColumn="0" w:lastRowLastColumn="0"/>
              <w:rPr>
                <w:sz w:val="17"/>
                <w:szCs w:val="17"/>
              </w:rPr>
            </w:pPr>
            <w:r w:rsidRPr="00D9090A">
              <w:rPr>
                <w:sz w:val="17"/>
                <w:szCs w:val="17"/>
              </w:rPr>
              <w:t>Total minus establishment and intake</w:t>
            </w:r>
          </w:p>
        </w:tc>
        <w:tc>
          <w:tcPr>
            <w:tcW w:w="0" w:type="auto"/>
            <w:hideMark/>
          </w:tcPr>
          <w:p w14:paraId="31FDA671" w14:textId="77777777" w:rsidR="00A33306" w:rsidRPr="00D9090A" w:rsidRDefault="00A33306" w:rsidP="00D9090A">
            <w:pPr>
              <w:pStyle w:val="TableNheader"/>
              <w:cnfStyle w:val="100000000000" w:firstRow="1" w:lastRow="0" w:firstColumn="0" w:lastColumn="0" w:oddVBand="0" w:evenVBand="0" w:oddHBand="0" w:evenHBand="0" w:firstRowFirstColumn="0" w:firstRowLastColumn="0" w:lastRowFirstColumn="0" w:lastRowLastColumn="0"/>
              <w:rPr>
                <w:sz w:val="17"/>
                <w:szCs w:val="17"/>
              </w:rPr>
            </w:pPr>
            <w:r w:rsidRPr="00D9090A">
              <w:rPr>
                <w:sz w:val="17"/>
                <w:szCs w:val="17"/>
              </w:rPr>
              <w:t>Total episodes of care</w:t>
            </w:r>
          </w:p>
        </w:tc>
        <w:tc>
          <w:tcPr>
            <w:tcW w:w="0" w:type="auto"/>
            <w:hideMark/>
          </w:tcPr>
          <w:p w14:paraId="6AE7052B" w14:textId="77777777" w:rsidR="00A33306" w:rsidRPr="00D9090A" w:rsidRDefault="00A33306" w:rsidP="00D9090A">
            <w:pPr>
              <w:pStyle w:val="TableNheader"/>
              <w:cnfStyle w:val="100000000000" w:firstRow="1" w:lastRow="0" w:firstColumn="0" w:lastColumn="0" w:oddVBand="0" w:evenVBand="0" w:oddHBand="0" w:evenHBand="0" w:firstRowFirstColumn="0" w:firstRowLastColumn="0" w:lastRowFirstColumn="0" w:lastRowLastColumn="0"/>
              <w:rPr>
                <w:sz w:val="17"/>
                <w:szCs w:val="17"/>
              </w:rPr>
            </w:pPr>
            <w:r w:rsidRPr="00D9090A">
              <w:rPr>
                <w:sz w:val="17"/>
                <w:szCs w:val="17"/>
              </w:rPr>
              <w:t>Total service contacts</w:t>
            </w:r>
          </w:p>
        </w:tc>
        <w:tc>
          <w:tcPr>
            <w:tcW w:w="0" w:type="auto"/>
            <w:hideMark/>
          </w:tcPr>
          <w:p w14:paraId="3BBE2916" w14:textId="77777777" w:rsidR="00A33306" w:rsidRPr="00D9090A" w:rsidRDefault="00A33306" w:rsidP="00D9090A">
            <w:pPr>
              <w:pStyle w:val="TableNheader"/>
              <w:cnfStyle w:val="100000000000" w:firstRow="1" w:lastRow="0" w:firstColumn="0" w:lastColumn="0" w:oddVBand="0" w:evenVBand="0" w:oddHBand="0" w:evenHBand="0" w:firstRowFirstColumn="0" w:firstRowLastColumn="0" w:lastRowFirstColumn="0" w:lastRowLastColumn="0"/>
              <w:rPr>
                <w:sz w:val="17"/>
                <w:szCs w:val="17"/>
              </w:rPr>
            </w:pPr>
            <w:r w:rsidRPr="00D9090A">
              <w:rPr>
                <w:sz w:val="17"/>
                <w:szCs w:val="17"/>
              </w:rPr>
              <w:t>Cost per episode of care</w:t>
            </w:r>
          </w:p>
        </w:tc>
        <w:tc>
          <w:tcPr>
            <w:tcW w:w="0" w:type="auto"/>
            <w:hideMark/>
          </w:tcPr>
          <w:p w14:paraId="093B06CA" w14:textId="77777777" w:rsidR="00A33306" w:rsidRPr="00D9090A" w:rsidRDefault="00A33306" w:rsidP="00D9090A">
            <w:pPr>
              <w:pStyle w:val="TableNheader"/>
              <w:cnfStyle w:val="100000000000" w:firstRow="1" w:lastRow="0" w:firstColumn="0" w:lastColumn="0" w:oddVBand="0" w:evenVBand="0" w:oddHBand="0" w:evenHBand="0" w:firstRowFirstColumn="0" w:firstRowLastColumn="0" w:lastRowFirstColumn="0" w:lastRowLastColumn="0"/>
              <w:rPr>
                <w:sz w:val="17"/>
                <w:szCs w:val="17"/>
              </w:rPr>
            </w:pPr>
            <w:r w:rsidRPr="00D9090A">
              <w:rPr>
                <w:sz w:val="17"/>
                <w:szCs w:val="17"/>
              </w:rPr>
              <w:t>Cost per service contact</w:t>
            </w:r>
          </w:p>
        </w:tc>
      </w:tr>
      <w:tr w:rsidR="000635CF" w:rsidRPr="00EF2DD9" w14:paraId="0F58DF1D" w14:textId="77777777" w:rsidTr="003D209E">
        <w:trPr>
          <w:trHeight w:val="330"/>
        </w:trPr>
        <w:tc>
          <w:tcPr>
            <w:cnfStyle w:val="001000000000" w:firstRow="0" w:lastRow="0" w:firstColumn="1" w:lastColumn="0" w:oddVBand="0" w:evenVBand="0" w:oddHBand="0" w:evenHBand="0" w:firstRowFirstColumn="0" w:firstRowLastColumn="0" w:lastRowFirstColumn="0" w:lastRowLastColumn="0"/>
            <w:tcW w:w="0" w:type="auto"/>
            <w:hideMark/>
          </w:tcPr>
          <w:p w14:paraId="273FF905" w14:textId="77777777" w:rsidR="00A33306" w:rsidRPr="00D9090A" w:rsidRDefault="00A33306" w:rsidP="00D9090A">
            <w:pPr>
              <w:pStyle w:val="TableNheader"/>
              <w:rPr>
                <w:sz w:val="17"/>
                <w:szCs w:val="17"/>
              </w:rPr>
            </w:pPr>
            <w:r w:rsidRPr="00D9090A">
              <w:rPr>
                <w:sz w:val="17"/>
                <w:szCs w:val="17"/>
              </w:rPr>
              <w:lastRenderedPageBreak/>
              <w:t>EMPHN</w:t>
            </w:r>
          </w:p>
        </w:tc>
        <w:tc>
          <w:tcPr>
            <w:tcW w:w="0" w:type="auto"/>
            <w:hideMark/>
          </w:tcPr>
          <w:p w14:paraId="5C40EECF" w14:textId="7C3D340B" w:rsidR="00A33306" w:rsidRPr="00437D9B" w:rsidRDefault="00A33306" w:rsidP="00D9090A">
            <w:pPr>
              <w:pStyle w:val="TableNText"/>
              <w:cnfStyle w:val="000000000000" w:firstRow="0" w:lastRow="0" w:firstColumn="0" w:lastColumn="0" w:oddVBand="0" w:evenVBand="0" w:oddHBand="0" w:evenHBand="0" w:firstRowFirstColumn="0" w:firstRowLastColumn="0" w:lastRowFirstColumn="0" w:lastRowLastColumn="0"/>
              <w:rPr>
                <w:sz w:val="16"/>
              </w:rPr>
            </w:pPr>
            <w:r>
              <w:rPr>
                <w:sz w:val="16"/>
                <w:szCs w:val="22"/>
              </w:rPr>
              <w:t>$</w:t>
            </w:r>
            <w:r w:rsidRPr="00437D9B">
              <w:rPr>
                <w:sz w:val="16"/>
                <w:szCs w:val="22"/>
              </w:rPr>
              <w:t xml:space="preserve">3,317,552.99 </w:t>
            </w:r>
          </w:p>
        </w:tc>
        <w:tc>
          <w:tcPr>
            <w:tcW w:w="0" w:type="auto"/>
            <w:hideMark/>
          </w:tcPr>
          <w:p w14:paraId="42166BAB" w14:textId="53028541" w:rsidR="00A33306" w:rsidRPr="00437D9B" w:rsidRDefault="00A33306" w:rsidP="00D9090A">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$2,909,779.44 </w:t>
            </w:r>
          </w:p>
        </w:tc>
        <w:tc>
          <w:tcPr>
            <w:tcW w:w="0" w:type="auto"/>
            <w:hideMark/>
          </w:tcPr>
          <w:p w14:paraId="712D4B3F" w14:textId="22BEE0D0" w:rsidR="00A33306" w:rsidRPr="00437D9B" w:rsidRDefault="00A33306" w:rsidP="00D9090A">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$2,669,583.68 </w:t>
            </w:r>
          </w:p>
        </w:tc>
        <w:tc>
          <w:tcPr>
            <w:tcW w:w="0" w:type="auto"/>
            <w:hideMark/>
          </w:tcPr>
          <w:p w14:paraId="71AC9EB4" w14:textId="621F7585"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1</w:t>
            </w:r>
            <w:r w:rsidR="00264BF0">
              <w:rPr>
                <w:sz w:val="16"/>
                <w:szCs w:val="22"/>
              </w:rPr>
              <w:t>,</w:t>
            </w:r>
            <w:r w:rsidRPr="00437D9B">
              <w:rPr>
                <w:sz w:val="16"/>
                <w:szCs w:val="22"/>
              </w:rPr>
              <w:t>131</w:t>
            </w:r>
          </w:p>
        </w:tc>
        <w:tc>
          <w:tcPr>
            <w:tcW w:w="0" w:type="auto"/>
            <w:hideMark/>
          </w:tcPr>
          <w:p w14:paraId="0651521C" w14:textId="724B194A"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13</w:t>
            </w:r>
            <w:r w:rsidR="00264BF0">
              <w:rPr>
                <w:sz w:val="16"/>
                <w:szCs w:val="22"/>
              </w:rPr>
              <w:t>,</w:t>
            </w:r>
            <w:r w:rsidRPr="00437D9B">
              <w:rPr>
                <w:sz w:val="16"/>
                <w:szCs w:val="22"/>
              </w:rPr>
              <w:t>729</w:t>
            </w:r>
          </w:p>
        </w:tc>
        <w:tc>
          <w:tcPr>
            <w:tcW w:w="0" w:type="auto"/>
            <w:hideMark/>
          </w:tcPr>
          <w:p w14:paraId="78C7B33E" w14:textId="0FC34902"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$2,572.75 </w:t>
            </w:r>
          </w:p>
        </w:tc>
        <w:tc>
          <w:tcPr>
            <w:tcW w:w="0" w:type="auto"/>
            <w:hideMark/>
          </w:tcPr>
          <w:p w14:paraId="20343EC5" w14:textId="03AC423B"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 $194.45 </w:t>
            </w:r>
          </w:p>
        </w:tc>
      </w:tr>
      <w:tr w:rsidR="00A33306" w:rsidRPr="00EF2DD9" w14:paraId="2542ABAD" w14:textId="77777777" w:rsidTr="003D209E">
        <w:trPr>
          <w:trHeight w:val="330"/>
        </w:trPr>
        <w:tc>
          <w:tcPr>
            <w:cnfStyle w:val="001000000000" w:firstRow="0" w:lastRow="0" w:firstColumn="1" w:lastColumn="0" w:oddVBand="0" w:evenVBand="0" w:oddHBand="0" w:evenHBand="0" w:firstRowFirstColumn="0" w:firstRowLastColumn="0" w:lastRowFirstColumn="0" w:lastRowLastColumn="0"/>
            <w:tcW w:w="0" w:type="auto"/>
            <w:hideMark/>
          </w:tcPr>
          <w:p w14:paraId="5F742351" w14:textId="77777777" w:rsidR="00A33306" w:rsidRPr="00437D9B" w:rsidRDefault="00A33306" w:rsidP="00437D9B">
            <w:pPr>
              <w:pStyle w:val="TableNheader"/>
              <w:rPr>
                <w:sz w:val="17"/>
                <w:szCs w:val="17"/>
              </w:rPr>
            </w:pPr>
            <w:r w:rsidRPr="00437D9B">
              <w:rPr>
                <w:sz w:val="17"/>
                <w:szCs w:val="17"/>
              </w:rPr>
              <w:t>GPHN</w:t>
            </w:r>
          </w:p>
        </w:tc>
        <w:tc>
          <w:tcPr>
            <w:tcW w:w="0" w:type="auto"/>
            <w:hideMark/>
          </w:tcPr>
          <w:p w14:paraId="057BB4B8" w14:textId="54E7AFF0"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Pr>
                <w:sz w:val="16"/>
                <w:szCs w:val="22"/>
              </w:rPr>
              <w:t>$</w:t>
            </w:r>
            <w:r w:rsidRPr="00437D9B">
              <w:rPr>
                <w:sz w:val="16"/>
                <w:szCs w:val="22"/>
              </w:rPr>
              <w:t xml:space="preserve">2,584,774.01 </w:t>
            </w:r>
          </w:p>
        </w:tc>
        <w:tc>
          <w:tcPr>
            <w:tcW w:w="0" w:type="auto"/>
            <w:hideMark/>
          </w:tcPr>
          <w:p w14:paraId="75D0A599" w14:textId="796E077F"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$2,271,559.17 </w:t>
            </w:r>
          </w:p>
        </w:tc>
        <w:tc>
          <w:tcPr>
            <w:tcW w:w="0" w:type="auto"/>
            <w:hideMark/>
          </w:tcPr>
          <w:p w14:paraId="606DC59B" w14:textId="0D227D17"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$1,998,244.32 </w:t>
            </w:r>
          </w:p>
        </w:tc>
        <w:tc>
          <w:tcPr>
            <w:tcW w:w="0" w:type="auto"/>
            <w:hideMark/>
          </w:tcPr>
          <w:p w14:paraId="6E42C238" w14:textId="6BEC4914"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2</w:t>
            </w:r>
            <w:r w:rsidR="00264BF0">
              <w:rPr>
                <w:sz w:val="16"/>
                <w:szCs w:val="22"/>
              </w:rPr>
              <w:t>,</w:t>
            </w:r>
            <w:r w:rsidRPr="00437D9B">
              <w:rPr>
                <w:sz w:val="16"/>
                <w:szCs w:val="22"/>
              </w:rPr>
              <w:t>158</w:t>
            </w:r>
          </w:p>
        </w:tc>
        <w:tc>
          <w:tcPr>
            <w:tcW w:w="0" w:type="auto"/>
            <w:hideMark/>
          </w:tcPr>
          <w:p w14:paraId="1221C24D" w14:textId="62E7D108"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12</w:t>
            </w:r>
            <w:r w:rsidR="00264BF0">
              <w:rPr>
                <w:sz w:val="16"/>
                <w:szCs w:val="22"/>
              </w:rPr>
              <w:t>,</w:t>
            </w:r>
            <w:r w:rsidRPr="00437D9B">
              <w:rPr>
                <w:sz w:val="16"/>
                <w:szCs w:val="22"/>
              </w:rPr>
              <w:t>688</w:t>
            </w:r>
          </w:p>
        </w:tc>
        <w:tc>
          <w:tcPr>
            <w:tcW w:w="0" w:type="auto"/>
            <w:hideMark/>
          </w:tcPr>
          <w:p w14:paraId="3427C370" w14:textId="291352FC" w:rsidR="00A33306" w:rsidRPr="00437D9B" w:rsidRDefault="00DF025F"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w:t>
            </w:r>
            <w:r w:rsidR="00A33306" w:rsidRPr="00437D9B">
              <w:rPr>
                <w:sz w:val="16"/>
                <w:szCs w:val="22"/>
              </w:rPr>
              <w:t xml:space="preserve">1,052.62 </w:t>
            </w:r>
          </w:p>
        </w:tc>
        <w:tc>
          <w:tcPr>
            <w:tcW w:w="0" w:type="auto"/>
            <w:hideMark/>
          </w:tcPr>
          <w:p w14:paraId="748173C1" w14:textId="30EC995D"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 $157.49 </w:t>
            </w:r>
          </w:p>
        </w:tc>
      </w:tr>
      <w:tr w:rsidR="000635CF" w:rsidRPr="00EF2DD9" w14:paraId="74C2027E" w14:textId="77777777" w:rsidTr="003D209E">
        <w:trPr>
          <w:trHeight w:val="330"/>
        </w:trPr>
        <w:tc>
          <w:tcPr>
            <w:cnfStyle w:val="001000000000" w:firstRow="0" w:lastRow="0" w:firstColumn="1" w:lastColumn="0" w:oddVBand="0" w:evenVBand="0" w:oddHBand="0" w:evenHBand="0" w:firstRowFirstColumn="0" w:firstRowLastColumn="0" w:lastRowFirstColumn="0" w:lastRowLastColumn="0"/>
            <w:tcW w:w="0" w:type="auto"/>
            <w:hideMark/>
          </w:tcPr>
          <w:p w14:paraId="09C0C95E" w14:textId="77777777" w:rsidR="00A33306" w:rsidRPr="00437D9B" w:rsidRDefault="00A33306" w:rsidP="00437D9B">
            <w:pPr>
              <w:pStyle w:val="TableNheader"/>
              <w:rPr>
                <w:sz w:val="17"/>
                <w:szCs w:val="17"/>
              </w:rPr>
            </w:pPr>
            <w:r w:rsidRPr="00437D9B">
              <w:rPr>
                <w:sz w:val="17"/>
                <w:szCs w:val="17"/>
              </w:rPr>
              <w:t>MPHN</w:t>
            </w:r>
          </w:p>
        </w:tc>
        <w:tc>
          <w:tcPr>
            <w:tcW w:w="0" w:type="auto"/>
            <w:hideMark/>
          </w:tcPr>
          <w:p w14:paraId="43F9D37F" w14:textId="28AEDC03"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$2,254,186.01 </w:t>
            </w:r>
          </w:p>
        </w:tc>
        <w:tc>
          <w:tcPr>
            <w:tcW w:w="0" w:type="auto"/>
            <w:hideMark/>
          </w:tcPr>
          <w:p w14:paraId="62337964" w14:textId="573B1D47"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$1,980,843.57 </w:t>
            </w:r>
          </w:p>
        </w:tc>
        <w:tc>
          <w:tcPr>
            <w:tcW w:w="0" w:type="auto"/>
            <w:hideMark/>
          </w:tcPr>
          <w:p w14:paraId="6BC4CB64" w14:textId="4126A507"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$1,787,610.74 </w:t>
            </w:r>
          </w:p>
        </w:tc>
        <w:tc>
          <w:tcPr>
            <w:tcW w:w="0" w:type="auto"/>
            <w:hideMark/>
          </w:tcPr>
          <w:p w14:paraId="77BBA1E7" w14:textId="62BC7555"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2</w:t>
            </w:r>
            <w:r w:rsidR="00264BF0">
              <w:rPr>
                <w:sz w:val="16"/>
                <w:szCs w:val="22"/>
              </w:rPr>
              <w:t>,</w:t>
            </w:r>
            <w:r w:rsidRPr="00437D9B">
              <w:rPr>
                <w:sz w:val="16"/>
                <w:szCs w:val="22"/>
              </w:rPr>
              <w:t>194</w:t>
            </w:r>
          </w:p>
        </w:tc>
        <w:tc>
          <w:tcPr>
            <w:tcW w:w="0" w:type="auto"/>
            <w:hideMark/>
          </w:tcPr>
          <w:p w14:paraId="743F0E61" w14:textId="3DD9ADA8"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13</w:t>
            </w:r>
            <w:r w:rsidR="00264BF0">
              <w:rPr>
                <w:sz w:val="16"/>
                <w:szCs w:val="22"/>
              </w:rPr>
              <w:t>,</w:t>
            </w:r>
            <w:r w:rsidRPr="00437D9B">
              <w:rPr>
                <w:sz w:val="16"/>
                <w:szCs w:val="22"/>
              </w:rPr>
              <w:t>972</w:t>
            </w:r>
          </w:p>
        </w:tc>
        <w:tc>
          <w:tcPr>
            <w:tcW w:w="0" w:type="auto"/>
            <w:hideMark/>
          </w:tcPr>
          <w:p w14:paraId="32179BFF" w14:textId="11DF23DB"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$902.85 </w:t>
            </w:r>
          </w:p>
        </w:tc>
        <w:tc>
          <w:tcPr>
            <w:tcW w:w="0" w:type="auto"/>
            <w:hideMark/>
          </w:tcPr>
          <w:p w14:paraId="4EC849BF" w14:textId="28FC4DFE"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 $127.94 </w:t>
            </w:r>
          </w:p>
        </w:tc>
      </w:tr>
      <w:tr w:rsidR="00A33306" w:rsidRPr="00EF2DD9" w14:paraId="28CDDAC3" w14:textId="77777777" w:rsidTr="003D209E">
        <w:trPr>
          <w:trHeight w:val="330"/>
        </w:trPr>
        <w:tc>
          <w:tcPr>
            <w:cnfStyle w:val="001000000000" w:firstRow="0" w:lastRow="0" w:firstColumn="1" w:lastColumn="0" w:oddVBand="0" w:evenVBand="0" w:oddHBand="0" w:evenHBand="0" w:firstRowFirstColumn="0" w:firstRowLastColumn="0" w:lastRowFirstColumn="0" w:lastRowLastColumn="0"/>
            <w:tcW w:w="0" w:type="auto"/>
            <w:hideMark/>
          </w:tcPr>
          <w:p w14:paraId="51E6A15F" w14:textId="77777777" w:rsidR="00A33306" w:rsidRPr="00437D9B" w:rsidRDefault="00A33306" w:rsidP="00437D9B">
            <w:pPr>
              <w:pStyle w:val="TableNheader"/>
              <w:rPr>
                <w:sz w:val="17"/>
                <w:szCs w:val="17"/>
              </w:rPr>
            </w:pPr>
            <w:r w:rsidRPr="00437D9B">
              <w:rPr>
                <w:sz w:val="17"/>
                <w:szCs w:val="17"/>
              </w:rPr>
              <w:t>NWMPHN</w:t>
            </w:r>
          </w:p>
        </w:tc>
        <w:tc>
          <w:tcPr>
            <w:tcW w:w="0" w:type="auto"/>
            <w:hideMark/>
          </w:tcPr>
          <w:p w14:paraId="17C98E42" w14:textId="449B9F01"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$3,513,160.99 </w:t>
            </w:r>
          </w:p>
        </w:tc>
        <w:tc>
          <w:tcPr>
            <w:tcW w:w="0" w:type="auto"/>
            <w:hideMark/>
          </w:tcPr>
          <w:p w14:paraId="2A633E2A" w14:textId="553A41E9"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$3,082,847.24 </w:t>
            </w:r>
          </w:p>
        </w:tc>
        <w:tc>
          <w:tcPr>
            <w:tcW w:w="0" w:type="auto"/>
            <w:hideMark/>
          </w:tcPr>
          <w:p w14:paraId="3C548FF9" w14:textId="413E1A3F"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$2,788,656.72 </w:t>
            </w:r>
          </w:p>
        </w:tc>
        <w:tc>
          <w:tcPr>
            <w:tcW w:w="0" w:type="auto"/>
            <w:hideMark/>
          </w:tcPr>
          <w:p w14:paraId="13241E93" w14:textId="72EE1B76"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1</w:t>
            </w:r>
            <w:r w:rsidR="00264BF0">
              <w:rPr>
                <w:sz w:val="16"/>
                <w:szCs w:val="22"/>
              </w:rPr>
              <w:t>,</w:t>
            </w:r>
            <w:r w:rsidRPr="00437D9B">
              <w:rPr>
                <w:sz w:val="16"/>
                <w:szCs w:val="22"/>
              </w:rPr>
              <w:t>608</w:t>
            </w:r>
          </w:p>
        </w:tc>
        <w:tc>
          <w:tcPr>
            <w:tcW w:w="0" w:type="auto"/>
            <w:hideMark/>
          </w:tcPr>
          <w:p w14:paraId="6BB59C15" w14:textId="46160F9D"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9</w:t>
            </w:r>
            <w:r w:rsidR="00264BF0">
              <w:rPr>
                <w:sz w:val="16"/>
                <w:szCs w:val="22"/>
              </w:rPr>
              <w:t>,</w:t>
            </w:r>
            <w:r w:rsidRPr="00437D9B">
              <w:rPr>
                <w:sz w:val="16"/>
                <w:szCs w:val="22"/>
              </w:rPr>
              <w:t>055</w:t>
            </w:r>
          </w:p>
        </w:tc>
        <w:tc>
          <w:tcPr>
            <w:tcW w:w="0" w:type="auto"/>
            <w:hideMark/>
          </w:tcPr>
          <w:p w14:paraId="3131B1B0" w14:textId="7026CF11"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$1,917.19 </w:t>
            </w:r>
          </w:p>
        </w:tc>
        <w:tc>
          <w:tcPr>
            <w:tcW w:w="0" w:type="auto"/>
            <w:hideMark/>
          </w:tcPr>
          <w:p w14:paraId="5A7A81AE" w14:textId="68E657EC"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 $307.97 </w:t>
            </w:r>
          </w:p>
        </w:tc>
      </w:tr>
      <w:tr w:rsidR="000635CF" w:rsidRPr="00EF2DD9" w14:paraId="5E50E81A" w14:textId="77777777" w:rsidTr="003D209E">
        <w:trPr>
          <w:trHeight w:val="330"/>
        </w:trPr>
        <w:tc>
          <w:tcPr>
            <w:cnfStyle w:val="001000000000" w:firstRow="0" w:lastRow="0" w:firstColumn="1" w:lastColumn="0" w:oddVBand="0" w:evenVBand="0" w:oddHBand="0" w:evenHBand="0" w:firstRowFirstColumn="0" w:firstRowLastColumn="0" w:lastRowFirstColumn="0" w:lastRowLastColumn="0"/>
            <w:tcW w:w="0" w:type="auto"/>
            <w:hideMark/>
          </w:tcPr>
          <w:p w14:paraId="7C4E298D" w14:textId="77777777" w:rsidR="00A33306" w:rsidRPr="00437D9B" w:rsidRDefault="00A33306" w:rsidP="00437D9B">
            <w:pPr>
              <w:pStyle w:val="TableNheader"/>
              <w:rPr>
                <w:sz w:val="17"/>
                <w:szCs w:val="17"/>
              </w:rPr>
            </w:pPr>
            <w:r w:rsidRPr="00437D9B">
              <w:rPr>
                <w:sz w:val="17"/>
                <w:szCs w:val="17"/>
              </w:rPr>
              <w:t>SEMPHN</w:t>
            </w:r>
          </w:p>
        </w:tc>
        <w:tc>
          <w:tcPr>
            <w:tcW w:w="0" w:type="auto"/>
            <w:hideMark/>
          </w:tcPr>
          <w:p w14:paraId="5D9D07B2" w14:textId="7B217683"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$3,264,752.99 </w:t>
            </w:r>
          </w:p>
        </w:tc>
        <w:tc>
          <w:tcPr>
            <w:tcW w:w="0" w:type="auto"/>
            <w:hideMark/>
          </w:tcPr>
          <w:p w14:paraId="6C3D3312" w14:textId="4DCC71EE"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$2,863,608.65 </w:t>
            </w:r>
          </w:p>
        </w:tc>
        <w:tc>
          <w:tcPr>
            <w:tcW w:w="0" w:type="auto"/>
            <w:hideMark/>
          </w:tcPr>
          <w:p w14:paraId="02DD199A" w14:textId="373B987E"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$2,634,563.58 </w:t>
            </w:r>
          </w:p>
        </w:tc>
        <w:tc>
          <w:tcPr>
            <w:tcW w:w="0" w:type="auto"/>
            <w:hideMark/>
          </w:tcPr>
          <w:p w14:paraId="772BD753" w14:textId="33A0790D"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1</w:t>
            </w:r>
            <w:r w:rsidR="00264BF0">
              <w:rPr>
                <w:sz w:val="16"/>
                <w:szCs w:val="22"/>
              </w:rPr>
              <w:t>,</w:t>
            </w:r>
            <w:r w:rsidRPr="00437D9B">
              <w:rPr>
                <w:sz w:val="16"/>
                <w:szCs w:val="22"/>
              </w:rPr>
              <w:t>188</w:t>
            </w:r>
          </w:p>
        </w:tc>
        <w:tc>
          <w:tcPr>
            <w:tcW w:w="0" w:type="auto"/>
            <w:hideMark/>
          </w:tcPr>
          <w:p w14:paraId="67F075B3" w14:textId="54FE60F0"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10</w:t>
            </w:r>
            <w:r w:rsidR="00264BF0">
              <w:rPr>
                <w:sz w:val="16"/>
                <w:szCs w:val="22"/>
              </w:rPr>
              <w:t>,</w:t>
            </w:r>
            <w:r w:rsidRPr="00437D9B">
              <w:rPr>
                <w:sz w:val="16"/>
                <w:szCs w:val="22"/>
              </w:rPr>
              <w:t>422</w:t>
            </w:r>
          </w:p>
        </w:tc>
        <w:tc>
          <w:tcPr>
            <w:tcW w:w="0" w:type="auto"/>
            <w:hideMark/>
          </w:tcPr>
          <w:p w14:paraId="0EE05030" w14:textId="0455FC3C"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$2,410.44 </w:t>
            </w:r>
          </w:p>
        </w:tc>
        <w:tc>
          <w:tcPr>
            <w:tcW w:w="0" w:type="auto"/>
            <w:hideMark/>
          </w:tcPr>
          <w:p w14:paraId="4E70F417" w14:textId="1C76C9B6"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 $252.79 </w:t>
            </w:r>
          </w:p>
        </w:tc>
      </w:tr>
      <w:tr w:rsidR="00A33306" w:rsidRPr="00EF2DD9" w14:paraId="432D09BF" w14:textId="77777777" w:rsidTr="003D209E">
        <w:trPr>
          <w:trHeight w:val="330"/>
        </w:trPr>
        <w:tc>
          <w:tcPr>
            <w:cnfStyle w:val="001000000000" w:firstRow="0" w:lastRow="0" w:firstColumn="1" w:lastColumn="0" w:oddVBand="0" w:evenVBand="0" w:oddHBand="0" w:evenHBand="0" w:firstRowFirstColumn="0" w:firstRowLastColumn="0" w:lastRowFirstColumn="0" w:lastRowLastColumn="0"/>
            <w:tcW w:w="0" w:type="auto"/>
            <w:hideMark/>
          </w:tcPr>
          <w:p w14:paraId="60E50DCD" w14:textId="77777777" w:rsidR="00A33306" w:rsidRPr="00437D9B" w:rsidRDefault="00A33306" w:rsidP="00437D9B">
            <w:pPr>
              <w:pStyle w:val="TableNheader"/>
              <w:rPr>
                <w:sz w:val="17"/>
                <w:szCs w:val="17"/>
              </w:rPr>
            </w:pPr>
            <w:r w:rsidRPr="00437D9B">
              <w:rPr>
                <w:sz w:val="17"/>
                <w:szCs w:val="17"/>
              </w:rPr>
              <w:t>WVPHN</w:t>
            </w:r>
          </w:p>
        </w:tc>
        <w:tc>
          <w:tcPr>
            <w:tcW w:w="0" w:type="auto"/>
            <w:hideMark/>
          </w:tcPr>
          <w:p w14:paraId="4E4F61F1" w14:textId="650AB457"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$2,294,008.01 </w:t>
            </w:r>
          </w:p>
        </w:tc>
        <w:tc>
          <w:tcPr>
            <w:tcW w:w="0" w:type="auto"/>
            <w:hideMark/>
          </w:tcPr>
          <w:p w14:paraId="566D26AD" w14:textId="66B54A71"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$2,013,243.09 </w:t>
            </w:r>
          </w:p>
        </w:tc>
        <w:tc>
          <w:tcPr>
            <w:tcW w:w="0" w:type="auto"/>
            <w:hideMark/>
          </w:tcPr>
          <w:p w14:paraId="3471A9AB" w14:textId="53F5ACE9"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$1,826,821.41 </w:t>
            </w:r>
          </w:p>
        </w:tc>
        <w:tc>
          <w:tcPr>
            <w:tcW w:w="0" w:type="auto"/>
            <w:hideMark/>
          </w:tcPr>
          <w:p w14:paraId="0786D167" w14:textId="2E50B2E1"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1</w:t>
            </w:r>
            <w:r w:rsidR="00264BF0">
              <w:rPr>
                <w:sz w:val="16"/>
                <w:szCs w:val="22"/>
              </w:rPr>
              <w:t>,</w:t>
            </w:r>
            <w:r w:rsidRPr="00437D9B">
              <w:rPr>
                <w:sz w:val="16"/>
                <w:szCs w:val="22"/>
              </w:rPr>
              <w:t>226</w:t>
            </w:r>
          </w:p>
        </w:tc>
        <w:tc>
          <w:tcPr>
            <w:tcW w:w="0" w:type="auto"/>
            <w:hideMark/>
          </w:tcPr>
          <w:p w14:paraId="5A1C0C72" w14:textId="183C1BAC"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10</w:t>
            </w:r>
            <w:r w:rsidR="00264BF0">
              <w:rPr>
                <w:sz w:val="16"/>
                <w:szCs w:val="22"/>
              </w:rPr>
              <w:t>,</w:t>
            </w:r>
            <w:r w:rsidRPr="00437D9B">
              <w:rPr>
                <w:sz w:val="16"/>
                <w:szCs w:val="22"/>
              </w:rPr>
              <w:t>778</w:t>
            </w:r>
          </w:p>
        </w:tc>
        <w:tc>
          <w:tcPr>
            <w:tcW w:w="0" w:type="auto"/>
            <w:hideMark/>
          </w:tcPr>
          <w:p w14:paraId="01165BD1" w14:textId="198796CA"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$1,642.12 </w:t>
            </w:r>
          </w:p>
        </w:tc>
        <w:tc>
          <w:tcPr>
            <w:tcW w:w="0" w:type="auto"/>
            <w:hideMark/>
          </w:tcPr>
          <w:p w14:paraId="51CD11B4" w14:textId="639D168B"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 $169.50 </w:t>
            </w:r>
          </w:p>
        </w:tc>
      </w:tr>
      <w:tr w:rsidR="000635CF" w:rsidRPr="00EF2DD9" w14:paraId="1D043D5E" w14:textId="77777777" w:rsidTr="003D209E">
        <w:trPr>
          <w:trHeight w:val="330"/>
        </w:trPr>
        <w:tc>
          <w:tcPr>
            <w:cnfStyle w:val="001000000000" w:firstRow="0" w:lastRow="0" w:firstColumn="1" w:lastColumn="0" w:oddVBand="0" w:evenVBand="0" w:oddHBand="0" w:evenHBand="0" w:firstRowFirstColumn="0" w:firstRowLastColumn="0" w:lastRowFirstColumn="0" w:lastRowLastColumn="0"/>
            <w:tcW w:w="0" w:type="auto"/>
            <w:hideMark/>
          </w:tcPr>
          <w:p w14:paraId="31DBC425" w14:textId="77777777" w:rsidR="00A33306" w:rsidRPr="00437D9B" w:rsidRDefault="00A33306" w:rsidP="00437D9B">
            <w:pPr>
              <w:pStyle w:val="TableNheader"/>
              <w:rPr>
                <w:sz w:val="17"/>
                <w:szCs w:val="17"/>
              </w:rPr>
            </w:pPr>
            <w:r w:rsidRPr="00437D9B">
              <w:rPr>
                <w:sz w:val="17"/>
                <w:szCs w:val="17"/>
              </w:rPr>
              <w:t>Total</w:t>
            </w:r>
          </w:p>
        </w:tc>
        <w:tc>
          <w:tcPr>
            <w:tcW w:w="0" w:type="auto"/>
            <w:hideMark/>
          </w:tcPr>
          <w:p w14:paraId="57009E86" w14:textId="753BF75F"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$17,228,435.00 </w:t>
            </w:r>
          </w:p>
        </w:tc>
        <w:tc>
          <w:tcPr>
            <w:tcW w:w="0" w:type="auto"/>
            <w:hideMark/>
          </w:tcPr>
          <w:p w14:paraId="4DCE67C6" w14:textId="61D98D90"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$15,121,881.16 </w:t>
            </w:r>
          </w:p>
        </w:tc>
        <w:tc>
          <w:tcPr>
            <w:tcW w:w="0" w:type="auto"/>
            <w:hideMark/>
          </w:tcPr>
          <w:p w14:paraId="027002C1" w14:textId="719BD6B8"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$13,705,480.46 </w:t>
            </w:r>
          </w:p>
        </w:tc>
        <w:tc>
          <w:tcPr>
            <w:tcW w:w="0" w:type="auto"/>
            <w:hideMark/>
          </w:tcPr>
          <w:p w14:paraId="1E266834" w14:textId="68EB1C54"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9</w:t>
            </w:r>
            <w:r w:rsidR="00264BF0">
              <w:rPr>
                <w:sz w:val="16"/>
                <w:szCs w:val="22"/>
              </w:rPr>
              <w:t>,</w:t>
            </w:r>
            <w:r w:rsidRPr="00437D9B">
              <w:rPr>
                <w:sz w:val="16"/>
                <w:szCs w:val="22"/>
              </w:rPr>
              <w:t>505</w:t>
            </w:r>
          </w:p>
        </w:tc>
        <w:tc>
          <w:tcPr>
            <w:tcW w:w="0" w:type="auto"/>
            <w:hideMark/>
          </w:tcPr>
          <w:p w14:paraId="42784E50" w14:textId="1EAAC45E"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70</w:t>
            </w:r>
            <w:r w:rsidR="00264BF0">
              <w:rPr>
                <w:sz w:val="16"/>
                <w:szCs w:val="22"/>
              </w:rPr>
              <w:t>,</w:t>
            </w:r>
            <w:r w:rsidRPr="00437D9B">
              <w:rPr>
                <w:sz w:val="16"/>
                <w:szCs w:val="22"/>
              </w:rPr>
              <w:t>644</w:t>
            </w:r>
          </w:p>
        </w:tc>
        <w:tc>
          <w:tcPr>
            <w:tcW w:w="0" w:type="auto"/>
            <w:hideMark/>
          </w:tcPr>
          <w:p w14:paraId="1C611F1E" w14:textId="764ACED9"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$1,590.94 </w:t>
            </w:r>
          </w:p>
        </w:tc>
        <w:tc>
          <w:tcPr>
            <w:tcW w:w="0" w:type="auto"/>
            <w:hideMark/>
          </w:tcPr>
          <w:p w14:paraId="54F38363" w14:textId="0897638F" w:rsidR="00A33306" w:rsidRPr="00437D9B" w:rsidRDefault="00A33306" w:rsidP="00437D9B">
            <w:pPr>
              <w:pStyle w:val="TableNText"/>
              <w:cnfStyle w:val="000000000000" w:firstRow="0" w:lastRow="0" w:firstColumn="0" w:lastColumn="0" w:oddVBand="0" w:evenVBand="0" w:oddHBand="0" w:evenHBand="0" w:firstRowFirstColumn="0" w:firstRowLastColumn="0" w:lastRowFirstColumn="0" w:lastRowLastColumn="0"/>
              <w:rPr>
                <w:sz w:val="16"/>
              </w:rPr>
            </w:pPr>
            <w:r w:rsidRPr="00437D9B">
              <w:rPr>
                <w:sz w:val="16"/>
                <w:szCs w:val="22"/>
              </w:rPr>
              <w:t xml:space="preserve"> $194.01 </w:t>
            </w:r>
          </w:p>
        </w:tc>
      </w:tr>
    </w:tbl>
    <w:p w14:paraId="5508E5AC" w14:textId="507154B6" w:rsidR="00090167" w:rsidRPr="000D119D" w:rsidRDefault="00090167" w:rsidP="00BE0860">
      <w:pPr>
        <w:pStyle w:val="Heading3"/>
      </w:pPr>
      <w:r w:rsidRPr="000D119D">
        <w:t xml:space="preserve">Comparison to other services shows that </w:t>
      </w:r>
      <w:proofErr w:type="spellStart"/>
      <w:r w:rsidRPr="000D119D">
        <w:rPr>
          <w:i/>
          <w:iCs/>
        </w:rPr>
        <w:t>HeadtoHelp</w:t>
      </w:r>
      <w:proofErr w:type="spellEnd"/>
      <w:r w:rsidRPr="000D119D">
        <w:t xml:space="preserve"> appears relatively efficient overall</w:t>
      </w:r>
    </w:p>
    <w:p w14:paraId="5B238650" w14:textId="180F0F9D" w:rsidR="004A49A1" w:rsidRPr="00BB28CF" w:rsidRDefault="00090167" w:rsidP="00904EA2">
      <w:pPr>
        <w:rPr>
          <w:lang w:val="en-AU"/>
        </w:rPr>
      </w:pPr>
      <w:r w:rsidRPr="000D119D">
        <w:rPr>
          <w:bCs/>
          <w:lang w:val="en-AU"/>
        </w:rPr>
        <w:t xml:space="preserve">To try and quantitatively assess the efficiency of </w:t>
      </w:r>
      <w:proofErr w:type="spellStart"/>
      <w:r w:rsidRPr="003D209E">
        <w:rPr>
          <w:rStyle w:val="Emphasis"/>
        </w:rPr>
        <w:t>HeadtoHelp</w:t>
      </w:r>
      <w:proofErr w:type="spellEnd"/>
      <w:r w:rsidRPr="000D119D">
        <w:rPr>
          <w:bCs/>
          <w:lang w:val="en-AU"/>
        </w:rPr>
        <w:t xml:space="preserve">, we have </w:t>
      </w:r>
      <w:r w:rsidR="00671C50">
        <w:rPr>
          <w:bCs/>
          <w:lang w:val="en-AU"/>
        </w:rPr>
        <w:t>considered</w:t>
      </w:r>
      <w:r w:rsidR="002218E0">
        <w:rPr>
          <w:bCs/>
          <w:lang w:val="en-AU"/>
        </w:rPr>
        <w:t xml:space="preserve"> a comparison with both headspace and single service contact costs</w:t>
      </w:r>
      <w:r w:rsidR="00F32F69">
        <w:rPr>
          <w:bCs/>
          <w:lang w:val="en-AU"/>
        </w:rPr>
        <w:t xml:space="preserve"> for </w:t>
      </w:r>
      <w:r w:rsidR="004A49A1">
        <w:rPr>
          <w:bCs/>
          <w:lang w:val="en-AU"/>
        </w:rPr>
        <w:t>psychology.</w:t>
      </w:r>
      <w:r w:rsidR="00AD49C8">
        <w:rPr>
          <w:bCs/>
          <w:lang w:val="en-AU"/>
        </w:rPr>
        <w:t xml:space="preserve"> </w:t>
      </w:r>
      <w:r w:rsidR="00AD49C8" w:rsidRPr="008370FB">
        <w:rPr>
          <w:rFonts w:asciiTheme="majorHAnsi" w:hAnsiTheme="majorHAnsi" w:cstheme="majorHAnsi"/>
          <w:lang w:val="en-AU"/>
        </w:rPr>
        <w:t xml:space="preserve">Overall, </w:t>
      </w:r>
      <w:r w:rsidR="003F371E" w:rsidRPr="008370FB">
        <w:rPr>
          <w:rFonts w:asciiTheme="majorHAnsi" w:hAnsiTheme="majorHAnsi" w:cstheme="majorHAnsi"/>
          <w:lang w:val="en-AU"/>
        </w:rPr>
        <w:t xml:space="preserve">this evaluation finds that </w:t>
      </w:r>
      <w:proofErr w:type="spellStart"/>
      <w:r w:rsidR="003F371E" w:rsidRPr="008370FB">
        <w:rPr>
          <w:rFonts w:asciiTheme="majorHAnsi" w:hAnsiTheme="majorHAnsi" w:cstheme="majorHAnsi"/>
          <w:i/>
          <w:lang w:val="en-AU"/>
        </w:rPr>
        <w:t>HeadtoHelp</w:t>
      </w:r>
      <w:proofErr w:type="spellEnd"/>
      <w:r w:rsidR="00BB28CF" w:rsidRPr="008370FB">
        <w:rPr>
          <w:rFonts w:asciiTheme="majorHAnsi" w:hAnsiTheme="majorHAnsi" w:cstheme="majorHAnsi"/>
          <w:lang w:val="en-AU"/>
        </w:rPr>
        <w:t xml:space="preserve"> </w:t>
      </w:r>
      <w:r w:rsidR="00622E94" w:rsidRPr="008370FB">
        <w:rPr>
          <w:rFonts w:asciiTheme="majorHAnsi" w:hAnsiTheme="majorHAnsi" w:cstheme="majorHAnsi"/>
          <w:lang w:val="en-AU"/>
        </w:rPr>
        <w:t>has been operating with</w:t>
      </w:r>
      <w:r w:rsidR="00BB28CF" w:rsidRPr="008370FB">
        <w:rPr>
          <w:rFonts w:asciiTheme="majorHAnsi" w:hAnsiTheme="majorHAnsi" w:cstheme="majorHAnsi"/>
          <w:lang w:val="en-AU"/>
        </w:rPr>
        <w:t xml:space="preserve"> </w:t>
      </w:r>
      <w:r w:rsidR="008370FB" w:rsidRPr="008370FB">
        <w:rPr>
          <w:rFonts w:asciiTheme="majorHAnsi" w:hAnsiTheme="majorHAnsi" w:cstheme="majorHAnsi"/>
          <w:bCs/>
          <w:lang w:val="en-AU"/>
        </w:rPr>
        <w:t>appropriate</w:t>
      </w:r>
      <w:r w:rsidR="00622E94" w:rsidRPr="008370FB">
        <w:rPr>
          <w:rFonts w:asciiTheme="majorHAnsi" w:hAnsiTheme="majorHAnsi" w:cstheme="majorHAnsi"/>
          <w:lang w:val="en-AU"/>
        </w:rPr>
        <w:t xml:space="preserve"> efficiency</w:t>
      </w:r>
      <w:r w:rsidR="00BB28CF" w:rsidRPr="008370FB">
        <w:rPr>
          <w:rFonts w:asciiTheme="majorHAnsi" w:hAnsiTheme="majorHAnsi" w:cstheme="majorHAnsi"/>
          <w:lang w:val="en-AU"/>
        </w:rPr>
        <w:t xml:space="preserve">, especially </w:t>
      </w:r>
      <w:r w:rsidR="008C398E" w:rsidRPr="008370FB">
        <w:rPr>
          <w:rFonts w:asciiTheme="majorHAnsi" w:hAnsiTheme="majorHAnsi" w:cstheme="majorHAnsi"/>
          <w:bCs/>
          <w:lang w:val="en-AU"/>
        </w:rPr>
        <w:t>considering</w:t>
      </w:r>
      <w:r w:rsidR="00BB28CF" w:rsidRPr="008370FB">
        <w:rPr>
          <w:rFonts w:asciiTheme="majorHAnsi" w:hAnsiTheme="majorHAnsi" w:cstheme="majorHAnsi"/>
          <w:lang w:val="en-AU"/>
        </w:rPr>
        <w:t xml:space="preserve"> the </w:t>
      </w:r>
      <w:r w:rsidR="00622E94" w:rsidRPr="008370FB">
        <w:rPr>
          <w:rFonts w:asciiTheme="majorHAnsi" w:hAnsiTheme="majorHAnsi" w:cstheme="majorHAnsi"/>
          <w:lang w:val="en-AU"/>
        </w:rPr>
        <w:t xml:space="preserve">time taken for the hubs to ramp up operation early on. </w:t>
      </w:r>
    </w:p>
    <w:p w14:paraId="416729AC" w14:textId="1B635B7B" w:rsidR="00090167" w:rsidRDefault="004A49A1" w:rsidP="00904EA2">
      <w:pPr>
        <w:rPr>
          <w:bCs/>
          <w:lang w:val="en-AU"/>
        </w:rPr>
      </w:pPr>
      <w:r w:rsidRPr="004A49A1">
        <w:rPr>
          <w:rFonts w:asciiTheme="majorHAnsi" w:hAnsiTheme="majorHAnsi" w:cstheme="majorHAnsi"/>
          <w:bCs/>
          <w:lang w:val="en-AU"/>
        </w:rPr>
        <w:t>Comparison to headspace</w:t>
      </w:r>
      <w:r>
        <w:rPr>
          <w:bCs/>
          <w:lang w:val="en-AU"/>
        </w:rPr>
        <w:t>:</w:t>
      </w:r>
      <w:r w:rsidR="002218E0">
        <w:rPr>
          <w:bCs/>
          <w:lang w:val="en-AU"/>
        </w:rPr>
        <w:t xml:space="preserve"> </w:t>
      </w:r>
      <w:r w:rsidR="004A063B">
        <w:rPr>
          <w:bCs/>
          <w:lang w:val="en-AU"/>
        </w:rPr>
        <w:t>a</w:t>
      </w:r>
      <w:r w:rsidR="00090167" w:rsidRPr="000D119D">
        <w:rPr>
          <w:bCs/>
          <w:lang w:val="en-AU"/>
        </w:rPr>
        <w:t xml:space="preserve">vailable funding data for headspace’s ‘communities of youth </w:t>
      </w:r>
      <w:proofErr w:type="gramStart"/>
      <w:r w:rsidR="00090167" w:rsidRPr="000D119D">
        <w:rPr>
          <w:bCs/>
          <w:lang w:val="en-AU"/>
        </w:rPr>
        <w:t>services’</w:t>
      </w:r>
      <w:proofErr w:type="gramEnd"/>
      <w:r w:rsidR="00090167" w:rsidRPr="000D119D">
        <w:rPr>
          <w:bCs/>
          <w:lang w:val="en-AU"/>
        </w:rPr>
        <w:t xml:space="preserve"> or integrated service hubs and networks, which were established between 2006 and 2009</w:t>
      </w:r>
      <w:r>
        <w:rPr>
          <w:bCs/>
          <w:lang w:val="en-AU"/>
        </w:rPr>
        <w:t xml:space="preserve"> shows that</w:t>
      </w:r>
      <w:r w:rsidR="00090167" w:rsidRPr="000D119D">
        <w:rPr>
          <w:bCs/>
          <w:lang w:val="en-AU"/>
        </w:rPr>
        <w:t xml:space="preserve"> $34.2 million was received</w:t>
      </w:r>
      <w:r w:rsidR="00090167" w:rsidRPr="000D119D">
        <w:rPr>
          <w:rStyle w:val="FootnoteReference"/>
          <w:bCs/>
          <w:lang w:val="en-AU"/>
        </w:rPr>
        <w:footnoteReference w:id="73"/>
      </w:r>
      <w:r w:rsidR="00090167" w:rsidRPr="000D119D">
        <w:rPr>
          <w:lang w:val="en-AU"/>
        </w:rPr>
        <w:t xml:space="preserve"> </w:t>
      </w:r>
      <w:r w:rsidR="00090167" w:rsidRPr="000D119D">
        <w:rPr>
          <w:bCs/>
          <w:lang w:val="en-AU"/>
        </w:rPr>
        <w:t>by 30 of these integrated service hubs and networks across Australia</w:t>
      </w:r>
      <w:r>
        <w:rPr>
          <w:bCs/>
          <w:lang w:val="en-AU"/>
        </w:rPr>
        <w:t xml:space="preserve"> over this time period</w:t>
      </w:r>
      <w:r w:rsidR="00090167" w:rsidRPr="000D119D">
        <w:rPr>
          <w:bCs/>
          <w:lang w:val="en-AU"/>
        </w:rPr>
        <w:t>. Within this time frame, 13,917 young people had been seen and over 95,000 occasions of service provided, which equates to roughly $360 per occasion of service. In the 2013/2014 financial year, the cost per occasion of service was similar, at $339</w:t>
      </w:r>
      <w:r w:rsidR="00090167" w:rsidRPr="000D119D">
        <w:rPr>
          <w:rStyle w:val="FootnoteReference"/>
          <w:bCs/>
          <w:lang w:val="en-AU"/>
        </w:rPr>
        <w:footnoteReference w:id="74"/>
      </w:r>
      <w:r w:rsidR="00090167" w:rsidRPr="000D119D">
        <w:rPr>
          <w:bCs/>
          <w:lang w:val="en-AU"/>
        </w:rPr>
        <w:t xml:space="preserve">. Comparing this with the estimated cost per service contact for </w:t>
      </w:r>
      <w:proofErr w:type="spellStart"/>
      <w:r w:rsidR="00090167" w:rsidRPr="003D209E">
        <w:rPr>
          <w:rStyle w:val="Emphasis"/>
        </w:rPr>
        <w:t>HeadtoHelp</w:t>
      </w:r>
      <w:proofErr w:type="spellEnd"/>
      <w:r w:rsidR="00090167" w:rsidRPr="000D119D">
        <w:rPr>
          <w:bCs/>
          <w:lang w:val="en-AU"/>
        </w:rPr>
        <w:t xml:space="preserve"> overall, which is $194.01, it appears that </w:t>
      </w:r>
      <w:proofErr w:type="spellStart"/>
      <w:r w:rsidR="00090167" w:rsidRPr="003D209E">
        <w:rPr>
          <w:rStyle w:val="Emphasis"/>
        </w:rPr>
        <w:t>HeadtoHelp</w:t>
      </w:r>
      <w:proofErr w:type="spellEnd"/>
      <w:r w:rsidR="00090167" w:rsidRPr="000D119D">
        <w:rPr>
          <w:bCs/>
          <w:i/>
          <w:iCs/>
          <w:lang w:val="en-AU"/>
        </w:rPr>
        <w:t xml:space="preserve"> </w:t>
      </w:r>
      <w:r w:rsidR="00090167" w:rsidRPr="000D119D">
        <w:rPr>
          <w:bCs/>
          <w:lang w:val="en-AU"/>
        </w:rPr>
        <w:t>is operating at reasonable efficiency, noting that headspace is operating with a younger cohort (which could be expected to increase costs), but an often less clinically complex group (which could be expected to decrease costs).</w:t>
      </w:r>
    </w:p>
    <w:p w14:paraId="190B6982" w14:textId="564C104C" w:rsidR="00B242A4" w:rsidRDefault="004A49A1" w:rsidP="00811A1E">
      <w:pPr>
        <w:rPr>
          <w:bCs/>
          <w:lang w:val="en-AU"/>
        </w:rPr>
      </w:pPr>
      <w:r w:rsidRPr="004A49A1">
        <w:rPr>
          <w:rFonts w:asciiTheme="majorHAnsi" w:hAnsiTheme="majorHAnsi" w:cstheme="majorHAnsi"/>
          <w:bCs/>
          <w:lang w:val="en-AU"/>
        </w:rPr>
        <w:t>Comparison to single service costs</w:t>
      </w:r>
      <w:r>
        <w:rPr>
          <w:bCs/>
          <w:lang w:val="en-AU"/>
        </w:rPr>
        <w:t xml:space="preserve">: </w:t>
      </w:r>
      <w:r w:rsidR="004A063B">
        <w:rPr>
          <w:bCs/>
          <w:lang w:val="en-AU"/>
        </w:rPr>
        <w:t>t</w:t>
      </w:r>
      <w:r w:rsidRPr="004A49A1">
        <w:rPr>
          <w:bCs/>
          <w:lang w:val="en-AU"/>
        </w:rPr>
        <w:t>he A</w:t>
      </w:r>
      <w:r w:rsidR="009A6137">
        <w:rPr>
          <w:bCs/>
          <w:lang w:val="en-AU"/>
        </w:rPr>
        <w:t xml:space="preserve">ustralian Psychological </w:t>
      </w:r>
      <w:r w:rsidRPr="004A49A1">
        <w:rPr>
          <w:bCs/>
          <w:lang w:val="en-AU"/>
        </w:rPr>
        <w:t>S</w:t>
      </w:r>
      <w:r w:rsidR="009A6137">
        <w:rPr>
          <w:bCs/>
          <w:lang w:val="en-AU"/>
        </w:rPr>
        <w:t>ociety</w:t>
      </w:r>
      <w:r w:rsidRPr="004A49A1">
        <w:rPr>
          <w:bCs/>
          <w:lang w:val="en-AU"/>
        </w:rPr>
        <w:t xml:space="preserve"> National Schedule of Recommended Fees 2021-2022 </w:t>
      </w:r>
      <w:r w:rsidR="009A6137">
        <w:rPr>
          <w:bCs/>
          <w:lang w:val="en-AU"/>
        </w:rPr>
        <w:t>sets</w:t>
      </w:r>
      <w:r w:rsidRPr="004A49A1">
        <w:rPr>
          <w:bCs/>
          <w:lang w:val="en-AU"/>
        </w:rPr>
        <w:t xml:space="preserve"> </w:t>
      </w:r>
      <w:r w:rsidR="009A6137">
        <w:rPr>
          <w:bCs/>
          <w:lang w:val="en-AU"/>
        </w:rPr>
        <w:t>a</w:t>
      </w:r>
      <w:r w:rsidRPr="004A49A1">
        <w:rPr>
          <w:bCs/>
          <w:lang w:val="en-AU"/>
        </w:rPr>
        <w:t xml:space="preserve"> standard 46 to 60-minute consultation fee at $267</w:t>
      </w:r>
      <w:r w:rsidR="009A6137">
        <w:rPr>
          <w:bCs/>
          <w:lang w:val="en-AU"/>
        </w:rPr>
        <w:t xml:space="preserve">. Anecdotally, </w:t>
      </w:r>
      <w:r w:rsidR="009A6137">
        <w:t xml:space="preserve">single service contacts for a psychologist are typically </w:t>
      </w:r>
      <w:r w:rsidR="00075129">
        <w:t xml:space="preserve">approximately </w:t>
      </w:r>
      <w:r w:rsidR="009A6137">
        <w:t>$200</w:t>
      </w:r>
      <w:r w:rsidR="000A068D">
        <w:t xml:space="preserve">. </w:t>
      </w:r>
      <w:r w:rsidR="009927F3">
        <w:t>Again</w:t>
      </w:r>
      <w:r w:rsidR="000605B1">
        <w:t>,</w:t>
      </w:r>
      <w:r w:rsidR="009927F3">
        <w:t xml:space="preserve"> this demonstrates that </w:t>
      </w:r>
      <w:proofErr w:type="spellStart"/>
      <w:r w:rsidR="009927F3" w:rsidRPr="003D209E">
        <w:rPr>
          <w:rStyle w:val="Emphasis"/>
        </w:rPr>
        <w:t>HeadtoHelp</w:t>
      </w:r>
      <w:proofErr w:type="spellEnd"/>
      <w:r w:rsidR="009927F3" w:rsidRPr="000D119D">
        <w:rPr>
          <w:bCs/>
          <w:lang w:val="en-AU"/>
        </w:rPr>
        <w:t xml:space="preserve"> </w:t>
      </w:r>
      <w:r w:rsidR="00270039">
        <w:rPr>
          <w:bCs/>
          <w:lang w:val="en-AU"/>
        </w:rPr>
        <w:t xml:space="preserve">is operating at a lower cost per service contact, however </w:t>
      </w:r>
      <w:r w:rsidR="0028465C">
        <w:rPr>
          <w:bCs/>
          <w:lang w:val="en-AU"/>
        </w:rPr>
        <w:t xml:space="preserve">it is important to note that </w:t>
      </w:r>
      <w:r w:rsidR="00C741E6">
        <w:rPr>
          <w:bCs/>
          <w:lang w:val="en-AU"/>
        </w:rPr>
        <w:t xml:space="preserve">while </w:t>
      </w:r>
      <w:r w:rsidR="0028465C">
        <w:rPr>
          <w:bCs/>
          <w:lang w:val="en-AU"/>
        </w:rPr>
        <w:t xml:space="preserve">psychological services were </w:t>
      </w:r>
      <w:r w:rsidR="00B242A4">
        <w:rPr>
          <w:bCs/>
          <w:lang w:val="en-AU"/>
        </w:rPr>
        <w:t xml:space="preserve">the most common primary service type, not all service contacts at </w:t>
      </w:r>
      <w:proofErr w:type="spellStart"/>
      <w:r w:rsidR="00B242A4" w:rsidRPr="003D209E">
        <w:rPr>
          <w:rStyle w:val="Emphasis"/>
        </w:rPr>
        <w:t>HeadtoHelp</w:t>
      </w:r>
      <w:proofErr w:type="spellEnd"/>
      <w:r w:rsidR="00B242A4">
        <w:rPr>
          <w:bCs/>
          <w:lang w:val="en-AU"/>
        </w:rPr>
        <w:t xml:space="preserve"> are or need to be delivered by a psychologist. </w:t>
      </w:r>
      <w:r w:rsidR="00270039">
        <w:rPr>
          <w:bCs/>
          <w:lang w:val="en-AU"/>
        </w:rPr>
        <w:t xml:space="preserve"> </w:t>
      </w:r>
    </w:p>
    <w:p w14:paraId="291C2BD3" w14:textId="41786A06" w:rsidR="00EF3D7B" w:rsidDel="00895311" w:rsidRDefault="00090167" w:rsidP="00BE0860">
      <w:pPr>
        <w:pStyle w:val="Heading3"/>
      </w:pPr>
      <w:r w:rsidRPr="000D119D">
        <w:t>A slow uptake in service provision is likely to impact efficiency analysis</w:t>
      </w:r>
      <w:r w:rsidR="00811A1E">
        <w:t>.</w:t>
      </w:r>
    </w:p>
    <w:p w14:paraId="357AA27C" w14:textId="35780D19" w:rsidR="00583DA0" w:rsidRPr="000D119D" w:rsidRDefault="00090167" w:rsidP="00583DA0">
      <w:pPr>
        <w:rPr>
          <w:lang w:val="en-AU" w:eastAsia="en-AU"/>
        </w:rPr>
      </w:pPr>
      <w:r w:rsidRPr="000D119D">
        <w:rPr>
          <w:lang w:val="en-AU" w:eastAsia="en-AU"/>
        </w:rPr>
        <w:t xml:space="preserve">Most </w:t>
      </w:r>
      <w:proofErr w:type="spellStart"/>
      <w:r w:rsidRPr="003D209E">
        <w:rPr>
          <w:rStyle w:val="Emphasis"/>
        </w:rPr>
        <w:t>HeadtoHelp</w:t>
      </w:r>
      <w:proofErr w:type="spellEnd"/>
      <w:r w:rsidRPr="000D119D">
        <w:rPr>
          <w:lang w:val="en-AU" w:eastAsia="en-AU"/>
        </w:rPr>
        <w:t xml:space="preserve"> hubs had low intake numbers in their first few weeks of operation. Low client numbers means that staff are not fully utili</w:t>
      </w:r>
      <w:r w:rsidR="008437F5">
        <w:rPr>
          <w:lang w:val="en-AU" w:eastAsia="en-AU"/>
        </w:rPr>
        <w:t>s</w:t>
      </w:r>
      <w:r w:rsidRPr="000D119D">
        <w:rPr>
          <w:lang w:val="en-AU" w:eastAsia="en-AU"/>
        </w:rPr>
        <w:t xml:space="preserve">ed which increases the cost per episode and service contact early in </w:t>
      </w:r>
      <w:r w:rsidR="005F0735" w:rsidRPr="000D119D">
        <w:rPr>
          <w:lang w:val="en-AU" w:eastAsia="en-AU"/>
        </w:rPr>
        <w:t>the establishment and implementation phases</w:t>
      </w:r>
      <w:r w:rsidRPr="000D119D">
        <w:rPr>
          <w:lang w:val="en-AU" w:eastAsia="en-AU"/>
        </w:rPr>
        <w:t>.</w:t>
      </w:r>
      <w:r w:rsidR="005F0735" w:rsidRPr="000D119D">
        <w:rPr>
          <w:lang w:val="en-AU" w:eastAsia="en-AU"/>
        </w:rPr>
        <w:t xml:space="preserve"> </w:t>
      </w:r>
    </w:p>
    <w:p w14:paraId="219D0AA4" w14:textId="75A7D3EB" w:rsidR="005C58F1" w:rsidRPr="000D119D" w:rsidRDefault="00F152A1" w:rsidP="003D209E">
      <w:pPr>
        <w:pStyle w:val="Heading1"/>
        <w:numPr>
          <w:ilvl w:val="0"/>
          <w:numId w:val="0"/>
        </w:numPr>
        <w:rPr>
          <w:color w:val="FFFFFF" w:themeColor="background1"/>
        </w:rPr>
      </w:pPr>
      <w:bookmarkStart w:id="132" w:name="_Toc99650363"/>
      <w:bookmarkEnd w:id="103"/>
      <w:bookmarkEnd w:id="104"/>
      <w:bookmarkEnd w:id="105"/>
      <w:r w:rsidRPr="000D119D">
        <w:rPr>
          <w:noProof/>
        </w:rPr>
        <w:lastRenderedPageBreak/>
        <w:drawing>
          <wp:anchor distT="0" distB="0" distL="114300" distR="114300" simplePos="0" relativeHeight="251653632" behindDoc="1" locked="0" layoutInCell="1" allowOverlap="1" wp14:anchorId="029C08AB" wp14:editId="0E260207">
            <wp:simplePos x="0" y="0"/>
            <wp:positionH relativeFrom="column">
              <wp:posOffset>-983697</wp:posOffset>
            </wp:positionH>
            <wp:positionV relativeFrom="paragraph">
              <wp:posOffset>-786130</wp:posOffset>
            </wp:positionV>
            <wp:extent cx="7578090" cy="1304925"/>
            <wp:effectExtent l="0" t="0" r="3810" b="9525"/>
            <wp:wrapNone/>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78090" cy="1304925"/>
                    </a:xfrm>
                    <a:prstGeom prst="rect">
                      <a:avLst/>
                    </a:prstGeom>
                    <a:noFill/>
                  </pic:spPr>
                </pic:pic>
              </a:graphicData>
            </a:graphic>
          </wp:anchor>
        </w:drawing>
      </w:r>
      <w:r w:rsidR="003D209E">
        <w:rPr>
          <w:color w:val="FFFFFF" w:themeColor="background1"/>
        </w:rPr>
        <w:t>PART B</w:t>
      </w:r>
      <w:r w:rsidR="005C58F1" w:rsidRPr="000D119D">
        <w:rPr>
          <w:color w:val="FFFFFF" w:themeColor="background1"/>
        </w:rPr>
        <w:t xml:space="preserve"> </w:t>
      </w:r>
      <w:r w:rsidR="005C58F1" w:rsidRPr="00976423">
        <w:rPr>
          <w:i/>
          <w:iCs/>
          <w:color w:val="F25E21" w:themeColor="accent2"/>
        </w:rPr>
        <w:t>AMHC</w:t>
      </w:r>
      <w:r w:rsidR="00454931" w:rsidRPr="000D119D">
        <w:rPr>
          <w:color w:val="FFFFFF" w:themeColor="background1"/>
        </w:rPr>
        <w:t xml:space="preserve"> Finding</w:t>
      </w:r>
      <w:r w:rsidR="005C58F1" w:rsidRPr="000D119D">
        <w:rPr>
          <w:color w:val="FFFFFF" w:themeColor="background1"/>
        </w:rPr>
        <w:t>s</w:t>
      </w:r>
      <w:bookmarkEnd w:id="132"/>
    </w:p>
    <w:p w14:paraId="54E8F732" w14:textId="0854EA86" w:rsidR="005C58F1" w:rsidRPr="000D119D" w:rsidRDefault="005C58F1" w:rsidP="003D756A">
      <w:pPr>
        <w:pStyle w:val="Heading1"/>
        <w:pageBreakBefore w:val="0"/>
      </w:pPr>
      <w:bookmarkStart w:id="133" w:name="_Ref79321908"/>
      <w:bookmarkStart w:id="134" w:name="_Toc99650364"/>
      <w:r w:rsidRPr="000D119D">
        <w:t>Establishment of AMHCs</w:t>
      </w:r>
      <w:bookmarkEnd w:id="133"/>
      <w:bookmarkEnd w:id="134"/>
    </w:p>
    <w:p w14:paraId="75854873" w14:textId="43EA05DF" w:rsidR="00F438E5" w:rsidRPr="000D119D" w:rsidRDefault="00F438E5" w:rsidP="00F438E5">
      <w:pPr>
        <w:rPr>
          <w:lang w:val="en-AU" w:eastAsia="en-AU"/>
        </w:rPr>
      </w:pPr>
      <w:r w:rsidRPr="000D119D">
        <w:rPr>
          <w:lang w:val="en-AU" w:eastAsia="en-AU"/>
        </w:rPr>
        <w:t>This section addresses KE</w:t>
      </w:r>
      <w:r w:rsidR="00EC06E4" w:rsidRPr="000D119D">
        <w:rPr>
          <w:lang w:val="en-AU" w:eastAsia="en-AU"/>
        </w:rPr>
        <w:t>Q 8</w:t>
      </w:r>
      <w:r w:rsidRPr="000D119D">
        <w:rPr>
          <w:lang w:val="en-AU" w:eastAsia="en-AU"/>
        </w:rPr>
        <w:t xml:space="preserve"> (How effective has the establishment of the AMHC program been to date and what </w:t>
      </w:r>
      <w:r w:rsidR="00CD40BE" w:rsidRPr="000D119D">
        <w:rPr>
          <w:lang w:val="en-AU" w:eastAsia="en-AU"/>
        </w:rPr>
        <w:t>can we learn from</w:t>
      </w:r>
      <w:r w:rsidRPr="000D119D">
        <w:rPr>
          <w:lang w:val="en-AU" w:eastAsia="en-AU"/>
        </w:rPr>
        <w:t xml:space="preserve"> it?)</w:t>
      </w:r>
      <w:r w:rsidR="00EC06E4" w:rsidRPr="000D119D">
        <w:rPr>
          <w:lang w:val="en-AU" w:eastAsia="en-AU"/>
        </w:rPr>
        <w:t>,</w:t>
      </w:r>
      <w:r w:rsidRPr="000D119D">
        <w:rPr>
          <w:lang w:val="en-AU" w:eastAsia="en-AU"/>
        </w:rPr>
        <w:t xml:space="preserve"> KEQ 9 (How appropriate is the IAR intake process that has been developed?) and KEQ 10 (How efficiently were AMHCs established?).</w:t>
      </w:r>
      <w:r w:rsidR="001363DF" w:rsidRPr="000D119D">
        <w:rPr>
          <w:lang w:val="en-AU" w:eastAsia="en-AU"/>
        </w:rPr>
        <w:t xml:space="preserve"> </w:t>
      </w:r>
    </w:p>
    <w:p w14:paraId="70AF95FA" w14:textId="4279D595" w:rsidR="000A575B" w:rsidRDefault="000A575B" w:rsidP="000A575B">
      <w:pPr>
        <w:pStyle w:val="Heading2"/>
      </w:pPr>
      <w:bookmarkStart w:id="135" w:name="_Toc99650365"/>
      <w:r w:rsidRPr="000D119D">
        <w:t xml:space="preserve">How </w:t>
      </w:r>
      <w:r w:rsidRPr="000D119D">
        <w:rPr>
          <w:rFonts w:asciiTheme="majorHAnsi" w:hAnsiTheme="majorHAnsi" w:cstheme="majorHAnsi"/>
        </w:rPr>
        <w:t>effective</w:t>
      </w:r>
      <w:r w:rsidRPr="000D119D">
        <w:t xml:space="preserve"> has the establishment of the program been to date and what we can learn from it?</w:t>
      </w:r>
      <w:bookmarkEnd w:id="135"/>
    </w:p>
    <w:p w14:paraId="02AD5735" w14:textId="7739151C" w:rsidR="003D209E" w:rsidRPr="003D209E" w:rsidRDefault="003D209E" w:rsidP="003D209E">
      <w:pPr>
        <w:pStyle w:val="CalloutOrange"/>
      </w:pPr>
      <w:r w:rsidRPr="00976423">
        <w:rPr>
          <w:b/>
          <w:color w:val="F8981D" w:themeColor="accent3"/>
        </w:rPr>
        <w:t xml:space="preserve">Key findings: </w:t>
      </w:r>
      <w:r w:rsidRPr="000D119D">
        <w:t>There has been a thorough and robust commissioning process, with appropriate levels of co-design and funding in place to support effective establishment. While PHNs generally found timelines appropriate, this did not necessarily extend to service providers, many of whom could not meet PHN expectations to open by December 202</w:t>
      </w:r>
      <w:r>
        <w:t>1</w:t>
      </w:r>
      <w:r w:rsidRPr="000D119D">
        <w:t xml:space="preserve">. Most major delays to establishment resulted from difficulty in securing the right physical location – recognising an appropriate space as a key feature of the AMHC model. </w:t>
      </w:r>
    </w:p>
    <w:p w14:paraId="4EF731DE" w14:textId="77777777" w:rsidR="003D209E" w:rsidRPr="000D119D" w:rsidRDefault="003D209E" w:rsidP="003D209E">
      <w:pPr>
        <w:pStyle w:val="CalloutOrange"/>
      </w:pPr>
      <w:r w:rsidRPr="000D119D">
        <w:t xml:space="preserve">Workforce recruitment throughout the establishment phase has been effectively managed, with innovative models being adapted for the peer workforce. AMHCs do however, remain concerned about ability to manage future demand and system-level integration in a complex service and funding environment, particularly in Victoria. </w:t>
      </w:r>
    </w:p>
    <w:p w14:paraId="7C40F288" w14:textId="77777777" w:rsidR="003D209E" w:rsidRPr="000D119D" w:rsidRDefault="003D209E" w:rsidP="003D209E">
      <w:pPr>
        <w:pStyle w:val="CalloutOrange"/>
      </w:pPr>
      <w:r w:rsidRPr="000D119D">
        <w:t>There are opportunities to improve collaboration as a complete ‘network’ of AMHCs.</w:t>
      </w:r>
    </w:p>
    <w:p w14:paraId="57038EAB" w14:textId="62A536ED" w:rsidR="003D209E" w:rsidRPr="003D209E" w:rsidRDefault="003D209E" w:rsidP="003D209E">
      <w:pPr>
        <w:pStyle w:val="CalloutOrange"/>
      </w:pPr>
      <w:r w:rsidRPr="009921CD">
        <w:rPr>
          <w:lang w:eastAsia="en-US"/>
        </w:rPr>
        <w:t xml:space="preserve">Where appropriate, this section incorporates learnings from both the direct establishment of the AMHCs, and relevant parallels from the establishment and operational experience of </w:t>
      </w:r>
      <w:proofErr w:type="spellStart"/>
      <w:r w:rsidRPr="003D209E">
        <w:rPr>
          <w:rStyle w:val="Emphasis"/>
        </w:rPr>
        <w:t>HeadtoHelp</w:t>
      </w:r>
      <w:proofErr w:type="spellEnd"/>
      <w:r w:rsidRPr="009921CD">
        <w:rPr>
          <w:lang w:eastAsia="en-US"/>
        </w:rPr>
        <w:t>.</w:t>
      </w:r>
    </w:p>
    <w:p w14:paraId="60B6F0B5" w14:textId="77777777" w:rsidR="000A575B" w:rsidRPr="000D119D" w:rsidRDefault="000A575B" w:rsidP="000A575B">
      <w:pPr>
        <w:pStyle w:val="Heading3"/>
      </w:pPr>
      <w:bookmarkStart w:id="136" w:name="_Toc99650366"/>
      <w:r w:rsidRPr="000D119D">
        <w:t>PHN commissioning</w:t>
      </w:r>
      <w:bookmarkEnd w:id="136"/>
      <w:r w:rsidRPr="000D119D">
        <w:t xml:space="preserve"> </w:t>
      </w:r>
    </w:p>
    <w:p w14:paraId="653D2C4A" w14:textId="77777777" w:rsidR="000A575B" w:rsidRPr="000D119D" w:rsidRDefault="000A575B" w:rsidP="00BE0860">
      <w:pPr>
        <w:pStyle w:val="Heading4"/>
      </w:pPr>
      <w:r w:rsidRPr="000D119D">
        <w:t>Commissioning for all AMHCs was completed by November 2021, with AMHCs now in varying stages of service delivery commencement</w:t>
      </w:r>
    </w:p>
    <w:p w14:paraId="76D8F93B" w14:textId="0C4DF46B" w:rsidR="000A575B" w:rsidRPr="000D119D" w:rsidRDefault="001E69D3" w:rsidP="000A575B">
      <w:pPr>
        <w:rPr>
          <w:lang w:val="en-AU" w:eastAsia="en-AU"/>
        </w:rPr>
      </w:pPr>
      <w:r>
        <w:rPr>
          <w:highlight w:val="yellow"/>
          <w:lang w:val="en-AU" w:eastAsia="en-AU"/>
        </w:rPr>
        <w:fldChar w:fldCharType="begin"/>
      </w:r>
      <w:r>
        <w:rPr>
          <w:lang w:val="en-AU" w:eastAsia="en-AU"/>
        </w:rPr>
        <w:instrText xml:space="preserve"> REF _Ref97025891 \h </w:instrText>
      </w:r>
      <w:r>
        <w:rPr>
          <w:highlight w:val="yellow"/>
          <w:lang w:val="en-AU" w:eastAsia="en-AU"/>
        </w:rPr>
      </w:r>
      <w:r>
        <w:rPr>
          <w:highlight w:val="yellow"/>
          <w:lang w:val="en-AU" w:eastAsia="en-AU"/>
        </w:rPr>
        <w:fldChar w:fldCharType="separate"/>
      </w:r>
      <w:r w:rsidR="00562174">
        <w:t xml:space="preserve">Figure </w:t>
      </w:r>
      <w:r w:rsidR="00562174">
        <w:rPr>
          <w:noProof/>
        </w:rPr>
        <w:t>39</w:t>
      </w:r>
      <w:r>
        <w:rPr>
          <w:highlight w:val="yellow"/>
          <w:lang w:val="en-AU" w:eastAsia="en-AU"/>
        </w:rPr>
        <w:fldChar w:fldCharType="end"/>
      </w:r>
      <w:r w:rsidR="000A575B" w:rsidRPr="000D119D">
        <w:rPr>
          <w:lang w:val="en-AU" w:eastAsia="en-AU"/>
        </w:rPr>
        <w:t xml:space="preserve"> provides a summary of commissioning and establishment progress of each AMHC. Seven of the eight centres were operational by January 2022, with three offering services from their permanent facility and four operating from an interim site. For those delivering service</w:t>
      </w:r>
      <w:r w:rsidR="00330F74">
        <w:rPr>
          <w:lang w:val="en-AU" w:eastAsia="en-AU"/>
        </w:rPr>
        <w:t>s</w:t>
      </w:r>
      <w:r w:rsidR="000A575B" w:rsidRPr="000D119D">
        <w:rPr>
          <w:lang w:val="en-AU" w:eastAsia="en-AU"/>
        </w:rPr>
        <w:t xml:space="preserve"> from an interim site, transitions to permanent sites are expected during the first half of 2022. Only two centres (including </w:t>
      </w:r>
      <w:r w:rsidR="001B2418">
        <w:rPr>
          <w:lang w:val="en-AU" w:eastAsia="en-AU"/>
        </w:rPr>
        <w:t>SA</w:t>
      </w:r>
      <w:r w:rsidR="000A575B" w:rsidRPr="000D119D">
        <w:rPr>
          <w:lang w:val="en-AU" w:eastAsia="en-AU"/>
        </w:rPr>
        <w:t xml:space="preserve"> which began operations in the first half of 2021) were operational in their permanent facility by the original proposed start date of December 2021.</w:t>
      </w:r>
    </w:p>
    <w:p w14:paraId="7CDE5147" w14:textId="4627E7F3" w:rsidR="000A575B" w:rsidRPr="000D119D" w:rsidRDefault="000A575B" w:rsidP="000A575B">
      <w:pPr>
        <w:rPr>
          <w:lang w:val="en-AU" w:eastAsia="en-AU"/>
        </w:rPr>
      </w:pPr>
      <w:r w:rsidRPr="000D119D">
        <w:rPr>
          <w:lang w:val="en-AU" w:eastAsia="en-AU"/>
        </w:rPr>
        <w:t xml:space="preserve">The majority of PHNs reported the </w:t>
      </w:r>
      <w:r w:rsidR="006034C3">
        <w:rPr>
          <w:lang w:val="en-AU" w:eastAsia="en-AU"/>
        </w:rPr>
        <w:t>‘</w:t>
      </w:r>
      <w:r w:rsidRPr="000D119D">
        <w:rPr>
          <w:lang w:val="en-AU" w:eastAsia="en-AU"/>
        </w:rPr>
        <w:t>full commissioning process</w:t>
      </w:r>
      <w:r w:rsidR="006034C3">
        <w:rPr>
          <w:lang w:val="en-AU" w:eastAsia="en-AU"/>
        </w:rPr>
        <w:t>’</w:t>
      </w:r>
      <w:r w:rsidRPr="000D119D">
        <w:rPr>
          <w:lang w:val="en-AU" w:eastAsia="en-AU"/>
        </w:rPr>
        <w:t xml:space="preserve"> set out by the Australian Government Department of Health as a positive experience. Specifically, PHNs provided positive feedback on the timeframe provided, noting that it:</w:t>
      </w:r>
    </w:p>
    <w:p w14:paraId="77E112F1" w14:textId="2D63FCCB" w:rsidR="000A575B" w:rsidRPr="000D119D" w:rsidRDefault="000A575B" w:rsidP="00E457E2">
      <w:pPr>
        <w:pStyle w:val="ListBullet"/>
      </w:pPr>
      <w:r w:rsidRPr="000D119D">
        <w:t xml:space="preserve">allowed for a full process </w:t>
      </w:r>
      <w:proofErr w:type="spellStart"/>
      <w:r w:rsidRPr="000D119D">
        <w:t>recognising</w:t>
      </w:r>
      <w:proofErr w:type="spellEnd"/>
      <w:r w:rsidRPr="000D119D">
        <w:t xml:space="preserve"> some </w:t>
      </w:r>
      <w:r w:rsidR="001B1F2D" w:rsidRPr="000D119D">
        <w:t xml:space="preserve">inevitable </w:t>
      </w:r>
      <w:r w:rsidRPr="000D119D">
        <w:t>challenges (i.e</w:t>
      </w:r>
      <w:r w:rsidR="00330F74" w:rsidRPr="000D119D">
        <w:t>.,</w:t>
      </w:r>
      <w:r w:rsidRPr="000D119D">
        <w:t xml:space="preserve"> staff availability)</w:t>
      </w:r>
    </w:p>
    <w:p w14:paraId="10A09506" w14:textId="0CFF7D32" w:rsidR="000A575B" w:rsidRPr="000D119D" w:rsidRDefault="000A575B" w:rsidP="00E457E2">
      <w:pPr>
        <w:pStyle w:val="ListBullet"/>
      </w:pPr>
      <w:r w:rsidRPr="000D119D">
        <w:t xml:space="preserve">allowed for market development, preparing local providers for future </w:t>
      </w:r>
      <w:proofErr w:type="gramStart"/>
      <w:r w:rsidRPr="000D119D">
        <w:t>responses</w:t>
      </w:r>
      <w:proofErr w:type="gramEnd"/>
      <w:r w:rsidRPr="000D119D">
        <w:t xml:space="preserve"> and brokering strong relationships</w:t>
      </w:r>
    </w:p>
    <w:p w14:paraId="7B81C930" w14:textId="77777777" w:rsidR="000A575B" w:rsidRPr="000D119D" w:rsidRDefault="000A575B" w:rsidP="00E457E2">
      <w:pPr>
        <w:pStyle w:val="ListBullet"/>
      </w:pPr>
      <w:r w:rsidRPr="000D119D">
        <w:t>(</w:t>
      </w:r>
      <w:proofErr w:type="gramStart"/>
      <w:r w:rsidRPr="000D119D">
        <w:t>for</w:t>
      </w:r>
      <w:proofErr w:type="gramEnd"/>
      <w:r w:rsidRPr="000D119D">
        <w:t xml:space="preserve"> one PHN) gave the ability to execute a provider contract ahead of schedule. </w:t>
      </w:r>
    </w:p>
    <w:p w14:paraId="51D5E838" w14:textId="4F597205" w:rsidR="000A575B" w:rsidRPr="000D119D" w:rsidRDefault="000A575B" w:rsidP="000A575B">
      <w:pPr>
        <w:rPr>
          <w:lang w:val="en-AU" w:eastAsia="en-AU"/>
        </w:rPr>
      </w:pPr>
      <w:r w:rsidRPr="000D119D">
        <w:rPr>
          <w:lang w:val="en-AU" w:eastAsia="en-AU"/>
        </w:rPr>
        <w:t xml:space="preserve">All PHNs identified practices that worked well in their commissioning process and some of these can be used to inform future commissioning of services – </w:t>
      </w:r>
      <w:r w:rsidRPr="00E010A4">
        <w:rPr>
          <w:lang w:val="en-AU" w:eastAsia="en-AU"/>
        </w:rPr>
        <w:t xml:space="preserve">see in particular the case studies included in </w:t>
      </w:r>
      <w:r w:rsidR="00E010A4" w:rsidRPr="00E010A4">
        <w:rPr>
          <w:lang w:val="en-AU" w:eastAsia="en-AU"/>
        </w:rPr>
        <w:fldChar w:fldCharType="begin"/>
      </w:r>
      <w:r w:rsidR="00E010A4" w:rsidRPr="00E010A4">
        <w:rPr>
          <w:lang w:val="en-AU" w:eastAsia="en-AU"/>
        </w:rPr>
        <w:instrText xml:space="preserve"> REF _Ref97026058 \h </w:instrText>
      </w:r>
      <w:r w:rsidR="00E010A4">
        <w:rPr>
          <w:lang w:val="en-AU" w:eastAsia="en-AU"/>
        </w:rPr>
        <w:instrText xml:space="preserve"> \* MERGEFORMAT </w:instrText>
      </w:r>
      <w:r w:rsidR="00E010A4" w:rsidRPr="00E010A4">
        <w:rPr>
          <w:lang w:val="en-AU" w:eastAsia="en-AU"/>
        </w:rPr>
      </w:r>
      <w:r w:rsidR="00E010A4" w:rsidRPr="00E010A4">
        <w:rPr>
          <w:lang w:val="en-AU" w:eastAsia="en-AU"/>
        </w:rPr>
        <w:fldChar w:fldCharType="separate"/>
      </w:r>
      <w:r w:rsidR="00562174" w:rsidRPr="000D119D">
        <w:t xml:space="preserve">Figure </w:t>
      </w:r>
      <w:r w:rsidR="00562174">
        <w:rPr>
          <w:noProof/>
        </w:rPr>
        <w:t>40</w:t>
      </w:r>
      <w:r w:rsidR="00E010A4" w:rsidRPr="00E010A4">
        <w:rPr>
          <w:lang w:val="en-AU" w:eastAsia="en-AU"/>
        </w:rPr>
        <w:fldChar w:fldCharType="end"/>
      </w:r>
      <w:r w:rsidRPr="00E010A4">
        <w:rPr>
          <w:lang w:val="en-AU" w:eastAsia="en-AU"/>
        </w:rPr>
        <w:t xml:space="preserve"> and </w:t>
      </w:r>
      <w:r w:rsidR="00E010A4" w:rsidRPr="00E010A4">
        <w:rPr>
          <w:lang w:val="en-AU" w:eastAsia="en-AU"/>
        </w:rPr>
        <w:fldChar w:fldCharType="begin"/>
      </w:r>
      <w:r w:rsidR="00E010A4" w:rsidRPr="00E010A4">
        <w:rPr>
          <w:lang w:val="en-AU" w:eastAsia="en-AU"/>
        </w:rPr>
        <w:instrText xml:space="preserve"> REF _Ref97026064 \h </w:instrText>
      </w:r>
      <w:r w:rsidR="00E010A4">
        <w:rPr>
          <w:lang w:val="en-AU" w:eastAsia="en-AU"/>
        </w:rPr>
        <w:instrText xml:space="preserve"> \* MERGEFORMAT </w:instrText>
      </w:r>
      <w:r w:rsidR="00E010A4" w:rsidRPr="00E010A4">
        <w:rPr>
          <w:lang w:val="en-AU" w:eastAsia="en-AU"/>
        </w:rPr>
      </w:r>
      <w:r w:rsidR="00E010A4" w:rsidRPr="00E010A4">
        <w:rPr>
          <w:lang w:val="en-AU" w:eastAsia="en-AU"/>
        </w:rPr>
        <w:fldChar w:fldCharType="separate"/>
      </w:r>
      <w:r w:rsidR="00562174" w:rsidRPr="000D119D">
        <w:t xml:space="preserve">Figure </w:t>
      </w:r>
      <w:r w:rsidR="00562174">
        <w:rPr>
          <w:noProof/>
        </w:rPr>
        <w:t>41</w:t>
      </w:r>
      <w:r w:rsidR="00E010A4" w:rsidRPr="00E010A4">
        <w:rPr>
          <w:lang w:val="en-AU" w:eastAsia="en-AU"/>
        </w:rPr>
        <w:fldChar w:fldCharType="end"/>
      </w:r>
      <w:r w:rsidRPr="00E010A4">
        <w:rPr>
          <w:lang w:val="en-AU" w:eastAsia="en-AU"/>
        </w:rPr>
        <w:t>.</w:t>
      </w:r>
    </w:p>
    <w:p w14:paraId="53821476" w14:textId="4517A379" w:rsidR="001E69D3" w:rsidRDefault="001E69D3" w:rsidP="001E69D3">
      <w:pPr>
        <w:pStyle w:val="Caption"/>
      </w:pPr>
      <w:bookmarkStart w:id="137" w:name="_Ref97025891"/>
      <w:r>
        <w:lastRenderedPageBreak/>
        <w:t xml:space="preserve">Figure </w:t>
      </w:r>
      <w:r>
        <w:fldChar w:fldCharType="begin"/>
      </w:r>
      <w:r>
        <w:instrText xml:space="preserve"> SEQ Figure \* ARABIC </w:instrText>
      </w:r>
      <w:r>
        <w:fldChar w:fldCharType="separate"/>
      </w:r>
      <w:r w:rsidR="00562174">
        <w:rPr>
          <w:noProof/>
        </w:rPr>
        <w:t>39</w:t>
      </w:r>
      <w:r>
        <w:fldChar w:fldCharType="end"/>
      </w:r>
      <w:bookmarkEnd w:id="137"/>
      <w:r>
        <w:t xml:space="preserve"> | Summary of AMHC implementation progress by location</w:t>
      </w:r>
    </w:p>
    <w:p w14:paraId="163A7F71" w14:textId="43179C7B" w:rsidR="000A575B" w:rsidRPr="000D119D" w:rsidRDefault="00B61669" w:rsidP="000A575B">
      <w:pPr>
        <w:rPr>
          <w:lang w:val="en-AU" w:eastAsia="en-AU"/>
        </w:rPr>
      </w:pPr>
      <w:r w:rsidRPr="00B61669">
        <w:rPr>
          <w:noProof/>
        </w:rPr>
        <w:drawing>
          <wp:inline distT="0" distB="0" distL="0" distR="0" wp14:anchorId="01D102AA" wp14:editId="61AFE319">
            <wp:extent cx="5656141" cy="8230870"/>
            <wp:effectExtent l="0" t="0" r="1905" b="0"/>
            <wp:docPr id="27865" name="Picture 27865" descr="Figure 39 is an infographic about the summary of Adult Mental Health Centres implementation progress b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5" name="Picture 27865" descr="Figure 39 is an infographic about the summary of Adult Mental Health Centres implementation progress by location"/>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5656141" cy="8230870"/>
                    </a:xfrm>
                    <a:prstGeom prst="rect">
                      <a:avLst/>
                    </a:prstGeom>
                    <a:noFill/>
                    <a:ln>
                      <a:noFill/>
                    </a:ln>
                  </pic:spPr>
                </pic:pic>
              </a:graphicData>
            </a:graphic>
          </wp:inline>
        </w:drawing>
      </w:r>
    </w:p>
    <w:p w14:paraId="5D37D662" w14:textId="77777777" w:rsidR="000A575B" w:rsidRPr="000D119D" w:rsidRDefault="000A575B" w:rsidP="00BE0860">
      <w:pPr>
        <w:pStyle w:val="Heading4"/>
      </w:pPr>
      <w:r w:rsidRPr="000D119D">
        <w:lastRenderedPageBreak/>
        <w:t xml:space="preserve">Local alignment, </w:t>
      </w:r>
      <w:proofErr w:type="gramStart"/>
      <w:r w:rsidRPr="000D119D">
        <w:t>partnerships</w:t>
      </w:r>
      <w:proofErr w:type="gramEnd"/>
      <w:r w:rsidRPr="000D119D">
        <w:t xml:space="preserve"> and ability to secure a workforce were key determinants in commissioning decisions</w:t>
      </w:r>
    </w:p>
    <w:p w14:paraId="4228609E" w14:textId="2F5E471E" w:rsidR="000A575B" w:rsidRPr="000D119D" w:rsidRDefault="000A575B" w:rsidP="000A575B">
      <w:pPr>
        <w:rPr>
          <w:lang w:val="en-AU" w:eastAsia="en-AU"/>
        </w:rPr>
      </w:pPr>
      <w:r w:rsidRPr="000D119D">
        <w:rPr>
          <w:lang w:val="en-AU" w:eastAsia="en-AU"/>
        </w:rPr>
        <w:t xml:space="preserve">In addition to experience and delivery capacity, PHNs were concerned with ensuring commissioned provider had the right vision, </w:t>
      </w:r>
      <w:proofErr w:type="gramStart"/>
      <w:r w:rsidRPr="000D119D">
        <w:rPr>
          <w:lang w:val="en-AU" w:eastAsia="en-AU"/>
        </w:rPr>
        <w:t>values</w:t>
      </w:r>
      <w:proofErr w:type="gramEnd"/>
      <w:r w:rsidRPr="000D119D">
        <w:rPr>
          <w:lang w:val="en-AU" w:eastAsia="en-AU"/>
        </w:rPr>
        <w:t xml:space="preserve"> and contextual knowledge for their region. Five of the eight AMHCs have Neami National as their selected provider, and this is due to their connections with local services and extensive experience in the sector, as well as their </w:t>
      </w:r>
      <w:r w:rsidR="00CD6558" w:rsidRPr="000D119D">
        <w:rPr>
          <w:lang w:val="en-AU" w:eastAsia="en-AU"/>
        </w:rPr>
        <w:t xml:space="preserve">demonstrated </w:t>
      </w:r>
      <w:r w:rsidRPr="000D119D">
        <w:rPr>
          <w:lang w:val="en-AU" w:eastAsia="en-AU"/>
        </w:rPr>
        <w:t>ability to secure staff and establish robust governance structures.</w:t>
      </w:r>
    </w:p>
    <w:p w14:paraId="220F6045" w14:textId="77777777" w:rsidR="000A575B" w:rsidRPr="000D119D" w:rsidRDefault="000A575B" w:rsidP="000A575B">
      <w:pPr>
        <w:rPr>
          <w:lang w:val="en-AU"/>
        </w:rPr>
      </w:pPr>
      <w:r w:rsidRPr="000D119D">
        <w:rPr>
          <w:lang w:val="en-AU"/>
        </w:rPr>
        <w:t>Across the board, some common reasons for commissioning decisions were reported:</w:t>
      </w:r>
    </w:p>
    <w:p w14:paraId="42ED0CDC" w14:textId="4116786B" w:rsidR="000A575B" w:rsidRPr="000D119D" w:rsidRDefault="000A575B" w:rsidP="00E457E2">
      <w:pPr>
        <w:pStyle w:val="ListBullet"/>
      </w:pPr>
      <w:r w:rsidRPr="000D119D">
        <w:rPr>
          <w:rFonts w:asciiTheme="majorHAnsi" w:hAnsiTheme="majorHAnsi" w:cstheme="majorHAnsi"/>
        </w:rPr>
        <w:t>Appropriateness of NGOs to meet service need</w:t>
      </w:r>
      <w:r w:rsidR="006034C3">
        <w:t>.</w:t>
      </w:r>
      <w:r w:rsidRPr="000D119D">
        <w:t xml:space="preserve"> Most of the commissioned service providers are NGOs, with reflections from stakeholders being that NGOs share strong service delivery experience and the ability to deliver multidisciplinary services, both psychosocial and clinical.</w:t>
      </w:r>
    </w:p>
    <w:p w14:paraId="1B132CF0" w14:textId="70F75008" w:rsidR="000A575B" w:rsidRPr="000D119D" w:rsidRDefault="000A575B" w:rsidP="00E457E2">
      <w:pPr>
        <w:pStyle w:val="ListBullet"/>
      </w:pPr>
      <w:r w:rsidRPr="000D119D">
        <w:rPr>
          <w:rFonts w:asciiTheme="majorHAnsi" w:hAnsiTheme="majorHAnsi" w:cstheme="majorHAnsi"/>
        </w:rPr>
        <w:t>Partnerships that reflected specific local requirements and values</w:t>
      </w:r>
      <w:r w:rsidR="001B2418">
        <w:t>.</w:t>
      </w:r>
      <w:r w:rsidRPr="000D119D">
        <w:t xml:space="preserve"> NGOs are strong candidates to meet community needs and preferences, </w:t>
      </w:r>
      <w:proofErr w:type="gramStart"/>
      <w:r w:rsidRPr="000D119D">
        <w:t>in particular when</w:t>
      </w:r>
      <w:proofErr w:type="gramEnd"/>
      <w:r w:rsidRPr="000D119D">
        <w:t xml:space="preserve"> combined with local partnerships that respond to particular community need. For example, </w:t>
      </w:r>
      <w:r w:rsidR="004A50B5">
        <w:t>Northern Territory PHN (</w:t>
      </w:r>
      <w:r w:rsidRPr="000D119D">
        <w:t>NTPHN</w:t>
      </w:r>
      <w:r w:rsidR="004A50B5">
        <w:t>)</w:t>
      </w:r>
      <w:r w:rsidRPr="000D119D">
        <w:t xml:space="preserve"> commissioned Neami National in partnership with Larrakia Nation, which will enhance the ability to meet the needs of their Indigenous community</w:t>
      </w:r>
      <w:r w:rsidR="003475E1" w:rsidRPr="000D119D">
        <w:t>.</w:t>
      </w:r>
      <w:r w:rsidR="001B2418">
        <w:t xml:space="preserve"> </w:t>
      </w:r>
      <w:r w:rsidR="003475E1" w:rsidRPr="000D119D">
        <w:t xml:space="preserve">They also </w:t>
      </w:r>
      <w:r w:rsidRPr="000D119D">
        <w:t>includ</w:t>
      </w:r>
      <w:r w:rsidR="003475E1" w:rsidRPr="000D119D">
        <w:t>ed</w:t>
      </w:r>
      <w:r w:rsidRPr="000D119D">
        <w:t xml:space="preserve"> interviews as part of the tender process to specifically assess values alignment.</w:t>
      </w:r>
      <w:r w:rsidR="000E3FEB">
        <w:t xml:space="preserve"> </w:t>
      </w:r>
      <w:r w:rsidR="0062026C">
        <w:t xml:space="preserve">Neami National </w:t>
      </w:r>
      <w:r w:rsidR="00B80FD2">
        <w:t xml:space="preserve">in Victoria have partnered with </w:t>
      </w:r>
      <w:r w:rsidR="0040119F">
        <w:t xml:space="preserve">Drummond Street Services to </w:t>
      </w:r>
      <w:r w:rsidR="00341FB8">
        <w:t xml:space="preserve">employ </w:t>
      </w:r>
      <w:r w:rsidR="00427608">
        <w:t xml:space="preserve">a staff member to provide services </w:t>
      </w:r>
      <w:r w:rsidR="00F74877">
        <w:t xml:space="preserve">appropriate for diverse cohorts, </w:t>
      </w:r>
      <w:r w:rsidR="00D65262">
        <w:t>such as</w:t>
      </w:r>
      <w:r w:rsidR="00F74877">
        <w:t xml:space="preserve"> LGBTQIA+</w:t>
      </w:r>
      <w:r w:rsidR="00D65262">
        <w:t>,</w:t>
      </w:r>
      <w:r w:rsidR="00F74877">
        <w:t xml:space="preserve"> </w:t>
      </w:r>
      <w:r w:rsidR="00C4118F">
        <w:t xml:space="preserve">and </w:t>
      </w:r>
      <w:r w:rsidR="00D65262">
        <w:t xml:space="preserve">for those requiring extra support such as </w:t>
      </w:r>
      <w:r w:rsidR="00C4118F">
        <w:t>AOD clients.</w:t>
      </w:r>
      <w:r w:rsidR="00427608">
        <w:t xml:space="preserve"> </w:t>
      </w:r>
    </w:p>
    <w:p w14:paraId="49AFC4EF" w14:textId="354D1929" w:rsidR="000A575B" w:rsidRPr="000D119D" w:rsidRDefault="000A575B" w:rsidP="00E457E2">
      <w:pPr>
        <w:pStyle w:val="ListBullet"/>
      </w:pPr>
      <w:r w:rsidRPr="000D119D">
        <w:rPr>
          <w:rFonts w:asciiTheme="majorHAnsi" w:hAnsiTheme="majorHAnsi" w:cstheme="majorHAnsi"/>
        </w:rPr>
        <w:t>Ability to secure workforce</w:t>
      </w:r>
      <w:r w:rsidR="001B2418">
        <w:rPr>
          <w:rFonts w:asciiTheme="majorHAnsi" w:hAnsiTheme="majorHAnsi" w:cstheme="majorHAnsi"/>
        </w:rPr>
        <w:t>.</w:t>
      </w:r>
      <w:r w:rsidRPr="000D119D">
        <w:t xml:space="preserve"> The selected provider in WA, St John of God</w:t>
      </w:r>
      <w:r w:rsidR="0040119F">
        <w:t xml:space="preserve"> Social</w:t>
      </w:r>
      <w:r w:rsidRPr="000D119D">
        <w:t xml:space="preserve"> </w:t>
      </w:r>
      <w:r w:rsidR="004A7C67">
        <w:t>Outreach</w:t>
      </w:r>
      <w:r w:rsidRPr="000D119D">
        <w:t>,</w:t>
      </w:r>
      <w:r w:rsidR="004A7C67">
        <w:t xml:space="preserve"> is part of St John of Healthcare, which</w:t>
      </w:r>
      <w:r w:rsidRPr="000D119D">
        <w:t xml:space="preserve"> operates the existing high-acuity state tertiary service (AMHS) and a complementing community treatment service in the North Perth area, and so will have access to a clinical workforce as well as established care pathways with the ability to step participants up and down from services as needed. Part of the rationale for the AMHC in ACT selecting Think Psychology as the provider was due to their ability to engage and possibly recruit and train university students as staff for the AMHC.</w:t>
      </w:r>
      <w:r w:rsidR="00BA100B" w:rsidRPr="000D119D">
        <w:t xml:space="preserve"> </w:t>
      </w:r>
      <w:r w:rsidR="008E755B" w:rsidRPr="000D119D">
        <w:t xml:space="preserve">As stated above, this was also a driver behind </w:t>
      </w:r>
      <w:r w:rsidR="001B2418" w:rsidRPr="000D119D">
        <w:t>Neami</w:t>
      </w:r>
      <w:r w:rsidR="008E755B" w:rsidRPr="000D119D">
        <w:t xml:space="preserve"> National being selected for </w:t>
      </w:r>
      <w:r w:rsidR="00B91631" w:rsidRPr="000D119D">
        <w:t>five services.</w:t>
      </w:r>
    </w:p>
    <w:p w14:paraId="7722E52E" w14:textId="3CFE411F" w:rsidR="000A575B" w:rsidRPr="000D119D" w:rsidRDefault="000A575B" w:rsidP="000A575B">
      <w:pPr>
        <w:pStyle w:val="Caption"/>
      </w:pPr>
      <w:bookmarkStart w:id="138" w:name="_Ref97026058"/>
      <w:r w:rsidRPr="000D119D">
        <w:lastRenderedPageBreak/>
        <w:t xml:space="preserve">Figure </w:t>
      </w:r>
      <w:r w:rsidR="00C90990">
        <w:fldChar w:fldCharType="begin"/>
      </w:r>
      <w:r w:rsidR="00C90990">
        <w:instrText xml:space="preserve"> SEQ Figure \* ARABIC </w:instrText>
      </w:r>
      <w:r w:rsidR="00C90990">
        <w:fldChar w:fldCharType="separate"/>
      </w:r>
      <w:r w:rsidR="00562174">
        <w:rPr>
          <w:noProof/>
        </w:rPr>
        <w:t>40</w:t>
      </w:r>
      <w:r w:rsidR="00C90990">
        <w:fldChar w:fldCharType="end"/>
      </w:r>
      <w:bookmarkEnd w:id="138"/>
      <w:r w:rsidRPr="000D119D">
        <w:t xml:space="preserve"> | Case study on the commissioning process of the AMHC in Northern Queensland</w:t>
      </w:r>
    </w:p>
    <w:p w14:paraId="10BF062E" w14:textId="1233FA62" w:rsidR="000A575B" w:rsidRPr="00E457E2" w:rsidRDefault="001F5635" w:rsidP="00E457E2">
      <w:r w:rsidRPr="001F5635">
        <w:rPr>
          <w:noProof/>
        </w:rPr>
        <w:drawing>
          <wp:inline distT="0" distB="0" distL="0" distR="0" wp14:anchorId="74BF81D5" wp14:editId="74C825AF">
            <wp:extent cx="5668645" cy="8489315"/>
            <wp:effectExtent l="0" t="0" r="8255" b="6985"/>
            <wp:docPr id="12" name="Picture 12" descr="Figure 40 is an infographic about the Case study on the commissioning process of the Adult Mental Health Centre in Norther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40 is an infographic about the Case study on the commissioning process of the Adult Mental Health Centre in Northern Queenslan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68645" cy="8489315"/>
                    </a:xfrm>
                    <a:prstGeom prst="rect">
                      <a:avLst/>
                    </a:prstGeom>
                    <a:noFill/>
                    <a:ln>
                      <a:noFill/>
                    </a:ln>
                  </pic:spPr>
                </pic:pic>
              </a:graphicData>
            </a:graphic>
          </wp:inline>
        </w:drawing>
      </w:r>
    </w:p>
    <w:p w14:paraId="0B5CDEEB" w14:textId="77777777" w:rsidR="000A575B" w:rsidRPr="000D119D" w:rsidRDefault="000A575B" w:rsidP="00BE0860">
      <w:pPr>
        <w:pStyle w:val="Heading4"/>
      </w:pPr>
      <w:r w:rsidRPr="000D119D">
        <w:lastRenderedPageBreak/>
        <w:t>Most AMHCs were operational by December 2021, though many from interim sites</w:t>
      </w:r>
    </w:p>
    <w:p w14:paraId="04E08670" w14:textId="3517AC9A" w:rsidR="000A575B" w:rsidRPr="000D119D" w:rsidRDefault="000A575B" w:rsidP="000A575B">
      <w:pPr>
        <w:rPr>
          <w:lang w:val="en-AU" w:eastAsia="en-AU"/>
        </w:rPr>
      </w:pPr>
      <w:r w:rsidRPr="000D119D">
        <w:rPr>
          <w:lang w:val="en-AU" w:eastAsia="en-AU"/>
        </w:rPr>
        <w:t xml:space="preserve">As illustrated in </w:t>
      </w:r>
      <w:r w:rsidR="00F12F05">
        <w:rPr>
          <w:lang w:val="en-AU" w:eastAsia="en-AU"/>
        </w:rPr>
        <w:fldChar w:fldCharType="begin"/>
      </w:r>
      <w:r w:rsidR="00F12F05">
        <w:rPr>
          <w:lang w:val="en-AU" w:eastAsia="en-AU"/>
        </w:rPr>
        <w:instrText xml:space="preserve"> REF _Ref97025891 \h </w:instrText>
      </w:r>
      <w:r w:rsidR="00F12F05">
        <w:rPr>
          <w:lang w:val="en-AU" w:eastAsia="en-AU"/>
        </w:rPr>
      </w:r>
      <w:r w:rsidR="00F12F05">
        <w:rPr>
          <w:lang w:val="en-AU" w:eastAsia="en-AU"/>
        </w:rPr>
        <w:fldChar w:fldCharType="separate"/>
      </w:r>
      <w:r w:rsidR="00562174">
        <w:t xml:space="preserve">Figure </w:t>
      </w:r>
      <w:r w:rsidR="00562174">
        <w:rPr>
          <w:noProof/>
        </w:rPr>
        <w:t>39</w:t>
      </w:r>
      <w:r w:rsidR="00F12F05">
        <w:rPr>
          <w:lang w:val="en-AU" w:eastAsia="en-AU"/>
        </w:rPr>
        <w:fldChar w:fldCharType="end"/>
      </w:r>
      <w:r w:rsidR="001F471C">
        <w:rPr>
          <w:lang w:val="en-AU" w:eastAsia="en-AU"/>
        </w:rPr>
        <w:t>, five</w:t>
      </w:r>
      <w:r w:rsidRPr="000D119D">
        <w:rPr>
          <w:lang w:val="en-AU" w:eastAsia="en-AU"/>
        </w:rPr>
        <w:t xml:space="preserve"> of the </w:t>
      </w:r>
      <w:r w:rsidR="001F471C">
        <w:rPr>
          <w:lang w:val="en-AU" w:eastAsia="en-AU"/>
        </w:rPr>
        <w:t>eight</w:t>
      </w:r>
      <w:r w:rsidRPr="000D119D">
        <w:rPr>
          <w:lang w:val="en-AU" w:eastAsia="en-AU"/>
        </w:rPr>
        <w:t xml:space="preserve"> centres had commenced service delivery by December 2021 (with the AMHC in </w:t>
      </w:r>
      <w:r w:rsidR="001F471C">
        <w:rPr>
          <w:lang w:val="en-AU" w:eastAsia="en-AU"/>
        </w:rPr>
        <w:t>SA</w:t>
      </w:r>
      <w:r w:rsidRPr="000D119D">
        <w:rPr>
          <w:lang w:val="en-AU" w:eastAsia="en-AU"/>
        </w:rPr>
        <w:t xml:space="preserve"> having been operational since March 2021). The</w:t>
      </w:r>
      <w:r w:rsidR="00674CDE">
        <w:rPr>
          <w:lang w:val="en-AU" w:eastAsia="en-AU"/>
        </w:rPr>
        <w:t xml:space="preserve"> major</w:t>
      </w:r>
      <w:r w:rsidRPr="000D119D">
        <w:rPr>
          <w:lang w:val="en-AU" w:eastAsia="en-AU"/>
        </w:rPr>
        <w:t xml:space="preserve"> </w:t>
      </w:r>
      <w:r w:rsidR="00864A34">
        <w:rPr>
          <w:lang w:val="en-AU" w:eastAsia="en-AU"/>
        </w:rPr>
        <w:t xml:space="preserve">delay to the </w:t>
      </w:r>
      <w:r w:rsidR="00AF79C8">
        <w:rPr>
          <w:lang w:val="en-AU" w:eastAsia="en-AU"/>
        </w:rPr>
        <w:t>planned</w:t>
      </w:r>
      <w:r w:rsidR="00386E58">
        <w:rPr>
          <w:lang w:val="en-AU" w:eastAsia="en-AU"/>
        </w:rPr>
        <w:t xml:space="preserve"> opening date of other </w:t>
      </w:r>
      <w:r w:rsidR="00B54FEA">
        <w:rPr>
          <w:lang w:val="en-AU" w:eastAsia="en-AU"/>
        </w:rPr>
        <w:t>AMHCs</w:t>
      </w:r>
      <w:r w:rsidRPr="000D119D">
        <w:rPr>
          <w:lang w:val="en-AU" w:eastAsia="en-AU"/>
        </w:rPr>
        <w:t xml:space="preserve"> related to </w:t>
      </w:r>
      <w:r w:rsidR="00B37322">
        <w:rPr>
          <w:lang w:val="en-AU" w:eastAsia="en-AU"/>
        </w:rPr>
        <w:t xml:space="preserve">challenges securing </w:t>
      </w:r>
      <w:r w:rsidRPr="000D119D">
        <w:rPr>
          <w:lang w:val="en-AU" w:eastAsia="en-AU"/>
        </w:rPr>
        <w:t>facilities (</w:t>
      </w:r>
      <w:r w:rsidRPr="006D527A">
        <w:rPr>
          <w:lang w:val="en-AU" w:eastAsia="en-AU"/>
        </w:rPr>
        <w:t xml:space="preserve">see further </w:t>
      </w:r>
      <w:r w:rsidR="001F471C">
        <w:rPr>
          <w:lang w:val="en-AU" w:eastAsia="en-AU"/>
        </w:rPr>
        <w:t>S</w:t>
      </w:r>
      <w:r w:rsidRPr="006D527A">
        <w:rPr>
          <w:lang w:val="en-AU" w:eastAsia="en-AU"/>
        </w:rPr>
        <w:t>ection</w:t>
      </w:r>
      <w:r w:rsidR="006D527A" w:rsidRPr="006D527A">
        <w:rPr>
          <w:lang w:val="en-AU" w:eastAsia="en-AU"/>
        </w:rPr>
        <w:t xml:space="preserve"> </w:t>
      </w:r>
      <w:r w:rsidR="006D527A" w:rsidRPr="006D527A">
        <w:rPr>
          <w:lang w:val="en-AU" w:eastAsia="en-AU"/>
        </w:rPr>
        <w:fldChar w:fldCharType="begin"/>
      </w:r>
      <w:r w:rsidR="006D527A" w:rsidRPr="006D527A">
        <w:rPr>
          <w:lang w:val="en-AU" w:eastAsia="en-AU"/>
        </w:rPr>
        <w:instrText xml:space="preserve"> REF _Ref97026369 \w \h </w:instrText>
      </w:r>
      <w:r w:rsidR="006D527A">
        <w:rPr>
          <w:lang w:val="en-AU" w:eastAsia="en-AU"/>
        </w:rPr>
        <w:instrText xml:space="preserve"> \* MERGEFORMAT </w:instrText>
      </w:r>
      <w:r w:rsidR="006D527A" w:rsidRPr="006D527A">
        <w:rPr>
          <w:lang w:val="en-AU" w:eastAsia="en-AU"/>
        </w:rPr>
      </w:r>
      <w:r w:rsidR="006D527A" w:rsidRPr="006D527A">
        <w:rPr>
          <w:lang w:val="en-AU" w:eastAsia="en-AU"/>
        </w:rPr>
        <w:fldChar w:fldCharType="separate"/>
      </w:r>
      <w:r w:rsidR="00562174">
        <w:rPr>
          <w:lang w:val="en-AU" w:eastAsia="en-AU"/>
        </w:rPr>
        <w:t>6.1.3</w:t>
      </w:r>
      <w:r w:rsidR="006D527A" w:rsidRPr="006D527A">
        <w:rPr>
          <w:lang w:val="en-AU" w:eastAsia="en-AU"/>
        </w:rPr>
        <w:fldChar w:fldCharType="end"/>
      </w:r>
      <w:r w:rsidR="006D527A" w:rsidRPr="006D527A">
        <w:rPr>
          <w:lang w:val="en-AU" w:eastAsia="en-AU"/>
        </w:rPr>
        <w:t>).</w:t>
      </w:r>
      <w:r w:rsidRPr="000D119D">
        <w:rPr>
          <w:lang w:val="en-AU" w:eastAsia="en-AU"/>
        </w:rPr>
        <w:t xml:space="preserve"> While the NSW AMHC commenced operations from its permanent location, AMHCs in ACT and NT were operating from interim sites</w:t>
      </w:r>
      <w:r w:rsidR="00821F4E">
        <w:rPr>
          <w:lang w:val="en-AU" w:eastAsia="en-AU"/>
        </w:rPr>
        <w:t>,</w:t>
      </w:r>
      <w:r w:rsidRPr="000D119D">
        <w:rPr>
          <w:lang w:val="en-AU" w:eastAsia="en-AU"/>
        </w:rPr>
        <w:t xml:space="preserve"> and QLD </w:t>
      </w:r>
      <w:r w:rsidR="007635DD">
        <w:rPr>
          <w:lang w:val="en-AU" w:eastAsia="en-AU"/>
        </w:rPr>
        <w:t xml:space="preserve">and VIC </w:t>
      </w:r>
      <w:r w:rsidRPr="000D119D">
        <w:rPr>
          <w:lang w:val="en-AU" w:eastAsia="en-AU"/>
        </w:rPr>
        <w:t xml:space="preserve">operating via a telephone service. </w:t>
      </w:r>
      <w:r w:rsidR="00B64B80">
        <w:rPr>
          <w:lang w:val="en-AU" w:eastAsia="en-AU"/>
        </w:rPr>
        <w:t>VIC began offering services from an interim site from 17 January 2022</w:t>
      </w:r>
      <w:r w:rsidR="00851704">
        <w:rPr>
          <w:lang w:val="en-AU" w:eastAsia="en-AU"/>
        </w:rPr>
        <w:t xml:space="preserve">, however </w:t>
      </w:r>
      <w:proofErr w:type="gramStart"/>
      <w:r w:rsidR="00851704">
        <w:rPr>
          <w:lang w:val="en-AU" w:eastAsia="en-AU"/>
        </w:rPr>
        <w:t>the majority of</w:t>
      </w:r>
      <w:proofErr w:type="gramEnd"/>
      <w:r w:rsidR="00851704">
        <w:rPr>
          <w:lang w:val="en-AU" w:eastAsia="en-AU"/>
        </w:rPr>
        <w:t xml:space="preserve"> their service was still virtual due to </w:t>
      </w:r>
      <w:r w:rsidR="00821F4E">
        <w:rPr>
          <w:lang w:val="en-AU" w:eastAsia="en-AU"/>
        </w:rPr>
        <w:t>COVID</w:t>
      </w:r>
      <w:r w:rsidR="00851704">
        <w:rPr>
          <w:lang w:val="en-AU" w:eastAsia="en-AU"/>
        </w:rPr>
        <w:t xml:space="preserve">-19 and maintenance issues with the </w:t>
      </w:r>
      <w:r w:rsidR="00765A94">
        <w:rPr>
          <w:lang w:val="en-AU" w:eastAsia="en-AU"/>
        </w:rPr>
        <w:t>interim</w:t>
      </w:r>
      <w:r w:rsidR="00851704">
        <w:rPr>
          <w:lang w:val="en-AU" w:eastAsia="en-AU"/>
        </w:rPr>
        <w:t xml:space="preserve"> site. </w:t>
      </w:r>
      <w:r w:rsidRPr="000D119D">
        <w:rPr>
          <w:lang w:val="en-AU" w:eastAsia="en-AU"/>
        </w:rPr>
        <w:t>NT moved into their permanent facility in January 2022</w:t>
      </w:r>
      <w:r w:rsidR="00851704">
        <w:rPr>
          <w:lang w:val="en-AU" w:eastAsia="en-AU"/>
        </w:rPr>
        <w:t>, as did QLD</w:t>
      </w:r>
      <w:r w:rsidRPr="000D119D">
        <w:rPr>
          <w:lang w:val="en-AU" w:eastAsia="en-AU"/>
        </w:rPr>
        <w:t>. ACT had not yet sourced their permanent site by February 2022</w:t>
      </w:r>
      <w:r w:rsidR="00D93621" w:rsidRPr="000D119D">
        <w:rPr>
          <w:lang w:val="en-AU" w:eastAsia="en-AU"/>
        </w:rPr>
        <w:t xml:space="preserve">. </w:t>
      </w:r>
    </w:p>
    <w:p w14:paraId="3492187B" w14:textId="01F74E9D" w:rsidR="000A575B" w:rsidRPr="000D119D" w:rsidRDefault="00041685" w:rsidP="000A575B">
      <w:pPr>
        <w:rPr>
          <w:lang w:val="en-AU" w:eastAsia="en-AU"/>
        </w:rPr>
      </w:pPr>
      <w:r>
        <w:rPr>
          <w:lang w:val="en-AU" w:eastAsia="en-AU"/>
        </w:rPr>
        <w:t>Two</w:t>
      </w:r>
      <w:r w:rsidR="000A575B" w:rsidRPr="000D119D">
        <w:rPr>
          <w:lang w:val="en-AU" w:eastAsia="en-AU"/>
        </w:rPr>
        <w:t xml:space="preserve"> AMHCs were not </w:t>
      </w:r>
      <w:proofErr w:type="gramStart"/>
      <w:r w:rsidR="000A575B" w:rsidRPr="000D119D">
        <w:rPr>
          <w:lang w:val="en-AU" w:eastAsia="en-AU"/>
        </w:rPr>
        <w:t>in a position</w:t>
      </w:r>
      <w:proofErr w:type="gramEnd"/>
      <w:r w:rsidR="000A575B" w:rsidRPr="000D119D">
        <w:rPr>
          <w:lang w:val="en-AU" w:eastAsia="en-AU"/>
        </w:rPr>
        <w:t xml:space="preserve"> to commence </w:t>
      </w:r>
      <w:r>
        <w:rPr>
          <w:lang w:val="en-AU" w:eastAsia="en-AU"/>
        </w:rPr>
        <w:t>operations</w:t>
      </w:r>
      <w:r w:rsidR="000A575B" w:rsidRPr="000D119D">
        <w:rPr>
          <w:lang w:val="en-AU" w:eastAsia="en-AU"/>
        </w:rPr>
        <w:t xml:space="preserve"> as planned in December:</w:t>
      </w:r>
    </w:p>
    <w:p w14:paraId="63C1FD73" w14:textId="64AE5561" w:rsidR="000A575B" w:rsidRPr="000D119D" w:rsidRDefault="000A575B" w:rsidP="006C2E61">
      <w:pPr>
        <w:pStyle w:val="Listnumbered"/>
        <w:numPr>
          <w:ilvl w:val="0"/>
          <w:numId w:val="20"/>
        </w:numPr>
      </w:pPr>
      <w:r w:rsidRPr="000D119D">
        <w:t xml:space="preserve">The AMHC in WA is expected to start offering a full service by </w:t>
      </w:r>
      <w:r w:rsidR="009275A1" w:rsidRPr="000D119D">
        <w:t xml:space="preserve">March </w:t>
      </w:r>
      <w:r w:rsidRPr="000D119D">
        <w:t xml:space="preserve">2022, with the major reason for delay being the securing </w:t>
      </w:r>
      <w:r w:rsidR="00167CEE" w:rsidRPr="000D119D">
        <w:t xml:space="preserve">and fit-out </w:t>
      </w:r>
      <w:r w:rsidRPr="000D119D">
        <w:t xml:space="preserve">of a permanent site. A facility has been found, but approval from the local council for a change in business type for the building is reported to have inhibited the commencement of renovations and thus </w:t>
      </w:r>
      <w:r w:rsidR="00C5184B" w:rsidRPr="000D119D">
        <w:t xml:space="preserve">delaying </w:t>
      </w:r>
      <w:r w:rsidRPr="000D119D">
        <w:t xml:space="preserve">the service </w:t>
      </w:r>
      <w:r w:rsidR="00C5184B" w:rsidRPr="000D119D">
        <w:t>commencement.</w:t>
      </w:r>
    </w:p>
    <w:p w14:paraId="24250BA8" w14:textId="078A438A" w:rsidR="000A575B" w:rsidRPr="000D119D" w:rsidRDefault="000A575B" w:rsidP="00821F4E">
      <w:pPr>
        <w:pStyle w:val="Listnumbered"/>
      </w:pPr>
      <w:r w:rsidRPr="000D119D">
        <w:t xml:space="preserve">The AMHC in </w:t>
      </w:r>
      <w:r w:rsidR="0052274D">
        <w:t>TAS</w:t>
      </w:r>
      <w:r w:rsidRPr="000D119D">
        <w:t xml:space="preserve"> commenced service delivery from an interim start on </w:t>
      </w:r>
      <w:r w:rsidR="000270E7">
        <w:t>24 January</w:t>
      </w:r>
      <w:r w:rsidRPr="000D119D">
        <w:t xml:space="preserve"> 2022 and will reportedly commence </w:t>
      </w:r>
      <w:proofErr w:type="gramStart"/>
      <w:r w:rsidRPr="000D119D">
        <w:t>full service</w:t>
      </w:r>
      <w:proofErr w:type="gramEnd"/>
      <w:r w:rsidRPr="000D119D">
        <w:t xml:space="preserve"> delivery from a permanent site in July 2022 or later. A location for the service has been identified and this will include co-location with an acute team from the state health service</w:t>
      </w:r>
      <w:r w:rsidR="00821F4E">
        <w:t>.</w:t>
      </w:r>
    </w:p>
    <w:p w14:paraId="089915E8" w14:textId="77777777" w:rsidR="000A575B" w:rsidRPr="000D119D" w:rsidRDefault="000A575B" w:rsidP="00BE0860">
      <w:pPr>
        <w:pStyle w:val="Heading4"/>
      </w:pPr>
      <w:r w:rsidRPr="000D119D">
        <w:t>Service providers have felt well supported by PHNs</w:t>
      </w:r>
    </w:p>
    <w:p w14:paraId="73EA27F7" w14:textId="3888F0E6" w:rsidR="000A575B" w:rsidRPr="000D119D" w:rsidRDefault="004F2B90" w:rsidP="000A575B">
      <w:pPr>
        <w:rPr>
          <w:lang w:val="en-AU" w:eastAsia="en-AU"/>
        </w:rPr>
      </w:pPr>
      <w:r w:rsidRPr="000D119D">
        <w:rPr>
          <w:lang w:val="en-AU" w:eastAsia="en-AU"/>
        </w:rPr>
        <w:t>O</w:t>
      </w:r>
      <w:r w:rsidR="000A575B" w:rsidRPr="000D119D">
        <w:rPr>
          <w:lang w:val="en-AU" w:eastAsia="en-AU"/>
        </w:rPr>
        <w:t xml:space="preserve">verall providers have reported positive relationships with their PHN. </w:t>
      </w:r>
      <w:proofErr w:type="gramStart"/>
      <w:r w:rsidR="000A575B" w:rsidRPr="000D119D">
        <w:rPr>
          <w:lang w:val="en-AU" w:eastAsia="en-AU"/>
        </w:rPr>
        <w:t>A number of</w:t>
      </w:r>
      <w:proofErr w:type="gramEnd"/>
      <w:r w:rsidR="000A575B" w:rsidRPr="000D119D">
        <w:rPr>
          <w:lang w:val="en-AU" w:eastAsia="en-AU"/>
        </w:rPr>
        <w:t xml:space="preserve"> service providers have referred to relationships with PHNs as a true </w:t>
      </w:r>
      <w:r w:rsidR="003D4B9F">
        <w:rPr>
          <w:lang w:val="en-AU" w:eastAsia="en-AU"/>
        </w:rPr>
        <w:t>‘</w:t>
      </w:r>
      <w:r w:rsidR="000A575B" w:rsidRPr="000D119D">
        <w:rPr>
          <w:lang w:val="en-AU" w:eastAsia="en-AU"/>
        </w:rPr>
        <w:t>partnership</w:t>
      </w:r>
      <w:r w:rsidR="003D4B9F">
        <w:rPr>
          <w:lang w:val="en-AU" w:eastAsia="en-AU"/>
        </w:rPr>
        <w:t>’</w:t>
      </w:r>
      <w:r w:rsidR="000A575B" w:rsidRPr="000D119D">
        <w:rPr>
          <w:lang w:val="en-AU" w:eastAsia="en-AU"/>
        </w:rPr>
        <w:t xml:space="preserve"> and highlighted this relationship as one of the critical success factors for establishment. AMHCs have particularly highlighted the quality, collaborative </w:t>
      </w:r>
      <w:proofErr w:type="gramStart"/>
      <w:r w:rsidR="000A575B" w:rsidRPr="000D119D">
        <w:rPr>
          <w:lang w:val="en-AU" w:eastAsia="en-AU"/>
        </w:rPr>
        <w:t>approaches</w:t>
      </w:r>
      <w:proofErr w:type="gramEnd"/>
      <w:r w:rsidR="000A575B" w:rsidRPr="000D119D">
        <w:rPr>
          <w:lang w:val="en-AU" w:eastAsia="en-AU"/>
        </w:rPr>
        <w:t xml:space="preserve"> and adaptiveness of PHN staff.</w:t>
      </w:r>
    </w:p>
    <w:p w14:paraId="790C21E4" w14:textId="49AD590E" w:rsidR="000A575B" w:rsidRPr="000D119D" w:rsidRDefault="000A575B" w:rsidP="000A575B">
      <w:pPr>
        <w:rPr>
          <w:lang w:val="en-AU" w:eastAsia="en-AU"/>
        </w:rPr>
      </w:pPr>
      <w:r w:rsidRPr="000D119D">
        <w:rPr>
          <w:lang w:val="en-AU" w:eastAsia="en-AU"/>
        </w:rPr>
        <w:t xml:space="preserve">While AMHCs have reported communication directly between AMHCs and PHNs to be effective, some have noted challenges with information flow – describing the PHN’s role </w:t>
      </w:r>
      <w:r w:rsidR="000355F7">
        <w:rPr>
          <w:lang w:val="en-AU" w:eastAsia="en-AU"/>
        </w:rPr>
        <w:t>‘</w:t>
      </w:r>
      <w:r w:rsidRPr="000D119D">
        <w:rPr>
          <w:lang w:val="en-AU" w:eastAsia="en-AU"/>
        </w:rPr>
        <w:t>as a middleman</w:t>
      </w:r>
      <w:r w:rsidR="000355F7">
        <w:rPr>
          <w:lang w:val="en-AU" w:eastAsia="en-AU"/>
        </w:rPr>
        <w:t>’</w:t>
      </w:r>
      <w:r w:rsidRPr="000D119D">
        <w:rPr>
          <w:lang w:val="en-AU" w:eastAsia="en-AU"/>
        </w:rPr>
        <w:t xml:space="preserve"> which could result in some confusion and inefficiencies (particularly in relation to requirements for performance measurement – see further Section </w:t>
      </w:r>
      <w:r w:rsidR="00336437">
        <w:rPr>
          <w:lang w:val="en-AU" w:eastAsia="en-AU"/>
        </w:rPr>
        <w:fldChar w:fldCharType="begin"/>
      </w:r>
      <w:r w:rsidR="00336437">
        <w:rPr>
          <w:lang w:val="en-AU" w:eastAsia="en-AU"/>
        </w:rPr>
        <w:instrText xml:space="preserve"> REF _Ref97038444 \w \h </w:instrText>
      </w:r>
      <w:r w:rsidR="00336437">
        <w:rPr>
          <w:lang w:val="en-AU" w:eastAsia="en-AU"/>
        </w:rPr>
      </w:r>
      <w:r w:rsidR="00336437">
        <w:rPr>
          <w:lang w:val="en-AU" w:eastAsia="en-AU"/>
        </w:rPr>
        <w:fldChar w:fldCharType="separate"/>
      </w:r>
      <w:r w:rsidR="00562174">
        <w:rPr>
          <w:lang w:val="en-AU" w:eastAsia="en-AU"/>
        </w:rPr>
        <w:t>6.3.2</w:t>
      </w:r>
      <w:r w:rsidR="00336437">
        <w:rPr>
          <w:lang w:val="en-AU" w:eastAsia="en-AU"/>
        </w:rPr>
        <w:fldChar w:fldCharType="end"/>
      </w:r>
      <w:r w:rsidR="00374A3B">
        <w:rPr>
          <w:lang w:val="en-AU" w:eastAsia="en-AU"/>
        </w:rPr>
        <w:t>)</w:t>
      </w:r>
      <w:r w:rsidRPr="000D119D">
        <w:rPr>
          <w:lang w:val="en-AU" w:eastAsia="en-AU"/>
        </w:rPr>
        <w:t>.</w:t>
      </w:r>
    </w:p>
    <w:p w14:paraId="617D2F12" w14:textId="77777777" w:rsidR="000A575B" w:rsidRPr="000D119D" w:rsidRDefault="000A575B" w:rsidP="000A575B">
      <w:pPr>
        <w:pStyle w:val="Heading3"/>
      </w:pPr>
      <w:bookmarkStart w:id="139" w:name="_Toc99650367"/>
      <w:r w:rsidRPr="000D119D">
        <w:t>Co-design and local tailoring</w:t>
      </w:r>
      <w:bookmarkEnd w:id="139"/>
      <w:r w:rsidRPr="000D119D">
        <w:t xml:space="preserve"> </w:t>
      </w:r>
    </w:p>
    <w:p w14:paraId="1A83C080" w14:textId="77777777" w:rsidR="000A575B" w:rsidRPr="000D119D" w:rsidRDefault="000A575B" w:rsidP="00BE0860">
      <w:pPr>
        <w:pStyle w:val="Heading4"/>
      </w:pPr>
      <w:r w:rsidRPr="000D119D">
        <w:t>Co-design approaches differed across AMHCs, but were positively received by PHNs, service providers and communities</w:t>
      </w:r>
    </w:p>
    <w:p w14:paraId="4B7CA4BF" w14:textId="2279115F" w:rsidR="000A575B" w:rsidRPr="000D119D" w:rsidRDefault="000A575B" w:rsidP="000A575B">
      <w:pPr>
        <w:rPr>
          <w:lang w:val="en-AU" w:eastAsia="en-AU"/>
        </w:rPr>
      </w:pPr>
      <w:r w:rsidRPr="000D119D">
        <w:rPr>
          <w:lang w:val="en-AU"/>
        </w:rPr>
        <w:t xml:space="preserve">Co-design approaches differed across AMHCs, with overall feedback very positive. Many PHNs noted that the approach conducted for the AMHCs was the best experience of co-design they had ever been involved in. </w:t>
      </w:r>
      <w:r w:rsidRPr="000D119D">
        <w:rPr>
          <w:lang w:val="en-AU" w:eastAsia="en-AU"/>
        </w:rPr>
        <w:t xml:space="preserve">NQPHN and </w:t>
      </w:r>
      <w:r w:rsidR="000355F7">
        <w:rPr>
          <w:lang w:val="en-AU" w:eastAsia="en-AU"/>
        </w:rPr>
        <w:t xml:space="preserve">Nepean Blue Mountains PHN (NBMPHN) </w:t>
      </w:r>
      <w:proofErr w:type="gramStart"/>
      <w:r w:rsidRPr="000D119D">
        <w:rPr>
          <w:lang w:val="en-AU" w:eastAsia="en-AU"/>
        </w:rPr>
        <w:t>in particular reported</w:t>
      </w:r>
      <w:proofErr w:type="gramEnd"/>
      <w:r w:rsidRPr="000D119D">
        <w:rPr>
          <w:lang w:val="en-AU" w:eastAsia="en-AU"/>
        </w:rPr>
        <w:t xml:space="preserve"> brilliant co-design processes with Neami National. People have recognised the importance of and embraced the co-design process and early indications are that clients and communities are appreciative of the outcomes.</w:t>
      </w:r>
    </w:p>
    <w:p w14:paraId="07C920B6" w14:textId="21DAFC9B" w:rsidR="000A575B" w:rsidRPr="000D119D" w:rsidRDefault="000A575B" w:rsidP="000A575B">
      <w:pPr>
        <w:rPr>
          <w:lang w:val="en-AU"/>
        </w:rPr>
      </w:pPr>
      <w:r w:rsidRPr="000D119D">
        <w:rPr>
          <w:lang w:val="en-AU"/>
        </w:rPr>
        <w:t>Six of the eight PHNs completed co-design by November 2021, prior to service commencement. NTPHN’s co-design process was longer than that for other AMHCs, while co-design for the ACT AMHC was delayed due to the announcement of a Head</w:t>
      </w:r>
      <w:r w:rsidR="00720CC5">
        <w:rPr>
          <w:lang w:val="en-AU"/>
        </w:rPr>
        <w:t xml:space="preserve"> </w:t>
      </w:r>
      <w:r w:rsidRPr="000D119D">
        <w:rPr>
          <w:lang w:val="en-AU"/>
        </w:rPr>
        <w:t>to</w:t>
      </w:r>
      <w:r w:rsidR="00720CC5">
        <w:rPr>
          <w:lang w:val="en-AU"/>
        </w:rPr>
        <w:t xml:space="preserve"> </w:t>
      </w:r>
      <w:r w:rsidRPr="000D119D">
        <w:rPr>
          <w:lang w:val="en-AU"/>
        </w:rPr>
        <w:t>Health pop-up clinic that began offering services in late October. The pop-up, as well as consultations from the Safe Haven Café</w:t>
      </w:r>
      <w:r w:rsidRPr="000D119D">
        <w:rPr>
          <w:rStyle w:val="FootnoteReference"/>
          <w:lang w:val="en-AU"/>
        </w:rPr>
        <w:footnoteReference w:id="75"/>
      </w:r>
      <w:r w:rsidRPr="000D119D">
        <w:rPr>
          <w:lang w:val="en-AU"/>
        </w:rPr>
        <w:t xml:space="preserve">, were expected to inform the establishment of the AMHC in ACT. </w:t>
      </w:r>
    </w:p>
    <w:p w14:paraId="49F89A1E" w14:textId="77777777" w:rsidR="000A575B" w:rsidRPr="000D119D" w:rsidRDefault="000A575B" w:rsidP="000A575B">
      <w:pPr>
        <w:rPr>
          <w:lang w:val="en-AU"/>
        </w:rPr>
      </w:pPr>
      <w:r w:rsidRPr="000D119D">
        <w:rPr>
          <w:lang w:val="en-AU"/>
        </w:rPr>
        <w:lastRenderedPageBreak/>
        <w:t>Co-design engagement involved people of lived experience, support people and family members, people involved in service delivery and Elders in the Aboriginal and Torres Strait Islander communities. Some AMHCs reported greater engagement with state and territory governments in the design process than others. For example:</w:t>
      </w:r>
    </w:p>
    <w:p w14:paraId="613D4CFC" w14:textId="1D50D561" w:rsidR="000A575B" w:rsidRPr="000D119D" w:rsidRDefault="000A575B" w:rsidP="00E457E2">
      <w:pPr>
        <w:pStyle w:val="ListBullet"/>
      </w:pPr>
      <w:r w:rsidRPr="000D119D">
        <w:t xml:space="preserve">NTPHN reported strong engagement with the NT Government Commissioning Body for Health, and substantial support from the Minister. State data on emergency and acute consumers was used to understand the type of consumers who might access the service. The case study shown in </w:t>
      </w:r>
      <w:r w:rsidR="006C255C">
        <w:fldChar w:fldCharType="begin"/>
      </w:r>
      <w:r w:rsidR="006C255C">
        <w:instrText xml:space="preserve"> REF _Ref97026064 \h </w:instrText>
      </w:r>
      <w:r w:rsidR="00E457E2">
        <w:instrText xml:space="preserve"> \* MERGEFORMAT </w:instrText>
      </w:r>
      <w:r w:rsidR="006C255C">
        <w:fldChar w:fldCharType="separate"/>
      </w:r>
      <w:r w:rsidR="00562174" w:rsidRPr="000D119D">
        <w:t xml:space="preserve">Figure </w:t>
      </w:r>
      <w:r w:rsidR="00562174">
        <w:rPr>
          <w:noProof/>
        </w:rPr>
        <w:t>41</w:t>
      </w:r>
      <w:r w:rsidR="006C255C">
        <w:fldChar w:fldCharType="end"/>
      </w:r>
      <w:r w:rsidRPr="000D119D">
        <w:t xml:space="preserve"> describes the effective use of this partnership, as well as with the Aboriginal Organisation, Larrakia Nation</w:t>
      </w:r>
      <w:r w:rsidR="001E4D95" w:rsidRPr="000D119D">
        <w:t>,</w:t>
      </w:r>
      <w:r w:rsidRPr="000D119D">
        <w:t xml:space="preserve"> to design and establish an AMHC closely tailored to local needs.</w:t>
      </w:r>
    </w:p>
    <w:p w14:paraId="07BF4275" w14:textId="77777777" w:rsidR="000A575B" w:rsidRPr="000D119D" w:rsidRDefault="000A575B" w:rsidP="00E457E2">
      <w:pPr>
        <w:pStyle w:val="ListBullet"/>
      </w:pPr>
      <w:r w:rsidRPr="000D119D">
        <w:t xml:space="preserve">NQPHN engaged with state and regional mental health providers to ensure investments complemented each other, and so learnings for all parties could be shared and used in service design. </w:t>
      </w:r>
    </w:p>
    <w:p w14:paraId="4F652CFD" w14:textId="0CBD4029" w:rsidR="000A575B" w:rsidRPr="000D119D" w:rsidRDefault="000A575B" w:rsidP="00E457E2">
      <w:pPr>
        <w:pStyle w:val="ListBullet"/>
      </w:pPr>
      <w:r w:rsidRPr="000D119D">
        <w:t xml:space="preserve">WVPHN reported limited involvement of the </w:t>
      </w:r>
      <w:r w:rsidR="00C26B8B">
        <w:t>s</w:t>
      </w:r>
      <w:r w:rsidRPr="000D119D">
        <w:t xml:space="preserve">tate government in the co-design process, </w:t>
      </w:r>
      <w:r w:rsidR="004C5763" w:rsidRPr="000D119D">
        <w:t>however</w:t>
      </w:r>
      <w:r w:rsidR="000355F7">
        <w:t xml:space="preserve"> </w:t>
      </w:r>
      <w:r w:rsidR="00C26B8B">
        <w:t xml:space="preserve">the </w:t>
      </w:r>
      <w:r w:rsidR="00C26B8B" w:rsidRPr="00C26B8B">
        <w:t xml:space="preserve">Department of Health and Human Services </w:t>
      </w:r>
      <w:r w:rsidR="00C26B8B">
        <w:t>(</w:t>
      </w:r>
      <w:r w:rsidRPr="000D119D">
        <w:t>DHHS</w:t>
      </w:r>
      <w:r w:rsidR="00C26B8B">
        <w:t>)</w:t>
      </w:r>
      <w:r w:rsidRPr="000D119D">
        <w:t xml:space="preserve"> came on board </w:t>
      </w:r>
      <w:r w:rsidR="00531ED9" w:rsidRPr="000D119D">
        <w:t xml:space="preserve">later </w:t>
      </w:r>
      <w:r w:rsidRPr="000D119D">
        <w:t xml:space="preserve">for the provider procurement process. </w:t>
      </w:r>
    </w:p>
    <w:p w14:paraId="777BBF5F" w14:textId="59D33383" w:rsidR="000A575B" w:rsidRPr="000D119D" w:rsidRDefault="000A575B" w:rsidP="000A575B">
      <w:pPr>
        <w:rPr>
          <w:lang w:val="en-AU"/>
        </w:rPr>
      </w:pPr>
      <w:r w:rsidRPr="000D119D">
        <w:rPr>
          <w:lang w:val="en-AU"/>
        </w:rPr>
        <w:t xml:space="preserve">PHNs either conducted co-design themselves or in partnership with commissioned service providers. Where service providers were commissioned early enough in the establishment process, they were heavily involved in co-design. NBMPHN reported working closely with Neami </w:t>
      </w:r>
      <w:r w:rsidR="00C26B8B">
        <w:rPr>
          <w:lang w:val="en-AU"/>
        </w:rPr>
        <w:t xml:space="preserve">National </w:t>
      </w:r>
      <w:r w:rsidRPr="000D119D">
        <w:rPr>
          <w:lang w:val="en-AU"/>
        </w:rPr>
        <w:t xml:space="preserve">in co-design and engagement with different organisations across their region and had a </w:t>
      </w:r>
      <w:r w:rsidR="00C26B8B">
        <w:rPr>
          <w:lang w:val="en-AU"/>
        </w:rPr>
        <w:t>20</w:t>
      </w:r>
      <w:r w:rsidRPr="000D119D">
        <w:rPr>
          <w:lang w:val="en-AU"/>
        </w:rPr>
        <w:t xml:space="preserve">-person advisory committee set up that included representatives from relevant organisations as well as six consumers, to assist in initial decision making. In WA, the service provider led the co-design process. Co-design underpinned location selection in both NSW and WA. </w:t>
      </w:r>
    </w:p>
    <w:p w14:paraId="61699B11" w14:textId="470125E2" w:rsidR="000A575B" w:rsidRPr="000D119D" w:rsidRDefault="000A575B" w:rsidP="000A575B">
      <w:pPr>
        <w:rPr>
          <w:lang w:val="en-AU" w:eastAsia="en-AU"/>
        </w:rPr>
      </w:pPr>
      <w:r w:rsidRPr="000D119D">
        <w:rPr>
          <w:lang w:val="en-AU" w:eastAsia="en-AU"/>
        </w:rPr>
        <w:t xml:space="preserve">Co-design insights have been reflected in the peer-led staffing models developed for the AMHCs – a model that has been well received by AMHC consumers in </w:t>
      </w:r>
      <w:r w:rsidR="00C26B8B">
        <w:rPr>
          <w:lang w:val="en-AU" w:eastAsia="en-AU"/>
        </w:rPr>
        <w:t>SA</w:t>
      </w:r>
      <w:r w:rsidRPr="000D119D">
        <w:rPr>
          <w:lang w:val="en-AU" w:eastAsia="en-AU"/>
        </w:rPr>
        <w:t>. Another major area where co-design outcomes are reflected is in the physical design of the building. AMHCs in NSW and NT have reported positive feedback from clients on their space, with the AMHC manager in NSW commenting that the centre has ‘the perfect layout’, and the community expressing that everything they wanted has been incorporated into the physical design of the space as well as into the staffing model. The centre manager of the AMHC in NT also indicated that their space reflects nearly all the co-design outcomes, however they also mentioned that service delivery requirements should have been given more consideration in the physical design, as there are some problems with technicalities such as where administration staff should sit.</w:t>
      </w:r>
    </w:p>
    <w:p w14:paraId="2B6EC93F" w14:textId="460D4041" w:rsidR="000A575B" w:rsidRPr="000D119D" w:rsidRDefault="000A575B" w:rsidP="000A575B">
      <w:pPr>
        <w:pStyle w:val="Caption"/>
      </w:pPr>
      <w:bookmarkStart w:id="140" w:name="_Ref97026479"/>
      <w:bookmarkStart w:id="141" w:name="_Ref97026064"/>
      <w:r w:rsidRPr="000D119D">
        <w:lastRenderedPageBreak/>
        <w:t>Figure</w:t>
      </w:r>
      <w:bookmarkEnd w:id="140"/>
      <w:r w:rsidRPr="000D119D">
        <w:t xml:space="preserve"> </w:t>
      </w:r>
      <w:r w:rsidR="00C90990">
        <w:fldChar w:fldCharType="begin"/>
      </w:r>
      <w:r w:rsidR="00C90990">
        <w:instrText xml:space="preserve"> SEQ Figure \* ARABIC </w:instrText>
      </w:r>
      <w:r w:rsidR="00C90990">
        <w:fldChar w:fldCharType="separate"/>
      </w:r>
      <w:r w:rsidR="00562174">
        <w:rPr>
          <w:noProof/>
        </w:rPr>
        <w:t>41</w:t>
      </w:r>
      <w:r w:rsidR="00C90990">
        <w:fldChar w:fldCharType="end"/>
      </w:r>
      <w:bookmarkEnd w:id="141"/>
      <w:r w:rsidRPr="000D119D">
        <w:t xml:space="preserve"> | Case study on the effective use of partnerships for co-design and establishment of the AMHC in NT</w:t>
      </w:r>
    </w:p>
    <w:p w14:paraId="542B4935" w14:textId="68B121FC" w:rsidR="000A575B" w:rsidRPr="000D119D" w:rsidRDefault="00521D94" w:rsidP="000A575B">
      <w:pPr>
        <w:rPr>
          <w:lang w:val="en-AU" w:eastAsia="en-AU"/>
        </w:rPr>
      </w:pPr>
      <w:r w:rsidRPr="00521D94">
        <w:rPr>
          <w:noProof/>
        </w:rPr>
        <w:drawing>
          <wp:inline distT="0" distB="0" distL="0" distR="0" wp14:anchorId="0DE0CA88" wp14:editId="60D361DF">
            <wp:extent cx="5668645" cy="4524375"/>
            <wp:effectExtent l="0" t="0" r="8255" b="9525"/>
            <wp:docPr id="13" name="Picture 13" descr="Figure 41 is an infographic about the Case study on the effective use of partnerships for co-design and establishment of the Adult Mental Health Centre in the Northern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41 is an infographic about the Case study on the effective use of partnerships for co-design and establishment of the Adult Mental Health Centre in the Northern Territory.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68645" cy="4524375"/>
                    </a:xfrm>
                    <a:prstGeom prst="rect">
                      <a:avLst/>
                    </a:prstGeom>
                    <a:noFill/>
                    <a:ln>
                      <a:noFill/>
                    </a:ln>
                  </pic:spPr>
                </pic:pic>
              </a:graphicData>
            </a:graphic>
          </wp:inline>
        </w:drawing>
      </w:r>
    </w:p>
    <w:p w14:paraId="1BA44F7F" w14:textId="1BA24B4E" w:rsidR="000A575B" w:rsidRPr="000D119D" w:rsidRDefault="000A575B" w:rsidP="00BE0860">
      <w:pPr>
        <w:pStyle w:val="Heading4"/>
      </w:pPr>
      <w:r w:rsidRPr="000D119D">
        <w:t>Service models appear to have the right balance between model fidelity and local variation</w:t>
      </w:r>
    </w:p>
    <w:p w14:paraId="098A7B6E" w14:textId="5E4DAA5F" w:rsidR="000A575B" w:rsidRPr="000D119D" w:rsidRDefault="000A575B" w:rsidP="000A575B">
      <w:pPr>
        <w:rPr>
          <w:lang w:val="en-AU"/>
        </w:rPr>
      </w:pPr>
      <w:r w:rsidRPr="000D119D">
        <w:rPr>
          <w:lang w:val="en-AU"/>
        </w:rPr>
        <w:t xml:space="preserve">The AMHC model of care provides guidance for the centre-level operational model, including approaches to intake. PHNs were generally very supportive of the core service model which they see as based on best practice </w:t>
      </w:r>
      <w:r w:rsidR="00257BC1">
        <w:rPr>
          <w:lang w:val="en-AU"/>
        </w:rPr>
        <w:t>principles</w:t>
      </w:r>
      <w:r w:rsidR="00257BC1" w:rsidRPr="000D119D">
        <w:rPr>
          <w:lang w:val="en-AU"/>
        </w:rPr>
        <w:t xml:space="preserve"> </w:t>
      </w:r>
      <w:r w:rsidRPr="000D119D">
        <w:rPr>
          <w:lang w:val="en-AU"/>
        </w:rPr>
        <w:t>and collaboration paired with the ability to adapt the core Commonwealth model to suit local context. There were not instances where either PHNs or AMHC providers sought to redesign the model completely (</w:t>
      </w:r>
      <w:proofErr w:type="gramStart"/>
      <w:r w:rsidRPr="000D119D">
        <w:rPr>
          <w:lang w:val="en-AU"/>
        </w:rPr>
        <w:t>with the exception of</w:t>
      </w:r>
      <w:proofErr w:type="gramEnd"/>
      <w:r w:rsidRPr="000D119D">
        <w:rPr>
          <w:lang w:val="en-AU"/>
        </w:rPr>
        <w:t xml:space="preserve"> the SA AMHC – see </w:t>
      </w:r>
      <w:r w:rsidR="0031302C">
        <w:rPr>
          <w:lang w:val="en-AU"/>
        </w:rPr>
        <w:t>below).</w:t>
      </w:r>
    </w:p>
    <w:p w14:paraId="20ADD898" w14:textId="387AFAF1" w:rsidR="000A575B" w:rsidRPr="000D119D" w:rsidRDefault="000A575B" w:rsidP="000A575B">
      <w:pPr>
        <w:rPr>
          <w:lang w:val="en-AU"/>
        </w:rPr>
      </w:pPr>
      <w:r w:rsidRPr="000D119D">
        <w:rPr>
          <w:lang w:val="en-AU"/>
        </w:rPr>
        <w:t xml:space="preserve">PHNs </w:t>
      </w:r>
      <w:r w:rsidRPr="000D119D">
        <w:rPr>
          <w:lang w:val="en-AU" w:eastAsia="en-AU"/>
        </w:rPr>
        <w:t xml:space="preserve">were pleased to have advocated for the guidance and ability to localise through co-design, fearing that if they had to standardise the service as was done with </w:t>
      </w:r>
      <w:proofErr w:type="spellStart"/>
      <w:r w:rsidRPr="000D119D">
        <w:rPr>
          <w:i/>
          <w:iCs/>
          <w:lang w:val="en-AU" w:eastAsia="en-AU"/>
        </w:rPr>
        <w:t>HeadtoHelp</w:t>
      </w:r>
      <w:proofErr w:type="spellEnd"/>
      <w:r w:rsidRPr="000D119D">
        <w:rPr>
          <w:lang w:val="en-AU" w:eastAsia="en-AU"/>
        </w:rPr>
        <w:t xml:space="preserve"> it would not have been suitable for all areas. Instead, t</w:t>
      </w:r>
      <w:r w:rsidRPr="000D119D">
        <w:rPr>
          <w:lang w:val="en-AU"/>
        </w:rPr>
        <w:t xml:space="preserve">his approach appears to have </w:t>
      </w:r>
      <w:r w:rsidR="001B5A10" w:rsidRPr="000D119D">
        <w:rPr>
          <w:lang w:val="en-AU"/>
        </w:rPr>
        <w:t xml:space="preserve">enabled </w:t>
      </w:r>
      <w:r w:rsidRPr="000D119D">
        <w:rPr>
          <w:lang w:val="en-AU"/>
        </w:rPr>
        <w:t>the right balance between fidelity and variation.</w:t>
      </w:r>
      <w:r w:rsidRPr="000D119D">
        <w:rPr>
          <w:lang w:val="en-AU" w:eastAsia="en-AU"/>
        </w:rPr>
        <w:t xml:space="preserve"> Specific areas important to individual PHNs included the need to </w:t>
      </w:r>
      <w:r w:rsidRPr="000D119D">
        <w:rPr>
          <w:lang w:val="en-AU"/>
        </w:rPr>
        <w:t>safeguard the clinical maturity required to implement and operationali</w:t>
      </w:r>
      <w:r w:rsidR="001C5073" w:rsidRPr="000D119D">
        <w:rPr>
          <w:lang w:val="en-AU"/>
        </w:rPr>
        <w:t>s</w:t>
      </w:r>
      <w:r w:rsidRPr="000D119D">
        <w:rPr>
          <w:lang w:val="en-AU"/>
        </w:rPr>
        <w:t xml:space="preserve">e the service model, and the need to be as </w:t>
      </w:r>
      <w:proofErr w:type="gramStart"/>
      <w:r w:rsidR="00546C95" w:rsidRPr="000D119D">
        <w:rPr>
          <w:lang w:val="en-AU"/>
        </w:rPr>
        <w:t>client</w:t>
      </w:r>
      <w:r w:rsidRPr="000D119D">
        <w:rPr>
          <w:lang w:val="en-AU"/>
        </w:rPr>
        <w:t>-centric</w:t>
      </w:r>
      <w:proofErr w:type="gramEnd"/>
      <w:r w:rsidRPr="000D119D">
        <w:rPr>
          <w:lang w:val="en-AU"/>
        </w:rPr>
        <w:t xml:space="preserve"> as possible (while not straying from the core aspects of the original model).</w:t>
      </w:r>
    </w:p>
    <w:p w14:paraId="485B0A72" w14:textId="1C09C338" w:rsidR="000A575B" w:rsidRPr="000D119D" w:rsidRDefault="000A575B" w:rsidP="00BE0860">
      <w:pPr>
        <w:pStyle w:val="Heading4"/>
      </w:pPr>
      <w:r w:rsidRPr="000D119D">
        <w:t>Model similarities include opening times, and the role of a peer workforce; variations include length of service delivery and co-location</w:t>
      </w:r>
    </w:p>
    <w:p w14:paraId="67AC9F56" w14:textId="77777777" w:rsidR="000A575B" w:rsidRPr="000D119D" w:rsidRDefault="000A575B" w:rsidP="000A575B">
      <w:pPr>
        <w:rPr>
          <w:lang w:val="en-AU" w:eastAsia="en-AU"/>
        </w:rPr>
      </w:pPr>
      <w:r w:rsidRPr="000D119D">
        <w:rPr>
          <w:lang w:val="en-AU" w:eastAsia="en-AU"/>
        </w:rPr>
        <w:t>Similarities include:</w:t>
      </w:r>
    </w:p>
    <w:p w14:paraId="6469A3F8" w14:textId="32471422" w:rsidR="000A575B" w:rsidRPr="000D119D" w:rsidRDefault="000A575B" w:rsidP="00E457E2">
      <w:pPr>
        <w:pStyle w:val="ListBullet"/>
      </w:pPr>
      <w:r w:rsidRPr="000D119D">
        <w:rPr>
          <w:rFonts w:asciiTheme="majorHAnsi" w:hAnsiTheme="majorHAnsi" w:cstheme="majorHAnsi"/>
        </w:rPr>
        <w:t>Opening hours</w:t>
      </w:r>
      <w:r w:rsidRPr="000D119D">
        <w:t xml:space="preserve">: </w:t>
      </w:r>
      <w:proofErr w:type="spellStart"/>
      <w:r w:rsidR="006B2725">
        <w:t>c</w:t>
      </w:r>
      <w:r w:rsidRPr="000D119D">
        <w:t>entres</w:t>
      </w:r>
      <w:proofErr w:type="spellEnd"/>
      <w:r w:rsidRPr="000D119D">
        <w:t xml:space="preserve"> have similar planned opening times, in response to high volume ‘avoidable’ ED presentations, which are typically later in the day. For example, the AMHCs in the NT and VIC are open from 11am to 11pm and the AMHC in WA will be open from 10am to 10pm on weekdays and 12pm to 8pm on weekends and public holidays. The AMHC in SA </w:t>
      </w:r>
      <w:r w:rsidR="007B34E1">
        <w:t xml:space="preserve">extended </w:t>
      </w:r>
      <w:r w:rsidR="007B34E1">
        <w:lastRenderedPageBreak/>
        <w:t>their opening hours</w:t>
      </w:r>
      <w:r w:rsidR="008F28CF">
        <w:t xml:space="preserve"> to be open 19 hours a day</w:t>
      </w:r>
      <w:r w:rsidR="007B34E1">
        <w:t xml:space="preserve"> </w:t>
      </w:r>
      <w:r w:rsidR="008F28CF">
        <w:t>from</w:t>
      </w:r>
      <w:r w:rsidRPr="000D119D">
        <w:t xml:space="preserve"> 31 January 2022, with </w:t>
      </w:r>
      <w:r w:rsidR="00B81828">
        <w:t>s</w:t>
      </w:r>
      <w:r w:rsidRPr="000D119D">
        <w:t xml:space="preserve">tate funding supplementing Commonwealth funding to make this possible. The AMHC in </w:t>
      </w:r>
      <w:r w:rsidR="0052274D">
        <w:t>TAS</w:t>
      </w:r>
      <w:r w:rsidRPr="000D119D">
        <w:t xml:space="preserve"> offers face-to-face services from 9am to 10pm, with an overnight digital support line that will be operated by a contracted service provider. </w:t>
      </w:r>
    </w:p>
    <w:p w14:paraId="43C4595B" w14:textId="4E0C6E8D" w:rsidR="000A575B" w:rsidRPr="000D119D" w:rsidRDefault="000A575B" w:rsidP="00E457E2">
      <w:pPr>
        <w:pStyle w:val="ListBullet"/>
      </w:pPr>
      <w:r w:rsidRPr="000D119D">
        <w:rPr>
          <w:rFonts w:asciiTheme="majorHAnsi" w:hAnsiTheme="majorHAnsi" w:cstheme="majorHAnsi"/>
        </w:rPr>
        <w:t>Role and prominence of a peer workforce:</w:t>
      </w:r>
      <w:r w:rsidRPr="000D119D">
        <w:t xml:space="preserve"> </w:t>
      </w:r>
      <w:r w:rsidR="00B81828">
        <w:t>a</w:t>
      </w:r>
      <w:r w:rsidRPr="000D119D">
        <w:t xml:space="preserve">ll AMHCs are committed to embedding a substantive peer workforce. This is discussed further in </w:t>
      </w:r>
      <w:r w:rsidR="00431F71">
        <w:t>S</w:t>
      </w:r>
      <w:r w:rsidRPr="000D119D">
        <w:t xml:space="preserve">ection </w:t>
      </w:r>
      <w:r w:rsidR="008C15CE" w:rsidRPr="000D119D">
        <w:fldChar w:fldCharType="begin"/>
      </w:r>
      <w:r w:rsidR="008C15CE" w:rsidRPr="000D119D">
        <w:instrText xml:space="preserve"> REF _Ref96958562 \r \h  \* MERGEFORMAT </w:instrText>
      </w:r>
      <w:r w:rsidR="008C15CE" w:rsidRPr="000D119D">
        <w:fldChar w:fldCharType="separate"/>
      </w:r>
      <w:r w:rsidR="00562174">
        <w:t>6.1.4</w:t>
      </w:r>
      <w:r w:rsidR="008C15CE" w:rsidRPr="000D119D">
        <w:fldChar w:fldCharType="end"/>
      </w:r>
      <w:r w:rsidR="004A063B">
        <w:t>.</w:t>
      </w:r>
    </w:p>
    <w:p w14:paraId="5EA4BFFD" w14:textId="77777777" w:rsidR="000A575B" w:rsidRPr="000D119D" w:rsidRDefault="000A575B" w:rsidP="000A575B">
      <w:pPr>
        <w:rPr>
          <w:lang w:val="en-AU"/>
        </w:rPr>
      </w:pPr>
      <w:r w:rsidRPr="000D119D">
        <w:rPr>
          <w:lang w:val="en-AU"/>
        </w:rPr>
        <w:t>Key variations included:</w:t>
      </w:r>
    </w:p>
    <w:p w14:paraId="71663522" w14:textId="6BDC301E" w:rsidR="000A575B" w:rsidRPr="000D119D" w:rsidRDefault="000A575B" w:rsidP="00E457E2">
      <w:pPr>
        <w:pStyle w:val="ListBullet"/>
      </w:pPr>
      <w:r w:rsidRPr="000D119D">
        <w:rPr>
          <w:rFonts w:asciiTheme="majorHAnsi" w:hAnsiTheme="majorHAnsi" w:cstheme="majorHAnsi"/>
        </w:rPr>
        <w:t>Expected length of service episodes</w:t>
      </w:r>
      <w:r w:rsidRPr="000D119D">
        <w:t xml:space="preserve">: </w:t>
      </w:r>
      <w:r w:rsidR="00431F71">
        <w:t>m</w:t>
      </w:r>
      <w:r w:rsidR="005A6F5A" w:rsidRPr="000D119D">
        <w:t xml:space="preserve">ost AMHCs have </w:t>
      </w:r>
      <w:proofErr w:type="spellStart"/>
      <w:r w:rsidR="005A6F5A" w:rsidRPr="000D119D">
        <w:t>characterised</w:t>
      </w:r>
      <w:proofErr w:type="spellEnd"/>
      <w:r w:rsidR="005A6F5A" w:rsidRPr="000D119D">
        <w:t xml:space="preserve"> their services as short-medium term</w:t>
      </w:r>
      <w:r w:rsidR="00CD6D26" w:rsidRPr="000D119D">
        <w:t xml:space="preserve"> (a few weeks to a few months)</w:t>
      </w:r>
      <w:r w:rsidR="005A6F5A" w:rsidRPr="000D119D">
        <w:t>.</w:t>
      </w:r>
      <w:r w:rsidR="00CD6D26" w:rsidRPr="000D119D">
        <w:t xml:space="preserve"> Uniquely,</w:t>
      </w:r>
      <w:r w:rsidR="005A6F5A" w:rsidRPr="000D119D">
        <w:t xml:space="preserve"> SA Health has </w:t>
      </w:r>
      <w:proofErr w:type="spellStart"/>
      <w:r w:rsidRPr="000D119D">
        <w:t>characterised</w:t>
      </w:r>
      <w:proofErr w:type="spellEnd"/>
      <w:r w:rsidRPr="000D119D">
        <w:t xml:space="preserve"> their services as </w:t>
      </w:r>
      <w:r w:rsidR="00CD6D26" w:rsidRPr="000D119D">
        <w:t>‘</w:t>
      </w:r>
      <w:r w:rsidRPr="000D119D">
        <w:t>urgent mental health care through brief episodes of care</w:t>
      </w:r>
      <w:r w:rsidR="00CD6D26" w:rsidRPr="000D119D">
        <w:t>’</w:t>
      </w:r>
      <w:r w:rsidRPr="000D119D">
        <w:t xml:space="preserve"> (four to five hours), with main referrers being acute services, </w:t>
      </w:r>
      <w:proofErr w:type="gramStart"/>
      <w:r w:rsidRPr="000D119D">
        <w:t>police</w:t>
      </w:r>
      <w:proofErr w:type="gramEnd"/>
      <w:r w:rsidRPr="000D119D">
        <w:t xml:space="preserve"> and ambulances. </w:t>
      </w:r>
      <w:r w:rsidR="00185284" w:rsidRPr="000D119D">
        <w:t xml:space="preserve">However, </w:t>
      </w:r>
      <w:r w:rsidR="008A6906" w:rsidRPr="000D119D">
        <w:t>many stakeholders</w:t>
      </w:r>
      <w:r w:rsidR="005A6F5A" w:rsidRPr="000D119D">
        <w:t xml:space="preserve"> have expressed concerns about the need for </w:t>
      </w:r>
      <w:r w:rsidR="008A6906" w:rsidRPr="000D119D">
        <w:t xml:space="preserve">services to provide </w:t>
      </w:r>
      <w:r w:rsidR="00B44F81" w:rsidRPr="000D119D">
        <w:t>interventions</w:t>
      </w:r>
      <w:r w:rsidR="00A16D42" w:rsidRPr="000D119D">
        <w:t xml:space="preserve"> for longer periods (</w:t>
      </w:r>
      <w:r w:rsidR="008A6906" w:rsidRPr="000D119D">
        <w:t>several</w:t>
      </w:r>
      <w:r w:rsidR="00A16D42" w:rsidRPr="000D119D">
        <w:t xml:space="preserve"> months).</w:t>
      </w:r>
      <w:r w:rsidR="005A6F5A" w:rsidRPr="000D119D">
        <w:t xml:space="preserve"> </w:t>
      </w:r>
      <w:r w:rsidR="0079442D" w:rsidRPr="000D119D">
        <w:t xml:space="preserve">This was also reflected by </w:t>
      </w:r>
      <w:r w:rsidR="007C43A1">
        <w:t>participant</w:t>
      </w:r>
      <w:r w:rsidR="0079442D" w:rsidRPr="000D119D">
        <w:t>s and support people.</w:t>
      </w:r>
    </w:p>
    <w:p w14:paraId="79114C97" w14:textId="020BE24A" w:rsidR="000A575B" w:rsidRPr="000D119D" w:rsidRDefault="000A575B" w:rsidP="00E457E2">
      <w:pPr>
        <w:pStyle w:val="ListBullet"/>
      </w:pPr>
      <w:r w:rsidRPr="000D119D">
        <w:rPr>
          <w:rFonts w:asciiTheme="majorHAnsi" w:hAnsiTheme="majorHAnsi" w:cstheme="majorHAnsi"/>
        </w:rPr>
        <w:t>Approach to co-location</w:t>
      </w:r>
      <w:r w:rsidRPr="000D119D">
        <w:t xml:space="preserve">: </w:t>
      </w:r>
      <w:r w:rsidR="00CE3288">
        <w:t>o</w:t>
      </w:r>
      <w:r w:rsidRPr="000D119D">
        <w:t>nly two PHNs have co-located the AMHC with another service. The AMHC in the NT have co-located with a community mental health team</w:t>
      </w:r>
      <w:r w:rsidR="000C2FD4" w:rsidRPr="000D119D">
        <w:t xml:space="preserve"> (noting that the community mental health </w:t>
      </w:r>
      <w:proofErr w:type="gramStart"/>
      <w:r w:rsidR="000C2FD4" w:rsidRPr="000D119D">
        <w:t>actually relocated</w:t>
      </w:r>
      <w:proofErr w:type="gramEnd"/>
      <w:r w:rsidR="000C2FD4" w:rsidRPr="000D119D">
        <w:t xml:space="preserve"> to </w:t>
      </w:r>
      <w:r w:rsidR="00617909" w:rsidRPr="000D119D">
        <w:t>the new AMHC building)</w:t>
      </w:r>
      <w:r w:rsidRPr="000D119D">
        <w:t xml:space="preserve"> and the AMHC in </w:t>
      </w:r>
      <w:r w:rsidR="0052274D">
        <w:t>TAS</w:t>
      </w:r>
      <w:r w:rsidRPr="000D119D">
        <w:t xml:space="preserve"> will be co-located with an acute state-mental health service once they move into their permanent facility.</w:t>
      </w:r>
      <w:r w:rsidR="001363DF" w:rsidRPr="000D119D">
        <w:t xml:space="preserve"> </w:t>
      </w:r>
    </w:p>
    <w:p w14:paraId="27B424C8" w14:textId="1F2F66A8" w:rsidR="000A575B" w:rsidRPr="000D119D" w:rsidRDefault="000A575B" w:rsidP="00BE0860">
      <w:pPr>
        <w:pStyle w:val="Heading4"/>
      </w:pPr>
      <w:r w:rsidRPr="000D119D">
        <w:t xml:space="preserve">The SA AMHC is a notable departure from the core model, but recent changes are more </w:t>
      </w:r>
      <w:r w:rsidR="00397513" w:rsidRPr="000D119D">
        <w:t xml:space="preserve">closely </w:t>
      </w:r>
      <w:r w:rsidRPr="000D119D">
        <w:t>aligned</w:t>
      </w:r>
    </w:p>
    <w:p w14:paraId="44F3E419" w14:textId="19D2DD67" w:rsidR="000A575B" w:rsidRPr="000D119D" w:rsidRDefault="000A575B" w:rsidP="000A575B">
      <w:pPr>
        <w:rPr>
          <w:lang w:val="en-AU" w:eastAsia="en-AU"/>
        </w:rPr>
      </w:pPr>
      <w:r w:rsidRPr="000D119D">
        <w:rPr>
          <w:lang w:val="en-AU" w:eastAsia="en-AU"/>
        </w:rPr>
        <w:t xml:space="preserve">The AMHC in </w:t>
      </w:r>
      <w:r w:rsidR="00CE3288">
        <w:rPr>
          <w:lang w:val="en-AU" w:eastAsia="en-AU"/>
        </w:rPr>
        <w:t>SA</w:t>
      </w:r>
      <w:r w:rsidRPr="000D119D">
        <w:rPr>
          <w:lang w:val="en-AU" w:eastAsia="en-AU"/>
        </w:rPr>
        <w:t xml:space="preserve"> is the only centre that commenced service delivery with a model that was significantly different to that proposed by </w:t>
      </w:r>
      <w:r w:rsidR="00641398">
        <w:rPr>
          <w:lang w:val="en-AU" w:eastAsia="en-AU"/>
        </w:rPr>
        <w:t>the Department</w:t>
      </w:r>
      <w:r w:rsidRPr="000D119D">
        <w:rPr>
          <w:lang w:val="en-AU" w:eastAsia="en-AU"/>
        </w:rPr>
        <w:t xml:space="preserve">. </w:t>
      </w:r>
      <w:r w:rsidR="004D3F68" w:rsidRPr="000D119D">
        <w:rPr>
          <w:lang w:val="en-AU" w:eastAsia="en-AU"/>
        </w:rPr>
        <w:t>However,</w:t>
      </w:r>
      <w:r w:rsidRPr="000D119D">
        <w:rPr>
          <w:lang w:val="en-AU" w:eastAsia="en-AU"/>
        </w:rPr>
        <w:t xml:space="preserve"> they </w:t>
      </w:r>
      <w:r w:rsidR="004D3F68" w:rsidRPr="000D119D">
        <w:rPr>
          <w:lang w:val="en-AU" w:eastAsia="en-AU"/>
        </w:rPr>
        <w:t>have now transitioned</w:t>
      </w:r>
      <w:r w:rsidRPr="000D119D">
        <w:rPr>
          <w:lang w:val="en-AU" w:eastAsia="en-AU"/>
        </w:rPr>
        <w:t xml:space="preserve"> some elements of the model to be more aligned to the core model. Specific changes that have been made </w:t>
      </w:r>
      <w:r w:rsidR="00C00193" w:rsidRPr="000D119D">
        <w:rPr>
          <w:lang w:val="en-AU" w:eastAsia="en-AU"/>
        </w:rPr>
        <w:t>to date</w:t>
      </w:r>
      <w:r w:rsidRPr="000D119D">
        <w:rPr>
          <w:lang w:val="en-AU" w:eastAsia="en-AU"/>
        </w:rPr>
        <w:t xml:space="preserve"> include: </w:t>
      </w:r>
    </w:p>
    <w:p w14:paraId="5B826BF2" w14:textId="3BD15CAD" w:rsidR="000A575B" w:rsidRPr="000D119D" w:rsidRDefault="000A575B" w:rsidP="00E457E2">
      <w:pPr>
        <w:pStyle w:val="ListBullet"/>
      </w:pPr>
      <w:r w:rsidRPr="000D119D">
        <w:rPr>
          <w:rFonts w:asciiTheme="majorHAnsi" w:hAnsiTheme="majorHAnsi" w:cstheme="majorHAnsi"/>
        </w:rPr>
        <w:t>Transition from referral only to mixed referral/walk in centre</w:t>
      </w:r>
      <w:r w:rsidR="00CE3288">
        <w:rPr>
          <w:rFonts w:asciiTheme="majorHAnsi" w:hAnsiTheme="majorHAnsi" w:cstheme="majorHAnsi"/>
        </w:rPr>
        <w:t>.</w:t>
      </w:r>
      <w:r w:rsidRPr="000D119D">
        <w:t xml:space="preserve"> As a result</w:t>
      </w:r>
      <w:r w:rsidR="00E4334A" w:rsidRPr="000D119D">
        <w:t xml:space="preserve"> of this change</w:t>
      </w:r>
      <w:r w:rsidR="00A448B7" w:rsidRPr="000D119D">
        <w:t>, which occurred in June 2021, between 50</w:t>
      </w:r>
      <w:r w:rsidR="005D5F50">
        <w:t xml:space="preserve"> per cent</w:t>
      </w:r>
      <w:r w:rsidR="00A448B7" w:rsidRPr="000D119D">
        <w:t xml:space="preserve"> and </w:t>
      </w:r>
      <w:r w:rsidR="00C00193" w:rsidRPr="000D119D">
        <w:t>60</w:t>
      </w:r>
      <w:r w:rsidR="005D5F50" w:rsidRPr="005D5F50">
        <w:t xml:space="preserve"> </w:t>
      </w:r>
      <w:r w:rsidR="005D5F50">
        <w:t>per cent</w:t>
      </w:r>
      <w:r w:rsidRPr="000D119D">
        <w:t xml:space="preserve"> of presentations </w:t>
      </w:r>
      <w:r w:rsidR="00A448B7" w:rsidRPr="000D119D">
        <w:t>have consistently come through this pathway</w:t>
      </w:r>
      <w:r w:rsidR="00C006CC" w:rsidRPr="000D119D">
        <w:rPr>
          <w:rStyle w:val="FootnoteReference"/>
        </w:rPr>
        <w:footnoteReference w:id="76"/>
      </w:r>
      <w:r w:rsidR="00A448B7" w:rsidRPr="000D119D">
        <w:t xml:space="preserve">. </w:t>
      </w:r>
      <w:r w:rsidRPr="000D119D">
        <w:t>Introducing the walk-in service has had a substantial impact on the cohorts serviced and has reduced the acuity levels</w:t>
      </w:r>
      <w:r w:rsidR="005D5F50">
        <w:t xml:space="preserve"> (</w:t>
      </w:r>
      <w:r w:rsidRPr="000D119D">
        <w:t>i.e., referred clients tended to be more unwell than walk in clients</w:t>
      </w:r>
      <w:r w:rsidR="005D5F50">
        <w:t>)</w:t>
      </w:r>
      <w:r w:rsidRPr="000D119D">
        <w:t xml:space="preserve">. This has resulted in an increase of IAR </w:t>
      </w:r>
      <w:r w:rsidR="005D5F50">
        <w:t>level two</w:t>
      </w:r>
      <w:r w:rsidRPr="000D119D">
        <w:t xml:space="preserve"> and </w:t>
      </w:r>
      <w:r w:rsidR="005D5F50">
        <w:t>three</w:t>
      </w:r>
      <w:r w:rsidRPr="000D119D">
        <w:t xml:space="preserve"> clients than had been previously seen in the service. </w:t>
      </w:r>
    </w:p>
    <w:p w14:paraId="35740D17" w14:textId="177F3E0C" w:rsidR="000A575B" w:rsidRPr="000D119D" w:rsidRDefault="000A575B" w:rsidP="00E457E2">
      <w:pPr>
        <w:pStyle w:val="ListBullet"/>
      </w:pPr>
      <w:r w:rsidRPr="000D119D">
        <w:rPr>
          <w:rFonts w:asciiTheme="majorHAnsi" w:hAnsiTheme="majorHAnsi" w:cstheme="majorHAnsi"/>
        </w:rPr>
        <w:t>Opening hours</w:t>
      </w:r>
      <w:r w:rsidR="00C45846">
        <w:rPr>
          <w:rFonts w:asciiTheme="majorHAnsi" w:hAnsiTheme="majorHAnsi" w:cstheme="majorHAnsi"/>
        </w:rPr>
        <w:t>.</w:t>
      </w:r>
      <w:r w:rsidRPr="000D119D">
        <w:t xml:space="preserve"> </w:t>
      </w:r>
      <w:r w:rsidR="00D81128" w:rsidRPr="000D119D">
        <w:t>Using supplementary state funding, t</w:t>
      </w:r>
      <w:r w:rsidRPr="000D119D">
        <w:t xml:space="preserve">he SA AMHC </w:t>
      </w:r>
      <w:r w:rsidR="00BC7DF8" w:rsidRPr="000D119D">
        <w:t>adjusted their opening hours from 7 February to be from 12pm to 7am every day,</w:t>
      </w:r>
      <w:r w:rsidRPr="000D119D">
        <w:t xml:space="preserve"> </w:t>
      </w:r>
      <w:r w:rsidR="00BC7DF8" w:rsidRPr="000D119D">
        <w:t xml:space="preserve">in response </w:t>
      </w:r>
      <w:r w:rsidRPr="000D119D">
        <w:t xml:space="preserve">to observations </w:t>
      </w:r>
      <w:r w:rsidR="00D81128" w:rsidRPr="000D119D">
        <w:t>that</w:t>
      </w:r>
      <w:r w:rsidRPr="000D119D">
        <w:t xml:space="preserve"> the twelve-hour timeframes </w:t>
      </w:r>
      <w:proofErr w:type="gramStart"/>
      <w:r w:rsidRPr="000D119D">
        <w:t>limited service</w:t>
      </w:r>
      <w:proofErr w:type="gramEnd"/>
      <w:r w:rsidRPr="000D119D">
        <w:t xml:space="preserve"> provision. Modelling on urgent care models in other jurisdictions, particularly overseas, has shown that a </w:t>
      </w:r>
      <w:r w:rsidR="00D81128" w:rsidRPr="000D119D">
        <w:t xml:space="preserve">model with these extended hours </w:t>
      </w:r>
      <w:r w:rsidRPr="000D119D">
        <w:t xml:space="preserve">will allow for better relationship establishment and rapport with people with different profiles </w:t>
      </w:r>
      <w:r w:rsidR="005D5F50">
        <w:t>(</w:t>
      </w:r>
      <w:r w:rsidRPr="000D119D">
        <w:t>e.g., people who are considering committing suicide will be able to stay for longer periods of time</w:t>
      </w:r>
      <w:r w:rsidR="005D5F50">
        <w:t>)</w:t>
      </w:r>
      <w:r w:rsidRPr="000D119D">
        <w:t xml:space="preserve">. The longer opening hours will allow for more time to support and assess clients and direct them to the right service. The </w:t>
      </w:r>
      <w:r w:rsidR="00D81128" w:rsidRPr="000D119D">
        <w:t xml:space="preserve">extended-hours model has added </w:t>
      </w:r>
      <w:r w:rsidRPr="000D119D">
        <w:t>complexity to the workforce, particularly for peer workers, psychologists, nurse practitioners and mental health GPs.</w:t>
      </w:r>
    </w:p>
    <w:p w14:paraId="4026ED98" w14:textId="5A8DFDDA" w:rsidR="000A575B" w:rsidRPr="000D119D" w:rsidRDefault="000A575B" w:rsidP="000A575B">
      <w:pPr>
        <w:pStyle w:val="Caption"/>
      </w:pPr>
      <w:r w:rsidRPr="000D119D">
        <w:lastRenderedPageBreak/>
        <w:t xml:space="preserve">Figure </w:t>
      </w:r>
      <w:r w:rsidR="00C90990">
        <w:fldChar w:fldCharType="begin"/>
      </w:r>
      <w:r w:rsidR="00C90990">
        <w:instrText xml:space="preserve"> SEQ Figure \* ARABIC </w:instrText>
      </w:r>
      <w:r w:rsidR="00C90990">
        <w:fldChar w:fldCharType="separate"/>
      </w:r>
      <w:r w:rsidR="00562174">
        <w:rPr>
          <w:noProof/>
        </w:rPr>
        <w:t>42</w:t>
      </w:r>
      <w:r w:rsidR="00C90990">
        <w:fldChar w:fldCharType="end"/>
      </w:r>
      <w:r w:rsidRPr="000D119D">
        <w:t xml:space="preserve"> | Key statistics from the </w:t>
      </w:r>
      <w:r w:rsidR="003E0882" w:rsidRPr="000D119D">
        <w:t xml:space="preserve">January 2022 </w:t>
      </w:r>
      <w:r w:rsidRPr="000D119D">
        <w:t xml:space="preserve">report on the Urgent Mental Healthcare Centre (UMHCC) in </w:t>
      </w:r>
      <w:r w:rsidR="005320D3">
        <w:t>SA</w:t>
      </w:r>
    </w:p>
    <w:p w14:paraId="3075A993" w14:textId="4125787D" w:rsidR="000A575B" w:rsidRPr="000D119D" w:rsidRDefault="00D071AB" w:rsidP="000A575B">
      <w:pPr>
        <w:rPr>
          <w:lang w:val="en-AU" w:eastAsia="en-AU"/>
        </w:rPr>
      </w:pPr>
      <w:r w:rsidRPr="00D071AB">
        <w:rPr>
          <w:noProof/>
        </w:rPr>
        <w:drawing>
          <wp:inline distT="0" distB="0" distL="0" distR="0" wp14:anchorId="1D0CAAC0" wp14:editId="0961A177">
            <wp:extent cx="5670550" cy="2949575"/>
            <wp:effectExtent l="0" t="0" r="6350" b="3175"/>
            <wp:docPr id="27867" name="Picture 27867" descr="Figure 42 is an infographic about the Key statistics from the January 2022 report on the Urgent Mental Healthcare Centre in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7" name="Picture 27867" descr="Figure 42 is an infographic about the Key statistics from the January 2022 report on the Urgent Mental Healthcare Centre in South Australi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70550" cy="2949575"/>
                    </a:xfrm>
                    <a:prstGeom prst="rect">
                      <a:avLst/>
                    </a:prstGeom>
                    <a:noFill/>
                    <a:ln>
                      <a:noFill/>
                    </a:ln>
                  </pic:spPr>
                </pic:pic>
              </a:graphicData>
            </a:graphic>
          </wp:inline>
        </w:drawing>
      </w:r>
    </w:p>
    <w:p w14:paraId="5E5CF11A" w14:textId="7A644179" w:rsidR="003F67A3" w:rsidRPr="000D119D" w:rsidRDefault="000A575B" w:rsidP="000A575B">
      <w:pPr>
        <w:rPr>
          <w:lang w:val="en-AU" w:eastAsia="en-AU"/>
        </w:rPr>
      </w:pPr>
      <w:r w:rsidRPr="000D119D">
        <w:rPr>
          <w:lang w:val="en-AU" w:eastAsia="en-AU"/>
        </w:rPr>
        <w:t>Other key insights to note from the UMHCC report</w:t>
      </w:r>
      <w:r w:rsidR="003F67A3" w:rsidRPr="000D119D">
        <w:rPr>
          <w:lang w:val="en-AU" w:eastAsia="en-AU"/>
        </w:rPr>
        <w:t>:</w:t>
      </w:r>
    </w:p>
    <w:p w14:paraId="163DFCF8" w14:textId="0F25A43E" w:rsidR="003F67A3" w:rsidRPr="000D119D" w:rsidRDefault="003F67A3" w:rsidP="00E457E2">
      <w:pPr>
        <w:pStyle w:val="ListBullet"/>
      </w:pPr>
      <w:r w:rsidRPr="000D119D">
        <w:t>R</w:t>
      </w:r>
      <w:r w:rsidR="000A575B" w:rsidRPr="000D119D">
        <w:t>esults of a service feedback survey provided to clients upon leaving indicates that clients are very pleased with the centre staff</w:t>
      </w:r>
      <w:r w:rsidR="004A5DD5" w:rsidRPr="000D119D">
        <w:t>, with 90</w:t>
      </w:r>
      <w:r w:rsidR="00B72231" w:rsidRPr="00B72231">
        <w:t xml:space="preserve"> </w:t>
      </w:r>
      <w:r w:rsidR="00B72231">
        <w:t>per cent</w:t>
      </w:r>
      <w:r w:rsidR="004A5DD5" w:rsidRPr="000D119D">
        <w:t xml:space="preserve"> responding ‘agree’ or ‘strongly agree’ to the statement ‘I feel cared for by the staff’ in January 2022</w:t>
      </w:r>
      <w:r w:rsidR="000A575B" w:rsidRPr="000D119D">
        <w:t xml:space="preserve">. However, the results of the questions related to wellbeing are not as positive, with </w:t>
      </w:r>
      <w:r w:rsidR="005F0658" w:rsidRPr="000D119D">
        <w:t xml:space="preserve">only </w:t>
      </w:r>
      <w:r w:rsidR="00B72231">
        <w:t>ten</w:t>
      </w:r>
      <w:r w:rsidR="00B72231" w:rsidRPr="00B72231">
        <w:t xml:space="preserve"> </w:t>
      </w:r>
      <w:r w:rsidR="00B72231">
        <w:t>per cent</w:t>
      </w:r>
      <w:r w:rsidR="0093001A" w:rsidRPr="000D119D">
        <w:t xml:space="preserve"> of clients</w:t>
      </w:r>
      <w:r w:rsidR="000A575B" w:rsidRPr="000D119D">
        <w:t xml:space="preserve"> answering ‘excellent’ to their wellbeing level, and </w:t>
      </w:r>
      <w:r w:rsidR="00141F58" w:rsidRPr="000D119D">
        <w:t>30</w:t>
      </w:r>
      <w:r w:rsidR="00B72231" w:rsidRPr="00B72231">
        <w:t xml:space="preserve"> </w:t>
      </w:r>
      <w:r w:rsidR="00B72231">
        <w:t>per cent</w:t>
      </w:r>
      <w:r w:rsidR="000A575B" w:rsidRPr="000D119D">
        <w:t xml:space="preserve"> of respondents rating their wellbeing as ‘terrible’.</w:t>
      </w:r>
      <w:r w:rsidR="001363DF" w:rsidRPr="000D119D">
        <w:t xml:space="preserve"> </w:t>
      </w:r>
    </w:p>
    <w:p w14:paraId="71ED394D" w14:textId="34CC711D" w:rsidR="00FB276E" w:rsidRPr="000D119D" w:rsidRDefault="000E7233" w:rsidP="00E457E2">
      <w:pPr>
        <w:pStyle w:val="ListBullet"/>
      </w:pPr>
      <w:bookmarkStart w:id="142" w:name="_Ref97026357"/>
      <w:r w:rsidRPr="000D119D">
        <w:t xml:space="preserve">In January 2022, </w:t>
      </w:r>
      <w:r w:rsidR="00116725" w:rsidRPr="000D119D">
        <w:t>63</w:t>
      </w:r>
      <w:r w:rsidR="00B72231" w:rsidRPr="00B72231">
        <w:t xml:space="preserve"> </w:t>
      </w:r>
      <w:r w:rsidR="00B72231">
        <w:t>per cent</w:t>
      </w:r>
      <w:r w:rsidR="000A575B" w:rsidRPr="000D119D">
        <w:t xml:space="preserve"> of clients </w:t>
      </w:r>
      <w:r w:rsidRPr="000D119D">
        <w:t xml:space="preserve">were </w:t>
      </w:r>
      <w:r w:rsidR="000A575B" w:rsidRPr="000D119D">
        <w:t xml:space="preserve">female, </w:t>
      </w:r>
      <w:r w:rsidR="00116725" w:rsidRPr="000D119D">
        <w:t>26</w:t>
      </w:r>
      <w:r w:rsidR="00B72231" w:rsidRPr="00B72231">
        <w:t xml:space="preserve"> </w:t>
      </w:r>
      <w:r w:rsidR="00B72231">
        <w:t>per cent</w:t>
      </w:r>
      <w:r w:rsidR="000A575B" w:rsidRPr="000D119D">
        <w:t xml:space="preserve"> </w:t>
      </w:r>
      <w:r w:rsidRPr="000D119D">
        <w:t xml:space="preserve">were </w:t>
      </w:r>
      <w:r w:rsidR="000A575B" w:rsidRPr="000D119D">
        <w:t>male and</w:t>
      </w:r>
      <w:r w:rsidRPr="000D119D">
        <w:t xml:space="preserve"> </w:t>
      </w:r>
      <w:r w:rsidR="00116725" w:rsidRPr="000D119D">
        <w:t>11</w:t>
      </w:r>
      <w:r w:rsidR="00B72231" w:rsidRPr="00B72231">
        <w:t xml:space="preserve"> </w:t>
      </w:r>
      <w:r w:rsidR="00B72231">
        <w:t>per cent</w:t>
      </w:r>
      <w:r w:rsidR="000A575B" w:rsidRPr="000D119D">
        <w:t xml:space="preserve"> identif</w:t>
      </w:r>
      <w:r w:rsidRPr="000D119D">
        <w:t>ied</w:t>
      </w:r>
      <w:r w:rsidR="000A575B" w:rsidRPr="000D119D">
        <w:t xml:space="preserve"> as other</w:t>
      </w:r>
      <w:r w:rsidR="007B2AB1" w:rsidRPr="000D119D">
        <w:t xml:space="preserve">. This distribution of genders has remained consistent </w:t>
      </w:r>
      <w:r w:rsidR="00F46E37" w:rsidRPr="000D119D">
        <w:t xml:space="preserve">since the opening of the AMHC and </w:t>
      </w:r>
      <w:r w:rsidR="000A575B" w:rsidRPr="000D119D">
        <w:t xml:space="preserve">is </w:t>
      </w:r>
      <w:r w:rsidR="0041041D" w:rsidRPr="000D119D">
        <w:t xml:space="preserve">consistent </w:t>
      </w:r>
      <w:r w:rsidR="000A575B" w:rsidRPr="000D119D">
        <w:t xml:space="preserve">with what has been observed in the </w:t>
      </w:r>
      <w:proofErr w:type="spellStart"/>
      <w:r w:rsidR="000A575B" w:rsidRPr="000D119D">
        <w:rPr>
          <w:i/>
          <w:iCs/>
        </w:rPr>
        <w:t>HeadtoHelp</w:t>
      </w:r>
      <w:proofErr w:type="spellEnd"/>
      <w:r w:rsidR="000A575B" w:rsidRPr="000D119D">
        <w:t xml:space="preserve"> hubs.</w:t>
      </w:r>
      <w:bookmarkEnd w:id="142"/>
      <w:r w:rsidR="00116725" w:rsidRPr="000D119D">
        <w:t xml:space="preserve"> </w:t>
      </w:r>
    </w:p>
    <w:p w14:paraId="244EB5B5" w14:textId="77777777" w:rsidR="000A575B" w:rsidRPr="000D119D" w:rsidRDefault="000A575B" w:rsidP="000A575B">
      <w:pPr>
        <w:pStyle w:val="Heading3"/>
      </w:pPr>
      <w:bookmarkStart w:id="143" w:name="_Ref97026369"/>
      <w:bookmarkStart w:id="144" w:name="_Toc99650368"/>
      <w:r w:rsidRPr="000D119D">
        <w:t>Establishment challenges</w:t>
      </w:r>
      <w:bookmarkEnd w:id="143"/>
      <w:bookmarkEnd w:id="144"/>
    </w:p>
    <w:p w14:paraId="7A9DA948" w14:textId="77777777" w:rsidR="000A575B" w:rsidRPr="000D119D" w:rsidRDefault="000A575B" w:rsidP="00BE0860">
      <w:pPr>
        <w:pStyle w:val="Heading4"/>
      </w:pPr>
      <w:r w:rsidRPr="000D119D">
        <w:t>Most major delays to establishment resulted from difficulty in securing the right physical location</w:t>
      </w:r>
    </w:p>
    <w:p w14:paraId="0D7428C5" w14:textId="77777777" w:rsidR="000A575B" w:rsidRPr="000D119D" w:rsidRDefault="000A575B" w:rsidP="000A575B">
      <w:pPr>
        <w:rPr>
          <w:lang w:val="en-AU"/>
        </w:rPr>
      </w:pPr>
      <w:r w:rsidRPr="000D119D">
        <w:rPr>
          <w:lang w:val="en-AU"/>
        </w:rPr>
        <w:t>The physical environment for a mental health service has implications on its efficacy as a therapeutic space.</w:t>
      </w:r>
      <w:r w:rsidRPr="000D119D">
        <w:rPr>
          <w:rStyle w:val="FootnoteReference"/>
          <w:lang w:val="en-AU"/>
        </w:rPr>
        <w:footnoteReference w:id="77"/>
      </w:r>
      <w:r w:rsidRPr="000D119D">
        <w:rPr>
          <w:lang w:val="en-AU"/>
        </w:rPr>
        <w:t xml:space="preserve"> The physical environment includes both the internal fit-out and the surrounding area. AMHCs needed to balance placing the location in an area that both meets the needs of the population (e.g., good transport links, in an area of need), and is safe, ideally near other services where participants may be referred to or from.</w:t>
      </w:r>
    </w:p>
    <w:p w14:paraId="3C4CB98D" w14:textId="62FF17B7" w:rsidR="000A575B" w:rsidRPr="000D119D" w:rsidRDefault="000A575B" w:rsidP="000A575B">
      <w:pPr>
        <w:rPr>
          <w:lang w:val="en-AU"/>
        </w:rPr>
      </w:pPr>
      <w:r w:rsidRPr="000D119D">
        <w:rPr>
          <w:lang w:val="en-AU"/>
        </w:rPr>
        <w:t xml:space="preserve">Most PHNs had difficulty finding an accessible, </w:t>
      </w:r>
      <w:proofErr w:type="gramStart"/>
      <w:r w:rsidRPr="000D119D">
        <w:rPr>
          <w:lang w:val="en-AU"/>
        </w:rPr>
        <w:t>affordable</w:t>
      </w:r>
      <w:proofErr w:type="gramEnd"/>
      <w:r w:rsidRPr="000D119D">
        <w:rPr>
          <w:lang w:val="en-AU"/>
        </w:rPr>
        <w:t xml:space="preserve"> and suitable facility located in an area of need, however, of those who have started operating out of their permanent facility (NSW and NT), there has been very positive feedback about the space. Some AMHCs have noted concerns surrounding the safety of their locations after-hours (potentially posed by intoxicated, or aggressive clients in later hours). This raises a need </w:t>
      </w:r>
      <w:r w:rsidR="009D6941" w:rsidRPr="000D119D">
        <w:rPr>
          <w:lang w:val="en-AU"/>
        </w:rPr>
        <w:t>for appropriate</w:t>
      </w:r>
      <w:r w:rsidRPr="000D119D">
        <w:rPr>
          <w:lang w:val="en-AU"/>
        </w:rPr>
        <w:t xml:space="preserve"> management and de-escalation plans to be embedded in each centre, with staff trained on </w:t>
      </w:r>
      <w:r w:rsidR="009D6941" w:rsidRPr="000D119D">
        <w:rPr>
          <w:lang w:val="en-AU"/>
        </w:rPr>
        <w:t xml:space="preserve">these </w:t>
      </w:r>
      <w:r w:rsidRPr="000D119D">
        <w:rPr>
          <w:lang w:val="en-AU"/>
        </w:rPr>
        <w:t xml:space="preserve">strategies. Operational relationships with police, crisis teams and </w:t>
      </w:r>
      <w:r w:rsidR="00A005B7">
        <w:rPr>
          <w:lang w:val="en-AU"/>
        </w:rPr>
        <w:t>EDs</w:t>
      </w:r>
      <w:r w:rsidRPr="000D119D">
        <w:rPr>
          <w:lang w:val="en-AU"/>
        </w:rPr>
        <w:t xml:space="preserve"> will also support management of these concerns.</w:t>
      </w:r>
    </w:p>
    <w:p w14:paraId="66772199" w14:textId="6B370E1B" w:rsidR="000A575B" w:rsidRPr="000D119D" w:rsidRDefault="000A575B" w:rsidP="000A575B">
      <w:pPr>
        <w:rPr>
          <w:lang w:val="en-AU"/>
        </w:rPr>
      </w:pPr>
      <w:r w:rsidRPr="000D119D">
        <w:rPr>
          <w:lang w:val="en-AU"/>
        </w:rPr>
        <w:t xml:space="preserve">AMHCs highlighted challenges related to operating out of an interim site. The </w:t>
      </w:r>
      <w:proofErr w:type="gramStart"/>
      <w:r w:rsidRPr="000D119D">
        <w:rPr>
          <w:lang w:val="en-AU"/>
        </w:rPr>
        <w:t>most commonly cited</w:t>
      </w:r>
      <w:proofErr w:type="gramEnd"/>
      <w:r w:rsidRPr="000D119D">
        <w:rPr>
          <w:lang w:val="en-AU"/>
        </w:rPr>
        <w:t xml:space="preserve"> of these was that being in an interim site limits their ability to promote the service, as it is likely to </w:t>
      </w:r>
      <w:r w:rsidRPr="000D119D">
        <w:rPr>
          <w:lang w:val="en-AU"/>
        </w:rPr>
        <w:lastRenderedPageBreak/>
        <w:t>confuse clients and potential clients when they move. The AMHC in the NT also commented that when they were in their interim site</w:t>
      </w:r>
      <w:r w:rsidR="00C63C9D" w:rsidRPr="000D119D">
        <w:rPr>
          <w:lang w:val="en-AU"/>
        </w:rPr>
        <w:t>,</w:t>
      </w:r>
      <w:r w:rsidRPr="000D119D">
        <w:rPr>
          <w:lang w:val="en-AU"/>
        </w:rPr>
        <w:t xml:space="preserve"> they were not able to keep to their planned opening hours. The interim sites in </w:t>
      </w:r>
      <w:r w:rsidR="0052274D">
        <w:rPr>
          <w:lang w:val="en-AU"/>
        </w:rPr>
        <w:t>TAS</w:t>
      </w:r>
      <w:r w:rsidRPr="000D119D">
        <w:rPr>
          <w:lang w:val="en-AU"/>
        </w:rPr>
        <w:t xml:space="preserve"> and ACT are too small to offer a full suite of services, so cannot yet operate to full capacity. </w:t>
      </w:r>
    </w:p>
    <w:p w14:paraId="0350E073" w14:textId="77777777" w:rsidR="000A575B" w:rsidRPr="000D119D" w:rsidRDefault="000A575B" w:rsidP="000A575B">
      <w:pPr>
        <w:rPr>
          <w:lang w:val="en-AU"/>
        </w:rPr>
      </w:pPr>
      <w:r w:rsidRPr="000D119D">
        <w:rPr>
          <w:lang w:val="en-AU"/>
        </w:rPr>
        <w:t xml:space="preserve">One positive of the interim arrangements was the ability to stage staff recruitment as capacity scales, and opportunity to observe what does and does not work in the facility before signing a lease on a permanent one. </w:t>
      </w:r>
    </w:p>
    <w:p w14:paraId="50BF448A" w14:textId="36F150C7" w:rsidR="000A575B" w:rsidRPr="000D119D" w:rsidRDefault="000A575B" w:rsidP="00BE0860">
      <w:pPr>
        <w:pStyle w:val="Heading4"/>
      </w:pPr>
      <w:r w:rsidRPr="000D119D">
        <w:t>Timeframes and short-term contracts have proved challenging for providers</w:t>
      </w:r>
    </w:p>
    <w:p w14:paraId="54B534C8" w14:textId="640C3F44" w:rsidR="000A575B" w:rsidRPr="000D119D" w:rsidRDefault="000A575B" w:rsidP="000A575B">
      <w:pPr>
        <w:rPr>
          <w:lang w:val="en-AU"/>
        </w:rPr>
      </w:pPr>
      <w:r w:rsidRPr="000D119D">
        <w:rPr>
          <w:lang w:val="en-AU"/>
        </w:rPr>
        <w:t xml:space="preserve">While PHNs found the commissioning timeframes appropriate, this was not reflected by all providers. Most commonly, timeframes provided </w:t>
      </w:r>
      <w:r w:rsidR="00EE179B" w:rsidRPr="000D119D">
        <w:rPr>
          <w:lang w:val="en-AU"/>
        </w:rPr>
        <w:t xml:space="preserve">by the PHNs </w:t>
      </w:r>
      <w:r w:rsidRPr="000D119D">
        <w:rPr>
          <w:lang w:val="en-AU"/>
        </w:rPr>
        <w:t>for AMHC establishment impacted providers’ ability to find a suitable permanent location and recruit staff, however the impact varied depending on when providers were commissioned by the PHN:</w:t>
      </w:r>
    </w:p>
    <w:p w14:paraId="46B6B48C" w14:textId="77777777" w:rsidR="000A575B" w:rsidRPr="000D119D" w:rsidRDefault="000A575B" w:rsidP="00E457E2">
      <w:pPr>
        <w:pStyle w:val="ListBullet"/>
      </w:pPr>
      <w:r w:rsidRPr="000D119D">
        <w:t xml:space="preserve">Where providers were commissioned earlier in the process, such as in NSW, there were minimal complaints about the time available for establishment, as these providers had sufficient time to recruit and onboard staff. Securing a suitable location was still a challenge, but there was sufficient time for this to be overcome. </w:t>
      </w:r>
    </w:p>
    <w:p w14:paraId="6A393B2B" w14:textId="4BB80C9F" w:rsidR="000A575B" w:rsidRPr="000D119D" w:rsidRDefault="000A575B" w:rsidP="00E457E2">
      <w:pPr>
        <w:pStyle w:val="ListBullet"/>
      </w:pPr>
      <w:r w:rsidRPr="000D119D">
        <w:t xml:space="preserve">Providers commissioned later in the process cited the short timeframes as the major reason they were unable to commence services as scheduled. For example, the </w:t>
      </w:r>
      <w:r w:rsidR="00A04E73">
        <w:t>TAS</w:t>
      </w:r>
      <w:r w:rsidRPr="000D119D">
        <w:t xml:space="preserve"> AMHC provider </w:t>
      </w:r>
      <w:r w:rsidR="004A3190" w:rsidRPr="000D119D">
        <w:t>was</w:t>
      </w:r>
      <w:r w:rsidRPr="000D119D">
        <w:t xml:space="preserve"> only advised of the tender outcome on 11 November 2021, giving them just over a month to recruit and onboard their workforce </w:t>
      </w:r>
      <w:r w:rsidRPr="000D119D" w:rsidDel="00B17B0B">
        <w:t xml:space="preserve">if they were to open </w:t>
      </w:r>
      <w:r w:rsidRPr="000D119D">
        <w:t xml:space="preserve">in December 2021. The frustration with the short timeframe available for recruitment was echoed in other jurisdictions. It was noted that a standard recruitment phase tends to take at least 12 weeks, and this should be </w:t>
      </w:r>
      <w:r w:rsidR="00606BF8" w:rsidRPr="000D119D">
        <w:t>considered</w:t>
      </w:r>
      <w:r w:rsidRPr="000D119D">
        <w:t xml:space="preserve"> for the establishment of future </w:t>
      </w:r>
      <w:proofErr w:type="spellStart"/>
      <w:r w:rsidRPr="000D119D">
        <w:t>centres</w:t>
      </w:r>
      <w:proofErr w:type="spellEnd"/>
      <w:r w:rsidRPr="000D119D">
        <w:t>.</w:t>
      </w:r>
    </w:p>
    <w:p w14:paraId="7F3EDECE" w14:textId="40117290" w:rsidR="000A575B" w:rsidRPr="000D119D" w:rsidRDefault="000A575B" w:rsidP="000A575B">
      <w:pPr>
        <w:rPr>
          <w:lang w:val="en-AU"/>
        </w:rPr>
      </w:pPr>
      <w:r w:rsidRPr="000D119D">
        <w:rPr>
          <w:lang w:val="en-AU"/>
        </w:rPr>
        <w:t xml:space="preserve">Contract length and uncertainty also raises the issue of future job security for staff, with some AMHCs highlighting concerns that their most valuable staff will be the first to leave if they feel jobs are not secure. While not yet an issue in the establishment phase, </w:t>
      </w:r>
      <w:r w:rsidR="00C93DB9" w:rsidRPr="000D119D">
        <w:rPr>
          <w:lang w:val="en-AU"/>
        </w:rPr>
        <w:t xml:space="preserve">one stakeholder suggested that </w:t>
      </w:r>
      <w:r w:rsidRPr="000D119D">
        <w:rPr>
          <w:lang w:val="en-AU"/>
        </w:rPr>
        <w:t xml:space="preserve">written confirmation of contracts extensions </w:t>
      </w:r>
      <w:proofErr w:type="gramStart"/>
      <w:r w:rsidRPr="000D119D">
        <w:rPr>
          <w:lang w:val="en-AU"/>
        </w:rPr>
        <w:t>are</w:t>
      </w:r>
      <w:proofErr w:type="gramEnd"/>
      <w:r w:rsidRPr="000D119D">
        <w:rPr>
          <w:lang w:val="en-AU"/>
        </w:rPr>
        <w:t xml:space="preserve"> needed at least six months before current contracts end to prevent this loss of staff. </w:t>
      </w:r>
    </w:p>
    <w:p w14:paraId="6D9224FD" w14:textId="6DF356B5" w:rsidR="007A5080" w:rsidRPr="000D119D" w:rsidRDefault="007A5080" w:rsidP="00BE0860">
      <w:pPr>
        <w:pStyle w:val="Heading4"/>
      </w:pPr>
      <w:r w:rsidRPr="000D119D">
        <w:t xml:space="preserve">Contract </w:t>
      </w:r>
      <w:r w:rsidR="00B73413" w:rsidRPr="000D119D">
        <w:t>uncertainty</w:t>
      </w:r>
      <w:r w:rsidRPr="000D119D">
        <w:t xml:space="preserve"> has also increased risk for providers </w:t>
      </w:r>
      <w:r w:rsidR="00B73413" w:rsidRPr="000D119D">
        <w:t>in securing appropriate facilities</w:t>
      </w:r>
    </w:p>
    <w:p w14:paraId="3BB4B681" w14:textId="256F83E3" w:rsidR="0024413F" w:rsidRPr="000D119D" w:rsidRDefault="0024413F" w:rsidP="000A575B">
      <w:pPr>
        <w:rPr>
          <w:lang w:val="en-AU"/>
        </w:rPr>
      </w:pPr>
      <w:r w:rsidRPr="000D119D">
        <w:rPr>
          <w:lang w:val="en-AU"/>
        </w:rPr>
        <w:t xml:space="preserve">Contract length </w:t>
      </w:r>
      <w:r w:rsidR="00B73413" w:rsidRPr="000D119D">
        <w:rPr>
          <w:lang w:val="en-AU"/>
        </w:rPr>
        <w:t xml:space="preserve">and uncertainty </w:t>
      </w:r>
      <w:r w:rsidRPr="000D119D">
        <w:rPr>
          <w:lang w:val="en-AU"/>
        </w:rPr>
        <w:t>has also resulted in challenges to securing a permanent facility, due to provider concerns with the risk associated with signing a lease on a large facility with a minimum leasing period without contract security. Current contracts run until 30 June 2023 (noting there has been verbal communication regarding a one</w:t>
      </w:r>
      <w:r w:rsidR="00005E89" w:rsidRPr="000D119D">
        <w:rPr>
          <w:lang w:val="en-AU"/>
        </w:rPr>
        <w:t>-</w:t>
      </w:r>
      <w:r w:rsidRPr="000D119D">
        <w:rPr>
          <w:lang w:val="en-AU"/>
        </w:rPr>
        <w:t>year extension, but this is yet to be formally confirmed).</w:t>
      </w:r>
    </w:p>
    <w:p w14:paraId="29F685CA" w14:textId="77777777" w:rsidR="000A575B" w:rsidRPr="000D119D" w:rsidRDefault="000A575B" w:rsidP="00BE0860">
      <w:pPr>
        <w:pStyle w:val="Heading4"/>
        <w:rPr>
          <w:bCs/>
        </w:rPr>
      </w:pPr>
      <w:r w:rsidRPr="000D119D">
        <w:rPr>
          <w:bCs/>
        </w:rPr>
        <w:t>There remains confusion as to data and performance management expectations</w:t>
      </w:r>
    </w:p>
    <w:p w14:paraId="71776115" w14:textId="06C4E082" w:rsidR="000A575B" w:rsidRPr="000D119D" w:rsidRDefault="000A575B" w:rsidP="000A575B">
      <w:pPr>
        <w:rPr>
          <w:lang w:val="en-AU" w:eastAsia="en-AU"/>
        </w:rPr>
      </w:pPr>
      <w:r w:rsidRPr="000D119D">
        <w:rPr>
          <w:lang w:val="en-AU" w:eastAsia="en-AU"/>
        </w:rPr>
        <w:t>During the commissioning phase, PHNs had different approaches to data and reporting plans for performance measurement, with some being more robust than others.</w:t>
      </w:r>
      <w:r w:rsidRPr="000D119D">
        <w:rPr>
          <w:lang w:val="en-AU"/>
        </w:rPr>
        <w:t xml:space="preserve"> </w:t>
      </w:r>
      <w:r w:rsidRPr="000D119D">
        <w:rPr>
          <w:lang w:val="en-AU" w:eastAsia="en-AU"/>
        </w:rPr>
        <w:t>While some of the data and reporting plans developed by the PHNs were commendable, AMHC providers have experienced frustration pertaining to a lack of clarity around data collection and reporting requirements</w:t>
      </w:r>
      <w:r w:rsidR="002862B4">
        <w:rPr>
          <w:lang w:val="en-AU" w:eastAsia="en-AU"/>
        </w:rPr>
        <w:t xml:space="preserve">. The </w:t>
      </w:r>
      <w:r w:rsidRPr="000D119D">
        <w:rPr>
          <w:lang w:val="en-AU" w:eastAsia="en-AU"/>
        </w:rPr>
        <w:t xml:space="preserve">level of concern </w:t>
      </w:r>
      <w:r w:rsidR="002862B4">
        <w:rPr>
          <w:lang w:val="en-AU" w:eastAsia="en-AU"/>
        </w:rPr>
        <w:t>differs</w:t>
      </w:r>
      <w:r w:rsidRPr="000D119D">
        <w:rPr>
          <w:lang w:val="en-AU" w:eastAsia="en-AU"/>
        </w:rPr>
        <w:t xml:space="preserve"> substantially between providers, but most have commented that the basic reporting template provided by </w:t>
      </w:r>
      <w:r w:rsidR="00641398">
        <w:rPr>
          <w:lang w:val="en-AU" w:eastAsia="en-AU"/>
        </w:rPr>
        <w:t>the Department</w:t>
      </w:r>
      <w:r w:rsidRPr="000D119D">
        <w:rPr>
          <w:lang w:val="en-AU" w:eastAsia="en-AU"/>
        </w:rPr>
        <w:t xml:space="preserve"> has been vague, and one stating that some </w:t>
      </w:r>
      <w:r w:rsidR="00D97F19" w:rsidRPr="000D119D">
        <w:rPr>
          <w:lang w:val="en-AU" w:eastAsia="en-AU"/>
        </w:rPr>
        <w:t xml:space="preserve">data </w:t>
      </w:r>
      <w:r w:rsidRPr="000D119D">
        <w:rPr>
          <w:lang w:val="en-AU" w:eastAsia="en-AU"/>
        </w:rPr>
        <w:t xml:space="preserve">points would not be possible to record. One AMHC described the lack of guidance on reporting requirements as ‘stressful’, stating that they were not clear on which minimum data set they should be using, and that they required </w:t>
      </w:r>
      <w:r w:rsidR="007B78CF">
        <w:rPr>
          <w:lang w:val="en-AU" w:eastAsia="en-AU"/>
        </w:rPr>
        <w:t xml:space="preserve">two </w:t>
      </w:r>
      <w:r w:rsidRPr="000D119D">
        <w:rPr>
          <w:lang w:val="en-AU" w:eastAsia="en-AU"/>
        </w:rPr>
        <w:t xml:space="preserve">FTE to assist with the work for the first report. Another AMHC has gained access to two minimum data sets from other programs that they anticipate may be </w:t>
      </w:r>
      <w:proofErr w:type="gramStart"/>
      <w:r w:rsidRPr="000D119D">
        <w:rPr>
          <w:lang w:val="en-AU" w:eastAsia="en-AU"/>
        </w:rPr>
        <w:t>similar to</w:t>
      </w:r>
      <w:proofErr w:type="gramEnd"/>
      <w:r w:rsidRPr="000D119D">
        <w:rPr>
          <w:lang w:val="en-AU" w:eastAsia="en-AU"/>
        </w:rPr>
        <w:t xml:space="preserve"> what </w:t>
      </w:r>
      <w:r w:rsidR="00641398">
        <w:rPr>
          <w:lang w:val="en-AU" w:eastAsia="en-AU"/>
        </w:rPr>
        <w:t>the Department</w:t>
      </w:r>
      <w:r w:rsidRPr="000D119D">
        <w:rPr>
          <w:lang w:val="en-AU" w:eastAsia="en-AU"/>
        </w:rPr>
        <w:t xml:space="preserve"> requires in the future and are collecting data based on this to avoid having to collect retrospectively. Other centres, while still not clear on requirements, are not prioritising data collection, primarily due to having more pressing matters on hand</w:t>
      </w:r>
      <w:r w:rsidR="007E2FA4" w:rsidRPr="000D119D">
        <w:rPr>
          <w:lang w:val="en-AU" w:eastAsia="en-AU"/>
        </w:rPr>
        <w:t xml:space="preserve"> in getting the </w:t>
      </w:r>
      <w:r w:rsidR="007E2FA4" w:rsidRPr="000D119D">
        <w:rPr>
          <w:lang w:val="en-AU" w:eastAsia="en-AU"/>
        </w:rPr>
        <w:lastRenderedPageBreak/>
        <w:t xml:space="preserve">service </w:t>
      </w:r>
      <w:r w:rsidR="00014513" w:rsidRPr="000D119D">
        <w:rPr>
          <w:lang w:val="en-AU" w:eastAsia="en-AU"/>
        </w:rPr>
        <w:t>up to steady state operations</w:t>
      </w:r>
      <w:r w:rsidRPr="000D119D">
        <w:rPr>
          <w:lang w:val="en-AU" w:eastAsia="en-AU"/>
        </w:rPr>
        <w:t xml:space="preserve">, with one relying on a program run by their PHN to collect the data. </w:t>
      </w:r>
    </w:p>
    <w:p w14:paraId="0BD46682" w14:textId="72BD43C5" w:rsidR="000A575B" w:rsidRPr="000D119D" w:rsidRDefault="000A575B" w:rsidP="000A575B">
      <w:pPr>
        <w:rPr>
          <w:lang w:val="en-AU" w:eastAsia="en-AU"/>
        </w:rPr>
      </w:pPr>
      <w:r w:rsidRPr="000D119D">
        <w:rPr>
          <w:lang w:val="en-AU" w:eastAsia="en-AU"/>
        </w:rPr>
        <w:t xml:space="preserve">This confusion and concern from AMHCs providers regarding performance management reporting indicates misalignment between </w:t>
      </w:r>
      <w:r w:rsidR="00641398">
        <w:rPr>
          <w:lang w:val="en-AU" w:eastAsia="en-AU"/>
        </w:rPr>
        <w:t>the Department</w:t>
      </w:r>
      <w:r w:rsidRPr="000D119D">
        <w:rPr>
          <w:lang w:val="en-AU" w:eastAsia="en-AU"/>
        </w:rPr>
        <w:t xml:space="preserve">, PHNs and centre managers in this space. It also creates a risk that initial data collected through the establishment phase will be inconsistent or incomplete, which will be </w:t>
      </w:r>
      <w:r w:rsidR="005F6C9A" w:rsidRPr="000D119D">
        <w:rPr>
          <w:lang w:val="en-AU" w:eastAsia="en-AU"/>
        </w:rPr>
        <w:t xml:space="preserve">difficult and resource intensive </w:t>
      </w:r>
      <w:r w:rsidR="000032F9" w:rsidRPr="000D119D">
        <w:rPr>
          <w:lang w:val="en-AU" w:eastAsia="en-AU"/>
        </w:rPr>
        <w:t>t</w:t>
      </w:r>
      <w:r w:rsidRPr="000D119D">
        <w:rPr>
          <w:lang w:val="en-AU" w:eastAsia="en-AU"/>
        </w:rPr>
        <w:t>o rectify</w:t>
      </w:r>
      <w:r w:rsidR="00BD09BD" w:rsidRPr="000D119D">
        <w:rPr>
          <w:lang w:val="en-AU" w:eastAsia="en-AU"/>
        </w:rPr>
        <w:t xml:space="preserve"> retrospectively</w:t>
      </w:r>
      <w:r w:rsidRPr="000D119D">
        <w:rPr>
          <w:lang w:val="en-AU" w:eastAsia="en-AU"/>
        </w:rPr>
        <w:t xml:space="preserve">. As well as demonstrating a need for </w:t>
      </w:r>
      <w:r w:rsidR="00641398">
        <w:rPr>
          <w:lang w:val="en-AU" w:eastAsia="en-AU"/>
        </w:rPr>
        <w:t>the Department</w:t>
      </w:r>
      <w:r w:rsidRPr="000D119D">
        <w:rPr>
          <w:lang w:val="en-AU" w:eastAsia="en-AU"/>
        </w:rPr>
        <w:t xml:space="preserve"> to provide clearer guidance on the approach to, and expectations of, performance reporting, this issue raises the necessity to significantly improve information flow from </w:t>
      </w:r>
      <w:r w:rsidR="00641398">
        <w:rPr>
          <w:lang w:val="en-AU" w:eastAsia="en-AU"/>
        </w:rPr>
        <w:t>the Department</w:t>
      </w:r>
      <w:r w:rsidRPr="000D119D">
        <w:rPr>
          <w:lang w:val="en-AU" w:eastAsia="en-AU"/>
        </w:rPr>
        <w:t xml:space="preserve"> to the AMHC providers, whether this is done directly or through PHNs.</w:t>
      </w:r>
      <w:r w:rsidR="00622D25" w:rsidRPr="000D119D">
        <w:rPr>
          <w:lang w:val="en-AU" w:eastAsia="en-AU"/>
        </w:rPr>
        <w:t xml:space="preserve"> </w:t>
      </w:r>
    </w:p>
    <w:p w14:paraId="6E6D30B6" w14:textId="01836EF3" w:rsidR="000A575B" w:rsidRPr="000D119D" w:rsidRDefault="000A575B" w:rsidP="00BE0860">
      <w:pPr>
        <w:pStyle w:val="Heading4"/>
      </w:pPr>
      <w:r w:rsidRPr="000D119D">
        <w:t>The impact of COVID</w:t>
      </w:r>
      <w:r w:rsidR="007B78CF">
        <w:t>-19</w:t>
      </w:r>
      <w:r w:rsidRPr="000D119D">
        <w:t xml:space="preserve"> varied</w:t>
      </w:r>
    </w:p>
    <w:p w14:paraId="6DF2ABC1" w14:textId="77777777" w:rsidR="000A575B" w:rsidRPr="000D119D" w:rsidRDefault="000A575B" w:rsidP="000A575B">
      <w:pPr>
        <w:rPr>
          <w:lang w:val="en-AU" w:eastAsia="en-AU"/>
        </w:rPr>
      </w:pPr>
      <w:r w:rsidRPr="000D119D">
        <w:rPr>
          <w:lang w:val="en-AU" w:eastAsia="en-AU"/>
        </w:rPr>
        <w:t>The impact of the coronavirus pandemic has varied across jurisdictions, with some of the effects including:</w:t>
      </w:r>
    </w:p>
    <w:p w14:paraId="11B3EBD9" w14:textId="06766813" w:rsidR="000A575B" w:rsidRPr="000D119D" w:rsidRDefault="00B5491D" w:rsidP="00E457E2">
      <w:pPr>
        <w:pStyle w:val="ListBullet"/>
      </w:pPr>
      <w:r w:rsidRPr="00B5491D">
        <w:t xml:space="preserve">WA Primary Health Alliance </w:t>
      </w:r>
      <w:r>
        <w:t>(</w:t>
      </w:r>
      <w:r w:rsidR="000A575B" w:rsidRPr="000D119D">
        <w:t>WAPHA</w:t>
      </w:r>
      <w:r>
        <w:t>)</w:t>
      </w:r>
      <w:r w:rsidR="000A575B" w:rsidRPr="000D119D">
        <w:t xml:space="preserve"> found that hard border closures have compounded the issue of mental health staff shortages</w:t>
      </w:r>
      <w:r>
        <w:t>.</w:t>
      </w:r>
    </w:p>
    <w:p w14:paraId="3E6BAA7D" w14:textId="0757DDCE" w:rsidR="000A575B" w:rsidRPr="000D119D" w:rsidRDefault="000A575B" w:rsidP="00E457E2">
      <w:pPr>
        <w:pStyle w:val="ListBullet"/>
      </w:pPr>
      <w:r w:rsidRPr="000D119D">
        <w:t xml:space="preserve">The provider for the AMHC in </w:t>
      </w:r>
      <w:r w:rsidR="0052274D">
        <w:t>TAS</w:t>
      </w:r>
      <w:r w:rsidRPr="000D119D">
        <w:t xml:space="preserve"> highlighted that border closures made it difficult to travel to </w:t>
      </w:r>
      <w:r w:rsidR="0052274D">
        <w:t>TAS</w:t>
      </w:r>
      <w:r w:rsidRPr="000D119D">
        <w:t xml:space="preserve"> (as they are based interstate) to develop partnerships with brokered service providers. The difficultly in developing these relationships has continued due to many staff members of service provider partners contracting </w:t>
      </w:r>
      <w:r w:rsidR="00B5491D" w:rsidRPr="000D119D">
        <w:t>COVID</w:t>
      </w:r>
      <w:r w:rsidRPr="000D119D">
        <w:t>-19 at the start of service delivery. The AMHC centre manager also commented that their service delivery partners are struggling to recruit, due to the impact of the pandemic on the temporary workforce.</w:t>
      </w:r>
    </w:p>
    <w:p w14:paraId="43786244" w14:textId="13BB5599" w:rsidR="000A575B" w:rsidRPr="000D119D" w:rsidRDefault="005305CB" w:rsidP="00E457E2">
      <w:pPr>
        <w:pStyle w:val="ListBullet"/>
      </w:pPr>
      <w:r w:rsidRPr="005305CB">
        <w:t xml:space="preserve">Capital Health Network </w:t>
      </w:r>
      <w:r>
        <w:t>(</w:t>
      </w:r>
      <w:r w:rsidR="000A575B" w:rsidRPr="000D119D">
        <w:t>CHN</w:t>
      </w:r>
      <w:r>
        <w:t>)</w:t>
      </w:r>
      <w:r w:rsidR="000A575B" w:rsidRPr="000D119D">
        <w:t xml:space="preserve"> found the virtual engagement necessitated by lockdowns resulted in lower engagement </w:t>
      </w:r>
      <w:r w:rsidR="00DA0C20" w:rsidRPr="000D119D">
        <w:t xml:space="preserve">with stakeholders </w:t>
      </w:r>
      <w:r w:rsidR="000A575B" w:rsidRPr="000D119D">
        <w:t xml:space="preserve">during the establishment phase. </w:t>
      </w:r>
    </w:p>
    <w:p w14:paraId="7C5E90E8" w14:textId="2C4F3FD0" w:rsidR="000A575B" w:rsidRPr="000D119D" w:rsidRDefault="000A575B" w:rsidP="00E457E2">
      <w:pPr>
        <w:pStyle w:val="ListBullet"/>
      </w:pPr>
      <w:r w:rsidRPr="000D119D">
        <w:t xml:space="preserve">The volatile </w:t>
      </w:r>
      <w:r w:rsidR="0083705A">
        <w:t>COVID-19</w:t>
      </w:r>
      <w:r w:rsidRPr="000D119D">
        <w:t xml:space="preserve"> situation in Melbourne has meant that staff cannot attend the clinic full time, however this has not been the primary issue in their establishment, as many clients prefer to meet via video conference where masks are </w:t>
      </w:r>
      <w:r w:rsidR="003B7105" w:rsidRPr="000D119D">
        <w:t xml:space="preserve">not </w:t>
      </w:r>
      <w:proofErr w:type="gramStart"/>
      <w:r w:rsidRPr="000D119D">
        <w:t>required</w:t>
      </w:r>
      <w:proofErr w:type="gramEnd"/>
      <w:r w:rsidRPr="000D119D">
        <w:t xml:space="preserve"> and they can see the clinician</w:t>
      </w:r>
      <w:r w:rsidR="001B57A3" w:rsidRPr="000D119D">
        <w:t>’</w:t>
      </w:r>
      <w:r w:rsidRPr="000D119D">
        <w:t xml:space="preserve">s face. </w:t>
      </w:r>
    </w:p>
    <w:p w14:paraId="52EA1C0D" w14:textId="6EE5C3D7" w:rsidR="000A575B" w:rsidRPr="000D119D" w:rsidRDefault="000A575B" w:rsidP="000A575B">
      <w:pPr>
        <w:rPr>
          <w:lang w:val="en-AU" w:eastAsia="en-AU"/>
        </w:rPr>
      </w:pPr>
      <w:r w:rsidRPr="000D119D">
        <w:rPr>
          <w:lang w:val="en-AU" w:eastAsia="en-AU"/>
        </w:rPr>
        <w:t xml:space="preserve">Other PHNs and centre managers did not report any adverse effects from the pandemic, and were able to successfully complete the commissioning and establishment process, despite the severe lockdowns in NSW and VIC. Thus, </w:t>
      </w:r>
      <w:r w:rsidR="002704D0" w:rsidRPr="000D119D">
        <w:rPr>
          <w:lang w:val="en-AU" w:eastAsia="en-AU"/>
        </w:rPr>
        <w:t>while COVID</w:t>
      </w:r>
      <w:r w:rsidR="000479EC">
        <w:rPr>
          <w:lang w:val="en-AU" w:eastAsia="en-AU"/>
        </w:rPr>
        <w:t>-19</w:t>
      </w:r>
      <w:r w:rsidR="002704D0" w:rsidRPr="000D119D">
        <w:rPr>
          <w:lang w:val="en-AU" w:eastAsia="en-AU"/>
        </w:rPr>
        <w:t xml:space="preserve"> </w:t>
      </w:r>
      <w:r w:rsidR="00FB6063" w:rsidRPr="000D119D">
        <w:rPr>
          <w:lang w:val="en-AU" w:eastAsia="en-AU"/>
        </w:rPr>
        <w:t>did have some impacts on specific AMHCs, it should not be considered an</w:t>
      </w:r>
      <w:r w:rsidR="002704D0" w:rsidRPr="000D119D">
        <w:rPr>
          <w:lang w:val="en-AU" w:eastAsia="en-AU"/>
        </w:rPr>
        <w:t xml:space="preserve"> </w:t>
      </w:r>
      <w:r w:rsidR="00FB6063" w:rsidRPr="000D119D">
        <w:rPr>
          <w:lang w:val="en-AU" w:eastAsia="en-AU"/>
        </w:rPr>
        <w:t xml:space="preserve">insurmountable factor </w:t>
      </w:r>
      <w:r w:rsidRPr="000D119D">
        <w:rPr>
          <w:lang w:val="en-AU" w:eastAsia="en-AU"/>
        </w:rPr>
        <w:t>in the</w:t>
      </w:r>
      <w:r w:rsidR="00FB6063" w:rsidRPr="000D119D">
        <w:rPr>
          <w:lang w:val="en-AU" w:eastAsia="en-AU"/>
        </w:rPr>
        <w:t xml:space="preserve"> timely</w:t>
      </w:r>
      <w:r w:rsidRPr="000D119D">
        <w:rPr>
          <w:lang w:val="en-AU" w:eastAsia="en-AU"/>
        </w:rPr>
        <w:t xml:space="preserve"> establishment of the AMHCs.</w:t>
      </w:r>
    </w:p>
    <w:p w14:paraId="7A42FDA7" w14:textId="408FF1DD" w:rsidR="000A575B" w:rsidRPr="0041538C" w:rsidRDefault="000A575B" w:rsidP="000A575B">
      <w:pPr>
        <w:pStyle w:val="Heading3"/>
      </w:pPr>
      <w:bookmarkStart w:id="145" w:name="_Ref96958562"/>
      <w:bookmarkStart w:id="146" w:name="_Toc99650369"/>
      <w:r w:rsidRPr="0041538C">
        <w:t>Workforce</w:t>
      </w:r>
      <w:bookmarkEnd w:id="145"/>
      <w:bookmarkEnd w:id="146"/>
    </w:p>
    <w:p w14:paraId="7709F530" w14:textId="50225A51" w:rsidR="000A575B" w:rsidRPr="000D119D" w:rsidRDefault="000A575B" w:rsidP="00392EFD">
      <w:pPr>
        <w:pStyle w:val="Heading5"/>
        <w:numPr>
          <w:ilvl w:val="0"/>
          <w:numId w:val="0"/>
        </w:numPr>
      </w:pPr>
      <w:r w:rsidRPr="000D119D">
        <w:t>Peer workers are a core component of the service model</w:t>
      </w:r>
    </w:p>
    <w:p w14:paraId="541026A6" w14:textId="40F6D4CB" w:rsidR="000A575B" w:rsidRPr="000D119D" w:rsidRDefault="000A575B" w:rsidP="000A575B">
      <w:pPr>
        <w:rPr>
          <w:lang w:val="en-AU"/>
        </w:rPr>
      </w:pPr>
      <w:r w:rsidRPr="000D119D">
        <w:rPr>
          <w:lang w:val="en-AU"/>
        </w:rPr>
        <w:t>Most AMHCs have recruited a workforce that consists of approximately 50</w:t>
      </w:r>
      <w:r w:rsidR="00B72231" w:rsidRPr="00B72231">
        <w:t xml:space="preserve"> </w:t>
      </w:r>
      <w:r w:rsidR="00B72231">
        <w:t>per cent</w:t>
      </w:r>
      <w:r w:rsidRPr="000D119D">
        <w:rPr>
          <w:lang w:val="en-AU"/>
        </w:rPr>
        <w:t xml:space="preserve"> peer workers. It was important that this workforce model was carefully planned and not considered as </w:t>
      </w:r>
      <w:r w:rsidR="00B14792" w:rsidRPr="000D119D">
        <w:rPr>
          <w:lang w:val="en-AU"/>
        </w:rPr>
        <w:t xml:space="preserve">a </w:t>
      </w:r>
      <w:r w:rsidR="000479EC">
        <w:rPr>
          <w:lang w:val="en-AU"/>
        </w:rPr>
        <w:t>‘</w:t>
      </w:r>
      <w:r w:rsidR="00B14792" w:rsidRPr="000D119D">
        <w:rPr>
          <w:lang w:val="en-AU"/>
        </w:rPr>
        <w:t>cheap</w:t>
      </w:r>
      <w:r w:rsidR="000479EC">
        <w:rPr>
          <w:lang w:val="en-AU"/>
        </w:rPr>
        <w:t>’</w:t>
      </w:r>
      <w:r w:rsidR="00B14792" w:rsidRPr="000D119D">
        <w:rPr>
          <w:lang w:val="en-AU"/>
        </w:rPr>
        <w:t xml:space="preserve"> substitute for</w:t>
      </w:r>
      <w:r w:rsidRPr="000D119D">
        <w:rPr>
          <w:lang w:val="en-AU"/>
        </w:rPr>
        <w:t xml:space="preserve"> clinical workforce</w:t>
      </w:r>
      <w:r w:rsidR="00B14792" w:rsidRPr="000D119D">
        <w:rPr>
          <w:lang w:val="en-AU"/>
        </w:rPr>
        <w:t xml:space="preserve"> but </w:t>
      </w:r>
      <w:r w:rsidR="007465C7" w:rsidRPr="000D119D">
        <w:rPr>
          <w:lang w:val="en-AU"/>
        </w:rPr>
        <w:t xml:space="preserve">as </w:t>
      </w:r>
      <w:r w:rsidR="00B14792" w:rsidRPr="000D119D">
        <w:rPr>
          <w:lang w:val="en-AU"/>
        </w:rPr>
        <w:t>a valuable complement</w:t>
      </w:r>
      <w:r w:rsidR="007465C7" w:rsidRPr="000D119D">
        <w:rPr>
          <w:lang w:val="en-AU"/>
        </w:rPr>
        <w:t xml:space="preserve"> to enhance client experience</w:t>
      </w:r>
      <w:r w:rsidRPr="000D119D">
        <w:rPr>
          <w:lang w:val="en-AU"/>
        </w:rPr>
        <w:t>. Peer workforces experience unique challenges related to stigma, discrimination and lack of infrastructure (e.g., professional supports or development, legitimacy)</w:t>
      </w:r>
      <w:r w:rsidRPr="000D119D">
        <w:rPr>
          <w:rStyle w:val="FootnoteReference"/>
          <w:lang w:val="en-AU"/>
        </w:rPr>
        <w:footnoteReference w:id="78"/>
      </w:r>
      <w:r w:rsidRPr="000D119D">
        <w:rPr>
          <w:lang w:val="en-AU"/>
        </w:rPr>
        <w:t xml:space="preserve"> and thus it was important that AMHCs were prepared with effective governance, supervision and support to unlock the potential of these workforces, and to ‘promote, support and empower lived experience </w:t>
      </w:r>
      <w:proofErr w:type="gramStart"/>
      <w:r w:rsidRPr="000D119D">
        <w:rPr>
          <w:lang w:val="en-AU"/>
        </w:rPr>
        <w:t>workforces’</w:t>
      </w:r>
      <w:proofErr w:type="gramEnd"/>
      <w:r w:rsidRPr="000D119D">
        <w:rPr>
          <w:lang w:val="en-AU"/>
        </w:rPr>
        <w:t>.</w:t>
      </w:r>
      <w:r w:rsidRPr="000D119D">
        <w:rPr>
          <w:rStyle w:val="FootnoteReference"/>
          <w:lang w:val="en-AU"/>
        </w:rPr>
        <w:t xml:space="preserve"> </w:t>
      </w:r>
      <w:r w:rsidRPr="000D119D">
        <w:rPr>
          <w:rStyle w:val="FootnoteReference"/>
          <w:lang w:val="en-AU"/>
        </w:rPr>
        <w:footnoteReference w:id="79"/>
      </w:r>
      <w:r w:rsidRPr="000D119D">
        <w:rPr>
          <w:lang w:val="en-AU"/>
        </w:rPr>
        <w:t xml:space="preserve"> </w:t>
      </w:r>
    </w:p>
    <w:p w14:paraId="0AA7A405" w14:textId="321A984B" w:rsidR="000A575B" w:rsidRPr="000D119D" w:rsidRDefault="000A575B" w:rsidP="000A575B">
      <w:pPr>
        <w:pStyle w:val="Listnumbered"/>
        <w:numPr>
          <w:ilvl w:val="0"/>
          <w:numId w:val="0"/>
        </w:numPr>
        <w:rPr>
          <w:lang w:val="en-AU"/>
        </w:rPr>
      </w:pPr>
      <w:r w:rsidRPr="000D119D">
        <w:rPr>
          <w:lang w:val="en-AU"/>
        </w:rPr>
        <w:t>Prior to the commencement, SA Health and PHNs reported high confidence in Neami National’s governance structure and their ability to enable a peer workforce. Where providers had less experience in this area, peer workforce governance has been identified as an area that will require close attention.</w:t>
      </w:r>
      <w:r w:rsidR="001363DF" w:rsidRPr="000D119D">
        <w:rPr>
          <w:lang w:val="en-AU"/>
        </w:rPr>
        <w:t xml:space="preserve"> </w:t>
      </w:r>
      <w:r w:rsidRPr="000D119D">
        <w:rPr>
          <w:lang w:val="en-AU"/>
        </w:rPr>
        <w:t xml:space="preserve">Stakeholder consultations have not identified any key concerns to date. There is an </w:t>
      </w:r>
      <w:r w:rsidRPr="000D119D">
        <w:rPr>
          <w:lang w:val="en-AU"/>
        </w:rPr>
        <w:lastRenderedPageBreak/>
        <w:t xml:space="preserve">opportunity here to share governance models, lessons learnt and supervision frameworks across AMHCs to facilitate capability development in this area. </w:t>
      </w:r>
    </w:p>
    <w:p w14:paraId="5C4C1501" w14:textId="1904C548" w:rsidR="000A575B" w:rsidRPr="000D119D" w:rsidRDefault="000A575B" w:rsidP="000A575B">
      <w:pPr>
        <w:rPr>
          <w:lang w:val="en-AU"/>
        </w:rPr>
      </w:pPr>
      <w:r w:rsidRPr="000D119D">
        <w:rPr>
          <w:lang w:val="en-AU"/>
        </w:rPr>
        <w:t>Overall, AMHCs have reflected positively on workforce operations to date, though they remain attuned to potential operational and culture tensions as both clinical and peer staff adapt to new ways of working. The Victoria AMHC is particularly focused on this issue. The AMHC has introduced a peer</w:t>
      </w:r>
      <w:r w:rsidR="000479EC">
        <w:rPr>
          <w:lang w:val="en-AU"/>
        </w:rPr>
        <w:t>-</w:t>
      </w:r>
      <w:r w:rsidR="00A532F9">
        <w:rPr>
          <w:lang w:val="en-AU"/>
        </w:rPr>
        <w:t>lead</w:t>
      </w:r>
      <w:r w:rsidR="00A532F9" w:rsidRPr="000D119D">
        <w:rPr>
          <w:lang w:val="en-AU"/>
        </w:rPr>
        <w:t xml:space="preserve"> </w:t>
      </w:r>
      <w:r w:rsidRPr="000D119D">
        <w:rPr>
          <w:lang w:val="en-AU"/>
        </w:rPr>
        <w:t xml:space="preserve">to elevate the role of peer workers in leadership positions and provide a clear career path for peer workers. The AMHC is focussed on avoiding hierarchy between peer and clinical workers, by encouraging the different roles to work together and learn from each other. Two initial issues that the AMHC is </w:t>
      </w:r>
      <w:r w:rsidR="000479EC" w:rsidRPr="000D119D">
        <w:rPr>
          <w:lang w:val="en-AU"/>
        </w:rPr>
        <w:t>grappling</w:t>
      </w:r>
      <w:r w:rsidRPr="000D119D">
        <w:rPr>
          <w:lang w:val="en-AU"/>
        </w:rPr>
        <w:t xml:space="preserve"> with are:</w:t>
      </w:r>
    </w:p>
    <w:p w14:paraId="6DCEA240" w14:textId="64B1F745" w:rsidR="000A575B" w:rsidRPr="000D119D" w:rsidRDefault="000479EC" w:rsidP="006C2E61">
      <w:pPr>
        <w:pStyle w:val="Listnumbered"/>
        <w:numPr>
          <w:ilvl w:val="0"/>
          <w:numId w:val="14"/>
        </w:numPr>
        <w:rPr>
          <w:lang w:val="en-AU"/>
        </w:rPr>
      </w:pPr>
      <w:r>
        <w:rPr>
          <w:lang w:val="en-AU"/>
        </w:rPr>
        <w:t>T</w:t>
      </w:r>
      <w:r w:rsidR="000A575B" w:rsidRPr="000D119D">
        <w:rPr>
          <w:lang w:val="en-AU"/>
        </w:rPr>
        <w:t>he pay gap variance between the two roles</w:t>
      </w:r>
      <w:r>
        <w:rPr>
          <w:lang w:val="en-AU"/>
        </w:rPr>
        <w:t>.</w:t>
      </w:r>
    </w:p>
    <w:p w14:paraId="2B3357C1" w14:textId="60A7193D" w:rsidR="000A575B" w:rsidRPr="000D119D" w:rsidRDefault="000479EC" w:rsidP="006C2E61">
      <w:pPr>
        <w:pStyle w:val="Listnumbered"/>
        <w:numPr>
          <w:ilvl w:val="0"/>
          <w:numId w:val="14"/>
        </w:numPr>
        <w:rPr>
          <w:lang w:val="en-AU"/>
        </w:rPr>
      </w:pPr>
      <w:r>
        <w:rPr>
          <w:lang w:val="en-AU"/>
        </w:rPr>
        <w:t>A</w:t>
      </w:r>
      <w:r w:rsidR="000A575B" w:rsidRPr="000D119D">
        <w:rPr>
          <w:lang w:val="en-AU"/>
        </w:rPr>
        <w:t>ppropriately matching and managing risk involved in certain client decisions, for example surrounding a client who may be suicidal, in which cases the decisions of the clinical worker are paramount.</w:t>
      </w:r>
    </w:p>
    <w:p w14:paraId="6BBA4D2B" w14:textId="77777777" w:rsidR="000A575B" w:rsidRPr="000D119D" w:rsidRDefault="000A575B" w:rsidP="000A575B">
      <w:pPr>
        <w:pStyle w:val="Heading5"/>
      </w:pPr>
      <w:r w:rsidRPr="000D119D">
        <w:t>Nation-wide staffing constraints were effectively navigated in the establishment phase</w:t>
      </w:r>
    </w:p>
    <w:p w14:paraId="652F6474" w14:textId="523EFA0A" w:rsidR="000A575B" w:rsidRPr="000D119D" w:rsidRDefault="000A575B" w:rsidP="000A575B">
      <w:pPr>
        <w:rPr>
          <w:lang w:val="en-AU"/>
        </w:rPr>
      </w:pPr>
      <w:r w:rsidRPr="000D119D">
        <w:rPr>
          <w:lang w:val="en-AU"/>
        </w:rPr>
        <w:t xml:space="preserve">During the establishment phase, PHNs consistently noted the pressure of workforce shortages, including concerns about the ‘poaching’ of staff from other local services. Similarly, many </w:t>
      </w:r>
      <w:r w:rsidR="000479EC" w:rsidRPr="000D119D">
        <w:rPr>
          <w:lang w:val="en-AU"/>
        </w:rPr>
        <w:t>state</w:t>
      </w:r>
      <w:r w:rsidRPr="000D119D">
        <w:rPr>
          <w:lang w:val="en-AU"/>
        </w:rPr>
        <w:t xml:space="preserve"> and </w:t>
      </w:r>
      <w:r w:rsidR="000479EC" w:rsidRPr="000D119D">
        <w:rPr>
          <w:lang w:val="en-AU"/>
        </w:rPr>
        <w:t>ter</w:t>
      </w:r>
      <w:r w:rsidRPr="000D119D">
        <w:rPr>
          <w:lang w:val="en-AU"/>
        </w:rPr>
        <w:t xml:space="preserve">ritory stakeholders raised workforce as their greatest concern in the standing up of the AMHCs, due to the number of competing mental health services and the very limited numbers of staff available, a situation that has been compounded by hard border restrictions. </w:t>
      </w:r>
    </w:p>
    <w:p w14:paraId="662D9D77" w14:textId="77777777" w:rsidR="000A575B" w:rsidRPr="000D119D" w:rsidRDefault="000A575B" w:rsidP="000A575B">
      <w:pPr>
        <w:rPr>
          <w:lang w:val="en-AU"/>
        </w:rPr>
      </w:pPr>
      <w:r w:rsidRPr="000D119D">
        <w:rPr>
          <w:lang w:val="en-AU"/>
        </w:rPr>
        <w:t xml:space="preserve">Impressively, AMHCs successfully navigated the challenge of recruitment in a complex market in </w:t>
      </w:r>
      <w:proofErr w:type="gramStart"/>
      <w:r w:rsidRPr="000D119D">
        <w:rPr>
          <w:lang w:val="en-AU"/>
        </w:rPr>
        <w:t>a number of</w:t>
      </w:r>
      <w:proofErr w:type="gramEnd"/>
      <w:r w:rsidRPr="000D119D">
        <w:rPr>
          <w:lang w:val="en-AU"/>
        </w:rPr>
        <w:t xml:space="preserve"> ways, including:</w:t>
      </w:r>
    </w:p>
    <w:p w14:paraId="7EFECA93" w14:textId="1D7C998E" w:rsidR="000A575B" w:rsidRPr="000D119D" w:rsidRDefault="000A575B" w:rsidP="00E457E2">
      <w:pPr>
        <w:pStyle w:val="ListBullet"/>
      </w:pPr>
      <w:r w:rsidRPr="000D119D">
        <w:rPr>
          <w:rFonts w:asciiTheme="majorHAnsi" w:hAnsiTheme="majorHAnsi" w:cstheme="majorHAnsi"/>
        </w:rPr>
        <w:t xml:space="preserve">Using a peer-led workforce to </w:t>
      </w:r>
      <w:r w:rsidR="00283661" w:rsidRPr="000D119D">
        <w:rPr>
          <w:rFonts w:asciiTheme="majorHAnsi" w:hAnsiTheme="majorHAnsi" w:cstheme="majorHAnsi"/>
        </w:rPr>
        <w:t>complement clinic</w:t>
      </w:r>
      <w:r w:rsidR="00B529B8" w:rsidRPr="000D119D">
        <w:rPr>
          <w:rFonts w:asciiTheme="majorHAnsi" w:hAnsiTheme="majorHAnsi" w:cstheme="majorHAnsi"/>
        </w:rPr>
        <w:t>al and allied professional staff</w:t>
      </w:r>
      <w:r w:rsidRPr="000D119D">
        <w:rPr>
          <w:rFonts w:asciiTheme="majorHAnsi" w:hAnsiTheme="majorHAnsi" w:cstheme="majorHAnsi"/>
        </w:rPr>
        <w:t>.</w:t>
      </w:r>
      <w:r w:rsidRPr="000D119D">
        <w:rPr>
          <w:b/>
          <w:bCs/>
        </w:rPr>
        <w:t xml:space="preserve"> </w:t>
      </w:r>
      <w:r w:rsidRPr="000D119D">
        <w:t>As outlined above, most AMHCs have recruited a workforce that consists of approximately 50</w:t>
      </w:r>
      <w:r w:rsidR="00B72231" w:rsidRPr="00B72231">
        <w:t xml:space="preserve"> </w:t>
      </w:r>
      <w:r w:rsidR="00B72231">
        <w:t>per cent</w:t>
      </w:r>
      <w:r w:rsidRPr="000D119D">
        <w:t xml:space="preserve"> peer workers to </w:t>
      </w:r>
      <w:r w:rsidR="00B529B8" w:rsidRPr="000D119D">
        <w:t xml:space="preserve">enhance the experience of clients </w:t>
      </w:r>
      <w:r w:rsidR="0043597C" w:rsidRPr="000D119D">
        <w:t>and provide them with a safe and effective therapeutic relationship</w:t>
      </w:r>
      <w:r w:rsidR="00BE6B47" w:rsidRPr="000D119D">
        <w:t xml:space="preserve"> and guide them through their journey with the service</w:t>
      </w:r>
      <w:r w:rsidRPr="000D119D">
        <w:t xml:space="preserve">. </w:t>
      </w:r>
      <w:r w:rsidR="00BE6B47" w:rsidRPr="000D119D">
        <w:t xml:space="preserve">In this regard, the peer workers </w:t>
      </w:r>
      <w:proofErr w:type="gramStart"/>
      <w:r w:rsidR="00415033" w:rsidRPr="000D119D">
        <w:t>are able to</w:t>
      </w:r>
      <w:proofErr w:type="gramEnd"/>
      <w:r w:rsidR="00415033" w:rsidRPr="000D119D">
        <w:t xml:space="preserve"> provide a service experience that clinical and allied professionals cannot, thus helping those professionals </w:t>
      </w:r>
      <w:r w:rsidR="00822C71" w:rsidRPr="000D119D">
        <w:t>to achieve improved mental health outcomes for clients.</w:t>
      </w:r>
    </w:p>
    <w:p w14:paraId="0FAE5C45" w14:textId="77777777" w:rsidR="000A575B" w:rsidRPr="000D119D" w:rsidRDefault="000A575B" w:rsidP="00E457E2">
      <w:pPr>
        <w:pStyle w:val="ListBullet"/>
      </w:pPr>
      <w:r w:rsidRPr="000D119D">
        <w:rPr>
          <w:rFonts w:asciiTheme="majorHAnsi" w:hAnsiTheme="majorHAnsi" w:cstheme="majorHAnsi"/>
        </w:rPr>
        <w:t xml:space="preserve">Selecting a lead provider who could </w:t>
      </w:r>
      <w:proofErr w:type="spellStart"/>
      <w:r w:rsidRPr="000D119D">
        <w:rPr>
          <w:rFonts w:asciiTheme="majorHAnsi" w:hAnsiTheme="majorHAnsi" w:cstheme="majorHAnsi"/>
        </w:rPr>
        <w:t>utilise</w:t>
      </w:r>
      <w:proofErr w:type="spellEnd"/>
      <w:r w:rsidRPr="000D119D">
        <w:rPr>
          <w:rFonts w:asciiTheme="majorHAnsi" w:hAnsiTheme="majorHAnsi" w:cstheme="majorHAnsi"/>
        </w:rPr>
        <w:t xml:space="preserve"> existing clinical staff</w:t>
      </w:r>
      <w:r w:rsidRPr="00806438">
        <w:rPr>
          <w:rFonts w:asciiTheme="majorHAnsi" w:hAnsiTheme="majorHAnsi" w:cstheme="majorHAnsi"/>
        </w:rPr>
        <w:t>.</w:t>
      </w:r>
      <w:r w:rsidRPr="000D119D">
        <w:rPr>
          <w:b/>
          <w:bCs/>
        </w:rPr>
        <w:t xml:space="preserve"> </w:t>
      </w:r>
      <w:r w:rsidRPr="000D119D">
        <w:t xml:space="preserve">As noted above, ability to secure workforce was a key factor in commissioning decisions. Specific examples include: </w:t>
      </w:r>
    </w:p>
    <w:p w14:paraId="2F168814" w14:textId="3AD60630" w:rsidR="000A575B" w:rsidRPr="000D119D" w:rsidRDefault="000A575B" w:rsidP="00E457E2">
      <w:pPr>
        <w:pStyle w:val="ListBullet"/>
      </w:pPr>
      <w:r w:rsidRPr="000D119D">
        <w:t xml:space="preserve">In WA, St John of God Health Care WA have been able to share staff with their existing </w:t>
      </w:r>
      <w:r w:rsidR="000963C5" w:rsidRPr="000D119D">
        <w:t xml:space="preserve">inpatient </w:t>
      </w:r>
      <w:r w:rsidRPr="000D119D">
        <w:t>services at the local hospital</w:t>
      </w:r>
      <w:r w:rsidR="000963C5" w:rsidRPr="000D119D">
        <w:t>.</w:t>
      </w:r>
    </w:p>
    <w:p w14:paraId="0E6F25E9" w14:textId="5191312B" w:rsidR="000A575B" w:rsidRPr="000D119D" w:rsidRDefault="000A575B" w:rsidP="00E457E2">
      <w:pPr>
        <w:pStyle w:val="ListBullet"/>
      </w:pPr>
      <w:r w:rsidRPr="000D119D">
        <w:t xml:space="preserve">Think Psychology in the ACT have repurposed staff from their local clinic, including administrative staff. Repurposed staff included part-timers who left their other part time jobs to work at the AMHC – Think Psychology </w:t>
      </w:r>
      <w:r w:rsidR="00F70413">
        <w:t xml:space="preserve">– </w:t>
      </w:r>
      <w:r w:rsidRPr="000D119D">
        <w:t xml:space="preserve">attribute their staff’s willingness to do this to their efforts to make themselves an ‘employer of choice’ as well as the community’s excitement about the new service. The provider feels that without their ability to repurpose staff, recruitment would have been very difficult. </w:t>
      </w:r>
    </w:p>
    <w:p w14:paraId="590E096D" w14:textId="17F6BC62" w:rsidR="000A575B" w:rsidRPr="000D119D" w:rsidRDefault="000A575B" w:rsidP="00E457E2">
      <w:pPr>
        <w:pStyle w:val="ListBullet"/>
      </w:pPr>
      <w:r w:rsidRPr="000D119D">
        <w:t xml:space="preserve">The NSW AMHC is sharing Penrith AMHC staff with their pop-up centre in Hawkesbury, as it is easier to recruit staff in Penrith than it is in </w:t>
      </w:r>
      <w:r w:rsidR="00036D43" w:rsidRPr="000D119D">
        <w:t>Hawkesbury</w:t>
      </w:r>
      <w:r w:rsidRPr="000D119D">
        <w:t>.</w:t>
      </w:r>
      <w:r w:rsidR="00F70413">
        <w:t xml:space="preserve">  </w:t>
      </w:r>
    </w:p>
    <w:p w14:paraId="0A8C73C4" w14:textId="7C9080AF" w:rsidR="000A575B" w:rsidRPr="00E457E2" w:rsidRDefault="000A575B" w:rsidP="00E457E2">
      <w:r w:rsidRPr="000D119D">
        <w:rPr>
          <w:rFonts w:asciiTheme="majorHAnsi" w:hAnsiTheme="majorHAnsi" w:cstheme="majorHAnsi"/>
        </w:rPr>
        <w:t>Co-locating with other services</w:t>
      </w:r>
      <w:r w:rsidRPr="004B625C">
        <w:rPr>
          <w:rFonts w:asciiTheme="majorHAnsi" w:hAnsiTheme="majorHAnsi" w:cstheme="majorHAnsi"/>
        </w:rPr>
        <w:t>.</w:t>
      </w:r>
      <w:r w:rsidRPr="000D119D">
        <w:rPr>
          <w:b/>
          <w:bCs/>
        </w:rPr>
        <w:t xml:space="preserve"> </w:t>
      </w:r>
      <w:r w:rsidRPr="000D119D">
        <w:t xml:space="preserve">This approach was taken by both the NTPHN and </w:t>
      </w:r>
      <w:r w:rsidR="00C44154" w:rsidRPr="00C44154">
        <w:t xml:space="preserve">Primary Health </w:t>
      </w:r>
      <w:r w:rsidR="00A04E73">
        <w:t>TAS</w:t>
      </w:r>
      <w:r w:rsidRPr="000D119D">
        <w:t xml:space="preserve">, however the implications of co-location had to be carefully considered. Learnings from </w:t>
      </w:r>
      <w:proofErr w:type="spellStart"/>
      <w:r w:rsidRPr="000D119D">
        <w:rPr>
          <w:i/>
        </w:rPr>
        <w:t>HeadtoHelp</w:t>
      </w:r>
      <w:proofErr w:type="spellEnd"/>
      <w:r w:rsidRPr="000D119D">
        <w:t xml:space="preserve"> indicate that physical co-location with other mental health service providers, community health, or general practice can support access to clinicians (e.g., a psychiatrist). Co-location with other services must be underpinned by clear clinical governance and safety measures for participants and support people. Co-location with other service providers, particularly those delivering services to participants with higher acuity, may require security protocols and staff. Some stakeholders have reflected that the presence of extensive security measures can undermine a therapeutic space and have the potential to re-</w:t>
      </w:r>
      <w:proofErr w:type="spellStart"/>
      <w:r w:rsidRPr="000D119D">
        <w:t>traumatise</w:t>
      </w:r>
      <w:proofErr w:type="spellEnd"/>
      <w:r w:rsidRPr="000D119D">
        <w:t xml:space="preserve"> participants who have had negative experiences in acute care. Establishing safety in a therapeutic space is c</w:t>
      </w:r>
      <w:r w:rsidRPr="00E457E2">
        <w:t>ritical.</w:t>
      </w:r>
    </w:p>
    <w:p w14:paraId="4941DF86" w14:textId="5222C4A1" w:rsidR="000A575B" w:rsidRPr="000D119D" w:rsidRDefault="000A575B" w:rsidP="00E457E2">
      <w:r w:rsidRPr="00E457E2">
        <w:lastRenderedPageBreak/>
        <w:t>Stakeholder consultations to date have reflected positively on co-location, with no negative impacts expected from having clients of higher acuit</w:t>
      </w:r>
      <w:r w:rsidRPr="000D119D">
        <w:t>y in a different part of the building. Both facilities have been designed to ensure that the co-located services are in separate areas (i.e</w:t>
      </w:r>
      <w:r w:rsidR="001A4917" w:rsidRPr="000D119D">
        <w:t>.,</w:t>
      </w:r>
      <w:r w:rsidRPr="000D119D">
        <w:t xml:space="preserve"> on different floors) which reflects the ‘stepping up and down’ of clients between the services. </w:t>
      </w:r>
    </w:p>
    <w:p w14:paraId="7F28EFCB" w14:textId="77777777" w:rsidR="000A575B" w:rsidRPr="000D119D" w:rsidRDefault="000A575B" w:rsidP="00E457E2">
      <w:pPr>
        <w:pStyle w:val="ListBullet"/>
      </w:pPr>
      <w:r w:rsidRPr="000D119D">
        <w:rPr>
          <w:rFonts w:asciiTheme="majorHAnsi" w:hAnsiTheme="majorHAnsi" w:cstheme="majorHAnsi"/>
        </w:rPr>
        <w:t>Workforce development strategy</w:t>
      </w:r>
      <w:r w:rsidRPr="00384EEC">
        <w:rPr>
          <w:rFonts w:asciiTheme="majorHAnsi" w:hAnsiTheme="majorHAnsi" w:cstheme="majorHAnsi"/>
        </w:rPr>
        <w:t xml:space="preserve">. </w:t>
      </w:r>
      <w:r w:rsidRPr="000D119D">
        <w:t>The Tasmanian AMHC has partnered with the University of Tasmania to support development of a pipeline of staff for their AMHC.</w:t>
      </w:r>
    </w:p>
    <w:p w14:paraId="60842FF6" w14:textId="28175E5D" w:rsidR="000A575B" w:rsidRPr="000D119D" w:rsidRDefault="000A575B" w:rsidP="000A575B">
      <w:pPr>
        <w:rPr>
          <w:lang w:val="en-AU"/>
        </w:rPr>
      </w:pPr>
      <w:r w:rsidRPr="000D119D">
        <w:rPr>
          <w:lang w:val="en-AU"/>
        </w:rPr>
        <w:t>There are certain positions that AMHCs have struggled to fill, including some clinical roles – particularly occupational therapists and Aboriginal health workers. For example, despite being the first to open</w:t>
      </w:r>
      <w:r w:rsidR="00EE0709">
        <w:rPr>
          <w:lang w:val="en-AU"/>
        </w:rPr>
        <w:t>,</w:t>
      </w:r>
      <w:r w:rsidRPr="000D119D">
        <w:rPr>
          <w:lang w:val="en-AU"/>
        </w:rPr>
        <w:t xml:space="preserve"> the SA AMHC has had an Aboriginal health worker role advertised but remaining vacant for some time. Where this is the case, rather than recruiting individual Aboriginal health workers, PHNs might consider partnering with </w:t>
      </w:r>
      <w:r w:rsidRPr="000801C1">
        <w:rPr>
          <w:lang w:val="en-AU"/>
        </w:rPr>
        <w:t>ACCHOs,</w:t>
      </w:r>
      <w:r w:rsidRPr="000D119D">
        <w:rPr>
          <w:lang w:val="en-AU"/>
        </w:rPr>
        <w:t xml:space="preserve"> as has been done in the NT (see the case study on the AMHC in NT in </w:t>
      </w:r>
      <w:r w:rsidR="00740CCF">
        <w:rPr>
          <w:highlight w:val="yellow"/>
          <w:lang w:val="en-AU"/>
        </w:rPr>
        <w:fldChar w:fldCharType="begin"/>
      </w:r>
      <w:r w:rsidR="00740CCF">
        <w:rPr>
          <w:lang w:val="en-AU"/>
        </w:rPr>
        <w:instrText xml:space="preserve"> REF _Ref97026064 \h </w:instrText>
      </w:r>
      <w:r w:rsidR="00740CCF">
        <w:rPr>
          <w:highlight w:val="yellow"/>
          <w:lang w:val="en-AU"/>
        </w:rPr>
      </w:r>
      <w:r w:rsidR="00740CCF">
        <w:rPr>
          <w:highlight w:val="yellow"/>
          <w:lang w:val="en-AU"/>
        </w:rPr>
        <w:fldChar w:fldCharType="separate"/>
      </w:r>
      <w:r w:rsidR="00562174" w:rsidRPr="000D119D">
        <w:t xml:space="preserve">Figure </w:t>
      </w:r>
      <w:r w:rsidR="00562174">
        <w:rPr>
          <w:noProof/>
        </w:rPr>
        <w:t>41</w:t>
      </w:r>
      <w:r w:rsidR="00740CCF">
        <w:rPr>
          <w:highlight w:val="yellow"/>
          <w:lang w:val="en-AU"/>
        </w:rPr>
        <w:fldChar w:fldCharType="end"/>
      </w:r>
      <w:r w:rsidR="00740CCF">
        <w:rPr>
          <w:lang w:val="en-AU"/>
        </w:rPr>
        <w:t>)</w:t>
      </w:r>
      <w:r w:rsidRPr="000D119D">
        <w:rPr>
          <w:lang w:val="en-AU"/>
        </w:rPr>
        <w:t xml:space="preserve"> as may be more effective and feasible than hiring service specific Aboriginal health workers. </w:t>
      </w:r>
    </w:p>
    <w:p w14:paraId="30489078" w14:textId="77777777" w:rsidR="001D21DD" w:rsidRPr="000D119D" w:rsidRDefault="001D21DD" w:rsidP="001D21DD">
      <w:pPr>
        <w:pStyle w:val="Heading3"/>
      </w:pPr>
      <w:bookmarkStart w:id="147" w:name="_Toc99650370"/>
      <w:r w:rsidRPr="000D119D">
        <w:t>Implementation risks</w:t>
      </w:r>
      <w:bookmarkEnd w:id="147"/>
      <w:r w:rsidRPr="000D119D">
        <w:t xml:space="preserve"> </w:t>
      </w:r>
    </w:p>
    <w:p w14:paraId="6ADB2581" w14:textId="77777777" w:rsidR="001D21DD" w:rsidRPr="000D119D" w:rsidRDefault="001D21DD" w:rsidP="001D21DD">
      <w:pPr>
        <w:pStyle w:val="Heading5"/>
      </w:pPr>
      <w:r w:rsidRPr="000D119D">
        <w:t>AMHCs remain concerned about ability to manage demand</w:t>
      </w:r>
    </w:p>
    <w:p w14:paraId="743AC4DD" w14:textId="77777777" w:rsidR="001D21DD" w:rsidRPr="000D119D" w:rsidRDefault="001D21DD" w:rsidP="00E457E2">
      <w:pPr>
        <w:rPr>
          <w:lang w:val="en-AU" w:eastAsia="en-AU"/>
        </w:rPr>
      </w:pPr>
      <w:r w:rsidRPr="000D119D">
        <w:rPr>
          <w:lang w:val="en-AU" w:eastAsia="en-AU"/>
        </w:rPr>
        <w:t>Despite some AMHCs are not yet operating at capacity, ability to manage future demand was consistently highlighted as a major concern. Specific concerns include:</w:t>
      </w:r>
    </w:p>
    <w:p w14:paraId="0D9F4DFF" w14:textId="227C8841" w:rsidR="001D21DD" w:rsidRPr="000D119D" w:rsidRDefault="00A434D5" w:rsidP="00E457E2">
      <w:pPr>
        <w:pStyle w:val="ListBullet"/>
      </w:pPr>
      <w:r>
        <w:t>i</w:t>
      </w:r>
      <w:r w:rsidR="001D21DD" w:rsidRPr="000D119D">
        <w:t>nability to refer out from AMHCs for a range of needs due to other services being at capacity</w:t>
      </w:r>
    </w:p>
    <w:p w14:paraId="337FDEEB" w14:textId="1F6373F0" w:rsidR="001D21DD" w:rsidRPr="000D119D" w:rsidRDefault="00A434D5" w:rsidP="00E457E2">
      <w:pPr>
        <w:pStyle w:val="ListBullet"/>
      </w:pPr>
      <w:r w:rsidRPr="000D119D">
        <w:t>the</w:t>
      </w:r>
      <w:r w:rsidR="001D21DD" w:rsidRPr="000D119D">
        <w:t xml:space="preserve"> lack of multi-year services available for those who need extended care, suggesting these individuals may keep returning to the AMHC </w:t>
      </w:r>
      <w:r w:rsidR="003A1537" w:rsidRPr="000D119D">
        <w:t xml:space="preserve">due to </w:t>
      </w:r>
      <w:r w:rsidR="001D21DD" w:rsidRPr="000D119D">
        <w:t xml:space="preserve">longer term needs </w:t>
      </w:r>
      <w:r w:rsidR="003A1537" w:rsidRPr="000D119D">
        <w:t xml:space="preserve">not being </w:t>
      </w:r>
      <w:r w:rsidR="001D21DD" w:rsidRPr="000D119D">
        <w:t>met</w:t>
      </w:r>
    </w:p>
    <w:p w14:paraId="4B97A873" w14:textId="1A745D6C" w:rsidR="001D21DD" w:rsidRPr="000D119D" w:rsidRDefault="00A434D5" w:rsidP="00E457E2">
      <w:pPr>
        <w:pStyle w:val="ListBullet"/>
      </w:pPr>
      <w:r w:rsidRPr="000D119D">
        <w:t>continuing</w:t>
      </w:r>
      <w:r w:rsidR="001D21DD" w:rsidRPr="000D119D">
        <w:t xml:space="preserve"> to receive overflow from other services</w:t>
      </w:r>
      <w:r w:rsidR="00B4618A" w:rsidRPr="000D119D">
        <w:t xml:space="preserve"> that are at capacity, in addition to</w:t>
      </w:r>
      <w:r w:rsidR="001D21DD" w:rsidRPr="000D119D" w:rsidDel="00B4618A">
        <w:t xml:space="preserve"> </w:t>
      </w:r>
      <w:r w:rsidR="001D21DD" w:rsidRPr="000D119D">
        <w:t>their own new clients</w:t>
      </w:r>
    </w:p>
    <w:p w14:paraId="14261DC5" w14:textId="7D30C4CF" w:rsidR="001D21DD" w:rsidRPr="000D119D" w:rsidRDefault="00A434D5" w:rsidP="00E457E2">
      <w:pPr>
        <w:pStyle w:val="ListBullet"/>
      </w:pPr>
      <w:r w:rsidRPr="000D119D">
        <w:t>uncertainty</w:t>
      </w:r>
      <w:r w:rsidR="001D21DD" w:rsidRPr="000D119D">
        <w:t xml:space="preserve"> about how future AMHCs will be established to support demand management (location and timeframes)</w:t>
      </w:r>
    </w:p>
    <w:p w14:paraId="1550C7D1" w14:textId="24B1A4BE" w:rsidR="001D21DD" w:rsidRPr="000D119D" w:rsidRDefault="00A434D5" w:rsidP="00E457E2">
      <w:pPr>
        <w:pStyle w:val="ListBullet"/>
      </w:pPr>
      <w:r w:rsidRPr="000D119D">
        <w:t>not</w:t>
      </w:r>
      <w:r w:rsidR="001D21DD" w:rsidRPr="000D119D">
        <w:t xml:space="preserve"> being able to recruit and retain all the staff they will need to care for increasing client numbers.</w:t>
      </w:r>
    </w:p>
    <w:p w14:paraId="570E47B5" w14:textId="758AE09C" w:rsidR="001D21DD" w:rsidRPr="000D119D" w:rsidRDefault="001D21DD" w:rsidP="00E457E2">
      <w:r w:rsidRPr="000D119D">
        <w:t xml:space="preserve">These concerns </w:t>
      </w:r>
      <w:r w:rsidR="007E1221" w:rsidRPr="000D119D">
        <w:t xml:space="preserve">are enhanced by emerging evidence that </w:t>
      </w:r>
      <w:r w:rsidR="000D3AC0" w:rsidRPr="000D119D">
        <w:t xml:space="preserve">pressure on </w:t>
      </w:r>
      <w:proofErr w:type="spellStart"/>
      <w:r w:rsidR="000D3AC0" w:rsidRPr="000D119D">
        <w:rPr>
          <w:i/>
          <w:iCs/>
        </w:rPr>
        <w:t>HeadtoHelp</w:t>
      </w:r>
      <w:proofErr w:type="spellEnd"/>
      <w:r w:rsidR="000D3AC0" w:rsidRPr="000D119D">
        <w:rPr>
          <w:i/>
          <w:iCs/>
        </w:rPr>
        <w:t xml:space="preserve"> </w:t>
      </w:r>
      <w:r w:rsidR="000D3AC0" w:rsidRPr="000D119D">
        <w:t>hubs (</w:t>
      </w:r>
      <w:proofErr w:type="gramStart"/>
      <w:r w:rsidR="000D3AC0" w:rsidRPr="000D119D">
        <w:t xml:space="preserve">in particular </w:t>
      </w:r>
      <w:r w:rsidR="007E1221" w:rsidRPr="000D119D">
        <w:t>length</w:t>
      </w:r>
      <w:proofErr w:type="gramEnd"/>
      <w:r w:rsidR="007E1221" w:rsidRPr="000D119D">
        <w:t xml:space="preserve"> of stay is increasing</w:t>
      </w:r>
      <w:r w:rsidR="000D3AC0" w:rsidRPr="000D119D">
        <w:t>).</w:t>
      </w:r>
      <w:r w:rsidR="007E1221" w:rsidRPr="000D119D">
        <w:t xml:space="preserve"> </w:t>
      </w:r>
      <w:r w:rsidR="00087634" w:rsidRPr="000D119D">
        <w:t xml:space="preserve">As referrals grow, there is a clear risk that AMHCs could become another oversubscribed service that is unavailable to community members when they need immediate, accessible, no cost support. Availability and rapid access for all, regardless of economic status is critical and these must remain essential design features, with concomitant funding. </w:t>
      </w:r>
      <w:r w:rsidR="000D3AC0" w:rsidRPr="000D119D">
        <w:t>There is an urgent</w:t>
      </w:r>
      <w:r w:rsidRPr="000D119D">
        <w:t xml:space="preserve"> need for better collection and use of data to understand and </w:t>
      </w:r>
      <w:proofErr w:type="spellStart"/>
      <w:r w:rsidRPr="000D119D">
        <w:t>analyse</w:t>
      </w:r>
      <w:proofErr w:type="spellEnd"/>
      <w:r w:rsidRPr="000D119D">
        <w:t xml:space="preserve"> need at a system level, understand gaps, potential areas of </w:t>
      </w:r>
      <w:proofErr w:type="spellStart"/>
      <w:r w:rsidRPr="000D119D">
        <w:t>underutili</w:t>
      </w:r>
      <w:r w:rsidR="00941EC7" w:rsidRPr="000D119D">
        <w:t>s</w:t>
      </w:r>
      <w:r w:rsidRPr="000D119D">
        <w:t>ation</w:t>
      </w:r>
      <w:proofErr w:type="spellEnd"/>
      <w:r w:rsidRPr="000D119D">
        <w:t xml:space="preserve"> and inform future design, </w:t>
      </w:r>
      <w:proofErr w:type="gramStart"/>
      <w:r w:rsidRPr="000D119D">
        <w:t>delivery</w:t>
      </w:r>
      <w:proofErr w:type="gramEnd"/>
      <w:r w:rsidRPr="000D119D">
        <w:t xml:space="preserve"> and location decisions for the next tranche of AMHCs, as well as other funded mental health services.</w:t>
      </w:r>
    </w:p>
    <w:p w14:paraId="59E1E017" w14:textId="732D90F7" w:rsidR="001D21DD" w:rsidRPr="000D119D" w:rsidRDefault="00693696" w:rsidP="001D21DD">
      <w:pPr>
        <w:pStyle w:val="Heading5"/>
      </w:pPr>
      <w:r w:rsidRPr="000D119D">
        <w:t>A</w:t>
      </w:r>
      <w:r w:rsidR="001D21DD" w:rsidRPr="000D119D">
        <w:t xml:space="preserve"> lack of locali</w:t>
      </w:r>
      <w:r w:rsidR="00B37FA7">
        <w:t>s</w:t>
      </w:r>
      <w:r w:rsidR="001D21DD" w:rsidRPr="000D119D">
        <w:t xml:space="preserve">ed communications may impact ability of AMHCs to connect with communities </w:t>
      </w:r>
    </w:p>
    <w:p w14:paraId="495EBD6E" w14:textId="172C0629" w:rsidR="001D21DD" w:rsidRPr="000D119D" w:rsidRDefault="001D21DD" w:rsidP="001D21DD">
      <w:pPr>
        <w:rPr>
          <w:lang w:val="en-AU"/>
        </w:rPr>
      </w:pPr>
      <w:r w:rsidRPr="000D119D">
        <w:rPr>
          <w:lang w:val="en-AU"/>
        </w:rPr>
        <w:t xml:space="preserve">Some AMHCs have raised concerns about the constraints imposed on running their own websites and social media pages to engage with local community. </w:t>
      </w:r>
      <w:r w:rsidR="00DF7C74" w:rsidRPr="000D119D">
        <w:rPr>
          <w:lang w:val="en-AU"/>
        </w:rPr>
        <w:t>Service providers understand</w:t>
      </w:r>
      <w:r w:rsidR="00F672C3" w:rsidRPr="000D119D">
        <w:rPr>
          <w:lang w:val="en-AU"/>
        </w:rPr>
        <w:t xml:space="preserve"> </w:t>
      </w:r>
      <w:r w:rsidR="00641398">
        <w:rPr>
          <w:lang w:val="en-AU"/>
        </w:rPr>
        <w:t>the Department</w:t>
      </w:r>
      <w:r w:rsidR="00F672C3" w:rsidRPr="000D119D">
        <w:rPr>
          <w:lang w:val="en-AU"/>
        </w:rPr>
        <w:t xml:space="preserve">’s concern about mixed messages and </w:t>
      </w:r>
      <w:r w:rsidR="00964C9A" w:rsidRPr="000D119D">
        <w:rPr>
          <w:lang w:val="en-AU"/>
        </w:rPr>
        <w:t>multiple, inconsistent entry points.</w:t>
      </w:r>
      <w:r w:rsidRPr="000D119D">
        <w:rPr>
          <w:lang w:val="en-AU"/>
        </w:rPr>
        <w:t xml:space="preserve"> However, </w:t>
      </w:r>
      <w:r w:rsidR="00964C9A" w:rsidRPr="000D119D">
        <w:rPr>
          <w:lang w:val="en-AU"/>
        </w:rPr>
        <w:t xml:space="preserve">they </w:t>
      </w:r>
      <w:r w:rsidRPr="000D119D">
        <w:rPr>
          <w:lang w:val="en-AU"/>
        </w:rPr>
        <w:t xml:space="preserve">feel that having </w:t>
      </w:r>
      <w:r w:rsidR="00A72977" w:rsidRPr="000D119D">
        <w:rPr>
          <w:lang w:val="en-AU"/>
        </w:rPr>
        <w:t xml:space="preserve">localised </w:t>
      </w:r>
      <w:r w:rsidRPr="000D119D">
        <w:rPr>
          <w:lang w:val="en-AU"/>
        </w:rPr>
        <w:t>channels to connect with their communities is critical, and that a solution needs to be found to allow for this</w:t>
      </w:r>
      <w:r w:rsidR="004E2CB1" w:rsidRPr="000D119D">
        <w:rPr>
          <w:lang w:val="en-AU"/>
        </w:rPr>
        <w:t xml:space="preserve"> so that</w:t>
      </w:r>
      <w:r w:rsidR="00CB5D6B" w:rsidRPr="000D119D">
        <w:rPr>
          <w:lang w:val="en-AU"/>
        </w:rPr>
        <w:t xml:space="preserve"> </w:t>
      </w:r>
      <w:r w:rsidR="0063493A" w:rsidRPr="000D119D">
        <w:rPr>
          <w:lang w:val="en-AU"/>
        </w:rPr>
        <w:t xml:space="preserve">centralised </w:t>
      </w:r>
      <w:r w:rsidR="004E2CB1" w:rsidRPr="000D119D">
        <w:rPr>
          <w:lang w:val="en-AU"/>
        </w:rPr>
        <w:t xml:space="preserve">communication and </w:t>
      </w:r>
      <w:r w:rsidR="0063493A" w:rsidRPr="000D119D">
        <w:rPr>
          <w:lang w:val="en-AU"/>
        </w:rPr>
        <w:t xml:space="preserve">intake via a single 1800 number </w:t>
      </w:r>
      <w:r w:rsidR="004E2CB1" w:rsidRPr="000D119D">
        <w:rPr>
          <w:lang w:val="en-AU"/>
        </w:rPr>
        <w:t>need</w:t>
      </w:r>
      <w:r w:rsidR="0063493A" w:rsidRPr="000D119D">
        <w:rPr>
          <w:lang w:val="en-AU"/>
        </w:rPr>
        <w:t xml:space="preserve"> not be at the exclusion of complementary localised communication and promotion channels.</w:t>
      </w:r>
      <w:r w:rsidRPr="000D119D">
        <w:rPr>
          <w:lang w:val="en-AU"/>
        </w:rPr>
        <w:t xml:space="preserve"> </w:t>
      </w:r>
    </w:p>
    <w:p w14:paraId="5295EE17" w14:textId="6B7B8451" w:rsidR="001D21DD" w:rsidRPr="000D119D" w:rsidRDefault="001D21DD" w:rsidP="001D21DD">
      <w:pPr>
        <w:rPr>
          <w:lang w:val="en-AU"/>
        </w:rPr>
      </w:pPr>
      <w:r w:rsidRPr="000D119D">
        <w:rPr>
          <w:lang w:val="en-AU"/>
        </w:rPr>
        <w:t>One AMHC highlighted that having</w:t>
      </w:r>
      <w:r w:rsidRPr="000D119D" w:rsidDel="00A72977">
        <w:rPr>
          <w:lang w:val="en-AU"/>
        </w:rPr>
        <w:t xml:space="preserve"> </w:t>
      </w:r>
      <w:r w:rsidR="00A72977" w:rsidRPr="000D119D">
        <w:rPr>
          <w:lang w:val="en-AU"/>
        </w:rPr>
        <w:t xml:space="preserve">local </w:t>
      </w:r>
      <w:r w:rsidRPr="000D119D">
        <w:rPr>
          <w:lang w:val="en-AU"/>
        </w:rPr>
        <w:t>social media pages and websites will help with brand awareness and allow for targeted marketing through geo-tagging particular information and promotional material, helping to ensure that the right cohorts for the AMHC are reached. Another explained that it would allow them to promote practical aspects of the AMHC such as available services and capacity,</w:t>
      </w:r>
      <w:r w:rsidR="00A72977" w:rsidRPr="000D119D">
        <w:rPr>
          <w:lang w:val="en-AU"/>
        </w:rPr>
        <w:t xml:space="preserve"> </w:t>
      </w:r>
      <w:r w:rsidR="002C77E9" w:rsidRPr="000D119D">
        <w:rPr>
          <w:lang w:val="en-AU"/>
        </w:rPr>
        <w:t xml:space="preserve">and any planned or </w:t>
      </w:r>
      <w:r w:rsidR="00A72977" w:rsidRPr="000D119D">
        <w:rPr>
          <w:lang w:val="en-AU"/>
        </w:rPr>
        <w:t>unanticipated changes to opening hours,</w:t>
      </w:r>
      <w:r w:rsidRPr="000D119D">
        <w:rPr>
          <w:lang w:val="en-AU"/>
        </w:rPr>
        <w:t xml:space="preserve"> or if there were events or other activities being hosted.</w:t>
      </w:r>
      <w:r w:rsidR="00F54D85" w:rsidRPr="000D119D">
        <w:rPr>
          <w:lang w:val="en-AU"/>
        </w:rPr>
        <w:t xml:space="preserve"> They considered this an important </w:t>
      </w:r>
      <w:r w:rsidR="00332C83" w:rsidRPr="000D119D">
        <w:rPr>
          <w:lang w:val="en-AU"/>
        </w:rPr>
        <w:t xml:space="preserve">aspect of promoting social </w:t>
      </w:r>
      <w:r w:rsidR="00332C83" w:rsidRPr="000D119D">
        <w:rPr>
          <w:lang w:val="en-AU"/>
        </w:rPr>
        <w:lastRenderedPageBreak/>
        <w:t xml:space="preserve">engagement, </w:t>
      </w:r>
      <w:proofErr w:type="gramStart"/>
      <w:r w:rsidR="00332C83" w:rsidRPr="000D119D">
        <w:rPr>
          <w:lang w:val="en-AU"/>
        </w:rPr>
        <w:t>inclusion</w:t>
      </w:r>
      <w:proofErr w:type="gramEnd"/>
      <w:r w:rsidR="00332C83" w:rsidRPr="000D119D">
        <w:rPr>
          <w:lang w:val="en-AU"/>
        </w:rPr>
        <w:t xml:space="preserve"> and connection for their clients</w:t>
      </w:r>
      <w:r w:rsidR="002C77E9" w:rsidRPr="000D119D">
        <w:rPr>
          <w:lang w:val="en-AU"/>
        </w:rPr>
        <w:t>.</w:t>
      </w:r>
      <w:r w:rsidR="00332C83" w:rsidRPr="000D119D">
        <w:rPr>
          <w:lang w:val="en-AU"/>
        </w:rPr>
        <w:t xml:space="preserve"> </w:t>
      </w:r>
      <w:r w:rsidR="003D6CF1" w:rsidRPr="000D119D">
        <w:rPr>
          <w:lang w:val="en-AU"/>
        </w:rPr>
        <w:t xml:space="preserve">They also </w:t>
      </w:r>
      <w:r w:rsidR="00ED45A3" w:rsidRPr="000D119D">
        <w:rPr>
          <w:lang w:val="en-AU"/>
        </w:rPr>
        <w:t>viewed it as an important mechanism to promote other services and supports in their local area</w:t>
      </w:r>
      <w:r w:rsidR="00B65F47" w:rsidRPr="000D119D">
        <w:rPr>
          <w:lang w:val="en-AU"/>
        </w:rPr>
        <w:t>.</w:t>
      </w:r>
      <w:r w:rsidR="000A14DA" w:rsidRPr="000D119D">
        <w:rPr>
          <w:lang w:val="en-AU"/>
        </w:rPr>
        <w:t xml:space="preserve"> </w:t>
      </w:r>
    </w:p>
    <w:p w14:paraId="143F87CD" w14:textId="2F9C51DF" w:rsidR="00A72977" w:rsidRPr="000D119D" w:rsidRDefault="00A72977" w:rsidP="002A50BC">
      <w:pPr>
        <w:rPr>
          <w:lang w:val="en-AU"/>
        </w:rPr>
      </w:pPr>
      <w:r w:rsidRPr="000D119D">
        <w:rPr>
          <w:lang w:val="en-AU"/>
        </w:rPr>
        <w:t>The establishment phase has provided</w:t>
      </w:r>
      <w:r w:rsidR="001D21DD" w:rsidRPr="000D119D">
        <w:rPr>
          <w:lang w:val="en-AU"/>
        </w:rPr>
        <w:t xml:space="preserve"> some evidence as to the importance of locali</w:t>
      </w:r>
      <w:r w:rsidR="00B37FA7">
        <w:rPr>
          <w:lang w:val="en-AU"/>
        </w:rPr>
        <w:t>s</w:t>
      </w:r>
      <w:r w:rsidR="001D21DD" w:rsidRPr="000D119D">
        <w:rPr>
          <w:lang w:val="en-AU"/>
        </w:rPr>
        <w:t xml:space="preserve">ed marketing and communications. </w:t>
      </w:r>
      <w:r w:rsidRPr="000D119D">
        <w:rPr>
          <w:lang w:val="en-AU"/>
        </w:rPr>
        <w:t>For example</w:t>
      </w:r>
      <w:r w:rsidR="00B37FA7">
        <w:rPr>
          <w:lang w:val="en-AU"/>
        </w:rPr>
        <w:t>,</w:t>
      </w:r>
      <w:r w:rsidRPr="000D119D">
        <w:rPr>
          <w:lang w:val="en-AU"/>
        </w:rPr>
        <w:t xml:space="preserve"> one </w:t>
      </w:r>
      <w:r w:rsidR="001D21DD" w:rsidRPr="000D119D">
        <w:rPr>
          <w:lang w:val="en-AU"/>
        </w:rPr>
        <w:t>AMHC experienced a significant rise in walk-in clients after a social media post on their services was made by their local MP and another experienced the same after an advertisement on the local radio.</w:t>
      </w:r>
      <w:r w:rsidR="00F201ED" w:rsidRPr="000D119D">
        <w:rPr>
          <w:lang w:val="en-AU"/>
        </w:rPr>
        <w:t xml:space="preserve"> </w:t>
      </w:r>
      <w:r w:rsidR="000A14DA" w:rsidRPr="000D119D">
        <w:rPr>
          <w:lang w:val="en-AU"/>
        </w:rPr>
        <w:t xml:space="preserve">This is reinforced by </w:t>
      </w:r>
      <w:proofErr w:type="spellStart"/>
      <w:r w:rsidR="000A14DA" w:rsidRPr="000D119D">
        <w:rPr>
          <w:i/>
          <w:iCs/>
          <w:lang w:val="en-AU"/>
        </w:rPr>
        <w:t>HeadtoHelp</w:t>
      </w:r>
      <w:proofErr w:type="spellEnd"/>
      <w:r w:rsidR="000A14DA" w:rsidRPr="000D119D">
        <w:rPr>
          <w:lang w:val="en-AU"/>
        </w:rPr>
        <w:t xml:space="preserve"> findings that broader promotion using a range of advertising channels, including social media, is needed to achieve more equitable access. </w:t>
      </w:r>
      <w:r w:rsidR="0063493A" w:rsidRPr="000D119D">
        <w:rPr>
          <w:lang w:val="en-AU"/>
        </w:rPr>
        <w:t xml:space="preserve">This </w:t>
      </w:r>
      <w:r w:rsidR="000A14DA" w:rsidRPr="000D119D">
        <w:rPr>
          <w:lang w:val="en-AU"/>
        </w:rPr>
        <w:t>collectively</w:t>
      </w:r>
      <w:r w:rsidR="0063493A" w:rsidRPr="000D119D">
        <w:rPr>
          <w:lang w:val="en-AU"/>
        </w:rPr>
        <w:t xml:space="preserve"> indicates there is likely to be significant value in </w:t>
      </w:r>
      <w:r w:rsidR="000A14DA" w:rsidRPr="000D119D">
        <w:rPr>
          <w:lang w:val="en-AU"/>
        </w:rPr>
        <w:t xml:space="preserve">a multi-pronged but aligned </w:t>
      </w:r>
      <w:r w:rsidR="0063493A" w:rsidRPr="000D119D">
        <w:rPr>
          <w:lang w:val="en-AU"/>
        </w:rPr>
        <w:t xml:space="preserve">approach. </w:t>
      </w:r>
    </w:p>
    <w:p w14:paraId="5CDBCCFC" w14:textId="726C1658" w:rsidR="001D21DD" w:rsidRPr="000D119D" w:rsidRDefault="001D21DD" w:rsidP="00A72977">
      <w:pPr>
        <w:pStyle w:val="Heading5"/>
      </w:pPr>
      <w:r w:rsidRPr="000D119D">
        <w:t>There</w:t>
      </w:r>
      <w:r w:rsidRPr="000D119D" w:rsidDel="00F425FD">
        <w:t xml:space="preserve"> </w:t>
      </w:r>
      <w:r w:rsidR="00F425FD" w:rsidRPr="000D119D">
        <w:t xml:space="preserve">is </w:t>
      </w:r>
      <w:r w:rsidRPr="000D119D">
        <w:t>confusion around the role of AMHCs in a complex service and funding environment, particularly in Victoria</w:t>
      </w:r>
    </w:p>
    <w:p w14:paraId="7753B736" w14:textId="222FA9BB" w:rsidR="001D21DD" w:rsidRPr="000D119D" w:rsidRDefault="001D21DD" w:rsidP="001D21DD">
      <w:pPr>
        <w:rPr>
          <w:lang w:val="en-AU"/>
        </w:rPr>
      </w:pPr>
      <w:r w:rsidRPr="000D119D">
        <w:rPr>
          <w:lang w:val="en-AU"/>
        </w:rPr>
        <w:t xml:space="preserve">There have been substantial investments announced for mental health services by both the Commonwealth and state and territory governments. This reflects the high level of service need as well as </w:t>
      </w:r>
      <w:r w:rsidR="00272EA4" w:rsidRPr="000D119D">
        <w:rPr>
          <w:lang w:val="en-AU"/>
        </w:rPr>
        <w:t xml:space="preserve">significant </w:t>
      </w:r>
      <w:r w:rsidRPr="000D119D">
        <w:rPr>
          <w:lang w:val="en-AU"/>
        </w:rPr>
        <w:t xml:space="preserve">planned reforms. However, the range of announcements and different funding arrangements has the potential for further fragmentation of the system and creating difficulty in navigating to the right services as more services are established. </w:t>
      </w:r>
      <w:r w:rsidR="00EC7B66">
        <w:rPr>
          <w:lang w:val="en-AU"/>
        </w:rPr>
        <w:fldChar w:fldCharType="begin"/>
      </w:r>
      <w:r w:rsidR="00EC7B66">
        <w:rPr>
          <w:lang w:val="en-AU"/>
        </w:rPr>
        <w:instrText xml:space="preserve"> REF _Ref97045782 \h </w:instrText>
      </w:r>
      <w:r w:rsidR="00EC7B66">
        <w:rPr>
          <w:lang w:val="en-AU"/>
        </w:rPr>
      </w:r>
      <w:r w:rsidR="00EC7B66">
        <w:rPr>
          <w:lang w:val="en-AU"/>
        </w:rPr>
        <w:fldChar w:fldCharType="separate"/>
      </w:r>
      <w:r w:rsidR="00562174" w:rsidRPr="000D119D">
        <w:t xml:space="preserve">Table </w:t>
      </w:r>
      <w:r w:rsidR="00562174">
        <w:rPr>
          <w:noProof/>
        </w:rPr>
        <w:t>6</w:t>
      </w:r>
      <w:r w:rsidR="00EC7B66">
        <w:rPr>
          <w:lang w:val="en-AU"/>
        </w:rPr>
        <w:fldChar w:fldCharType="end"/>
      </w:r>
      <w:r w:rsidRPr="000D119D">
        <w:rPr>
          <w:lang w:val="en-AU"/>
        </w:rPr>
        <w:t xml:space="preserve"> contains a summary of the different mental health related funding announcements, primarily from 2021-22 budget announcements.</w:t>
      </w:r>
    </w:p>
    <w:p w14:paraId="61A88063" w14:textId="053CC31F" w:rsidR="001D21DD" w:rsidRPr="000D119D" w:rsidRDefault="001D21DD" w:rsidP="001D21DD">
      <w:pPr>
        <w:rPr>
          <w:lang w:val="en-AU"/>
        </w:rPr>
      </w:pPr>
      <w:r w:rsidRPr="000D119D">
        <w:rPr>
          <w:lang w:val="en-AU"/>
        </w:rPr>
        <w:t xml:space="preserve">Victoria faces additional confusion around the difference between the </w:t>
      </w:r>
      <w:proofErr w:type="spellStart"/>
      <w:r w:rsidRPr="000D119D">
        <w:rPr>
          <w:i/>
          <w:iCs/>
          <w:lang w:val="en-AU"/>
        </w:rPr>
        <w:t>HeadtoHelp</w:t>
      </w:r>
      <w:proofErr w:type="spellEnd"/>
      <w:r w:rsidRPr="000D119D">
        <w:rPr>
          <w:lang w:val="en-AU"/>
        </w:rPr>
        <w:t xml:space="preserve"> centres and the AMHCs, and this may be further exacerbated by the </w:t>
      </w:r>
      <w:r w:rsidR="00272EA4" w:rsidRPr="000D119D">
        <w:rPr>
          <w:lang w:val="en-AU"/>
        </w:rPr>
        <w:t>establishment</w:t>
      </w:r>
      <w:r w:rsidRPr="000D119D">
        <w:rPr>
          <w:lang w:val="en-AU"/>
        </w:rPr>
        <w:t xml:space="preserve"> of the new Local Adult and Older </w:t>
      </w:r>
      <w:r w:rsidR="0054095D">
        <w:rPr>
          <w:lang w:val="en-AU"/>
        </w:rPr>
        <w:t xml:space="preserve">Adult </w:t>
      </w:r>
      <w:r w:rsidRPr="000D119D">
        <w:rPr>
          <w:lang w:val="en-AU"/>
        </w:rPr>
        <w:t>Mental Health and Wellbeing Servi</w:t>
      </w:r>
      <w:r w:rsidR="00272EA4" w:rsidRPr="000D119D">
        <w:rPr>
          <w:lang w:val="en-AU"/>
        </w:rPr>
        <w:t>c</w:t>
      </w:r>
      <w:r w:rsidRPr="000D119D">
        <w:rPr>
          <w:lang w:val="en-AU"/>
        </w:rPr>
        <w:t xml:space="preserve">es clinics. </w:t>
      </w:r>
      <w:r w:rsidR="00272EA4" w:rsidRPr="000D119D">
        <w:rPr>
          <w:lang w:val="en-AU"/>
        </w:rPr>
        <w:t>Clarification is required via</w:t>
      </w:r>
      <w:r w:rsidRPr="000D119D">
        <w:rPr>
          <w:lang w:val="en-AU"/>
        </w:rPr>
        <w:t xml:space="preserve"> deliberate communication of the AMHC scope</w:t>
      </w:r>
      <w:r w:rsidR="002F00C3" w:rsidRPr="000D119D">
        <w:rPr>
          <w:lang w:val="en-AU"/>
        </w:rPr>
        <w:t xml:space="preserve">, </w:t>
      </w:r>
      <w:proofErr w:type="gramStart"/>
      <w:r w:rsidRPr="000D119D">
        <w:rPr>
          <w:lang w:val="en-AU"/>
        </w:rPr>
        <w:t>intent</w:t>
      </w:r>
      <w:proofErr w:type="gramEnd"/>
      <w:r w:rsidR="002F00C3" w:rsidRPr="000D119D">
        <w:rPr>
          <w:lang w:val="en-AU"/>
        </w:rPr>
        <w:t xml:space="preserve"> and </w:t>
      </w:r>
      <w:r w:rsidR="00BD5143" w:rsidRPr="000D119D">
        <w:rPr>
          <w:lang w:val="en-AU"/>
        </w:rPr>
        <w:t>position within the service system</w:t>
      </w:r>
      <w:r w:rsidR="00395141" w:rsidRPr="000D119D">
        <w:rPr>
          <w:lang w:val="en-AU"/>
        </w:rPr>
        <w:t xml:space="preserve">. To enable this, clarity is also required as to who is responsible for </w:t>
      </w:r>
      <w:r w:rsidR="002F00C3" w:rsidRPr="000D119D">
        <w:rPr>
          <w:lang w:val="en-AU"/>
        </w:rPr>
        <w:t>leading this communication</w:t>
      </w:r>
      <w:r w:rsidRPr="000D119D">
        <w:rPr>
          <w:lang w:val="en-AU"/>
        </w:rPr>
        <w:t xml:space="preserve">. Having this </w:t>
      </w:r>
      <w:r w:rsidR="00A95032" w:rsidRPr="000D119D">
        <w:rPr>
          <w:lang w:val="en-AU"/>
        </w:rPr>
        <w:t xml:space="preserve">clarity and </w:t>
      </w:r>
      <w:r w:rsidRPr="000D119D">
        <w:rPr>
          <w:lang w:val="en-AU"/>
        </w:rPr>
        <w:t>communication in place</w:t>
      </w:r>
      <w:r w:rsidRPr="000D119D" w:rsidDel="00A95032">
        <w:rPr>
          <w:lang w:val="en-AU"/>
        </w:rPr>
        <w:t xml:space="preserve"> </w:t>
      </w:r>
      <w:r w:rsidRPr="000D119D">
        <w:rPr>
          <w:lang w:val="en-AU"/>
        </w:rPr>
        <w:t xml:space="preserve">will avoid some of the ongoing confusion about the service’s purpose and capability that has </w:t>
      </w:r>
      <w:r w:rsidRPr="000D119D" w:rsidDel="00EF635B">
        <w:rPr>
          <w:lang w:val="en-AU"/>
        </w:rPr>
        <w:t xml:space="preserve">been </w:t>
      </w:r>
      <w:r w:rsidR="00F35DE3" w:rsidRPr="000D119D">
        <w:rPr>
          <w:lang w:val="en-AU"/>
        </w:rPr>
        <w:t>experienced</w:t>
      </w:r>
      <w:r w:rsidR="00EF635B" w:rsidRPr="000D119D">
        <w:rPr>
          <w:lang w:val="en-AU"/>
        </w:rPr>
        <w:t xml:space="preserve"> with</w:t>
      </w:r>
      <w:r w:rsidRPr="000D119D">
        <w:rPr>
          <w:lang w:val="en-AU"/>
        </w:rPr>
        <w:t xml:space="preserve"> the </w:t>
      </w:r>
      <w:proofErr w:type="spellStart"/>
      <w:r w:rsidRPr="000D119D">
        <w:rPr>
          <w:i/>
          <w:iCs/>
          <w:lang w:val="en-AU"/>
        </w:rPr>
        <w:t>HeadtoHelp</w:t>
      </w:r>
      <w:proofErr w:type="spellEnd"/>
      <w:r w:rsidRPr="000D119D">
        <w:rPr>
          <w:lang w:val="en-AU"/>
        </w:rPr>
        <w:t xml:space="preserve"> </w:t>
      </w:r>
      <w:r w:rsidR="00EF635B" w:rsidRPr="000D119D">
        <w:rPr>
          <w:lang w:val="en-AU"/>
        </w:rPr>
        <w:t>services</w:t>
      </w:r>
      <w:r w:rsidRPr="000D119D">
        <w:rPr>
          <w:lang w:val="en-AU"/>
        </w:rPr>
        <w:t>.</w:t>
      </w:r>
    </w:p>
    <w:p w14:paraId="185233DA" w14:textId="729F1BE6" w:rsidR="001D21DD" w:rsidRPr="000D119D" w:rsidRDefault="001D21DD" w:rsidP="001D21DD">
      <w:pPr>
        <w:pStyle w:val="Caption"/>
      </w:pPr>
      <w:bookmarkStart w:id="148" w:name="_Ref97045782"/>
      <w:r w:rsidRPr="000D119D">
        <w:t xml:space="preserve">Table </w:t>
      </w:r>
      <w:r w:rsidRPr="000D119D">
        <w:fldChar w:fldCharType="begin"/>
      </w:r>
      <w:r w:rsidRPr="000D119D">
        <w:instrText xml:space="preserve"> SEQ Table \* ARABIC </w:instrText>
      </w:r>
      <w:r w:rsidRPr="000D119D">
        <w:fldChar w:fldCharType="separate"/>
      </w:r>
      <w:r w:rsidR="00562174">
        <w:rPr>
          <w:noProof/>
        </w:rPr>
        <w:t>6</w:t>
      </w:r>
      <w:r w:rsidRPr="000D119D">
        <w:fldChar w:fldCharType="end"/>
      </w:r>
      <w:bookmarkEnd w:id="148"/>
      <w:r w:rsidRPr="000D119D">
        <w:t xml:space="preserve"> | Summary of mental health funding</w:t>
      </w:r>
    </w:p>
    <w:tbl>
      <w:tblPr>
        <w:tblStyle w:val="TableGrid"/>
        <w:tblW w:w="0" w:type="auto"/>
        <w:tblCellMar>
          <w:top w:w="28" w:type="dxa"/>
          <w:bottom w:w="28" w:type="dxa"/>
        </w:tblCellMar>
        <w:tblLook w:val="04A0" w:firstRow="1" w:lastRow="0" w:firstColumn="1" w:lastColumn="0" w:noHBand="0" w:noVBand="1"/>
        <w:tblDescription w:val="Table 6 is a summary of mental health funding"/>
      </w:tblPr>
      <w:tblGrid>
        <w:gridCol w:w="1341"/>
        <w:gridCol w:w="7759"/>
      </w:tblGrid>
      <w:tr w:rsidR="001D21DD" w:rsidRPr="00141636" w14:paraId="46040593" w14:textId="77777777" w:rsidTr="0030657B">
        <w:trPr>
          <w:trHeight w:val="922"/>
        </w:trPr>
        <w:tc>
          <w:tcPr>
            <w:tcW w:w="1341" w:type="dxa"/>
            <w:tcBorders>
              <w:left w:val="single" w:sz="18" w:space="0" w:color="F25E21" w:themeColor="accent2"/>
              <w:bottom w:val="single" w:sz="8" w:space="0" w:color="E6E6E1" w:themeColor="accent5"/>
              <w:right w:val="single" w:sz="8" w:space="0" w:color="FFFFFF" w:themeColor="background1"/>
            </w:tcBorders>
            <w:shd w:val="clear" w:color="auto" w:fill="00264D" w:themeFill="background2"/>
            <w:vAlign w:val="center"/>
          </w:tcPr>
          <w:p w14:paraId="249BFC87" w14:textId="766BFCA6" w:rsidR="001D21DD" w:rsidRPr="000D119D" w:rsidRDefault="001D21DD" w:rsidP="0030657B">
            <w:pPr>
              <w:pStyle w:val="TableNheader"/>
              <w:jc w:val="center"/>
              <w:rPr>
                <w:b/>
              </w:rPr>
            </w:pPr>
            <w:r w:rsidRPr="000D119D">
              <w:t>Australian Government</w:t>
            </w:r>
          </w:p>
        </w:tc>
        <w:tc>
          <w:tcPr>
            <w:tcW w:w="77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F3381B7" w14:textId="68F9D05C" w:rsidR="001D21DD" w:rsidRPr="000D119D" w:rsidRDefault="001D21DD" w:rsidP="00262679">
            <w:pPr>
              <w:pStyle w:val="TableNText"/>
            </w:pPr>
            <w:r w:rsidRPr="000D119D">
              <w:t xml:space="preserve">$114.5 million over five years to trial eight AMHCs (May 2019), $26.9 million for 15 </w:t>
            </w:r>
            <w:proofErr w:type="spellStart"/>
            <w:r w:rsidRPr="000D119D">
              <w:rPr>
                <w:i/>
                <w:iCs/>
              </w:rPr>
              <w:t>HeadtoHelp</w:t>
            </w:r>
            <w:proofErr w:type="spellEnd"/>
            <w:r w:rsidRPr="000D119D">
              <w:t xml:space="preserve"> hubs in Victoria (March 2020) and $487.2 million for additional Head</w:t>
            </w:r>
            <w:r w:rsidR="00720CC5">
              <w:t xml:space="preserve"> </w:t>
            </w:r>
            <w:r w:rsidRPr="000D119D">
              <w:t>to</w:t>
            </w:r>
            <w:r w:rsidR="00720CC5">
              <w:t xml:space="preserve"> </w:t>
            </w:r>
            <w:r w:rsidRPr="000D119D">
              <w:t>Health AMHCs, $54.2 million for the establishment of Head</w:t>
            </w:r>
            <w:r w:rsidR="00720CC5">
              <w:t xml:space="preserve"> </w:t>
            </w:r>
            <w:r w:rsidRPr="000D119D">
              <w:t>to</w:t>
            </w:r>
            <w:r w:rsidR="00720CC5">
              <w:t xml:space="preserve"> </w:t>
            </w:r>
            <w:r w:rsidRPr="000D119D">
              <w:t xml:space="preserve">Health kids (May 2021) and $7.1 million to extend the operation of at least 12 </w:t>
            </w:r>
            <w:proofErr w:type="spellStart"/>
            <w:r w:rsidRPr="000D119D">
              <w:rPr>
                <w:i/>
                <w:iCs/>
              </w:rPr>
              <w:t>HeadtoHelp</w:t>
            </w:r>
            <w:proofErr w:type="spellEnd"/>
            <w:r w:rsidRPr="000D119D">
              <w:t xml:space="preserve"> clinics until 30 June 2022 (August 2021).</w:t>
            </w:r>
          </w:p>
        </w:tc>
      </w:tr>
      <w:tr w:rsidR="001D21DD" w:rsidRPr="00141636" w14:paraId="47179BB4" w14:textId="77777777" w:rsidTr="0030657B">
        <w:tc>
          <w:tcPr>
            <w:tcW w:w="1341" w:type="dxa"/>
            <w:tcBorders>
              <w:top w:val="single" w:sz="8" w:space="0" w:color="E6E6E1" w:themeColor="accent5"/>
              <w:left w:val="single" w:sz="18" w:space="0" w:color="F25E21" w:themeColor="accent2"/>
              <w:bottom w:val="single" w:sz="8" w:space="0" w:color="E6E6E1" w:themeColor="accent5"/>
              <w:right w:val="single" w:sz="8" w:space="0" w:color="FFFFFF" w:themeColor="background1"/>
            </w:tcBorders>
            <w:shd w:val="clear" w:color="auto" w:fill="00264D" w:themeFill="background2"/>
            <w:vAlign w:val="center"/>
          </w:tcPr>
          <w:p w14:paraId="2356A5CE" w14:textId="77777777" w:rsidR="001D21DD" w:rsidRPr="000D119D" w:rsidRDefault="001D21DD" w:rsidP="0030657B">
            <w:pPr>
              <w:pStyle w:val="TableNheader"/>
              <w:jc w:val="center"/>
              <w:rPr>
                <w:b/>
              </w:rPr>
            </w:pPr>
            <w:r w:rsidRPr="000D119D">
              <w:t>ACT</w:t>
            </w:r>
          </w:p>
        </w:tc>
        <w:tc>
          <w:tcPr>
            <w:tcW w:w="77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E239BAA" w14:textId="77777777" w:rsidR="001D21DD" w:rsidRPr="000D119D" w:rsidRDefault="001D21DD" w:rsidP="00262679">
            <w:pPr>
              <w:pStyle w:val="TableNText"/>
            </w:pPr>
            <w:r w:rsidRPr="000D119D">
              <w:t>$15.8 million to extend a range of mental health programs and services initially funded by the COVID-19 Mental Health Support Package in May 2020 and $3.156 million for Child and Adolescent Mental Health Services (CAHMS) (February 2021).</w:t>
            </w:r>
          </w:p>
        </w:tc>
      </w:tr>
      <w:tr w:rsidR="001D21DD" w:rsidRPr="00141636" w14:paraId="31591E03" w14:textId="77777777" w:rsidTr="0030657B">
        <w:tc>
          <w:tcPr>
            <w:tcW w:w="1341" w:type="dxa"/>
            <w:tcBorders>
              <w:top w:val="single" w:sz="8" w:space="0" w:color="E6E6E1" w:themeColor="accent5"/>
              <w:left w:val="single" w:sz="18" w:space="0" w:color="F25E21" w:themeColor="accent2"/>
              <w:bottom w:val="single" w:sz="8" w:space="0" w:color="E6E6E1" w:themeColor="accent5"/>
              <w:right w:val="single" w:sz="8" w:space="0" w:color="FFFFFF" w:themeColor="background1"/>
            </w:tcBorders>
            <w:shd w:val="clear" w:color="auto" w:fill="00264D" w:themeFill="background2"/>
            <w:vAlign w:val="center"/>
          </w:tcPr>
          <w:p w14:paraId="6FBD2526" w14:textId="77777777" w:rsidR="001D21DD" w:rsidRPr="000D119D" w:rsidRDefault="001D21DD" w:rsidP="0030657B">
            <w:pPr>
              <w:pStyle w:val="TableNheader"/>
              <w:jc w:val="center"/>
              <w:rPr>
                <w:b/>
              </w:rPr>
            </w:pPr>
            <w:r w:rsidRPr="000D119D">
              <w:t>NSW</w:t>
            </w:r>
          </w:p>
        </w:tc>
        <w:tc>
          <w:tcPr>
            <w:tcW w:w="77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6471E10" w14:textId="70326114" w:rsidR="001D21DD" w:rsidRPr="000D119D" w:rsidRDefault="001D21DD" w:rsidP="00262679">
            <w:pPr>
              <w:pStyle w:val="TableNText"/>
            </w:pPr>
            <w:r w:rsidRPr="000D119D">
              <w:t xml:space="preserve">$109.5 million over four years to develop 25 Safeguards – Child and Adolescent Mental Health Crisis Teams (2021-22 budget) and $10.6 million to establish pop up clinics in seven PHNs in NSW (August 2021). </w:t>
            </w:r>
          </w:p>
        </w:tc>
      </w:tr>
      <w:tr w:rsidR="001D21DD" w:rsidRPr="00141636" w14:paraId="7E927B2D" w14:textId="77777777" w:rsidTr="0030657B">
        <w:tc>
          <w:tcPr>
            <w:tcW w:w="1341" w:type="dxa"/>
            <w:tcBorders>
              <w:top w:val="single" w:sz="8" w:space="0" w:color="E6E6E1" w:themeColor="accent5"/>
              <w:left w:val="single" w:sz="18" w:space="0" w:color="F25E21" w:themeColor="accent2"/>
              <w:bottom w:val="single" w:sz="8" w:space="0" w:color="E6E6E1" w:themeColor="accent5"/>
              <w:right w:val="single" w:sz="8" w:space="0" w:color="FFFFFF" w:themeColor="background1"/>
            </w:tcBorders>
            <w:shd w:val="clear" w:color="auto" w:fill="00264D" w:themeFill="background2"/>
            <w:vAlign w:val="center"/>
          </w:tcPr>
          <w:p w14:paraId="42E11688" w14:textId="77777777" w:rsidR="001D21DD" w:rsidRPr="000D119D" w:rsidRDefault="001D21DD" w:rsidP="0030657B">
            <w:pPr>
              <w:pStyle w:val="TableNheader"/>
              <w:jc w:val="center"/>
              <w:rPr>
                <w:b/>
              </w:rPr>
            </w:pPr>
            <w:r w:rsidRPr="000D119D">
              <w:t>NT</w:t>
            </w:r>
          </w:p>
        </w:tc>
        <w:tc>
          <w:tcPr>
            <w:tcW w:w="77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02A3726" w14:textId="77777777" w:rsidR="001D21DD" w:rsidRPr="000D119D" w:rsidRDefault="001D21DD" w:rsidP="00262679">
            <w:pPr>
              <w:pStyle w:val="TableNText"/>
            </w:pPr>
            <w:r w:rsidRPr="000D119D">
              <w:t>$31.8 million to continue expansion and upgrade of the mental health inpatient unit at Royal Darwin Hospital and $7.5 million to establish a mental health stabilisation assessment and referral area at Royal Darwin Hospital (2021-22 budget).</w:t>
            </w:r>
          </w:p>
        </w:tc>
      </w:tr>
      <w:tr w:rsidR="001D21DD" w:rsidRPr="00141636" w14:paraId="05A0B5AD" w14:textId="77777777" w:rsidTr="0030657B">
        <w:tc>
          <w:tcPr>
            <w:tcW w:w="1341" w:type="dxa"/>
            <w:tcBorders>
              <w:top w:val="single" w:sz="8" w:space="0" w:color="E6E6E1" w:themeColor="accent5"/>
              <w:left w:val="single" w:sz="18" w:space="0" w:color="F25E21" w:themeColor="accent2"/>
              <w:bottom w:val="single" w:sz="8" w:space="0" w:color="E6E6E1" w:themeColor="accent5"/>
              <w:right w:val="single" w:sz="8" w:space="0" w:color="FFFFFF" w:themeColor="background1"/>
            </w:tcBorders>
            <w:shd w:val="clear" w:color="auto" w:fill="00264D" w:themeFill="background2"/>
            <w:vAlign w:val="center"/>
          </w:tcPr>
          <w:p w14:paraId="548C6D66" w14:textId="77777777" w:rsidR="001D21DD" w:rsidRPr="000D119D" w:rsidRDefault="001D21DD" w:rsidP="0030657B">
            <w:pPr>
              <w:pStyle w:val="TableNheader"/>
              <w:jc w:val="center"/>
              <w:rPr>
                <w:b/>
              </w:rPr>
            </w:pPr>
            <w:r w:rsidRPr="000D119D">
              <w:t>QLD</w:t>
            </w:r>
          </w:p>
        </w:tc>
        <w:tc>
          <w:tcPr>
            <w:tcW w:w="77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2A4DCC3B" w14:textId="77777777" w:rsidR="001D21DD" w:rsidRPr="000D119D" w:rsidRDefault="001D21DD" w:rsidP="00262679">
            <w:pPr>
              <w:pStyle w:val="TableNText"/>
            </w:pPr>
            <w:r w:rsidRPr="000D119D">
              <w:t>$11.4 million for mental health service projects at Hervey Bay and Maryborough hospitals (2021-22 budget).</w:t>
            </w:r>
          </w:p>
        </w:tc>
      </w:tr>
      <w:tr w:rsidR="001D21DD" w:rsidRPr="00141636" w14:paraId="7C7B3E18" w14:textId="77777777" w:rsidTr="0030657B">
        <w:tc>
          <w:tcPr>
            <w:tcW w:w="1341" w:type="dxa"/>
            <w:tcBorders>
              <w:top w:val="single" w:sz="8" w:space="0" w:color="E6E6E1" w:themeColor="accent5"/>
              <w:left w:val="single" w:sz="18" w:space="0" w:color="F25E21" w:themeColor="accent2"/>
              <w:bottom w:val="single" w:sz="8" w:space="0" w:color="E6E6E1" w:themeColor="accent5"/>
              <w:right w:val="single" w:sz="8" w:space="0" w:color="FFFFFF" w:themeColor="background1"/>
            </w:tcBorders>
            <w:shd w:val="clear" w:color="auto" w:fill="00264D" w:themeFill="background2"/>
            <w:vAlign w:val="center"/>
          </w:tcPr>
          <w:p w14:paraId="016650D8" w14:textId="77777777" w:rsidR="001D21DD" w:rsidRPr="000D119D" w:rsidRDefault="001D21DD" w:rsidP="0030657B">
            <w:pPr>
              <w:pStyle w:val="TableNheader"/>
              <w:jc w:val="center"/>
              <w:rPr>
                <w:b/>
              </w:rPr>
            </w:pPr>
            <w:r w:rsidRPr="000D119D">
              <w:t>SA</w:t>
            </w:r>
          </w:p>
        </w:tc>
        <w:tc>
          <w:tcPr>
            <w:tcW w:w="77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D381B47" w14:textId="77777777" w:rsidR="001D21DD" w:rsidRPr="000D119D" w:rsidRDefault="001D21DD" w:rsidP="00262679">
            <w:pPr>
              <w:pStyle w:val="TableNText"/>
            </w:pPr>
            <w:r w:rsidRPr="000D119D">
              <w:t>$163.5 million package of mental health initiatives over four years, including crisis stabilisation centres, community mental health centres and an older persons’ mental health facility (2021-22 budget).</w:t>
            </w:r>
          </w:p>
        </w:tc>
      </w:tr>
      <w:tr w:rsidR="001D21DD" w:rsidRPr="00141636" w14:paraId="423DAC92" w14:textId="77777777" w:rsidTr="0030657B">
        <w:tc>
          <w:tcPr>
            <w:tcW w:w="1341" w:type="dxa"/>
            <w:tcBorders>
              <w:top w:val="single" w:sz="8" w:space="0" w:color="E6E6E1" w:themeColor="accent5"/>
              <w:left w:val="single" w:sz="18" w:space="0" w:color="F25E21" w:themeColor="accent2"/>
              <w:bottom w:val="single" w:sz="8" w:space="0" w:color="E6E6E1" w:themeColor="accent5"/>
              <w:right w:val="single" w:sz="8" w:space="0" w:color="FFFFFF" w:themeColor="background1"/>
            </w:tcBorders>
            <w:shd w:val="clear" w:color="auto" w:fill="00264D" w:themeFill="background2"/>
            <w:vAlign w:val="center"/>
          </w:tcPr>
          <w:p w14:paraId="1F0A1914" w14:textId="77777777" w:rsidR="001D21DD" w:rsidRPr="000D119D" w:rsidRDefault="001D21DD" w:rsidP="0030657B">
            <w:pPr>
              <w:pStyle w:val="TableNheader"/>
              <w:jc w:val="center"/>
              <w:rPr>
                <w:b/>
              </w:rPr>
            </w:pPr>
            <w:r w:rsidRPr="000D119D">
              <w:t>TAS</w:t>
            </w:r>
          </w:p>
        </w:tc>
        <w:tc>
          <w:tcPr>
            <w:tcW w:w="77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170DF91" w14:textId="77777777" w:rsidR="001D21DD" w:rsidRPr="000D119D" w:rsidRDefault="001D21DD" w:rsidP="00262679">
            <w:pPr>
              <w:pStyle w:val="TableNText"/>
            </w:pPr>
            <w:r w:rsidRPr="000D119D">
              <w:t xml:space="preserve">$56 million to transform the mental health system, </w:t>
            </w:r>
            <w:proofErr w:type="gramStart"/>
            <w:r w:rsidRPr="000D119D">
              <w:t>alcohol</w:t>
            </w:r>
            <w:proofErr w:type="gramEnd"/>
            <w:r w:rsidRPr="000D119D">
              <w:t xml:space="preserve"> and drug services, and boost preventative health measures, and an additional investment of $26 million to support delivery of CAHMS (2021-22 budget).</w:t>
            </w:r>
          </w:p>
        </w:tc>
      </w:tr>
      <w:tr w:rsidR="001D21DD" w:rsidRPr="00141636" w14:paraId="70505A27" w14:textId="77777777" w:rsidTr="0030657B">
        <w:tc>
          <w:tcPr>
            <w:tcW w:w="1341" w:type="dxa"/>
            <w:tcBorders>
              <w:top w:val="single" w:sz="8" w:space="0" w:color="E6E6E1" w:themeColor="accent5"/>
              <w:left w:val="single" w:sz="18" w:space="0" w:color="F25E21" w:themeColor="accent2"/>
              <w:bottom w:val="single" w:sz="8" w:space="0" w:color="E6E6E1" w:themeColor="accent5"/>
              <w:right w:val="single" w:sz="8" w:space="0" w:color="FFFFFF" w:themeColor="background1"/>
            </w:tcBorders>
            <w:shd w:val="clear" w:color="auto" w:fill="00264D" w:themeFill="background2"/>
            <w:vAlign w:val="center"/>
          </w:tcPr>
          <w:p w14:paraId="53123049" w14:textId="77777777" w:rsidR="001D21DD" w:rsidRPr="000D119D" w:rsidRDefault="001D21DD" w:rsidP="0030657B">
            <w:pPr>
              <w:pStyle w:val="TableNheader"/>
              <w:jc w:val="center"/>
              <w:rPr>
                <w:b/>
              </w:rPr>
            </w:pPr>
            <w:r w:rsidRPr="000D119D">
              <w:t>VIC</w:t>
            </w:r>
          </w:p>
        </w:tc>
        <w:tc>
          <w:tcPr>
            <w:tcW w:w="77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7BD332CA" w14:textId="77777777" w:rsidR="001D21DD" w:rsidRPr="000D119D" w:rsidRDefault="001D21DD" w:rsidP="00262679">
            <w:pPr>
              <w:pStyle w:val="TableNText"/>
            </w:pPr>
            <w:r w:rsidRPr="000D119D">
              <w:t xml:space="preserve">$264 million for the first 20 of up to 60 new Local Adult and Older Adult Mental Health and </w:t>
            </w:r>
            <w:r w:rsidRPr="000D119D">
              <w:lastRenderedPageBreak/>
              <w:t>Wellbeing Services and $196 million for dedicated services to support families through 13 new Infant, Child and Youth Area Mental Health and Wellbeing Services (2021-22 budget).</w:t>
            </w:r>
          </w:p>
        </w:tc>
      </w:tr>
      <w:tr w:rsidR="001D21DD" w:rsidRPr="00141636" w14:paraId="1E96494D" w14:textId="77777777" w:rsidTr="0030657B">
        <w:tc>
          <w:tcPr>
            <w:tcW w:w="1341" w:type="dxa"/>
            <w:tcBorders>
              <w:top w:val="single" w:sz="8" w:space="0" w:color="E6E6E1" w:themeColor="accent5"/>
              <w:left w:val="single" w:sz="18" w:space="0" w:color="F25E21" w:themeColor="accent2"/>
              <w:right w:val="single" w:sz="8" w:space="0" w:color="FFFFFF" w:themeColor="background1"/>
            </w:tcBorders>
            <w:shd w:val="clear" w:color="auto" w:fill="00264D" w:themeFill="background2"/>
            <w:vAlign w:val="center"/>
          </w:tcPr>
          <w:p w14:paraId="559F843A" w14:textId="77777777" w:rsidR="001D21DD" w:rsidRPr="000D119D" w:rsidRDefault="001D21DD" w:rsidP="0030657B">
            <w:pPr>
              <w:pStyle w:val="TableNheader"/>
              <w:jc w:val="center"/>
              <w:rPr>
                <w:b/>
              </w:rPr>
            </w:pPr>
            <w:r w:rsidRPr="000D119D">
              <w:lastRenderedPageBreak/>
              <w:t>WA</w:t>
            </w:r>
          </w:p>
        </w:tc>
        <w:tc>
          <w:tcPr>
            <w:tcW w:w="77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3A07ADD" w14:textId="77777777" w:rsidR="001D21DD" w:rsidRPr="000D119D" w:rsidRDefault="001D21DD" w:rsidP="00262679">
            <w:pPr>
              <w:pStyle w:val="TableNText"/>
            </w:pPr>
            <w:r w:rsidRPr="000D119D">
              <w:t>$1.9 billion in health and hospital services to recruit additional staff and create more available beds (details are to come in September 2021).</w:t>
            </w:r>
          </w:p>
        </w:tc>
      </w:tr>
    </w:tbl>
    <w:p w14:paraId="7F67D333" w14:textId="67111214" w:rsidR="001D21DD" w:rsidRPr="000D119D" w:rsidRDefault="001D21DD" w:rsidP="003D209E">
      <w:pPr>
        <w:rPr>
          <w:b/>
          <w:bCs/>
          <w:lang w:val="en-AU" w:eastAsia="en-AU"/>
        </w:rPr>
      </w:pPr>
      <w:r w:rsidRPr="000D119D">
        <w:rPr>
          <w:lang w:val="en-AU"/>
        </w:rPr>
        <w:t>A further risk to AMHC operations more broadly is the perception by some stakeholders that the AMHC</w:t>
      </w:r>
      <w:r w:rsidR="006C0F6C">
        <w:rPr>
          <w:lang w:val="en-AU"/>
        </w:rPr>
        <w:t>s</w:t>
      </w:r>
      <w:r w:rsidRPr="000D119D">
        <w:rPr>
          <w:lang w:val="en-AU"/>
        </w:rPr>
        <w:t xml:space="preserve"> are an alternative to the </w:t>
      </w:r>
      <w:r w:rsidR="00A005B7" w:rsidRPr="006F0F46">
        <w:rPr>
          <w:lang w:val="en-AU"/>
        </w:rPr>
        <w:t>ED</w:t>
      </w:r>
      <w:r w:rsidRPr="006F0F46">
        <w:rPr>
          <w:lang w:val="en-AU"/>
        </w:rPr>
        <w:t>.</w:t>
      </w:r>
      <w:r w:rsidRPr="000D119D">
        <w:rPr>
          <w:lang w:val="en-AU"/>
        </w:rPr>
        <w:t xml:space="preserve"> </w:t>
      </w:r>
      <w:r w:rsidRPr="000D119D" w:rsidDel="00CD18C0">
        <w:rPr>
          <w:lang w:val="en-AU"/>
        </w:rPr>
        <w:t xml:space="preserve">While it is true that </w:t>
      </w:r>
      <w:r w:rsidRPr="000D119D">
        <w:rPr>
          <w:lang w:val="en-AU"/>
        </w:rPr>
        <w:t>t</w:t>
      </w:r>
      <w:r w:rsidRPr="000D119D" w:rsidDel="00CF3984">
        <w:rPr>
          <w:lang w:val="en-AU"/>
        </w:rPr>
        <w:t xml:space="preserve">he AMHCs </w:t>
      </w:r>
      <w:r w:rsidRPr="000D119D">
        <w:rPr>
          <w:lang w:val="en-AU"/>
        </w:rPr>
        <w:t>provide</w:t>
      </w:r>
      <w:r w:rsidRPr="000D119D" w:rsidDel="00CF3984">
        <w:rPr>
          <w:lang w:val="en-AU"/>
        </w:rPr>
        <w:t xml:space="preserve"> an alternative to </w:t>
      </w:r>
      <w:r w:rsidRPr="000D119D">
        <w:rPr>
          <w:lang w:val="en-AU"/>
        </w:rPr>
        <w:t>many individuals who may have previously present</w:t>
      </w:r>
      <w:r w:rsidRPr="000D119D" w:rsidDel="00CD18C0">
        <w:rPr>
          <w:lang w:val="en-AU"/>
        </w:rPr>
        <w:t>ed</w:t>
      </w:r>
      <w:r w:rsidRPr="000D119D">
        <w:rPr>
          <w:lang w:val="en-AU"/>
        </w:rPr>
        <w:t xml:space="preserve"> to</w:t>
      </w:r>
      <w:r w:rsidR="00CD18C0" w:rsidRPr="000D119D">
        <w:rPr>
          <w:lang w:val="en-AU"/>
        </w:rPr>
        <w:t xml:space="preserve"> </w:t>
      </w:r>
      <w:r w:rsidRPr="000D119D" w:rsidDel="00CF3984">
        <w:rPr>
          <w:lang w:val="en-AU"/>
        </w:rPr>
        <w:t xml:space="preserve">emergency </w:t>
      </w:r>
      <w:r w:rsidRPr="000D119D" w:rsidDel="00D670B1">
        <w:rPr>
          <w:lang w:val="en-AU"/>
        </w:rPr>
        <w:t xml:space="preserve">where this was not clinically required, </w:t>
      </w:r>
      <w:r w:rsidRPr="000D119D">
        <w:rPr>
          <w:lang w:val="en-AU"/>
        </w:rPr>
        <w:t xml:space="preserve">the AMHC model and staffing profile is not equipped to deal with clients in severe crisis. It is essential that this is well-communicated to other services and the </w:t>
      </w:r>
      <w:proofErr w:type="gramStart"/>
      <w:r w:rsidRPr="000D119D">
        <w:rPr>
          <w:lang w:val="en-AU"/>
        </w:rPr>
        <w:t>general public</w:t>
      </w:r>
      <w:proofErr w:type="gramEnd"/>
      <w:r w:rsidRPr="000D119D">
        <w:rPr>
          <w:lang w:val="en-AU"/>
        </w:rPr>
        <w:t xml:space="preserve"> to avoid placing the AMHCs in situations that they are unable to manage, negatively affecting both them and their clients.</w:t>
      </w:r>
    </w:p>
    <w:p w14:paraId="4A30DBE4" w14:textId="77777777" w:rsidR="000A575B" w:rsidRPr="000D119D" w:rsidRDefault="000A575B" w:rsidP="000A575B">
      <w:pPr>
        <w:pStyle w:val="Heading3"/>
      </w:pPr>
      <w:bookmarkStart w:id="149" w:name="_Toc99650371"/>
      <w:r w:rsidRPr="000D119D">
        <w:t>Collaboration across AMHCs</w:t>
      </w:r>
      <w:bookmarkEnd w:id="149"/>
    </w:p>
    <w:p w14:paraId="4F708667" w14:textId="415150CF" w:rsidR="000A575B" w:rsidRPr="000D119D" w:rsidRDefault="000A575B" w:rsidP="000A575B">
      <w:pPr>
        <w:rPr>
          <w:rFonts w:eastAsia="Times New Roman" w:cs="Times New Roman"/>
          <w:b/>
          <w:color w:val="000000" w:themeColor="text1"/>
          <w:szCs w:val="24"/>
          <w:lang w:val="en-AU" w:eastAsia="en-AU"/>
        </w:rPr>
      </w:pPr>
      <w:r w:rsidRPr="000D119D">
        <w:rPr>
          <w:rFonts w:eastAsia="Times New Roman" w:cs="Times New Roman"/>
          <w:b/>
          <w:color w:val="000000" w:themeColor="text1"/>
          <w:szCs w:val="24"/>
          <w:lang w:val="en-AU" w:eastAsia="en-AU"/>
        </w:rPr>
        <w:t>PHNs recognise the value of collaboration, but supporting mechanisms could have been more structured and effective</w:t>
      </w:r>
      <w:r w:rsidR="001363DF" w:rsidRPr="000D119D">
        <w:rPr>
          <w:rFonts w:eastAsia="Times New Roman" w:cs="Times New Roman"/>
          <w:b/>
          <w:color w:val="000000" w:themeColor="text1"/>
          <w:szCs w:val="24"/>
          <w:lang w:val="en-AU" w:eastAsia="en-AU"/>
        </w:rPr>
        <w:t xml:space="preserve"> </w:t>
      </w:r>
    </w:p>
    <w:p w14:paraId="3F0FDF69" w14:textId="7C4DA4A9" w:rsidR="007A3E41" w:rsidRPr="00905A3A" w:rsidRDefault="000A575B" w:rsidP="000A575B">
      <w:pPr>
        <w:rPr>
          <w:lang w:val="en-AU"/>
        </w:rPr>
      </w:pPr>
      <w:r w:rsidRPr="000D119D">
        <w:rPr>
          <w:lang w:val="en-AU"/>
        </w:rPr>
        <w:t xml:space="preserve">Some sharing amongst PHNs took place during the establishment phase and several PHNs found the national PHN </w:t>
      </w:r>
      <w:r w:rsidR="00356E42" w:rsidRPr="000D119D">
        <w:rPr>
          <w:lang w:val="en-AU"/>
        </w:rPr>
        <w:t xml:space="preserve">Steering Committee </w:t>
      </w:r>
      <w:r w:rsidRPr="000D119D">
        <w:rPr>
          <w:lang w:val="en-AU"/>
        </w:rPr>
        <w:t xml:space="preserve">organised by </w:t>
      </w:r>
      <w:r w:rsidR="00641398">
        <w:rPr>
          <w:lang w:val="en-AU"/>
        </w:rPr>
        <w:t>the Department</w:t>
      </w:r>
      <w:r w:rsidRPr="000D119D">
        <w:rPr>
          <w:lang w:val="en-AU"/>
        </w:rPr>
        <w:t xml:space="preserve"> useful for sharing challenges and discussing progress. However, most PHNs have not had the level of engagement or information sharing with other PHNs that they would have liked. SA Health reported that during the tendering stage of the other AMHCs, there was good information sharing with the PHN network, however this decreased as the other PHNs progressed with the establishment of their centres. Victorian PHNs noted that they felt there was an opportunity for them to provide more learnings to other PHNs from their </w:t>
      </w:r>
      <w:proofErr w:type="spellStart"/>
      <w:r w:rsidRPr="003D209E">
        <w:rPr>
          <w:rStyle w:val="Emphasis"/>
        </w:rPr>
        <w:t>HeadtoHelp</w:t>
      </w:r>
      <w:proofErr w:type="spellEnd"/>
      <w:r w:rsidRPr="000D119D">
        <w:rPr>
          <w:lang w:val="en-AU"/>
        </w:rPr>
        <w:t xml:space="preserve"> experience. </w:t>
      </w:r>
    </w:p>
    <w:p w14:paraId="1723867E" w14:textId="5D80DE2C" w:rsidR="000A575B" w:rsidRPr="000D119D" w:rsidRDefault="000A575B" w:rsidP="000A575B">
      <w:pPr>
        <w:rPr>
          <w:rFonts w:eastAsia="Times New Roman" w:cs="Times New Roman"/>
          <w:b/>
          <w:color w:val="000000" w:themeColor="text1"/>
          <w:szCs w:val="24"/>
          <w:lang w:val="en-AU" w:eastAsia="en-AU"/>
        </w:rPr>
      </w:pPr>
      <w:r w:rsidRPr="000D119D">
        <w:rPr>
          <w:rFonts w:eastAsia="Times New Roman" w:cs="Times New Roman"/>
          <w:b/>
          <w:color w:val="000000" w:themeColor="text1"/>
          <w:szCs w:val="24"/>
          <w:lang w:val="en-AU" w:eastAsia="en-AU"/>
        </w:rPr>
        <w:t xml:space="preserve">Strong collaboration occurred between Neami centres, </w:t>
      </w:r>
      <w:r w:rsidRPr="000D119D" w:rsidDel="008F3713">
        <w:rPr>
          <w:rFonts w:eastAsia="Times New Roman" w:cs="Times New Roman"/>
          <w:b/>
          <w:color w:val="000000" w:themeColor="text1"/>
          <w:szCs w:val="24"/>
          <w:lang w:val="en-AU" w:eastAsia="en-AU"/>
        </w:rPr>
        <w:t>but did not extend</w:t>
      </w:r>
      <w:r w:rsidRPr="000D119D" w:rsidDel="00DA3CED">
        <w:rPr>
          <w:rFonts w:eastAsia="Times New Roman" w:cs="Times New Roman"/>
          <w:b/>
          <w:color w:val="000000" w:themeColor="text1"/>
          <w:szCs w:val="24"/>
          <w:lang w:val="en-AU" w:eastAsia="en-AU"/>
        </w:rPr>
        <w:t xml:space="preserve"> to other</w:t>
      </w:r>
      <w:r w:rsidRPr="000D119D">
        <w:rPr>
          <w:rFonts w:eastAsia="Times New Roman" w:cs="Times New Roman"/>
          <w:b/>
          <w:color w:val="000000" w:themeColor="text1"/>
          <w:szCs w:val="24"/>
          <w:lang w:val="en-AU" w:eastAsia="en-AU"/>
        </w:rPr>
        <w:t xml:space="preserve"> providers </w:t>
      </w:r>
    </w:p>
    <w:p w14:paraId="48EB420D" w14:textId="6E07E27D" w:rsidR="000A575B" w:rsidRPr="000D119D" w:rsidRDefault="000A575B" w:rsidP="000A575B">
      <w:pPr>
        <w:rPr>
          <w:lang w:val="en-AU"/>
        </w:rPr>
      </w:pPr>
      <w:r w:rsidRPr="000D119D">
        <w:rPr>
          <w:lang w:val="en-AU"/>
        </w:rPr>
        <w:t xml:space="preserve">Stakeholders are strongly of the view that it would be beneficial to share intelligence across AMHCs, such as lessons learnt, barriers to implementation </w:t>
      </w:r>
      <w:r w:rsidRPr="000D119D" w:rsidDel="00DA3CED">
        <w:rPr>
          <w:lang w:val="en-AU"/>
        </w:rPr>
        <w:t xml:space="preserve">and </w:t>
      </w:r>
      <w:r w:rsidRPr="000D119D">
        <w:rPr>
          <w:lang w:val="en-AU"/>
        </w:rPr>
        <w:t xml:space="preserve">solutions identified. Many stakeholders also indicated it would be valuable to combine elements of the co-design process, such as the testing of service models for different cohorts. </w:t>
      </w:r>
    </w:p>
    <w:p w14:paraId="0451C1FF" w14:textId="14EF6894" w:rsidR="000A575B" w:rsidRPr="000D119D" w:rsidRDefault="000A575B" w:rsidP="000A575B">
      <w:pPr>
        <w:rPr>
          <w:lang w:val="en-AU"/>
        </w:rPr>
      </w:pPr>
      <w:r w:rsidRPr="000D119D">
        <w:rPr>
          <w:lang w:val="en-AU"/>
        </w:rPr>
        <w:t>Conversations with AMHC managers in the first few weeks of operation highlighted that the five AMHCs who have Neami National as their provider have been collaborating strongly, with weekly meetings to share learnings and solve problems. However, there has been</w:t>
      </w:r>
      <w:r w:rsidR="00727340" w:rsidRPr="000D119D">
        <w:rPr>
          <w:lang w:val="en-AU"/>
        </w:rPr>
        <w:t xml:space="preserve"> </w:t>
      </w:r>
      <w:r w:rsidRPr="000D119D">
        <w:rPr>
          <w:lang w:val="en-AU"/>
        </w:rPr>
        <w:t xml:space="preserve">no collaboration between the three centres who do not have Neami as their provider (WA, ACT and TAS), either with each other or with the Neami centres. While the non-Neami centres have not expressed a strong desire to work with other centres, the Neami centres have found working together to be extremely useful. </w:t>
      </w:r>
      <w:r w:rsidR="00641398">
        <w:rPr>
          <w:lang w:val="en-AU"/>
        </w:rPr>
        <w:t>The Department</w:t>
      </w:r>
      <w:r w:rsidRPr="000D119D">
        <w:rPr>
          <w:lang w:val="en-AU"/>
        </w:rPr>
        <w:t xml:space="preserve"> should consider organising for collaboration to extend beyond only Neami centres, to ensure that all centres can experience the benefits of shared knowledge and avoid a ‘Neami v</w:t>
      </w:r>
      <w:r w:rsidR="00A27143">
        <w:rPr>
          <w:lang w:val="en-AU"/>
        </w:rPr>
        <w:t>ersu</w:t>
      </w:r>
      <w:r w:rsidRPr="000D119D">
        <w:rPr>
          <w:lang w:val="en-AU"/>
        </w:rPr>
        <w:t>s non-Neami’ scenario.</w:t>
      </w:r>
    </w:p>
    <w:p w14:paraId="4F8BFBDF" w14:textId="2C0CCC32" w:rsidR="000A575B" w:rsidRPr="000D119D" w:rsidRDefault="000A575B" w:rsidP="000A575B">
      <w:pPr>
        <w:rPr>
          <w:lang w:val="en-AU"/>
        </w:rPr>
      </w:pPr>
      <w:r w:rsidRPr="000D119D">
        <w:rPr>
          <w:lang w:val="en-AU"/>
        </w:rPr>
        <w:t xml:space="preserve">A barrier to sharing operational successes is that, in some cases, materials will be competitive intellectual property of providers – however, this could be overcome by </w:t>
      </w:r>
      <w:r w:rsidR="00641398">
        <w:rPr>
          <w:lang w:val="en-AU"/>
        </w:rPr>
        <w:t>the Department</w:t>
      </w:r>
      <w:r w:rsidRPr="000D119D">
        <w:rPr>
          <w:lang w:val="en-AU"/>
        </w:rPr>
        <w:t xml:space="preserve"> providing some requirement or incentive that such material is available to share more broadly. This is appropriate and recognises that there needs to be specific funding to support collaboration – it is not </w:t>
      </w:r>
      <w:r w:rsidRPr="000D119D" w:rsidDel="00856AF5">
        <w:rPr>
          <w:lang w:val="en-AU"/>
        </w:rPr>
        <w:t xml:space="preserve">enough </w:t>
      </w:r>
      <w:r w:rsidRPr="000D119D">
        <w:rPr>
          <w:lang w:val="en-AU"/>
        </w:rPr>
        <w:t xml:space="preserve">to rely on this </w:t>
      </w:r>
      <w:r w:rsidRPr="000D119D" w:rsidDel="00001193">
        <w:rPr>
          <w:lang w:val="en-AU"/>
        </w:rPr>
        <w:t xml:space="preserve">always </w:t>
      </w:r>
      <w:r w:rsidRPr="000D119D">
        <w:rPr>
          <w:lang w:val="en-AU"/>
        </w:rPr>
        <w:t xml:space="preserve">occurring organically. </w:t>
      </w:r>
    </w:p>
    <w:p w14:paraId="329A5092" w14:textId="1E50FF16" w:rsidR="000A575B" w:rsidRDefault="000A575B" w:rsidP="000A575B">
      <w:pPr>
        <w:pStyle w:val="Heading2"/>
      </w:pPr>
      <w:bookmarkStart w:id="150" w:name="_Toc99650372"/>
      <w:bookmarkStart w:id="151" w:name="_Toc90928504"/>
      <w:r w:rsidRPr="000D119D">
        <w:t>How</w:t>
      </w:r>
      <w:r w:rsidRPr="000D119D">
        <w:rPr>
          <w:rFonts w:asciiTheme="majorHAnsi" w:hAnsiTheme="majorHAnsi" w:cstheme="majorHAnsi"/>
        </w:rPr>
        <w:t xml:space="preserve"> appropriate</w:t>
      </w:r>
      <w:r w:rsidRPr="000D119D">
        <w:t xml:space="preserve"> is the IAR intake process that has been developed?</w:t>
      </w:r>
      <w:bookmarkEnd w:id="150"/>
      <w:bookmarkEnd w:id="151"/>
    </w:p>
    <w:p w14:paraId="793E4662" w14:textId="4C5DE7AC" w:rsidR="003D209E" w:rsidRPr="00D8203E" w:rsidRDefault="003D209E" w:rsidP="003D209E">
      <w:pPr>
        <w:pStyle w:val="CalloutOrange"/>
        <w:rPr>
          <w:b/>
          <w:color w:val="F8981D" w:themeColor="accent3"/>
        </w:rPr>
      </w:pPr>
      <w:r w:rsidRPr="00D8203E">
        <w:rPr>
          <w:b/>
          <w:color w:val="F8981D" w:themeColor="accent3"/>
        </w:rPr>
        <w:t>Key findings</w:t>
      </w:r>
      <w:r w:rsidR="00D8203E">
        <w:rPr>
          <w:b/>
          <w:color w:val="F8981D" w:themeColor="accent3"/>
        </w:rPr>
        <w:t>:</w:t>
      </w:r>
    </w:p>
    <w:p w14:paraId="2456B697" w14:textId="651F1D3D" w:rsidR="003D209E" w:rsidRPr="003D209E" w:rsidRDefault="003D209E" w:rsidP="003D209E">
      <w:pPr>
        <w:pStyle w:val="CalloutOrange"/>
      </w:pPr>
      <w:r w:rsidRPr="000D119D">
        <w:t xml:space="preserve">The IAR-DST will be adopted by all the AMHCs in some form, with some states having plans to adopt the system across state mental health services. Where IAR has already been implemented, for example in the pop-up clinic in NSW, it has received positive feedback. To improve the intake </w:t>
      </w:r>
      <w:r w:rsidRPr="000D119D">
        <w:lastRenderedPageBreak/>
        <w:t>process and ensure consistency for clients, there needs to be further awareness of and training in the use of the IAR, as well as consolidation of the intake pathways (phone lines and walk in processes) across AMHCs. The effectiveness of the IAR would increase significantly if supported by an up-to-date directory of services as this would improve the experience of clients and staff attempting to navigate the mental health system.</w:t>
      </w:r>
    </w:p>
    <w:p w14:paraId="15E75C02" w14:textId="77777777" w:rsidR="000A575B" w:rsidRPr="000D119D" w:rsidRDefault="000A575B" w:rsidP="000A575B">
      <w:pPr>
        <w:pStyle w:val="Heading3"/>
      </w:pPr>
      <w:bookmarkStart w:id="152" w:name="_Toc99650373"/>
      <w:r w:rsidRPr="000D119D">
        <w:t>Uptake of the IAR-DST</w:t>
      </w:r>
      <w:bookmarkEnd w:id="152"/>
    </w:p>
    <w:p w14:paraId="05B3DD91" w14:textId="77777777" w:rsidR="000A575B" w:rsidRPr="000D119D" w:rsidRDefault="000A575B" w:rsidP="00BE0860">
      <w:pPr>
        <w:pStyle w:val="Heading4"/>
      </w:pPr>
      <w:r w:rsidRPr="000D119D">
        <w:t>All AMHCs are using or proposing to use the IAR-DST in some form</w:t>
      </w:r>
    </w:p>
    <w:p w14:paraId="6047A52B" w14:textId="57042CDE" w:rsidR="000A575B" w:rsidRPr="000D119D" w:rsidRDefault="000A575B" w:rsidP="00E457E2">
      <w:pPr>
        <w:rPr>
          <w:lang w:val="en-AU" w:eastAsia="en-AU"/>
        </w:rPr>
      </w:pPr>
      <w:proofErr w:type="gramStart"/>
      <w:r w:rsidRPr="000D119D">
        <w:rPr>
          <w:lang w:val="en-AU" w:eastAsia="en-AU"/>
        </w:rPr>
        <w:t>With the exception of</w:t>
      </w:r>
      <w:proofErr w:type="gramEnd"/>
      <w:r w:rsidRPr="000D119D">
        <w:rPr>
          <w:lang w:val="en-AU" w:eastAsia="en-AU"/>
        </w:rPr>
        <w:t xml:space="preserve"> the SA AMHC, all AMHCs have indicated they will be using the IAR-DST from the outset, with a degree of local adaptation expected</w:t>
      </w:r>
      <w:r w:rsidR="00B82176" w:rsidRPr="000D119D">
        <w:rPr>
          <w:lang w:val="en-AU" w:eastAsia="en-AU"/>
        </w:rPr>
        <w:t>. In addition,</w:t>
      </w:r>
      <w:r w:rsidRPr="000D119D">
        <w:rPr>
          <w:lang w:val="en-AU" w:eastAsia="en-AU"/>
        </w:rPr>
        <w:t xml:space="preserve"> different versions of </w:t>
      </w:r>
      <w:r w:rsidR="00B82176" w:rsidRPr="000D119D">
        <w:rPr>
          <w:lang w:val="en-AU" w:eastAsia="en-AU"/>
        </w:rPr>
        <w:t xml:space="preserve">the IAR-DST </w:t>
      </w:r>
      <w:r w:rsidRPr="000D119D">
        <w:rPr>
          <w:lang w:val="en-AU" w:eastAsia="en-AU"/>
        </w:rPr>
        <w:t xml:space="preserve">are now being produced for </w:t>
      </w:r>
      <w:proofErr w:type="gramStart"/>
      <w:r w:rsidRPr="000D119D">
        <w:rPr>
          <w:lang w:val="en-AU" w:eastAsia="en-AU"/>
        </w:rPr>
        <w:t>particular cohorts</w:t>
      </w:r>
      <w:proofErr w:type="gramEnd"/>
      <w:r w:rsidRPr="000D119D">
        <w:rPr>
          <w:lang w:val="en-AU" w:eastAsia="en-AU"/>
        </w:rPr>
        <w:t xml:space="preserve"> such as children, Aboriginal and Torres Strait Islander peoples, elderly people, CALD populations, veterans and people with a disability. </w:t>
      </w:r>
      <w:proofErr w:type="gramStart"/>
      <w:r w:rsidRPr="000D119D">
        <w:rPr>
          <w:lang w:val="en-AU" w:eastAsia="en-AU"/>
        </w:rPr>
        <w:t>A number of</w:t>
      </w:r>
      <w:proofErr w:type="gramEnd"/>
      <w:r w:rsidRPr="000D119D">
        <w:rPr>
          <w:lang w:val="en-AU" w:eastAsia="en-AU"/>
        </w:rPr>
        <w:t xml:space="preserve"> states are also planning, or will be required through bilateral agreements, to use the IAR across all of their mental health services. SA Health has been using state triage tools compatible with the primary referrers, however consultations in late 2021 indicated considering using the IAR-DST.</w:t>
      </w:r>
    </w:p>
    <w:p w14:paraId="37985ADF" w14:textId="77777777" w:rsidR="000A575B" w:rsidRPr="000D119D" w:rsidRDefault="000A575B" w:rsidP="000A575B">
      <w:pPr>
        <w:rPr>
          <w:lang w:val="en-AU" w:eastAsia="en-AU"/>
        </w:rPr>
      </w:pPr>
      <w:r w:rsidRPr="000D119D">
        <w:rPr>
          <w:lang w:val="en-AU" w:eastAsia="en-AU"/>
        </w:rPr>
        <w:t>While some PHNs and AMHCs have noted the need for more staff training on the use of the IAR-DST, there has already been some positive feedback on the tool:</w:t>
      </w:r>
    </w:p>
    <w:p w14:paraId="6AE2FC05" w14:textId="0759CCBD" w:rsidR="000A575B" w:rsidRPr="000D119D" w:rsidRDefault="000A575B" w:rsidP="00E457E2">
      <w:pPr>
        <w:pStyle w:val="ListBullet"/>
      </w:pPr>
      <w:r w:rsidRPr="000D119D">
        <w:t>In NSW, where a pop-up clinic has been operating, it was reported that the IAR service and the accompanying level of customer service is ‘almost as therapeutic as the mental health services offered.’</w:t>
      </w:r>
    </w:p>
    <w:p w14:paraId="20EB31F2" w14:textId="0BEA31AD" w:rsidR="000A575B" w:rsidRPr="000D119D" w:rsidRDefault="000A575B" w:rsidP="00D8203E">
      <w:pPr>
        <w:pStyle w:val="ListBullet"/>
      </w:pPr>
      <w:r w:rsidRPr="000D119D">
        <w:t>WAPHA has found the IAR-DST to be highly effective as a service navigation and decision tool, and its expanded implementation has the potential to transform how clients enter and navigate the mental health service system</w:t>
      </w:r>
      <w:r w:rsidR="006B1D1D" w:rsidRPr="000D119D">
        <w:t>.</w:t>
      </w:r>
    </w:p>
    <w:p w14:paraId="79E7DA91" w14:textId="1660DC78" w:rsidR="000A575B" w:rsidRPr="000D119D" w:rsidRDefault="000A575B" w:rsidP="00D8203E">
      <w:pPr>
        <w:pStyle w:val="ListBullet"/>
      </w:pPr>
      <w:r w:rsidRPr="000D119D">
        <w:t>In Victoria, GPs perceive elements of the IAR to be equally important to the program as the buildings and the people, and Victoria’s new state hubs will be using the IAR, although it was mentioned by the AMHC in Victoria that they were not confident on when to use and how to report on client information using the IAR.</w:t>
      </w:r>
    </w:p>
    <w:p w14:paraId="4EB8DBB8" w14:textId="77777777" w:rsidR="000A575B" w:rsidRPr="00E457E2" w:rsidRDefault="000A575B" w:rsidP="00E457E2">
      <w:r w:rsidRPr="00E457E2">
        <w:t xml:space="preserve">While some AMHCs have had the opportunity to learn from the </w:t>
      </w:r>
      <w:proofErr w:type="spellStart"/>
      <w:r w:rsidRPr="00E457E2">
        <w:t>HeadtoHelp</w:t>
      </w:r>
      <w:proofErr w:type="spellEnd"/>
      <w:r w:rsidRPr="00E457E2">
        <w:t xml:space="preserve"> hubs and ‘pop-ups’, this was not reflected equally across stakeholders, suggesting learnings could have been more deliberately distributed.</w:t>
      </w:r>
    </w:p>
    <w:p w14:paraId="24D2032D" w14:textId="28FD1C31" w:rsidR="000A575B" w:rsidRPr="000D119D" w:rsidRDefault="000A575B" w:rsidP="00BE0860">
      <w:pPr>
        <w:pStyle w:val="Heading4"/>
      </w:pPr>
      <w:r w:rsidRPr="000D119D">
        <w:t>AMHCs are operating individual intake phone lines and walk-in processes</w:t>
      </w:r>
      <w:r w:rsidR="00B82176" w:rsidRPr="000D119D">
        <w:t xml:space="preserve"> which will need to be unified </w:t>
      </w:r>
    </w:p>
    <w:p w14:paraId="27D0AD51" w14:textId="050FA388" w:rsidR="000A575B" w:rsidRPr="000D119D" w:rsidRDefault="000A575B" w:rsidP="000A575B">
      <w:pPr>
        <w:rPr>
          <w:lang w:val="en-AU"/>
        </w:rPr>
      </w:pPr>
      <w:r w:rsidRPr="000D119D">
        <w:rPr>
          <w:lang w:val="en-AU"/>
        </w:rPr>
        <w:t xml:space="preserve">Many AMHCs have reported operating their own intake telephone lines for the centres, with some having offered a telephone-only service for their first weeks of operations while waiting to move into physical facilities. However, having multiple intake lines for </w:t>
      </w:r>
      <w:r w:rsidR="00810D54">
        <w:rPr>
          <w:lang w:val="en-AU"/>
        </w:rPr>
        <w:t>AMHCs</w:t>
      </w:r>
      <w:r w:rsidRPr="000D119D">
        <w:rPr>
          <w:lang w:val="en-AU"/>
        </w:rPr>
        <w:t xml:space="preserve"> and other mental health services is likely to cause confusion for clients (as has already been seen in some cases for </w:t>
      </w:r>
      <w:proofErr w:type="spellStart"/>
      <w:r w:rsidRPr="00FB4274">
        <w:rPr>
          <w:i/>
          <w:lang w:val="en-AU"/>
        </w:rPr>
        <w:t>HeadtoHelp</w:t>
      </w:r>
      <w:proofErr w:type="spellEnd"/>
      <w:r w:rsidRPr="000D119D">
        <w:rPr>
          <w:lang w:val="en-AU"/>
        </w:rPr>
        <w:t xml:space="preserve">). </w:t>
      </w:r>
    </w:p>
    <w:p w14:paraId="0B95B959" w14:textId="307A1AF2" w:rsidR="000A575B" w:rsidRPr="000D119D" w:rsidRDefault="000A575B" w:rsidP="000A575B">
      <w:pPr>
        <w:rPr>
          <w:lang w:val="en-AU"/>
        </w:rPr>
      </w:pPr>
      <w:r w:rsidRPr="000D119D">
        <w:rPr>
          <w:lang w:val="en-AU"/>
        </w:rPr>
        <w:t xml:space="preserve">To avoid this confusion and ensure a consistent intake experience for all AMHC clients, the individual phone lines will need to be reviewed and planning undertaken for how these will fit into/be transitioned to the national mental health IAR telephone service which is planned for release by </w:t>
      </w:r>
      <w:r w:rsidR="00641398">
        <w:rPr>
          <w:lang w:val="en-AU"/>
        </w:rPr>
        <w:t>the Department</w:t>
      </w:r>
      <w:r w:rsidRPr="000D119D">
        <w:rPr>
          <w:lang w:val="en-AU"/>
        </w:rPr>
        <w:t xml:space="preserve"> in July 2022.</w:t>
      </w:r>
    </w:p>
    <w:p w14:paraId="09F4324C" w14:textId="77777777" w:rsidR="000A575B" w:rsidRPr="000D119D" w:rsidRDefault="000A575B" w:rsidP="000A575B">
      <w:pPr>
        <w:rPr>
          <w:lang w:val="en-AU"/>
        </w:rPr>
      </w:pPr>
      <w:r w:rsidRPr="000D119D">
        <w:rPr>
          <w:lang w:val="en-AU"/>
        </w:rPr>
        <w:t>AMHCs also have different walk-in intake processes for their clients, and to maintain the consistency of client experience regardless of how they enter the service, there needs to be consideration of how the walk-in client details will be collected and stored in the same way as the telephone intake clients. Ideally this process will be the same across all the AMHCs and other mental health services using the national IAR telephone service.</w:t>
      </w:r>
    </w:p>
    <w:p w14:paraId="783A5277" w14:textId="77777777" w:rsidR="000A575B" w:rsidRPr="000D119D" w:rsidRDefault="000A575B" w:rsidP="00BE0860">
      <w:pPr>
        <w:pStyle w:val="Heading4"/>
      </w:pPr>
      <w:r w:rsidRPr="000D119D">
        <w:lastRenderedPageBreak/>
        <w:t>Best practice use of the IAR-DST relies on a supporting directory of services</w:t>
      </w:r>
    </w:p>
    <w:p w14:paraId="2AD8DBEF" w14:textId="0D6DC183" w:rsidR="000A575B" w:rsidRPr="000D119D" w:rsidRDefault="000A575B" w:rsidP="000A575B">
      <w:pPr>
        <w:rPr>
          <w:lang w:val="en-AU" w:eastAsia="en-AU"/>
        </w:rPr>
      </w:pPr>
      <w:r w:rsidRPr="000D119D">
        <w:rPr>
          <w:lang w:val="en-AU" w:eastAsia="en-AU"/>
        </w:rPr>
        <w:t>If the IAR-DST is to support coherent and streamlined service navigation, there needs to be a common and up-to-date directory of services that intake clinicians can refer to. Without this, intake experience will not be uniform across clients, as it will depend entirely on who the intake staff member is and the knowledge they have. A</w:t>
      </w:r>
      <w:r w:rsidR="0007014A" w:rsidRPr="000D119D">
        <w:rPr>
          <w:lang w:val="en-AU" w:eastAsia="en-AU"/>
        </w:rPr>
        <w:t xml:space="preserve"> real-time </w:t>
      </w:r>
      <w:r w:rsidRPr="000D119D">
        <w:rPr>
          <w:lang w:val="en-AU" w:eastAsia="en-AU"/>
        </w:rPr>
        <w:t xml:space="preserve">directory </w:t>
      </w:r>
      <w:r w:rsidR="0007014A" w:rsidRPr="000D119D">
        <w:rPr>
          <w:lang w:val="en-AU" w:eastAsia="en-AU"/>
        </w:rPr>
        <w:t>including information such as wait times, billing</w:t>
      </w:r>
      <w:r w:rsidR="0021799F" w:rsidRPr="000D119D">
        <w:rPr>
          <w:lang w:val="en-AU" w:eastAsia="en-AU"/>
        </w:rPr>
        <w:t>,</w:t>
      </w:r>
      <w:r w:rsidR="0007014A" w:rsidRPr="000D119D">
        <w:rPr>
          <w:lang w:val="en-AU" w:eastAsia="en-AU"/>
        </w:rPr>
        <w:t xml:space="preserve"> eligibility</w:t>
      </w:r>
      <w:r w:rsidR="008617CC" w:rsidRPr="000D119D">
        <w:rPr>
          <w:lang w:val="en-AU" w:eastAsia="en-AU"/>
        </w:rPr>
        <w:t xml:space="preserve"> </w:t>
      </w:r>
      <w:r w:rsidR="00DA0656" w:rsidRPr="000D119D">
        <w:rPr>
          <w:lang w:val="en-AU" w:eastAsia="en-AU"/>
        </w:rPr>
        <w:t xml:space="preserve">criteria </w:t>
      </w:r>
      <w:r w:rsidR="008617CC" w:rsidRPr="000D119D">
        <w:rPr>
          <w:lang w:val="en-AU" w:eastAsia="en-AU"/>
        </w:rPr>
        <w:t>and opening hours of other services</w:t>
      </w:r>
      <w:r w:rsidR="0007014A" w:rsidRPr="000D119D">
        <w:rPr>
          <w:lang w:val="en-AU" w:eastAsia="en-AU"/>
        </w:rPr>
        <w:t xml:space="preserve"> </w:t>
      </w:r>
      <w:r w:rsidRPr="000D119D">
        <w:rPr>
          <w:lang w:val="en-AU" w:eastAsia="en-AU"/>
        </w:rPr>
        <w:t>will also ensure that clients are referred to services that have capacity and avoid the ‘bouncing around’ between different services that has often been the experience for clients attempting to navigate the current mental health system.</w:t>
      </w:r>
    </w:p>
    <w:p w14:paraId="5C7A1FE3" w14:textId="3D9BFCB5" w:rsidR="000A575B" w:rsidRDefault="000A575B" w:rsidP="000A575B">
      <w:pPr>
        <w:pStyle w:val="Heading2"/>
      </w:pPr>
      <w:bookmarkStart w:id="153" w:name="_Toc99650374"/>
      <w:bookmarkStart w:id="154" w:name="_Toc90928506"/>
      <w:r w:rsidRPr="000D119D">
        <w:t xml:space="preserve">How </w:t>
      </w:r>
      <w:r w:rsidRPr="000D119D">
        <w:rPr>
          <w:rFonts w:asciiTheme="majorHAnsi" w:hAnsiTheme="majorHAnsi" w:cstheme="majorHAnsi"/>
        </w:rPr>
        <w:t xml:space="preserve">efficiently </w:t>
      </w:r>
      <w:r w:rsidRPr="000D119D">
        <w:t>were AMHCs established?</w:t>
      </w:r>
      <w:bookmarkEnd w:id="153"/>
      <w:bookmarkEnd w:id="154"/>
    </w:p>
    <w:p w14:paraId="31F36665" w14:textId="6A1ACCB3" w:rsidR="003D209E" w:rsidRPr="0030657B" w:rsidRDefault="003D209E" w:rsidP="003D209E">
      <w:pPr>
        <w:pStyle w:val="CalloutOrange"/>
      </w:pPr>
      <w:r w:rsidRPr="00D8203E">
        <w:rPr>
          <w:b/>
          <w:color w:val="F8981D" w:themeColor="accent3"/>
        </w:rPr>
        <w:t>Key findings:</w:t>
      </w:r>
    </w:p>
    <w:p w14:paraId="61ABFBD8" w14:textId="77777777" w:rsidR="003D209E" w:rsidRPr="000D119D" w:rsidRDefault="003D209E" w:rsidP="003D209E">
      <w:pPr>
        <w:pStyle w:val="CalloutOrange"/>
        <w:rPr>
          <w:bCs/>
        </w:rPr>
      </w:pPr>
      <w:r w:rsidRPr="000D119D">
        <w:rPr>
          <w:bCs/>
        </w:rPr>
        <w:t xml:space="preserve">Funds allocated for the establishment of AMHCs varied across states and territories at the discretion of </w:t>
      </w:r>
      <w:r>
        <w:rPr>
          <w:bCs/>
        </w:rPr>
        <w:t>the Department</w:t>
      </w:r>
      <w:r w:rsidRPr="000D119D">
        <w:rPr>
          <w:bCs/>
        </w:rPr>
        <w:t xml:space="preserve">, appearing to be made </w:t>
      </w:r>
      <w:proofErr w:type="gramStart"/>
      <w:r w:rsidRPr="000D119D">
        <w:rPr>
          <w:bCs/>
        </w:rPr>
        <w:t>on the basis of</w:t>
      </w:r>
      <w:proofErr w:type="gramEnd"/>
      <w:r w:rsidRPr="000D119D">
        <w:rPr>
          <w:bCs/>
        </w:rPr>
        <w:t xml:space="preserve"> population size. The fit out and other costs associated with making facilities fit-for-purpose was similar across AMHCs, ranging from $1 million to $1.5 million. Compared with other similar services commissioned, this appears reasonable. In general, PHNs found that establishment funding for the AMHCs was adequate to meet these and other establishment costs such as staffing.</w:t>
      </w:r>
    </w:p>
    <w:p w14:paraId="1DE96E6E" w14:textId="77777777" w:rsidR="003D209E" w:rsidRPr="000D119D" w:rsidRDefault="003D209E" w:rsidP="003D209E">
      <w:pPr>
        <w:pStyle w:val="CalloutOrange"/>
        <w:rPr>
          <w:bCs/>
        </w:rPr>
      </w:pPr>
      <w:r w:rsidRPr="000D119D">
        <w:rPr>
          <w:bCs/>
        </w:rPr>
        <w:t xml:space="preserve">Interviews with AMHC service providers and managers in the early stages of operation have revealed some inefficiencies, partly due to delayed information flow between </w:t>
      </w:r>
      <w:r>
        <w:rPr>
          <w:bCs/>
        </w:rPr>
        <w:t>the Department</w:t>
      </w:r>
      <w:r w:rsidRPr="000D119D">
        <w:rPr>
          <w:bCs/>
        </w:rPr>
        <w:t xml:space="preserve"> and service providers. Slow intake numbers also limit efficiency, however</w:t>
      </w:r>
      <w:r>
        <w:rPr>
          <w:bCs/>
        </w:rPr>
        <w:t>,</w:t>
      </w:r>
      <w:r w:rsidRPr="000D119D">
        <w:rPr>
          <w:bCs/>
        </w:rPr>
        <w:t xml:space="preserve"> many AMHCs have developed strategies to mitigate this, and it is expected to become less of an obstacle as the service becomes more embedded in the community and intake numbers increase. </w:t>
      </w:r>
    </w:p>
    <w:p w14:paraId="243A90FC" w14:textId="1F3E2716" w:rsidR="003D209E" w:rsidRPr="003D209E" w:rsidRDefault="003D209E" w:rsidP="003D209E">
      <w:pPr>
        <w:pStyle w:val="CalloutOrange"/>
      </w:pPr>
      <w:r w:rsidRPr="000D119D">
        <w:t>It is too early in the roll-out of AMHCs to draw any definitive findings on efficiency. For those services that have commenced operations, initial activity data from December 2021 and January 2022 is both incomplete and inconsistent across centres and is of a too small sample size to draw meaningful conclusions.</w:t>
      </w:r>
    </w:p>
    <w:p w14:paraId="54262CEB" w14:textId="0802AFB1" w:rsidR="000A575B" w:rsidRPr="000D119D" w:rsidRDefault="000A575B" w:rsidP="000A575B">
      <w:pPr>
        <w:pStyle w:val="Heading3"/>
      </w:pPr>
      <w:bookmarkStart w:id="155" w:name="_Toc99650375"/>
      <w:r w:rsidRPr="000D119D">
        <w:t>Establishment costs and funding</w:t>
      </w:r>
      <w:bookmarkEnd w:id="155"/>
    </w:p>
    <w:p w14:paraId="57960AF6" w14:textId="77777777" w:rsidR="000A575B" w:rsidRPr="000D119D" w:rsidRDefault="000A575B" w:rsidP="00BE0860">
      <w:pPr>
        <w:pStyle w:val="Heading4"/>
      </w:pPr>
      <w:r w:rsidRPr="000D119D">
        <w:t>Distribution of costs differed across AMHCs</w:t>
      </w:r>
    </w:p>
    <w:p w14:paraId="1F7E437F" w14:textId="4EAFD626" w:rsidR="00925347" w:rsidRPr="00E457E2" w:rsidRDefault="000A575B" w:rsidP="00E457E2">
      <w:r w:rsidRPr="000D119D">
        <w:t xml:space="preserve">Of the $114.5 million over </w:t>
      </w:r>
      <w:r w:rsidR="00D0209B">
        <w:t>four</w:t>
      </w:r>
      <w:r w:rsidRPr="000D119D">
        <w:t xml:space="preserve"> years allocated by </w:t>
      </w:r>
      <w:r w:rsidR="00641398">
        <w:t>the Department</w:t>
      </w:r>
      <w:r w:rsidRPr="000D119D">
        <w:t xml:space="preserve"> for the AMHCs, $87.8 million has been distributed between PHNs in the first three years of the rolling agreement. </w:t>
      </w:r>
      <w:r w:rsidR="0089208F">
        <w:t>Each AMHC was allocated flexible funding, to cover the establishment and operational costs of the centre, and operational</w:t>
      </w:r>
      <w:r w:rsidR="00245AE3">
        <w:t xml:space="preserve"> funding</w:t>
      </w:r>
      <w:r w:rsidR="00482DDB">
        <w:t>, for the administrative, governance and core functions of the PHNs.</w:t>
      </w:r>
      <w:r w:rsidR="00245AE3">
        <w:t xml:space="preserve"> </w:t>
      </w:r>
      <w:r w:rsidR="00E849C0">
        <w:t xml:space="preserve">Distribution of funding between AMHCs and PHNs is relative to the size of the population AMHCs are expected to service, with ACT and TAS receiving the lowest funding amount. </w:t>
      </w:r>
    </w:p>
    <w:p w14:paraId="58D8FA11" w14:textId="0E039C0F" w:rsidR="00B92C84" w:rsidRPr="00E457E2" w:rsidRDefault="0056711E" w:rsidP="00E457E2">
      <w:r w:rsidRPr="00E457E2">
        <w:t>Variances</w:t>
      </w:r>
      <w:r w:rsidR="00B92C84" w:rsidRPr="00E457E2">
        <w:t xml:space="preserve"> to note </w:t>
      </w:r>
      <w:r w:rsidR="00925347" w:rsidRPr="00E457E2">
        <w:t xml:space="preserve">on the </w:t>
      </w:r>
      <w:r w:rsidRPr="00E457E2">
        <w:t xml:space="preserve">AMHC </w:t>
      </w:r>
      <w:r w:rsidR="00925347" w:rsidRPr="00E457E2">
        <w:t xml:space="preserve">funding and establishment costs </w:t>
      </w:r>
      <w:r w:rsidR="00B92C84" w:rsidRPr="00E457E2">
        <w:t>are:</w:t>
      </w:r>
    </w:p>
    <w:p w14:paraId="44C2D1EF" w14:textId="242016D6" w:rsidR="00732AB8" w:rsidRPr="000D119D" w:rsidRDefault="008C002F" w:rsidP="00E457E2">
      <w:pPr>
        <w:pStyle w:val="ListBullet"/>
      </w:pPr>
      <w:r w:rsidRPr="000D119D">
        <w:t>the</w:t>
      </w:r>
      <w:r w:rsidR="00732AB8" w:rsidRPr="000D119D">
        <w:t xml:space="preserve"> AMHC in SA was block-funded, with no contractual distribution between flexible and operational funding</w:t>
      </w:r>
    </w:p>
    <w:p w14:paraId="59B200CD" w14:textId="7E18C397" w:rsidR="000A575B" w:rsidRPr="000D119D" w:rsidRDefault="008C002F" w:rsidP="00E457E2">
      <w:pPr>
        <w:pStyle w:val="ListBullet"/>
      </w:pPr>
      <w:r w:rsidRPr="000D119D">
        <w:t>the</w:t>
      </w:r>
      <w:r w:rsidR="00B92C84" w:rsidRPr="000D119D">
        <w:t xml:space="preserve"> </w:t>
      </w:r>
      <w:r w:rsidR="0052274D">
        <w:t>NT</w:t>
      </w:r>
      <w:r w:rsidR="00E522F5" w:rsidRPr="000D119D">
        <w:t xml:space="preserve"> received a greater p</w:t>
      </w:r>
      <w:r w:rsidR="00722291" w:rsidRPr="000D119D">
        <w:t>ortion</w:t>
      </w:r>
      <w:r w:rsidR="00E522F5" w:rsidRPr="000D119D">
        <w:t xml:space="preserve"> of their </w:t>
      </w:r>
      <w:r w:rsidR="00722291" w:rsidRPr="000D119D">
        <w:t>total funding in their first year to cover higher than average costs of establishment than experienced by AMHCs in other states</w:t>
      </w:r>
    </w:p>
    <w:p w14:paraId="6571B573" w14:textId="68FBEF81" w:rsidR="000A575B" w:rsidRPr="000D119D" w:rsidRDefault="008C002F" w:rsidP="00E457E2">
      <w:pPr>
        <w:pStyle w:val="ListBullet"/>
      </w:pPr>
      <w:r w:rsidRPr="000D119D">
        <w:t>it</w:t>
      </w:r>
      <w:r w:rsidR="00722291" w:rsidRPr="000D119D">
        <w:t xml:space="preserve"> is expected that there will be underspend in</w:t>
      </w:r>
      <w:r w:rsidR="005A0BEA" w:rsidRPr="000D119D">
        <w:t xml:space="preserve"> operational funding of AMHCs in the 21/22 financial year due to only having operated for </w:t>
      </w:r>
      <w:r w:rsidR="0052274D">
        <w:t>six</w:t>
      </w:r>
      <w:r w:rsidR="005A0BEA" w:rsidRPr="000D119D">
        <w:t xml:space="preserve"> months during this period.</w:t>
      </w:r>
    </w:p>
    <w:p w14:paraId="3BE756A3" w14:textId="47C47083" w:rsidR="000A575B" w:rsidRPr="000D119D" w:rsidRDefault="000A575B" w:rsidP="00BE0860">
      <w:pPr>
        <w:pStyle w:val="Heading4"/>
      </w:pPr>
      <w:r w:rsidRPr="000D119D">
        <w:lastRenderedPageBreak/>
        <w:t>Funds allocated appear to have met service needs</w:t>
      </w:r>
    </w:p>
    <w:p w14:paraId="790ACBE2" w14:textId="0646BE7C" w:rsidR="00EE2238" w:rsidRPr="00E457E2" w:rsidRDefault="000E3FC2" w:rsidP="00E457E2">
      <w:r w:rsidRPr="000D119D">
        <w:t xml:space="preserve">The </w:t>
      </w:r>
      <w:r w:rsidR="00405793" w:rsidRPr="000D119D">
        <w:t>fit out and other costs associated with</w:t>
      </w:r>
      <w:r w:rsidR="001412FC" w:rsidRPr="000D119D">
        <w:t xml:space="preserve"> making facilities fit-for-purpose rang</w:t>
      </w:r>
      <w:r w:rsidR="0055238B">
        <w:t>ed</w:t>
      </w:r>
      <w:r w:rsidR="001412FC" w:rsidRPr="000D119D">
        <w:t xml:space="preserve"> from </w:t>
      </w:r>
      <w:r w:rsidR="00DB5817">
        <w:t>approximately $630,000 (QLD)</w:t>
      </w:r>
      <w:r w:rsidR="00823A11">
        <w:t xml:space="preserve"> to $1.4</w:t>
      </w:r>
      <w:r w:rsidR="00220FBE" w:rsidRPr="000D119D">
        <w:t xml:space="preserve"> million</w:t>
      </w:r>
      <w:r w:rsidR="00EE2238">
        <w:t xml:space="preserve"> (WA)</w:t>
      </w:r>
      <w:r w:rsidR="00056F85" w:rsidRPr="000D119D">
        <w:t>.</w:t>
      </w:r>
      <w:r w:rsidR="00823A11">
        <w:t xml:space="preserve"> The AMHC in North Queensland had </w:t>
      </w:r>
      <w:r w:rsidR="007C38DD">
        <w:t xml:space="preserve">substantially lower fit-out costs than other </w:t>
      </w:r>
      <w:proofErr w:type="spellStart"/>
      <w:r w:rsidR="00EE2238">
        <w:t>centres</w:t>
      </w:r>
      <w:proofErr w:type="spellEnd"/>
      <w:r w:rsidR="007F334F">
        <w:t xml:space="preserve"> and had savings of $74,000 from the </w:t>
      </w:r>
      <w:r w:rsidR="00E0564D">
        <w:t>funding alloc</w:t>
      </w:r>
      <w:r w:rsidR="00E0564D" w:rsidRPr="00E457E2">
        <w:t>ated for establishment</w:t>
      </w:r>
      <w:r w:rsidR="00EE2238" w:rsidRPr="00E457E2">
        <w:t>.</w:t>
      </w:r>
    </w:p>
    <w:p w14:paraId="7E2471AB" w14:textId="73AB1AF5" w:rsidR="000A575B" w:rsidRPr="00E457E2" w:rsidRDefault="00ED3FD8" w:rsidP="00E457E2">
      <w:r w:rsidRPr="00E457E2">
        <w:t xml:space="preserve">Compared with other similar services commissioned, </w:t>
      </w:r>
      <w:r w:rsidR="00EE2238" w:rsidRPr="00E457E2">
        <w:t>these fit out costs</w:t>
      </w:r>
      <w:r w:rsidRPr="00E457E2">
        <w:t xml:space="preserve"> appear reasonable. </w:t>
      </w:r>
      <w:r w:rsidR="00AF35D5" w:rsidRPr="00E457E2">
        <w:t xml:space="preserve">In general, </w:t>
      </w:r>
      <w:r w:rsidR="000A575B" w:rsidRPr="00E457E2">
        <w:t xml:space="preserve">PHNs </w:t>
      </w:r>
      <w:r w:rsidR="0083465A" w:rsidRPr="00E457E2">
        <w:t>found that</w:t>
      </w:r>
      <w:r w:rsidR="00484C15" w:rsidRPr="00E457E2">
        <w:t xml:space="preserve"> </w:t>
      </w:r>
      <w:r w:rsidR="00FC58FA" w:rsidRPr="00E457E2">
        <w:t>establishment funding</w:t>
      </w:r>
      <w:r w:rsidR="000A575B" w:rsidRPr="00E457E2">
        <w:t xml:space="preserve"> for the AMHCs </w:t>
      </w:r>
      <w:r w:rsidR="00FC58FA" w:rsidRPr="00E457E2">
        <w:t>was adequate to meet t</w:t>
      </w:r>
      <w:r w:rsidR="00C342C4" w:rsidRPr="00E457E2">
        <w:t>hese and other establishment costs such as staffing.</w:t>
      </w:r>
      <w:r w:rsidR="00FC58FA" w:rsidRPr="00E457E2">
        <w:t xml:space="preserve"> </w:t>
      </w:r>
      <w:r w:rsidR="00497283" w:rsidRPr="00E457E2">
        <w:t>However,</w:t>
      </w:r>
      <w:r w:rsidR="000A575B" w:rsidRPr="00E457E2">
        <w:t xml:space="preserve"> one AMHC </w:t>
      </w:r>
      <w:r w:rsidR="00EE2238" w:rsidRPr="00E457E2">
        <w:t>commented</w:t>
      </w:r>
      <w:r w:rsidR="000A575B" w:rsidRPr="00E457E2">
        <w:t xml:space="preserve"> that the fit-out costs for their desired facility have been challenging</w:t>
      </w:r>
      <w:r w:rsidR="00497283" w:rsidRPr="00E457E2">
        <w:t xml:space="preserve">, and in WA, the spend on fit out costs was above the amount provided by </w:t>
      </w:r>
      <w:r w:rsidR="00641398" w:rsidRPr="00E457E2">
        <w:t>the Department</w:t>
      </w:r>
      <w:r w:rsidR="00497283" w:rsidRPr="00E457E2">
        <w:t>, and this extra cost has been covered by the provider</w:t>
      </w:r>
      <w:r w:rsidR="000A575B" w:rsidRPr="00E457E2">
        <w:t xml:space="preserve">. In contrast, one centre manager highlighted that the budget available for their space has made a significant difference, and that this is the first project of this kind they have been involved in where the money was available to ensure the needs of the community could be met to such a large extent. </w:t>
      </w:r>
    </w:p>
    <w:p w14:paraId="49740A1C" w14:textId="44E18F13" w:rsidR="007A42F0" w:rsidRPr="000D119D" w:rsidRDefault="007A42F0" w:rsidP="00BE0860">
      <w:pPr>
        <w:pStyle w:val="Heading4"/>
      </w:pPr>
      <w:r w:rsidRPr="000D119D">
        <w:t>The requirement for interim sites introduced cost inefficiencies</w:t>
      </w:r>
    </w:p>
    <w:p w14:paraId="1B0CFF2E" w14:textId="057B4F6C" w:rsidR="007A42F0" w:rsidRPr="000D119D" w:rsidRDefault="007A42F0" w:rsidP="00E457E2">
      <w:r w:rsidRPr="000D119D">
        <w:t xml:space="preserve">Of the eight AMHC sites, four had to pay for interim facilities. The use of interim sites is inefficient, as any funding for building adjustments or maintenance required to make them fit for purpose (which ranged from $5,000 to $85,000) cannot be recouped for the permanent site. </w:t>
      </w:r>
      <w:r w:rsidR="00F002BA" w:rsidRPr="000D119D">
        <w:t xml:space="preserve">There are also additional costs associated with both the initial sourcing of two sites, as well as movement of staff and equipment between the interim and permanent site. </w:t>
      </w:r>
      <w:r w:rsidR="004D27E4" w:rsidRPr="000D119D">
        <w:t xml:space="preserve">Of greater concern, there is the risk of </w:t>
      </w:r>
      <w:r w:rsidR="003F5C5D" w:rsidRPr="000D119D">
        <w:t xml:space="preserve">confusion or lack of clarity </w:t>
      </w:r>
      <w:r w:rsidR="003F5C5D">
        <w:t>for</w:t>
      </w:r>
      <w:r w:rsidR="003F5C5D" w:rsidRPr="000D119D">
        <w:t xml:space="preserve"> clients as to the nature, </w:t>
      </w:r>
      <w:proofErr w:type="gramStart"/>
      <w:r w:rsidR="003F5C5D" w:rsidRPr="000D119D">
        <w:t>location</w:t>
      </w:r>
      <w:proofErr w:type="gramEnd"/>
      <w:r w:rsidR="003F5C5D" w:rsidRPr="000D119D">
        <w:t xml:space="preserve"> and duration of the service</w:t>
      </w:r>
      <w:r w:rsidR="00CD3989" w:rsidRPr="000D119D">
        <w:t xml:space="preserve">. </w:t>
      </w:r>
      <w:r w:rsidRPr="000D119D">
        <w:t xml:space="preserve">For the AMHCs who were only in interim facilities for a short time, it may have been more </w:t>
      </w:r>
      <w:r w:rsidR="00CD3989" w:rsidRPr="000D119D">
        <w:t xml:space="preserve">cost </w:t>
      </w:r>
      <w:r w:rsidRPr="000D119D">
        <w:t>efficient</w:t>
      </w:r>
      <w:r w:rsidR="00CD3989" w:rsidRPr="000D119D">
        <w:t xml:space="preserve"> and client effective</w:t>
      </w:r>
      <w:r w:rsidRPr="000D119D">
        <w:t xml:space="preserve"> to run a virtual or telephone service, which was the approach adopted by some other AMHCs. </w:t>
      </w:r>
    </w:p>
    <w:p w14:paraId="57299E56" w14:textId="77777777" w:rsidR="000A575B" w:rsidRPr="000D119D" w:rsidRDefault="000A575B" w:rsidP="000A575B">
      <w:pPr>
        <w:pStyle w:val="Heading3"/>
      </w:pPr>
      <w:bookmarkStart w:id="156" w:name="_Ref97038444"/>
      <w:bookmarkStart w:id="157" w:name="_Toc99650376"/>
      <w:r w:rsidRPr="000D119D">
        <w:t>Operational efficiency</w:t>
      </w:r>
      <w:bookmarkEnd w:id="156"/>
      <w:bookmarkEnd w:id="157"/>
      <w:r w:rsidRPr="000D119D">
        <w:t xml:space="preserve"> </w:t>
      </w:r>
    </w:p>
    <w:p w14:paraId="72AC34C3" w14:textId="647083AD" w:rsidR="000A575B" w:rsidRPr="000D119D" w:rsidRDefault="000A575B" w:rsidP="00BE0860">
      <w:pPr>
        <w:pStyle w:val="Heading4"/>
      </w:pPr>
      <w:r w:rsidRPr="000D119D">
        <w:t xml:space="preserve">Protracted information flow between </w:t>
      </w:r>
      <w:r w:rsidR="00641398">
        <w:t>the Department</w:t>
      </w:r>
      <w:r w:rsidRPr="000D119D">
        <w:t xml:space="preserve">, PHNs and providers has resulted in some inefficiencies </w:t>
      </w:r>
    </w:p>
    <w:p w14:paraId="53710FC7" w14:textId="5BEDF076" w:rsidR="000A575B" w:rsidRPr="000D119D" w:rsidRDefault="000A575B" w:rsidP="000A575B">
      <w:pPr>
        <w:rPr>
          <w:lang w:val="en-AU" w:eastAsia="en-AU"/>
        </w:rPr>
      </w:pPr>
      <w:r w:rsidRPr="000D119D">
        <w:rPr>
          <w:lang w:val="en-AU" w:eastAsia="en-AU"/>
        </w:rPr>
        <w:t xml:space="preserve">Interviews with centre managers during early stages of centre implementation highlighted that information flow between AMHCs and </w:t>
      </w:r>
      <w:r w:rsidR="00641398">
        <w:rPr>
          <w:lang w:val="en-AU" w:eastAsia="en-AU"/>
        </w:rPr>
        <w:t>the Department</w:t>
      </w:r>
      <w:r w:rsidRPr="000D119D">
        <w:rPr>
          <w:lang w:val="en-AU" w:eastAsia="en-AU"/>
        </w:rPr>
        <w:t xml:space="preserve"> could be improved, however this depended on the relationship of the AMHC provider with their local PHN. The PHN acts as a ‘middleman’ between </w:t>
      </w:r>
      <w:r w:rsidR="00641398">
        <w:rPr>
          <w:lang w:val="en-AU" w:eastAsia="en-AU"/>
        </w:rPr>
        <w:t>the Department</w:t>
      </w:r>
      <w:r w:rsidRPr="000D119D">
        <w:rPr>
          <w:lang w:val="en-AU" w:eastAsia="en-AU"/>
        </w:rPr>
        <w:t xml:space="preserve"> and the AMHCs, and some conversations with AMHC service providers have indicated that the efficiency of this process has depended on the skills of individual PHN staff. While this has enabled strong relationships and smooth information transfer for some AMHCs, there needs to be a system change to improve information flow across all PHNs, as the skills of PHN staff and their personal relationships with service providers cannot be guaranteed for each PHN.</w:t>
      </w:r>
    </w:p>
    <w:p w14:paraId="337737B6" w14:textId="0FD9654F" w:rsidR="000A575B" w:rsidRPr="000D119D" w:rsidRDefault="000A575B" w:rsidP="000A575B">
      <w:pPr>
        <w:rPr>
          <w:lang w:val="en-AU" w:eastAsia="en-AU"/>
        </w:rPr>
      </w:pPr>
      <w:proofErr w:type="gramStart"/>
      <w:r w:rsidRPr="000D119D">
        <w:rPr>
          <w:lang w:val="en-AU" w:eastAsia="en-AU"/>
        </w:rPr>
        <w:t>Particular inefficiencies</w:t>
      </w:r>
      <w:proofErr w:type="gramEnd"/>
      <w:r w:rsidRPr="000D119D">
        <w:rPr>
          <w:lang w:val="en-AU" w:eastAsia="en-AU"/>
        </w:rPr>
        <w:t xml:space="preserve"> due to this system reported by PHNs included the frustrations with guidance on data collection and reporting requirements</w:t>
      </w:r>
      <w:r w:rsidR="00084AB4">
        <w:rPr>
          <w:lang w:val="en-AU" w:eastAsia="en-AU"/>
        </w:rPr>
        <w:t>,</w:t>
      </w:r>
      <w:r w:rsidRPr="000D119D">
        <w:rPr>
          <w:lang w:val="en-AU" w:eastAsia="en-AU"/>
        </w:rPr>
        <w:t xml:space="preserve"> and communication of national mental health objectives and initiatives (which hinders the planning of service promotion and marketing). </w:t>
      </w:r>
    </w:p>
    <w:p w14:paraId="7FA1029A" w14:textId="66931C5D" w:rsidR="000A575B" w:rsidRPr="000D119D" w:rsidRDefault="000A575B" w:rsidP="000A575B">
      <w:pPr>
        <w:rPr>
          <w:lang w:val="en-AU" w:eastAsia="en-AU"/>
        </w:rPr>
      </w:pPr>
      <w:r w:rsidRPr="000D119D">
        <w:rPr>
          <w:lang w:val="en-AU" w:eastAsia="en-AU"/>
        </w:rPr>
        <w:t xml:space="preserve">A further inefficiency reported by one service provider was </w:t>
      </w:r>
      <w:r w:rsidR="00641398">
        <w:rPr>
          <w:lang w:val="en-AU" w:eastAsia="en-AU"/>
        </w:rPr>
        <w:t>the Department</w:t>
      </w:r>
      <w:r w:rsidRPr="000D119D">
        <w:rPr>
          <w:lang w:val="en-AU" w:eastAsia="en-AU"/>
        </w:rPr>
        <w:t>’s decisions to outsource processes such as developing client experience surveys, which took much longer than required and delayed the opportunity to collect data at the start of operations. In one instance, the AMHC provider reverted to developing their own survey, noting this was a duplication of effort, just to be able to commence collection.</w:t>
      </w:r>
    </w:p>
    <w:p w14:paraId="62A029D8" w14:textId="77777777" w:rsidR="000A575B" w:rsidRPr="000D119D" w:rsidRDefault="000A575B" w:rsidP="00BE0860">
      <w:pPr>
        <w:pStyle w:val="Heading4"/>
      </w:pPr>
      <w:r w:rsidRPr="000D119D">
        <w:t>Efficiency is likely to improve as referrals build and the service model becomes more embedded</w:t>
      </w:r>
    </w:p>
    <w:p w14:paraId="3572385C" w14:textId="463EAECD" w:rsidR="000A575B" w:rsidRPr="000D119D" w:rsidRDefault="000A575B" w:rsidP="000A575B">
      <w:pPr>
        <w:rPr>
          <w:lang w:val="en-AU" w:eastAsia="en-AU"/>
        </w:rPr>
      </w:pPr>
      <w:r w:rsidRPr="000D119D">
        <w:rPr>
          <w:lang w:val="en-AU" w:eastAsia="en-AU"/>
        </w:rPr>
        <w:t>Most AMHCs ha</w:t>
      </w:r>
      <w:r w:rsidR="00C447F5" w:rsidRPr="000D119D">
        <w:rPr>
          <w:lang w:val="en-AU" w:eastAsia="en-AU"/>
        </w:rPr>
        <w:t>d</w:t>
      </w:r>
      <w:r w:rsidRPr="000D119D">
        <w:rPr>
          <w:lang w:val="en-AU" w:eastAsia="en-AU"/>
        </w:rPr>
        <w:t xml:space="preserve"> low intake numbers in their first few weeks of operation</w:t>
      </w:r>
      <w:r w:rsidR="00B066F4" w:rsidRPr="000D119D">
        <w:rPr>
          <w:lang w:val="en-AU" w:eastAsia="en-AU"/>
        </w:rPr>
        <w:t xml:space="preserve">. </w:t>
      </w:r>
      <w:r w:rsidRPr="000D119D">
        <w:rPr>
          <w:lang w:val="en-AU" w:eastAsia="en-AU"/>
        </w:rPr>
        <w:t>Low client numbers means that staff are not fully utili</w:t>
      </w:r>
      <w:r w:rsidR="007B3558">
        <w:rPr>
          <w:lang w:val="en-AU" w:eastAsia="en-AU"/>
        </w:rPr>
        <w:t>s</w:t>
      </w:r>
      <w:r w:rsidRPr="000D119D">
        <w:rPr>
          <w:lang w:val="en-AU" w:eastAsia="en-AU"/>
        </w:rPr>
        <w:t>ed which increases the cost per occasion of service. AMHCs have found ways to mitigate the effects of low service numbers, including by:</w:t>
      </w:r>
    </w:p>
    <w:p w14:paraId="79E8E2AE" w14:textId="5DFA922D" w:rsidR="000A575B" w:rsidRPr="000D119D" w:rsidRDefault="007B3558" w:rsidP="00BE0860">
      <w:pPr>
        <w:pStyle w:val="ListBullet"/>
      </w:pPr>
      <w:r>
        <w:lastRenderedPageBreak/>
        <w:t>u</w:t>
      </w:r>
      <w:r w:rsidR="000A575B" w:rsidRPr="000D119D">
        <w:t>sing this time as an opportunity for staff training (e.g., on the use of the IAR) and implementing ways of working, such as developing how the peer-clinical worker relationship will function</w:t>
      </w:r>
    </w:p>
    <w:p w14:paraId="764D356D" w14:textId="41347F3B" w:rsidR="000A575B" w:rsidRPr="000D119D" w:rsidRDefault="007B3558" w:rsidP="00BE0860">
      <w:pPr>
        <w:pStyle w:val="ListBullet"/>
      </w:pPr>
      <w:r>
        <w:t>s</w:t>
      </w:r>
      <w:r w:rsidR="000A575B" w:rsidRPr="000D119D">
        <w:t>taging staff recruitment to be in line with the number of presentations</w:t>
      </w:r>
    </w:p>
    <w:p w14:paraId="0B079F7F" w14:textId="6655D035" w:rsidR="000A575B" w:rsidRPr="000D119D" w:rsidRDefault="007B3558" w:rsidP="00BE0860">
      <w:pPr>
        <w:pStyle w:val="ListBullet"/>
      </w:pPr>
      <w:r>
        <w:t>a</w:t>
      </w:r>
      <w:r w:rsidR="000A575B" w:rsidRPr="000D119D">
        <w:t>ccepting clients from the waitlists of other PHN services rather than relying on walk-ins and referrals from other local services.</w:t>
      </w:r>
    </w:p>
    <w:p w14:paraId="112A3144" w14:textId="4E056E23" w:rsidR="00817BCE" w:rsidRPr="000D119D" w:rsidRDefault="000A575B" w:rsidP="00E457E2">
      <w:r w:rsidRPr="000D119D">
        <w:t xml:space="preserve">As the service becomes more established as part of the mental health services available in each area, the number of referrals and walk-in clients will increase, improving staff </w:t>
      </w:r>
      <w:proofErr w:type="spellStart"/>
      <w:r w:rsidRPr="000D119D">
        <w:t>utili</w:t>
      </w:r>
      <w:r w:rsidR="00202B83">
        <w:t>s</w:t>
      </w:r>
      <w:r w:rsidRPr="000D119D">
        <w:t>ation</w:t>
      </w:r>
      <w:proofErr w:type="spellEnd"/>
      <w:r w:rsidRPr="000D119D">
        <w:t xml:space="preserve"> and thus reducing cost per occasion of service and increasing centre efficiency.</w:t>
      </w:r>
    </w:p>
    <w:p w14:paraId="085C6CB3" w14:textId="76628D91" w:rsidR="00CD62D8" w:rsidRPr="00BE0860" w:rsidRDefault="004846E4" w:rsidP="00BE0860">
      <w:pPr>
        <w:pStyle w:val="Sectionintroduction"/>
      </w:pPr>
      <w:r w:rsidRPr="00BE0860">
        <w:t xml:space="preserve">Many of the lessons identified in this evaluation are not limited to the operation of </w:t>
      </w:r>
      <w:proofErr w:type="spellStart"/>
      <w:r w:rsidRPr="00D8203E">
        <w:rPr>
          <w:rStyle w:val="Emphasis"/>
        </w:rPr>
        <w:t>HeadtoHelp</w:t>
      </w:r>
      <w:proofErr w:type="spellEnd"/>
      <w:r w:rsidRPr="00BE0860">
        <w:t xml:space="preserve"> and the AMHCs – rather they have wider implications. </w:t>
      </w:r>
      <w:proofErr w:type="gramStart"/>
      <w:r w:rsidRPr="00BE0860">
        <w:t>In light of</w:t>
      </w:r>
      <w:proofErr w:type="gramEnd"/>
      <w:r w:rsidRPr="00BE0860">
        <w:t xml:space="preserve"> this, the recommendations set out in the following Section 7 include a fourth category of broader system-focused recommendations for supporting establishment and implementation of future programs.</w:t>
      </w:r>
    </w:p>
    <w:p w14:paraId="7C9344E5" w14:textId="6A0B8100" w:rsidR="000903C2" w:rsidRPr="000D119D" w:rsidRDefault="000903C2" w:rsidP="000903C2">
      <w:pPr>
        <w:pStyle w:val="Heading1"/>
      </w:pPr>
      <w:bookmarkStart w:id="158" w:name="_Ref97096590"/>
      <w:bookmarkStart w:id="159" w:name="_Ref97539445"/>
      <w:bookmarkStart w:id="160" w:name="_Toc99650377"/>
      <w:r w:rsidRPr="000D119D">
        <w:lastRenderedPageBreak/>
        <w:t>Recommendations</w:t>
      </w:r>
      <w:bookmarkEnd w:id="158"/>
      <w:bookmarkEnd w:id="159"/>
      <w:bookmarkEnd w:id="160"/>
    </w:p>
    <w:p w14:paraId="66BABA07" w14:textId="30CD25E6" w:rsidR="00E44E5A" w:rsidRPr="000D119D" w:rsidRDefault="00FC3D39" w:rsidP="00072349">
      <w:pPr>
        <w:rPr>
          <w:lang w:val="en-AU" w:eastAsia="en-AU"/>
        </w:rPr>
      </w:pPr>
      <w:r w:rsidRPr="000D119D">
        <w:rPr>
          <w:lang w:val="en-AU" w:eastAsia="en-AU"/>
        </w:rPr>
        <w:t>The purpose of this evaluation was to understand what has been achieved to date to inform</w:t>
      </w:r>
      <w:r w:rsidR="00AB5A6C" w:rsidRPr="000D119D">
        <w:rPr>
          <w:lang w:val="en-AU" w:eastAsia="en-AU"/>
        </w:rPr>
        <w:t xml:space="preserve"> </w:t>
      </w:r>
      <w:r w:rsidRPr="000D119D">
        <w:rPr>
          <w:lang w:val="en-AU" w:eastAsia="en-AU"/>
        </w:rPr>
        <w:t xml:space="preserve">future Commonwealth Government decisions. To this end, this evaluation has identified </w:t>
      </w:r>
      <w:proofErr w:type="gramStart"/>
      <w:r w:rsidRPr="000D119D">
        <w:rPr>
          <w:lang w:val="en-AU" w:eastAsia="en-AU"/>
        </w:rPr>
        <w:t>a number of</w:t>
      </w:r>
      <w:proofErr w:type="gramEnd"/>
      <w:r w:rsidRPr="000D119D">
        <w:rPr>
          <w:lang w:val="en-AU" w:eastAsia="en-AU"/>
        </w:rPr>
        <w:t xml:space="preserve"> specific recommendations for action for the Australian Government Department of Health, PHNs, </w:t>
      </w:r>
      <w:proofErr w:type="spellStart"/>
      <w:r w:rsidRPr="00202B83">
        <w:rPr>
          <w:i/>
          <w:iCs/>
          <w:lang w:val="en-AU" w:eastAsia="en-AU"/>
        </w:rPr>
        <w:t>HeadtoHelp</w:t>
      </w:r>
      <w:proofErr w:type="spellEnd"/>
      <w:r w:rsidRPr="000D119D">
        <w:rPr>
          <w:lang w:val="en-AU" w:eastAsia="en-AU"/>
        </w:rPr>
        <w:t xml:space="preserve"> hubs and AMHCs going forward. These recommendations draw on the combined insights and lessons learnt across all components of this evaluation. </w:t>
      </w:r>
      <w:r w:rsidR="00DB505B" w:rsidRPr="000D119D">
        <w:rPr>
          <w:lang w:val="en-AU" w:eastAsia="en-AU"/>
        </w:rPr>
        <w:t>These recommendations build on and update</w:t>
      </w:r>
      <w:r w:rsidR="00D21C96" w:rsidRPr="000D119D">
        <w:rPr>
          <w:lang w:val="en-AU" w:eastAsia="en-AU"/>
        </w:rPr>
        <w:t xml:space="preserve"> </w:t>
      </w:r>
      <w:r w:rsidR="00DB505B" w:rsidRPr="000D119D">
        <w:rPr>
          <w:lang w:val="en-AU" w:eastAsia="en-AU"/>
        </w:rPr>
        <w:t>those</w:t>
      </w:r>
      <w:r w:rsidR="00D21C96" w:rsidRPr="000D119D">
        <w:rPr>
          <w:lang w:val="en-AU" w:eastAsia="en-AU"/>
        </w:rPr>
        <w:t xml:space="preserve"> provided in Nous’ Interim </w:t>
      </w:r>
      <w:r w:rsidR="00DB505B" w:rsidRPr="000D119D">
        <w:rPr>
          <w:lang w:val="en-AU" w:eastAsia="en-AU"/>
        </w:rPr>
        <w:t xml:space="preserve">Evaluation </w:t>
      </w:r>
      <w:r w:rsidR="00D21C96" w:rsidRPr="000D119D">
        <w:rPr>
          <w:lang w:val="en-AU" w:eastAsia="en-AU"/>
        </w:rPr>
        <w:t>Report</w:t>
      </w:r>
      <w:r w:rsidR="00DB505B" w:rsidRPr="000D119D">
        <w:rPr>
          <w:lang w:val="en-AU" w:eastAsia="en-AU"/>
        </w:rPr>
        <w:t xml:space="preserve">. </w:t>
      </w:r>
    </w:p>
    <w:p w14:paraId="6E9BF50B" w14:textId="4D28CD34" w:rsidR="00FC3D39" w:rsidRDefault="00FC3D39" w:rsidP="00072349">
      <w:pPr>
        <w:rPr>
          <w:lang w:val="en-AU" w:eastAsia="en-AU"/>
        </w:rPr>
      </w:pPr>
      <w:r w:rsidRPr="000D119D">
        <w:rPr>
          <w:lang w:val="en-AU" w:eastAsia="en-AU"/>
        </w:rPr>
        <w:t>Recommendations have been organised into four overarching categories</w:t>
      </w:r>
      <w:r w:rsidR="00534D01" w:rsidRPr="000D119D">
        <w:rPr>
          <w:lang w:val="en-AU" w:eastAsia="en-AU"/>
        </w:rPr>
        <w:t xml:space="preserve">, with details surrounding the rationale and expected outcomes of implementing each recommendation described below. </w:t>
      </w:r>
    </w:p>
    <w:p w14:paraId="738F901F" w14:textId="5C32748B" w:rsidR="00E177CF" w:rsidRPr="000D119D" w:rsidRDefault="006F411F" w:rsidP="00072349">
      <w:pPr>
        <w:rPr>
          <w:lang w:val="en-AU" w:eastAsia="en-AU"/>
        </w:rPr>
      </w:pPr>
      <w:r>
        <w:rPr>
          <w:noProof/>
          <w:lang w:val="en-AU" w:eastAsia="en-AU"/>
        </w:rPr>
        <w:drawing>
          <wp:inline distT="0" distB="0" distL="0" distR="0" wp14:anchorId="55D9EE97" wp14:editId="6A54D1A0">
            <wp:extent cx="5611198" cy="3056909"/>
            <wp:effectExtent l="0" t="0" r="8890" b="0"/>
            <wp:docPr id="45" name="Picture 45" descr="Overarching categories include recommendations for centralised intake processes, remaining operation and withdrawal of Head to Help hubs, supporting the successful Adult Mental Health Centres implementation and supporting establishment and implementation of future progr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Overarching categories include recommendations for centralised intake processes, remaining operation and withdrawal of Head to Help hubs, supporting the successful Adult Mental Health Centres implementation and supporting establishment and implementation of future programs.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26058" cy="3065004"/>
                    </a:xfrm>
                    <a:prstGeom prst="rect">
                      <a:avLst/>
                    </a:prstGeom>
                    <a:noFill/>
                  </pic:spPr>
                </pic:pic>
              </a:graphicData>
            </a:graphic>
          </wp:inline>
        </w:drawing>
      </w:r>
    </w:p>
    <w:p w14:paraId="01BC3058" w14:textId="0B7F973F" w:rsidR="00072349" w:rsidRPr="000D119D" w:rsidRDefault="00072349" w:rsidP="00072349">
      <w:pPr>
        <w:pStyle w:val="Caption"/>
      </w:pPr>
      <w:bookmarkStart w:id="161" w:name="_Ref78970101"/>
      <w:r w:rsidRPr="000D119D">
        <w:t xml:space="preserve">Table </w:t>
      </w:r>
      <w:r w:rsidRPr="000D119D">
        <w:fldChar w:fldCharType="begin"/>
      </w:r>
      <w:r w:rsidRPr="000D119D">
        <w:instrText xml:space="preserve"> SEQ Table \* ARABIC </w:instrText>
      </w:r>
      <w:r w:rsidRPr="000D119D">
        <w:fldChar w:fldCharType="separate"/>
      </w:r>
      <w:r w:rsidR="00562174">
        <w:rPr>
          <w:noProof/>
        </w:rPr>
        <w:t>7</w:t>
      </w:r>
      <w:r w:rsidRPr="000D119D">
        <w:fldChar w:fldCharType="end"/>
      </w:r>
      <w:r w:rsidRPr="000D119D">
        <w:t xml:space="preserve"> | </w:t>
      </w:r>
      <w:r w:rsidR="00BF3642" w:rsidRPr="000D119D">
        <w:t xml:space="preserve">1. </w:t>
      </w:r>
      <w:r w:rsidRPr="000D119D">
        <w:t xml:space="preserve">Recommendations regarding the </w:t>
      </w:r>
      <w:r w:rsidR="00F24EF3">
        <w:t>centrali</w:t>
      </w:r>
      <w:r w:rsidR="00F24EF3" w:rsidRPr="00D8203E">
        <w:t>sed</w:t>
      </w:r>
      <w:r w:rsidRPr="00D8203E">
        <w:t xml:space="preserve"> </w:t>
      </w:r>
      <w:r w:rsidR="00E90A7A" w:rsidRPr="00D8203E">
        <w:t>i</w:t>
      </w:r>
      <w:r w:rsidRPr="00D8203E">
        <w:t xml:space="preserve">ntake process </w:t>
      </w:r>
    </w:p>
    <w:tbl>
      <w:tblPr>
        <w:tblStyle w:val="NOUS1"/>
        <w:tblW w:w="4954" w:type="pct"/>
        <w:tblLayout w:type="fixed"/>
        <w:tblLook w:val="04A0" w:firstRow="1" w:lastRow="0" w:firstColumn="1" w:lastColumn="0" w:noHBand="0" w:noVBand="1"/>
        <w:tblDescription w:val="Table 7 list recommendations one for the centralised intake process "/>
      </w:tblPr>
      <w:tblGrid>
        <w:gridCol w:w="652"/>
        <w:gridCol w:w="2856"/>
        <w:gridCol w:w="5508"/>
      </w:tblGrid>
      <w:tr w:rsidR="0079442D" w:rsidRPr="007A100E" w14:paraId="38EA9617" w14:textId="77777777" w:rsidTr="00794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 w:type="dxa"/>
            <w:tcBorders>
              <w:top w:val="nil"/>
            </w:tcBorders>
          </w:tcPr>
          <w:p w14:paraId="475A5380" w14:textId="77777777" w:rsidR="0079442D" w:rsidRPr="000D119D" w:rsidRDefault="0079442D" w:rsidP="00072349">
            <w:pPr>
              <w:pStyle w:val="TableNheader"/>
              <w:rPr>
                <w:b w:val="0"/>
              </w:rPr>
            </w:pPr>
            <w:r w:rsidRPr="000D119D">
              <w:rPr>
                <w:b w:val="0"/>
                <w:bCs/>
              </w:rPr>
              <w:t>#</w:t>
            </w:r>
          </w:p>
        </w:tc>
        <w:tc>
          <w:tcPr>
            <w:tcW w:w="2856" w:type="dxa"/>
            <w:tcBorders>
              <w:top w:val="nil"/>
            </w:tcBorders>
            <w:vAlign w:val="center"/>
          </w:tcPr>
          <w:p w14:paraId="6F423D59" w14:textId="77777777" w:rsidR="0079442D" w:rsidRPr="000D119D" w:rsidRDefault="0079442D" w:rsidP="00072349">
            <w:pPr>
              <w:pStyle w:val="TableNheader"/>
              <w:cnfStyle w:val="100000000000" w:firstRow="1" w:lastRow="0" w:firstColumn="0" w:lastColumn="0" w:oddVBand="0" w:evenVBand="0" w:oddHBand="0" w:evenHBand="0" w:firstRowFirstColumn="0" w:firstRowLastColumn="0" w:lastRowFirstColumn="0" w:lastRowLastColumn="0"/>
              <w:rPr>
                <w:b w:val="0"/>
              </w:rPr>
            </w:pPr>
            <w:r w:rsidRPr="000D119D">
              <w:rPr>
                <w:b w:val="0"/>
              </w:rPr>
              <w:t>Recommendation</w:t>
            </w:r>
          </w:p>
        </w:tc>
        <w:tc>
          <w:tcPr>
            <w:tcW w:w="5508" w:type="dxa"/>
            <w:tcBorders>
              <w:top w:val="nil"/>
            </w:tcBorders>
          </w:tcPr>
          <w:p w14:paraId="5B387618" w14:textId="77777777" w:rsidR="0079442D" w:rsidRPr="000D119D" w:rsidRDefault="0079442D" w:rsidP="00072349">
            <w:pPr>
              <w:pStyle w:val="TableNheader"/>
              <w:cnfStyle w:val="100000000000" w:firstRow="1" w:lastRow="0" w:firstColumn="0" w:lastColumn="0" w:oddVBand="0" w:evenVBand="0" w:oddHBand="0" w:evenHBand="0" w:firstRowFirstColumn="0" w:firstRowLastColumn="0" w:lastRowFirstColumn="0" w:lastRowLastColumn="0"/>
            </w:pPr>
            <w:r w:rsidRPr="000D119D">
              <w:rPr>
                <w:b w:val="0"/>
                <w:bCs/>
              </w:rPr>
              <w:t>Details</w:t>
            </w:r>
          </w:p>
        </w:tc>
      </w:tr>
      <w:tr w:rsidR="0079442D" w:rsidRPr="00141636" w14:paraId="332623FB" w14:textId="77777777" w:rsidTr="00B44BBB">
        <w:tc>
          <w:tcPr>
            <w:cnfStyle w:val="001000000000" w:firstRow="0" w:lastRow="0" w:firstColumn="1" w:lastColumn="0" w:oddVBand="0" w:evenVBand="0" w:oddHBand="0" w:evenHBand="0" w:firstRowFirstColumn="0" w:firstRowLastColumn="0" w:lastRowFirstColumn="0" w:lastRowLastColumn="0"/>
            <w:tcW w:w="652" w:type="dxa"/>
            <w:shd w:val="clear" w:color="auto" w:fill="F2F2F2" w:themeFill="background1" w:themeFillShade="F2"/>
            <w:vAlign w:val="center"/>
          </w:tcPr>
          <w:p w14:paraId="1A8CB19F" w14:textId="404F32E3" w:rsidR="0079442D" w:rsidRPr="00CA4F29" w:rsidRDefault="0079442D" w:rsidP="00CA4F29">
            <w:pPr>
              <w:pStyle w:val="TableNText"/>
              <w:jc w:val="center"/>
              <w:rPr>
                <w:rFonts w:asciiTheme="minorHAnsi" w:hAnsiTheme="minorHAnsi" w:cstheme="minorHAnsi"/>
                <w:b/>
                <w:bCs/>
                <w:color w:val="F8981D" w:themeColor="accent3"/>
              </w:rPr>
            </w:pPr>
            <w:r w:rsidRPr="00CA4F29">
              <w:rPr>
                <w:rFonts w:asciiTheme="minorHAnsi" w:hAnsiTheme="minorHAnsi" w:cstheme="minorHAnsi"/>
                <w:b/>
                <w:bCs/>
                <w:color w:val="F8981D" w:themeColor="accent3"/>
              </w:rPr>
              <w:t>1.1</w:t>
            </w:r>
          </w:p>
        </w:tc>
        <w:tc>
          <w:tcPr>
            <w:tcW w:w="2856" w:type="dxa"/>
            <w:vAlign w:val="center"/>
          </w:tcPr>
          <w:p w14:paraId="2286DC42" w14:textId="0CBE7A0D" w:rsidR="0079442D" w:rsidRPr="00CA4F29" w:rsidRDefault="0079442D" w:rsidP="00072349">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sidRPr="00CA4F29">
              <w:rPr>
                <w:rFonts w:asciiTheme="majorHAnsi" w:hAnsiTheme="majorHAnsi" w:cstheme="majorHAnsi"/>
                <w:color w:val="00264D" w:themeColor="background2"/>
              </w:rPr>
              <w:t>Ensure that training is available to support other services in awareness and effective utilisation of the IAR in the context of their service</w:t>
            </w:r>
            <w:r w:rsidR="002C6B03">
              <w:rPr>
                <w:rFonts w:asciiTheme="majorHAnsi" w:hAnsiTheme="majorHAnsi" w:cstheme="majorHAnsi"/>
                <w:color w:val="00264D" w:themeColor="background2"/>
              </w:rPr>
              <w:t>.</w:t>
            </w:r>
          </w:p>
        </w:tc>
        <w:tc>
          <w:tcPr>
            <w:tcW w:w="5508" w:type="dxa"/>
          </w:tcPr>
          <w:p w14:paraId="2ABC8BFF" w14:textId="33DD7441" w:rsidR="0079442D" w:rsidRPr="000D119D" w:rsidRDefault="0079442D" w:rsidP="00072349">
            <w:pPr>
              <w:pStyle w:val="TableNText"/>
              <w:cnfStyle w:val="000000000000" w:firstRow="0" w:lastRow="0" w:firstColumn="0" w:lastColumn="0" w:oddVBand="0" w:evenVBand="0" w:oddHBand="0" w:evenHBand="0" w:firstRowFirstColumn="0" w:firstRowLastColumn="0" w:lastRowFirstColumn="0" w:lastRowLastColumn="0"/>
            </w:pPr>
            <w:r w:rsidRPr="000D119D">
              <w:t>It is important that all services that interact with the AMHCs are trained to understand the IAR and how it is used, to ensure smooth integration between different systems and services. Training should be carried out by PHNs, who will need to identify potential users and share the required information.</w:t>
            </w:r>
            <w:r w:rsidR="004E4268">
              <w:t xml:space="preserve"> </w:t>
            </w:r>
            <w:r w:rsidR="00A3428F">
              <w:t xml:space="preserve">This clarity of understanding of the purpose and content of the IAR-DST will help minimise the extent to which a client has to retell their story. </w:t>
            </w:r>
          </w:p>
        </w:tc>
      </w:tr>
      <w:tr w:rsidR="0079442D" w:rsidRPr="00141636" w14:paraId="03147284" w14:textId="77777777" w:rsidTr="00B44BBB">
        <w:tc>
          <w:tcPr>
            <w:cnfStyle w:val="001000000000" w:firstRow="0" w:lastRow="0" w:firstColumn="1" w:lastColumn="0" w:oddVBand="0" w:evenVBand="0" w:oddHBand="0" w:evenHBand="0" w:firstRowFirstColumn="0" w:firstRowLastColumn="0" w:lastRowFirstColumn="0" w:lastRowLastColumn="0"/>
            <w:tcW w:w="652" w:type="dxa"/>
            <w:shd w:val="clear" w:color="auto" w:fill="F2F2F2" w:themeFill="background1" w:themeFillShade="F2"/>
            <w:vAlign w:val="center"/>
          </w:tcPr>
          <w:p w14:paraId="593F3477" w14:textId="16D70EA8" w:rsidR="0079442D" w:rsidRPr="00CA4F29" w:rsidRDefault="0079442D" w:rsidP="00CA4F29">
            <w:pPr>
              <w:pStyle w:val="TableNText"/>
              <w:jc w:val="center"/>
              <w:rPr>
                <w:rFonts w:asciiTheme="minorHAnsi" w:hAnsiTheme="minorHAnsi" w:cstheme="minorHAnsi"/>
                <w:b/>
                <w:bCs/>
                <w:color w:val="F8981D" w:themeColor="accent3"/>
              </w:rPr>
            </w:pPr>
            <w:r w:rsidRPr="00CA4F29">
              <w:rPr>
                <w:rFonts w:asciiTheme="minorHAnsi" w:hAnsiTheme="minorHAnsi" w:cstheme="minorHAnsi"/>
                <w:b/>
                <w:bCs/>
                <w:color w:val="F8981D" w:themeColor="accent3"/>
              </w:rPr>
              <w:t>1.2</w:t>
            </w:r>
          </w:p>
        </w:tc>
        <w:tc>
          <w:tcPr>
            <w:tcW w:w="2856" w:type="dxa"/>
            <w:vAlign w:val="center"/>
          </w:tcPr>
          <w:p w14:paraId="68CCA2BA" w14:textId="4E8CDB24" w:rsidR="0079442D" w:rsidRPr="00CA4F29" w:rsidRDefault="0079442D" w:rsidP="00072349">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sidRPr="00CA4F29">
              <w:rPr>
                <w:rFonts w:asciiTheme="majorHAnsi" w:hAnsiTheme="majorHAnsi" w:cstheme="majorHAnsi"/>
                <w:color w:val="00264D" w:themeColor="background2"/>
              </w:rPr>
              <w:t>Maintain core fidelity of the IAR-DST tool but allow tailoring at the margins for local context</w:t>
            </w:r>
            <w:r w:rsidR="002C6B03">
              <w:rPr>
                <w:rFonts w:asciiTheme="majorHAnsi" w:hAnsiTheme="majorHAnsi" w:cstheme="majorHAnsi"/>
                <w:color w:val="00264D" w:themeColor="background2"/>
              </w:rPr>
              <w:t>.</w:t>
            </w:r>
          </w:p>
        </w:tc>
        <w:tc>
          <w:tcPr>
            <w:tcW w:w="5508" w:type="dxa"/>
          </w:tcPr>
          <w:p w14:paraId="0D8BB02F" w14:textId="35DD19BA" w:rsidR="0079442D" w:rsidRPr="000D119D" w:rsidRDefault="0079442D" w:rsidP="00072349">
            <w:pPr>
              <w:pStyle w:val="TableNText"/>
              <w:cnfStyle w:val="000000000000" w:firstRow="0" w:lastRow="0" w:firstColumn="0" w:lastColumn="0" w:oddVBand="0" w:evenVBand="0" w:oddHBand="0" w:evenHBand="0" w:firstRowFirstColumn="0" w:firstRowLastColumn="0" w:lastRowFirstColumn="0" w:lastRowLastColumn="0"/>
            </w:pPr>
            <w:r w:rsidRPr="000D119D">
              <w:t>PHNs should be explicit when rolling out the IAR-DST in different services that the core fidelity of the tool needs to be maintained, however it can be adjusted at the margins (</w:t>
            </w:r>
            <w:r w:rsidR="00B72231" w:rsidRPr="000D119D">
              <w:t>e.g.</w:t>
            </w:r>
            <w:r w:rsidR="00B72231">
              <w:t>,</w:t>
            </w:r>
            <w:r w:rsidRPr="000D119D">
              <w:t xml:space="preserve"> 20</w:t>
            </w:r>
            <w:r w:rsidR="00B72231">
              <w:t xml:space="preserve"> per cent</w:t>
            </w:r>
            <w:r w:rsidRPr="000D119D">
              <w:t>) to suit local context and provide a client-centred experience.</w:t>
            </w:r>
          </w:p>
        </w:tc>
      </w:tr>
      <w:tr w:rsidR="0079442D" w:rsidRPr="00141636" w14:paraId="777DC042" w14:textId="77777777" w:rsidTr="00B44BBB">
        <w:tc>
          <w:tcPr>
            <w:cnfStyle w:val="001000000000" w:firstRow="0" w:lastRow="0" w:firstColumn="1" w:lastColumn="0" w:oddVBand="0" w:evenVBand="0" w:oddHBand="0" w:evenHBand="0" w:firstRowFirstColumn="0" w:firstRowLastColumn="0" w:lastRowFirstColumn="0" w:lastRowLastColumn="0"/>
            <w:tcW w:w="652" w:type="dxa"/>
            <w:shd w:val="clear" w:color="auto" w:fill="F2F2F2" w:themeFill="background1" w:themeFillShade="F2"/>
            <w:vAlign w:val="center"/>
          </w:tcPr>
          <w:p w14:paraId="4279F41D" w14:textId="1E41AD31" w:rsidR="0079442D" w:rsidRPr="00CA4F29" w:rsidRDefault="0079442D" w:rsidP="00CA4F29">
            <w:pPr>
              <w:pStyle w:val="TableNText"/>
              <w:jc w:val="center"/>
              <w:rPr>
                <w:rFonts w:asciiTheme="minorHAnsi" w:hAnsiTheme="minorHAnsi" w:cstheme="minorHAnsi"/>
                <w:b/>
                <w:bCs/>
                <w:color w:val="F8981D" w:themeColor="accent3"/>
              </w:rPr>
            </w:pPr>
            <w:r w:rsidRPr="00CA4F29">
              <w:rPr>
                <w:rFonts w:asciiTheme="minorHAnsi" w:hAnsiTheme="minorHAnsi" w:cstheme="minorHAnsi"/>
                <w:b/>
                <w:bCs/>
                <w:color w:val="F8981D" w:themeColor="accent3"/>
              </w:rPr>
              <w:t>1.3</w:t>
            </w:r>
          </w:p>
        </w:tc>
        <w:tc>
          <w:tcPr>
            <w:tcW w:w="2856" w:type="dxa"/>
            <w:vAlign w:val="center"/>
          </w:tcPr>
          <w:p w14:paraId="5B96E549" w14:textId="0B739CB6" w:rsidR="0079442D" w:rsidRPr="00CA4F29" w:rsidRDefault="0079442D" w:rsidP="00072349">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sidRPr="00CA4F29">
              <w:rPr>
                <w:rFonts w:asciiTheme="majorHAnsi" w:hAnsiTheme="majorHAnsi" w:cstheme="majorHAnsi"/>
                <w:color w:val="00264D" w:themeColor="background2"/>
              </w:rPr>
              <w:t>Evaluate effectiveness of the IAR-DST</w:t>
            </w:r>
            <w:r w:rsidR="002C6B03">
              <w:rPr>
                <w:rFonts w:asciiTheme="majorHAnsi" w:hAnsiTheme="majorHAnsi" w:cstheme="majorHAnsi"/>
                <w:color w:val="00264D" w:themeColor="background2"/>
              </w:rPr>
              <w:t>.</w:t>
            </w:r>
          </w:p>
        </w:tc>
        <w:tc>
          <w:tcPr>
            <w:tcW w:w="5508" w:type="dxa"/>
          </w:tcPr>
          <w:p w14:paraId="46E70FD0" w14:textId="77AEE39D" w:rsidR="0079442D" w:rsidRPr="000D119D" w:rsidRDefault="00641398" w:rsidP="00072349">
            <w:pPr>
              <w:pStyle w:val="TableNText"/>
              <w:cnfStyle w:val="000000000000" w:firstRow="0" w:lastRow="0" w:firstColumn="0" w:lastColumn="0" w:oddVBand="0" w:evenVBand="0" w:oddHBand="0" w:evenHBand="0" w:firstRowFirstColumn="0" w:firstRowLastColumn="0" w:lastRowFirstColumn="0" w:lastRowLastColumn="0"/>
            </w:pPr>
            <w:r>
              <w:t>The Department</w:t>
            </w:r>
            <w:r w:rsidR="0079442D" w:rsidRPr="000D119D">
              <w:t xml:space="preserve"> should proactively and consistently invest in the evaluation and reviews of the IAR-DST, including seeking regular feedback on the tool requirements for service providers.</w:t>
            </w:r>
            <w:r w:rsidR="0079442D" w:rsidRPr="000D119D">
              <w:rPr>
                <w:rFonts w:asciiTheme="majorHAnsi" w:hAnsiTheme="majorHAnsi" w:cstheme="majorHAnsi"/>
              </w:rPr>
              <w:t xml:space="preserve"> </w:t>
            </w:r>
          </w:p>
        </w:tc>
      </w:tr>
      <w:tr w:rsidR="0079442D" w:rsidRPr="00141636" w14:paraId="72125F75" w14:textId="77777777" w:rsidTr="00B44BBB">
        <w:tc>
          <w:tcPr>
            <w:cnfStyle w:val="001000000000" w:firstRow="0" w:lastRow="0" w:firstColumn="1" w:lastColumn="0" w:oddVBand="0" w:evenVBand="0" w:oddHBand="0" w:evenHBand="0" w:firstRowFirstColumn="0" w:firstRowLastColumn="0" w:lastRowFirstColumn="0" w:lastRowLastColumn="0"/>
            <w:tcW w:w="652" w:type="dxa"/>
            <w:shd w:val="clear" w:color="auto" w:fill="F2F2F2" w:themeFill="background1" w:themeFillShade="F2"/>
            <w:vAlign w:val="center"/>
          </w:tcPr>
          <w:p w14:paraId="2E458BC1" w14:textId="40253D1B" w:rsidR="0079442D" w:rsidRPr="00CA4F29" w:rsidRDefault="0079442D" w:rsidP="00CA4F29">
            <w:pPr>
              <w:pStyle w:val="TableNText"/>
              <w:jc w:val="center"/>
              <w:rPr>
                <w:rFonts w:asciiTheme="minorHAnsi" w:hAnsiTheme="minorHAnsi" w:cstheme="minorHAnsi"/>
                <w:b/>
                <w:bCs/>
                <w:color w:val="F8981D" w:themeColor="accent3"/>
              </w:rPr>
            </w:pPr>
            <w:r w:rsidRPr="00CA4F29">
              <w:rPr>
                <w:rFonts w:asciiTheme="minorHAnsi" w:hAnsiTheme="minorHAnsi" w:cstheme="minorHAnsi"/>
                <w:b/>
                <w:bCs/>
                <w:color w:val="F8981D" w:themeColor="accent3"/>
              </w:rPr>
              <w:t>1.4</w:t>
            </w:r>
          </w:p>
        </w:tc>
        <w:tc>
          <w:tcPr>
            <w:tcW w:w="2856" w:type="dxa"/>
            <w:vAlign w:val="center"/>
          </w:tcPr>
          <w:p w14:paraId="3D0F349E" w14:textId="4F5030C5" w:rsidR="0079442D" w:rsidRPr="00CA4F29" w:rsidRDefault="0079442D" w:rsidP="00072349">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sidRPr="00CA4F29">
              <w:rPr>
                <w:rFonts w:asciiTheme="majorHAnsi" w:hAnsiTheme="majorHAnsi" w:cstheme="majorHAnsi"/>
                <w:color w:val="00264D" w:themeColor="background2"/>
              </w:rPr>
              <w:t>Prioritise investment into continual revision of the IAR-DST, including tailoring for specific cohorts</w:t>
            </w:r>
            <w:r w:rsidR="002C6B03">
              <w:rPr>
                <w:rFonts w:asciiTheme="majorHAnsi" w:hAnsiTheme="majorHAnsi" w:cstheme="majorHAnsi"/>
                <w:color w:val="00264D" w:themeColor="background2"/>
              </w:rPr>
              <w:t>.</w:t>
            </w:r>
          </w:p>
        </w:tc>
        <w:tc>
          <w:tcPr>
            <w:tcW w:w="5508" w:type="dxa"/>
          </w:tcPr>
          <w:p w14:paraId="0B627282" w14:textId="52A0461F" w:rsidR="0079442D" w:rsidRPr="000D119D" w:rsidRDefault="0079442D" w:rsidP="00072349">
            <w:pPr>
              <w:pStyle w:val="TableNText"/>
              <w:cnfStyle w:val="000000000000" w:firstRow="0" w:lastRow="0" w:firstColumn="0" w:lastColumn="0" w:oddVBand="0" w:evenVBand="0" w:oddHBand="0" w:evenHBand="0" w:firstRowFirstColumn="0" w:firstRowLastColumn="0" w:lastRowFirstColumn="0" w:lastRowLastColumn="0"/>
            </w:pPr>
            <w:r w:rsidRPr="000D119D">
              <w:t xml:space="preserve">Utilising data from regular review and evaluation of the IAR-DST, along with feedback from service providers, </w:t>
            </w:r>
            <w:r w:rsidR="00641398">
              <w:t>the Department</w:t>
            </w:r>
            <w:r w:rsidRPr="000D119D">
              <w:t xml:space="preserve"> should continue developing tailored versions of the tool to suit different cohorts such as children, CALD communities, Aboriginal and Torres Strait Islander peoples and the elderly, as well as revising the core tool as required. </w:t>
            </w:r>
          </w:p>
        </w:tc>
      </w:tr>
      <w:tr w:rsidR="0079442D" w:rsidRPr="00141636" w14:paraId="11C0E7C0" w14:textId="77777777" w:rsidTr="00B44BBB">
        <w:tc>
          <w:tcPr>
            <w:cnfStyle w:val="001000000000" w:firstRow="0" w:lastRow="0" w:firstColumn="1" w:lastColumn="0" w:oddVBand="0" w:evenVBand="0" w:oddHBand="0" w:evenHBand="0" w:firstRowFirstColumn="0" w:firstRowLastColumn="0" w:lastRowFirstColumn="0" w:lastRowLastColumn="0"/>
            <w:tcW w:w="652" w:type="dxa"/>
            <w:shd w:val="clear" w:color="auto" w:fill="F2F2F2" w:themeFill="background1" w:themeFillShade="F2"/>
            <w:vAlign w:val="center"/>
          </w:tcPr>
          <w:p w14:paraId="45E5015E" w14:textId="25BC198D" w:rsidR="0079442D" w:rsidRPr="00CA4F29" w:rsidRDefault="0079442D" w:rsidP="00CA4F29">
            <w:pPr>
              <w:pStyle w:val="TableNText"/>
              <w:jc w:val="center"/>
              <w:rPr>
                <w:rFonts w:asciiTheme="minorHAnsi" w:hAnsiTheme="minorHAnsi" w:cstheme="minorHAnsi"/>
                <w:b/>
                <w:bCs/>
                <w:color w:val="F8981D" w:themeColor="accent3"/>
              </w:rPr>
            </w:pPr>
            <w:r w:rsidRPr="00CA4F29">
              <w:rPr>
                <w:rFonts w:asciiTheme="minorHAnsi" w:hAnsiTheme="minorHAnsi" w:cstheme="minorHAnsi"/>
                <w:b/>
                <w:bCs/>
                <w:color w:val="F8981D" w:themeColor="accent3"/>
              </w:rPr>
              <w:lastRenderedPageBreak/>
              <w:t>1.5</w:t>
            </w:r>
          </w:p>
        </w:tc>
        <w:tc>
          <w:tcPr>
            <w:tcW w:w="2856" w:type="dxa"/>
            <w:vAlign w:val="center"/>
          </w:tcPr>
          <w:p w14:paraId="7D724258" w14:textId="390629A4" w:rsidR="0079442D" w:rsidRPr="00CA4F29" w:rsidRDefault="0079442D" w:rsidP="00072349">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sidRPr="00CA4F29">
              <w:rPr>
                <w:rFonts w:asciiTheme="majorHAnsi" w:hAnsiTheme="majorHAnsi" w:cstheme="majorHAnsi"/>
                <w:color w:val="00264D" w:themeColor="background2"/>
              </w:rPr>
              <w:t>The IAR-DST should be amended to include sub-categories of assessments to support the referral of clients</w:t>
            </w:r>
            <w:r w:rsidRPr="00CA4F29" w:rsidDel="00F87049">
              <w:rPr>
                <w:rFonts w:asciiTheme="majorHAnsi" w:hAnsiTheme="majorHAnsi" w:cstheme="majorHAnsi"/>
                <w:color w:val="00264D" w:themeColor="background2"/>
              </w:rPr>
              <w:t xml:space="preserve"> </w:t>
            </w:r>
            <w:r w:rsidRPr="00CA4F29">
              <w:rPr>
                <w:rFonts w:asciiTheme="majorHAnsi" w:hAnsiTheme="majorHAnsi" w:cstheme="majorHAnsi"/>
                <w:color w:val="00264D" w:themeColor="background2"/>
              </w:rPr>
              <w:t>assessed as</w:t>
            </w:r>
            <w:r w:rsidR="003B0968">
              <w:rPr>
                <w:rFonts w:asciiTheme="majorHAnsi" w:hAnsiTheme="majorHAnsi" w:cstheme="majorHAnsi"/>
                <w:color w:val="00264D" w:themeColor="background2"/>
              </w:rPr>
              <w:t xml:space="preserve"> </w:t>
            </w:r>
            <w:r w:rsidR="00C44154">
              <w:rPr>
                <w:rFonts w:asciiTheme="majorHAnsi" w:hAnsiTheme="majorHAnsi" w:cstheme="majorHAnsi"/>
                <w:color w:val="00264D" w:themeColor="background2"/>
              </w:rPr>
              <w:t>level five</w:t>
            </w:r>
            <w:r w:rsidR="002C6B03">
              <w:rPr>
                <w:rFonts w:asciiTheme="majorHAnsi" w:hAnsiTheme="majorHAnsi" w:cstheme="majorHAnsi"/>
                <w:color w:val="00264D" w:themeColor="background2"/>
              </w:rPr>
              <w:t>.</w:t>
            </w:r>
          </w:p>
        </w:tc>
        <w:tc>
          <w:tcPr>
            <w:tcW w:w="5508" w:type="dxa"/>
          </w:tcPr>
          <w:p w14:paraId="236829F3" w14:textId="7C3A89D5" w:rsidR="0079442D" w:rsidRPr="000D119D" w:rsidRDefault="0079442D" w:rsidP="00075D56">
            <w:pPr>
              <w:pStyle w:val="TableNText"/>
              <w:cnfStyle w:val="000000000000" w:firstRow="0" w:lastRow="0" w:firstColumn="0" w:lastColumn="0" w:oddVBand="0" w:evenVBand="0" w:oddHBand="0" w:evenHBand="0" w:firstRowFirstColumn="0" w:firstRowLastColumn="0" w:lastRowFirstColumn="0" w:lastRowLastColumn="0"/>
            </w:pPr>
            <w:r w:rsidRPr="000D119D">
              <w:t xml:space="preserve">The current default for clients assessed as a </w:t>
            </w:r>
            <w:r w:rsidR="00C44154" w:rsidRPr="00C44154">
              <w:t>level five</w:t>
            </w:r>
            <w:r w:rsidRPr="000D119D">
              <w:t xml:space="preserve"> is to refer directly to the </w:t>
            </w:r>
            <w:r w:rsidR="00A005B7">
              <w:t>ED</w:t>
            </w:r>
            <w:r w:rsidRPr="000D119D">
              <w:t xml:space="preserve">. However, there is </w:t>
            </w:r>
            <w:proofErr w:type="gramStart"/>
            <w:r w:rsidRPr="000D119D">
              <w:t>a number of</w:t>
            </w:r>
            <w:proofErr w:type="gramEnd"/>
            <w:r w:rsidRPr="000D119D">
              <w:t xml:space="preserve"> alternative services that clients assessed as </w:t>
            </w:r>
            <w:r w:rsidR="00C44154" w:rsidRPr="00C44154">
              <w:t>level five</w:t>
            </w:r>
            <w:r w:rsidRPr="000D119D">
              <w:t xml:space="preserve"> could be referred to </w:t>
            </w:r>
            <w:r w:rsidR="00DE1C6C">
              <w:t>(</w:t>
            </w:r>
            <w:r w:rsidRPr="000D119D">
              <w:t>e.g</w:t>
            </w:r>
            <w:r w:rsidR="00DE1C6C">
              <w:t>.</w:t>
            </w:r>
            <w:r w:rsidRPr="000D119D">
              <w:t xml:space="preserve">, </w:t>
            </w:r>
            <w:r w:rsidR="00A005B7">
              <w:t>ED</w:t>
            </w:r>
            <w:r w:rsidRPr="000D119D">
              <w:t>, inpatient admission, community treatment teams</w:t>
            </w:r>
            <w:r w:rsidRPr="00897ADE">
              <w:t>, Prevention and Recovery Care services (</w:t>
            </w:r>
            <w:r w:rsidRPr="00897ADE">
              <w:rPr>
                <w:rStyle w:val="Emphasis"/>
                <w:i w:val="0"/>
              </w:rPr>
              <w:t>PARCs</w:t>
            </w:r>
            <w:r w:rsidRPr="00897ADE">
              <w:t>)</w:t>
            </w:r>
            <w:r w:rsidR="00DE1C6C">
              <w:t>)</w:t>
            </w:r>
            <w:r w:rsidRPr="000D119D">
              <w:t xml:space="preserve">. To assist in deciding which service to refer them to, sub-categories with </w:t>
            </w:r>
            <w:r w:rsidR="00C44154" w:rsidRPr="00C44154">
              <w:t>level five</w:t>
            </w:r>
            <w:r w:rsidRPr="000D119D">
              <w:t xml:space="preserve"> could be developed to support the decision as to which state service a </w:t>
            </w:r>
            <w:r w:rsidR="00C44154" w:rsidRPr="00C44154">
              <w:t>level five</w:t>
            </w:r>
            <w:r w:rsidRPr="000D119D">
              <w:t xml:space="preserve"> client should be referred to. </w:t>
            </w:r>
          </w:p>
        </w:tc>
      </w:tr>
      <w:tr w:rsidR="0079442D" w:rsidRPr="00141636" w14:paraId="3491DEFC" w14:textId="77777777" w:rsidTr="00B44BBB">
        <w:tc>
          <w:tcPr>
            <w:cnfStyle w:val="001000000000" w:firstRow="0" w:lastRow="0" w:firstColumn="1" w:lastColumn="0" w:oddVBand="0" w:evenVBand="0" w:oddHBand="0" w:evenHBand="0" w:firstRowFirstColumn="0" w:firstRowLastColumn="0" w:lastRowFirstColumn="0" w:lastRowLastColumn="0"/>
            <w:tcW w:w="652" w:type="dxa"/>
            <w:shd w:val="clear" w:color="auto" w:fill="F2F2F2" w:themeFill="background1" w:themeFillShade="F2"/>
            <w:vAlign w:val="center"/>
          </w:tcPr>
          <w:p w14:paraId="30877E01" w14:textId="0B74F385" w:rsidR="0079442D" w:rsidRPr="00CA4F29" w:rsidRDefault="0079442D" w:rsidP="00CA4F29">
            <w:pPr>
              <w:pStyle w:val="TableNText"/>
              <w:jc w:val="center"/>
              <w:rPr>
                <w:rFonts w:asciiTheme="minorHAnsi" w:hAnsiTheme="minorHAnsi" w:cstheme="minorHAnsi"/>
                <w:b/>
                <w:bCs/>
                <w:color w:val="F8981D" w:themeColor="accent3"/>
              </w:rPr>
            </w:pPr>
            <w:r w:rsidRPr="00CA4F29">
              <w:rPr>
                <w:rFonts w:asciiTheme="minorHAnsi" w:hAnsiTheme="minorHAnsi" w:cstheme="minorHAnsi"/>
                <w:b/>
                <w:bCs/>
                <w:color w:val="F8981D" w:themeColor="accent3"/>
              </w:rPr>
              <w:t>1.6</w:t>
            </w:r>
          </w:p>
        </w:tc>
        <w:tc>
          <w:tcPr>
            <w:tcW w:w="2856" w:type="dxa"/>
            <w:vAlign w:val="center"/>
          </w:tcPr>
          <w:p w14:paraId="58F9AA41" w14:textId="3FF1DB0C" w:rsidR="0079442D" w:rsidRPr="00CA4F29" w:rsidRDefault="0079442D" w:rsidP="00072349">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sidRPr="00CA4F29">
              <w:rPr>
                <w:rFonts w:asciiTheme="majorHAnsi" w:hAnsiTheme="majorHAnsi" w:cstheme="majorHAnsi"/>
                <w:color w:val="00264D" w:themeColor="background2"/>
              </w:rPr>
              <w:t xml:space="preserve">IAR-DST assessment/patient record should be shared with </w:t>
            </w:r>
            <w:r w:rsidR="00D71703">
              <w:rPr>
                <w:rFonts w:asciiTheme="majorHAnsi" w:hAnsiTheme="majorHAnsi" w:cstheme="majorHAnsi"/>
                <w:color w:val="00264D" w:themeColor="background2"/>
              </w:rPr>
              <w:t xml:space="preserve">GPs, other </w:t>
            </w:r>
            <w:r w:rsidRPr="00CA4F29">
              <w:rPr>
                <w:rFonts w:asciiTheme="majorHAnsi" w:hAnsiTheme="majorHAnsi" w:cstheme="majorHAnsi"/>
                <w:color w:val="00264D" w:themeColor="background2"/>
              </w:rPr>
              <w:t xml:space="preserve">referrer and services </w:t>
            </w:r>
            <w:r w:rsidR="00D71703">
              <w:rPr>
                <w:rFonts w:asciiTheme="majorHAnsi" w:hAnsiTheme="majorHAnsi" w:cstheme="majorHAnsi"/>
                <w:color w:val="00264D" w:themeColor="background2"/>
              </w:rPr>
              <w:t>receiving referrals</w:t>
            </w:r>
            <w:r w:rsidR="002C6B03">
              <w:rPr>
                <w:rFonts w:asciiTheme="majorHAnsi" w:hAnsiTheme="majorHAnsi" w:cstheme="majorHAnsi"/>
                <w:color w:val="00264D" w:themeColor="background2"/>
              </w:rPr>
              <w:t>.</w:t>
            </w:r>
          </w:p>
        </w:tc>
        <w:tc>
          <w:tcPr>
            <w:tcW w:w="5508" w:type="dxa"/>
          </w:tcPr>
          <w:p w14:paraId="7D055ACC" w14:textId="552427F4" w:rsidR="0079442D" w:rsidRPr="000D119D" w:rsidRDefault="00641398" w:rsidP="00072349">
            <w:pPr>
              <w:pStyle w:val="TableNText"/>
              <w:cnfStyle w:val="000000000000" w:firstRow="0" w:lastRow="0" w:firstColumn="0" w:lastColumn="0" w:oddVBand="0" w:evenVBand="0" w:oddHBand="0" w:evenHBand="0" w:firstRowFirstColumn="0" w:firstRowLastColumn="0" w:lastRowFirstColumn="0" w:lastRowLastColumn="0"/>
              <w:rPr>
                <w:i/>
                <w:iCs/>
              </w:rPr>
            </w:pPr>
            <w:r>
              <w:t>The Department</w:t>
            </w:r>
            <w:r w:rsidR="0079442D" w:rsidRPr="000D119D">
              <w:t xml:space="preserve"> should fund IAR-DST system develop</w:t>
            </w:r>
            <w:r w:rsidR="007B6060">
              <w:t>ment</w:t>
            </w:r>
            <w:r w:rsidR="0079442D" w:rsidRPr="000D119D">
              <w:t xml:space="preserve"> to enable access by GPs and </w:t>
            </w:r>
            <w:r w:rsidR="00D71703">
              <w:t>other</w:t>
            </w:r>
            <w:r w:rsidR="0079442D" w:rsidRPr="000D119D">
              <w:t xml:space="preserve"> service providers. This would help to avoid double-handling of patient data</w:t>
            </w:r>
            <w:r w:rsidR="00A3428F">
              <w:t>, as well as</w:t>
            </w:r>
            <w:r w:rsidR="0079442D" w:rsidRPr="000D119D">
              <w:t xml:space="preserve"> give </w:t>
            </w:r>
            <w:r w:rsidR="00D71703">
              <w:t>GPs and other</w:t>
            </w:r>
            <w:r w:rsidR="0079442D" w:rsidRPr="000D119D">
              <w:t xml:space="preserve"> referrers line of sight of where their clients are in the system and what mental health treatment services</w:t>
            </w:r>
            <w:r w:rsidR="00A3428F" w:rsidRPr="000D119D">
              <w:t xml:space="preserve"> </w:t>
            </w:r>
            <w:r w:rsidR="0079442D" w:rsidRPr="000D119D">
              <w:t xml:space="preserve">they are receiving. </w:t>
            </w:r>
            <w:r w:rsidR="00A3428F">
              <w:t>This information sharing will help minimise the extent to which a client has to retell their story.</w:t>
            </w:r>
            <w:r w:rsidR="00D71703">
              <w:t xml:space="preserve"> </w:t>
            </w:r>
            <w:r w:rsidR="00667DB1">
              <w:t>To deliver this integration, the</w:t>
            </w:r>
            <w:r w:rsidR="00D71703">
              <w:t xml:space="preserve"> </w:t>
            </w:r>
            <w:proofErr w:type="gramStart"/>
            <w:r w:rsidR="00D71703">
              <w:t>first priority</w:t>
            </w:r>
            <w:proofErr w:type="gramEnd"/>
            <w:r w:rsidR="00D71703">
              <w:t xml:space="preserve"> is to ensure</w:t>
            </w:r>
            <w:r w:rsidR="00667DB1">
              <w:t xml:space="preserve"> GPs are aware of </w:t>
            </w:r>
            <w:r w:rsidR="00BE2B5C">
              <w:t>and understand</w:t>
            </w:r>
            <w:r w:rsidR="00667DB1">
              <w:t xml:space="preserve"> the IAR and can access assessments.</w:t>
            </w:r>
          </w:p>
        </w:tc>
      </w:tr>
      <w:tr w:rsidR="0079442D" w:rsidRPr="00141636" w14:paraId="57157889" w14:textId="77777777" w:rsidTr="00B44BBB">
        <w:tc>
          <w:tcPr>
            <w:cnfStyle w:val="001000000000" w:firstRow="0" w:lastRow="0" w:firstColumn="1" w:lastColumn="0" w:oddVBand="0" w:evenVBand="0" w:oddHBand="0" w:evenHBand="0" w:firstRowFirstColumn="0" w:firstRowLastColumn="0" w:lastRowFirstColumn="0" w:lastRowLastColumn="0"/>
            <w:tcW w:w="652" w:type="dxa"/>
            <w:shd w:val="clear" w:color="auto" w:fill="F2F2F2" w:themeFill="background1" w:themeFillShade="F2"/>
            <w:vAlign w:val="center"/>
          </w:tcPr>
          <w:p w14:paraId="5B243E84" w14:textId="7022D10E" w:rsidR="0079442D" w:rsidRPr="00CA4F29" w:rsidRDefault="0079442D" w:rsidP="00CA4F29">
            <w:pPr>
              <w:pStyle w:val="TableNText"/>
              <w:jc w:val="center"/>
              <w:rPr>
                <w:rFonts w:asciiTheme="minorHAnsi" w:hAnsiTheme="minorHAnsi" w:cstheme="minorHAnsi"/>
                <w:b/>
                <w:bCs/>
                <w:color w:val="F8981D" w:themeColor="accent3"/>
              </w:rPr>
            </w:pPr>
            <w:r w:rsidRPr="00CA4F29">
              <w:rPr>
                <w:rFonts w:asciiTheme="minorHAnsi" w:hAnsiTheme="minorHAnsi" w:cstheme="minorHAnsi"/>
                <w:b/>
                <w:bCs/>
                <w:color w:val="F8981D" w:themeColor="accent3"/>
              </w:rPr>
              <w:t>1.7</w:t>
            </w:r>
          </w:p>
        </w:tc>
        <w:tc>
          <w:tcPr>
            <w:tcW w:w="2856" w:type="dxa"/>
            <w:vAlign w:val="center"/>
          </w:tcPr>
          <w:p w14:paraId="187F270C" w14:textId="76D8A911" w:rsidR="0079442D" w:rsidRPr="00CA4F29" w:rsidRDefault="00641398" w:rsidP="00072349">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Pr>
                <w:rFonts w:asciiTheme="majorHAnsi" w:hAnsiTheme="majorHAnsi" w:cstheme="majorHAnsi"/>
                <w:color w:val="00264D" w:themeColor="background2"/>
              </w:rPr>
              <w:t>The Department</w:t>
            </w:r>
            <w:r w:rsidR="0079442D" w:rsidRPr="00CA4F29">
              <w:rPr>
                <w:rFonts w:asciiTheme="majorHAnsi" w:hAnsiTheme="majorHAnsi" w:cstheme="majorHAnsi"/>
                <w:color w:val="00264D" w:themeColor="background2"/>
              </w:rPr>
              <w:t xml:space="preserve"> should require, and PHNs should ensure</w:t>
            </w:r>
            <w:r w:rsidR="002C6B03">
              <w:rPr>
                <w:rFonts w:asciiTheme="majorHAnsi" w:hAnsiTheme="majorHAnsi" w:cstheme="majorHAnsi"/>
                <w:color w:val="00264D" w:themeColor="background2"/>
              </w:rPr>
              <w:t>,</w:t>
            </w:r>
            <w:r w:rsidR="0079442D" w:rsidRPr="00CA4F29">
              <w:rPr>
                <w:rFonts w:asciiTheme="majorHAnsi" w:hAnsiTheme="majorHAnsi" w:cstheme="majorHAnsi"/>
                <w:color w:val="00264D" w:themeColor="background2"/>
              </w:rPr>
              <w:t xml:space="preserve"> that all continuing </w:t>
            </w:r>
            <w:proofErr w:type="spellStart"/>
            <w:r w:rsidR="0079442D" w:rsidRPr="00CA4F29">
              <w:rPr>
                <w:rFonts w:asciiTheme="majorHAnsi" w:hAnsiTheme="majorHAnsi" w:cstheme="majorHAnsi"/>
                <w:i/>
                <w:iCs/>
                <w:color w:val="00264D" w:themeColor="background2"/>
              </w:rPr>
              <w:t>HeadtoHelp</w:t>
            </w:r>
            <w:proofErr w:type="spellEnd"/>
            <w:r w:rsidR="0079442D" w:rsidRPr="00CA4F29">
              <w:rPr>
                <w:rFonts w:asciiTheme="majorHAnsi" w:hAnsiTheme="majorHAnsi" w:cstheme="majorHAnsi"/>
                <w:color w:val="00264D" w:themeColor="background2"/>
              </w:rPr>
              <w:t xml:space="preserve"> hubs are promoting use of the Victorian single intake contact number only</w:t>
            </w:r>
            <w:r w:rsidR="002C6B03">
              <w:rPr>
                <w:rFonts w:asciiTheme="majorHAnsi" w:hAnsiTheme="majorHAnsi" w:cstheme="majorHAnsi"/>
                <w:color w:val="00264D" w:themeColor="background2"/>
              </w:rPr>
              <w:t>.</w:t>
            </w:r>
          </w:p>
        </w:tc>
        <w:tc>
          <w:tcPr>
            <w:tcW w:w="5508" w:type="dxa"/>
          </w:tcPr>
          <w:p w14:paraId="6109A9B6" w14:textId="1BA9F9B5" w:rsidR="0079442D" w:rsidRPr="000D119D" w:rsidRDefault="0079442D" w:rsidP="00072349">
            <w:pPr>
              <w:pStyle w:val="TableNText"/>
              <w:cnfStyle w:val="000000000000" w:firstRow="0" w:lastRow="0" w:firstColumn="0" w:lastColumn="0" w:oddVBand="0" w:evenVBand="0" w:oddHBand="0" w:evenHBand="0" w:firstRowFirstColumn="0" w:firstRowLastColumn="0" w:lastRowFirstColumn="0" w:lastRowLastColumn="0"/>
            </w:pPr>
            <w:r w:rsidRPr="000D119D">
              <w:t xml:space="preserve">The addition of local service phone numbers to local communications is confusing for service providers to refer to </w:t>
            </w:r>
            <w:proofErr w:type="spellStart"/>
            <w:r w:rsidRPr="000D119D">
              <w:rPr>
                <w:i/>
              </w:rPr>
              <w:t>HeadtoHelp</w:t>
            </w:r>
            <w:proofErr w:type="spellEnd"/>
            <w:r w:rsidRPr="000D119D">
              <w:t xml:space="preserve"> and draws away from the intent of the centralised intake model. </w:t>
            </w:r>
            <w:r w:rsidR="00641398">
              <w:t>The Department</w:t>
            </w:r>
            <w:r w:rsidRPr="000D119D">
              <w:t xml:space="preserve"> should ensure contractual terms require the use of the single 1800 number (and no additional numbers</w:t>
            </w:r>
            <w:r w:rsidR="00140C3A">
              <w:t>)</w:t>
            </w:r>
            <w:r w:rsidRPr="000D119D">
              <w:t xml:space="preserve">. </w:t>
            </w:r>
          </w:p>
        </w:tc>
      </w:tr>
      <w:tr w:rsidR="0079442D" w:rsidRPr="00141636" w14:paraId="3242441A" w14:textId="77777777" w:rsidTr="00B44BBB">
        <w:tc>
          <w:tcPr>
            <w:cnfStyle w:val="001000000000" w:firstRow="0" w:lastRow="0" w:firstColumn="1" w:lastColumn="0" w:oddVBand="0" w:evenVBand="0" w:oddHBand="0" w:evenHBand="0" w:firstRowFirstColumn="0" w:firstRowLastColumn="0" w:lastRowFirstColumn="0" w:lastRowLastColumn="0"/>
            <w:tcW w:w="652" w:type="dxa"/>
            <w:shd w:val="clear" w:color="auto" w:fill="F2F2F2" w:themeFill="background1" w:themeFillShade="F2"/>
            <w:vAlign w:val="center"/>
          </w:tcPr>
          <w:p w14:paraId="6DBE0EBC" w14:textId="59F32D64" w:rsidR="0079442D" w:rsidRPr="00CA4F29" w:rsidRDefault="0079442D" w:rsidP="00CA4F29">
            <w:pPr>
              <w:pStyle w:val="TableNText"/>
              <w:jc w:val="center"/>
              <w:rPr>
                <w:rFonts w:asciiTheme="minorHAnsi" w:hAnsiTheme="minorHAnsi" w:cstheme="minorHAnsi"/>
                <w:b/>
                <w:bCs/>
                <w:color w:val="F8981D" w:themeColor="accent3"/>
              </w:rPr>
            </w:pPr>
            <w:r w:rsidRPr="00CA4F29">
              <w:rPr>
                <w:rFonts w:asciiTheme="minorHAnsi" w:hAnsiTheme="minorHAnsi" w:cstheme="minorHAnsi"/>
                <w:b/>
                <w:bCs/>
                <w:color w:val="F8981D" w:themeColor="accent3"/>
              </w:rPr>
              <w:t>1.8</w:t>
            </w:r>
          </w:p>
        </w:tc>
        <w:tc>
          <w:tcPr>
            <w:tcW w:w="2856" w:type="dxa"/>
            <w:vAlign w:val="center"/>
          </w:tcPr>
          <w:p w14:paraId="2F4842E0" w14:textId="760DF504" w:rsidR="0079442D" w:rsidRPr="00CA4F29" w:rsidRDefault="00641398" w:rsidP="00072349">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Pr>
                <w:rFonts w:asciiTheme="majorHAnsi" w:hAnsiTheme="majorHAnsi" w:cstheme="majorHAnsi"/>
                <w:color w:val="00264D" w:themeColor="background2"/>
              </w:rPr>
              <w:t>The Department should invest in a</w:t>
            </w:r>
            <w:r w:rsidR="0079442D" w:rsidRPr="00CA4F29">
              <w:rPr>
                <w:rFonts w:asciiTheme="majorHAnsi" w:hAnsiTheme="majorHAnsi" w:cstheme="majorHAnsi"/>
                <w:color w:val="00264D" w:themeColor="background2"/>
              </w:rPr>
              <w:t xml:space="preserve"> plan</w:t>
            </w:r>
            <w:r>
              <w:rPr>
                <w:rFonts w:asciiTheme="majorHAnsi" w:hAnsiTheme="majorHAnsi" w:cstheme="majorHAnsi"/>
                <w:color w:val="00264D" w:themeColor="background2"/>
              </w:rPr>
              <w:t xml:space="preserve"> for</w:t>
            </w:r>
            <w:r w:rsidR="0079442D" w:rsidRPr="00CA4F29">
              <w:rPr>
                <w:rFonts w:asciiTheme="majorHAnsi" w:hAnsiTheme="majorHAnsi" w:cstheme="majorHAnsi"/>
                <w:color w:val="00264D" w:themeColor="background2"/>
              </w:rPr>
              <w:t xml:space="preserve"> the integration of individual AMHC intake processes with the national IAR-DST telephone service when it is implemented in July 2022.</w:t>
            </w:r>
          </w:p>
        </w:tc>
        <w:tc>
          <w:tcPr>
            <w:tcW w:w="5508" w:type="dxa"/>
          </w:tcPr>
          <w:p w14:paraId="2394FF60" w14:textId="77777777" w:rsidR="0079442D" w:rsidRPr="000D119D" w:rsidRDefault="0079442D" w:rsidP="00A93449">
            <w:pPr>
              <w:pStyle w:val="TableNText"/>
              <w:cnfStyle w:val="000000000000" w:firstRow="0" w:lastRow="0" w:firstColumn="0" w:lastColumn="0" w:oddVBand="0" w:evenVBand="0" w:oddHBand="0" w:evenHBand="0" w:firstRowFirstColumn="0" w:firstRowLastColumn="0" w:lastRowFirstColumn="0" w:lastRowLastColumn="0"/>
            </w:pPr>
            <w:r w:rsidRPr="000D119D">
              <w:t xml:space="preserve">A national mental health IAR telephone service is expected to be in place by July 2022. As AMHCs will be operational before this, the Commonwealth needs to plan for how the AMHC intake processes (including phone lines) will transition to the national approach. This is critical to ensure consistency of experience and reduce confusion for clients. Consideration also needs to be given as to how the details of walk-in clients will be collected and stored in the same system as those being captured through the phone line. </w:t>
            </w:r>
          </w:p>
          <w:p w14:paraId="7E38650B" w14:textId="3005086B" w:rsidR="0079442D" w:rsidRPr="000D119D" w:rsidRDefault="0079442D" w:rsidP="00072349">
            <w:pPr>
              <w:pStyle w:val="TableNText"/>
              <w:cnfStyle w:val="000000000000" w:firstRow="0" w:lastRow="0" w:firstColumn="0" w:lastColumn="0" w:oddVBand="0" w:evenVBand="0" w:oddHBand="0" w:evenHBand="0" w:firstRowFirstColumn="0" w:firstRowLastColumn="0" w:lastRowFirstColumn="0" w:lastRowLastColumn="0"/>
            </w:pPr>
            <w:r w:rsidRPr="000D119D">
              <w:t xml:space="preserve">This will also need to be integrated with the intake processes of the continuing </w:t>
            </w:r>
            <w:proofErr w:type="spellStart"/>
            <w:r w:rsidRPr="000D119D">
              <w:rPr>
                <w:i/>
              </w:rPr>
              <w:t>HeadtoHelp</w:t>
            </w:r>
            <w:proofErr w:type="spellEnd"/>
            <w:r w:rsidRPr="000D119D">
              <w:t xml:space="preserve"> hubs and ideally adopted as part of the roll out of Local Mental Health and Wellbeing </w:t>
            </w:r>
            <w:r w:rsidR="009E3989" w:rsidRPr="000D119D">
              <w:t>hubs</w:t>
            </w:r>
            <w:r w:rsidRPr="000D119D">
              <w:t xml:space="preserve"> in Victoria. </w:t>
            </w:r>
          </w:p>
        </w:tc>
      </w:tr>
      <w:tr w:rsidR="0079442D" w:rsidRPr="00141636" w14:paraId="3615E2DB" w14:textId="77777777" w:rsidTr="00B44BBB">
        <w:tc>
          <w:tcPr>
            <w:cnfStyle w:val="001000000000" w:firstRow="0" w:lastRow="0" w:firstColumn="1" w:lastColumn="0" w:oddVBand="0" w:evenVBand="0" w:oddHBand="0" w:evenHBand="0" w:firstRowFirstColumn="0" w:firstRowLastColumn="0" w:lastRowFirstColumn="0" w:lastRowLastColumn="0"/>
            <w:tcW w:w="652" w:type="dxa"/>
            <w:shd w:val="clear" w:color="auto" w:fill="F2F2F2" w:themeFill="background1" w:themeFillShade="F2"/>
            <w:vAlign w:val="center"/>
          </w:tcPr>
          <w:p w14:paraId="7BF42733" w14:textId="7124EEE9" w:rsidR="0079442D" w:rsidRPr="00B44BBB" w:rsidRDefault="002B3EF4" w:rsidP="00B44BBB">
            <w:pPr>
              <w:pStyle w:val="TableNText"/>
              <w:jc w:val="center"/>
              <w:rPr>
                <w:rFonts w:asciiTheme="minorHAnsi" w:hAnsiTheme="minorHAnsi" w:cstheme="minorHAnsi"/>
                <w:b/>
                <w:bCs/>
                <w:color w:val="F8981D" w:themeColor="accent3"/>
              </w:rPr>
            </w:pPr>
            <w:r>
              <w:rPr>
                <w:rFonts w:asciiTheme="minorHAnsi" w:hAnsiTheme="minorHAnsi" w:cstheme="minorHAnsi"/>
                <w:b/>
                <w:bCs/>
                <w:color w:val="F8981D" w:themeColor="accent3"/>
              </w:rPr>
              <w:t>1.9</w:t>
            </w:r>
          </w:p>
        </w:tc>
        <w:tc>
          <w:tcPr>
            <w:tcW w:w="2856" w:type="dxa"/>
            <w:vAlign w:val="center"/>
          </w:tcPr>
          <w:p w14:paraId="6090D81F" w14:textId="7DA53E6A" w:rsidR="0079442D" w:rsidRPr="00B44BBB" w:rsidRDefault="0079442D" w:rsidP="00072349">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sidRPr="00B44BBB">
              <w:rPr>
                <w:rFonts w:asciiTheme="majorHAnsi" w:hAnsiTheme="majorHAnsi" w:cstheme="majorHAnsi"/>
                <w:color w:val="00264D" w:themeColor="background2"/>
              </w:rPr>
              <w:t>Centralising intake at the PHN regional level should be continued and adopted nationally</w:t>
            </w:r>
            <w:r w:rsidR="002C6B03">
              <w:rPr>
                <w:rFonts w:asciiTheme="majorHAnsi" w:hAnsiTheme="majorHAnsi" w:cstheme="majorHAnsi"/>
                <w:color w:val="00264D" w:themeColor="background2"/>
              </w:rPr>
              <w:t>.</w:t>
            </w:r>
          </w:p>
        </w:tc>
        <w:tc>
          <w:tcPr>
            <w:tcW w:w="5508" w:type="dxa"/>
          </w:tcPr>
          <w:p w14:paraId="2FBFFC32" w14:textId="5B972108" w:rsidR="0079442D" w:rsidRPr="000D119D" w:rsidRDefault="0079442D" w:rsidP="00072349">
            <w:pPr>
              <w:pStyle w:val="TableNText"/>
              <w:cnfStyle w:val="000000000000" w:firstRow="0" w:lastRow="0" w:firstColumn="0" w:lastColumn="0" w:oddVBand="0" w:evenVBand="0" w:oddHBand="0" w:evenHBand="0" w:firstRowFirstColumn="0" w:firstRowLastColumn="0" w:lastRowFirstColumn="0" w:lastRowLastColumn="0"/>
            </w:pPr>
            <w:r w:rsidRPr="000D119D">
              <w:t xml:space="preserve">There is a tension between centralisation and localisation of intake processes. Findings from </w:t>
            </w:r>
            <w:proofErr w:type="spellStart"/>
            <w:r w:rsidRPr="000D119D">
              <w:rPr>
                <w:i/>
                <w:iCs/>
              </w:rPr>
              <w:t>HeadtoHelp</w:t>
            </w:r>
            <w:proofErr w:type="spellEnd"/>
            <w:r w:rsidRPr="000D119D">
              <w:t xml:space="preserve"> indicate that the PHN regional level provides an appropriate balance. Geo-routing incoming calls to the IAR-DST line to a PHN-level intake team allows clients to be assigned to operators with a building/strong knowledge of the area that the client is calling from which will enable better informed referrals.</w:t>
            </w:r>
          </w:p>
        </w:tc>
      </w:tr>
      <w:tr w:rsidR="0079442D" w:rsidRPr="00141636" w14:paraId="2F803E8D" w14:textId="77777777" w:rsidTr="00B44BBB">
        <w:tc>
          <w:tcPr>
            <w:cnfStyle w:val="001000000000" w:firstRow="0" w:lastRow="0" w:firstColumn="1" w:lastColumn="0" w:oddVBand="0" w:evenVBand="0" w:oddHBand="0" w:evenHBand="0" w:firstRowFirstColumn="0" w:firstRowLastColumn="0" w:lastRowFirstColumn="0" w:lastRowLastColumn="0"/>
            <w:tcW w:w="652" w:type="dxa"/>
            <w:shd w:val="clear" w:color="auto" w:fill="F2F2F2" w:themeFill="background1" w:themeFillShade="F2"/>
            <w:vAlign w:val="center"/>
          </w:tcPr>
          <w:p w14:paraId="333B7083" w14:textId="2F5A4388" w:rsidR="0079442D" w:rsidRPr="00B44BBB" w:rsidRDefault="0079442D" w:rsidP="00B44BBB">
            <w:pPr>
              <w:pStyle w:val="TableNText"/>
              <w:jc w:val="center"/>
              <w:rPr>
                <w:rFonts w:asciiTheme="minorHAnsi" w:hAnsiTheme="minorHAnsi" w:cstheme="minorHAnsi"/>
                <w:b/>
                <w:bCs/>
                <w:color w:val="F8981D" w:themeColor="accent3"/>
              </w:rPr>
            </w:pPr>
            <w:r w:rsidRPr="00B44BBB">
              <w:rPr>
                <w:rFonts w:asciiTheme="minorHAnsi" w:hAnsiTheme="minorHAnsi" w:cstheme="minorHAnsi"/>
                <w:b/>
                <w:bCs/>
                <w:color w:val="F8981D" w:themeColor="accent3"/>
              </w:rPr>
              <w:t>1.</w:t>
            </w:r>
            <w:r w:rsidR="002B3EF4">
              <w:rPr>
                <w:rFonts w:asciiTheme="minorHAnsi" w:hAnsiTheme="minorHAnsi" w:cstheme="minorHAnsi"/>
                <w:b/>
                <w:bCs/>
                <w:color w:val="F8981D" w:themeColor="accent3"/>
              </w:rPr>
              <w:t>10</w:t>
            </w:r>
          </w:p>
        </w:tc>
        <w:tc>
          <w:tcPr>
            <w:tcW w:w="2856" w:type="dxa"/>
            <w:vAlign w:val="center"/>
          </w:tcPr>
          <w:p w14:paraId="73E8A83C" w14:textId="72FCB5C3" w:rsidR="0079442D" w:rsidRPr="00B44BBB" w:rsidRDefault="0079442D" w:rsidP="00072349">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sidRPr="00B44BBB">
              <w:rPr>
                <w:rFonts w:asciiTheme="majorHAnsi" w:hAnsiTheme="majorHAnsi" w:cstheme="majorHAnsi"/>
                <w:color w:val="00264D" w:themeColor="background2"/>
              </w:rPr>
              <w:t>The IAR service needs to be supported by a digital comprehensive service and community resources database</w:t>
            </w:r>
            <w:r w:rsidR="00A86DA3">
              <w:rPr>
                <w:rFonts w:asciiTheme="majorHAnsi" w:hAnsiTheme="majorHAnsi" w:cstheme="majorHAnsi"/>
                <w:color w:val="00264D" w:themeColor="background2"/>
              </w:rPr>
              <w:t xml:space="preserve"> that is developed by PHNs as a clinician support tool</w:t>
            </w:r>
            <w:r w:rsidRPr="00B44BBB">
              <w:rPr>
                <w:rFonts w:asciiTheme="majorHAnsi" w:hAnsiTheme="majorHAnsi" w:cstheme="majorHAnsi"/>
                <w:color w:val="00264D" w:themeColor="background2"/>
              </w:rPr>
              <w:t>.</w:t>
            </w:r>
          </w:p>
        </w:tc>
        <w:tc>
          <w:tcPr>
            <w:tcW w:w="5508" w:type="dxa"/>
          </w:tcPr>
          <w:p w14:paraId="1F2D4147" w14:textId="3C6D4336" w:rsidR="00E425C3" w:rsidRDefault="007C43A1" w:rsidP="00072349">
            <w:pPr>
              <w:pStyle w:val="TableNText"/>
              <w:cnfStyle w:val="000000000000" w:firstRow="0" w:lastRow="0" w:firstColumn="0" w:lastColumn="0" w:oddVBand="0" w:evenVBand="0" w:oddHBand="0" w:evenHBand="0" w:firstRowFirstColumn="0" w:firstRowLastColumn="0" w:lastRowFirstColumn="0" w:lastRowLastColumn="0"/>
            </w:pPr>
            <w:r>
              <w:t>Participant</w:t>
            </w:r>
            <w:r w:rsidR="0079442D" w:rsidRPr="000D119D">
              <w:t xml:space="preserve">s highlighted that some referrals were neither personal to their needs, appropriate or accessible, suggesting that service providers may not be fully aware of the range and options available. </w:t>
            </w:r>
            <w:r w:rsidR="00DE293E">
              <w:t xml:space="preserve">There needs to be greater system-level support for clinicians </w:t>
            </w:r>
            <w:r w:rsidR="003B4679">
              <w:t>to access and use this information</w:t>
            </w:r>
            <w:r w:rsidR="00961EDB">
              <w:t>.</w:t>
            </w:r>
          </w:p>
          <w:p w14:paraId="4FA0ABB8" w14:textId="503BBF78" w:rsidR="0079442D" w:rsidRPr="000D119D" w:rsidRDefault="0079442D" w:rsidP="00072349">
            <w:pPr>
              <w:pStyle w:val="TableNText"/>
              <w:cnfStyle w:val="000000000000" w:firstRow="0" w:lastRow="0" w:firstColumn="0" w:lastColumn="0" w:oddVBand="0" w:evenVBand="0" w:oddHBand="0" w:evenHBand="0" w:firstRowFirstColumn="0" w:firstRowLastColumn="0" w:lastRowFirstColumn="0" w:lastRowLastColumn="0"/>
            </w:pPr>
            <w:r w:rsidRPr="000D119D">
              <w:t xml:space="preserve">The Commonwealth should fund PHNs to develop a robust and up-to-date service and community resource directory as part of IAR implementation, which should contain real-time information such as wait times, billing, </w:t>
            </w:r>
            <w:proofErr w:type="gramStart"/>
            <w:r w:rsidRPr="000D119D">
              <w:t>eligibility</w:t>
            </w:r>
            <w:proofErr w:type="gramEnd"/>
            <w:r w:rsidRPr="000D119D">
              <w:t xml:space="preserve"> and opening hours to support referrals. This will more easily guide providers to give locally appropriate and responsive referrals.</w:t>
            </w:r>
          </w:p>
        </w:tc>
      </w:tr>
    </w:tbl>
    <w:p w14:paraId="5F2FD83D" w14:textId="1213772B" w:rsidR="000A4EC6" w:rsidRPr="000D119D" w:rsidRDefault="000A4EC6" w:rsidP="00D8203E">
      <w:pPr>
        <w:pStyle w:val="Caption"/>
      </w:pPr>
      <w:bookmarkStart w:id="162" w:name="_Ref79227330"/>
      <w:r w:rsidRPr="000D119D">
        <w:t xml:space="preserve">Table </w:t>
      </w:r>
      <w:r w:rsidRPr="000D119D">
        <w:fldChar w:fldCharType="begin"/>
      </w:r>
      <w:r w:rsidRPr="000D119D">
        <w:instrText xml:space="preserve"> SEQ Table \* ARABIC </w:instrText>
      </w:r>
      <w:r w:rsidRPr="000D119D">
        <w:fldChar w:fldCharType="separate"/>
      </w:r>
      <w:r w:rsidR="00562174">
        <w:rPr>
          <w:noProof/>
        </w:rPr>
        <w:t>8</w:t>
      </w:r>
      <w:r w:rsidRPr="000D119D">
        <w:fldChar w:fldCharType="end"/>
      </w:r>
      <w:r w:rsidRPr="000D119D">
        <w:t xml:space="preserve"> | </w:t>
      </w:r>
      <w:r w:rsidR="00BF3642" w:rsidRPr="000D119D">
        <w:t xml:space="preserve">2. </w:t>
      </w:r>
      <w:r w:rsidRPr="000D119D">
        <w:t xml:space="preserve">Recommendations regarding the remaining operation and withdrawal of </w:t>
      </w:r>
      <w:proofErr w:type="spellStart"/>
      <w:r w:rsidRPr="00D8203E">
        <w:rPr>
          <w:rStyle w:val="Emphasis"/>
        </w:rPr>
        <w:t>HeadtoHelp</w:t>
      </w:r>
      <w:proofErr w:type="spellEnd"/>
      <w:r w:rsidRPr="00D8203E">
        <w:rPr>
          <w:rStyle w:val="Emphasis"/>
        </w:rPr>
        <w:t xml:space="preserve"> </w:t>
      </w:r>
      <w:r w:rsidR="009E3989" w:rsidRPr="000D119D">
        <w:t>hubs</w:t>
      </w:r>
    </w:p>
    <w:tbl>
      <w:tblPr>
        <w:tblStyle w:val="NOUS1"/>
        <w:tblW w:w="4954" w:type="pct"/>
        <w:tblLayout w:type="fixed"/>
        <w:tblLook w:val="04A0" w:firstRow="1" w:lastRow="0" w:firstColumn="1" w:lastColumn="0" w:noHBand="0" w:noVBand="1"/>
        <w:tblDescription w:val="Table 8 list recommendations two for the remaining operation and withdrawal of HeadtoHelp hubs"/>
      </w:tblPr>
      <w:tblGrid>
        <w:gridCol w:w="639"/>
        <w:gridCol w:w="2748"/>
        <w:gridCol w:w="5629"/>
      </w:tblGrid>
      <w:tr w:rsidR="0079442D" w:rsidRPr="007A100E" w14:paraId="58CE57DA" w14:textId="77777777" w:rsidTr="00794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9" w:type="dxa"/>
            <w:tcBorders>
              <w:top w:val="nil"/>
            </w:tcBorders>
          </w:tcPr>
          <w:p w14:paraId="0F1755EA" w14:textId="77777777" w:rsidR="0079442D" w:rsidRPr="000D119D" w:rsidRDefault="0079442D" w:rsidP="0039463A">
            <w:pPr>
              <w:pStyle w:val="TableNheader"/>
              <w:rPr>
                <w:b w:val="0"/>
              </w:rPr>
            </w:pPr>
            <w:r w:rsidRPr="000D119D">
              <w:rPr>
                <w:b w:val="0"/>
                <w:bCs/>
              </w:rPr>
              <w:t>#</w:t>
            </w:r>
          </w:p>
        </w:tc>
        <w:tc>
          <w:tcPr>
            <w:tcW w:w="2748" w:type="dxa"/>
            <w:tcBorders>
              <w:top w:val="nil"/>
            </w:tcBorders>
          </w:tcPr>
          <w:p w14:paraId="0D47ABB5" w14:textId="77777777" w:rsidR="0079442D" w:rsidRPr="000D119D" w:rsidRDefault="0079442D" w:rsidP="0039463A">
            <w:pPr>
              <w:pStyle w:val="TableNheader"/>
              <w:cnfStyle w:val="100000000000" w:firstRow="1" w:lastRow="0" w:firstColumn="0" w:lastColumn="0" w:oddVBand="0" w:evenVBand="0" w:oddHBand="0" w:evenHBand="0" w:firstRowFirstColumn="0" w:firstRowLastColumn="0" w:lastRowFirstColumn="0" w:lastRowLastColumn="0"/>
              <w:rPr>
                <w:b w:val="0"/>
              </w:rPr>
            </w:pPr>
            <w:r w:rsidRPr="000D119D">
              <w:rPr>
                <w:b w:val="0"/>
              </w:rPr>
              <w:t>Recommendation</w:t>
            </w:r>
          </w:p>
        </w:tc>
        <w:tc>
          <w:tcPr>
            <w:tcW w:w="5629" w:type="dxa"/>
            <w:tcBorders>
              <w:top w:val="nil"/>
            </w:tcBorders>
          </w:tcPr>
          <w:p w14:paraId="1192ECFD" w14:textId="77777777" w:rsidR="0079442D" w:rsidRPr="000D119D" w:rsidRDefault="0079442D" w:rsidP="0039463A">
            <w:pPr>
              <w:pStyle w:val="TableNheader"/>
              <w:cnfStyle w:val="100000000000" w:firstRow="1" w:lastRow="0" w:firstColumn="0" w:lastColumn="0" w:oddVBand="0" w:evenVBand="0" w:oddHBand="0" w:evenHBand="0" w:firstRowFirstColumn="0" w:firstRowLastColumn="0" w:lastRowFirstColumn="0" w:lastRowLastColumn="0"/>
            </w:pPr>
            <w:r w:rsidRPr="000D119D">
              <w:rPr>
                <w:b w:val="0"/>
                <w:bCs/>
              </w:rPr>
              <w:t>Details</w:t>
            </w:r>
          </w:p>
        </w:tc>
      </w:tr>
      <w:tr w:rsidR="0079442D" w:rsidRPr="00141636" w14:paraId="0C80FC68" w14:textId="77777777" w:rsidTr="00551F40">
        <w:tc>
          <w:tcPr>
            <w:cnfStyle w:val="001000000000" w:firstRow="0" w:lastRow="0" w:firstColumn="1" w:lastColumn="0" w:oddVBand="0" w:evenVBand="0" w:oddHBand="0" w:evenHBand="0" w:firstRowFirstColumn="0" w:firstRowLastColumn="0" w:lastRowFirstColumn="0" w:lastRowLastColumn="0"/>
            <w:tcW w:w="639" w:type="dxa"/>
            <w:vAlign w:val="center"/>
          </w:tcPr>
          <w:p w14:paraId="7F0D208E" w14:textId="081D24F7" w:rsidR="0079442D" w:rsidRPr="00551F40" w:rsidRDefault="0079442D" w:rsidP="00551F40">
            <w:pPr>
              <w:pStyle w:val="TableNText"/>
              <w:jc w:val="center"/>
              <w:rPr>
                <w:rFonts w:asciiTheme="minorHAnsi" w:hAnsiTheme="minorHAnsi" w:cstheme="minorHAnsi"/>
                <w:b/>
                <w:bCs/>
                <w:color w:val="0070C0"/>
              </w:rPr>
            </w:pPr>
            <w:r w:rsidRPr="00551F40">
              <w:rPr>
                <w:rFonts w:asciiTheme="minorHAnsi" w:hAnsiTheme="minorHAnsi" w:cstheme="minorHAnsi"/>
                <w:b/>
                <w:bCs/>
                <w:color w:val="0070C0"/>
              </w:rPr>
              <w:lastRenderedPageBreak/>
              <w:t>2.1</w:t>
            </w:r>
          </w:p>
        </w:tc>
        <w:tc>
          <w:tcPr>
            <w:tcW w:w="2748" w:type="dxa"/>
            <w:vAlign w:val="center"/>
          </w:tcPr>
          <w:p w14:paraId="35A6EA09" w14:textId="3F0D207C" w:rsidR="0079442D" w:rsidRPr="00551F40" w:rsidRDefault="00641398" w:rsidP="00551F40">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Pr>
                <w:rFonts w:asciiTheme="majorHAnsi" w:hAnsiTheme="majorHAnsi" w:cstheme="majorHAnsi"/>
                <w:color w:val="00264D" w:themeColor="background2"/>
              </w:rPr>
              <w:t>The Department</w:t>
            </w:r>
            <w:r w:rsidR="0079442D" w:rsidRPr="00551F40">
              <w:rPr>
                <w:rFonts w:asciiTheme="majorHAnsi" w:hAnsiTheme="majorHAnsi" w:cstheme="majorHAnsi"/>
                <w:color w:val="00264D" w:themeColor="background2"/>
              </w:rPr>
              <w:t xml:space="preserve"> should extend the operation of existing </w:t>
            </w:r>
            <w:proofErr w:type="spellStart"/>
            <w:r w:rsidR="0079442D" w:rsidRPr="00551F40">
              <w:rPr>
                <w:rFonts w:asciiTheme="majorHAnsi" w:hAnsiTheme="majorHAnsi" w:cstheme="majorHAnsi"/>
                <w:i/>
                <w:iCs/>
                <w:color w:val="00264D" w:themeColor="background2"/>
              </w:rPr>
              <w:t>HeadtoHelp</w:t>
            </w:r>
            <w:proofErr w:type="spellEnd"/>
            <w:r w:rsidR="0079442D" w:rsidRPr="00551F40">
              <w:rPr>
                <w:rFonts w:asciiTheme="majorHAnsi" w:hAnsiTheme="majorHAnsi" w:cstheme="majorHAnsi"/>
                <w:color w:val="00264D" w:themeColor="background2"/>
              </w:rPr>
              <w:t xml:space="preserve"> </w:t>
            </w:r>
            <w:r w:rsidR="009E3989" w:rsidRPr="00551F40">
              <w:rPr>
                <w:rFonts w:asciiTheme="majorHAnsi" w:hAnsiTheme="majorHAnsi" w:cstheme="majorHAnsi"/>
                <w:color w:val="00264D" w:themeColor="background2"/>
              </w:rPr>
              <w:t>hub</w:t>
            </w:r>
            <w:r w:rsidR="0079442D" w:rsidRPr="00551F40">
              <w:rPr>
                <w:rFonts w:asciiTheme="majorHAnsi" w:hAnsiTheme="majorHAnsi" w:cstheme="majorHAnsi"/>
                <w:color w:val="00264D" w:themeColor="background2"/>
              </w:rPr>
              <w:t>s until the Victorian Local Mental Health and Wellbeing Centres and subsequent tranches of AMHCs are operational.</w:t>
            </w:r>
          </w:p>
        </w:tc>
        <w:tc>
          <w:tcPr>
            <w:tcW w:w="5629" w:type="dxa"/>
          </w:tcPr>
          <w:p w14:paraId="7194135C" w14:textId="7C28DAE5" w:rsidR="0079442D" w:rsidRPr="000D119D" w:rsidRDefault="00641398" w:rsidP="0039463A">
            <w:pPr>
              <w:pStyle w:val="TableNText"/>
              <w:cnfStyle w:val="000000000000" w:firstRow="0" w:lastRow="0" w:firstColumn="0" w:lastColumn="0" w:oddVBand="0" w:evenVBand="0" w:oddHBand="0" w:evenHBand="0" w:firstRowFirstColumn="0" w:firstRowLastColumn="0" w:lastRowFirstColumn="0" w:lastRowLastColumn="0"/>
            </w:pPr>
            <w:r>
              <w:t>The Department</w:t>
            </w:r>
            <w:r w:rsidR="0079442D" w:rsidRPr="000D119D">
              <w:t xml:space="preserve"> should consider the following process to avoid a service gap between the decommissioning of </w:t>
            </w:r>
            <w:proofErr w:type="spellStart"/>
            <w:r w:rsidR="0079442D" w:rsidRPr="000D119D">
              <w:rPr>
                <w:i/>
                <w:iCs/>
              </w:rPr>
              <w:t>HeadtoHelp</w:t>
            </w:r>
            <w:proofErr w:type="spellEnd"/>
            <w:r w:rsidR="0079442D" w:rsidRPr="000D119D">
              <w:t xml:space="preserve"> hubs and the establishment of both further </w:t>
            </w:r>
            <w:r w:rsidR="0079442D" w:rsidRPr="000D119D">
              <w:rPr>
                <w:rFonts w:asciiTheme="minorHAnsi" w:hAnsiTheme="minorHAnsi" w:cstheme="minorHAnsi"/>
              </w:rPr>
              <w:t>AMHCs and the Victorian Local Me</w:t>
            </w:r>
            <w:r w:rsidR="0079442D" w:rsidRPr="000D119D">
              <w:t>ntal Health and Wellbeing Services:</w:t>
            </w:r>
          </w:p>
          <w:p w14:paraId="025A19CE" w14:textId="175A1192" w:rsidR="0079442D" w:rsidRPr="000D119D" w:rsidRDefault="00C855B8" w:rsidP="00CA15BE">
            <w:pPr>
              <w:pStyle w:val="TableNBullet"/>
              <w:cnfStyle w:val="000000000000" w:firstRow="0" w:lastRow="0" w:firstColumn="0" w:lastColumn="0" w:oddVBand="0" w:evenVBand="0" w:oddHBand="0" w:evenHBand="0" w:firstRowFirstColumn="0" w:firstRowLastColumn="0" w:lastRowFirstColumn="0" w:lastRowLastColumn="0"/>
            </w:pPr>
            <w:r w:rsidRPr="000D119D">
              <w:t>Urgently</w:t>
            </w:r>
            <w:r w:rsidR="0079442D" w:rsidRPr="000D119D">
              <w:t xml:space="preserve"> confirm locations for the next tranche of </w:t>
            </w:r>
            <w:r w:rsidR="00810D54">
              <w:t>AMHC</w:t>
            </w:r>
            <w:r w:rsidR="0079442D" w:rsidRPr="000D119D">
              <w:t xml:space="preserve"> clinics/</w:t>
            </w:r>
            <w:r w:rsidR="00810D54">
              <w:t xml:space="preserve"> </w:t>
            </w:r>
            <w:r w:rsidR="0079442D" w:rsidRPr="000D119D">
              <w:t>satellites</w:t>
            </w:r>
            <w:r>
              <w:t>.</w:t>
            </w:r>
          </w:p>
          <w:p w14:paraId="4963A0F1" w14:textId="719C3DEF" w:rsidR="0079442D" w:rsidRPr="000D119D" w:rsidRDefault="00C855B8" w:rsidP="00CA15BE">
            <w:pPr>
              <w:pStyle w:val="TableNBullet"/>
              <w:cnfStyle w:val="000000000000" w:firstRow="0" w:lastRow="0" w:firstColumn="0" w:lastColumn="0" w:oddVBand="0" w:evenVBand="0" w:oddHBand="0" w:evenHBand="0" w:firstRowFirstColumn="0" w:firstRowLastColumn="0" w:lastRowFirstColumn="0" w:lastRowLastColumn="0"/>
            </w:pPr>
            <w:r w:rsidRPr="000D119D">
              <w:t>Where</w:t>
            </w:r>
            <w:r w:rsidR="0079442D" w:rsidRPr="000D119D">
              <w:t xml:space="preserve"> </w:t>
            </w:r>
            <w:r w:rsidR="00810D54">
              <w:t>an</w:t>
            </w:r>
            <w:r w:rsidR="0079442D" w:rsidRPr="000D119D">
              <w:t xml:space="preserve"> AMHC will be located, consider if novation of contracts, as well as transfer of staff and clients from current hubs to new centres is possible and appropriate</w:t>
            </w:r>
            <w:r>
              <w:t>.</w:t>
            </w:r>
          </w:p>
          <w:p w14:paraId="1B810E3E" w14:textId="4623A2BA" w:rsidR="007F221D" w:rsidRDefault="00C855B8" w:rsidP="00545723">
            <w:pPr>
              <w:pStyle w:val="TableNBullet"/>
              <w:cnfStyle w:val="000000000000" w:firstRow="0" w:lastRow="0" w:firstColumn="0" w:lastColumn="0" w:oddVBand="0" w:evenVBand="0" w:oddHBand="0" w:evenHBand="0" w:firstRowFirstColumn="0" w:firstRowLastColumn="0" w:lastRowFirstColumn="0" w:lastRowLastColumn="0"/>
            </w:pPr>
            <w:r w:rsidRPr="000D119D">
              <w:t>Where</w:t>
            </w:r>
            <w:r w:rsidR="00CA15BE" w:rsidRPr="000D119D">
              <w:t xml:space="preserve"> </w:t>
            </w:r>
            <w:r w:rsidR="0079442D" w:rsidRPr="000D119D">
              <w:t xml:space="preserve">a Local Mental Health and Wellbeing Service is planned, the </w:t>
            </w:r>
            <w:proofErr w:type="spellStart"/>
            <w:r w:rsidR="0079442D" w:rsidRPr="007F221D">
              <w:rPr>
                <w:i/>
                <w:iCs/>
              </w:rPr>
              <w:t>HeadtoHelp</w:t>
            </w:r>
            <w:proofErr w:type="spellEnd"/>
            <w:r w:rsidR="0079442D" w:rsidRPr="000D119D">
              <w:t xml:space="preserve"> hub in that location should be extended until the new </w:t>
            </w:r>
            <w:r w:rsidR="007F221D" w:rsidRPr="000D119D">
              <w:t>local service i</w:t>
            </w:r>
            <w:r w:rsidR="0079442D" w:rsidRPr="000D119D">
              <w:t xml:space="preserve">s </w:t>
            </w:r>
            <w:proofErr w:type="gramStart"/>
            <w:r w:rsidR="0079442D" w:rsidRPr="000D119D">
              <w:t>operational</w:t>
            </w:r>
            <w:proofErr w:type="gramEnd"/>
            <w:r w:rsidR="0079442D" w:rsidRPr="000D119D">
              <w:t xml:space="preserve"> and the transition planned in conjunction with the Victorian Government</w:t>
            </w:r>
            <w:r>
              <w:t>.</w:t>
            </w:r>
          </w:p>
          <w:p w14:paraId="31497898" w14:textId="1C93EA9D" w:rsidR="0079442D" w:rsidRPr="000D119D" w:rsidRDefault="00C855B8" w:rsidP="00CA15BE">
            <w:pPr>
              <w:pStyle w:val="TableNBullet"/>
              <w:cnfStyle w:val="000000000000" w:firstRow="0" w:lastRow="0" w:firstColumn="0" w:lastColumn="0" w:oddVBand="0" w:evenVBand="0" w:oddHBand="0" w:evenHBand="0" w:firstRowFirstColumn="0" w:firstRowLastColumn="0" w:lastRowFirstColumn="0" w:lastRowLastColumn="0"/>
            </w:pPr>
            <w:r w:rsidRPr="000D119D">
              <w:t>By</w:t>
            </w:r>
            <w:r w:rsidR="0079442D" w:rsidRPr="000D119D">
              <w:t xml:space="preserve"> the time the proposed 50</w:t>
            </w:r>
            <w:r w:rsidR="007F221D">
              <w:t xml:space="preserve"> to </w:t>
            </w:r>
            <w:r w:rsidR="0079442D" w:rsidRPr="000D119D">
              <w:t xml:space="preserve">60 Local Mental Health and Wellbeing Services are established, all existing </w:t>
            </w:r>
            <w:proofErr w:type="spellStart"/>
            <w:r w:rsidR="0079442D" w:rsidRPr="000D119D">
              <w:rPr>
                <w:i/>
                <w:iCs/>
              </w:rPr>
              <w:t>HeadtoHelp</w:t>
            </w:r>
            <w:proofErr w:type="spellEnd"/>
            <w:r w:rsidR="0079442D" w:rsidRPr="000D119D">
              <w:t xml:space="preserve"> hubs should either be transitioned or decommissioned.</w:t>
            </w:r>
          </w:p>
          <w:p w14:paraId="0F9A4AD3" w14:textId="65FB0A79" w:rsidR="0079442D" w:rsidRPr="000D119D" w:rsidRDefault="0079442D" w:rsidP="00354D74">
            <w:pPr>
              <w:pStyle w:val="TableNText"/>
              <w:spacing w:before="60" w:after="60" w:line="256" w:lineRule="auto"/>
              <w:cnfStyle w:val="000000000000" w:firstRow="0" w:lastRow="0" w:firstColumn="0" w:lastColumn="0" w:oddVBand="0" w:evenVBand="0" w:oddHBand="0" w:evenHBand="0" w:firstRowFirstColumn="0" w:firstRowLastColumn="0" w:lastRowFirstColumn="0" w:lastRowLastColumn="0"/>
            </w:pPr>
            <w:r w:rsidRPr="000D119D">
              <w:t xml:space="preserve">The transfer of staff will allow for the retention of local and service knowledge and combined with the transition of clients this may enable smooth continuity of care. Consideration will also need to be given to how client records will be transferred safely from </w:t>
            </w:r>
            <w:proofErr w:type="spellStart"/>
            <w:r w:rsidRPr="000D119D">
              <w:rPr>
                <w:i/>
                <w:iCs/>
              </w:rPr>
              <w:t>HeadtoHelp</w:t>
            </w:r>
            <w:proofErr w:type="spellEnd"/>
            <w:r w:rsidRPr="000D119D">
              <w:rPr>
                <w:i/>
                <w:iCs/>
              </w:rPr>
              <w:t xml:space="preserve"> </w:t>
            </w:r>
            <w:r w:rsidRPr="000D119D">
              <w:t>hubs to the new centres.</w:t>
            </w:r>
          </w:p>
          <w:p w14:paraId="2D3F5DF6" w14:textId="21C9FF5E" w:rsidR="0079442D" w:rsidRPr="000D119D" w:rsidRDefault="0079442D" w:rsidP="00354D74">
            <w:pPr>
              <w:pStyle w:val="TableNText"/>
              <w:spacing w:before="60" w:after="60" w:line="256" w:lineRule="auto"/>
              <w:cnfStyle w:val="000000000000" w:firstRow="0" w:lastRow="0" w:firstColumn="0" w:lastColumn="0" w:oddVBand="0" w:evenVBand="0" w:oddHBand="0" w:evenHBand="0" w:firstRowFirstColumn="0" w:firstRowLastColumn="0" w:lastRowFirstColumn="0" w:lastRowLastColumn="0"/>
            </w:pPr>
            <w:r w:rsidRPr="000D119D">
              <w:t xml:space="preserve">The agreed process and timing for the above needs to be communicated early and effectively to PHNs, providers, </w:t>
            </w:r>
            <w:proofErr w:type="gramStart"/>
            <w:r w:rsidRPr="000D119D">
              <w:t>staff</w:t>
            </w:r>
            <w:proofErr w:type="gramEnd"/>
            <w:r w:rsidRPr="000D119D">
              <w:t xml:space="preserve"> and clients. </w:t>
            </w:r>
          </w:p>
        </w:tc>
      </w:tr>
      <w:tr w:rsidR="0079442D" w:rsidRPr="00141636" w14:paraId="01406FD5" w14:textId="77777777" w:rsidTr="00551F40">
        <w:tc>
          <w:tcPr>
            <w:cnfStyle w:val="001000000000" w:firstRow="0" w:lastRow="0" w:firstColumn="1" w:lastColumn="0" w:oddVBand="0" w:evenVBand="0" w:oddHBand="0" w:evenHBand="0" w:firstRowFirstColumn="0" w:firstRowLastColumn="0" w:lastRowFirstColumn="0" w:lastRowLastColumn="0"/>
            <w:tcW w:w="639" w:type="dxa"/>
            <w:vAlign w:val="center"/>
          </w:tcPr>
          <w:p w14:paraId="3370C3C8" w14:textId="64F9A1F1" w:rsidR="0079442D" w:rsidRPr="00551F40" w:rsidRDefault="0079442D" w:rsidP="00551F40">
            <w:pPr>
              <w:pStyle w:val="TableNText"/>
              <w:jc w:val="center"/>
              <w:rPr>
                <w:rFonts w:asciiTheme="minorHAnsi" w:hAnsiTheme="minorHAnsi" w:cstheme="minorHAnsi"/>
                <w:b/>
                <w:bCs/>
                <w:color w:val="0070C0"/>
              </w:rPr>
            </w:pPr>
            <w:r w:rsidRPr="00551F40">
              <w:rPr>
                <w:rFonts w:asciiTheme="minorHAnsi" w:hAnsiTheme="minorHAnsi" w:cstheme="minorHAnsi"/>
                <w:b/>
                <w:bCs/>
                <w:color w:val="0070C0"/>
              </w:rPr>
              <w:t>2.2</w:t>
            </w:r>
          </w:p>
        </w:tc>
        <w:tc>
          <w:tcPr>
            <w:tcW w:w="0" w:type="dxa"/>
            <w:vAlign w:val="center"/>
          </w:tcPr>
          <w:p w14:paraId="0813993E" w14:textId="439555AC" w:rsidR="0079442D" w:rsidRPr="00551F40" w:rsidRDefault="0079442D" w:rsidP="00551F40">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sidRPr="00551F40">
              <w:rPr>
                <w:rFonts w:asciiTheme="majorHAnsi" w:hAnsiTheme="majorHAnsi" w:cstheme="majorHAnsi"/>
                <w:color w:val="00264D" w:themeColor="background2"/>
              </w:rPr>
              <w:t>Length of stay and impact on access should be closely monitored throughout remaining operation of the hubs</w:t>
            </w:r>
            <w:r w:rsidR="00F27E33">
              <w:rPr>
                <w:rFonts w:asciiTheme="majorHAnsi" w:hAnsiTheme="majorHAnsi" w:cstheme="majorHAnsi"/>
                <w:color w:val="00264D" w:themeColor="background2"/>
              </w:rPr>
              <w:t>.</w:t>
            </w:r>
          </w:p>
        </w:tc>
        <w:tc>
          <w:tcPr>
            <w:tcW w:w="0" w:type="dxa"/>
          </w:tcPr>
          <w:p w14:paraId="72EA91DF" w14:textId="7F39B0D9" w:rsidR="0079442D" w:rsidRPr="000D119D" w:rsidRDefault="0079442D" w:rsidP="0039463A">
            <w:pPr>
              <w:pStyle w:val="TableNText"/>
              <w:cnfStyle w:val="000000000000" w:firstRow="0" w:lastRow="0" w:firstColumn="0" w:lastColumn="0" w:oddVBand="0" w:evenVBand="0" w:oddHBand="0" w:evenHBand="0" w:firstRowFirstColumn="0" w:firstRowLastColumn="0" w:lastRowFirstColumn="0" w:lastRowLastColumn="0"/>
            </w:pPr>
            <w:r w:rsidRPr="000D119D">
              <w:t xml:space="preserve">Evidence from this evaluation suggests that length of stay with the </w:t>
            </w:r>
            <w:proofErr w:type="spellStart"/>
            <w:r w:rsidRPr="000D119D">
              <w:rPr>
                <w:i/>
                <w:iCs/>
              </w:rPr>
              <w:t>HeadtoHelp</w:t>
            </w:r>
            <w:proofErr w:type="spellEnd"/>
            <w:r w:rsidRPr="000D119D">
              <w:t xml:space="preserve"> hubs is increasing, but the number of initial service contracts (i.e</w:t>
            </w:r>
            <w:r w:rsidR="00027C71" w:rsidRPr="000D119D">
              <w:t>.,</w:t>
            </w:r>
            <w:r w:rsidRPr="000D119D">
              <w:t xml:space="preserve"> new clients) is decreasing. This needs to be actively monitored as ease of access is core to both the </w:t>
            </w:r>
            <w:proofErr w:type="spellStart"/>
            <w:r w:rsidRPr="000D119D">
              <w:rPr>
                <w:i/>
                <w:iCs/>
              </w:rPr>
              <w:t>HelptoHelp</w:t>
            </w:r>
            <w:proofErr w:type="spellEnd"/>
            <w:r w:rsidRPr="000D119D">
              <w:t xml:space="preserve"> and AMHC service model and value proposition. If this trend continues it will be necessary to expand capacity of the services to which clients are being referred and /or the AMHCs.</w:t>
            </w:r>
            <w:r w:rsidR="00C238D6">
              <w:t xml:space="preserve"> The interaction between length of stay, access and outcomes needs to be closely monitored and analysed on an ongoing basis.</w:t>
            </w:r>
          </w:p>
        </w:tc>
      </w:tr>
      <w:tr w:rsidR="0079442D" w:rsidRPr="00141636" w14:paraId="6C3676E9" w14:textId="77777777" w:rsidTr="00551F40">
        <w:tc>
          <w:tcPr>
            <w:cnfStyle w:val="001000000000" w:firstRow="0" w:lastRow="0" w:firstColumn="1" w:lastColumn="0" w:oddVBand="0" w:evenVBand="0" w:oddHBand="0" w:evenHBand="0" w:firstRowFirstColumn="0" w:firstRowLastColumn="0" w:lastRowFirstColumn="0" w:lastRowLastColumn="0"/>
            <w:tcW w:w="639" w:type="dxa"/>
            <w:vAlign w:val="center"/>
          </w:tcPr>
          <w:p w14:paraId="094CA011" w14:textId="02C626D4" w:rsidR="0079442D" w:rsidRPr="00551F40" w:rsidRDefault="0079442D" w:rsidP="00551F40">
            <w:pPr>
              <w:pStyle w:val="TableNText"/>
              <w:jc w:val="center"/>
              <w:rPr>
                <w:rFonts w:asciiTheme="minorHAnsi" w:hAnsiTheme="minorHAnsi" w:cstheme="minorHAnsi"/>
                <w:b/>
                <w:bCs/>
                <w:color w:val="0070C0"/>
              </w:rPr>
            </w:pPr>
            <w:r w:rsidRPr="00551F40">
              <w:rPr>
                <w:rFonts w:asciiTheme="minorHAnsi" w:hAnsiTheme="minorHAnsi" w:cstheme="minorHAnsi"/>
                <w:b/>
                <w:bCs/>
                <w:color w:val="0070C0"/>
              </w:rPr>
              <w:t>2.</w:t>
            </w:r>
            <w:r w:rsidR="005F5DD7">
              <w:rPr>
                <w:rFonts w:asciiTheme="minorHAnsi" w:hAnsiTheme="minorHAnsi" w:cstheme="minorHAnsi"/>
                <w:b/>
                <w:bCs/>
                <w:color w:val="0070C0"/>
              </w:rPr>
              <w:t>3</w:t>
            </w:r>
          </w:p>
        </w:tc>
        <w:tc>
          <w:tcPr>
            <w:tcW w:w="2748" w:type="dxa"/>
            <w:vAlign w:val="center"/>
          </w:tcPr>
          <w:p w14:paraId="5BA55FA6" w14:textId="6DB071E4" w:rsidR="0079442D" w:rsidRPr="00551F40" w:rsidRDefault="0079442D" w:rsidP="00551F40">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sidRPr="00551F40">
              <w:rPr>
                <w:rFonts w:asciiTheme="majorHAnsi" w:hAnsiTheme="majorHAnsi" w:cstheme="majorHAnsi"/>
                <w:color w:val="00264D" w:themeColor="background2"/>
              </w:rPr>
              <w:t>Evaluation findings should be broadly distributed to PHNs, hubs and intake services. This should include an accompanying guide of best practice features influencing satisfaction.</w:t>
            </w:r>
          </w:p>
        </w:tc>
        <w:tc>
          <w:tcPr>
            <w:tcW w:w="5629" w:type="dxa"/>
          </w:tcPr>
          <w:p w14:paraId="72535B56" w14:textId="6795EDB0" w:rsidR="0079442D" w:rsidRPr="000D119D" w:rsidRDefault="0079442D" w:rsidP="0039463A">
            <w:pPr>
              <w:pStyle w:val="TableNText"/>
              <w:cnfStyle w:val="000000000000" w:firstRow="0" w:lastRow="0" w:firstColumn="0" w:lastColumn="0" w:oddVBand="0" w:evenVBand="0" w:oddHBand="0" w:evenHBand="0" w:firstRowFirstColumn="0" w:firstRowLastColumn="0" w:lastRowFirstColumn="0" w:lastRowLastColumn="0"/>
            </w:pPr>
            <w:r w:rsidRPr="000D119D">
              <w:t xml:space="preserve">A summary version of this evaluation should be developed and distributed to all PHNs to share with their </w:t>
            </w:r>
            <w:proofErr w:type="spellStart"/>
            <w:r w:rsidRPr="000D119D">
              <w:rPr>
                <w:i/>
                <w:iCs/>
              </w:rPr>
              <w:t>HeadtoHelp</w:t>
            </w:r>
            <w:proofErr w:type="spellEnd"/>
            <w:r w:rsidRPr="000D119D">
              <w:t xml:space="preserve"> and AMHC</w:t>
            </w:r>
            <w:r w:rsidR="001363DF" w:rsidRPr="000D119D">
              <w:t xml:space="preserve"> </w:t>
            </w:r>
            <w:r w:rsidRPr="000D119D">
              <w:t>service providers. The summary should also be shared with intake phone service providers who are not within the PHNs.</w:t>
            </w:r>
          </w:p>
          <w:p w14:paraId="4276CC0A" w14:textId="25565279" w:rsidR="0079442D" w:rsidRPr="000D119D" w:rsidRDefault="0079442D" w:rsidP="0039463A">
            <w:pPr>
              <w:pStyle w:val="TableNText"/>
              <w:cnfStyle w:val="000000000000" w:firstRow="0" w:lastRow="0" w:firstColumn="0" w:lastColumn="0" w:oddVBand="0" w:evenVBand="0" w:oddHBand="0" w:evenHBand="0" w:firstRowFirstColumn="0" w:firstRowLastColumn="0" w:lastRowFirstColumn="0" w:lastRowLastColumn="0"/>
            </w:pPr>
            <w:r w:rsidRPr="000D119D">
              <w:t xml:space="preserve">Inclusion of an accompanying best‐practice guide incorporating the features identified in this report as influencing </w:t>
            </w:r>
            <w:r w:rsidR="007C43A1">
              <w:t>participant</w:t>
            </w:r>
            <w:r w:rsidRPr="000D119D">
              <w:t xml:space="preserve"> and support person satisfaction would enhance consistently positive </w:t>
            </w:r>
            <w:r w:rsidR="007C43A1">
              <w:t>participant</w:t>
            </w:r>
            <w:r w:rsidRPr="000D119D">
              <w:t xml:space="preserve"> experiences and facilitate measuring of fidelity to best practice.</w:t>
            </w:r>
            <w:r w:rsidR="001363DF" w:rsidRPr="000D119D">
              <w:t xml:space="preserve"> </w:t>
            </w:r>
          </w:p>
          <w:p w14:paraId="02E3F200" w14:textId="761ABE93" w:rsidR="0079442D" w:rsidRPr="000D119D" w:rsidRDefault="0079442D" w:rsidP="0039463A">
            <w:pPr>
              <w:pStyle w:val="TableNText"/>
              <w:cnfStyle w:val="000000000000" w:firstRow="0" w:lastRow="0" w:firstColumn="0" w:lastColumn="0" w:oddVBand="0" w:evenVBand="0" w:oddHBand="0" w:evenHBand="0" w:firstRowFirstColumn="0" w:firstRowLastColumn="0" w:lastRowFirstColumn="0" w:lastRowLastColumn="0"/>
            </w:pPr>
            <w:r w:rsidRPr="000D119D">
              <w:t>A full version of both this evaluation report, as well as the supplement ‘Voices of Lived Experience’ report, should be made available on the Australian Government Department of Health’s website.</w:t>
            </w:r>
          </w:p>
        </w:tc>
      </w:tr>
      <w:tr w:rsidR="004D5E88" w:rsidRPr="00141636" w14:paraId="2FC63561" w14:textId="77777777" w:rsidTr="00551F40">
        <w:tc>
          <w:tcPr>
            <w:cnfStyle w:val="001000000000" w:firstRow="0" w:lastRow="0" w:firstColumn="1" w:lastColumn="0" w:oddVBand="0" w:evenVBand="0" w:oddHBand="0" w:evenHBand="0" w:firstRowFirstColumn="0" w:firstRowLastColumn="0" w:lastRowFirstColumn="0" w:lastRowLastColumn="0"/>
            <w:tcW w:w="639" w:type="dxa"/>
            <w:vAlign w:val="center"/>
          </w:tcPr>
          <w:p w14:paraId="61F9FC01" w14:textId="1BAF8A83" w:rsidR="004D5E88" w:rsidRPr="00551F40" w:rsidRDefault="00162305" w:rsidP="00551F40">
            <w:pPr>
              <w:pStyle w:val="TableNText"/>
              <w:jc w:val="center"/>
              <w:rPr>
                <w:rFonts w:asciiTheme="minorHAnsi" w:hAnsiTheme="minorHAnsi" w:cstheme="minorHAnsi"/>
                <w:b/>
                <w:bCs/>
                <w:color w:val="0070C0"/>
              </w:rPr>
            </w:pPr>
            <w:r>
              <w:rPr>
                <w:rFonts w:asciiTheme="minorHAnsi" w:hAnsiTheme="minorHAnsi" w:cstheme="minorHAnsi"/>
                <w:b/>
                <w:bCs/>
                <w:color w:val="0070C0"/>
              </w:rPr>
              <w:t>2.4</w:t>
            </w:r>
          </w:p>
        </w:tc>
        <w:tc>
          <w:tcPr>
            <w:tcW w:w="2748" w:type="dxa"/>
            <w:vAlign w:val="center"/>
          </w:tcPr>
          <w:p w14:paraId="4E459604" w14:textId="26DB3F95" w:rsidR="004D5E88" w:rsidRPr="00551F40" w:rsidRDefault="00162305" w:rsidP="00551F40">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proofErr w:type="spellStart"/>
            <w:r>
              <w:rPr>
                <w:rFonts w:asciiTheme="majorHAnsi" w:hAnsiTheme="majorHAnsi" w:cstheme="majorHAnsi"/>
                <w:i/>
                <w:iCs/>
                <w:color w:val="00264D" w:themeColor="background2"/>
              </w:rPr>
              <w:t>HeadtoHelp</w:t>
            </w:r>
            <w:proofErr w:type="spellEnd"/>
            <w:r>
              <w:rPr>
                <w:rFonts w:asciiTheme="majorHAnsi" w:hAnsiTheme="majorHAnsi" w:cstheme="majorHAnsi"/>
                <w:i/>
                <w:iCs/>
                <w:color w:val="00264D" w:themeColor="background2"/>
              </w:rPr>
              <w:t xml:space="preserve"> </w:t>
            </w:r>
            <w:r>
              <w:rPr>
                <w:rFonts w:asciiTheme="majorHAnsi" w:hAnsiTheme="majorHAnsi" w:cstheme="majorHAnsi"/>
                <w:color w:val="00264D" w:themeColor="background2"/>
              </w:rPr>
              <w:t>PHNs and hubs</w:t>
            </w:r>
            <w:r w:rsidR="0048102C">
              <w:rPr>
                <w:rFonts w:asciiTheme="majorHAnsi" w:hAnsiTheme="majorHAnsi" w:cstheme="majorHAnsi"/>
                <w:color w:val="00264D" w:themeColor="background2"/>
              </w:rPr>
              <w:t xml:space="preserve"> should review AMHC recommendations and implement where practicable and benefits will be realised in remaining operation.</w:t>
            </w:r>
          </w:p>
        </w:tc>
        <w:tc>
          <w:tcPr>
            <w:tcW w:w="5629" w:type="dxa"/>
          </w:tcPr>
          <w:p w14:paraId="5E99079F" w14:textId="1F6AAC58" w:rsidR="004D5E88" w:rsidRPr="000D119D" w:rsidRDefault="00162305" w:rsidP="0039463A">
            <w:pPr>
              <w:pStyle w:val="TableNText"/>
              <w:cnfStyle w:val="000000000000" w:firstRow="0" w:lastRow="0" w:firstColumn="0" w:lastColumn="0" w:oddVBand="0" w:evenVBand="0" w:oddHBand="0" w:evenHBand="0" w:firstRowFirstColumn="0" w:firstRowLastColumn="0" w:lastRowFirstColumn="0" w:lastRowLastColumn="0"/>
            </w:pPr>
            <w:r>
              <w:t xml:space="preserve">There are </w:t>
            </w:r>
            <w:proofErr w:type="gramStart"/>
            <w:r>
              <w:t>a number of</w:t>
            </w:r>
            <w:proofErr w:type="gramEnd"/>
            <w:r>
              <w:t xml:space="preserve"> recommendations provided in </w:t>
            </w:r>
            <w:r w:rsidR="00B62F5D">
              <w:t xml:space="preserve">relation to the AMHCs that will also be relevant for ongoing </w:t>
            </w:r>
            <w:proofErr w:type="spellStart"/>
            <w:r w:rsidR="00B62F5D">
              <w:rPr>
                <w:i/>
                <w:iCs/>
              </w:rPr>
              <w:t>HeadtoHelp</w:t>
            </w:r>
            <w:proofErr w:type="spellEnd"/>
            <w:r w:rsidR="00B62F5D">
              <w:t xml:space="preserve"> hubs, when the</w:t>
            </w:r>
            <w:r w:rsidR="00E4200A">
              <w:t xml:space="preserve"> longevity of their remaining operation is confirmed. </w:t>
            </w:r>
            <w:proofErr w:type="spellStart"/>
            <w:r w:rsidR="00E4200A" w:rsidRPr="00E4200A">
              <w:rPr>
                <w:rFonts w:asciiTheme="minorHAnsi" w:hAnsiTheme="minorHAnsi" w:cstheme="minorHAnsi"/>
                <w:i/>
                <w:iCs/>
              </w:rPr>
              <w:t>HeadtoHelp</w:t>
            </w:r>
            <w:proofErr w:type="spellEnd"/>
            <w:r w:rsidR="00E4200A" w:rsidRPr="00E4200A">
              <w:rPr>
                <w:rFonts w:asciiTheme="minorHAnsi" w:hAnsiTheme="minorHAnsi" w:cstheme="minorHAnsi"/>
              </w:rPr>
              <w:t xml:space="preserve"> PHNs and hub</w:t>
            </w:r>
            <w:r w:rsidR="00E4200A">
              <w:rPr>
                <w:rFonts w:asciiTheme="minorHAnsi" w:hAnsiTheme="minorHAnsi" w:cstheme="minorHAnsi"/>
              </w:rPr>
              <w:t>s should review all recommendations in this evaluation closely and consider on a case</w:t>
            </w:r>
            <w:r w:rsidR="008324FD">
              <w:rPr>
                <w:rFonts w:asciiTheme="minorHAnsi" w:hAnsiTheme="minorHAnsi" w:cstheme="minorHAnsi"/>
              </w:rPr>
              <w:t>-</w:t>
            </w:r>
            <w:r w:rsidR="00E4200A">
              <w:rPr>
                <w:rFonts w:asciiTheme="minorHAnsi" w:hAnsiTheme="minorHAnsi" w:cstheme="minorHAnsi"/>
              </w:rPr>
              <w:t>by</w:t>
            </w:r>
            <w:r w:rsidR="008324FD">
              <w:rPr>
                <w:rFonts w:asciiTheme="minorHAnsi" w:hAnsiTheme="minorHAnsi" w:cstheme="minorHAnsi"/>
              </w:rPr>
              <w:t>-</w:t>
            </w:r>
            <w:r w:rsidR="00E4200A">
              <w:rPr>
                <w:rFonts w:asciiTheme="minorHAnsi" w:hAnsiTheme="minorHAnsi" w:cstheme="minorHAnsi"/>
              </w:rPr>
              <w:t xml:space="preserve">case basis where it would be practical and appropriate to </w:t>
            </w:r>
            <w:r w:rsidR="00816F46">
              <w:rPr>
                <w:rFonts w:asciiTheme="minorHAnsi" w:hAnsiTheme="minorHAnsi" w:cstheme="minorHAnsi"/>
              </w:rPr>
              <w:t>make these changes</w:t>
            </w:r>
            <w:r w:rsidR="000E18B2">
              <w:rPr>
                <w:rFonts w:asciiTheme="minorHAnsi" w:hAnsiTheme="minorHAnsi" w:cstheme="minorHAnsi"/>
              </w:rPr>
              <w:t>, and where there is an opportunity to benefit clients</w:t>
            </w:r>
            <w:r w:rsidR="00B62F5D">
              <w:rPr>
                <w:rFonts w:asciiTheme="minorHAnsi" w:hAnsiTheme="minorHAnsi" w:cstheme="minorHAnsi"/>
              </w:rPr>
              <w:t xml:space="preserve"> </w:t>
            </w:r>
            <w:r w:rsidR="0025046D">
              <w:rPr>
                <w:rFonts w:asciiTheme="minorHAnsi" w:hAnsiTheme="minorHAnsi" w:cstheme="minorHAnsi"/>
              </w:rPr>
              <w:t xml:space="preserve">during remaining operation. </w:t>
            </w:r>
          </w:p>
        </w:tc>
      </w:tr>
    </w:tbl>
    <w:p w14:paraId="537B4772" w14:textId="07A83447" w:rsidR="009C7DBF" w:rsidRPr="000D119D" w:rsidRDefault="009C7DBF" w:rsidP="009C7DBF">
      <w:pPr>
        <w:pStyle w:val="Caption"/>
      </w:pPr>
      <w:r w:rsidRPr="000D119D">
        <w:t xml:space="preserve">Table </w:t>
      </w:r>
      <w:r w:rsidRPr="000D119D">
        <w:fldChar w:fldCharType="begin"/>
      </w:r>
      <w:r w:rsidRPr="000D119D">
        <w:instrText xml:space="preserve"> SEQ Table \* ARABIC </w:instrText>
      </w:r>
      <w:r w:rsidRPr="000D119D">
        <w:fldChar w:fldCharType="separate"/>
      </w:r>
      <w:r w:rsidR="00562174">
        <w:rPr>
          <w:noProof/>
        </w:rPr>
        <w:t>9</w:t>
      </w:r>
      <w:r w:rsidRPr="000D119D">
        <w:fldChar w:fldCharType="end"/>
      </w:r>
      <w:r w:rsidRPr="000D119D">
        <w:t xml:space="preserve"> | </w:t>
      </w:r>
      <w:r w:rsidR="00BF3642" w:rsidRPr="000D119D">
        <w:t xml:space="preserve">3. </w:t>
      </w:r>
      <w:r w:rsidRPr="000D119D">
        <w:t xml:space="preserve">Recommendations to support successful </w:t>
      </w:r>
      <w:r w:rsidRPr="00471AE2">
        <w:rPr>
          <w:color w:val="F25E21" w:themeColor="accent2"/>
        </w:rPr>
        <w:t>AMHC</w:t>
      </w:r>
      <w:r w:rsidRPr="000D119D">
        <w:t xml:space="preserve"> implementation</w:t>
      </w:r>
    </w:p>
    <w:tbl>
      <w:tblPr>
        <w:tblStyle w:val="NOUS1"/>
        <w:tblW w:w="4954" w:type="pct"/>
        <w:tblLayout w:type="fixed"/>
        <w:tblLook w:val="04A0" w:firstRow="1" w:lastRow="0" w:firstColumn="1" w:lastColumn="0" w:noHBand="0" w:noVBand="1"/>
        <w:tblDescription w:val="Table 9 list recommendations three to support success AMHC implementation"/>
      </w:tblPr>
      <w:tblGrid>
        <w:gridCol w:w="619"/>
        <w:gridCol w:w="2610"/>
        <w:gridCol w:w="79"/>
        <w:gridCol w:w="5696"/>
        <w:gridCol w:w="12"/>
      </w:tblGrid>
      <w:tr w:rsidR="0079442D" w:rsidRPr="007A100E" w14:paraId="5D558E89" w14:textId="77777777" w:rsidTr="004406A0">
        <w:trPr>
          <w:gridAfter w:val="1"/>
          <w:cnfStyle w:val="100000000000" w:firstRow="1" w:lastRow="0" w:firstColumn="0" w:lastColumn="0" w:oddVBand="0" w:evenVBand="0" w:oddHBand="0"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619" w:type="dxa"/>
            <w:tcBorders>
              <w:top w:val="nil"/>
            </w:tcBorders>
          </w:tcPr>
          <w:p w14:paraId="5D5560DC" w14:textId="77777777" w:rsidR="0079442D" w:rsidRPr="000D119D" w:rsidRDefault="0079442D" w:rsidP="0039463A">
            <w:pPr>
              <w:pStyle w:val="TableNheader"/>
              <w:rPr>
                <w:b w:val="0"/>
              </w:rPr>
            </w:pPr>
            <w:r w:rsidRPr="000D119D">
              <w:rPr>
                <w:b w:val="0"/>
                <w:bCs/>
              </w:rPr>
              <w:t>#</w:t>
            </w:r>
          </w:p>
        </w:tc>
        <w:tc>
          <w:tcPr>
            <w:tcW w:w="2610" w:type="dxa"/>
            <w:tcBorders>
              <w:top w:val="nil"/>
            </w:tcBorders>
          </w:tcPr>
          <w:p w14:paraId="2F71B9C8" w14:textId="77777777" w:rsidR="0079442D" w:rsidRPr="000D119D" w:rsidRDefault="0079442D" w:rsidP="0039463A">
            <w:pPr>
              <w:pStyle w:val="TableNheader"/>
              <w:cnfStyle w:val="100000000000" w:firstRow="1" w:lastRow="0" w:firstColumn="0" w:lastColumn="0" w:oddVBand="0" w:evenVBand="0" w:oddHBand="0" w:evenHBand="0" w:firstRowFirstColumn="0" w:firstRowLastColumn="0" w:lastRowFirstColumn="0" w:lastRowLastColumn="0"/>
              <w:rPr>
                <w:b w:val="0"/>
              </w:rPr>
            </w:pPr>
            <w:r w:rsidRPr="000D119D">
              <w:rPr>
                <w:b w:val="0"/>
              </w:rPr>
              <w:t>Recommendation</w:t>
            </w:r>
          </w:p>
        </w:tc>
        <w:tc>
          <w:tcPr>
            <w:tcW w:w="5775" w:type="dxa"/>
            <w:gridSpan w:val="2"/>
            <w:tcBorders>
              <w:top w:val="nil"/>
            </w:tcBorders>
          </w:tcPr>
          <w:p w14:paraId="38F100AD" w14:textId="77777777" w:rsidR="0079442D" w:rsidRPr="000D119D" w:rsidRDefault="0079442D" w:rsidP="0039463A">
            <w:pPr>
              <w:pStyle w:val="TableNheader"/>
              <w:cnfStyle w:val="100000000000" w:firstRow="1" w:lastRow="0" w:firstColumn="0" w:lastColumn="0" w:oddVBand="0" w:evenVBand="0" w:oddHBand="0" w:evenHBand="0" w:firstRowFirstColumn="0" w:firstRowLastColumn="0" w:lastRowFirstColumn="0" w:lastRowLastColumn="0"/>
            </w:pPr>
            <w:r w:rsidRPr="000D119D">
              <w:rPr>
                <w:b w:val="0"/>
                <w:bCs/>
              </w:rPr>
              <w:t>Details</w:t>
            </w:r>
          </w:p>
        </w:tc>
      </w:tr>
      <w:tr w:rsidR="0079442D" w:rsidRPr="007A100E" w14:paraId="5352F7CD" w14:textId="77777777" w:rsidTr="004406A0">
        <w:trPr>
          <w:gridAfter w:val="2"/>
          <w:wAfter w:w="5708" w:type="dxa"/>
        </w:trPr>
        <w:tc>
          <w:tcPr>
            <w:cnfStyle w:val="001000000000" w:firstRow="0" w:lastRow="0" w:firstColumn="1" w:lastColumn="0" w:oddVBand="0" w:evenVBand="0" w:oddHBand="0" w:evenHBand="0" w:firstRowFirstColumn="0" w:firstRowLastColumn="0" w:lastRowFirstColumn="0" w:lastRowLastColumn="0"/>
            <w:tcW w:w="3308" w:type="dxa"/>
            <w:gridSpan w:val="3"/>
            <w:tcBorders>
              <w:top w:val="nil"/>
            </w:tcBorders>
            <w:shd w:val="clear" w:color="auto" w:fill="auto"/>
            <w:vAlign w:val="center"/>
          </w:tcPr>
          <w:p w14:paraId="0A0FE9F8" w14:textId="77777777" w:rsidR="0079442D" w:rsidRPr="00EF1B54" w:rsidRDefault="0079442D" w:rsidP="00BA080B">
            <w:pPr>
              <w:pStyle w:val="TableNheader"/>
              <w:rPr>
                <w:b/>
              </w:rPr>
            </w:pPr>
            <w:r w:rsidRPr="00EF1B54">
              <w:rPr>
                <w:rFonts w:asciiTheme="minorHAnsi" w:hAnsiTheme="minorHAnsi" w:cstheme="minorHAnsi"/>
                <w:b/>
                <w:color w:val="F25E21" w:themeColor="accent2"/>
              </w:rPr>
              <w:lastRenderedPageBreak/>
              <w:t>3.1</w:t>
            </w:r>
            <w:r w:rsidRPr="00EF1B54">
              <w:rPr>
                <w:b/>
                <w:color w:val="F25E21" w:themeColor="accent2"/>
              </w:rPr>
              <w:t xml:space="preserve"> Contracts and accountability</w:t>
            </w:r>
          </w:p>
        </w:tc>
      </w:tr>
      <w:tr w:rsidR="0079442D" w:rsidRPr="00141636" w14:paraId="11D5B66E" w14:textId="77777777" w:rsidTr="004406A0">
        <w:tc>
          <w:tcPr>
            <w:cnfStyle w:val="001000000000" w:firstRow="0" w:lastRow="0" w:firstColumn="1" w:lastColumn="0" w:oddVBand="0" w:evenVBand="0" w:oddHBand="0" w:evenHBand="0" w:firstRowFirstColumn="0" w:firstRowLastColumn="0" w:lastRowFirstColumn="0" w:lastRowLastColumn="0"/>
            <w:tcW w:w="619" w:type="dxa"/>
            <w:shd w:val="clear" w:color="auto" w:fill="F2F2F2" w:themeFill="background1" w:themeFillShade="F2"/>
            <w:vAlign w:val="center"/>
          </w:tcPr>
          <w:p w14:paraId="30F96118" w14:textId="6FC842D0" w:rsidR="0079442D" w:rsidRPr="00EF1B54" w:rsidRDefault="0079442D" w:rsidP="00EF1B54">
            <w:pPr>
              <w:pStyle w:val="TableNText"/>
              <w:jc w:val="center"/>
              <w:rPr>
                <w:rFonts w:asciiTheme="majorHAnsi" w:hAnsiTheme="majorHAnsi" w:cstheme="majorHAnsi"/>
                <w:color w:val="00264D" w:themeColor="background2"/>
              </w:rPr>
            </w:pPr>
            <w:r w:rsidRPr="00EF1B54">
              <w:rPr>
                <w:rFonts w:asciiTheme="majorHAnsi" w:hAnsiTheme="majorHAnsi" w:cstheme="majorHAnsi"/>
                <w:color w:val="00264D" w:themeColor="background2"/>
              </w:rPr>
              <w:t>3.1.1</w:t>
            </w:r>
          </w:p>
        </w:tc>
        <w:tc>
          <w:tcPr>
            <w:tcW w:w="2610" w:type="dxa"/>
            <w:vAlign w:val="center"/>
          </w:tcPr>
          <w:p w14:paraId="6A0EA597" w14:textId="0CB16633" w:rsidR="0079442D" w:rsidRPr="00EF1B54" w:rsidRDefault="00641398" w:rsidP="00EF1B54">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Pr>
                <w:rFonts w:asciiTheme="majorHAnsi" w:hAnsiTheme="majorHAnsi" w:cstheme="majorHAnsi"/>
                <w:color w:val="00264D" w:themeColor="background2"/>
              </w:rPr>
              <w:t>The Department</w:t>
            </w:r>
            <w:r w:rsidR="0079442D" w:rsidRPr="00EF1B54">
              <w:rPr>
                <w:rFonts w:asciiTheme="majorHAnsi" w:hAnsiTheme="majorHAnsi" w:cstheme="majorHAnsi"/>
                <w:color w:val="00264D" w:themeColor="background2"/>
              </w:rPr>
              <w:t xml:space="preserve"> should provide greater guidance on the approach to</w:t>
            </w:r>
            <w:r w:rsidR="000605B1" w:rsidRPr="00EF1B54">
              <w:rPr>
                <w:rFonts w:asciiTheme="majorHAnsi" w:hAnsiTheme="majorHAnsi" w:cstheme="majorHAnsi"/>
                <w:color w:val="00264D" w:themeColor="background2"/>
              </w:rPr>
              <w:t>,</w:t>
            </w:r>
            <w:r w:rsidR="0079442D" w:rsidRPr="00EF1B54">
              <w:rPr>
                <w:rFonts w:asciiTheme="majorHAnsi" w:hAnsiTheme="majorHAnsi" w:cstheme="majorHAnsi"/>
                <w:color w:val="00264D" w:themeColor="background2"/>
              </w:rPr>
              <w:t xml:space="preserve"> and expectations of performance measurement and data collection</w:t>
            </w:r>
            <w:r w:rsidR="008324FD">
              <w:rPr>
                <w:rFonts w:asciiTheme="majorHAnsi" w:hAnsiTheme="majorHAnsi" w:cstheme="majorHAnsi"/>
                <w:color w:val="00264D" w:themeColor="background2"/>
              </w:rPr>
              <w:t>,</w:t>
            </w:r>
            <w:r w:rsidR="0079442D" w:rsidRPr="00EF1B54">
              <w:rPr>
                <w:rFonts w:asciiTheme="majorHAnsi" w:hAnsiTheme="majorHAnsi" w:cstheme="majorHAnsi"/>
                <w:color w:val="00264D" w:themeColor="background2"/>
              </w:rPr>
              <w:t xml:space="preserve"> and reporting requirements should be a clear contractual requirement</w:t>
            </w:r>
            <w:r w:rsidR="00F27E33">
              <w:rPr>
                <w:rFonts w:asciiTheme="majorHAnsi" w:hAnsiTheme="majorHAnsi" w:cstheme="majorHAnsi"/>
                <w:color w:val="00264D" w:themeColor="background2"/>
              </w:rPr>
              <w:t>.</w:t>
            </w:r>
          </w:p>
        </w:tc>
        <w:tc>
          <w:tcPr>
            <w:tcW w:w="5787" w:type="dxa"/>
            <w:gridSpan w:val="3"/>
            <w:vAlign w:val="center"/>
          </w:tcPr>
          <w:p w14:paraId="5313A81E" w14:textId="230FE1DB" w:rsidR="0079442D" w:rsidRPr="000D119D" w:rsidRDefault="00641398" w:rsidP="0039463A">
            <w:pPr>
              <w:pStyle w:val="TableNText"/>
              <w:cnfStyle w:val="000000000000" w:firstRow="0" w:lastRow="0" w:firstColumn="0" w:lastColumn="0" w:oddVBand="0" w:evenVBand="0" w:oddHBand="0" w:evenHBand="0" w:firstRowFirstColumn="0" w:firstRowLastColumn="0" w:lastRowFirstColumn="0" w:lastRowLastColumn="0"/>
            </w:pPr>
            <w:r>
              <w:t>The Department</w:t>
            </w:r>
            <w:r w:rsidR="0079442D" w:rsidRPr="000D119D">
              <w:t xml:space="preserve"> should ensure that commissioning PHNs have clarity on their accountability to measure and manage performance of the AMHCs</w:t>
            </w:r>
            <w:r w:rsidR="00486B59">
              <w:t>.</w:t>
            </w:r>
          </w:p>
          <w:p w14:paraId="4EF383D2" w14:textId="343FB403" w:rsidR="0079442D" w:rsidRPr="000D119D" w:rsidRDefault="0079442D" w:rsidP="0039463A">
            <w:pPr>
              <w:pStyle w:val="TableNText"/>
              <w:cnfStyle w:val="000000000000" w:firstRow="0" w:lastRow="0" w:firstColumn="0" w:lastColumn="0" w:oddVBand="0" w:evenVBand="0" w:oddHBand="0" w:evenHBand="0" w:firstRowFirstColumn="0" w:firstRowLastColumn="0" w:lastRowFirstColumn="0" w:lastRowLastColumn="0"/>
            </w:pPr>
            <w:r w:rsidRPr="000D119D">
              <w:t>PHNs should ensure service provider contracts clearly outline the requirements for data collection using the PMHC-MDS as well as an agreed way of capturing this information for streamlined reporting.</w:t>
            </w:r>
          </w:p>
        </w:tc>
      </w:tr>
      <w:tr w:rsidR="0079442D" w:rsidRPr="00141636" w14:paraId="216AAAE6" w14:textId="77777777" w:rsidTr="004406A0">
        <w:trPr>
          <w:gridAfter w:val="1"/>
          <w:wAfter w:w="12" w:type="dxa"/>
        </w:trPr>
        <w:tc>
          <w:tcPr>
            <w:cnfStyle w:val="001000000000" w:firstRow="0" w:lastRow="0" w:firstColumn="1" w:lastColumn="0" w:oddVBand="0" w:evenVBand="0" w:oddHBand="0" w:evenHBand="0" w:firstRowFirstColumn="0" w:firstRowLastColumn="0" w:lastRowFirstColumn="0" w:lastRowLastColumn="0"/>
            <w:tcW w:w="619" w:type="dxa"/>
            <w:shd w:val="clear" w:color="auto" w:fill="F2F2F2" w:themeFill="background1" w:themeFillShade="F2"/>
            <w:vAlign w:val="center"/>
          </w:tcPr>
          <w:p w14:paraId="609D8BD3" w14:textId="55C6599D" w:rsidR="0079442D" w:rsidRPr="00EF1B54" w:rsidRDefault="0079442D" w:rsidP="00EF1B54">
            <w:pPr>
              <w:pStyle w:val="TableNText"/>
              <w:jc w:val="center"/>
              <w:rPr>
                <w:rFonts w:asciiTheme="majorHAnsi" w:hAnsiTheme="majorHAnsi" w:cstheme="majorHAnsi"/>
                <w:color w:val="00264D" w:themeColor="background2"/>
              </w:rPr>
            </w:pPr>
            <w:r w:rsidRPr="00EF1B54">
              <w:rPr>
                <w:rFonts w:asciiTheme="majorHAnsi" w:hAnsiTheme="majorHAnsi" w:cstheme="majorHAnsi"/>
                <w:color w:val="00264D" w:themeColor="background2"/>
              </w:rPr>
              <w:t>3.1.</w:t>
            </w:r>
            <w:r w:rsidR="00BC0A32">
              <w:rPr>
                <w:rFonts w:asciiTheme="majorHAnsi" w:hAnsiTheme="majorHAnsi" w:cstheme="majorHAnsi"/>
                <w:color w:val="00264D" w:themeColor="background2"/>
              </w:rPr>
              <w:t>2</w:t>
            </w:r>
          </w:p>
        </w:tc>
        <w:tc>
          <w:tcPr>
            <w:tcW w:w="2610" w:type="dxa"/>
            <w:vAlign w:val="center"/>
          </w:tcPr>
          <w:p w14:paraId="170A0DBF" w14:textId="61706550" w:rsidR="0079442D" w:rsidRPr="00EF1B54" w:rsidRDefault="00641398" w:rsidP="00EF1B54">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Pr>
                <w:rFonts w:asciiTheme="majorHAnsi" w:hAnsiTheme="majorHAnsi" w:cstheme="majorHAnsi"/>
                <w:color w:val="00264D" w:themeColor="background2"/>
              </w:rPr>
              <w:t>The Department</w:t>
            </w:r>
            <w:r w:rsidR="0079442D" w:rsidRPr="00EF1B54">
              <w:rPr>
                <w:rFonts w:asciiTheme="majorHAnsi" w:hAnsiTheme="majorHAnsi" w:cstheme="majorHAnsi"/>
                <w:color w:val="00264D" w:themeColor="background2"/>
              </w:rPr>
              <w:t xml:space="preserve"> should set an expectation of collaboration among both PHNs and commissioned service providers to enable information sharing and continuous improvement</w:t>
            </w:r>
            <w:r w:rsidR="00F27E33">
              <w:rPr>
                <w:rFonts w:asciiTheme="majorHAnsi" w:hAnsiTheme="majorHAnsi" w:cstheme="majorHAnsi"/>
                <w:color w:val="00264D" w:themeColor="background2"/>
              </w:rPr>
              <w:t>.</w:t>
            </w:r>
          </w:p>
        </w:tc>
        <w:tc>
          <w:tcPr>
            <w:tcW w:w="5775" w:type="dxa"/>
            <w:gridSpan w:val="2"/>
          </w:tcPr>
          <w:p w14:paraId="15DC5AE8" w14:textId="7A92B189" w:rsidR="0079442D" w:rsidRPr="000D119D" w:rsidRDefault="00641398" w:rsidP="00FA5E59">
            <w:pPr>
              <w:pStyle w:val="TableNText"/>
              <w:cnfStyle w:val="000000000000" w:firstRow="0" w:lastRow="0" w:firstColumn="0" w:lastColumn="0" w:oddVBand="0" w:evenVBand="0" w:oddHBand="0" w:evenHBand="0" w:firstRowFirstColumn="0" w:firstRowLastColumn="0" w:lastRowFirstColumn="0" w:lastRowLastColumn="0"/>
            </w:pPr>
            <w:r>
              <w:t>The Department</w:t>
            </w:r>
            <w:r w:rsidR="0079442D" w:rsidRPr="000D119D">
              <w:t xml:space="preserve"> should facilitate collaboration between PHNs, either directly or through resourcing a PHN to act on their behalf, so that PHNs can share information that will enable continuous improvement during the establishment and implementation of the AMHCs. </w:t>
            </w:r>
          </w:p>
          <w:p w14:paraId="41983479" w14:textId="77777777" w:rsidR="0079442D" w:rsidRPr="000D119D" w:rsidRDefault="0079442D" w:rsidP="00FA5E59">
            <w:pPr>
              <w:pStyle w:val="TableNText"/>
              <w:cnfStyle w:val="000000000000" w:firstRow="0" w:lastRow="0" w:firstColumn="0" w:lastColumn="0" w:oddVBand="0" w:evenVBand="0" w:oddHBand="0" w:evenHBand="0" w:firstRowFirstColumn="0" w:firstRowLastColumn="0" w:lastRowFirstColumn="0" w:lastRowLastColumn="0"/>
            </w:pPr>
            <w:r w:rsidRPr="000D119D">
              <w:t>Two levels of collaboration should be established:</w:t>
            </w:r>
          </w:p>
          <w:p w14:paraId="0721D6A9" w14:textId="64FF7B27" w:rsidR="0079442D" w:rsidRPr="000D119D" w:rsidRDefault="0079442D" w:rsidP="008324FD">
            <w:pPr>
              <w:pStyle w:val="TableNListnumbered"/>
              <w:cnfStyle w:val="000000000000" w:firstRow="0" w:lastRow="0" w:firstColumn="0" w:lastColumn="0" w:oddVBand="0" w:evenVBand="0" w:oddHBand="0" w:evenHBand="0" w:firstRowFirstColumn="0" w:firstRowLastColumn="0" w:lastRowFirstColumn="0" w:lastRowLastColumn="0"/>
            </w:pPr>
            <w:r w:rsidRPr="000D119D">
              <w:t>Between PHNs and SA Health</w:t>
            </w:r>
            <w:r w:rsidR="00486B59">
              <w:t>.</w:t>
            </w:r>
          </w:p>
          <w:p w14:paraId="3834B68F" w14:textId="77777777" w:rsidR="0079442D" w:rsidRPr="000D119D" w:rsidRDefault="0079442D" w:rsidP="008324FD">
            <w:pPr>
              <w:pStyle w:val="TableNListnumbered"/>
              <w:cnfStyle w:val="000000000000" w:firstRow="0" w:lastRow="0" w:firstColumn="0" w:lastColumn="0" w:oddVBand="0" w:evenVBand="0" w:oddHBand="0" w:evenHBand="0" w:firstRowFirstColumn="0" w:firstRowLastColumn="0" w:lastRowFirstColumn="0" w:lastRowLastColumn="0"/>
            </w:pPr>
            <w:r w:rsidRPr="000D119D">
              <w:t xml:space="preserve">Between AMHC centre managers and/or service providers – this will help to mitigate the risk of Neami AMHCs not engaging with other AMHCs. </w:t>
            </w:r>
          </w:p>
          <w:p w14:paraId="5512BE54" w14:textId="258A2BB2" w:rsidR="0079442D" w:rsidRPr="000D119D" w:rsidRDefault="0079442D" w:rsidP="0039463A">
            <w:pPr>
              <w:pStyle w:val="TableNText"/>
              <w:cnfStyle w:val="000000000000" w:firstRow="0" w:lastRow="0" w:firstColumn="0" w:lastColumn="0" w:oddVBand="0" w:evenVBand="0" w:oddHBand="0" w:evenHBand="0" w:firstRowFirstColumn="0" w:firstRowLastColumn="0" w:lastRowFirstColumn="0" w:lastRowLastColumn="0"/>
            </w:pPr>
            <w:r w:rsidRPr="000D119D">
              <w:t>Nationally agreed mental health indicators would benefit PHNs and AMHCs as they would a provide a benchmark for measuring centre performance.</w:t>
            </w:r>
            <w:r w:rsidR="001363DF" w:rsidRPr="000D119D">
              <w:t xml:space="preserve"> </w:t>
            </w:r>
          </w:p>
        </w:tc>
      </w:tr>
      <w:tr w:rsidR="0079442D" w:rsidRPr="00141636" w14:paraId="2A1F46CB" w14:textId="77777777" w:rsidTr="004406A0">
        <w:trPr>
          <w:gridAfter w:val="1"/>
          <w:wAfter w:w="12" w:type="dxa"/>
        </w:trPr>
        <w:tc>
          <w:tcPr>
            <w:cnfStyle w:val="001000000000" w:firstRow="0" w:lastRow="0" w:firstColumn="1" w:lastColumn="0" w:oddVBand="0" w:evenVBand="0" w:oddHBand="0" w:evenHBand="0" w:firstRowFirstColumn="0" w:firstRowLastColumn="0" w:lastRowFirstColumn="0" w:lastRowLastColumn="0"/>
            <w:tcW w:w="619" w:type="dxa"/>
            <w:shd w:val="clear" w:color="auto" w:fill="F2F2F2" w:themeFill="background1" w:themeFillShade="F2"/>
            <w:vAlign w:val="center"/>
          </w:tcPr>
          <w:p w14:paraId="363AE92E" w14:textId="2F4E9C3A" w:rsidR="0079442D" w:rsidRPr="00EF1B54" w:rsidRDefault="0079442D" w:rsidP="00EF1B54">
            <w:pPr>
              <w:pStyle w:val="TableNText"/>
              <w:jc w:val="center"/>
              <w:rPr>
                <w:rFonts w:asciiTheme="majorHAnsi" w:hAnsiTheme="majorHAnsi" w:cstheme="majorHAnsi"/>
                <w:color w:val="00264D" w:themeColor="background2"/>
              </w:rPr>
            </w:pPr>
            <w:r w:rsidRPr="00EF1B54">
              <w:rPr>
                <w:rFonts w:asciiTheme="majorHAnsi" w:hAnsiTheme="majorHAnsi" w:cstheme="majorHAnsi"/>
                <w:color w:val="00264D" w:themeColor="background2"/>
              </w:rPr>
              <w:t>3.1.</w:t>
            </w:r>
            <w:r w:rsidR="00BC0A32">
              <w:rPr>
                <w:rFonts w:asciiTheme="majorHAnsi" w:hAnsiTheme="majorHAnsi" w:cstheme="majorHAnsi"/>
                <w:color w:val="00264D" w:themeColor="background2"/>
              </w:rPr>
              <w:t>3</w:t>
            </w:r>
          </w:p>
        </w:tc>
        <w:tc>
          <w:tcPr>
            <w:tcW w:w="2610" w:type="dxa"/>
            <w:vAlign w:val="center"/>
          </w:tcPr>
          <w:p w14:paraId="0D1069FF" w14:textId="6E69FDA8" w:rsidR="0079442D" w:rsidRPr="00EF1B54" w:rsidRDefault="0079442D" w:rsidP="00EF1B54">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sidRPr="00EF1B54">
              <w:rPr>
                <w:rFonts w:asciiTheme="majorHAnsi" w:hAnsiTheme="majorHAnsi" w:cstheme="majorHAnsi"/>
                <w:color w:val="00264D" w:themeColor="background2"/>
              </w:rPr>
              <w:t>Performance and outcomes monitoring needs to include specific recovery-oriented and individual outcome measurements, including attention to client wellbeing and experience of service</w:t>
            </w:r>
            <w:r w:rsidR="00F27E33">
              <w:rPr>
                <w:rFonts w:asciiTheme="majorHAnsi" w:hAnsiTheme="majorHAnsi" w:cstheme="majorHAnsi"/>
                <w:color w:val="00264D" w:themeColor="background2"/>
              </w:rPr>
              <w:t>.</w:t>
            </w:r>
          </w:p>
        </w:tc>
        <w:tc>
          <w:tcPr>
            <w:tcW w:w="5775" w:type="dxa"/>
            <w:gridSpan w:val="2"/>
          </w:tcPr>
          <w:p w14:paraId="49BF1EC6" w14:textId="7BA6B383" w:rsidR="0079442D" w:rsidRPr="000D119D" w:rsidRDefault="0079442D" w:rsidP="009F378F">
            <w:pPr>
              <w:pStyle w:val="TableNText"/>
              <w:spacing w:before="60" w:after="60" w:line="256" w:lineRule="auto"/>
              <w:cnfStyle w:val="000000000000" w:firstRow="0" w:lastRow="0" w:firstColumn="0" w:lastColumn="0" w:oddVBand="0" w:evenVBand="0" w:oddHBand="0" w:evenHBand="0" w:firstRowFirstColumn="0" w:firstRowLastColumn="0" w:lastRowFirstColumn="0" w:lastRowLastColumn="0"/>
            </w:pPr>
            <w:r w:rsidRPr="000D119D">
              <w:t xml:space="preserve">The emphasis of the AMHCs (in line with broader Mental Health policy and reform around the country) is on both mental health and wellbeing. Current outcomes monitoring has a strong clinical focus and initial evidence from the SA AMHC is that changes in individual’s wellbeing are not as positive. This warrants consideration of an appropriate metric and further monitoring to understand any underlying trends across the country and adopt the model as appropriate. This will assist in gauging whether </w:t>
            </w:r>
            <w:proofErr w:type="spellStart"/>
            <w:r w:rsidRPr="00486B59">
              <w:rPr>
                <w:i/>
              </w:rPr>
              <w:t>HeadtoHelp</w:t>
            </w:r>
            <w:proofErr w:type="spellEnd"/>
            <w:r w:rsidRPr="000D119D">
              <w:t xml:space="preserve"> is fostering personal agency, resilience recovery and mental flourishing. The currently used K10 measure is inadequate to measure the recovery‐oriented outcomes that </w:t>
            </w:r>
            <w:r w:rsidR="007C43A1">
              <w:t>participant</w:t>
            </w:r>
            <w:r w:rsidRPr="000D119D">
              <w:t>s and their families highlighted as important to them, as it measures the frequency of specific symptoms only.</w:t>
            </w:r>
            <w:r w:rsidR="001363DF" w:rsidRPr="000D119D">
              <w:t xml:space="preserve"> </w:t>
            </w:r>
            <w:r w:rsidRPr="000D119D">
              <w:t>There are a range of suitable individual recovery and recovery‐oriented service measurement tools available</w:t>
            </w:r>
            <w:r w:rsidR="00C11D0D">
              <w:t xml:space="preserve">, such as </w:t>
            </w:r>
            <w:r w:rsidR="001A6749">
              <w:t>the RAS-D</w:t>
            </w:r>
            <w:r w:rsidR="00693700">
              <w:t>S</w:t>
            </w:r>
            <w:r w:rsidR="00FF2EBB">
              <w:t xml:space="preserve"> (well-used internationally)</w:t>
            </w:r>
            <w:r w:rsidR="001E03FE">
              <w:t>,</w:t>
            </w:r>
            <w:r w:rsidR="00693700">
              <w:t xml:space="preserve"> the Recovery STAR tool, and The Warwick-Edinburgh Mental Well-being Scale (WEMWBS)</w:t>
            </w:r>
            <w:r w:rsidR="00432AE4">
              <w:t>.</w:t>
            </w:r>
          </w:p>
        </w:tc>
      </w:tr>
      <w:tr w:rsidR="0079442D" w:rsidRPr="00141636" w14:paraId="40191E02" w14:textId="77777777" w:rsidTr="004406A0">
        <w:trPr>
          <w:gridAfter w:val="1"/>
          <w:wAfter w:w="12" w:type="dxa"/>
        </w:trPr>
        <w:tc>
          <w:tcPr>
            <w:cnfStyle w:val="001000000000" w:firstRow="0" w:lastRow="0" w:firstColumn="1" w:lastColumn="0" w:oddVBand="0" w:evenVBand="0" w:oddHBand="0" w:evenHBand="0" w:firstRowFirstColumn="0" w:firstRowLastColumn="0" w:lastRowFirstColumn="0" w:lastRowLastColumn="0"/>
            <w:tcW w:w="619" w:type="dxa"/>
            <w:shd w:val="clear" w:color="auto" w:fill="F2F2F2" w:themeFill="background1" w:themeFillShade="F2"/>
            <w:vAlign w:val="center"/>
          </w:tcPr>
          <w:p w14:paraId="56E743F7" w14:textId="1686EF10" w:rsidR="0079442D" w:rsidRPr="00EF1B54" w:rsidRDefault="0079442D" w:rsidP="00EF1B54">
            <w:pPr>
              <w:pStyle w:val="TableNText"/>
              <w:jc w:val="center"/>
              <w:rPr>
                <w:rFonts w:asciiTheme="majorHAnsi" w:hAnsiTheme="majorHAnsi" w:cstheme="majorHAnsi"/>
                <w:color w:val="00264D" w:themeColor="background2"/>
              </w:rPr>
            </w:pPr>
            <w:r w:rsidRPr="00EF1B54">
              <w:rPr>
                <w:rFonts w:asciiTheme="majorHAnsi" w:hAnsiTheme="majorHAnsi" w:cstheme="majorHAnsi"/>
                <w:color w:val="00264D" w:themeColor="background2"/>
              </w:rPr>
              <w:t>3.1.</w:t>
            </w:r>
            <w:r w:rsidR="00BC0A32">
              <w:rPr>
                <w:rFonts w:asciiTheme="majorHAnsi" w:hAnsiTheme="majorHAnsi" w:cstheme="majorHAnsi"/>
                <w:color w:val="00264D" w:themeColor="background2"/>
              </w:rPr>
              <w:t>4</w:t>
            </w:r>
          </w:p>
        </w:tc>
        <w:tc>
          <w:tcPr>
            <w:tcW w:w="2610" w:type="dxa"/>
            <w:vAlign w:val="center"/>
          </w:tcPr>
          <w:p w14:paraId="0127522C" w14:textId="77D06C23" w:rsidR="0079442D" w:rsidRPr="00EF1B54" w:rsidRDefault="0079442D" w:rsidP="00EF1B54">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sidRPr="00EF1B54">
              <w:rPr>
                <w:rFonts w:asciiTheme="majorHAnsi" w:hAnsiTheme="majorHAnsi" w:cstheme="majorHAnsi"/>
                <w:color w:val="00264D" w:themeColor="background2"/>
              </w:rPr>
              <w:t>PHNs</w:t>
            </w:r>
            <w:r w:rsidR="00F41EE7">
              <w:rPr>
                <w:rFonts w:asciiTheme="majorHAnsi" w:hAnsiTheme="majorHAnsi" w:cstheme="majorHAnsi"/>
                <w:color w:val="00264D" w:themeColor="background2"/>
              </w:rPr>
              <w:t>’</w:t>
            </w:r>
            <w:r w:rsidRPr="00EF1B54">
              <w:rPr>
                <w:rFonts w:asciiTheme="majorHAnsi" w:hAnsiTheme="majorHAnsi" w:cstheme="majorHAnsi"/>
                <w:color w:val="00264D" w:themeColor="background2"/>
              </w:rPr>
              <w:t xml:space="preserve"> </w:t>
            </w:r>
            <w:r w:rsidR="008D04F8">
              <w:rPr>
                <w:rFonts w:asciiTheme="majorHAnsi" w:hAnsiTheme="majorHAnsi" w:cstheme="majorHAnsi"/>
                <w:color w:val="00264D" w:themeColor="background2"/>
              </w:rPr>
              <w:t>contracts with AMHCs</w:t>
            </w:r>
            <w:r w:rsidRPr="00EF1B54">
              <w:rPr>
                <w:rFonts w:asciiTheme="majorHAnsi" w:hAnsiTheme="majorHAnsi" w:cstheme="majorHAnsi"/>
                <w:color w:val="00264D" w:themeColor="background2"/>
              </w:rPr>
              <w:t xml:space="preserve"> should </w:t>
            </w:r>
            <w:r w:rsidR="00262446">
              <w:rPr>
                <w:rFonts w:asciiTheme="majorHAnsi" w:hAnsiTheme="majorHAnsi" w:cstheme="majorHAnsi"/>
                <w:color w:val="00264D" w:themeColor="background2"/>
              </w:rPr>
              <w:t xml:space="preserve">include specific KPIs measuring </w:t>
            </w:r>
            <w:r w:rsidR="00C27FE9">
              <w:rPr>
                <w:rFonts w:asciiTheme="majorHAnsi" w:hAnsiTheme="majorHAnsi" w:cstheme="majorHAnsi"/>
                <w:color w:val="00264D" w:themeColor="background2"/>
              </w:rPr>
              <w:t>integration t</w:t>
            </w:r>
            <w:r w:rsidR="00F210C5">
              <w:rPr>
                <w:rFonts w:asciiTheme="majorHAnsi" w:hAnsiTheme="majorHAnsi" w:cstheme="majorHAnsi"/>
                <w:color w:val="00264D" w:themeColor="background2"/>
              </w:rPr>
              <w:t>o increase accountability</w:t>
            </w:r>
            <w:r w:rsidRPr="00EF1B54">
              <w:rPr>
                <w:rFonts w:asciiTheme="majorHAnsi" w:hAnsiTheme="majorHAnsi" w:cstheme="majorHAnsi"/>
                <w:color w:val="00264D" w:themeColor="background2"/>
              </w:rPr>
              <w:t>.</w:t>
            </w:r>
          </w:p>
        </w:tc>
        <w:tc>
          <w:tcPr>
            <w:tcW w:w="5775" w:type="dxa"/>
            <w:gridSpan w:val="2"/>
          </w:tcPr>
          <w:p w14:paraId="5C8803A0" w14:textId="2CD855F2" w:rsidR="0079442D" w:rsidRPr="000D119D" w:rsidRDefault="00C70BA9" w:rsidP="00B436E0">
            <w:pPr>
              <w:pStyle w:val="TableNText"/>
              <w:spacing w:before="60" w:after="60" w:line="256" w:lineRule="auto"/>
              <w:cnfStyle w:val="000000000000" w:firstRow="0" w:lastRow="0" w:firstColumn="0" w:lastColumn="0" w:oddVBand="0" w:evenVBand="0" w:oddHBand="0" w:evenHBand="0" w:firstRowFirstColumn="0" w:firstRowLastColumn="0" w:lastRowFirstColumn="0" w:lastRowLastColumn="0"/>
            </w:pPr>
            <w:r>
              <w:t>Integration needs to be understood as core to the role and successful functioning of A</w:t>
            </w:r>
            <w:r w:rsidR="009802B4">
              <w:t xml:space="preserve">MHCs. </w:t>
            </w:r>
            <w:r w:rsidR="00C27FE9">
              <w:t xml:space="preserve">Measures of success </w:t>
            </w:r>
            <w:r w:rsidR="0079442D" w:rsidRPr="000D119D">
              <w:t>include forming genuine and collaborative relationships with local health services and AMHSs early</w:t>
            </w:r>
            <w:r w:rsidR="00C27FE9">
              <w:t>, ongoing contact and communication,</w:t>
            </w:r>
            <w:r w:rsidR="0079442D" w:rsidRPr="000D119D">
              <w:t xml:space="preserve"> and identifying </w:t>
            </w:r>
            <w:r w:rsidR="00C27FE9">
              <w:t xml:space="preserve">and actioning </w:t>
            </w:r>
            <w:r w:rsidR="0079442D" w:rsidRPr="000D119D">
              <w:t>opportunities to improve access to joint services through co-location.</w:t>
            </w:r>
          </w:p>
        </w:tc>
      </w:tr>
      <w:tr w:rsidR="0079442D" w:rsidRPr="00141636" w14:paraId="2FC39D42" w14:textId="77777777" w:rsidTr="004406A0">
        <w:trPr>
          <w:gridAfter w:val="1"/>
          <w:wAfter w:w="12" w:type="dxa"/>
        </w:trPr>
        <w:tc>
          <w:tcPr>
            <w:cnfStyle w:val="001000000000" w:firstRow="0" w:lastRow="0" w:firstColumn="1" w:lastColumn="0" w:oddVBand="0" w:evenVBand="0" w:oddHBand="0" w:evenHBand="0" w:firstRowFirstColumn="0" w:firstRowLastColumn="0" w:lastRowFirstColumn="0" w:lastRowLastColumn="0"/>
            <w:tcW w:w="619" w:type="dxa"/>
            <w:shd w:val="clear" w:color="auto" w:fill="F2F2F2" w:themeFill="background1" w:themeFillShade="F2"/>
            <w:vAlign w:val="center"/>
          </w:tcPr>
          <w:p w14:paraId="142B0FA6" w14:textId="24958052" w:rsidR="0079442D" w:rsidRPr="00EF1B54" w:rsidRDefault="0079442D" w:rsidP="00EF1B54">
            <w:pPr>
              <w:pStyle w:val="TableNText"/>
              <w:jc w:val="center"/>
              <w:rPr>
                <w:rFonts w:asciiTheme="majorHAnsi" w:hAnsiTheme="majorHAnsi" w:cstheme="majorHAnsi"/>
                <w:color w:val="00264D" w:themeColor="background2"/>
              </w:rPr>
            </w:pPr>
            <w:r w:rsidRPr="00EF1B54">
              <w:rPr>
                <w:rFonts w:asciiTheme="majorHAnsi" w:hAnsiTheme="majorHAnsi" w:cstheme="majorHAnsi"/>
                <w:color w:val="00264D" w:themeColor="background2"/>
              </w:rPr>
              <w:t>3.1.</w:t>
            </w:r>
            <w:r w:rsidR="00BC0A32">
              <w:rPr>
                <w:rFonts w:asciiTheme="majorHAnsi" w:hAnsiTheme="majorHAnsi" w:cstheme="majorHAnsi"/>
                <w:color w:val="00264D" w:themeColor="background2"/>
              </w:rPr>
              <w:t>5</w:t>
            </w:r>
          </w:p>
        </w:tc>
        <w:tc>
          <w:tcPr>
            <w:tcW w:w="2610" w:type="dxa"/>
            <w:vAlign w:val="center"/>
          </w:tcPr>
          <w:p w14:paraId="530421D4" w14:textId="0AD10837" w:rsidR="0079442D" w:rsidRPr="00EF1B54" w:rsidRDefault="00C83154" w:rsidP="00EF1B54">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Pr>
                <w:rFonts w:asciiTheme="majorHAnsi" w:hAnsiTheme="majorHAnsi" w:cstheme="majorHAnsi"/>
                <w:color w:val="00264D" w:themeColor="background2"/>
              </w:rPr>
              <w:t xml:space="preserve">The Department </w:t>
            </w:r>
            <w:r w:rsidR="009F2238">
              <w:rPr>
                <w:rFonts w:asciiTheme="majorHAnsi" w:hAnsiTheme="majorHAnsi" w:cstheme="majorHAnsi"/>
                <w:color w:val="00264D" w:themeColor="background2"/>
              </w:rPr>
              <w:t>can</w:t>
            </w:r>
            <w:r>
              <w:rPr>
                <w:rFonts w:asciiTheme="majorHAnsi" w:hAnsiTheme="majorHAnsi" w:cstheme="majorHAnsi"/>
                <w:color w:val="00264D" w:themeColor="background2"/>
              </w:rPr>
              <w:t xml:space="preserve"> support</w:t>
            </w:r>
            <w:r w:rsidR="00B62F49" w:rsidRPr="00EF1B54">
              <w:rPr>
                <w:rFonts w:asciiTheme="majorHAnsi" w:hAnsiTheme="majorHAnsi" w:cstheme="majorHAnsi"/>
                <w:color w:val="00264D" w:themeColor="background2"/>
              </w:rPr>
              <w:t xml:space="preserve"> timely AMHC establish</w:t>
            </w:r>
            <w:r w:rsidR="00436E49" w:rsidRPr="00EF1B54">
              <w:rPr>
                <w:rFonts w:asciiTheme="majorHAnsi" w:hAnsiTheme="majorHAnsi" w:cstheme="majorHAnsi"/>
                <w:color w:val="00264D" w:themeColor="background2"/>
              </w:rPr>
              <w:t>ment through clearer guidance on allocation of time between PHNs and service provider</w:t>
            </w:r>
            <w:r w:rsidR="00F27E33">
              <w:rPr>
                <w:rFonts w:asciiTheme="majorHAnsi" w:hAnsiTheme="majorHAnsi" w:cstheme="majorHAnsi"/>
                <w:color w:val="00264D" w:themeColor="background2"/>
              </w:rPr>
              <w:t>.</w:t>
            </w:r>
          </w:p>
        </w:tc>
        <w:tc>
          <w:tcPr>
            <w:tcW w:w="5775" w:type="dxa"/>
            <w:gridSpan w:val="2"/>
          </w:tcPr>
          <w:p w14:paraId="29385542" w14:textId="58E23A8E" w:rsidR="0079442D" w:rsidRPr="000D119D" w:rsidRDefault="00436E49" w:rsidP="009F378F">
            <w:pPr>
              <w:pStyle w:val="TableNText"/>
              <w:spacing w:before="60" w:after="60" w:line="256" w:lineRule="auto"/>
              <w:cnfStyle w:val="000000000000" w:firstRow="0" w:lastRow="0" w:firstColumn="0" w:lastColumn="0" w:oddVBand="0" w:evenVBand="0" w:oddHBand="0" w:evenHBand="0" w:firstRowFirstColumn="0" w:firstRowLastColumn="0" w:lastRowFirstColumn="0" w:lastRowLastColumn="0"/>
            </w:pPr>
            <w:proofErr w:type="gramStart"/>
            <w:r w:rsidRPr="000D119D">
              <w:t xml:space="preserve">The </w:t>
            </w:r>
            <w:r w:rsidR="00486396" w:rsidRPr="000D119D">
              <w:t>majority of</w:t>
            </w:r>
            <w:proofErr w:type="gramEnd"/>
            <w:r w:rsidR="00486396" w:rsidRPr="000D119D">
              <w:t xml:space="preserve"> planning time for the establishment of the initial AMHCs was used by the PHNs, leaving in some cases extremely tight (and sometimes unmeetable) timeframes for the AMHCs to recruit and commence operations. Moving forward there is a need to </w:t>
            </w:r>
            <w:r w:rsidR="00B62F49" w:rsidRPr="000D119D">
              <w:t>ensur</w:t>
            </w:r>
            <w:r w:rsidR="00486396" w:rsidRPr="000D119D">
              <w:t>e</w:t>
            </w:r>
            <w:r w:rsidR="00B62F49" w:rsidRPr="000D119D">
              <w:t xml:space="preserve"> both PHNs and service providers have sufficient time to plan and implement their respective roles in centre establishment</w:t>
            </w:r>
            <w:r w:rsidR="00432E64">
              <w:t xml:space="preserve">. This could be achieved through inclusion of an indicative time schedule in accompanying </w:t>
            </w:r>
            <w:r w:rsidR="00833A03">
              <w:t>specification documents</w:t>
            </w:r>
            <w:r w:rsidR="001C130C">
              <w:t>. Broadly, time for PHN commissioning should be at least 12 weeks and establishment for service providers at least 16 weeks.</w:t>
            </w:r>
          </w:p>
        </w:tc>
      </w:tr>
      <w:tr w:rsidR="0079442D" w:rsidRPr="00141636" w14:paraId="27EB6724" w14:textId="77777777" w:rsidTr="004406A0">
        <w:trPr>
          <w:gridAfter w:val="2"/>
          <w:wAfter w:w="5708" w:type="dxa"/>
        </w:trPr>
        <w:tc>
          <w:tcPr>
            <w:cnfStyle w:val="001000000000" w:firstRow="0" w:lastRow="0" w:firstColumn="1" w:lastColumn="0" w:oddVBand="0" w:evenVBand="0" w:oddHBand="0" w:evenHBand="0" w:firstRowFirstColumn="0" w:firstRowLastColumn="0" w:lastRowFirstColumn="0" w:lastRowLastColumn="0"/>
            <w:tcW w:w="3308" w:type="dxa"/>
            <w:gridSpan w:val="3"/>
            <w:shd w:val="clear" w:color="auto" w:fill="auto"/>
            <w:vAlign w:val="center"/>
          </w:tcPr>
          <w:p w14:paraId="0E0CA942" w14:textId="0F745FA5" w:rsidR="0079442D" w:rsidRPr="000D119D" w:rsidRDefault="0079442D" w:rsidP="00BA080B">
            <w:pPr>
              <w:pStyle w:val="TableNText"/>
              <w:rPr>
                <w:rFonts w:asciiTheme="majorHAnsi" w:hAnsiTheme="majorHAnsi" w:cstheme="majorHAnsi"/>
                <w:color w:val="00264D" w:themeColor="background2"/>
              </w:rPr>
            </w:pPr>
            <w:r w:rsidRPr="00EF1B54">
              <w:rPr>
                <w:rFonts w:asciiTheme="minorHAnsi" w:hAnsiTheme="minorHAnsi" w:cstheme="minorHAnsi"/>
                <w:b/>
                <w:bCs/>
                <w:color w:val="F25E21" w:themeColor="accent2"/>
              </w:rPr>
              <w:t>3.2</w:t>
            </w:r>
            <w:r w:rsidRPr="00EF1B54">
              <w:rPr>
                <w:rFonts w:asciiTheme="majorHAnsi" w:hAnsiTheme="majorHAnsi" w:cstheme="majorHAnsi"/>
                <w:color w:val="F25E21" w:themeColor="accent2"/>
              </w:rPr>
              <w:t xml:space="preserve"> Service model </w:t>
            </w:r>
          </w:p>
        </w:tc>
      </w:tr>
      <w:tr w:rsidR="0079442D" w:rsidRPr="00141636" w14:paraId="2C754A1D" w14:textId="77777777" w:rsidTr="004406A0">
        <w:trPr>
          <w:gridAfter w:val="1"/>
          <w:wAfter w:w="12" w:type="dxa"/>
        </w:trPr>
        <w:tc>
          <w:tcPr>
            <w:cnfStyle w:val="001000000000" w:firstRow="0" w:lastRow="0" w:firstColumn="1" w:lastColumn="0" w:oddVBand="0" w:evenVBand="0" w:oddHBand="0" w:evenHBand="0" w:firstRowFirstColumn="0" w:firstRowLastColumn="0" w:lastRowFirstColumn="0" w:lastRowLastColumn="0"/>
            <w:tcW w:w="619" w:type="dxa"/>
            <w:shd w:val="clear" w:color="auto" w:fill="F2F2F2" w:themeFill="background1" w:themeFillShade="F2"/>
            <w:vAlign w:val="center"/>
          </w:tcPr>
          <w:p w14:paraId="0CE08F9F" w14:textId="54D1542E" w:rsidR="0079442D" w:rsidRPr="00EF1B54" w:rsidRDefault="0079442D" w:rsidP="00EF1B54">
            <w:pPr>
              <w:pStyle w:val="TableNText"/>
              <w:jc w:val="center"/>
              <w:rPr>
                <w:rFonts w:asciiTheme="majorHAnsi" w:hAnsiTheme="majorHAnsi" w:cstheme="majorHAnsi"/>
                <w:color w:val="00264D" w:themeColor="background2"/>
              </w:rPr>
            </w:pPr>
            <w:r w:rsidRPr="00EF1B54">
              <w:rPr>
                <w:rFonts w:asciiTheme="majorHAnsi" w:hAnsiTheme="majorHAnsi" w:cstheme="majorHAnsi"/>
                <w:color w:val="00264D" w:themeColor="background2"/>
              </w:rPr>
              <w:lastRenderedPageBreak/>
              <w:t>3.2.1</w:t>
            </w:r>
          </w:p>
        </w:tc>
        <w:tc>
          <w:tcPr>
            <w:tcW w:w="2610" w:type="dxa"/>
            <w:vAlign w:val="center"/>
          </w:tcPr>
          <w:p w14:paraId="1DF27B70" w14:textId="4CA4416B" w:rsidR="0079442D" w:rsidRPr="00EF1B54" w:rsidRDefault="0079442D" w:rsidP="00EF1B54">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sidRPr="00EF1B54">
              <w:rPr>
                <w:rFonts w:asciiTheme="majorHAnsi" w:hAnsiTheme="majorHAnsi" w:cstheme="majorHAnsi"/>
                <w:color w:val="00264D" w:themeColor="background2"/>
              </w:rPr>
              <w:t>Ensure all operating AMHCs have access to appropriate senior clinical expertise.</w:t>
            </w:r>
          </w:p>
        </w:tc>
        <w:tc>
          <w:tcPr>
            <w:tcW w:w="5775" w:type="dxa"/>
            <w:gridSpan w:val="2"/>
          </w:tcPr>
          <w:p w14:paraId="7A7645C2" w14:textId="131CA5A0" w:rsidR="0079442D" w:rsidRPr="000D119D" w:rsidRDefault="0079442D" w:rsidP="0039463A">
            <w:pPr>
              <w:pStyle w:val="TableNText"/>
              <w:cnfStyle w:val="000000000000" w:firstRow="0" w:lastRow="0" w:firstColumn="0" w:lastColumn="0" w:oddVBand="0" w:evenVBand="0" w:oddHBand="0" w:evenHBand="0" w:firstRowFirstColumn="0" w:firstRowLastColumn="0" w:lastRowFirstColumn="0" w:lastRowLastColumn="0"/>
            </w:pPr>
            <w:r w:rsidRPr="000D119D">
              <w:t>All AMHCs should have access to appropriate senior clinicians (e.g., psychiatrist) to ensure the right supports and resources are available to support needs and complexity of the missing middle and enable clinical decision making. For example, if AMHCs do not have enough expertise in their core team, arrangements for secondary consultation or liaison with more experienced staff may be a suitable alternative.</w:t>
            </w:r>
          </w:p>
        </w:tc>
      </w:tr>
      <w:tr w:rsidR="0079442D" w:rsidRPr="00141636" w14:paraId="0B16BC8A" w14:textId="77777777" w:rsidTr="004406A0">
        <w:trPr>
          <w:gridAfter w:val="1"/>
          <w:wAfter w:w="12" w:type="dxa"/>
        </w:trPr>
        <w:tc>
          <w:tcPr>
            <w:cnfStyle w:val="001000000000" w:firstRow="0" w:lastRow="0" w:firstColumn="1" w:lastColumn="0" w:oddVBand="0" w:evenVBand="0" w:oddHBand="0" w:evenHBand="0" w:firstRowFirstColumn="0" w:firstRowLastColumn="0" w:lastRowFirstColumn="0" w:lastRowLastColumn="0"/>
            <w:tcW w:w="619" w:type="dxa"/>
            <w:shd w:val="clear" w:color="auto" w:fill="F2F2F2" w:themeFill="background1" w:themeFillShade="F2"/>
            <w:vAlign w:val="center"/>
          </w:tcPr>
          <w:p w14:paraId="2AA8FB46" w14:textId="0255979A" w:rsidR="0079442D" w:rsidRPr="00EF1B54" w:rsidRDefault="0079442D" w:rsidP="00EF1B54">
            <w:pPr>
              <w:pStyle w:val="TableNText"/>
              <w:jc w:val="center"/>
              <w:rPr>
                <w:rFonts w:asciiTheme="majorHAnsi" w:hAnsiTheme="majorHAnsi" w:cstheme="majorHAnsi"/>
                <w:color w:val="00264D" w:themeColor="background2"/>
              </w:rPr>
            </w:pPr>
            <w:r w:rsidRPr="00EF1B54">
              <w:rPr>
                <w:rFonts w:asciiTheme="majorHAnsi" w:hAnsiTheme="majorHAnsi" w:cstheme="majorHAnsi"/>
                <w:color w:val="00264D" w:themeColor="background2"/>
              </w:rPr>
              <w:t>3.2.2</w:t>
            </w:r>
          </w:p>
        </w:tc>
        <w:tc>
          <w:tcPr>
            <w:tcW w:w="2610" w:type="dxa"/>
            <w:vAlign w:val="center"/>
          </w:tcPr>
          <w:p w14:paraId="2FBC83DF" w14:textId="7143FD2A" w:rsidR="0079442D" w:rsidRPr="00EF1B54" w:rsidRDefault="00FF76FA" w:rsidP="00EF1B54">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sidRPr="00EF1B54">
              <w:rPr>
                <w:rFonts w:asciiTheme="majorHAnsi" w:hAnsiTheme="majorHAnsi" w:cstheme="majorHAnsi"/>
                <w:color w:val="00264D" w:themeColor="background2"/>
              </w:rPr>
              <w:t>Ensure adequate training in, and expectations around, use of warm referrals and follow up</w:t>
            </w:r>
            <w:r>
              <w:rPr>
                <w:rFonts w:asciiTheme="majorHAnsi" w:hAnsiTheme="majorHAnsi" w:cstheme="majorHAnsi"/>
                <w:color w:val="00264D" w:themeColor="background2"/>
              </w:rPr>
              <w:t>.</w:t>
            </w:r>
          </w:p>
        </w:tc>
        <w:tc>
          <w:tcPr>
            <w:tcW w:w="5775" w:type="dxa"/>
            <w:gridSpan w:val="2"/>
          </w:tcPr>
          <w:p w14:paraId="6E1BDAE0" w14:textId="0265F9E3" w:rsidR="0079442D" w:rsidRPr="000D119D" w:rsidRDefault="00FF76FA" w:rsidP="0039463A">
            <w:pPr>
              <w:pStyle w:val="TableNText"/>
              <w:cnfStyle w:val="000000000000" w:firstRow="0" w:lastRow="0" w:firstColumn="0" w:lastColumn="0" w:oddVBand="0" w:evenVBand="0" w:oddHBand="0" w:evenHBand="0" w:firstRowFirstColumn="0" w:firstRowLastColumn="0" w:lastRowFirstColumn="0" w:lastRowLastColumn="0"/>
            </w:pPr>
            <w:r w:rsidRPr="00C46A0C">
              <w:t xml:space="preserve">Drawing on the lessons from </w:t>
            </w:r>
            <w:proofErr w:type="spellStart"/>
            <w:r w:rsidRPr="00C46A0C">
              <w:rPr>
                <w:i/>
              </w:rPr>
              <w:t>HeadtoHelp</w:t>
            </w:r>
            <w:proofErr w:type="spellEnd"/>
            <w:r w:rsidRPr="00C46A0C">
              <w:t xml:space="preserve"> it is important that AMHCs ensure that referrals they make are ‘warm’ (active) rather than ‘cold’ (passive) referrals. This means contacting potential services with and for the person, advocating for the person, and even attending the referred service/program with them initially if appropriate. Follow up is also needed with </w:t>
            </w:r>
            <w:r w:rsidR="007C43A1">
              <w:t>participant</w:t>
            </w:r>
            <w:r w:rsidRPr="00C46A0C">
              <w:t xml:space="preserve">s to ensure they have managed to connect with the service, they have been accepted by that service, and that it is meeting their needs. </w:t>
            </w:r>
          </w:p>
        </w:tc>
      </w:tr>
      <w:tr w:rsidR="00D14331" w:rsidRPr="00141636" w14:paraId="04BB3F51" w14:textId="77777777" w:rsidTr="004406A0">
        <w:trPr>
          <w:gridAfter w:val="1"/>
          <w:wAfter w:w="12" w:type="dxa"/>
        </w:trPr>
        <w:tc>
          <w:tcPr>
            <w:cnfStyle w:val="001000000000" w:firstRow="0" w:lastRow="0" w:firstColumn="1" w:lastColumn="0" w:oddVBand="0" w:evenVBand="0" w:oddHBand="0" w:evenHBand="0" w:firstRowFirstColumn="0" w:firstRowLastColumn="0" w:lastRowFirstColumn="0" w:lastRowLastColumn="0"/>
            <w:tcW w:w="619" w:type="dxa"/>
            <w:shd w:val="clear" w:color="auto" w:fill="F2F2F2" w:themeFill="background1" w:themeFillShade="F2"/>
            <w:vAlign w:val="center"/>
          </w:tcPr>
          <w:p w14:paraId="7B9FDDFA" w14:textId="4059363E" w:rsidR="00D14331" w:rsidRPr="00EF1B54" w:rsidRDefault="00D14331" w:rsidP="00D14331">
            <w:pPr>
              <w:pStyle w:val="TableNText"/>
              <w:jc w:val="center"/>
              <w:rPr>
                <w:rFonts w:asciiTheme="majorHAnsi" w:hAnsiTheme="majorHAnsi" w:cstheme="majorHAnsi"/>
                <w:color w:val="00264D" w:themeColor="background2"/>
              </w:rPr>
            </w:pPr>
            <w:r>
              <w:rPr>
                <w:rFonts w:asciiTheme="majorHAnsi" w:hAnsiTheme="majorHAnsi" w:cstheme="majorHAnsi"/>
                <w:color w:val="00264D" w:themeColor="background2"/>
              </w:rPr>
              <w:t>3.2.3</w:t>
            </w:r>
          </w:p>
        </w:tc>
        <w:tc>
          <w:tcPr>
            <w:tcW w:w="2610" w:type="dxa"/>
            <w:vAlign w:val="center"/>
          </w:tcPr>
          <w:p w14:paraId="3F13C425" w14:textId="2D6572F8" w:rsidR="00D14331" w:rsidRPr="00EF1B54" w:rsidRDefault="00FF76FA" w:rsidP="00D14331">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sidRPr="00EF1B54">
              <w:rPr>
                <w:rFonts w:asciiTheme="majorHAnsi" w:hAnsiTheme="majorHAnsi" w:cstheme="majorHAnsi"/>
                <w:color w:val="00264D" w:themeColor="background2"/>
              </w:rPr>
              <w:t>Where existing clinical governance frameworks exist, these should be shared across the AMHC networks.</w:t>
            </w:r>
          </w:p>
        </w:tc>
        <w:tc>
          <w:tcPr>
            <w:tcW w:w="5775" w:type="dxa"/>
            <w:gridSpan w:val="2"/>
          </w:tcPr>
          <w:p w14:paraId="745890E3" w14:textId="27F85CC7" w:rsidR="00D14331" w:rsidRPr="000D119D" w:rsidRDefault="00FF76FA" w:rsidP="00D14331">
            <w:pPr>
              <w:pStyle w:val="TableNText"/>
              <w:cnfStyle w:val="000000000000" w:firstRow="0" w:lastRow="0" w:firstColumn="0" w:lastColumn="0" w:oddVBand="0" w:evenVBand="0" w:oddHBand="0" w:evenHBand="0" w:firstRowFirstColumn="0" w:firstRowLastColumn="0" w:lastRowFirstColumn="0" w:lastRowLastColumn="0"/>
            </w:pPr>
            <w:r w:rsidRPr="000D119D">
              <w:t xml:space="preserve">Sharing of existing tools and frameworks will support more efficient and effective implementation. While tailoring to local context may be required, this avoids a wholly inconsistent approach and reduces the need for every provider to ‘start from scratch’. This might require </w:t>
            </w:r>
            <w:r>
              <w:t>the Department</w:t>
            </w:r>
            <w:r w:rsidRPr="000D119D">
              <w:t xml:space="preserve"> to consider appropriate compensation for use of this intellectual property.</w:t>
            </w:r>
          </w:p>
        </w:tc>
      </w:tr>
      <w:tr w:rsidR="00D14331" w:rsidRPr="00141636" w14:paraId="3955EDB3" w14:textId="77777777" w:rsidTr="004406A0">
        <w:trPr>
          <w:gridAfter w:val="1"/>
          <w:wAfter w:w="12" w:type="dxa"/>
        </w:trPr>
        <w:tc>
          <w:tcPr>
            <w:cnfStyle w:val="001000000000" w:firstRow="0" w:lastRow="0" w:firstColumn="1" w:lastColumn="0" w:oddVBand="0" w:evenVBand="0" w:oddHBand="0" w:evenHBand="0" w:firstRowFirstColumn="0" w:firstRowLastColumn="0" w:lastRowFirstColumn="0" w:lastRowLastColumn="0"/>
            <w:tcW w:w="619" w:type="dxa"/>
            <w:shd w:val="clear" w:color="auto" w:fill="F2F2F2" w:themeFill="background1" w:themeFillShade="F2"/>
            <w:vAlign w:val="center"/>
          </w:tcPr>
          <w:p w14:paraId="6A6D0B4C" w14:textId="1B0EFE1E" w:rsidR="00D14331" w:rsidRDefault="00D14331" w:rsidP="00D14331">
            <w:pPr>
              <w:pStyle w:val="TableNText"/>
              <w:jc w:val="center"/>
              <w:rPr>
                <w:rFonts w:asciiTheme="majorHAnsi" w:hAnsiTheme="majorHAnsi" w:cstheme="majorHAnsi"/>
                <w:color w:val="00264D" w:themeColor="background2"/>
              </w:rPr>
            </w:pPr>
            <w:r>
              <w:rPr>
                <w:rFonts w:asciiTheme="majorHAnsi" w:hAnsiTheme="majorHAnsi" w:cstheme="majorHAnsi"/>
                <w:color w:val="00264D" w:themeColor="background2"/>
              </w:rPr>
              <w:t>3.2.4</w:t>
            </w:r>
          </w:p>
        </w:tc>
        <w:tc>
          <w:tcPr>
            <w:tcW w:w="2610" w:type="dxa"/>
            <w:vAlign w:val="center"/>
          </w:tcPr>
          <w:p w14:paraId="74574669" w14:textId="6FD35BFF" w:rsidR="00D14331" w:rsidRPr="00EF1B54" w:rsidRDefault="003F61D0" w:rsidP="00D14331">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Pr>
                <w:rFonts w:asciiTheme="majorHAnsi" w:hAnsiTheme="majorHAnsi" w:cstheme="majorHAnsi"/>
                <w:color w:val="00264D" w:themeColor="background2"/>
              </w:rPr>
              <w:t xml:space="preserve">Funding of </w:t>
            </w:r>
            <w:r w:rsidR="00FF76FA" w:rsidRPr="00EF1B54">
              <w:rPr>
                <w:rFonts w:asciiTheme="majorHAnsi" w:hAnsiTheme="majorHAnsi" w:cstheme="majorHAnsi"/>
                <w:color w:val="00264D" w:themeColor="background2"/>
              </w:rPr>
              <w:t xml:space="preserve">AMHCs should seek to maintain accessibility through short waitlists, free </w:t>
            </w:r>
            <w:proofErr w:type="gramStart"/>
            <w:r w:rsidR="00FF76FA" w:rsidRPr="00EF1B54">
              <w:rPr>
                <w:rFonts w:asciiTheme="majorHAnsi" w:hAnsiTheme="majorHAnsi" w:cstheme="majorHAnsi"/>
                <w:color w:val="00264D" w:themeColor="background2"/>
              </w:rPr>
              <w:t>services</w:t>
            </w:r>
            <w:proofErr w:type="gramEnd"/>
            <w:r w:rsidR="00FF76FA" w:rsidRPr="00EF1B54">
              <w:rPr>
                <w:rFonts w:asciiTheme="majorHAnsi" w:hAnsiTheme="majorHAnsi" w:cstheme="majorHAnsi"/>
                <w:color w:val="00264D" w:themeColor="background2"/>
              </w:rPr>
              <w:t xml:space="preserve"> and sufficient capacity.</w:t>
            </w:r>
          </w:p>
        </w:tc>
        <w:tc>
          <w:tcPr>
            <w:tcW w:w="5775" w:type="dxa"/>
            <w:gridSpan w:val="2"/>
          </w:tcPr>
          <w:p w14:paraId="2C609791" w14:textId="77777777" w:rsidR="00FF76FA" w:rsidRPr="000D119D" w:rsidRDefault="00FF76FA" w:rsidP="00FF76FA">
            <w:pPr>
              <w:pStyle w:val="TableNBullet"/>
              <w:numPr>
                <w:ilvl w:val="0"/>
                <w:numId w:val="0"/>
              </w:numPr>
              <w:ind w:left="34" w:hanging="34"/>
              <w:cnfStyle w:val="000000000000" w:firstRow="0" w:lastRow="0" w:firstColumn="0" w:lastColumn="0" w:oddVBand="0" w:evenVBand="0" w:oddHBand="0" w:evenHBand="0" w:firstRowFirstColumn="0" w:firstRowLastColumn="0" w:lastRowFirstColumn="0" w:lastRowLastColumn="0"/>
            </w:pPr>
            <w:r w:rsidRPr="000D119D">
              <w:t>The AMHC centre-level operational model needs to retain short or no waitlists and the ability for participants to access services quickly. To achieve this, capacity needs to be sufficient to manage demand, which can be achieved through:</w:t>
            </w:r>
          </w:p>
          <w:p w14:paraId="10A35AD6" w14:textId="77777777" w:rsidR="00FF76FA" w:rsidRPr="000D119D" w:rsidRDefault="00FF76FA" w:rsidP="00FF76FA">
            <w:pPr>
              <w:pStyle w:val="TableNBullet"/>
              <w:numPr>
                <w:ilvl w:val="1"/>
                <w:numId w:val="4"/>
              </w:numPr>
              <w:ind w:left="311"/>
              <w:cnfStyle w:val="000000000000" w:firstRow="0" w:lastRow="0" w:firstColumn="0" w:lastColumn="0" w:oddVBand="0" w:evenVBand="0" w:oddHBand="0" w:evenHBand="0" w:firstRowFirstColumn="0" w:firstRowLastColumn="0" w:lastRowFirstColumn="0" w:lastRowLastColumn="0"/>
            </w:pPr>
            <w:r w:rsidRPr="000D119D">
              <w:t>ensuring AMHCs are adequately resourced</w:t>
            </w:r>
          </w:p>
          <w:p w14:paraId="65E09051" w14:textId="77777777" w:rsidR="00FF76FA" w:rsidRPr="000D119D" w:rsidRDefault="00FF76FA" w:rsidP="00FF76FA">
            <w:pPr>
              <w:pStyle w:val="TableNBullet"/>
              <w:numPr>
                <w:ilvl w:val="1"/>
                <w:numId w:val="4"/>
              </w:numPr>
              <w:ind w:left="311"/>
              <w:cnfStyle w:val="000000000000" w:firstRow="0" w:lastRow="0" w:firstColumn="0" w:lastColumn="0" w:oddVBand="0" w:evenVBand="0" w:oddHBand="0" w:evenHBand="0" w:firstRowFirstColumn="0" w:firstRowLastColumn="0" w:lastRowFirstColumn="0" w:lastRowLastColumn="0"/>
            </w:pPr>
            <w:r w:rsidRPr="000D119D">
              <w:t>ensuring services to which the AMHC refers clients have sufficient capacity (i.e., monitor demand for services being referred to) and are at least partly covered by Medicare/affordable for clients being referred</w:t>
            </w:r>
            <w:r>
              <w:t>; i</w:t>
            </w:r>
            <w:r w:rsidRPr="000D119D">
              <w:t>f services the AMHC needs to refer to are not affordable for clients this may require additional investment to subsidise</w:t>
            </w:r>
            <w:r>
              <w:t>.</w:t>
            </w:r>
          </w:p>
          <w:p w14:paraId="730D65B0" w14:textId="7B35278F" w:rsidR="00FF76FA" w:rsidRPr="000D119D" w:rsidRDefault="00FF76FA" w:rsidP="00FF76FA">
            <w:pPr>
              <w:pStyle w:val="TableNBullet"/>
              <w:numPr>
                <w:ilvl w:val="1"/>
                <w:numId w:val="4"/>
              </w:numPr>
              <w:ind w:left="311"/>
              <w:cnfStyle w:val="000000000000" w:firstRow="0" w:lastRow="0" w:firstColumn="0" w:lastColumn="0" w:oddVBand="0" w:evenVBand="0" w:oddHBand="0" w:evenHBand="0" w:firstRowFirstColumn="0" w:firstRowLastColumn="0" w:lastRowFirstColumn="0" w:lastRowLastColumn="0"/>
            </w:pPr>
            <w:r w:rsidRPr="000D119D">
              <w:t>close monitoring of length of service</w:t>
            </w:r>
            <w:r w:rsidR="003F61D0">
              <w:t>,</w:t>
            </w:r>
            <w:r w:rsidRPr="000D119D">
              <w:t xml:space="preserve"> and impact of changes on ability for new clients to access the AMHCs</w:t>
            </w:r>
            <w:r w:rsidR="003F61D0">
              <w:t>, and participant outcomes</w:t>
            </w:r>
            <w:r w:rsidRPr="000D119D">
              <w:t xml:space="preserve">. </w:t>
            </w:r>
          </w:p>
          <w:p w14:paraId="64031136" w14:textId="77777777" w:rsidR="00FF76FA" w:rsidRPr="000D119D" w:rsidRDefault="00FF76FA" w:rsidP="00FF76FA">
            <w:pPr>
              <w:pStyle w:val="TableNText"/>
              <w:cnfStyle w:val="000000000000" w:firstRow="0" w:lastRow="0" w:firstColumn="0" w:lastColumn="0" w:oddVBand="0" w:evenVBand="0" w:oddHBand="0" w:evenHBand="0" w:firstRowFirstColumn="0" w:firstRowLastColumn="0" w:lastRowFirstColumn="0" w:lastRowLastColumn="0"/>
            </w:pPr>
            <w:r w:rsidRPr="000D119D">
              <w:t xml:space="preserve">Mental health services provided in the AMHCs should continue to be freely accessible to clients (this emerged as a key benefit of </w:t>
            </w:r>
            <w:proofErr w:type="spellStart"/>
            <w:r w:rsidRPr="000D119D">
              <w:rPr>
                <w:i/>
              </w:rPr>
              <w:t>HeadtoHelp</w:t>
            </w:r>
            <w:proofErr w:type="spellEnd"/>
            <w:r w:rsidRPr="000D119D">
              <w:t>).</w:t>
            </w:r>
          </w:p>
          <w:p w14:paraId="5335283F" w14:textId="64B8439E" w:rsidR="00D14331" w:rsidRPr="00C46A0C" w:rsidRDefault="00FF76FA" w:rsidP="00D14331">
            <w:pPr>
              <w:pStyle w:val="TableNText"/>
              <w:cnfStyle w:val="000000000000" w:firstRow="0" w:lastRow="0" w:firstColumn="0" w:lastColumn="0" w:oddVBand="0" w:evenVBand="0" w:oddHBand="0" w:evenHBand="0" w:firstRowFirstColumn="0" w:firstRowLastColumn="0" w:lastRowFirstColumn="0" w:lastRowLastColumn="0"/>
            </w:pPr>
            <w:r w:rsidRPr="000D119D">
              <w:t>Efficient processes to support service delivery (e.g., booking systems) will help to reduce the level of stress participants feel.</w:t>
            </w:r>
          </w:p>
        </w:tc>
      </w:tr>
      <w:tr w:rsidR="00F64A73" w:rsidRPr="00141636" w14:paraId="56D32EEC" w14:textId="77777777" w:rsidTr="004406A0">
        <w:tc>
          <w:tcPr>
            <w:cnfStyle w:val="001000000000" w:firstRow="0" w:lastRow="0" w:firstColumn="1" w:lastColumn="0" w:oddVBand="0" w:evenVBand="0" w:oddHBand="0" w:evenHBand="0" w:firstRowFirstColumn="0" w:firstRowLastColumn="0" w:lastRowFirstColumn="0" w:lastRowLastColumn="0"/>
            <w:tcW w:w="619" w:type="dxa"/>
            <w:shd w:val="clear" w:color="auto" w:fill="F2F2F2" w:themeFill="background1" w:themeFillShade="F2"/>
            <w:vAlign w:val="center"/>
          </w:tcPr>
          <w:p w14:paraId="5FC6EA52" w14:textId="0BBE2D9A" w:rsidR="0016777B" w:rsidRDefault="004406A0" w:rsidP="00D14331">
            <w:pPr>
              <w:pStyle w:val="TableNText"/>
              <w:jc w:val="center"/>
              <w:rPr>
                <w:rFonts w:asciiTheme="majorHAnsi" w:hAnsiTheme="majorHAnsi" w:cstheme="majorHAnsi"/>
                <w:color w:val="00264D" w:themeColor="background2"/>
              </w:rPr>
            </w:pPr>
            <w:r>
              <w:rPr>
                <w:rFonts w:asciiTheme="majorHAnsi" w:hAnsiTheme="majorHAnsi" w:cstheme="majorHAnsi"/>
                <w:color w:val="00264D" w:themeColor="background2"/>
              </w:rPr>
              <w:t>3.2.5</w:t>
            </w:r>
          </w:p>
        </w:tc>
        <w:tc>
          <w:tcPr>
            <w:tcW w:w="2610" w:type="dxa"/>
          </w:tcPr>
          <w:p w14:paraId="6D1830DD" w14:textId="6B2AD048" w:rsidR="0016777B" w:rsidRPr="004D31EF" w:rsidRDefault="0016777B" w:rsidP="00D14331">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00264D" w:themeColor="background2"/>
              </w:rPr>
            </w:pPr>
            <w:r w:rsidRPr="00B6253C">
              <w:rPr>
                <w:rFonts w:asciiTheme="majorHAnsi" w:hAnsiTheme="majorHAnsi" w:cstheme="majorHAnsi"/>
                <w:bCs/>
                <w:color w:val="00264D" w:themeColor="background2"/>
              </w:rPr>
              <w:t>AMHC</w:t>
            </w:r>
            <w:r w:rsidRPr="004D31EF">
              <w:rPr>
                <w:rFonts w:asciiTheme="majorHAnsi" w:hAnsiTheme="majorHAnsi" w:cstheme="majorHAnsi"/>
                <w:bCs/>
                <w:color w:val="00264D" w:themeColor="background2"/>
              </w:rPr>
              <w:t xml:space="preserve">s should actively monitor clinical need as the services </w:t>
            </w:r>
            <w:r w:rsidR="00094DFD" w:rsidRPr="004D31EF">
              <w:rPr>
                <w:rFonts w:asciiTheme="majorHAnsi" w:hAnsiTheme="majorHAnsi" w:cstheme="majorHAnsi"/>
                <w:bCs/>
                <w:color w:val="00264D" w:themeColor="background2"/>
              </w:rPr>
              <w:t>move more fully into the implementation phase</w:t>
            </w:r>
            <w:r w:rsidR="003A0B2C" w:rsidRPr="004D31EF">
              <w:rPr>
                <w:rFonts w:asciiTheme="majorHAnsi" w:hAnsiTheme="majorHAnsi" w:cstheme="majorHAnsi"/>
                <w:bCs/>
                <w:color w:val="00264D" w:themeColor="background2"/>
              </w:rPr>
              <w:t>.</w:t>
            </w:r>
          </w:p>
        </w:tc>
        <w:tc>
          <w:tcPr>
            <w:tcW w:w="5787" w:type="dxa"/>
            <w:gridSpan w:val="3"/>
          </w:tcPr>
          <w:p w14:paraId="54178FC3" w14:textId="0C050FA4" w:rsidR="0016777B" w:rsidRPr="004D31EF" w:rsidRDefault="00094DFD" w:rsidP="00D14331">
            <w:pPr>
              <w:pStyle w:val="TableNText"/>
              <w:cnfStyle w:val="000000000000" w:firstRow="0" w:lastRow="0" w:firstColumn="0" w:lastColumn="0" w:oddVBand="0" w:evenVBand="0" w:oddHBand="0" w:evenHBand="0" w:firstRowFirstColumn="0" w:firstRowLastColumn="0" w:lastRowFirstColumn="0" w:lastRowLastColumn="0"/>
              <w:rPr>
                <w:bCs/>
              </w:rPr>
            </w:pPr>
            <w:r w:rsidRPr="004D31EF">
              <w:rPr>
                <w:bCs/>
              </w:rPr>
              <w:t xml:space="preserve">As new </w:t>
            </w:r>
            <w:r w:rsidRPr="008A5AD9">
              <w:t xml:space="preserve">services, the distinct clinical needs of individuals presenting to </w:t>
            </w:r>
            <w:r w:rsidRPr="004D31EF">
              <w:rPr>
                <w:bCs/>
              </w:rPr>
              <w:t xml:space="preserve">AMHCs </w:t>
            </w:r>
            <w:r w:rsidRPr="008A5AD9">
              <w:t>(separately and collectively) remains untested</w:t>
            </w:r>
            <w:r w:rsidRPr="004D31EF">
              <w:rPr>
                <w:bCs/>
              </w:rPr>
              <w:t xml:space="preserve">. </w:t>
            </w:r>
            <w:r w:rsidRPr="008A5AD9">
              <w:t>AMHCs should</w:t>
            </w:r>
            <w:r w:rsidRPr="004D31EF">
              <w:rPr>
                <w:bCs/>
              </w:rPr>
              <w:t xml:space="preserve"> actively monitor </w:t>
            </w:r>
            <w:r w:rsidRPr="008A5AD9">
              <w:t>and review clinical</w:t>
            </w:r>
            <w:r w:rsidRPr="004D31EF">
              <w:rPr>
                <w:bCs/>
              </w:rPr>
              <w:t xml:space="preserve"> need </w:t>
            </w:r>
            <w:r w:rsidR="00F37F4E" w:rsidRPr="004D31EF">
              <w:rPr>
                <w:bCs/>
              </w:rPr>
              <w:t xml:space="preserve">and outcomes </w:t>
            </w:r>
            <w:r w:rsidR="002823A6" w:rsidRPr="004D31EF">
              <w:rPr>
                <w:bCs/>
              </w:rPr>
              <w:t xml:space="preserve">as they </w:t>
            </w:r>
            <w:r w:rsidR="00F37F4E" w:rsidRPr="004D31EF">
              <w:rPr>
                <w:bCs/>
              </w:rPr>
              <w:t>move</w:t>
            </w:r>
            <w:r w:rsidR="002823A6" w:rsidRPr="004D31EF">
              <w:rPr>
                <w:bCs/>
              </w:rPr>
              <w:t xml:space="preserve"> </w:t>
            </w:r>
            <w:r w:rsidR="002823A6" w:rsidRPr="008A5AD9">
              <w:t xml:space="preserve">from establishment into implementation and </w:t>
            </w:r>
            <w:r w:rsidR="00F37F4E" w:rsidRPr="008A5AD9">
              <w:t>use this information to inform</w:t>
            </w:r>
            <w:r w:rsidR="00F37F4E" w:rsidRPr="004D31EF">
              <w:rPr>
                <w:bCs/>
              </w:rPr>
              <w:t xml:space="preserve"> </w:t>
            </w:r>
            <w:r w:rsidR="004406A0" w:rsidRPr="004D31EF">
              <w:rPr>
                <w:bCs/>
              </w:rPr>
              <w:t xml:space="preserve">service and </w:t>
            </w:r>
            <w:r w:rsidR="00F37F4E" w:rsidRPr="004D31EF">
              <w:rPr>
                <w:bCs/>
              </w:rPr>
              <w:t>workforce models and development.</w:t>
            </w:r>
            <w:r w:rsidR="008A5AD9" w:rsidRPr="008A5AD9">
              <w:t xml:space="preserve">   </w:t>
            </w:r>
          </w:p>
        </w:tc>
      </w:tr>
      <w:tr w:rsidR="00D14331" w:rsidRPr="00141636" w14:paraId="2C62B99D" w14:textId="77777777" w:rsidTr="004406A0">
        <w:trPr>
          <w:trHeight w:val="477"/>
        </w:trPr>
        <w:tc>
          <w:tcPr>
            <w:cnfStyle w:val="001000000000" w:firstRow="0" w:lastRow="0" w:firstColumn="1" w:lastColumn="0" w:oddVBand="0" w:evenVBand="0" w:oddHBand="0" w:evenHBand="0" w:firstRowFirstColumn="0" w:firstRowLastColumn="0" w:lastRowFirstColumn="0" w:lastRowLastColumn="0"/>
            <w:tcW w:w="619" w:type="dxa"/>
            <w:shd w:val="clear" w:color="auto" w:fill="F2F2F2" w:themeFill="background1" w:themeFillShade="F2"/>
            <w:vAlign w:val="center"/>
          </w:tcPr>
          <w:p w14:paraId="77F0916A" w14:textId="2E14173C" w:rsidR="00D14331" w:rsidRDefault="00D14331" w:rsidP="00D14331">
            <w:pPr>
              <w:pStyle w:val="TableNText"/>
              <w:jc w:val="center"/>
              <w:rPr>
                <w:rFonts w:asciiTheme="majorHAnsi" w:hAnsiTheme="majorHAnsi" w:cstheme="majorHAnsi"/>
                <w:color w:val="00264D" w:themeColor="background2"/>
              </w:rPr>
            </w:pPr>
            <w:r>
              <w:rPr>
                <w:rFonts w:asciiTheme="majorHAnsi" w:hAnsiTheme="majorHAnsi" w:cstheme="majorHAnsi"/>
                <w:color w:val="00264D" w:themeColor="background2"/>
              </w:rPr>
              <w:t>3.2.6</w:t>
            </w:r>
          </w:p>
        </w:tc>
        <w:tc>
          <w:tcPr>
            <w:tcW w:w="2610" w:type="dxa"/>
            <w:vAlign w:val="center"/>
          </w:tcPr>
          <w:p w14:paraId="630777A8" w14:textId="3FE4B731" w:rsidR="00206D70" w:rsidRPr="00EF1B54" w:rsidRDefault="00FF76FA" w:rsidP="00D14331">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Pr>
                <w:rFonts w:asciiTheme="majorHAnsi" w:hAnsiTheme="majorHAnsi" w:cstheme="majorHAnsi"/>
                <w:color w:val="00264D" w:themeColor="background2"/>
              </w:rPr>
              <w:t xml:space="preserve">Ensure all AMHCs have the willingness and capacity to offer and deliver </w:t>
            </w:r>
            <w:r w:rsidRPr="00B8719C">
              <w:rPr>
                <w:rFonts w:asciiTheme="majorHAnsi" w:hAnsiTheme="majorHAnsi" w:cstheme="majorHAnsi"/>
                <w:color w:val="00264D" w:themeColor="background2"/>
              </w:rPr>
              <w:t xml:space="preserve">therapeutic </w:t>
            </w:r>
            <w:r w:rsidR="001A560F">
              <w:rPr>
                <w:rFonts w:asciiTheme="majorHAnsi" w:hAnsiTheme="majorHAnsi" w:cstheme="majorHAnsi"/>
                <w:color w:val="00264D" w:themeColor="background2"/>
              </w:rPr>
              <w:t xml:space="preserve">digital </w:t>
            </w:r>
            <w:r>
              <w:rPr>
                <w:rFonts w:asciiTheme="majorHAnsi" w:hAnsiTheme="majorHAnsi" w:cstheme="majorHAnsi"/>
                <w:color w:val="00264D" w:themeColor="background2"/>
              </w:rPr>
              <w:t xml:space="preserve">services where that responds to </w:t>
            </w:r>
            <w:r w:rsidR="007C43A1">
              <w:rPr>
                <w:rFonts w:asciiTheme="majorHAnsi" w:hAnsiTheme="majorHAnsi" w:cstheme="majorHAnsi"/>
                <w:color w:val="00264D" w:themeColor="background2"/>
              </w:rPr>
              <w:t>participant</w:t>
            </w:r>
            <w:r>
              <w:rPr>
                <w:rFonts w:asciiTheme="majorHAnsi" w:hAnsiTheme="majorHAnsi" w:cstheme="majorHAnsi"/>
                <w:color w:val="00264D" w:themeColor="background2"/>
              </w:rPr>
              <w:t xml:space="preserve"> preferences</w:t>
            </w:r>
            <w:r w:rsidR="00E31653">
              <w:rPr>
                <w:rFonts w:asciiTheme="majorHAnsi" w:hAnsiTheme="majorHAnsi" w:cstheme="majorHAnsi"/>
                <w:color w:val="00264D" w:themeColor="background2"/>
              </w:rPr>
              <w:t>.</w:t>
            </w:r>
            <w:r>
              <w:rPr>
                <w:rFonts w:asciiTheme="majorHAnsi" w:hAnsiTheme="majorHAnsi" w:cstheme="majorHAnsi"/>
                <w:color w:val="00264D" w:themeColor="background2"/>
              </w:rPr>
              <w:t xml:space="preserve"> </w:t>
            </w:r>
          </w:p>
        </w:tc>
        <w:tc>
          <w:tcPr>
            <w:tcW w:w="5787" w:type="dxa"/>
            <w:gridSpan w:val="3"/>
          </w:tcPr>
          <w:p w14:paraId="30865474" w14:textId="6FCEADB7" w:rsidR="00D14331" w:rsidRPr="000D119D" w:rsidRDefault="006F0A59" w:rsidP="00D14331">
            <w:pPr>
              <w:pStyle w:val="TableNBullet"/>
              <w:numPr>
                <w:ilvl w:val="0"/>
                <w:numId w:val="0"/>
              </w:numPr>
              <w:ind w:left="34" w:hanging="34"/>
              <w:cnfStyle w:val="000000000000" w:firstRow="0" w:lastRow="0" w:firstColumn="0" w:lastColumn="0" w:oddVBand="0" w:evenVBand="0" w:oddHBand="0" w:evenHBand="0" w:firstRowFirstColumn="0" w:firstRowLastColumn="0" w:lastRowFirstColumn="0" w:lastRowLastColumn="0"/>
            </w:pPr>
            <w:r>
              <w:t>Telehealth (phone and video)</w:t>
            </w:r>
            <w:r w:rsidR="00FF76FA">
              <w:t xml:space="preserve"> was valued by many </w:t>
            </w:r>
            <w:r w:rsidR="007C43A1">
              <w:t>participant</w:t>
            </w:r>
            <w:r w:rsidR="00FF76FA">
              <w:t xml:space="preserve">s and should be offered to all </w:t>
            </w:r>
            <w:r w:rsidR="007C43A1">
              <w:t>participant</w:t>
            </w:r>
            <w:r w:rsidR="00FF76FA">
              <w:t xml:space="preserve">s as a choice to increase accessibility and availability. </w:t>
            </w:r>
            <w:r w:rsidR="00356896">
              <w:t xml:space="preserve">Going forward, AMHCs should have </w:t>
            </w:r>
            <w:r w:rsidR="008F433B">
              <w:t>the capacity and skill</w:t>
            </w:r>
            <w:r w:rsidR="003D780F">
              <w:t xml:space="preserve"> </w:t>
            </w:r>
            <w:r w:rsidR="008F433B">
              <w:t>set to deliver a range of digital services (</w:t>
            </w:r>
            <w:r w:rsidR="003D4759">
              <w:t>video, phone, online)</w:t>
            </w:r>
            <w:r w:rsidR="008F433B">
              <w:t xml:space="preserve"> in line with individual preferences. Digital services</w:t>
            </w:r>
            <w:r w:rsidR="00FF76FA">
              <w:t xml:space="preserve"> may provide wider choice and opportunities for </w:t>
            </w:r>
            <w:r w:rsidR="007C43A1">
              <w:t>participant</w:t>
            </w:r>
            <w:r w:rsidR="00FF76FA">
              <w:t>s to engage with service providers who are able to meet specific needs but are not located within their local area (e.g.</w:t>
            </w:r>
            <w:r w:rsidR="003D6743">
              <w:t>,</w:t>
            </w:r>
            <w:r w:rsidR="00FF76FA">
              <w:t xml:space="preserve"> cultural needs, gender specific, age related or specialty needs). Further, AHMC resources may be more fully utilised through </w:t>
            </w:r>
            <w:r w:rsidR="008F433B">
              <w:t xml:space="preserve">digital services </w:t>
            </w:r>
            <w:r w:rsidR="00FF76FA">
              <w:t xml:space="preserve">across areas, for example, if one area is under and one over‐subscribed. Support and training should be provided to service providers to maximise the benefits of working therapeutically using </w:t>
            </w:r>
            <w:r w:rsidR="003D4759">
              <w:t xml:space="preserve">digital </w:t>
            </w:r>
            <w:r w:rsidR="00FF76FA">
              <w:t xml:space="preserve">platforms and hubs should be set up to accommodate and therapeutic </w:t>
            </w:r>
            <w:r w:rsidR="003D4759">
              <w:t xml:space="preserve">digital </w:t>
            </w:r>
            <w:r w:rsidR="00FF76FA">
              <w:t>service provision.  </w:t>
            </w:r>
          </w:p>
        </w:tc>
      </w:tr>
      <w:tr w:rsidR="005D30EC" w:rsidRPr="00141636" w14:paraId="17D9FCAA" w14:textId="77777777" w:rsidTr="004406A0">
        <w:trPr>
          <w:gridAfter w:val="1"/>
          <w:wAfter w:w="12" w:type="dxa"/>
        </w:trPr>
        <w:tc>
          <w:tcPr>
            <w:cnfStyle w:val="001000000000" w:firstRow="0" w:lastRow="0" w:firstColumn="1" w:lastColumn="0" w:oddVBand="0" w:evenVBand="0" w:oddHBand="0" w:evenHBand="0" w:firstRowFirstColumn="0" w:firstRowLastColumn="0" w:lastRowFirstColumn="0" w:lastRowLastColumn="0"/>
            <w:tcW w:w="9004" w:type="dxa"/>
            <w:gridSpan w:val="4"/>
            <w:shd w:val="clear" w:color="auto" w:fill="FFFFFF" w:themeFill="background1"/>
            <w:vAlign w:val="center"/>
          </w:tcPr>
          <w:p w14:paraId="29936D6F" w14:textId="0F2E6FD1" w:rsidR="005D30EC" w:rsidRPr="000D119D" w:rsidRDefault="005D30EC" w:rsidP="0039463A">
            <w:pPr>
              <w:pStyle w:val="TableNText"/>
            </w:pPr>
            <w:r w:rsidRPr="00C45336">
              <w:rPr>
                <w:b/>
                <w:bCs/>
                <w:color w:val="F25E21" w:themeColor="accent2"/>
              </w:rPr>
              <w:lastRenderedPageBreak/>
              <w:t xml:space="preserve">3.3 </w:t>
            </w:r>
            <w:r w:rsidRPr="00C45336">
              <w:rPr>
                <w:rFonts w:asciiTheme="majorHAnsi" w:hAnsiTheme="majorHAnsi" w:cstheme="majorHAnsi"/>
                <w:b/>
                <w:bCs/>
                <w:color w:val="F25E21" w:themeColor="accent2"/>
              </w:rPr>
              <w:t xml:space="preserve">Communication, </w:t>
            </w:r>
            <w:proofErr w:type="gramStart"/>
            <w:r w:rsidRPr="00C45336">
              <w:rPr>
                <w:rFonts w:asciiTheme="majorHAnsi" w:hAnsiTheme="majorHAnsi" w:cstheme="majorHAnsi"/>
                <w:b/>
                <w:bCs/>
                <w:color w:val="F25E21" w:themeColor="accent2"/>
              </w:rPr>
              <w:t>engagement</w:t>
            </w:r>
            <w:proofErr w:type="gramEnd"/>
            <w:r w:rsidRPr="00C45336">
              <w:rPr>
                <w:rFonts w:asciiTheme="majorHAnsi" w:hAnsiTheme="majorHAnsi" w:cstheme="majorHAnsi"/>
                <w:b/>
                <w:bCs/>
                <w:color w:val="F25E21" w:themeColor="accent2"/>
              </w:rPr>
              <w:t xml:space="preserve"> and integration</w:t>
            </w:r>
          </w:p>
        </w:tc>
      </w:tr>
      <w:tr w:rsidR="00B62F49" w:rsidRPr="00141636" w14:paraId="6D8A1F6F" w14:textId="77777777" w:rsidTr="004406A0">
        <w:trPr>
          <w:gridAfter w:val="1"/>
          <w:wAfter w:w="12" w:type="dxa"/>
        </w:trPr>
        <w:tc>
          <w:tcPr>
            <w:cnfStyle w:val="001000000000" w:firstRow="0" w:lastRow="0" w:firstColumn="1" w:lastColumn="0" w:oddVBand="0" w:evenVBand="0" w:oddHBand="0" w:evenHBand="0" w:firstRowFirstColumn="0" w:firstRowLastColumn="0" w:lastRowFirstColumn="0" w:lastRowLastColumn="0"/>
            <w:tcW w:w="619" w:type="dxa"/>
            <w:shd w:val="clear" w:color="auto" w:fill="F2F2F2" w:themeFill="background1" w:themeFillShade="F2"/>
            <w:vAlign w:val="center"/>
          </w:tcPr>
          <w:p w14:paraId="0A657672" w14:textId="1CED6274" w:rsidR="00B62F49" w:rsidRPr="00496012" w:rsidRDefault="00B62F49" w:rsidP="00496012">
            <w:pPr>
              <w:pStyle w:val="TableNText"/>
              <w:jc w:val="center"/>
              <w:rPr>
                <w:rFonts w:asciiTheme="majorHAnsi" w:hAnsiTheme="majorHAnsi" w:cstheme="majorHAnsi"/>
                <w:color w:val="00264D" w:themeColor="background2"/>
              </w:rPr>
            </w:pPr>
            <w:r w:rsidRPr="00496012">
              <w:rPr>
                <w:rFonts w:asciiTheme="majorHAnsi" w:hAnsiTheme="majorHAnsi" w:cstheme="majorHAnsi"/>
                <w:color w:val="00264D" w:themeColor="background2"/>
              </w:rPr>
              <w:t>3.3.1</w:t>
            </w:r>
          </w:p>
        </w:tc>
        <w:tc>
          <w:tcPr>
            <w:tcW w:w="2610" w:type="dxa"/>
            <w:vAlign w:val="center"/>
          </w:tcPr>
          <w:p w14:paraId="717DB3DA" w14:textId="4345AFD6" w:rsidR="00B62F49" w:rsidRPr="00496012" w:rsidRDefault="00B62F49" w:rsidP="00496012">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sidRPr="00496012">
              <w:rPr>
                <w:rFonts w:asciiTheme="majorHAnsi" w:hAnsiTheme="majorHAnsi" w:cstheme="majorHAnsi"/>
                <w:color w:val="00264D" w:themeColor="background2"/>
              </w:rPr>
              <w:t>Develop a co-designed, comprehensive communications strategy to be adopted by all AMHCs.</w:t>
            </w:r>
          </w:p>
        </w:tc>
        <w:tc>
          <w:tcPr>
            <w:tcW w:w="5775" w:type="dxa"/>
            <w:gridSpan w:val="2"/>
          </w:tcPr>
          <w:p w14:paraId="7E699420" w14:textId="72751F33" w:rsidR="00B62F49" w:rsidRPr="000D119D" w:rsidRDefault="00B62F49" w:rsidP="00B62F49">
            <w:pPr>
              <w:pStyle w:val="TableNText"/>
              <w:cnfStyle w:val="000000000000" w:firstRow="0" w:lastRow="0" w:firstColumn="0" w:lastColumn="0" w:oddVBand="0" w:evenVBand="0" w:oddHBand="0" w:evenHBand="0" w:firstRowFirstColumn="0" w:firstRowLastColumn="0" w:lastRowFirstColumn="0" w:lastRowLastColumn="0"/>
            </w:pPr>
            <w:r w:rsidRPr="000D119D">
              <w:t xml:space="preserve">The need for more effective communication is a key learning from </w:t>
            </w:r>
            <w:proofErr w:type="spellStart"/>
            <w:r w:rsidRPr="000D119D">
              <w:rPr>
                <w:i/>
              </w:rPr>
              <w:t>HeadtoHelp</w:t>
            </w:r>
            <w:proofErr w:type="spellEnd"/>
            <w:r w:rsidRPr="000D119D">
              <w:t xml:space="preserve">. Development of a comprehensive communications strategy, with clear roles and accountabilities between </w:t>
            </w:r>
            <w:r w:rsidR="00641398">
              <w:t>the Department</w:t>
            </w:r>
            <w:r w:rsidRPr="000D119D">
              <w:t>, PHNs and AMHC lead agencies will support both expectation management and awareness raising of the new centres.</w:t>
            </w:r>
          </w:p>
          <w:p w14:paraId="3364790D" w14:textId="50F7ED06" w:rsidR="00B62F49" w:rsidRPr="000D119D" w:rsidRDefault="00B62F49" w:rsidP="00B62F49">
            <w:pPr>
              <w:pStyle w:val="TableNText"/>
              <w:cnfStyle w:val="000000000000" w:firstRow="0" w:lastRow="0" w:firstColumn="0" w:lastColumn="0" w:oddVBand="0" w:evenVBand="0" w:oddHBand="0" w:evenHBand="0" w:firstRowFirstColumn="0" w:firstRowLastColumn="0" w:lastRowFirstColumn="0" w:lastRowLastColumn="0"/>
            </w:pPr>
            <w:r w:rsidRPr="000D119D">
              <w:t>Methods of communication and messaging should be developed through co-design with individuals with lived/living experience and tested in different settings to ensure they are effective for different local communities.</w:t>
            </w:r>
          </w:p>
        </w:tc>
      </w:tr>
      <w:tr w:rsidR="00B62F49" w:rsidRPr="00141636" w14:paraId="2BEE2775" w14:textId="77777777" w:rsidTr="004406A0">
        <w:trPr>
          <w:gridAfter w:val="1"/>
          <w:wAfter w:w="12" w:type="dxa"/>
        </w:trPr>
        <w:tc>
          <w:tcPr>
            <w:cnfStyle w:val="001000000000" w:firstRow="0" w:lastRow="0" w:firstColumn="1" w:lastColumn="0" w:oddVBand="0" w:evenVBand="0" w:oddHBand="0" w:evenHBand="0" w:firstRowFirstColumn="0" w:firstRowLastColumn="0" w:lastRowFirstColumn="0" w:lastRowLastColumn="0"/>
            <w:tcW w:w="619" w:type="dxa"/>
            <w:shd w:val="clear" w:color="auto" w:fill="F2F2F2" w:themeFill="background1" w:themeFillShade="F2"/>
            <w:vAlign w:val="center"/>
          </w:tcPr>
          <w:p w14:paraId="5692C0B3" w14:textId="5074EF43" w:rsidR="00B62F49" w:rsidRPr="00496012" w:rsidRDefault="00B62F49" w:rsidP="00496012">
            <w:pPr>
              <w:pStyle w:val="TableNText"/>
              <w:jc w:val="center"/>
              <w:rPr>
                <w:rFonts w:asciiTheme="majorHAnsi" w:hAnsiTheme="majorHAnsi" w:cstheme="majorHAnsi"/>
                <w:color w:val="00264D" w:themeColor="background2"/>
              </w:rPr>
            </w:pPr>
            <w:r w:rsidRPr="00496012">
              <w:rPr>
                <w:rFonts w:asciiTheme="majorHAnsi" w:hAnsiTheme="majorHAnsi" w:cstheme="majorHAnsi"/>
                <w:color w:val="00264D" w:themeColor="background2"/>
              </w:rPr>
              <w:t>3.3.2</w:t>
            </w:r>
          </w:p>
        </w:tc>
        <w:tc>
          <w:tcPr>
            <w:tcW w:w="2610" w:type="dxa"/>
            <w:vAlign w:val="center"/>
          </w:tcPr>
          <w:p w14:paraId="56F7654C" w14:textId="2858519A" w:rsidR="00B62F49" w:rsidRPr="00496012" w:rsidRDefault="00B62F49" w:rsidP="00496012">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sidRPr="00496012">
              <w:rPr>
                <w:rFonts w:asciiTheme="majorHAnsi" w:hAnsiTheme="majorHAnsi" w:cstheme="majorHAnsi"/>
                <w:color w:val="00264D" w:themeColor="background2"/>
              </w:rPr>
              <w:t>As part of an overall communications strategy, individual AMHCs should be permitted and encouraged to utilise broadcast and social media to connect with local communities</w:t>
            </w:r>
            <w:r w:rsidR="00F27E33">
              <w:rPr>
                <w:rFonts w:asciiTheme="majorHAnsi" w:hAnsiTheme="majorHAnsi" w:cstheme="majorHAnsi"/>
                <w:color w:val="00264D" w:themeColor="background2"/>
              </w:rPr>
              <w:t>.</w:t>
            </w:r>
          </w:p>
        </w:tc>
        <w:tc>
          <w:tcPr>
            <w:tcW w:w="5775" w:type="dxa"/>
            <w:gridSpan w:val="2"/>
          </w:tcPr>
          <w:p w14:paraId="22710EFA" w14:textId="0C85AC25" w:rsidR="00B62F49" w:rsidRPr="000D119D" w:rsidRDefault="00B62F49" w:rsidP="00B62F49">
            <w:pPr>
              <w:pStyle w:val="TableNText"/>
              <w:cnfStyle w:val="000000000000" w:firstRow="0" w:lastRow="0" w:firstColumn="0" w:lastColumn="0" w:oddVBand="0" w:evenVBand="0" w:oddHBand="0" w:evenHBand="0" w:firstRowFirstColumn="0" w:firstRowLastColumn="0" w:lastRowFirstColumn="0" w:lastRowLastColumn="0"/>
            </w:pPr>
            <w:r w:rsidRPr="000D119D">
              <w:t>Having a centralised single point of promotion and intake via a single 1800 number need not be at the exclusion of complementary localised communication and promotion channels. It is important that individual AMHCs have a channel through which to promote the service, provide service updates (i.e., address, changes to location, opening times or centre closures, events</w:t>
            </w:r>
            <w:r w:rsidR="00985905">
              <w:t>,</w:t>
            </w:r>
            <w:r w:rsidRPr="000D119D">
              <w:t xml:space="preserve"> etc</w:t>
            </w:r>
            <w:r w:rsidR="00985905">
              <w:t>.</w:t>
            </w:r>
            <w:r w:rsidRPr="000D119D">
              <w:t xml:space="preserve">) and connect with local communities. Use of social media, radio or television may be appropriate for different communities. </w:t>
            </w:r>
          </w:p>
          <w:p w14:paraId="6BF5FF61" w14:textId="232A2242" w:rsidR="00B62F49" w:rsidRPr="000D119D" w:rsidRDefault="00B62F49" w:rsidP="00B62F49">
            <w:pPr>
              <w:pStyle w:val="TableNText"/>
              <w:cnfStyle w:val="000000000000" w:firstRow="0" w:lastRow="0" w:firstColumn="0" w:lastColumn="0" w:oddVBand="0" w:evenVBand="0" w:oddHBand="0" w:evenHBand="0" w:firstRowFirstColumn="0" w:firstRowLastColumn="0" w:lastRowFirstColumn="0" w:lastRowLastColumn="0"/>
            </w:pPr>
            <w:r w:rsidRPr="000D119D">
              <w:t>This complements rather than replaces the national communications approach. Methods of communication and messaging should be developed through co-design to ensure they are effective for local communities.</w:t>
            </w:r>
          </w:p>
        </w:tc>
      </w:tr>
      <w:tr w:rsidR="00B62F49" w:rsidRPr="00141636" w14:paraId="6C8BAFC1" w14:textId="77777777" w:rsidTr="004406A0">
        <w:trPr>
          <w:gridAfter w:val="1"/>
          <w:wAfter w:w="12" w:type="dxa"/>
        </w:trPr>
        <w:tc>
          <w:tcPr>
            <w:cnfStyle w:val="001000000000" w:firstRow="0" w:lastRow="0" w:firstColumn="1" w:lastColumn="0" w:oddVBand="0" w:evenVBand="0" w:oddHBand="0" w:evenHBand="0" w:firstRowFirstColumn="0" w:firstRowLastColumn="0" w:lastRowFirstColumn="0" w:lastRowLastColumn="0"/>
            <w:tcW w:w="619" w:type="dxa"/>
            <w:shd w:val="clear" w:color="auto" w:fill="F2F2F2" w:themeFill="background1" w:themeFillShade="F2"/>
            <w:vAlign w:val="center"/>
          </w:tcPr>
          <w:p w14:paraId="66E4D6FD" w14:textId="405D1487" w:rsidR="00B62F49" w:rsidRPr="00496012" w:rsidRDefault="00B62F49" w:rsidP="00496012">
            <w:pPr>
              <w:pStyle w:val="TableNText"/>
              <w:jc w:val="center"/>
              <w:rPr>
                <w:rFonts w:asciiTheme="majorHAnsi" w:hAnsiTheme="majorHAnsi" w:cstheme="majorHAnsi"/>
                <w:color w:val="00264D" w:themeColor="background2"/>
              </w:rPr>
            </w:pPr>
            <w:r w:rsidRPr="00496012">
              <w:rPr>
                <w:rFonts w:asciiTheme="majorHAnsi" w:hAnsiTheme="majorHAnsi" w:cstheme="majorHAnsi"/>
                <w:color w:val="00264D" w:themeColor="background2"/>
              </w:rPr>
              <w:t>3.3.3</w:t>
            </w:r>
          </w:p>
        </w:tc>
        <w:tc>
          <w:tcPr>
            <w:tcW w:w="2610" w:type="dxa"/>
            <w:vAlign w:val="center"/>
          </w:tcPr>
          <w:p w14:paraId="741896E0" w14:textId="094BE07E" w:rsidR="00B62F49" w:rsidRPr="00496012" w:rsidRDefault="00B62F49" w:rsidP="00496012">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sidRPr="00496012">
              <w:rPr>
                <w:rFonts w:asciiTheme="majorHAnsi" w:hAnsiTheme="majorHAnsi" w:cstheme="majorHAnsi"/>
                <w:color w:val="00264D" w:themeColor="background2"/>
              </w:rPr>
              <w:t>Clarify and clearly communicate the purpose and intent of AMHCs to manage expectations and ensure there is the capacity and capability to meet those expectations.</w:t>
            </w:r>
          </w:p>
        </w:tc>
        <w:tc>
          <w:tcPr>
            <w:tcW w:w="5775" w:type="dxa"/>
            <w:gridSpan w:val="2"/>
          </w:tcPr>
          <w:p w14:paraId="6E610FF3" w14:textId="139E1861" w:rsidR="00B62F49" w:rsidRPr="000D119D" w:rsidRDefault="00B62F49" w:rsidP="00B62F49">
            <w:pPr>
              <w:pStyle w:val="TableNText"/>
              <w:cnfStyle w:val="000000000000" w:firstRow="0" w:lastRow="0" w:firstColumn="0" w:lastColumn="0" w:oddVBand="0" w:evenVBand="0" w:oddHBand="0" w:evenHBand="0" w:firstRowFirstColumn="0" w:firstRowLastColumn="0" w:lastRowFirstColumn="0" w:lastRowLastColumn="0"/>
            </w:pPr>
            <w:r w:rsidRPr="000D119D">
              <w:t>It is essential AMHCs clarify their purpose and clearly communicate the service’s intent, capacity, intake functions, services within the centre and staff capability to GPs, other service partners and relevant stakeholders to ensure there is a consistent understanding of:</w:t>
            </w:r>
          </w:p>
          <w:p w14:paraId="1CADD1CB" w14:textId="77777777" w:rsidR="00B62F49" w:rsidRPr="000D119D" w:rsidRDefault="00B62F49" w:rsidP="00B62F49">
            <w:pPr>
              <w:pStyle w:val="TableNBullet"/>
              <w:cnfStyle w:val="000000000000" w:firstRow="0" w:lastRow="0" w:firstColumn="0" w:lastColumn="0" w:oddVBand="0" w:evenVBand="0" w:oddHBand="0" w:evenHBand="0" w:firstRowFirstColumn="0" w:firstRowLastColumn="0" w:lastRowFirstColumn="0" w:lastRowLastColumn="0"/>
            </w:pPr>
            <w:r w:rsidRPr="000D119D">
              <w:t>the level of acuity AMHCs will service</w:t>
            </w:r>
          </w:p>
          <w:p w14:paraId="53561D9B" w14:textId="77777777" w:rsidR="00B62F49" w:rsidRPr="000D119D" w:rsidRDefault="00B62F49" w:rsidP="00B62F49">
            <w:pPr>
              <w:pStyle w:val="TableNBullet"/>
              <w:cnfStyle w:val="000000000000" w:firstRow="0" w:lastRow="0" w:firstColumn="0" w:lastColumn="0" w:oddVBand="0" w:evenVBand="0" w:oddHBand="0" w:evenHBand="0" w:firstRowFirstColumn="0" w:firstRowLastColumn="0" w:lastRowFirstColumn="0" w:lastRowLastColumn="0"/>
            </w:pPr>
            <w:r w:rsidRPr="000D119D">
              <w:t>the service offering of AMHCs.</w:t>
            </w:r>
          </w:p>
          <w:p w14:paraId="29BA9A61" w14:textId="769F9C49" w:rsidR="00B62F49" w:rsidRPr="000D119D" w:rsidRDefault="00B62F49" w:rsidP="00B62F49">
            <w:pPr>
              <w:pStyle w:val="TableNText"/>
              <w:cnfStyle w:val="000000000000" w:firstRow="0" w:lastRow="0" w:firstColumn="0" w:lastColumn="0" w:oddVBand="0" w:evenVBand="0" w:oddHBand="0" w:evenHBand="0" w:firstRowFirstColumn="0" w:firstRowLastColumn="0" w:lastRowFirstColumn="0" w:lastRowLastColumn="0"/>
            </w:pPr>
            <w:r w:rsidRPr="000D119D">
              <w:t xml:space="preserve">This is the responsibility of </w:t>
            </w:r>
            <w:r w:rsidR="00641398">
              <w:t>the Department</w:t>
            </w:r>
            <w:r w:rsidRPr="000D119D">
              <w:t xml:space="preserve"> and PHNs in their communication with lead agencies, and the responsibility of lead agencies in relation to the communications with local service partners. Furthermore, once those expectations are set, it is critical that the service has the capacity and capability to deliver on those expectations. The service is not just about a ‘front door’, but also what sits behind that.</w:t>
            </w:r>
          </w:p>
        </w:tc>
      </w:tr>
      <w:tr w:rsidR="00B62F49" w:rsidRPr="00141636" w14:paraId="1C80A981" w14:textId="77777777" w:rsidTr="004406A0">
        <w:trPr>
          <w:gridAfter w:val="1"/>
          <w:wAfter w:w="12" w:type="dxa"/>
        </w:trPr>
        <w:tc>
          <w:tcPr>
            <w:cnfStyle w:val="001000000000" w:firstRow="0" w:lastRow="0" w:firstColumn="1" w:lastColumn="0" w:oddVBand="0" w:evenVBand="0" w:oddHBand="0" w:evenHBand="0" w:firstRowFirstColumn="0" w:firstRowLastColumn="0" w:lastRowFirstColumn="0" w:lastRowLastColumn="0"/>
            <w:tcW w:w="619" w:type="dxa"/>
            <w:shd w:val="clear" w:color="auto" w:fill="F2F2F2" w:themeFill="background1" w:themeFillShade="F2"/>
            <w:vAlign w:val="center"/>
          </w:tcPr>
          <w:p w14:paraId="6A2D6CFB" w14:textId="1B233987" w:rsidR="00B62F49" w:rsidRPr="00496012" w:rsidRDefault="00B62F49" w:rsidP="00496012">
            <w:pPr>
              <w:pStyle w:val="TableNText"/>
              <w:jc w:val="center"/>
              <w:rPr>
                <w:rFonts w:asciiTheme="majorHAnsi" w:hAnsiTheme="majorHAnsi" w:cstheme="majorHAnsi"/>
                <w:color w:val="00264D" w:themeColor="background2"/>
              </w:rPr>
            </w:pPr>
            <w:r w:rsidRPr="00496012">
              <w:rPr>
                <w:rFonts w:asciiTheme="majorHAnsi" w:hAnsiTheme="majorHAnsi" w:cstheme="majorHAnsi"/>
                <w:color w:val="00264D" w:themeColor="background2"/>
              </w:rPr>
              <w:t>3.3.4</w:t>
            </w:r>
          </w:p>
        </w:tc>
        <w:tc>
          <w:tcPr>
            <w:tcW w:w="2610" w:type="dxa"/>
            <w:vAlign w:val="center"/>
          </w:tcPr>
          <w:p w14:paraId="6BBAC454" w14:textId="00C12D93" w:rsidR="00B62F49" w:rsidRPr="00496012" w:rsidRDefault="00B62F49" w:rsidP="00496012">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sidRPr="00496012">
              <w:rPr>
                <w:rFonts w:asciiTheme="majorHAnsi" w:hAnsiTheme="majorHAnsi" w:cstheme="majorHAnsi"/>
                <w:color w:val="00264D" w:themeColor="background2"/>
              </w:rPr>
              <w:t>AMHCs need to be provided with technical support for system integration</w:t>
            </w:r>
            <w:r w:rsidR="00F27E33">
              <w:rPr>
                <w:rFonts w:asciiTheme="majorHAnsi" w:hAnsiTheme="majorHAnsi" w:cstheme="majorHAnsi"/>
                <w:color w:val="00264D" w:themeColor="background2"/>
              </w:rPr>
              <w:t>.</w:t>
            </w:r>
          </w:p>
        </w:tc>
        <w:tc>
          <w:tcPr>
            <w:tcW w:w="5775" w:type="dxa"/>
            <w:gridSpan w:val="2"/>
          </w:tcPr>
          <w:p w14:paraId="770AC0F9" w14:textId="5ABF3BFE" w:rsidR="00B62F49" w:rsidRPr="000D119D" w:rsidRDefault="00B62F49" w:rsidP="00B62F49">
            <w:pPr>
              <w:pStyle w:val="TableNText"/>
              <w:cnfStyle w:val="000000000000" w:firstRow="0" w:lastRow="0" w:firstColumn="0" w:lastColumn="0" w:oddVBand="0" w:evenVBand="0" w:oddHBand="0" w:evenHBand="0" w:firstRowFirstColumn="0" w:firstRowLastColumn="0" w:lastRowFirstColumn="0" w:lastRowLastColumn="0"/>
            </w:pPr>
            <w:r w:rsidRPr="000D119D">
              <w:t xml:space="preserve">To counter the issue of poor system integration, particularly between the IAR and existing services, </w:t>
            </w:r>
            <w:r w:rsidR="00641398">
              <w:t>the Department</w:t>
            </w:r>
            <w:r w:rsidRPr="000D119D">
              <w:t xml:space="preserve"> should provide funding and/or technical support to PHNs/AMHCs to integrate these systems during establishment. This will remove the need for double entry of client information and reduce the administrative burden on staff.</w:t>
            </w:r>
          </w:p>
        </w:tc>
      </w:tr>
    </w:tbl>
    <w:p w14:paraId="7A408BAD" w14:textId="59ECB6DC" w:rsidR="002F56FF" w:rsidRPr="00D8203E" w:rsidRDefault="002F56FF" w:rsidP="002F56FF">
      <w:pPr>
        <w:pStyle w:val="Caption"/>
      </w:pPr>
      <w:r w:rsidRPr="000D119D">
        <w:t xml:space="preserve">Table </w:t>
      </w:r>
      <w:r w:rsidRPr="000D119D">
        <w:fldChar w:fldCharType="begin"/>
      </w:r>
      <w:r w:rsidRPr="000D119D">
        <w:instrText xml:space="preserve"> SEQ Table \* ARABIC </w:instrText>
      </w:r>
      <w:r w:rsidRPr="000D119D">
        <w:fldChar w:fldCharType="separate"/>
      </w:r>
      <w:r w:rsidR="00562174">
        <w:rPr>
          <w:noProof/>
        </w:rPr>
        <w:t>10</w:t>
      </w:r>
      <w:r w:rsidRPr="000D119D">
        <w:fldChar w:fldCharType="end"/>
      </w:r>
      <w:r w:rsidRPr="000D119D">
        <w:t xml:space="preserve"> | </w:t>
      </w:r>
      <w:r w:rsidR="00404239" w:rsidRPr="000D119D">
        <w:t xml:space="preserve">4. </w:t>
      </w:r>
      <w:r w:rsidRPr="000D119D">
        <w:t xml:space="preserve">Recommendations </w:t>
      </w:r>
      <w:r w:rsidR="001B68D0" w:rsidRPr="000D119D">
        <w:t xml:space="preserve">to support establishment and implementation of </w:t>
      </w:r>
      <w:r w:rsidR="001B68D0" w:rsidRPr="00D8203E">
        <w:t xml:space="preserve">future </w:t>
      </w:r>
      <w:r w:rsidR="0085301C" w:rsidRPr="00D8203E">
        <w:t>mental health</w:t>
      </w:r>
      <w:r w:rsidR="001B68D0" w:rsidRPr="00D8203E">
        <w:t xml:space="preserve"> programs</w:t>
      </w:r>
    </w:p>
    <w:tbl>
      <w:tblPr>
        <w:tblStyle w:val="NOUS1"/>
        <w:tblW w:w="4876" w:type="pct"/>
        <w:tblLayout w:type="fixed"/>
        <w:tblLook w:val="04A0" w:firstRow="1" w:lastRow="0" w:firstColumn="1" w:lastColumn="0" w:noHBand="0" w:noVBand="1"/>
        <w:tblDescription w:val="Table 10 list recommendations 4 for the established support and implementation of future mental health programs"/>
      </w:tblPr>
      <w:tblGrid>
        <w:gridCol w:w="634"/>
        <w:gridCol w:w="2750"/>
        <w:gridCol w:w="5490"/>
      </w:tblGrid>
      <w:tr w:rsidR="00D30DD1" w:rsidRPr="007A100E" w14:paraId="3402AB9D" w14:textId="77777777" w:rsidTr="00D820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4" w:type="dxa"/>
          </w:tcPr>
          <w:p w14:paraId="4798D135" w14:textId="77777777" w:rsidR="00D30DD1" w:rsidRPr="000D119D" w:rsidRDefault="00D30DD1" w:rsidP="0039463A">
            <w:pPr>
              <w:pStyle w:val="TableNheader"/>
              <w:rPr>
                <w:b w:val="0"/>
              </w:rPr>
            </w:pPr>
            <w:r w:rsidRPr="000D119D">
              <w:rPr>
                <w:b w:val="0"/>
                <w:bCs/>
              </w:rPr>
              <w:t>#</w:t>
            </w:r>
          </w:p>
        </w:tc>
        <w:tc>
          <w:tcPr>
            <w:tcW w:w="2750" w:type="dxa"/>
          </w:tcPr>
          <w:p w14:paraId="4C9EC6B4" w14:textId="77777777" w:rsidR="00D30DD1" w:rsidRPr="000D119D" w:rsidRDefault="00D30DD1" w:rsidP="0039463A">
            <w:pPr>
              <w:pStyle w:val="TableNheader"/>
              <w:cnfStyle w:val="100000000000" w:firstRow="1" w:lastRow="0" w:firstColumn="0" w:lastColumn="0" w:oddVBand="0" w:evenVBand="0" w:oddHBand="0" w:evenHBand="0" w:firstRowFirstColumn="0" w:firstRowLastColumn="0" w:lastRowFirstColumn="0" w:lastRowLastColumn="0"/>
              <w:rPr>
                <w:b w:val="0"/>
              </w:rPr>
            </w:pPr>
            <w:r w:rsidRPr="000D119D">
              <w:rPr>
                <w:b w:val="0"/>
              </w:rPr>
              <w:t>Recommendation</w:t>
            </w:r>
          </w:p>
        </w:tc>
        <w:tc>
          <w:tcPr>
            <w:tcW w:w="5490" w:type="dxa"/>
          </w:tcPr>
          <w:p w14:paraId="0239C92D" w14:textId="77777777" w:rsidR="00D30DD1" w:rsidRPr="000D119D" w:rsidRDefault="00D30DD1" w:rsidP="0039463A">
            <w:pPr>
              <w:pStyle w:val="TableNheader"/>
              <w:cnfStyle w:val="100000000000" w:firstRow="1" w:lastRow="0" w:firstColumn="0" w:lastColumn="0" w:oddVBand="0" w:evenVBand="0" w:oddHBand="0" w:evenHBand="0" w:firstRowFirstColumn="0" w:firstRowLastColumn="0" w:lastRowFirstColumn="0" w:lastRowLastColumn="0"/>
            </w:pPr>
            <w:r w:rsidRPr="000D119D">
              <w:rPr>
                <w:b w:val="0"/>
                <w:bCs/>
              </w:rPr>
              <w:t>Details</w:t>
            </w:r>
          </w:p>
        </w:tc>
      </w:tr>
      <w:tr w:rsidR="00E56481" w:rsidRPr="00D30DD1" w14:paraId="6B05AEED" w14:textId="77777777" w:rsidTr="00D8203E">
        <w:tc>
          <w:tcPr>
            <w:cnfStyle w:val="001000000000" w:firstRow="0" w:lastRow="0" w:firstColumn="1" w:lastColumn="0" w:oddVBand="0" w:evenVBand="0" w:oddHBand="0" w:evenHBand="0" w:firstRowFirstColumn="0" w:firstRowLastColumn="0" w:lastRowFirstColumn="0" w:lastRowLastColumn="0"/>
            <w:tcW w:w="634" w:type="dxa"/>
          </w:tcPr>
          <w:p w14:paraId="3F6CEBA3" w14:textId="4C3A5A93" w:rsidR="00E56481" w:rsidRPr="00496012" w:rsidRDefault="00E56481" w:rsidP="00D8203E">
            <w:pPr>
              <w:pStyle w:val="TableNText"/>
              <w:jc w:val="center"/>
              <w:rPr>
                <w:rFonts w:asciiTheme="majorHAnsi" w:hAnsiTheme="majorHAnsi" w:cstheme="majorHAnsi"/>
              </w:rPr>
            </w:pPr>
            <w:r w:rsidRPr="00D8203E">
              <w:rPr>
                <w:rFonts w:asciiTheme="majorHAnsi" w:hAnsiTheme="majorHAnsi" w:cstheme="majorHAnsi"/>
                <w:color w:val="00264D" w:themeColor="background2"/>
              </w:rPr>
              <w:t>4.1</w:t>
            </w:r>
          </w:p>
        </w:tc>
        <w:tc>
          <w:tcPr>
            <w:tcW w:w="2750" w:type="dxa"/>
          </w:tcPr>
          <w:p w14:paraId="5098A3F5" w14:textId="5313CFEB" w:rsidR="00E56481" w:rsidRPr="00496012" w:rsidRDefault="00E56481" w:rsidP="00496012">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proofErr w:type="spellStart"/>
            <w:r w:rsidRPr="00A21387">
              <w:rPr>
                <w:rFonts w:asciiTheme="majorHAnsi" w:hAnsiTheme="majorHAnsi" w:cstheme="majorHAnsi"/>
                <w:i/>
                <w:color w:val="00264D" w:themeColor="background2"/>
                <w:szCs w:val="17"/>
              </w:rPr>
              <w:t>HeadtoHelp</w:t>
            </w:r>
            <w:proofErr w:type="spellEnd"/>
            <w:r w:rsidRPr="00496012">
              <w:rPr>
                <w:rFonts w:asciiTheme="majorHAnsi" w:hAnsiTheme="majorHAnsi" w:cstheme="majorHAnsi"/>
                <w:bCs/>
                <w:color w:val="00264D" w:themeColor="background2"/>
                <w:szCs w:val="17"/>
              </w:rPr>
              <w:t xml:space="preserve"> and the AMHCs have trialled a valuable model for delivering care, that should continue to be delivered and evolved.</w:t>
            </w:r>
          </w:p>
        </w:tc>
        <w:tc>
          <w:tcPr>
            <w:tcW w:w="5490" w:type="dxa"/>
          </w:tcPr>
          <w:p w14:paraId="0AD6BC62" w14:textId="4AFD3350" w:rsidR="00E56481" w:rsidRPr="000D119D" w:rsidRDefault="00E56481" w:rsidP="00A21387">
            <w:pPr>
              <w:pStyle w:val="TableNText"/>
              <w:cnfStyle w:val="000000000000" w:firstRow="0" w:lastRow="0" w:firstColumn="0" w:lastColumn="0" w:oddVBand="0" w:evenVBand="0" w:oddHBand="0" w:evenHBand="0" w:firstRowFirstColumn="0" w:firstRowLastColumn="0" w:lastRowFirstColumn="0" w:lastRowLastColumn="0"/>
            </w:pPr>
            <w:proofErr w:type="spellStart"/>
            <w:r w:rsidRPr="000D119D">
              <w:rPr>
                <w:i/>
              </w:rPr>
              <w:t>HeadtoHelp</w:t>
            </w:r>
            <w:proofErr w:type="spellEnd"/>
            <w:r w:rsidRPr="000D119D">
              <w:t>, despite being established to be responsive to mental health needs resulting from COVID‐19, appears to also fill a gap for many people who are otherwise unable to access timely and affordable non‐COVID related mental health help, suggesting that this type of service model (also exhibited by the AMHCs) warrants a permanent place in the mental health landscape.</w:t>
            </w:r>
          </w:p>
        </w:tc>
      </w:tr>
      <w:tr w:rsidR="00E56481" w:rsidRPr="007A100E" w14:paraId="708B0ECA" w14:textId="77777777" w:rsidTr="00D8203E">
        <w:tc>
          <w:tcPr>
            <w:cnfStyle w:val="001000000000" w:firstRow="0" w:lastRow="0" w:firstColumn="1" w:lastColumn="0" w:oddVBand="0" w:evenVBand="0" w:oddHBand="0" w:evenHBand="0" w:firstRowFirstColumn="0" w:firstRowLastColumn="0" w:lastRowFirstColumn="0" w:lastRowLastColumn="0"/>
            <w:tcW w:w="634" w:type="dxa"/>
          </w:tcPr>
          <w:p w14:paraId="0E887995" w14:textId="13A53112" w:rsidR="00E56481" w:rsidRPr="00496012" w:rsidRDefault="00FB0E54" w:rsidP="00D8203E">
            <w:pPr>
              <w:pStyle w:val="TableNText"/>
              <w:jc w:val="center"/>
              <w:rPr>
                <w:bCs/>
              </w:rPr>
            </w:pPr>
            <w:r w:rsidRPr="00D8203E">
              <w:rPr>
                <w:rFonts w:asciiTheme="majorHAnsi" w:hAnsiTheme="majorHAnsi" w:cstheme="majorHAnsi"/>
                <w:color w:val="00264D" w:themeColor="background2"/>
              </w:rPr>
              <w:t>4.</w:t>
            </w:r>
            <w:r w:rsidR="00E56481" w:rsidRPr="00D8203E">
              <w:rPr>
                <w:rFonts w:asciiTheme="majorHAnsi" w:hAnsiTheme="majorHAnsi" w:cstheme="majorHAnsi"/>
                <w:color w:val="00264D" w:themeColor="background2"/>
              </w:rPr>
              <w:t>2</w:t>
            </w:r>
          </w:p>
        </w:tc>
        <w:tc>
          <w:tcPr>
            <w:tcW w:w="2750" w:type="dxa"/>
          </w:tcPr>
          <w:p w14:paraId="24AD011A" w14:textId="03B4E906" w:rsidR="00E56481" w:rsidRPr="00496012" w:rsidRDefault="00641398" w:rsidP="00496012">
            <w:pPr>
              <w:pStyle w:val="TableNText"/>
              <w:cnfStyle w:val="000000000000" w:firstRow="0" w:lastRow="0" w:firstColumn="0" w:lastColumn="0" w:oddVBand="0" w:evenVBand="0" w:oddHBand="0" w:evenHBand="0" w:firstRowFirstColumn="0" w:firstRowLastColumn="0" w:lastRowFirstColumn="0" w:lastRowLastColumn="0"/>
              <w:rPr>
                <w:color w:val="00264D" w:themeColor="background2"/>
              </w:rPr>
            </w:pPr>
            <w:r>
              <w:rPr>
                <w:rFonts w:asciiTheme="majorHAnsi" w:hAnsiTheme="majorHAnsi" w:cstheme="majorHAnsi"/>
                <w:color w:val="00264D" w:themeColor="background2"/>
              </w:rPr>
              <w:t>The Department</w:t>
            </w:r>
            <w:r w:rsidR="00E56481" w:rsidRPr="00496012">
              <w:rPr>
                <w:rFonts w:asciiTheme="majorHAnsi" w:hAnsiTheme="majorHAnsi" w:cstheme="majorHAnsi"/>
                <w:color w:val="00264D" w:themeColor="background2"/>
              </w:rPr>
              <w:t xml:space="preserve"> needs to think strategically about how best the Victorian AMHC(s) can interact with the Local and Area Wellbeing </w:t>
            </w:r>
            <w:r w:rsidR="009E3989" w:rsidRPr="00496012">
              <w:rPr>
                <w:rFonts w:asciiTheme="majorHAnsi" w:hAnsiTheme="majorHAnsi" w:cstheme="majorHAnsi"/>
                <w:color w:val="00264D" w:themeColor="background2"/>
              </w:rPr>
              <w:t>hub</w:t>
            </w:r>
            <w:r w:rsidR="00E56481" w:rsidRPr="00496012">
              <w:rPr>
                <w:rFonts w:asciiTheme="majorHAnsi" w:hAnsiTheme="majorHAnsi" w:cstheme="majorHAnsi"/>
                <w:color w:val="00264D" w:themeColor="background2"/>
              </w:rPr>
              <w:t xml:space="preserve">s, and any </w:t>
            </w:r>
            <w:r w:rsidR="00E56481" w:rsidRPr="00496012">
              <w:rPr>
                <w:rFonts w:asciiTheme="majorHAnsi" w:hAnsiTheme="majorHAnsi" w:cstheme="majorHAnsi"/>
                <w:color w:val="00264D" w:themeColor="background2"/>
              </w:rPr>
              <w:lastRenderedPageBreak/>
              <w:t>changes that may be required to the planned roll-out of AMHCs in that jurisdiction</w:t>
            </w:r>
            <w:r w:rsidR="00A21387">
              <w:rPr>
                <w:rFonts w:asciiTheme="majorHAnsi" w:hAnsiTheme="majorHAnsi" w:cstheme="majorHAnsi"/>
                <w:color w:val="00264D" w:themeColor="background2"/>
              </w:rPr>
              <w:t>.</w:t>
            </w:r>
          </w:p>
        </w:tc>
        <w:tc>
          <w:tcPr>
            <w:tcW w:w="5490" w:type="dxa"/>
          </w:tcPr>
          <w:p w14:paraId="1C101039" w14:textId="6F13978D" w:rsidR="00E56481" w:rsidRPr="00FC2E3C" w:rsidRDefault="00E56481" w:rsidP="004F4742">
            <w:pPr>
              <w:pStyle w:val="TableNText"/>
              <w:cnfStyle w:val="000000000000" w:firstRow="0" w:lastRow="0" w:firstColumn="0" w:lastColumn="0" w:oddVBand="0" w:evenVBand="0" w:oddHBand="0" w:evenHBand="0" w:firstRowFirstColumn="0" w:firstRowLastColumn="0" w:lastRowFirstColumn="0" w:lastRowLastColumn="0"/>
            </w:pPr>
            <w:proofErr w:type="spellStart"/>
            <w:r w:rsidRPr="00A21387">
              <w:rPr>
                <w:i/>
              </w:rPr>
              <w:lastRenderedPageBreak/>
              <w:t>HeadtoHelp</w:t>
            </w:r>
            <w:proofErr w:type="spellEnd"/>
            <w:r w:rsidRPr="000D119D">
              <w:t xml:space="preserve"> and AMHCs do not exist in a vacuum and success is linked to wider issues, including the availability and integration of other mental health services. Noting the current state of uncertainty, significant attention still needs to be given by the Victorian AMHC(s) as to how both the existing, and future planned services will interact </w:t>
            </w:r>
            <w:r w:rsidRPr="000D119D">
              <w:lastRenderedPageBreak/>
              <w:t xml:space="preserve">with the proposed local Adult and Older Adult Mental Health and Wellbeing Services and the infant, </w:t>
            </w:r>
            <w:proofErr w:type="gramStart"/>
            <w:r w:rsidRPr="000D119D">
              <w:t>child</w:t>
            </w:r>
            <w:proofErr w:type="gramEnd"/>
            <w:r w:rsidRPr="000D119D">
              <w:t xml:space="preserve"> and family hubs. </w:t>
            </w:r>
          </w:p>
        </w:tc>
      </w:tr>
      <w:tr w:rsidR="00E56481" w:rsidRPr="00141636" w14:paraId="732E1C60" w14:textId="77777777" w:rsidTr="00D8203E">
        <w:tc>
          <w:tcPr>
            <w:cnfStyle w:val="001000000000" w:firstRow="0" w:lastRow="0" w:firstColumn="1" w:lastColumn="0" w:oddVBand="0" w:evenVBand="0" w:oddHBand="0" w:evenHBand="0" w:firstRowFirstColumn="0" w:firstRowLastColumn="0" w:lastRowFirstColumn="0" w:lastRowLastColumn="0"/>
            <w:tcW w:w="634" w:type="dxa"/>
          </w:tcPr>
          <w:p w14:paraId="657E663F" w14:textId="5B94078C" w:rsidR="00E56481" w:rsidRPr="00496012" w:rsidRDefault="00E56481" w:rsidP="00496012">
            <w:pPr>
              <w:pStyle w:val="TableNText"/>
              <w:jc w:val="center"/>
              <w:rPr>
                <w:rFonts w:asciiTheme="majorHAnsi" w:hAnsiTheme="majorHAnsi" w:cstheme="majorHAnsi"/>
                <w:color w:val="00264D" w:themeColor="background2"/>
              </w:rPr>
            </w:pPr>
            <w:r w:rsidRPr="00496012">
              <w:rPr>
                <w:rFonts w:asciiTheme="majorHAnsi" w:hAnsiTheme="majorHAnsi" w:cstheme="majorHAnsi"/>
                <w:color w:val="00264D" w:themeColor="background2"/>
              </w:rPr>
              <w:lastRenderedPageBreak/>
              <w:t>4.3</w:t>
            </w:r>
          </w:p>
        </w:tc>
        <w:tc>
          <w:tcPr>
            <w:tcW w:w="2750" w:type="dxa"/>
          </w:tcPr>
          <w:p w14:paraId="3D257247" w14:textId="264E2F8E" w:rsidR="00E56481" w:rsidRPr="00496012" w:rsidRDefault="00E56481" w:rsidP="00496012">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sidRPr="00496012">
              <w:rPr>
                <w:rFonts w:asciiTheme="majorHAnsi" w:hAnsiTheme="majorHAnsi" w:cstheme="majorHAnsi"/>
                <w:color w:val="00264D" w:themeColor="background2"/>
              </w:rPr>
              <w:t>Future programs should adopt longer minimum contract durations and adequate minimum periods for renewal prior to contract expiry.</w:t>
            </w:r>
          </w:p>
        </w:tc>
        <w:tc>
          <w:tcPr>
            <w:tcW w:w="5490" w:type="dxa"/>
          </w:tcPr>
          <w:p w14:paraId="046B125D" w14:textId="77777777" w:rsidR="00E56481" w:rsidRPr="000D119D" w:rsidRDefault="00E56481" w:rsidP="00E56481">
            <w:pPr>
              <w:pStyle w:val="TableNText"/>
              <w:cnfStyle w:val="000000000000" w:firstRow="0" w:lastRow="0" w:firstColumn="0" w:lastColumn="0" w:oddVBand="0" w:evenVBand="0" w:oddHBand="0" w:evenHBand="0" w:firstRowFirstColumn="0" w:firstRowLastColumn="0" w:lastRowFirstColumn="0" w:lastRowLastColumn="0"/>
            </w:pPr>
            <w:r w:rsidRPr="000D119D">
              <w:t xml:space="preserve">Services need longer minimum contract durations to ensure participants receive safe and high-quality care, and to assist in retention of staff. </w:t>
            </w:r>
          </w:p>
          <w:p w14:paraId="74702C51" w14:textId="77777777" w:rsidR="00E56481" w:rsidRPr="000D119D" w:rsidRDefault="00E56481" w:rsidP="00E56481">
            <w:pPr>
              <w:pStyle w:val="TableNText"/>
              <w:cnfStyle w:val="000000000000" w:firstRow="0" w:lastRow="0" w:firstColumn="0" w:lastColumn="0" w:oddVBand="0" w:evenVBand="0" w:oddHBand="0" w:evenHBand="0" w:firstRowFirstColumn="0" w:firstRowLastColumn="0" w:lastRowFirstColumn="0" w:lastRowLastColumn="0"/>
            </w:pPr>
            <w:r w:rsidRPr="000D119D">
              <w:t>Longer contracts will allow services to remain competitive in a landscape with significant demand for a qualified mental health workforce by providing staff with greater job security.</w:t>
            </w:r>
          </w:p>
          <w:p w14:paraId="1FCE28DF" w14:textId="3A8F1100" w:rsidR="00E56481" w:rsidRPr="000D119D" w:rsidRDefault="00E56481" w:rsidP="00E56481">
            <w:pPr>
              <w:pStyle w:val="TableNText"/>
              <w:cnfStyle w:val="000000000000" w:firstRow="0" w:lastRow="0" w:firstColumn="0" w:lastColumn="0" w:oddVBand="0" w:evenVBand="0" w:oddHBand="0" w:evenHBand="0" w:firstRowFirstColumn="0" w:firstRowLastColumn="0" w:lastRowFirstColumn="0" w:lastRowLastColumn="0"/>
            </w:pPr>
            <w:r w:rsidRPr="000D119D">
              <w:t xml:space="preserve">Longer operating periods give participants much needed consistency in a fragmented mental health system; for example, if they require services for longer periods of time or require additional services </w:t>
            </w:r>
            <w:proofErr w:type="gramStart"/>
            <w:r w:rsidRPr="000D119D">
              <w:t>at a later time</w:t>
            </w:r>
            <w:proofErr w:type="gramEnd"/>
            <w:r w:rsidRPr="000D119D">
              <w:t>.</w:t>
            </w:r>
          </w:p>
          <w:p w14:paraId="609DDD24" w14:textId="5C35D8D5" w:rsidR="00E56481" w:rsidRPr="000D119D" w:rsidRDefault="00E56481" w:rsidP="00E56481">
            <w:pPr>
              <w:pStyle w:val="TableNText"/>
              <w:cnfStyle w:val="000000000000" w:firstRow="0" w:lastRow="0" w:firstColumn="0" w:lastColumn="0" w:oddVBand="0" w:evenVBand="0" w:oddHBand="0" w:evenHBand="0" w:firstRowFirstColumn="0" w:firstRowLastColumn="0" w:lastRowFirstColumn="0" w:lastRowLastColumn="0"/>
            </w:pPr>
            <w:r w:rsidRPr="000D119D">
              <w:t xml:space="preserve">Greater duration and certainty in employment contracts will assist in recruiting and retaining appropriately skilled and experienced staff. Greater stability in staffing will also assist client </w:t>
            </w:r>
            <w:r w:rsidR="00A21387" w:rsidRPr="000D119D">
              <w:t>experience</w:t>
            </w:r>
            <w:r w:rsidRPr="000D119D">
              <w:t xml:space="preserve"> </w:t>
            </w:r>
            <w:r w:rsidR="004F4742">
              <w:t>through</w:t>
            </w:r>
            <w:r w:rsidRPr="000D119D">
              <w:t xml:space="preserve"> stable therapeutic relationships. </w:t>
            </w:r>
          </w:p>
        </w:tc>
      </w:tr>
      <w:tr w:rsidR="00E56481" w:rsidRPr="00141636" w14:paraId="37CC9A76" w14:textId="77777777" w:rsidTr="00D8203E">
        <w:tc>
          <w:tcPr>
            <w:cnfStyle w:val="001000000000" w:firstRow="0" w:lastRow="0" w:firstColumn="1" w:lastColumn="0" w:oddVBand="0" w:evenVBand="0" w:oddHBand="0" w:evenHBand="0" w:firstRowFirstColumn="0" w:firstRowLastColumn="0" w:lastRowFirstColumn="0" w:lastRowLastColumn="0"/>
            <w:tcW w:w="634" w:type="dxa"/>
          </w:tcPr>
          <w:p w14:paraId="4B037560" w14:textId="0D2DEB0D" w:rsidR="00E56481" w:rsidRPr="00496012" w:rsidRDefault="00E56481" w:rsidP="00496012">
            <w:pPr>
              <w:pStyle w:val="TableNText"/>
              <w:jc w:val="center"/>
              <w:rPr>
                <w:rFonts w:asciiTheme="majorHAnsi" w:hAnsiTheme="majorHAnsi" w:cstheme="majorHAnsi"/>
                <w:color w:val="00264D" w:themeColor="background2"/>
              </w:rPr>
            </w:pPr>
            <w:r w:rsidRPr="00496012">
              <w:rPr>
                <w:rFonts w:asciiTheme="majorHAnsi" w:hAnsiTheme="majorHAnsi" w:cstheme="majorHAnsi"/>
                <w:color w:val="00264D" w:themeColor="background2"/>
              </w:rPr>
              <w:t>4.4</w:t>
            </w:r>
          </w:p>
        </w:tc>
        <w:tc>
          <w:tcPr>
            <w:tcW w:w="2750" w:type="dxa"/>
          </w:tcPr>
          <w:p w14:paraId="5EBAD04B" w14:textId="1D36C49C" w:rsidR="00E56481" w:rsidRPr="00496012" w:rsidRDefault="00E56481" w:rsidP="00496012">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sidRPr="00496012">
              <w:rPr>
                <w:rFonts w:asciiTheme="majorHAnsi" w:hAnsiTheme="majorHAnsi" w:cstheme="majorHAnsi"/>
                <w:color w:val="00264D" w:themeColor="background2"/>
              </w:rPr>
              <w:t xml:space="preserve">Future contracts should include </w:t>
            </w:r>
            <w:r w:rsidR="00A621B2">
              <w:rPr>
                <w:rFonts w:asciiTheme="majorHAnsi" w:hAnsiTheme="majorHAnsi" w:cstheme="majorHAnsi"/>
                <w:color w:val="00264D" w:themeColor="background2"/>
              </w:rPr>
              <w:t xml:space="preserve">dedicated </w:t>
            </w:r>
            <w:r w:rsidRPr="00496012">
              <w:rPr>
                <w:rFonts w:asciiTheme="majorHAnsi" w:hAnsiTheme="majorHAnsi" w:cstheme="majorHAnsi"/>
                <w:color w:val="00264D" w:themeColor="background2"/>
              </w:rPr>
              <w:t>resourcing for relationship building, service integration and promotion and clinical governance.</w:t>
            </w:r>
          </w:p>
        </w:tc>
        <w:tc>
          <w:tcPr>
            <w:tcW w:w="5490" w:type="dxa"/>
          </w:tcPr>
          <w:p w14:paraId="3FD5C714" w14:textId="66EB4109" w:rsidR="00E56481" w:rsidRPr="000D119D" w:rsidRDefault="00E56481" w:rsidP="00E56481">
            <w:pPr>
              <w:pStyle w:val="TableNText"/>
              <w:cnfStyle w:val="000000000000" w:firstRow="0" w:lastRow="0" w:firstColumn="0" w:lastColumn="0" w:oddVBand="0" w:evenVBand="0" w:oddHBand="0" w:evenHBand="0" w:firstRowFirstColumn="0" w:firstRowLastColumn="0" w:lastRowFirstColumn="0" w:lastRowLastColumn="0"/>
            </w:pPr>
            <w:r w:rsidRPr="000D119D">
              <w:t xml:space="preserve">Services require relationship building, promotion and clinical governance to be explicitly resourced as part of effective service establishment. </w:t>
            </w:r>
            <w:r w:rsidR="00641398">
              <w:t>The Department</w:t>
            </w:r>
            <w:r w:rsidRPr="000D119D">
              <w:t xml:space="preserve"> should require through its contract terms that </w:t>
            </w:r>
            <w:r w:rsidR="000C13E2">
              <w:t xml:space="preserve">dedicated </w:t>
            </w:r>
            <w:r w:rsidRPr="000D119D">
              <w:t>resources</w:t>
            </w:r>
            <w:r w:rsidR="000C13E2">
              <w:t>/roles</w:t>
            </w:r>
            <w:r w:rsidRPr="000D119D">
              <w:t xml:space="preserve"> are allocated for driving and maintaining service integration process</w:t>
            </w:r>
            <w:r w:rsidR="000C13E2">
              <w:t xml:space="preserve"> and that there is explicit funding allocated to this role</w:t>
            </w:r>
            <w:r w:rsidR="00E80A8F">
              <w:t xml:space="preserve"> </w:t>
            </w:r>
            <w:r w:rsidR="00D01C93">
              <w:t>(</w:t>
            </w:r>
            <w:r w:rsidR="00710EE7">
              <w:t>for example</w:t>
            </w:r>
            <w:r w:rsidRPr="000D119D">
              <w:t xml:space="preserve"> a nominated AMHC contact for other services</w:t>
            </w:r>
            <w:r w:rsidR="00710EE7">
              <w:t xml:space="preserve"> who can act </w:t>
            </w:r>
            <w:r w:rsidRPr="000D119D">
              <w:t>a consistent representative at service integration discussions)</w:t>
            </w:r>
            <w:r w:rsidR="004F4742">
              <w:t>.</w:t>
            </w:r>
            <w:r w:rsidRPr="000D119D">
              <w:t xml:space="preserve"> </w:t>
            </w:r>
          </w:p>
        </w:tc>
      </w:tr>
      <w:tr w:rsidR="00E56481" w:rsidRPr="00141636" w14:paraId="402A0C09" w14:textId="77777777" w:rsidTr="00D8203E">
        <w:tc>
          <w:tcPr>
            <w:cnfStyle w:val="001000000000" w:firstRow="0" w:lastRow="0" w:firstColumn="1" w:lastColumn="0" w:oddVBand="0" w:evenVBand="0" w:oddHBand="0" w:evenHBand="0" w:firstRowFirstColumn="0" w:firstRowLastColumn="0" w:lastRowFirstColumn="0" w:lastRowLastColumn="0"/>
            <w:tcW w:w="634" w:type="dxa"/>
          </w:tcPr>
          <w:p w14:paraId="3BFCB4EF" w14:textId="698E1C6B" w:rsidR="00E56481" w:rsidRPr="00496012" w:rsidRDefault="00E56481" w:rsidP="00496012">
            <w:pPr>
              <w:pStyle w:val="TableNText"/>
              <w:jc w:val="center"/>
              <w:rPr>
                <w:rFonts w:asciiTheme="majorHAnsi" w:hAnsiTheme="majorHAnsi" w:cstheme="majorHAnsi"/>
                <w:color w:val="00264D" w:themeColor="background2"/>
              </w:rPr>
            </w:pPr>
            <w:r w:rsidRPr="00496012">
              <w:rPr>
                <w:rFonts w:asciiTheme="majorHAnsi" w:hAnsiTheme="majorHAnsi" w:cstheme="majorHAnsi"/>
                <w:color w:val="00264D" w:themeColor="background2"/>
              </w:rPr>
              <w:t>4.5</w:t>
            </w:r>
          </w:p>
        </w:tc>
        <w:tc>
          <w:tcPr>
            <w:tcW w:w="2750" w:type="dxa"/>
          </w:tcPr>
          <w:p w14:paraId="68B6096B" w14:textId="4DBE8EF3" w:rsidR="00E56481" w:rsidRPr="00496012" w:rsidRDefault="00E56481" w:rsidP="00496012">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sidRPr="00496012">
              <w:rPr>
                <w:rFonts w:asciiTheme="majorHAnsi" w:hAnsiTheme="majorHAnsi" w:cstheme="majorHAnsi"/>
                <w:color w:val="00264D" w:themeColor="background2"/>
              </w:rPr>
              <w:t xml:space="preserve">Future AMHC locations should be planned in collaboration with </w:t>
            </w:r>
            <w:r w:rsidR="004F4742" w:rsidRPr="00496012">
              <w:rPr>
                <w:rFonts w:asciiTheme="majorHAnsi" w:hAnsiTheme="majorHAnsi" w:cstheme="majorHAnsi"/>
                <w:color w:val="00264D" w:themeColor="background2"/>
              </w:rPr>
              <w:t>state health department</w:t>
            </w:r>
            <w:r w:rsidRPr="00496012">
              <w:rPr>
                <w:rFonts w:asciiTheme="majorHAnsi" w:hAnsiTheme="majorHAnsi" w:cstheme="majorHAnsi"/>
                <w:color w:val="00264D" w:themeColor="background2"/>
              </w:rPr>
              <w:t>s</w:t>
            </w:r>
            <w:r w:rsidR="004F4742">
              <w:rPr>
                <w:rFonts w:asciiTheme="majorHAnsi" w:hAnsiTheme="majorHAnsi" w:cstheme="majorHAnsi"/>
                <w:color w:val="00264D" w:themeColor="background2"/>
              </w:rPr>
              <w:t>.</w:t>
            </w:r>
          </w:p>
        </w:tc>
        <w:tc>
          <w:tcPr>
            <w:tcW w:w="5490" w:type="dxa"/>
          </w:tcPr>
          <w:p w14:paraId="2721C9A9" w14:textId="4894CD54" w:rsidR="00E56481" w:rsidRPr="000D119D" w:rsidRDefault="00E56481" w:rsidP="00E56481">
            <w:pPr>
              <w:pStyle w:val="TableNText"/>
              <w:cnfStyle w:val="000000000000" w:firstRow="0" w:lastRow="0" w:firstColumn="0" w:lastColumn="0" w:oddVBand="0" w:evenVBand="0" w:oddHBand="0" w:evenHBand="0" w:firstRowFirstColumn="0" w:firstRowLastColumn="0" w:lastRowFirstColumn="0" w:lastRowLastColumn="0"/>
            </w:pPr>
            <w:r w:rsidRPr="000D119D">
              <w:t xml:space="preserve">To ensure that AMHCs are </w:t>
            </w:r>
            <w:proofErr w:type="gramStart"/>
            <w:r w:rsidRPr="000D119D">
              <w:t>being located in</w:t>
            </w:r>
            <w:proofErr w:type="gramEnd"/>
            <w:r w:rsidRPr="000D119D">
              <w:t xml:space="preserve"> regions where they will provide the most benefit, and to foster collaboration and productive relationships between the Commonwealth and </w:t>
            </w:r>
            <w:r w:rsidR="004F4742" w:rsidRPr="004F4742">
              <w:t>state govern</w:t>
            </w:r>
            <w:r w:rsidRPr="004F4742">
              <w:t>ments</w:t>
            </w:r>
            <w:r w:rsidRPr="000D119D">
              <w:t xml:space="preserve">, the </w:t>
            </w:r>
            <w:r w:rsidR="00641398">
              <w:t>Department</w:t>
            </w:r>
            <w:r w:rsidRPr="000D119D">
              <w:t xml:space="preserve"> should consult </w:t>
            </w:r>
            <w:r w:rsidR="004F4742" w:rsidRPr="004F4742">
              <w:t>state health departm</w:t>
            </w:r>
            <w:r w:rsidRPr="004F4742">
              <w:t>ents</w:t>
            </w:r>
            <w:r w:rsidRPr="000D119D">
              <w:t xml:space="preserve"> when deciding on locations for AMHCs. This can be done through PHNs, who </w:t>
            </w:r>
            <w:r w:rsidR="00641398">
              <w:t>the Department</w:t>
            </w:r>
            <w:r w:rsidRPr="000D119D">
              <w:t xml:space="preserve"> should hold accountable for collaborating with </w:t>
            </w:r>
            <w:r w:rsidR="004F4742" w:rsidRPr="004F4742">
              <w:t xml:space="preserve">state health departments. </w:t>
            </w:r>
            <w:r w:rsidRPr="000D119D">
              <w:br/>
              <w:t>The identification of future AMHC locations should be based on evidence of need (</w:t>
            </w:r>
            <w:r w:rsidR="004F4742" w:rsidRPr="004F4742">
              <w:t>e.g.,</w:t>
            </w:r>
            <w:r w:rsidRPr="000D119D">
              <w:t xml:space="preserve"> using the National Mental Health services Planning Framework).</w:t>
            </w:r>
          </w:p>
        </w:tc>
      </w:tr>
      <w:tr w:rsidR="00663E45" w:rsidRPr="00141636" w14:paraId="6300279E" w14:textId="77777777" w:rsidTr="00D8203E">
        <w:tc>
          <w:tcPr>
            <w:cnfStyle w:val="001000000000" w:firstRow="0" w:lastRow="0" w:firstColumn="1" w:lastColumn="0" w:oddVBand="0" w:evenVBand="0" w:oddHBand="0" w:evenHBand="0" w:firstRowFirstColumn="0" w:firstRowLastColumn="0" w:lastRowFirstColumn="0" w:lastRowLastColumn="0"/>
            <w:tcW w:w="634" w:type="dxa"/>
          </w:tcPr>
          <w:p w14:paraId="65010D95" w14:textId="02A51E0F" w:rsidR="00663E45" w:rsidRPr="00496012" w:rsidRDefault="00663E45" w:rsidP="00496012">
            <w:pPr>
              <w:pStyle w:val="TableNText"/>
              <w:jc w:val="center"/>
              <w:rPr>
                <w:rFonts w:asciiTheme="majorHAnsi" w:hAnsiTheme="majorHAnsi" w:cstheme="majorHAnsi"/>
                <w:color w:val="00264D" w:themeColor="background2"/>
              </w:rPr>
            </w:pPr>
            <w:r>
              <w:rPr>
                <w:rFonts w:asciiTheme="majorHAnsi" w:hAnsiTheme="majorHAnsi" w:cstheme="majorHAnsi"/>
                <w:color w:val="00264D" w:themeColor="background2"/>
              </w:rPr>
              <w:t xml:space="preserve">4.6 </w:t>
            </w:r>
          </w:p>
        </w:tc>
        <w:tc>
          <w:tcPr>
            <w:tcW w:w="2750" w:type="dxa"/>
          </w:tcPr>
          <w:p w14:paraId="7472EB29" w14:textId="5E78511C" w:rsidR="00663E45" w:rsidRPr="00496012" w:rsidRDefault="00ED111F" w:rsidP="00496012">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64D" w:themeColor="background2"/>
              </w:rPr>
            </w:pPr>
            <w:r>
              <w:rPr>
                <w:rFonts w:asciiTheme="majorHAnsi" w:hAnsiTheme="majorHAnsi" w:cstheme="majorHAnsi"/>
                <w:color w:val="00264D" w:themeColor="background2"/>
              </w:rPr>
              <w:t xml:space="preserve">Realise opportunity to inform </w:t>
            </w:r>
            <w:r w:rsidR="005B4E57">
              <w:rPr>
                <w:rFonts w:asciiTheme="majorHAnsi" w:hAnsiTheme="majorHAnsi" w:cstheme="majorHAnsi"/>
                <w:color w:val="00264D" w:themeColor="background2"/>
              </w:rPr>
              <w:t xml:space="preserve">mental health service </w:t>
            </w:r>
            <w:r>
              <w:rPr>
                <w:rFonts w:asciiTheme="majorHAnsi" w:hAnsiTheme="majorHAnsi" w:cstheme="majorHAnsi"/>
                <w:color w:val="00264D" w:themeColor="background2"/>
              </w:rPr>
              <w:t>system design through data</w:t>
            </w:r>
            <w:r w:rsidR="00A412B7">
              <w:rPr>
                <w:rFonts w:asciiTheme="majorHAnsi" w:hAnsiTheme="majorHAnsi" w:cstheme="majorHAnsi"/>
                <w:color w:val="00264D" w:themeColor="background2"/>
              </w:rPr>
              <w:t>.</w:t>
            </w:r>
          </w:p>
        </w:tc>
        <w:tc>
          <w:tcPr>
            <w:tcW w:w="5490" w:type="dxa"/>
          </w:tcPr>
          <w:p w14:paraId="77B48285" w14:textId="01EA9593" w:rsidR="00663E45" w:rsidRPr="000D119D" w:rsidRDefault="00C655F4" w:rsidP="00E56481">
            <w:pPr>
              <w:pStyle w:val="TableNText"/>
              <w:cnfStyle w:val="000000000000" w:firstRow="0" w:lastRow="0" w:firstColumn="0" w:lastColumn="0" w:oddVBand="0" w:evenVBand="0" w:oddHBand="0" w:evenHBand="0" w:firstRowFirstColumn="0" w:firstRowLastColumn="0" w:lastRowFirstColumn="0" w:lastRowLastColumn="0"/>
            </w:pPr>
            <w:r>
              <w:t xml:space="preserve">Data that </w:t>
            </w:r>
            <w:r w:rsidR="00D53263">
              <w:t xml:space="preserve">collected through the PHMC-MDS </w:t>
            </w:r>
            <w:r>
              <w:t>brings</w:t>
            </w:r>
            <w:r w:rsidR="00897189">
              <w:t xml:space="preserve"> an important opportunity to better inform system design and </w:t>
            </w:r>
            <w:r w:rsidR="009D5CA5">
              <w:t>identify areas of priority for investment in new and/or expanded services</w:t>
            </w:r>
            <w:r w:rsidR="00897189">
              <w:t xml:space="preserve">. </w:t>
            </w:r>
            <w:r w:rsidR="008F62BF">
              <w:t>This is a level of granularity of the client journey that has</w:t>
            </w:r>
            <w:r w:rsidR="00296E98">
              <w:t xml:space="preserve"> not previously been examined. By monitoring and analysing data </w:t>
            </w:r>
            <w:r w:rsidR="009D5CA5">
              <w:t>including</w:t>
            </w:r>
            <w:r w:rsidR="00663E45">
              <w:t xml:space="preserve"> </w:t>
            </w:r>
            <w:r w:rsidR="00296E98">
              <w:t>referral destinations, capacity (e</w:t>
            </w:r>
            <w:r w:rsidR="00A412B7">
              <w:t>.</w:t>
            </w:r>
            <w:r w:rsidR="00296E98">
              <w:t>g.</w:t>
            </w:r>
            <w:r w:rsidR="00A412B7">
              <w:t>,</w:t>
            </w:r>
            <w:r w:rsidR="00296E98">
              <w:t xml:space="preserve"> wait times</w:t>
            </w:r>
            <w:r w:rsidR="009D5CA5">
              <w:t>, number of service contacts, episode length</w:t>
            </w:r>
            <w:r w:rsidR="00296E98">
              <w:t>)</w:t>
            </w:r>
            <w:r w:rsidR="009D5CA5">
              <w:t xml:space="preserve">, and </w:t>
            </w:r>
            <w:r w:rsidR="00296E98">
              <w:t>referral uptake</w:t>
            </w:r>
            <w:r w:rsidR="009D5CA5">
              <w:t>, the analysis will identify blockages in the journey that could suggest long term areas of need in the service expansion or new service development. In addition</w:t>
            </w:r>
            <w:r w:rsidR="004C763E">
              <w:t>,</w:t>
            </w:r>
            <w:r w:rsidR="009D5CA5">
              <w:t xml:space="preserve"> monitoring of return clients, will enable a deeper</w:t>
            </w:r>
            <w:r w:rsidR="009D5CA5" w:rsidRPr="009D5CA5">
              <w:t xml:space="preserve"> understand</w:t>
            </w:r>
            <w:r w:rsidR="009D5CA5">
              <w:t>ing of</w:t>
            </w:r>
            <w:r w:rsidR="009D5CA5" w:rsidRPr="009D5CA5">
              <w:t xml:space="preserve"> what referrals these people are needing but not getting due to service constraints.</w:t>
            </w:r>
          </w:p>
        </w:tc>
      </w:tr>
      <w:bookmarkEnd w:id="161"/>
      <w:bookmarkEnd w:id="162"/>
    </w:tbl>
    <w:p w14:paraId="09E5EA92" w14:textId="0DD1831C" w:rsidR="008D1054" w:rsidRPr="000D119D" w:rsidRDefault="008D1054" w:rsidP="00EB16D6">
      <w:pPr>
        <w:rPr>
          <w:lang w:val="en-AU" w:eastAsia="en-AU"/>
        </w:rPr>
        <w:sectPr w:rsidR="008D1054" w:rsidRPr="000D119D" w:rsidSect="009B6205">
          <w:footerReference w:type="default" r:id="rId68"/>
          <w:pgSz w:w="11907" w:h="16839" w:code="9"/>
          <w:pgMar w:top="1135" w:right="1418" w:bottom="1276" w:left="1559" w:header="720" w:footer="720" w:gutter="0"/>
          <w:pgNumType w:start="1"/>
          <w:cols w:space="720"/>
          <w:docGrid w:linePitch="360"/>
        </w:sectPr>
      </w:pPr>
    </w:p>
    <w:p w14:paraId="25C18614" w14:textId="1184FD22" w:rsidR="00571113" w:rsidRDefault="00700C9D" w:rsidP="00700C9D">
      <w:pPr>
        <w:pStyle w:val="Heading1"/>
        <w:numPr>
          <w:ilvl w:val="0"/>
          <w:numId w:val="0"/>
        </w:numPr>
        <w:ind w:left="360" w:hanging="360"/>
      </w:pPr>
      <w:bookmarkStart w:id="163" w:name="_Appendices"/>
      <w:bookmarkStart w:id="164" w:name="_Toc99650378"/>
      <w:bookmarkEnd w:id="163"/>
      <w:r>
        <w:lastRenderedPageBreak/>
        <w:t>Appendices</w:t>
      </w:r>
      <w:bookmarkEnd w:id="164"/>
    </w:p>
    <w:p w14:paraId="23E69324" w14:textId="5E581E46" w:rsidR="00700C9D" w:rsidRPr="00700C9D" w:rsidRDefault="00EB19CA" w:rsidP="00700C9D">
      <w:pPr>
        <w:rPr>
          <w:lang w:val="en-AU" w:eastAsia="en-AU"/>
        </w:rPr>
      </w:pPr>
      <w:r>
        <w:rPr>
          <w:lang w:val="en-AU" w:eastAsia="en-AU"/>
        </w:rPr>
        <w:t xml:space="preserve">The Full Appendices are contained in a companion document: </w:t>
      </w:r>
      <w:proofErr w:type="spellStart"/>
      <w:r w:rsidRPr="00D8203E">
        <w:rPr>
          <w:rStyle w:val="Emphasis"/>
        </w:rPr>
        <w:t>HeadtoHelp</w:t>
      </w:r>
      <w:proofErr w:type="spellEnd"/>
      <w:r>
        <w:rPr>
          <w:i/>
          <w:iCs/>
          <w:lang w:val="en-AU" w:eastAsia="en-AU"/>
        </w:rPr>
        <w:t xml:space="preserve"> </w:t>
      </w:r>
      <w:r>
        <w:rPr>
          <w:lang w:val="en-AU" w:eastAsia="en-AU"/>
        </w:rPr>
        <w:t>and AMHCs Final Evaluation Report: Appendices.</w:t>
      </w:r>
    </w:p>
    <w:p w14:paraId="43DBCFEE" w14:textId="7F1C725D" w:rsidR="00EB19CA" w:rsidRDefault="00EB19CA" w:rsidP="00700C9D">
      <w:pPr>
        <w:rPr>
          <w:lang w:val="en-AU" w:eastAsia="en-AU"/>
        </w:rPr>
      </w:pPr>
      <w:r>
        <w:rPr>
          <w:lang w:val="en-AU" w:eastAsia="en-AU"/>
        </w:rPr>
        <w:t>Appendices included are as follows:</w:t>
      </w:r>
    </w:p>
    <w:p w14:paraId="16C5BCAE" w14:textId="7F1C725D" w:rsidR="00571113" w:rsidRDefault="00EF4039" w:rsidP="00700C9D">
      <w:pPr>
        <w:rPr>
          <w:lang w:val="en-AU" w:eastAsia="en-AU"/>
        </w:rPr>
      </w:pPr>
      <w:r w:rsidRPr="00736FE7">
        <w:rPr>
          <w:b/>
          <w:lang w:val="en-AU" w:eastAsia="en-AU"/>
        </w:rPr>
        <w:t>Appendix A</w:t>
      </w:r>
      <w:r>
        <w:rPr>
          <w:lang w:val="en-AU" w:eastAsia="en-AU"/>
        </w:rPr>
        <w:t xml:space="preserve">: </w:t>
      </w:r>
      <w:proofErr w:type="spellStart"/>
      <w:r w:rsidRPr="00D8203E">
        <w:rPr>
          <w:rStyle w:val="Emphasis"/>
        </w:rPr>
        <w:t>HeadtoHelp</w:t>
      </w:r>
      <w:proofErr w:type="spellEnd"/>
      <w:r>
        <w:rPr>
          <w:lang w:val="en-AU" w:eastAsia="en-AU"/>
        </w:rPr>
        <w:t xml:space="preserve"> Service Pathway</w:t>
      </w:r>
    </w:p>
    <w:p w14:paraId="4DA79FA9" w14:textId="4E4C7417" w:rsidR="00EF4039" w:rsidRDefault="00EF4039" w:rsidP="00700C9D">
      <w:pPr>
        <w:rPr>
          <w:lang w:val="en-AU" w:eastAsia="en-AU"/>
        </w:rPr>
      </w:pPr>
      <w:r w:rsidRPr="00736FE7">
        <w:rPr>
          <w:b/>
          <w:lang w:val="en-AU" w:eastAsia="en-AU"/>
        </w:rPr>
        <w:t>Appendix B</w:t>
      </w:r>
      <w:r>
        <w:rPr>
          <w:lang w:val="en-AU" w:eastAsia="en-AU"/>
        </w:rPr>
        <w:t>: KEQ</w:t>
      </w:r>
      <w:r w:rsidR="00851A86">
        <w:rPr>
          <w:lang w:val="en-AU" w:eastAsia="en-AU"/>
        </w:rPr>
        <w:t>s</w:t>
      </w:r>
    </w:p>
    <w:p w14:paraId="53631ACB" w14:textId="0683A113" w:rsidR="00851A86" w:rsidRDefault="00851A86" w:rsidP="00700C9D">
      <w:pPr>
        <w:rPr>
          <w:lang w:val="en-AU" w:eastAsia="en-AU"/>
        </w:rPr>
      </w:pPr>
      <w:r>
        <w:rPr>
          <w:lang w:val="en-AU" w:eastAsia="en-AU"/>
        </w:rPr>
        <w:tab/>
      </w:r>
      <w:r w:rsidRPr="00736FE7">
        <w:rPr>
          <w:b/>
          <w:lang w:val="en-AU" w:eastAsia="en-AU"/>
        </w:rPr>
        <w:t>7.1</w:t>
      </w:r>
      <w:r>
        <w:rPr>
          <w:lang w:val="en-AU" w:eastAsia="en-AU"/>
        </w:rPr>
        <w:t xml:space="preserve"> Part A KEQs</w:t>
      </w:r>
    </w:p>
    <w:p w14:paraId="299FD5D3" w14:textId="463D398D" w:rsidR="00851A86" w:rsidRDefault="00851A86" w:rsidP="00700C9D">
      <w:pPr>
        <w:rPr>
          <w:lang w:val="en-AU" w:eastAsia="en-AU"/>
        </w:rPr>
      </w:pPr>
      <w:r>
        <w:rPr>
          <w:lang w:val="en-AU" w:eastAsia="en-AU"/>
        </w:rPr>
        <w:tab/>
      </w:r>
      <w:r w:rsidRPr="00736FE7">
        <w:rPr>
          <w:b/>
          <w:lang w:val="en-AU" w:eastAsia="en-AU"/>
        </w:rPr>
        <w:t>7.2</w:t>
      </w:r>
      <w:r>
        <w:rPr>
          <w:lang w:val="en-AU" w:eastAsia="en-AU"/>
        </w:rPr>
        <w:t xml:space="preserve"> Part B KEQs</w:t>
      </w:r>
    </w:p>
    <w:p w14:paraId="61EFC60F" w14:textId="58105A4E" w:rsidR="00851A86" w:rsidRDefault="00851A86" w:rsidP="00700C9D">
      <w:pPr>
        <w:rPr>
          <w:lang w:val="en-AU" w:eastAsia="en-AU"/>
        </w:rPr>
      </w:pPr>
      <w:r w:rsidRPr="00736FE7">
        <w:rPr>
          <w:b/>
          <w:lang w:val="en-AU" w:eastAsia="en-AU"/>
        </w:rPr>
        <w:t>Appendix C</w:t>
      </w:r>
      <w:r>
        <w:rPr>
          <w:lang w:val="en-AU" w:eastAsia="en-AU"/>
        </w:rPr>
        <w:t>: Program logics</w:t>
      </w:r>
    </w:p>
    <w:p w14:paraId="7796BB6D" w14:textId="561D5106" w:rsidR="00851A86" w:rsidRDefault="000C6895" w:rsidP="00700C9D">
      <w:pPr>
        <w:rPr>
          <w:lang w:val="en-AU" w:eastAsia="en-AU"/>
        </w:rPr>
      </w:pPr>
      <w:r>
        <w:rPr>
          <w:lang w:val="en-AU" w:eastAsia="en-AU"/>
        </w:rPr>
        <w:tab/>
      </w:r>
      <w:r w:rsidRPr="00736FE7">
        <w:rPr>
          <w:b/>
          <w:lang w:val="en-AU" w:eastAsia="en-AU"/>
        </w:rPr>
        <w:t>7.3</w:t>
      </w:r>
      <w:r>
        <w:rPr>
          <w:lang w:val="en-AU" w:eastAsia="en-AU"/>
        </w:rPr>
        <w:t xml:space="preserve"> </w:t>
      </w:r>
      <w:proofErr w:type="spellStart"/>
      <w:r w:rsidRPr="00D8203E">
        <w:rPr>
          <w:rStyle w:val="Emphasis"/>
        </w:rPr>
        <w:t>HeadtoHelp</w:t>
      </w:r>
      <w:proofErr w:type="spellEnd"/>
      <w:r>
        <w:rPr>
          <w:lang w:val="en-AU" w:eastAsia="en-AU"/>
        </w:rPr>
        <w:t xml:space="preserve"> program logic</w:t>
      </w:r>
    </w:p>
    <w:p w14:paraId="5D252C17" w14:textId="561D5106" w:rsidR="000C6895" w:rsidRDefault="000C6895" w:rsidP="00700C9D">
      <w:pPr>
        <w:rPr>
          <w:lang w:val="en-AU" w:eastAsia="en-AU"/>
        </w:rPr>
      </w:pPr>
      <w:r>
        <w:rPr>
          <w:lang w:val="en-AU" w:eastAsia="en-AU"/>
        </w:rPr>
        <w:tab/>
      </w:r>
      <w:r w:rsidR="00C10071" w:rsidRPr="00736FE7">
        <w:rPr>
          <w:b/>
          <w:lang w:val="en-AU" w:eastAsia="en-AU"/>
        </w:rPr>
        <w:t>7.4</w:t>
      </w:r>
      <w:r w:rsidR="00C10071">
        <w:rPr>
          <w:lang w:val="en-AU" w:eastAsia="en-AU"/>
        </w:rPr>
        <w:t xml:space="preserve"> AMHCs program logic</w:t>
      </w:r>
    </w:p>
    <w:p w14:paraId="2D85A626" w14:textId="1615814A" w:rsidR="00C10071" w:rsidRDefault="00C10071" w:rsidP="00700C9D">
      <w:pPr>
        <w:rPr>
          <w:lang w:val="en-AU" w:eastAsia="en-AU"/>
        </w:rPr>
      </w:pPr>
      <w:r w:rsidRPr="00736FE7">
        <w:rPr>
          <w:b/>
          <w:lang w:val="en-AU" w:eastAsia="en-AU"/>
        </w:rPr>
        <w:t>Appendix D</w:t>
      </w:r>
      <w:r>
        <w:rPr>
          <w:lang w:val="en-AU" w:eastAsia="en-AU"/>
        </w:rPr>
        <w:t>: Data ecosystem</w:t>
      </w:r>
    </w:p>
    <w:p w14:paraId="72F0EE09" w14:textId="3A30CE88" w:rsidR="00C10071" w:rsidRDefault="00C10071" w:rsidP="00700C9D">
      <w:pPr>
        <w:rPr>
          <w:lang w:val="en-AU" w:eastAsia="en-AU"/>
        </w:rPr>
      </w:pPr>
      <w:r w:rsidRPr="00736FE7">
        <w:rPr>
          <w:b/>
          <w:lang w:val="en-AU" w:eastAsia="en-AU"/>
        </w:rPr>
        <w:t>Appendix E</w:t>
      </w:r>
      <w:r>
        <w:rPr>
          <w:lang w:val="en-AU" w:eastAsia="en-AU"/>
        </w:rPr>
        <w:t>: Detailed methodology</w:t>
      </w:r>
    </w:p>
    <w:p w14:paraId="014861CD" w14:textId="3A30CE88" w:rsidR="009E4355" w:rsidRDefault="009E4355" w:rsidP="00700C9D">
      <w:pPr>
        <w:rPr>
          <w:lang w:val="en-AU" w:eastAsia="en-AU"/>
        </w:rPr>
      </w:pPr>
      <w:r>
        <w:rPr>
          <w:lang w:val="en-AU" w:eastAsia="en-AU"/>
        </w:rPr>
        <w:tab/>
      </w:r>
      <w:r w:rsidRPr="00736FE7">
        <w:rPr>
          <w:b/>
          <w:lang w:val="en-AU" w:eastAsia="en-AU"/>
        </w:rPr>
        <w:t>7.5</w:t>
      </w:r>
      <w:r>
        <w:rPr>
          <w:lang w:val="en-AU" w:eastAsia="en-AU"/>
        </w:rPr>
        <w:t xml:space="preserve"> Progra</w:t>
      </w:r>
      <w:r w:rsidR="00A26D46">
        <w:rPr>
          <w:lang w:val="en-AU" w:eastAsia="en-AU"/>
        </w:rPr>
        <w:t>m theory</w:t>
      </w:r>
    </w:p>
    <w:p w14:paraId="4D97C379" w14:textId="58B2CC4F" w:rsidR="00A26D46" w:rsidRDefault="00A26D46" w:rsidP="00700C9D">
      <w:pPr>
        <w:rPr>
          <w:lang w:val="en-AU" w:eastAsia="en-AU"/>
        </w:rPr>
      </w:pPr>
      <w:r>
        <w:rPr>
          <w:lang w:val="en-AU" w:eastAsia="en-AU"/>
        </w:rPr>
        <w:tab/>
      </w:r>
      <w:r w:rsidRPr="00736FE7">
        <w:rPr>
          <w:b/>
          <w:lang w:val="en-AU" w:eastAsia="en-AU"/>
        </w:rPr>
        <w:t>7.6</w:t>
      </w:r>
      <w:r>
        <w:rPr>
          <w:lang w:val="en-AU" w:eastAsia="en-AU"/>
        </w:rPr>
        <w:t xml:space="preserve"> Data collection and analysis</w:t>
      </w:r>
    </w:p>
    <w:p w14:paraId="7A4B0CDB" w14:textId="25FD0C3E" w:rsidR="00A26D46" w:rsidRDefault="00A26D46" w:rsidP="00700C9D">
      <w:pPr>
        <w:rPr>
          <w:lang w:val="en-AU" w:eastAsia="en-AU"/>
        </w:rPr>
      </w:pPr>
      <w:r>
        <w:rPr>
          <w:lang w:val="en-AU" w:eastAsia="en-AU"/>
        </w:rPr>
        <w:tab/>
      </w:r>
      <w:r w:rsidRPr="00736FE7">
        <w:rPr>
          <w:b/>
          <w:lang w:val="en-AU" w:eastAsia="en-AU"/>
        </w:rPr>
        <w:t>7.7</w:t>
      </w:r>
      <w:r>
        <w:rPr>
          <w:lang w:val="en-AU" w:eastAsia="en-AU"/>
        </w:rPr>
        <w:t xml:space="preserve"> Data sources</w:t>
      </w:r>
    </w:p>
    <w:p w14:paraId="5486E747" w14:textId="410AE259" w:rsidR="00A26D46" w:rsidRDefault="00A26D46" w:rsidP="00700C9D">
      <w:pPr>
        <w:rPr>
          <w:lang w:val="en-AU" w:eastAsia="en-AU"/>
        </w:rPr>
      </w:pPr>
      <w:r>
        <w:rPr>
          <w:lang w:val="en-AU" w:eastAsia="en-AU"/>
        </w:rPr>
        <w:tab/>
      </w:r>
      <w:r w:rsidRPr="00736FE7">
        <w:rPr>
          <w:b/>
          <w:lang w:val="en-AU" w:eastAsia="en-AU"/>
        </w:rPr>
        <w:t>7.8</w:t>
      </w:r>
      <w:r>
        <w:rPr>
          <w:lang w:val="en-AU" w:eastAsia="en-AU"/>
        </w:rPr>
        <w:t xml:space="preserve"> Primary sources</w:t>
      </w:r>
    </w:p>
    <w:p w14:paraId="0F58A8F2" w14:textId="72F4B3BD" w:rsidR="00A26D46" w:rsidRDefault="00A26D46" w:rsidP="00700C9D">
      <w:pPr>
        <w:rPr>
          <w:lang w:val="en-AU" w:eastAsia="en-AU"/>
        </w:rPr>
      </w:pPr>
      <w:r>
        <w:rPr>
          <w:lang w:val="en-AU" w:eastAsia="en-AU"/>
        </w:rPr>
        <w:tab/>
      </w:r>
      <w:r>
        <w:rPr>
          <w:lang w:val="en-AU" w:eastAsia="en-AU"/>
        </w:rPr>
        <w:tab/>
      </w:r>
      <w:r w:rsidRPr="00736FE7">
        <w:rPr>
          <w:b/>
          <w:lang w:val="en-AU" w:eastAsia="en-AU"/>
        </w:rPr>
        <w:t>E.1.1</w:t>
      </w:r>
      <w:r>
        <w:rPr>
          <w:lang w:val="en-AU" w:eastAsia="en-AU"/>
        </w:rPr>
        <w:t xml:space="preserve"> </w:t>
      </w:r>
      <w:proofErr w:type="spellStart"/>
      <w:r w:rsidRPr="00D8203E">
        <w:rPr>
          <w:rStyle w:val="Emphasis"/>
        </w:rPr>
        <w:t>HeadtoHelp</w:t>
      </w:r>
      <w:proofErr w:type="spellEnd"/>
      <w:r>
        <w:rPr>
          <w:i/>
          <w:iCs/>
          <w:lang w:val="en-AU" w:eastAsia="en-AU"/>
        </w:rPr>
        <w:t xml:space="preserve"> </w:t>
      </w:r>
      <w:r>
        <w:rPr>
          <w:lang w:val="en-AU" w:eastAsia="en-AU"/>
        </w:rPr>
        <w:t>sources</w:t>
      </w:r>
    </w:p>
    <w:p w14:paraId="1153F43E" w14:textId="2FF26A5C" w:rsidR="00A26D46" w:rsidRDefault="00A26D46" w:rsidP="00700C9D">
      <w:pPr>
        <w:rPr>
          <w:lang w:val="en-AU" w:eastAsia="en-AU"/>
        </w:rPr>
      </w:pPr>
      <w:r>
        <w:rPr>
          <w:lang w:val="en-AU" w:eastAsia="en-AU"/>
        </w:rPr>
        <w:tab/>
      </w:r>
      <w:r>
        <w:rPr>
          <w:lang w:val="en-AU" w:eastAsia="en-AU"/>
        </w:rPr>
        <w:tab/>
      </w:r>
      <w:r w:rsidRPr="00736FE7">
        <w:rPr>
          <w:b/>
          <w:lang w:val="en-AU" w:eastAsia="en-AU"/>
        </w:rPr>
        <w:t>E.1.2</w:t>
      </w:r>
      <w:r>
        <w:rPr>
          <w:lang w:val="en-AU" w:eastAsia="en-AU"/>
        </w:rPr>
        <w:t xml:space="preserve"> AMHCs sources</w:t>
      </w:r>
    </w:p>
    <w:p w14:paraId="3FD57AE0" w14:textId="2FF26A5C" w:rsidR="00A26D46" w:rsidRDefault="00A26D46" w:rsidP="00700C9D">
      <w:pPr>
        <w:rPr>
          <w:lang w:val="en-AU" w:eastAsia="en-AU"/>
        </w:rPr>
      </w:pPr>
      <w:r>
        <w:rPr>
          <w:lang w:val="en-AU" w:eastAsia="en-AU"/>
        </w:rPr>
        <w:tab/>
      </w:r>
      <w:r w:rsidRPr="00736FE7">
        <w:rPr>
          <w:b/>
          <w:lang w:val="en-AU" w:eastAsia="en-AU"/>
        </w:rPr>
        <w:t>7.9</w:t>
      </w:r>
      <w:r w:rsidR="00D62139">
        <w:rPr>
          <w:lang w:val="en-AU" w:eastAsia="en-AU"/>
        </w:rPr>
        <w:t xml:space="preserve"> Secondary sources</w:t>
      </w:r>
    </w:p>
    <w:p w14:paraId="1B22F1CD" w14:textId="3E95DD14" w:rsidR="00D62139" w:rsidRDefault="00D62139" w:rsidP="00700C9D">
      <w:pPr>
        <w:rPr>
          <w:lang w:val="en-AU" w:eastAsia="en-AU"/>
        </w:rPr>
      </w:pPr>
      <w:r>
        <w:rPr>
          <w:lang w:val="en-AU" w:eastAsia="en-AU"/>
        </w:rPr>
        <w:tab/>
      </w:r>
      <w:r w:rsidRPr="00736FE7">
        <w:rPr>
          <w:b/>
          <w:lang w:val="en-AU" w:eastAsia="en-AU"/>
        </w:rPr>
        <w:t>7.10</w:t>
      </w:r>
      <w:r>
        <w:rPr>
          <w:lang w:val="en-AU" w:eastAsia="en-AU"/>
        </w:rPr>
        <w:t xml:space="preserve"> Limitations</w:t>
      </w:r>
    </w:p>
    <w:p w14:paraId="76E1A033" w14:textId="600D504C" w:rsidR="00D62139" w:rsidRDefault="00D62139" w:rsidP="00700C9D">
      <w:pPr>
        <w:rPr>
          <w:lang w:val="en-AU" w:eastAsia="en-AU"/>
        </w:rPr>
      </w:pPr>
      <w:r>
        <w:rPr>
          <w:lang w:val="en-AU" w:eastAsia="en-AU"/>
        </w:rPr>
        <w:tab/>
      </w:r>
      <w:r w:rsidRPr="00736FE7">
        <w:rPr>
          <w:b/>
          <w:lang w:val="en-AU" w:eastAsia="en-AU"/>
        </w:rPr>
        <w:t>7.11</w:t>
      </w:r>
      <w:r>
        <w:rPr>
          <w:lang w:val="en-AU" w:eastAsia="en-AU"/>
        </w:rPr>
        <w:t xml:space="preserve"> Methodology for participant and support person interviews</w:t>
      </w:r>
    </w:p>
    <w:p w14:paraId="79CE644C" w14:textId="008677B3" w:rsidR="00FA2D9B" w:rsidRDefault="00FA2D9B" w:rsidP="00700C9D">
      <w:pPr>
        <w:rPr>
          <w:lang w:val="en-AU" w:eastAsia="en-AU"/>
        </w:rPr>
      </w:pPr>
      <w:r>
        <w:rPr>
          <w:lang w:val="en-AU" w:eastAsia="en-AU"/>
        </w:rPr>
        <w:tab/>
      </w:r>
      <w:r w:rsidRPr="007A7F7F">
        <w:rPr>
          <w:b/>
          <w:bCs/>
          <w:lang w:val="en-AU" w:eastAsia="en-AU"/>
        </w:rPr>
        <w:t>7.12</w:t>
      </w:r>
      <w:r>
        <w:rPr>
          <w:lang w:val="en-AU" w:eastAsia="en-AU"/>
        </w:rPr>
        <w:t xml:space="preserve"> </w:t>
      </w:r>
      <w:r w:rsidR="007A7F7F">
        <w:rPr>
          <w:lang w:val="en-AU" w:eastAsia="en-AU"/>
        </w:rPr>
        <w:t>PMHC-MDS data methodology</w:t>
      </w:r>
    </w:p>
    <w:p w14:paraId="6355D0E2" w14:textId="71AF7F61" w:rsidR="00D62139" w:rsidRDefault="00D62139" w:rsidP="00700C9D">
      <w:pPr>
        <w:rPr>
          <w:lang w:val="en-AU" w:eastAsia="en-AU"/>
        </w:rPr>
      </w:pPr>
      <w:r w:rsidRPr="00736FE7">
        <w:rPr>
          <w:b/>
          <w:lang w:val="en-AU" w:eastAsia="en-AU"/>
        </w:rPr>
        <w:t>Appendix F</w:t>
      </w:r>
      <w:r w:rsidR="001704C5">
        <w:rPr>
          <w:lang w:val="en-AU" w:eastAsia="en-AU"/>
        </w:rPr>
        <w:t>: List of stakeholders consulted</w:t>
      </w:r>
    </w:p>
    <w:p w14:paraId="1F165BF8" w14:textId="50832FE1" w:rsidR="001704C5" w:rsidRDefault="001704C5" w:rsidP="00700C9D">
      <w:pPr>
        <w:rPr>
          <w:lang w:val="en-AU" w:eastAsia="en-AU"/>
        </w:rPr>
      </w:pPr>
      <w:r>
        <w:rPr>
          <w:lang w:val="en-AU" w:eastAsia="en-AU"/>
        </w:rPr>
        <w:tab/>
      </w:r>
      <w:r w:rsidRPr="00736FE7">
        <w:rPr>
          <w:b/>
          <w:lang w:val="en-AU" w:eastAsia="en-AU"/>
        </w:rPr>
        <w:t>7.1</w:t>
      </w:r>
      <w:r w:rsidR="007A7F7F">
        <w:rPr>
          <w:b/>
          <w:lang w:val="en-AU" w:eastAsia="en-AU"/>
        </w:rPr>
        <w:t>3</w:t>
      </w:r>
      <w:r>
        <w:rPr>
          <w:lang w:val="en-AU" w:eastAsia="en-AU"/>
        </w:rPr>
        <w:t xml:space="preserve"> </w:t>
      </w:r>
      <w:proofErr w:type="spellStart"/>
      <w:r w:rsidRPr="00D8203E">
        <w:rPr>
          <w:rStyle w:val="Emphasis"/>
        </w:rPr>
        <w:t>HeadtoHelp</w:t>
      </w:r>
      <w:proofErr w:type="spellEnd"/>
      <w:r>
        <w:rPr>
          <w:i/>
          <w:iCs/>
          <w:lang w:val="en-AU" w:eastAsia="en-AU"/>
        </w:rPr>
        <w:t xml:space="preserve"> </w:t>
      </w:r>
      <w:r>
        <w:rPr>
          <w:lang w:val="en-AU" w:eastAsia="en-AU"/>
        </w:rPr>
        <w:t>stakeholders</w:t>
      </w:r>
    </w:p>
    <w:p w14:paraId="3CF5DBB3" w14:textId="060A3628" w:rsidR="001704C5" w:rsidRDefault="001704C5" w:rsidP="00700C9D">
      <w:pPr>
        <w:rPr>
          <w:lang w:val="en-AU" w:eastAsia="en-AU"/>
        </w:rPr>
      </w:pPr>
      <w:r>
        <w:rPr>
          <w:lang w:val="en-AU" w:eastAsia="en-AU"/>
        </w:rPr>
        <w:tab/>
      </w:r>
      <w:r w:rsidRPr="00736FE7">
        <w:rPr>
          <w:b/>
          <w:lang w:val="en-AU" w:eastAsia="en-AU"/>
        </w:rPr>
        <w:t>7.1</w:t>
      </w:r>
      <w:r w:rsidR="007A7F7F">
        <w:rPr>
          <w:b/>
          <w:lang w:val="en-AU" w:eastAsia="en-AU"/>
        </w:rPr>
        <w:t>4</w:t>
      </w:r>
      <w:r>
        <w:rPr>
          <w:lang w:val="en-AU" w:eastAsia="en-AU"/>
        </w:rPr>
        <w:t xml:space="preserve"> AMHC stakeholders</w:t>
      </w:r>
    </w:p>
    <w:p w14:paraId="3ED89E16" w14:textId="027399C9" w:rsidR="001704C5" w:rsidRDefault="001704C5" w:rsidP="00700C9D">
      <w:pPr>
        <w:rPr>
          <w:lang w:val="en-AU" w:eastAsia="en-AU"/>
        </w:rPr>
      </w:pPr>
      <w:r w:rsidRPr="00736FE7">
        <w:rPr>
          <w:b/>
          <w:lang w:val="en-AU" w:eastAsia="en-AU"/>
        </w:rPr>
        <w:t>Appendix G</w:t>
      </w:r>
      <w:r>
        <w:rPr>
          <w:lang w:val="en-AU" w:eastAsia="en-AU"/>
        </w:rPr>
        <w:t xml:space="preserve">: </w:t>
      </w:r>
      <w:proofErr w:type="spellStart"/>
      <w:r w:rsidRPr="00D8203E">
        <w:rPr>
          <w:rStyle w:val="Emphasis"/>
        </w:rPr>
        <w:t>HeadtoHelp</w:t>
      </w:r>
      <w:proofErr w:type="spellEnd"/>
      <w:r>
        <w:rPr>
          <w:i/>
          <w:iCs/>
          <w:lang w:val="en-AU" w:eastAsia="en-AU"/>
        </w:rPr>
        <w:t xml:space="preserve"> </w:t>
      </w:r>
      <w:r>
        <w:rPr>
          <w:lang w:val="en-AU" w:eastAsia="en-AU"/>
        </w:rPr>
        <w:t>KPIs</w:t>
      </w:r>
    </w:p>
    <w:p w14:paraId="695C5652" w14:textId="4A8D7E3B" w:rsidR="001704C5" w:rsidRDefault="001704C5" w:rsidP="00700C9D">
      <w:pPr>
        <w:rPr>
          <w:lang w:val="en-AU" w:eastAsia="en-AU"/>
        </w:rPr>
      </w:pPr>
      <w:r>
        <w:rPr>
          <w:lang w:val="en-AU" w:eastAsia="en-AU"/>
        </w:rPr>
        <w:tab/>
      </w:r>
      <w:r w:rsidRPr="00736FE7">
        <w:rPr>
          <w:b/>
          <w:lang w:val="en-AU" w:eastAsia="en-AU"/>
        </w:rPr>
        <w:t>7.1</w:t>
      </w:r>
      <w:r w:rsidR="007A7F7F">
        <w:rPr>
          <w:b/>
          <w:lang w:val="en-AU" w:eastAsia="en-AU"/>
        </w:rPr>
        <w:t>5</w:t>
      </w:r>
      <w:r>
        <w:rPr>
          <w:lang w:val="en-AU" w:eastAsia="en-AU"/>
        </w:rPr>
        <w:t xml:space="preserve"> Original KPIs (14 September </w:t>
      </w:r>
      <w:r w:rsidR="003819B3">
        <w:rPr>
          <w:lang w:val="en-AU" w:eastAsia="en-AU"/>
        </w:rPr>
        <w:t xml:space="preserve">2020 </w:t>
      </w:r>
      <w:r>
        <w:rPr>
          <w:lang w:val="en-AU" w:eastAsia="en-AU"/>
        </w:rPr>
        <w:t xml:space="preserve">to </w:t>
      </w:r>
      <w:r w:rsidR="003819B3">
        <w:rPr>
          <w:lang w:val="en-AU" w:eastAsia="en-AU"/>
        </w:rPr>
        <w:t>13 September 2021)</w:t>
      </w:r>
    </w:p>
    <w:p w14:paraId="4075861B" w14:textId="391B9775" w:rsidR="00571113" w:rsidRPr="00700C9D" w:rsidRDefault="003819B3" w:rsidP="00700C9D">
      <w:pPr>
        <w:rPr>
          <w:lang w:val="en-AU" w:eastAsia="en-AU"/>
        </w:rPr>
      </w:pPr>
      <w:r>
        <w:rPr>
          <w:lang w:val="en-AU" w:eastAsia="en-AU"/>
        </w:rPr>
        <w:tab/>
      </w:r>
      <w:r w:rsidRPr="00A412B7">
        <w:rPr>
          <w:b/>
          <w:lang w:val="en-AU" w:eastAsia="en-AU"/>
        </w:rPr>
        <w:t>7</w:t>
      </w:r>
      <w:r w:rsidR="007A7F7F">
        <w:rPr>
          <w:b/>
          <w:lang w:val="en-AU" w:eastAsia="en-AU"/>
        </w:rPr>
        <w:t>.16</w:t>
      </w:r>
      <w:r>
        <w:rPr>
          <w:lang w:val="en-AU" w:eastAsia="en-AU"/>
        </w:rPr>
        <w:t xml:space="preserve"> Recast KPIs for extended </w:t>
      </w:r>
      <w:proofErr w:type="spellStart"/>
      <w:r w:rsidRPr="00D8203E">
        <w:rPr>
          <w:rStyle w:val="Emphasis"/>
        </w:rPr>
        <w:t>HeadtoHelp</w:t>
      </w:r>
      <w:proofErr w:type="spellEnd"/>
      <w:r>
        <w:rPr>
          <w:i/>
          <w:iCs/>
          <w:lang w:val="en-AU" w:eastAsia="en-AU"/>
        </w:rPr>
        <w:t xml:space="preserve"> </w:t>
      </w:r>
      <w:r>
        <w:rPr>
          <w:lang w:val="en-AU" w:eastAsia="en-AU"/>
        </w:rPr>
        <w:t>hub contracts (from 14 September 2021)</w:t>
      </w:r>
    </w:p>
    <w:sectPr w:rsidR="00571113" w:rsidRPr="00700C9D" w:rsidSect="006C554B">
      <w:headerReference w:type="default" r:id="rId69"/>
      <w:pgSz w:w="11907" w:h="16839" w:code="9"/>
      <w:pgMar w:top="1418" w:right="1418" w:bottom="1701" w:left="155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E838B" w14:textId="77777777" w:rsidR="009C3E84" w:rsidRDefault="009C3E84" w:rsidP="00302076">
      <w:pPr>
        <w:spacing w:after="0"/>
      </w:pPr>
      <w:r>
        <w:separator/>
      </w:r>
    </w:p>
  </w:endnote>
  <w:endnote w:type="continuationSeparator" w:id="0">
    <w:p w14:paraId="6514ADF2" w14:textId="77777777" w:rsidR="009C3E84" w:rsidRDefault="009C3E84" w:rsidP="00302076">
      <w:pPr>
        <w:spacing w:after="0"/>
      </w:pPr>
      <w:r>
        <w:continuationSeparator/>
      </w:r>
    </w:p>
  </w:endnote>
  <w:endnote w:type="continuationNotice" w:id="1">
    <w:p w14:paraId="7EFE4556" w14:textId="77777777" w:rsidR="009C3E84" w:rsidRDefault="009C3E8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hnschrift SemiLigh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Bahnschrift SemiBold SemiConden">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E86D6" w14:textId="64103459" w:rsidR="004A1F5A" w:rsidRPr="00FD4AB1" w:rsidRDefault="004A1F5A" w:rsidP="00FD4AB1">
    <w:pPr>
      <w:pStyle w:val="Footer"/>
      <w:rPr>
        <w:rFonts w:ascii="Segoe UI Semibold" w:hAnsi="Segoe UI Semibold" w:cs="Segoe UI"/>
        <w:b/>
      </w:rPr>
    </w:pPr>
    <w:r>
      <w:rPr>
        <w:color w:val="808080" w:themeColor="background1" w:themeShade="80"/>
        <w:szCs w:val="15"/>
        <w:lang w:eastAsia="en-AU"/>
      </w:rPr>
      <w:t xml:space="preserve">Nous Group | </w:t>
    </w:r>
    <w:sdt>
      <w:sdtPr>
        <w:rPr>
          <w:i/>
          <w:color w:val="808080" w:themeColor="background1" w:themeShade="80"/>
          <w:szCs w:val="15"/>
          <w:lang w:eastAsia="en-AU"/>
        </w:rPr>
        <w:alias w:val="Title"/>
        <w:id w:val="1910489307"/>
        <w:dataBinding w:prefixMappings="xmlns:ns0='http://purl.org/dc/elements/1.1/' xmlns:ns1='http://schemas.openxmlformats.org/package/2006/metadata/core-properties' " w:xpath="/ns1:coreProperties[1]/ns0:title[1]" w:storeItemID="{6C3C8BC8-F283-45AE-878A-BAB7291924A1}"/>
        <w:text/>
      </w:sdtPr>
      <w:sdtEndPr/>
      <w:sdtContent>
        <w:r w:rsidR="0044540E">
          <w:rPr>
            <w:i/>
            <w:color w:val="808080" w:themeColor="background1" w:themeShade="80"/>
            <w:szCs w:val="15"/>
            <w:lang w:eastAsia="en-AU"/>
          </w:rPr>
          <w:t xml:space="preserve">Independent Evaluation of </w:t>
        </w:r>
        <w:proofErr w:type="spellStart"/>
        <w:r w:rsidR="0044540E">
          <w:rPr>
            <w:i/>
            <w:color w:val="808080" w:themeColor="background1" w:themeShade="80"/>
            <w:szCs w:val="15"/>
            <w:lang w:eastAsia="en-AU"/>
          </w:rPr>
          <w:t>HeadtoHelp</w:t>
        </w:r>
        <w:proofErr w:type="spellEnd"/>
        <w:r w:rsidR="0044540E">
          <w:rPr>
            <w:i/>
            <w:color w:val="808080" w:themeColor="background1" w:themeShade="80"/>
            <w:szCs w:val="15"/>
            <w:lang w:eastAsia="en-AU"/>
          </w:rPr>
          <w:t xml:space="preserve"> and AMHCs: Final Evaluation Report</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75205951"/>
        <w:dataBinding w:prefixMappings="xmlns:ns0='http://schemas.microsoft.com/office/2006/coverPageProps' " w:xpath="/ns0:CoverPageProperties[1]/ns0:PublishDate[1]" w:storeItemID="{55AF091B-3C7A-41E3-B477-F2FDAA23CFDA}"/>
        <w:date w:fullDate="2022-04-01T00:00:00Z">
          <w:dateFormat w:val="d MMMM yyyy"/>
          <w:lid w:val="en-AU"/>
          <w:storeMappedDataAs w:val="dateTime"/>
          <w:calendar w:val="gregorian"/>
        </w:date>
      </w:sdtPr>
      <w:sdtEndPr/>
      <w:sdtContent>
        <w:r w:rsidR="00AA7A8E">
          <w:rPr>
            <w:color w:val="808080" w:themeColor="background1" w:themeShade="80"/>
            <w:szCs w:val="15"/>
            <w:lang w:val="en-AU" w:eastAsia="en-AU"/>
          </w:rPr>
          <w:t>1 April 2022</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416EE" w14:textId="2C0CD40D" w:rsidR="00FD4AB1" w:rsidRPr="00FD4AB1" w:rsidRDefault="00294C7F" w:rsidP="00FD4AB1">
    <w:pPr>
      <w:pStyle w:val="Footer"/>
      <w:rPr>
        <w:rFonts w:ascii="Segoe UI Semibold" w:hAnsi="Segoe UI Semibold" w:cs="Segoe UI"/>
        <w:b/>
      </w:rPr>
    </w:pPr>
    <w:r>
      <w:rPr>
        <w:color w:val="808080" w:themeColor="background1" w:themeShade="80"/>
        <w:szCs w:val="15"/>
        <w:lang w:val="en-AU" w:eastAsia="en-AU"/>
      </w:rPr>
      <w:t xml:space="preserve">Nous Group | </w:t>
    </w:r>
    <w:sdt>
      <w:sdtPr>
        <w:rPr>
          <w:i/>
          <w:color w:val="808080" w:themeColor="background1" w:themeShade="80"/>
          <w:szCs w:val="15"/>
          <w:lang w:val="en-AU"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EndPr/>
      <w:sdtContent>
        <w:r w:rsidR="0044540E">
          <w:rPr>
            <w:i/>
            <w:color w:val="808080" w:themeColor="background1" w:themeShade="80"/>
            <w:szCs w:val="15"/>
            <w:lang w:val="en-AU" w:eastAsia="en-AU"/>
          </w:rPr>
          <w:t xml:space="preserve">Independent Evaluation of </w:t>
        </w:r>
        <w:proofErr w:type="spellStart"/>
        <w:r w:rsidR="0044540E">
          <w:rPr>
            <w:i/>
            <w:color w:val="808080" w:themeColor="background1" w:themeShade="80"/>
            <w:szCs w:val="15"/>
            <w:lang w:val="en-AU" w:eastAsia="en-AU"/>
          </w:rPr>
          <w:t>HeadtoHelp</w:t>
        </w:r>
        <w:proofErr w:type="spellEnd"/>
        <w:r w:rsidR="0044540E">
          <w:rPr>
            <w:i/>
            <w:color w:val="808080" w:themeColor="background1" w:themeShade="80"/>
            <w:szCs w:val="15"/>
            <w:lang w:val="en-AU" w:eastAsia="en-AU"/>
          </w:rPr>
          <w:t xml:space="preserve"> and AMHCs: Final Evaluation Report</w:t>
        </w:r>
      </w:sdtContent>
    </w:sdt>
    <w:r>
      <w:rPr>
        <w:color w:val="808080" w:themeColor="background1" w:themeShade="80"/>
        <w:szCs w:val="15"/>
        <w:lang w:val="en-AU" w:eastAsia="en-AU"/>
      </w:rPr>
      <w:t xml:space="preserve"> | </w:t>
    </w:r>
    <w:sdt>
      <w:sdtPr>
        <w:rPr>
          <w:color w:val="808080" w:themeColor="background1" w:themeShade="80"/>
          <w:szCs w:val="15"/>
          <w:lang w:val="en-AU" w:eastAsia="en-AU"/>
        </w:rPr>
        <w:alias w:val="Publish Date"/>
        <w:id w:val="-1085840653"/>
        <w:dataBinding w:prefixMappings="xmlns:ns0='http://schemas.microsoft.com/office/2006/coverPageProps' " w:xpath="/ns0:CoverPageProperties[1]/ns0:PublishDate[1]" w:storeItemID="{55AF091B-3C7A-41E3-B477-F2FDAA23CFDA}"/>
        <w:date w:fullDate="2022-04-01T00:00:00Z">
          <w:dateFormat w:val="d MMMM yyyy"/>
          <w:lid w:val="en-AU"/>
          <w:storeMappedDataAs w:val="dateTime"/>
          <w:calendar w:val="gregorian"/>
        </w:date>
      </w:sdtPr>
      <w:sdtEndPr/>
      <w:sdtContent>
        <w:r w:rsidR="00AA7A8E">
          <w:rPr>
            <w:color w:val="808080" w:themeColor="background1" w:themeShade="80"/>
            <w:szCs w:val="15"/>
            <w:lang w:val="en-AU" w:eastAsia="en-AU"/>
          </w:rPr>
          <w:t>1 April 2022</w:t>
        </w:r>
      </w:sdtContent>
    </w:sdt>
    <w:r w:rsidR="00FD4AB1" w:rsidRPr="00FD4AB1">
      <w:rPr>
        <w:rFonts w:ascii="Segoe UI Semibold" w:hAnsi="Segoe UI Semibold" w:cs="Segoe UI"/>
        <w:color w:val="A5A5A5"/>
      </w:rPr>
      <w:ptab w:relativeTo="margin" w:alignment="right" w:leader="none"/>
    </w:r>
    <w:r w:rsidR="00FD4AB1" w:rsidRPr="00FD4AB1">
      <w:rPr>
        <w:rFonts w:cs="Segoe UI"/>
        <w:color w:val="A5A5A5"/>
      </w:rPr>
      <w:t xml:space="preserve">| </w:t>
    </w:r>
    <w:r w:rsidR="00FD4AB1" w:rsidRPr="007401D3">
      <w:rPr>
        <w:rFonts w:cs="Segoe UI"/>
        <w:color w:val="A5A5A5"/>
        <w:sz w:val="16"/>
        <w:szCs w:val="16"/>
      </w:rPr>
      <w:fldChar w:fldCharType="begin"/>
    </w:r>
    <w:r w:rsidR="00FD4AB1" w:rsidRPr="007401D3">
      <w:rPr>
        <w:rFonts w:cs="Segoe UI"/>
        <w:color w:val="A5A5A5"/>
        <w:sz w:val="16"/>
        <w:szCs w:val="16"/>
      </w:rPr>
      <w:instrText xml:space="preserve"> PAGE  \* roman  \* MERGEFORMAT </w:instrText>
    </w:r>
    <w:r w:rsidR="00FD4AB1" w:rsidRPr="007401D3">
      <w:rPr>
        <w:rFonts w:cs="Segoe UI"/>
        <w:color w:val="A5A5A5"/>
        <w:sz w:val="16"/>
        <w:szCs w:val="16"/>
      </w:rPr>
      <w:fldChar w:fldCharType="separate"/>
    </w:r>
    <w:r w:rsidR="00836AA0" w:rsidRPr="007401D3">
      <w:rPr>
        <w:rFonts w:cs="Segoe UI"/>
        <w:noProof/>
        <w:color w:val="A5A5A5"/>
        <w:sz w:val="16"/>
        <w:szCs w:val="16"/>
      </w:rPr>
      <w:t>ii</w:t>
    </w:r>
    <w:r w:rsidR="00FD4AB1" w:rsidRPr="007401D3">
      <w:rPr>
        <w:rFonts w:cs="Segoe UI"/>
        <w:color w:val="A5A5A5"/>
        <w:sz w:val="16"/>
        <w:szCs w:val="16"/>
      </w:rPr>
      <w:fldChar w:fldCharType="end"/>
    </w:r>
    <w:r w:rsidR="00FD4AB1" w:rsidRPr="003B464C">
      <w:rPr>
        <w:rFonts w:cs="Segoe UI"/>
        <w:color w:val="A5A5A5"/>
        <w:sz w:val="16"/>
        <w:szCs w:val="16"/>
      </w:rPr>
      <w:t xml:space="preserve"> </w:t>
    </w:r>
    <w:r w:rsidR="00FD4AB1" w:rsidRPr="00FD4AB1">
      <w:rPr>
        <w:rFonts w:cs="Segoe UI"/>
        <w:color w:val="A5A5A5"/>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D20FA" w14:textId="5AC3089B" w:rsidR="008B5235" w:rsidRPr="009B6205" w:rsidRDefault="00323C9C" w:rsidP="009B6205">
    <w:pPr>
      <w:pStyle w:val="Footer"/>
    </w:pPr>
    <w:r>
      <w:rPr>
        <w:lang w:val="en-AU" w:eastAsia="en-AU"/>
      </w:rPr>
      <w:t xml:space="preserve">Nous Group | </w:t>
    </w:r>
    <w:sdt>
      <w:sdtPr>
        <w:rPr>
          <w:lang w:val="en-AU" w:eastAsia="en-AU"/>
        </w:rPr>
        <w:alias w:val="Title"/>
        <w:id w:val="153504724"/>
        <w:dataBinding w:prefixMappings="xmlns:ns0='http://purl.org/dc/elements/1.1/' xmlns:ns1='http://schemas.openxmlformats.org/package/2006/metadata/core-properties' " w:xpath="/ns1:coreProperties[1]/ns0:title[1]" w:storeItemID="{6C3C8BC8-F283-45AE-878A-BAB7291924A1}"/>
        <w:text/>
      </w:sdtPr>
      <w:sdtEndPr/>
      <w:sdtContent>
        <w:r>
          <w:rPr>
            <w:lang w:val="en-AU" w:eastAsia="en-AU"/>
          </w:rPr>
          <w:t xml:space="preserve">Independent Evaluation of </w:t>
        </w:r>
        <w:proofErr w:type="spellStart"/>
        <w:r>
          <w:rPr>
            <w:lang w:val="en-AU" w:eastAsia="en-AU"/>
          </w:rPr>
          <w:t>HeadtoHelp</w:t>
        </w:r>
        <w:proofErr w:type="spellEnd"/>
        <w:r>
          <w:rPr>
            <w:lang w:val="en-AU" w:eastAsia="en-AU"/>
          </w:rPr>
          <w:t xml:space="preserve"> and AMHCs: Final Evaluation Report</w:t>
        </w:r>
      </w:sdtContent>
    </w:sdt>
    <w:r>
      <w:rPr>
        <w:lang w:val="en-AU" w:eastAsia="en-AU"/>
      </w:rPr>
      <w:t xml:space="preserve"> | </w:t>
    </w:r>
    <w:sdt>
      <w:sdtPr>
        <w:rPr>
          <w:lang w:val="en-AU" w:eastAsia="en-AU"/>
        </w:rPr>
        <w:alias w:val="Publish Date"/>
        <w:id w:val="1654490163"/>
        <w:dataBinding w:prefixMappings="xmlns:ns0='http://schemas.microsoft.com/office/2006/coverPageProps' " w:xpath="/ns0:CoverPageProperties[1]/ns0:PublishDate[1]" w:storeItemID="{55AF091B-3C7A-41E3-B477-F2FDAA23CFDA}"/>
        <w:date w:fullDate="2022-04-01T00:00:00Z">
          <w:dateFormat w:val="d MMMM yyyy"/>
          <w:lid w:val="en-AU"/>
          <w:storeMappedDataAs w:val="dateTime"/>
          <w:calendar w:val="gregorian"/>
        </w:date>
      </w:sdtPr>
      <w:sdtEndPr/>
      <w:sdtContent>
        <w:r w:rsidR="00AA7A8E">
          <w:rPr>
            <w:lang w:val="en-AU" w:eastAsia="en-AU"/>
          </w:rPr>
          <w:t>1 April 2022</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Pr>
        <w:rFonts w:cs="Segoe UI"/>
        <w:color w:val="A5A5A5"/>
        <w:sz w:val="16"/>
        <w:szCs w:val="16"/>
      </w:rPr>
      <w:fldChar w:fldCharType="begin"/>
    </w:r>
    <w:r>
      <w:rPr>
        <w:rFonts w:cs="Segoe UI"/>
        <w:color w:val="A5A5A5"/>
        <w:sz w:val="16"/>
        <w:szCs w:val="16"/>
      </w:rPr>
      <w:instrText xml:space="preserve"> PAGE  \* Arabic  \* MERGEFORMAT </w:instrText>
    </w:r>
    <w:r>
      <w:rPr>
        <w:rFonts w:cs="Segoe UI"/>
        <w:color w:val="A5A5A5"/>
        <w:sz w:val="16"/>
        <w:szCs w:val="16"/>
      </w:rPr>
      <w:fldChar w:fldCharType="separate"/>
    </w:r>
    <w:r>
      <w:rPr>
        <w:rFonts w:cs="Segoe UI"/>
        <w:noProof/>
        <w:color w:val="A5A5A5"/>
        <w:sz w:val="16"/>
        <w:szCs w:val="16"/>
      </w:rPr>
      <w:t>5</w:t>
    </w:r>
    <w:r>
      <w:rPr>
        <w:rFonts w:cs="Segoe UI"/>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7475C" w14:textId="77777777" w:rsidR="009C3E84" w:rsidRDefault="009C3E84" w:rsidP="00302076">
      <w:pPr>
        <w:spacing w:after="0"/>
      </w:pPr>
      <w:r>
        <w:separator/>
      </w:r>
    </w:p>
  </w:footnote>
  <w:footnote w:type="continuationSeparator" w:id="0">
    <w:p w14:paraId="6F87E8B7" w14:textId="77777777" w:rsidR="009C3E84" w:rsidRDefault="009C3E84" w:rsidP="00302076">
      <w:pPr>
        <w:spacing w:after="0"/>
      </w:pPr>
      <w:r>
        <w:continuationSeparator/>
      </w:r>
    </w:p>
  </w:footnote>
  <w:footnote w:type="continuationNotice" w:id="1">
    <w:p w14:paraId="75913549" w14:textId="77777777" w:rsidR="009C3E84" w:rsidRDefault="009C3E84">
      <w:pPr>
        <w:spacing w:after="0"/>
      </w:pPr>
    </w:p>
  </w:footnote>
  <w:footnote w:id="2">
    <w:p w14:paraId="3B477E5E" w14:textId="38151353" w:rsidR="00537A79" w:rsidRPr="00563082" w:rsidRDefault="00537A79">
      <w:pPr>
        <w:pStyle w:val="FootnoteText"/>
        <w:rPr>
          <w:lang w:val="en-AU"/>
        </w:rPr>
      </w:pPr>
      <w:r>
        <w:rPr>
          <w:rStyle w:val="FootnoteReference"/>
        </w:rPr>
        <w:footnoteRef/>
      </w:r>
      <w:r>
        <w:t xml:space="preserve"> </w:t>
      </w:r>
      <w:proofErr w:type="gramStart"/>
      <w:r>
        <w:rPr>
          <w:sz w:val="15"/>
          <w:szCs w:val="15"/>
        </w:rPr>
        <w:t>South Eastern</w:t>
      </w:r>
      <w:proofErr w:type="gramEnd"/>
      <w:r>
        <w:rPr>
          <w:sz w:val="15"/>
          <w:szCs w:val="15"/>
        </w:rPr>
        <w:t xml:space="preserve"> Melbourne PHN defines p</w:t>
      </w:r>
      <w:r w:rsidRPr="00EA33C6">
        <w:rPr>
          <w:sz w:val="15"/>
          <w:szCs w:val="15"/>
        </w:rPr>
        <w:t>sychosocial supports</w:t>
      </w:r>
      <w:r>
        <w:rPr>
          <w:sz w:val="15"/>
          <w:szCs w:val="15"/>
        </w:rPr>
        <w:t xml:space="preserve"> as</w:t>
      </w:r>
      <w:r w:rsidRPr="00EA33C6">
        <w:rPr>
          <w:sz w:val="15"/>
          <w:szCs w:val="15"/>
        </w:rPr>
        <w:t xml:space="preserve"> </w:t>
      </w:r>
      <w:r>
        <w:rPr>
          <w:sz w:val="15"/>
          <w:szCs w:val="15"/>
        </w:rPr>
        <w:t>‘</w:t>
      </w:r>
      <w:r w:rsidRPr="00EA33C6">
        <w:rPr>
          <w:sz w:val="15"/>
          <w:szCs w:val="15"/>
        </w:rPr>
        <w:t>a non-therapeutic intervention that can assist people with severe mental illness to participate in their community, manage daily tasks, undertake work or study, find housing, get involved in activities, and make connections with family and friends.</w:t>
      </w:r>
      <w:r>
        <w:rPr>
          <w:sz w:val="15"/>
          <w:szCs w:val="15"/>
        </w:rPr>
        <w:t>’</w:t>
      </w:r>
    </w:p>
  </w:footnote>
  <w:footnote w:id="3">
    <w:p w14:paraId="4959E8E0" w14:textId="77777777" w:rsidR="00857B70" w:rsidRPr="00CC3AED" w:rsidRDefault="00857B70" w:rsidP="00857B70">
      <w:pPr>
        <w:pStyle w:val="FootnoteText"/>
        <w:rPr>
          <w:sz w:val="15"/>
          <w:szCs w:val="15"/>
          <w:lang w:val="en-AU"/>
        </w:rPr>
      </w:pPr>
      <w:r w:rsidRPr="00CC3AED">
        <w:rPr>
          <w:rStyle w:val="FootnoteReference"/>
          <w:sz w:val="15"/>
          <w:szCs w:val="15"/>
        </w:rPr>
        <w:footnoteRef/>
      </w:r>
      <w:r w:rsidRPr="00CC3AED">
        <w:rPr>
          <w:sz w:val="15"/>
          <w:szCs w:val="15"/>
        </w:rPr>
        <w:t xml:space="preserve"> </w:t>
      </w:r>
      <w:r w:rsidRPr="00CC3AED">
        <w:rPr>
          <w:sz w:val="15"/>
          <w:szCs w:val="15"/>
          <w:lang w:val="en-AU"/>
        </w:rPr>
        <w:t xml:space="preserve">IAR DST-level of care was not considered because </w:t>
      </w:r>
      <w:r>
        <w:rPr>
          <w:sz w:val="15"/>
          <w:szCs w:val="15"/>
          <w:lang w:val="en-AU"/>
        </w:rPr>
        <w:t xml:space="preserve">participants in </w:t>
      </w:r>
      <w:r w:rsidRPr="00160D51">
        <w:rPr>
          <w:sz w:val="15"/>
          <w:szCs w:val="15"/>
          <w:lang w:val="en-AU"/>
        </w:rPr>
        <w:t>GPHN</w:t>
      </w:r>
      <w:r>
        <w:rPr>
          <w:sz w:val="15"/>
          <w:szCs w:val="15"/>
          <w:lang w:val="en-AU"/>
        </w:rPr>
        <w:t xml:space="preserve"> did not have their </w:t>
      </w:r>
      <w:r w:rsidRPr="00CC3AED">
        <w:rPr>
          <w:sz w:val="15"/>
          <w:szCs w:val="15"/>
          <w:lang w:val="en-AU"/>
        </w:rPr>
        <w:t xml:space="preserve">IAR DST-level of care </w:t>
      </w:r>
      <w:r>
        <w:rPr>
          <w:sz w:val="15"/>
          <w:szCs w:val="15"/>
          <w:lang w:val="en-AU"/>
        </w:rPr>
        <w:t>data in the PMHC-MDS.</w:t>
      </w:r>
    </w:p>
  </w:footnote>
  <w:footnote w:id="4">
    <w:p w14:paraId="79D846D4" w14:textId="77777777" w:rsidR="00DE6827" w:rsidRPr="00CB063F" w:rsidRDefault="00DE6827" w:rsidP="00DE6827">
      <w:pPr>
        <w:pStyle w:val="Footer"/>
      </w:pPr>
      <w:r w:rsidRPr="00CB063F">
        <w:rPr>
          <w:rStyle w:val="FootnoteReference"/>
        </w:rPr>
        <w:footnoteRef/>
      </w:r>
      <w:r w:rsidRPr="00CB063F">
        <w:rPr>
          <w:vertAlign w:val="superscript"/>
        </w:rPr>
        <w:t xml:space="preserve"> </w:t>
      </w:r>
      <w:r w:rsidRPr="00CB063F">
        <w:t>National Mental Health Commission. Monitoring Mental Health and Suicide Prevention Reform: National Report 2019. 2019; Royal Commission into Victoria’s Mental Health System. Final Report. February 2021.</w:t>
      </w:r>
    </w:p>
  </w:footnote>
  <w:footnote w:id="5">
    <w:p w14:paraId="7922256E" w14:textId="62A51CD9" w:rsidR="00DE6827" w:rsidRPr="00FF743D" w:rsidRDefault="00DE6827" w:rsidP="00DE6827">
      <w:pPr>
        <w:pStyle w:val="Footer"/>
        <w:rPr>
          <w:sz w:val="17"/>
          <w:szCs w:val="17"/>
          <w:lang w:val="en-AU"/>
        </w:rPr>
      </w:pPr>
      <w:r w:rsidRPr="00CB063F">
        <w:rPr>
          <w:rStyle w:val="FootnoteReference"/>
        </w:rPr>
        <w:footnoteRef/>
      </w:r>
      <w:r w:rsidRPr="00221236">
        <w:t xml:space="preserve"> </w:t>
      </w:r>
      <w:r w:rsidRPr="00CB063F">
        <w:rPr>
          <w:rStyle w:val="FooterChar"/>
        </w:rPr>
        <w:t xml:space="preserve">Victorian PHN Network. Victorian Mental Health </w:t>
      </w:r>
      <w:r w:rsidR="005D5F50" w:rsidRPr="00CB063F">
        <w:rPr>
          <w:rStyle w:val="FooterChar"/>
        </w:rPr>
        <w:t>hubs</w:t>
      </w:r>
      <w:r w:rsidRPr="00CB063F">
        <w:rPr>
          <w:rStyle w:val="FooterChar"/>
        </w:rPr>
        <w:t xml:space="preserve"> HUB Model of Care. September 2020.</w:t>
      </w:r>
    </w:p>
  </w:footnote>
  <w:footnote w:id="6">
    <w:p w14:paraId="5123E2AD" w14:textId="11CA252F" w:rsidR="00DA2EBF" w:rsidRPr="00482199" w:rsidRDefault="00DA2EBF" w:rsidP="00531F28">
      <w:pPr>
        <w:pStyle w:val="Footer"/>
        <w:rPr>
          <w:szCs w:val="15"/>
          <w:highlight w:val="yellow"/>
        </w:rPr>
      </w:pPr>
      <w:r w:rsidRPr="00482199">
        <w:rPr>
          <w:rStyle w:val="FootnoteReference"/>
          <w:szCs w:val="15"/>
        </w:rPr>
        <w:footnoteRef/>
      </w:r>
      <w:r w:rsidRPr="00482199">
        <w:rPr>
          <w:szCs w:val="15"/>
        </w:rPr>
        <w:t xml:space="preserve"> </w:t>
      </w:r>
      <w:proofErr w:type="spellStart"/>
      <w:r w:rsidR="008D3673" w:rsidRPr="00482199">
        <w:rPr>
          <w:rStyle w:val="FooterChar"/>
          <w:szCs w:val="15"/>
        </w:rPr>
        <w:t>Summarised</w:t>
      </w:r>
      <w:proofErr w:type="spellEnd"/>
      <w:r w:rsidR="008D3673" w:rsidRPr="00482199">
        <w:rPr>
          <w:rStyle w:val="FooterChar"/>
          <w:szCs w:val="15"/>
        </w:rPr>
        <w:t xml:space="preserve"> from the </w:t>
      </w:r>
      <w:r w:rsidRPr="00482199">
        <w:rPr>
          <w:rStyle w:val="FooterChar"/>
          <w:szCs w:val="15"/>
        </w:rPr>
        <w:t xml:space="preserve">Service Model for Adult Mental Health </w:t>
      </w:r>
      <w:proofErr w:type="spellStart"/>
      <w:r w:rsidRPr="00482199">
        <w:rPr>
          <w:rStyle w:val="FooterChar"/>
          <w:szCs w:val="15"/>
        </w:rPr>
        <w:t>Centres</w:t>
      </w:r>
      <w:proofErr w:type="spellEnd"/>
      <w:r w:rsidRPr="00482199">
        <w:rPr>
          <w:rStyle w:val="FooterChar"/>
          <w:szCs w:val="15"/>
        </w:rPr>
        <w:t xml:space="preserve"> September 2020.</w:t>
      </w:r>
    </w:p>
  </w:footnote>
  <w:footnote w:id="7">
    <w:p w14:paraId="22A9252B" w14:textId="77777777" w:rsidR="00482199" w:rsidRPr="00B71A1C" w:rsidRDefault="00482199">
      <w:pPr>
        <w:pStyle w:val="FootnoteText"/>
        <w:rPr>
          <w:lang w:val="en-AU"/>
        </w:rPr>
      </w:pPr>
      <w:r w:rsidRPr="00B71A1C">
        <w:rPr>
          <w:rStyle w:val="FootnoteReference"/>
          <w:sz w:val="15"/>
          <w:szCs w:val="15"/>
        </w:rPr>
        <w:footnoteRef/>
      </w:r>
      <w:r w:rsidRPr="00B71A1C">
        <w:rPr>
          <w:sz w:val="15"/>
          <w:szCs w:val="15"/>
        </w:rPr>
        <w:t xml:space="preserve"> </w:t>
      </w:r>
      <w:r w:rsidRPr="00B71A1C">
        <w:rPr>
          <w:sz w:val="15"/>
          <w:szCs w:val="15"/>
          <w:lang w:val="en-AU"/>
        </w:rPr>
        <w:t>The figur</w:t>
      </w:r>
      <w:r>
        <w:rPr>
          <w:sz w:val="15"/>
          <w:szCs w:val="15"/>
          <w:lang w:val="en-AU"/>
        </w:rPr>
        <w:t xml:space="preserve">e range for AMHCs was provided by the Australian Government Department of Health in August 2021. The figure for </w:t>
      </w:r>
      <w:proofErr w:type="spellStart"/>
      <w:r>
        <w:rPr>
          <w:i/>
          <w:iCs/>
          <w:sz w:val="15"/>
          <w:szCs w:val="15"/>
          <w:lang w:val="en-AU"/>
        </w:rPr>
        <w:t>HeadtoHelp</w:t>
      </w:r>
      <w:proofErr w:type="spellEnd"/>
      <w:r>
        <w:rPr>
          <w:i/>
          <w:iCs/>
          <w:sz w:val="15"/>
          <w:szCs w:val="15"/>
          <w:lang w:val="en-AU"/>
        </w:rPr>
        <w:t xml:space="preserve"> </w:t>
      </w:r>
      <w:r>
        <w:rPr>
          <w:sz w:val="15"/>
          <w:szCs w:val="15"/>
          <w:lang w:val="en-AU"/>
        </w:rPr>
        <w:t xml:space="preserve">hubs was provided by the finance lead </w:t>
      </w:r>
      <w:r w:rsidR="003B0FCB">
        <w:rPr>
          <w:sz w:val="15"/>
          <w:szCs w:val="15"/>
          <w:lang w:val="en-AU"/>
        </w:rPr>
        <w:t>of</w:t>
      </w:r>
      <w:r>
        <w:rPr>
          <w:sz w:val="15"/>
          <w:szCs w:val="15"/>
          <w:lang w:val="en-AU"/>
        </w:rPr>
        <w:t xml:space="preserve"> the program in April 2021. </w:t>
      </w:r>
      <w:r>
        <w:rPr>
          <w:lang w:val="en-AU"/>
        </w:rPr>
        <w:t xml:space="preserve"> </w:t>
      </w:r>
    </w:p>
  </w:footnote>
  <w:footnote w:id="8">
    <w:p w14:paraId="31D387EA" w14:textId="32052A11" w:rsidR="00406F9B" w:rsidRPr="00221236" w:rsidRDefault="009F3492" w:rsidP="00531F28">
      <w:pPr>
        <w:pStyle w:val="Footer"/>
        <w:rPr>
          <w:lang w:val="en-AU"/>
        </w:rPr>
      </w:pPr>
      <w:r w:rsidRPr="00221236">
        <w:rPr>
          <w:rStyle w:val="FootnoteReference"/>
          <w:sz w:val="14"/>
          <w:szCs w:val="14"/>
        </w:rPr>
        <w:footnoteRef/>
      </w:r>
      <w:r w:rsidR="007B5670" w:rsidRPr="00221236">
        <w:rPr>
          <w:lang w:val="en-AU"/>
        </w:rPr>
        <w:t xml:space="preserve"> Anonymous. </w:t>
      </w:r>
      <w:hyperlink r:id="rId1" w:history="1">
        <w:r w:rsidR="007B5670" w:rsidRPr="00221236">
          <w:rPr>
            <w:rStyle w:val="Hyperlink"/>
            <w:sz w:val="14"/>
            <w:szCs w:val="14"/>
            <w:lang w:val="en-AU"/>
          </w:rPr>
          <w:t>2019 Submission – Royal Commission into Victoria’s Mental Health System</w:t>
        </w:r>
      </w:hyperlink>
      <w:r w:rsidR="007B5670" w:rsidRPr="00221236">
        <w:rPr>
          <w:lang w:val="en-AU"/>
        </w:rPr>
        <w:t xml:space="preserve">. Accessed July 2021. </w:t>
      </w:r>
    </w:p>
  </w:footnote>
  <w:footnote w:id="9">
    <w:p w14:paraId="1F5D5AF4" w14:textId="56F25CAC" w:rsidR="007E44D6" w:rsidRPr="00221236" w:rsidRDefault="00571302" w:rsidP="00531F28">
      <w:pPr>
        <w:pStyle w:val="Footer"/>
        <w:rPr>
          <w:lang w:val="en-AU"/>
        </w:rPr>
      </w:pPr>
      <w:r w:rsidRPr="00221236">
        <w:rPr>
          <w:rStyle w:val="FootnoteReference"/>
          <w:sz w:val="14"/>
          <w:szCs w:val="14"/>
        </w:rPr>
        <w:footnoteRef/>
      </w:r>
      <w:r w:rsidRPr="00221236">
        <w:t xml:space="preserve"> </w:t>
      </w:r>
      <w:r w:rsidR="00965F20" w:rsidRPr="00221236">
        <w:rPr>
          <w:lang w:val="en-AU"/>
        </w:rPr>
        <w:t xml:space="preserve">Royal Commission into Victoria’s Mental Health System. Interim Report. </w:t>
      </w:r>
      <w:r w:rsidR="00AF2145" w:rsidRPr="00221236">
        <w:rPr>
          <w:lang w:val="en-AU"/>
        </w:rPr>
        <w:t>November 2020</w:t>
      </w:r>
      <w:r w:rsidR="00965F20" w:rsidRPr="00221236">
        <w:rPr>
          <w:lang w:val="en-AU"/>
        </w:rPr>
        <w:t>.</w:t>
      </w:r>
      <w:r w:rsidR="007E44D6" w:rsidRPr="00221236">
        <w:t xml:space="preserve"> </w:t>
      </w:r>
      <w:r w:rsidR="00965F20" w:rsidRPr="00221236">
        <w:t>P</w:t>
      </w:r>
      <w:r w:rsidR="007E44D6" w:rsidRPr="00221236">
        <w:t>age 79</w:t>
      </w:r>
      <w:r w:rsidR="00965F20" w:rsidRPr="00221236">
        <w:t>.</w:t>
      </w:r>
    </w:p>
  </w:footnote>
  <w:footnote w:id="10">
    <w:p w14:paraId="1FF04D5A" w14:textId="0DDF5CA8" w:rsidR="0039255C" w:rsidRPr="00221236" w:rsidRDefault="00504636" w:rsidP="00531F28">
      <w:pPr>
        <w:pStyle w:val="Footer"/>
      </w:pPr>
      <w:r w:rsidRPr="00221236">
        <w:rPr>
          <w:rStyle w:val="FootnoteReference"/>
          <w:sz w:val="14"/>
          <w:szCs w:val="14"/>
        </w:rPr>
        <w:footnoteRef/>
      </w:r>
      <w:r w:rsidRPr="00221236">
        <w:t xml:space="preserve"> </w:t>
      </w:r>
      <w:r w:rsidR="005C74AA" w:rsidRPr="00221236">
        <w:t xml:space="preserve">Davey, M. </w:t>
      </w:r>
      <w:hyperlink r:id="rId2" w:history="1">
        <w:r w:rsidR="005C74AA" w:rsidRPr="00221236">
          <w:rPr>
            <w:rStyle w:val="Hyperlink"/>
            <w:sz w:val="14"/>
            <w:szCs w:val="14"/>
          </w:rPr>
          <w:t>Victoria’s mental health royal commission find system in ‘crisis mode</w:t>
        </w:r>
      </w:hyperlink>
      <w:r w:rsidR="007F1AF8" w:rsidRPr="00221236">
        <w:t>.’ Published March 2020.</w:t>
      </w:r>
    </w:p>
  </w:footnote>
  <w:footnote w:id="11">
    <w:p w14:paraId="3DDD487E" w14:textId="6DECC100" w:rsidR="00AE21F2" w:rsidRPr="00221236" w:rsidRDefault="0001048D" w:rsidP="00531F28">
      <w:pPr>
        <w:pStyle w:val="Footer"/>
        <w:rPr>
          <w:lang w:val="en-AU"/>
        </w:rPr>
      </w:pPr>
      <w:r w:rsidRPr="00221236">
        <w:rPr>
          <w:rStyle w:val="FootnoteReference"/>
          <w:sz w:val="14"/>
          <w:szCs w:val="14"/>
        </w:rPr>
        <w:footnoteRef/>
      </w:r>
      <w:r w:rsidR="00AE21F2" w:rsidRPr="00221236">
        <w:t xml:space="preserve"> Cook, H</w:t>
      </w:r>
      <w:r w:rsidR="007F1AF8" w:rsidRPr="00221236">
        <w:t>.</w:t>
      </w:r>
      <w:r w:rsidR="00F66F39" w:rsidRPr="00221236">
        <w:t xml:space="preserve"> </w:t>
      </w:r>
      <w:hyperlink r:id="rId3" w:history="1">
        <w:r w:rsidR="00F66F39" w:rsidRPr="00221236">
          <w:rPr>
            <w:rStyle w:val="Hyperlink"/>
            <w:sz w:val="14"/>
            <w:szCs w:val="14"/>
          </w:rPr>
          <w:t>Psychologists stretched to limit as virus drives spike in referrals</w:t>
        </w:r>
      </w:hyperlink>
      <w:r w:rsidR="008869B9" w:rsidRPr="00221236">
        <w:t>. Published 28 October 2020.</w:t>
      </w:r>
      <w:r w:rsidRPr="00221236">
        <w:t xml:space="preserve"> </w:t>
      </w:r>
    </w:p>
  </w:footnote>
  <w:footnote w:id="12">
    <w:p w14:paraId="2FA62B97" w14:textId="5D33AC37" w:rsidR="008841FB" w:rsidRPr="00221236" w:rsidRDefault="008841FB" w:rsidP="00531F28">
      <w:pPr>
        <w:pStyle w:val="Footer"/>
        <w:rPr>
          <w:lang w:val="en-AU"/>
        </w:rPr>
      </w:pPr>
      <w:r w:rsidRPr="00221236">
        <w:rPr>
          <w:rStyle w:val="FootnoteReference"/>
          <w:sz w:val="14"/>
          <w:szCs w:val="14"/>
        </w:rPr>
        <w:footnoteRef/>
      </w:r>
      <w:r w:rsidRPr="00221236">
        <w:t xml:space="preserve"> </w:t>
      </w:r>
      <w:r w:rsidR="00160D51" w:rsidRPr="00160D51">
        <w:t>WVPHN</w:t>
      </w:r>
      <w:r w:rsidR="008757B3" w:rsidRPr="00221236">
        <w:t xml:space="preserve">. FAQ for </w:t>
      </w:r>
      <w:r w:rsidR="00F40845">
        <w:t>participants</w:t>
      </w:r>
      <w:r w:rsidR="008757B3" w:rsidRPr="00221236">
        <w:t>. September 2020.</w:t>
      </w:r>
    </w:p>
  </w:footnote>
  <w:footnote w:id="13">
    <w:p w14:paraId="27835DE7" w14:textId="2A308A74" w:rsidR="00BD04AE" w:rsidRPr="00221236" w:rsidRDefault="00BD04AE" w:rsidP="00531F28">
      <w:pPr>
        <w:pStyle w:val="Footer"/>
      </w:pPr>
      <w:r w:rsidRPr="00221236">
        <w:rPr>
          <w:rStyle w:val="FootnoteReference"/>
          <w:sz w:val="14"/>
          <w:szCs w:val="14"/>
        </w:rPr>
        <w:footnoteRef/>
      </w:r>
      <w:r w:rsidRPr="00221236">
        <w:t xml:space="preserve"> </w:t>
      </w:r>
      <w:r w:rsidR="00465A7C" w:rsidRPr="00221236">
        <w:t xml:space="preserve">Mental health Victoria, Victorian Healthcare Association. </w:t>
      </w:r>
      <w:hyperlink r:id="rId4" w:history="1">
        <w:r w:rsidR="00465A7C" w:rsidRPr="00221236">
          <w:rPr>
            <w:rStyle w:val="Hyperlink"/>
            <w:sz w:val="14"/>
            <w:szCs w:val="14"/>
          </w:rPr>
          <w:t>Joint Submission to the Royal Commission into Victoria’s Mental Health System</w:t>
        </w:r>
      </w:hyperlink>
      <w:r w:rsidR="00465A7C" w:rsidRPr="00221236">
        <w:t xml:space="preserve">. July 2019. </w:t>
      </w:r>
      <w:r w:rsidRPr="00221236">
        <w:t>Page 7</w:t>
      </w:r>
      <w:r w:rsidR="00E32337">
        <w:t>.</w:t>
      </w:r>
    </w:p>
  </w:footnote>
  <w:footnote w:id="14">
    <w:p w14:paraId="14E48913" w14:textId="72C52B08" w:rsidR="005571A5" w:rsidRPr="005571A5" w:rsidRDefault="005571A5" w:rsidP="00A46C5A">
      <w:pPr>
        <w:pStyle w:val="Footer"/>
        <w:rPr>
          <w:lang w:val="en-AU"/>
        </w:rPr>
      </w:pPr>
      <w:r>
        <w:rPr>
          <w:rStyle w:val="FootnoteReference"/>
        </w:rPr>
        <w:footnoteRef/>
      </w:r>
      <w:r>
        <w:t xml:space="preserve"> </w:t>
      </w:r>
      <w:r w:rsidRPr="005571A5">
        <w:t xml:space="preserve">Stepped care represents an approach to deliver the right services, to the right people, at the right time and at the right cost. It is a national priority as outlined in the </w:t>
      </w:r>
      <w:r w:rsidR="001676EC">
        <w:t>F</w:t>
      </w:r>
      <w:r w:rsidRPr="005571A5">
        <w:t>ifth National Mental Health and Suicide Prevention Plan. It is also a key priority for the Victorian Government in the redesign of the mental health service system</w:t>
      </w:r>
      <w:r>
        <w:t xml:space="preserve"> (</w:t>
      </w:r>
      <w:r w:rsidRPr="005571A5">
        <w:t>State of Victoria, Department of Health and Human Services. Victorian Government submission to the Royal Commission into Victoria’s Mental Health System. July 2019</w:t>
      </w:r>
      <w:r>
        <w:t>)</w:t>
      </w:r>
      <w:r w:rsidRPr="005571A5">
        <w:t>.</w:t>
      </w:r>
    </w:p>
  </w:footnote>
  <w:footnote w:id="15">
    <w:p w14:paraId="547CF2A4" w14:textId="3C4AF953" w:rsidR="003C6835" w:rsidRPr="00221236" w:rsidRDefault="003C6835" w:rsidP="00531F28">
      <w:pPr>
        <w:pStyle w:val="Footer"/>
        <w:rPr>
          <w:lang w:val="en-AU"/>
        </w:rPr>
      </w:pPr>
      <w:r w:rsidRPr="00221236">
        <w:rPr>
          <w:rStyle w:val="FootnoteReference"/>
          <w:sz w:val="14"/>
          <w:szCs w:val="14"/>
        </w:rPr>
        <w:footnoteRef/>
      </w:r>
      <w:r w:rsidRPr="00221236">
        <w:t xml:space="preserve"> </w:t>
      </w:r>
      <w:r w:rsidRPr="00221236">
        <w:rPr>
          <w:lang w:val="en-AU"/>
        </w:rPr>
        <w:t>Royal Commission into Victoria’s Mental Health System. Final Report. February 2021.</w:t>
      </w:r>
      <w:r w:rsidRPr="00221236">
        <w:t xml:space="preserve"> Page 43.</w:t>
      </w:r>
      <w:r w:rsidR="006F24EC">
        <w:t>; Productivity Commission. Mental Health</w:t>
      </w:r>
      <w:r w:rsidR="00BD5DF4">
        <w:t xml:space="preserve"> Inquiry Report Volume 1. June 2020.</w:t>
      </w:r>
      <w:r w:rsidR="0021233A">
        <w:t xml:space="preserve"> Page 74.</w:t>
      </w:r>
    </w:p>
  </w:footnote>
  <w:footnote w:id="16">
    <w:p w14:paraId="384C8E6A" w14:textId="718C6ADF" w:rsidR="002749DD" w:rsidRPr="002749DD" w:rsidRDefault="002749DD" w:rsidP="00531F28">
      <w:pPr>
        <w:pStyle w:val="Footer"/>
        <w:rPr>
          <w:lang w:val="en-AU"/>
        </w:rPr>
      </w:pPr>
      <w:r w:rsidRPr="00221236">
        <w:rPr>
          <w:rStyle w:val="FootnoteReference"/>
          <w:sz w:val="14"/>
          <w:szCs w:val="14"/>
        </w:rPr>
        <w:footnoteRef/>
      </w:r>
      <w:r w:rsidRPr="00221236">
        <w:t xml:space="preserve"> </w:t>
      </w:r>
      <w:r w:rsidR="00221236" w:rsidRPr="00221236">
        <w:t xml:space="preserve">Premier of Victoria. </w:t>
      </w:r>
      <w:hyperlink r:id="rId5" w:history="1">
        <w:r w:rsidR="00221236" w:rsidRPr="00221236">
          <w:rPr>
            <w:rStyle w:val="Hyperlink"/>
            <w:sz w:val="14"/>
            <w:szCs w:val="14"/>
          </w:rPr>
          <w:t>Giving Victorians Mental Health Support Close to Home</w:t>
        </w:r>
      </w:hyperlink>
      <w:r w:rsidR="00221236" w:rsidRPr="00221236">
        <w:t>. March 2021.</w:t>
      </w:r>
    </w:p>
  </w:footnote>
  <w:footnote w:id="17">
    <w:p w14:paraId="3A48C5BD" w14:textId="7EE55257" w:rsidR="008805F5" w:rsidRPr="008805F5" w:rsidRDefault="008805F5" w:rsidP="00B342AA">
      <w:pPr>
        <w:pStyle w:val="Footer"/>
        <w:rPr>
          <w:lang w:val="en-AU"/>
        </w:rPr>
      </w:pPr>
      <w:r>
        <w:rPr>
          <w:rStyle w:val="FootnoteReference"/>
        </w:rPr>
        <w:footnoteRef/>
      </w:r>
      <w:r>
        <w:t xml:space="preserve"> </w:t>
      </w:r>
      <w:r>
        <w:rPr>
          <w:lang w:val="en-AU"/>
        </w:rPr>
        <w:t xml:space="preserve">Note: Mental Health Reform Victoria </w:t>
      </w:r>
      <w:r w:rsidR="00D13504">
        <w:rPr>
          <w:lang w:val="en-AU"/>
        </w:rPr>
        <w:t>was</w:t>
      </w:r>
      <w:r>
        <w:rPr>
          <w:lang w:val="en-AU"/>
        </w:rPr>
        <w:t xml:space="preserve"> subsequently </w:t>
      </w:r>
      <w:r w:rsidR="00D13504">
        <w:rPr>
          <w:lang w:val="en-AU"/>
        </w:rPr>
        <w:t xml:space="preserve">merged into a new Department for Mental Health and Wellbeing within the Victorian Governance. </w:t>
      </w:r>
    </w:p>
  </w:footnote>
  <w:footnote w:id="18">
    <w:p w14:paraId="618A20D5" w14:textId="77777777" w:rsidR="009D6A2C" w:rsidRPr="007B5821" w:rsidRDefault="009D6A2C" w:rsidP="00A34934">
      <w:pPr>
        <w:pStyle w:val="Footer"/>
        <w:rPr>
          <w:lang w:val="en-AU"/>
        </w:rPr>
      </w:pPr>
      <w:r>
        <w:rPr>
          <w:rStyle w:val="FootnoteReference"/>
        </w:rPr>
        <w:footnoteRef/>
      </w:r>
      <w:r>
        <w:t xml:space="preserve"> </w:t>
      </w:r>
      <w:r w:rsidRPr="00304EBB">
        <w:t>Noting there was dedicated roles only for the PMO, not stream activities.</w:t>
      </w:r>
    </w:p>
  </w:footnote>
  <w:footnote w:id="19">
    <w:p w14:paraId="1C6BD8B9" w14:textId="77777777" w:rsidR="00AB1B9C" w:rsidRPr="00C93AEA" w:rsidRDefault="00AB1B9C" w:rsidP="00AB1B9C">
      <w:pPr>
        <w:pStyle w:val="Footer"/>
      </w:pPr>
      <w:r>
        <w:rPr>
          <w:rStyle w:val="FootnoteReference"/>
        </w:rPr>
        <w:footnoteRef/>
      </w:r>
      <w:r w:rsidRPr="00C93AEA">
        <w:rPr>
          <w:vertAlign w:val="superscript"/>
        </w:rPr>
        <w:t xml:space="preserve"> </w:t>
      </w:r>
      <w:r w:rsidRPr="00C93AEA">
        <w:t xml:space="preserve">The measure of occasions of service contacts was used as a KPI to release the second and third tranches of funding. These tranches of funding aimed to provide ‘performing’ hubs with additional funding to increase their FTE. </w:t>
      </w:r>
      <w:r>
        <w:rPr>
          <w:rStyle w:val="FooterChar"/>
        </w:rPr>
        <w:t xml:space="preserve">The initial target occasion of service for </w:t>
      </w:r>
      <w:r w:rsidRPr="0005395D">
        <w:t>each hub to release tranche two funding was 3,000. However, hubs had different ways of measuring this. Note: the modelling completed for each PHN was different and exact occasions of service targets may vary.</w:t>
      </w:r>
    </w:p>
  </w:footnote>
  <w:footnote w:id="20">
    <w:p w14:paraId="252D9E82" w14:textId="77777777" w:rsidR="00F07A0B" w:rsidRPr="004D10E1" w:rsidRDefault="00F07A0B" w:rsidP="00F07A0B">
      <w:pPr>
        <w:pStyle w:val="Footer"/>
      </w:pPr>
      <w:r w:rsidRPr="004D10E1">
        <w:rPr>
          <w:rStyle w:val="FootnoteReference"/>
        </w:rPr>
        <w:footnoteRef/>
      </w:r>
      <w:r w:rsidRPr="004D10E1">
        <w:rPr>
          <w:vertAlign w:val="superscript"/>
        </w:rPr>
        <w:t xml:space="preserve"> </w:t>
      </w:r>
      <w:r w:rsidRPr="004D10E1">
        <w:t>May 2021 Taskforce Report.</w:t>
      </w:r>
    </w:p>
  </w:footnote>
  <w:footnote w:id="21">
    <w:p w14:paraId="5F1B6977" w14:textId="77777777" w:rsidR="00E05D10" w:rsidRPr="0019342D" w:rsidRDefault="00E05D10" w:rsidP="00E05D10">
      <w:pPr>
        <w:pStyle w:val="Footer"/>
        <w:rPr>
          <w:lang w:val="en-AU"/>
        </w:rPr>
      </w:pPr>
      <w:r>
        <w:rPr>
          <w:rStyle w:val="FootnoteReference"/>
        </w:rPr>
        <w:footnoteRef/>
      </w:r>
      <w:r>
        <w:t xml:space="preserve"> </w:t>
      </w:r>
      <w:r w:rsidRPr="0019342D">
        <w:t>Scores above 30 on the K10 indicate very high psychological distress</w:t>
      </w:r>
    </w:p>
  </w:footnote>
  <w:footnote w:id="22">
    <w:p w14:paraId="3C5CC341" w14:textId="7DC6805C" w:rsidR="00FE63B9" w:rsidRPr="000872D7" w:rsidRDefault="00FE63B9" w:rsidP="00FE63B9">
      <w:pPr>
        <w:pStyle w:val="FootnoteText"/>
        <w:rPr>
          <w:sz w:val="15"/>
          <w:szCs w:val="15"/>
          <w:lang w:val="en-AU"/>
        </w:rPr>
      </w:pPr>
      <w:r w:rsidRPr="009864FC">
        <w:rPr>
          <w:rStyle w:val="FootnoteReference"/>
          <w:sz w:val="15"/>
          <w:szCs w:val="15"/>
        </w:rPr>
        <w:footnoteRef/>
      </w:r>
      <w:r w:rsidRPr="009864FC">
        <w:rPr>
          <w:sz w:val="15"/>
          <w:szCs w:val="15"/>
        </w:rPr>
        <w:t xml:space="preserve"> </w:t>
      </w:r>
      <w:r w:rsidRPr="009864FC">
        <w:rPr>
          <w:sz w:val="15"/>
          <w:szCs w:val="15"/>
          <w:lang w:val="en-AU"/>
        </w:rPr>
        <w:t xml:space="preserve">See </w:t>
      </w:r>
      <w:r w:rsidR="003828C0">
        <w:rPr>
          <w:sz w:val="15"/>
          <w:szCs w:val="15"/>
          <w:lang w:val="en-AU"/>
        </w:rPr>
        <w:t xml:space="preserve">Appendix </w:t>
      </w:r>
      <w:r w:rsidR="00DC0A94">
        <w:rPr>
          <w:sz w:val="15"/>
          <w:szCs w:val="15"/>
          <w:lang w:val="en-AU"/>
        </w:rPr>
        <w:t xml:space="preserve">E </w:t>
      </w:r>
      <w:r w:rsidRPr="009864FC">
        <w:rPr>
          <w:sz w:val="15"/>
          <w:szCs w:val="15"/>
          <w:lang w:val="en-AU"/>
        </w:rPr>
        <w:t xml:space="preserve">for episode data detail. There are three kinds of episodes: intake episode with no episode of care; intake episode with </w:t>
      </w:r>
      <w:r w:rsidRPr="000872D7">
        <w:rPr>
          <w:sz w:val="15"/>
          <w:szCs w:val="15"/>
          <w:lang w:val="en-AU"/>
        </w:rPr>
        <w:t xml:space="preserve">episode of care; episode of care with no intake episode. </w:t>
      </w:r>
      <w:r w:rsidR="00AB7FD7">
        <w:rPr>
          <w:sz w:val="15"/>
          <w:szCs w:val="15"/>
          <w:lang w:val="en-AU"/>
        </w:rPr>
        <w:t>The slight discrepancy from the number of completed IARs above (9,964) is attributed to the different data sources for this figure – PHN intake data vs PHMC-MDS data.</w:t>
      </w:r>
    </w:p>
  </w:footnote>
  <w:footnote w:id="23">
    <w:p w14:paraId="4C8555EF" w14:textId="6104B064" w:rsidR="00415CCF" w:rsidRPr="00656B7A" w:rsidRDefault="00415CCF">
      <w:pPr>
        <w:pStyle w:val="FootnoteText"/>
        <w:rPr>
          <w:sz w:val="15"/>
          <w:szCs w:val="15"/>
          <w:lang w:val="en-AU"/>
        </w:rPr>
      </w:pPr>
      <w:r w:rsidRPr="00656B7A">
        <w:rPr>
          <w:rStyle w:val="FootnoteReference"/>
          <w:sz w:val="15"/>
          <w:szCs w:val="15"/>
        </w:rPr>
        <w:footnoteRef/>
      </w:r>
      <w:r w:rsidRPr="00656B7A">
        <w:rPr>
          <w:sz w:val="15"/>
          <w:szCs w:val="15"/>
        </w:rPr>
        <w:t xml:space="preserve"> </w:t>
      </w:r>
      <w:r w:rsidR="00656B7A" w:rsidRPr="00656B7A">
        <w:rPr>
          <w:sz w:val="15"/>
          <w:szCs w:val="15"/>
          <w:lang w:val="en-AU"/>
        </w:rPr>
        <w:t>An episode of care is a period of health care (e.g., a series of occasions of service)</w:t>
      </w:r>
      <w:r w:rsidR="007A748C" w:rsidRPr="00656B7A">
        <w:rPr>
          <w:sz w:val="15"/>
          <w:szCs w:val="15"/>
          <w:lang w:val="en-AU"/>
        </w:rPr>
        <w:t xml:space="preserve"> </w:t>
      </w:r>
      <w:r w:rsidR="00656B7A" w:rsidRPr="00656B7A">
        <w:rPr>
          <w:sz w:val="15"/>
          <w:szCs w:val="15"/>
          <w:lang w:val="en-AU"/>
        </w:rPr>
        <w:t>with a defined start and end</w:t>
      </w:r>
    </w:p>
  </w:footnote>
  <w:footnote w:id="24">
    <w:p w14:paraId="2A32EDB2" w14:textId="4364610D" w:rsidR="00FE63B9" w:rsidRPr="0075335A" w:rsidRDefault="00FE63B9" w:rsidP="00FE63B9">
      <w:pPr>
        <w:pStyle w:val="FootnoteText"/>
        <w:rPr>
          <w:sz w:val="15"/>
          <w:szCs w:val="15"/>
        </w:rPr>
      </w:pPr>
      <w:r w:rsidRPr="00B962D1">
        <w:rPr>
          <w:rStyle w:val="FootnoteReference"/>
          <w:sz w:val="15"/>
          <w:szCs w:val="15"/>
        </w:rPr>
        <w:footnoteRef/>
      </w:r>
      <w:r w:rsidRPr="00B962D1">
        <w:rPr>
          <w:sz w:val="15"/>
          <w:szCs w:val="15"/>
        </w:rPr>
        <w:t xml:space="preserve"> </w:t>
      </w:r>
      <w:r w:rsidRPr="000872D7">
        <w:rPr>
          <w:sz w:val="15"/>
          <w:szCs w:val="15"/>
        </w:rPr>
        <w:t xml:space="preserve">For people with more than </w:t>
      </w:r>
      <w:r>
        <w:rPr>
          <w:sz w:val="15"/>
          <w:szCs w:val="15"/>
        </w:rPr>
        <w:t>two</w:t>
      </w:r>
      <w:r w:rsidRPr="000872D7">
        <w:rPr>
          <w:sz w:val="15"/>
          <w:szCs w:val="15"/>
        </w:rPr>
        <w:t xml:space="preserve"> episodes, each gap </w:t>
      </w:r>
      <w:r>
        <w:rPr>
          <w:sz w:val="15"/>
          <w:szCs w:val="15"/>
        </w:rPr>
        <w:t>between services was</w:t>
      </w:r>
      <w:r w:rsidRPr="000872D7">
        <w:rPr>
          <w:sz w:val="15"/>
          <w:szCs w:val="15"/>
        </w:rPr>
        <w:t xml:space="preserve"> included</w:t>
      </w:r>
      <w:r>
        <w:rPr>
          <w:sz w:val="15"/>
          <w:szCs w:val="15"/>
        </w:rPr>
        <w:t xml:space="preserve"> in this analysis. For example,</w:t>
      </w:r>
      <w:r w:rsidRPr="000872D7">
        <w:rPr>
          <w:sz w:val="15"/>
          <w:szCs w:val="15"/>
        </w:rPr>
        <w:t xml:space="preserve"> the number of days between the first and second</w:t>
      </w:r>
      <w:r>
        <w:rPr>
          <w:sz w:val="15"/>
          <w:szCs w:val="15"/>
        </w:rPr>
        <w:t xml:space="preserve"> episodes</w:t>
      </w:r>
      <w:r w:rsidRPr="000872D7">
        <w:rPr>
          <w:sz w:val="15"/>
          <w:szCs w:val="15"/>
        </w:rPr>
        <w:t xml:space="preserve">, and the number of days between the second and third </w:t>
      </w:r>
      <w:r>
        <w:rPr>
          <w:sz w:val="15"/>
          <w:szCs w:val="15"/>
        </w:rPr>
        <w:t>episodes were</w:t>
      </w:r>
      <w:r w:rsidRPr="000872D7">
        <w:rPr>
          <w:sz w:val="15"/>
          <w:szCs w:val="15"/>
        </w:rPr>
        <w:t xml:space="preserve"> included. </w:t>
      </w:r>
    </w:p>
  </w:footnote>
  <w:footnote w:id="25">
    <w:p w14:paraId="0D72F275" w14:textId="5EFFDC03" w:rsidR="0052649A" w:rsidRPr="00B70FBA" w:rsidRDefault="0052649A" w:rsidP="0052649A">
      <w:pPr>
        <w:pStyle w:val="Footer"/>
        <w:rPr>
          <w:szCs w:val="15"/>
          <w:lang w:val="en-AU"/>
        </w:rPr>
      </w:pPr>
      <w:r w:rsidRPr="00B70FBA">
        <w:rPr>
          <w:rStyle w:val="FootnoteReference"/>
          <w:szCs w:val="15"/>
        </w:rPr>
        <w:footnoteRef/>
      </w:r>
      <w:r w:rsidRPr="00B70FBA">
        <w:rPr>
          <w:szCs w:val="15"/>
        </w:rPr>
        <w:t xml:space="preserve"> World Health Organi</w:t>
      </w:r>
      <w:r w:rsidR="009B27CE">
        <w:rPr>
          <w:szCs w:val="15"/>
        </w:rPr>
        <w:t>z</w:t>
      </w:r>
      <w:r w:rsidRPr="00B70FBA">
        <w:rPr>
          <w:szCs w:val="15"/>
        </w:rPr>
        <w:t>ation. Mental health and substance use.</w:t>
      </w:r>
    </w:p>
    <w:p w14:paraId="0DCC1D97" w14:textId="77777777" w:rsidR="0052649A" w:rsidRPr="00894ABD" w:rsidRDefault="005B0EE0" w:rsidP="0052649A">
      <w:pPr>
        <w:pStyle w:val="FootnoteText"/>
        <w:rPr>
          <w:sz w:val="15"/>
          <w:szCs w:val="15"/>
          <w:lang w:val="en-AU"/>
        </w:rPr>
      </w:pPr>
      <w:hyperlink r:id="rId6" w:history="1">
        <w:r w:rsidR="0052649A" w:rsidRPr="00B70FBA">
          <w:rPr>
            <w:rStyle w:val="Hyperlink"/>
            <w:sz w:val="15"/>
            <w:szCs w:val="15"/>
            <w:lang w:val="en-AU"/>
          </w:rPr>
          <w:t>https://www.who.int/teams/mental-health-and-substance-use/gender-and-women-s-mental-health</w:t>
        </w:r>
      </w:hyperlink>
    </w:p>
  </w:footnote>
  <w:footnote w:id="26">
    <w:p w14:paraId="6A97EE56" w14:textId="77777777" w:rsidR="0052649A" w:rsidRPr="00D318C4" w:rsidRDefault="0052649A" w:rsidP="0052649A">
      <w:pPr>
        <w:pStyle w:val="FootnoteText"/>
        <w:rPr>
          <w:sz w:val="15"/>
          <w:szCs w:val="15"/>
          <w:lang w:val="en-AU"/>
        </w:rPr>
      </w:pPr>
      <w:r w:rsidRPr="00D318C4">
        <w:rPr>
          <w:rStyle w:val="FootnoteReference"/>
          <w:sz w:val="15"/>
          <w:szCs w:val="15"/>
        </w:rPr>
        <w:footnoteRef/>
      </w:r>
      <w:r w:rsidRPr="00D318C4">
        <w:rPr>
          <w:sz w:val="15"/>
          <w:szCs w:val="15"/>
        </w:rPr>
        <w:t xml:space="preserve"> The age of 446 participants were missing in the data</w:t>
      </w:r>
      <w:r>
        <w:rPr>
          <w:sz w:val="15"/>
          <w:szCs w:val="15"/>
        </w:rPr>
        <w:t xml:space="preserve"> and omitted from any analysis involving participants’ age. </w:t>
      </w:r>
    </w:p>
  </w:footnote>
  <w:footnote w:id="27">
    <w:p w14:paraId="0C6C12B1" w14:textId="77777777" w:rsidR="0052649A" w:rsidRPr="00D318C4" w:rsidRDefault="0052649A" w:rsidP="0052649A">
      <w:pPr>
        <w:pStyle w:val="FootnoteText"/>
        <w:rPr>
          <w:sz w:val="15"/>
          <w:szCs w:val="15"/>
          <w:lang w:val="en-AU"/>
        </w:rPr>
      </w:pPr>
      <w:r w:rsidRPr="00D318C4">
        <w:rPr>
          <w:rStyle w:val="FootnoteReference"/>
          <w:sz w:val="15"/>
          <w:szCs w:val="15"/>
        </w:rPr>
        <w:footnoteRef/>
      </w:r>
      <w:r w:rsidRPr="00D318C4">
        <w:rPr>
          <w:sz w:val="15"/>
          <w:szCs w:val="15"/>
        </w:rPr>
        <w:t xml:space="preserve"> </w:t>
      </w:r>
      <w:r w:rsidRPr="00D318C4">
        <w:rPr>
          <w:sz w:val="15"/>
          <w:szCs w:val="15"/>
          <w:lang w:val="en-AU"/>
        </w:rPr>
        <w:t>Note the totals may not add up between the two charts. Participants who did not state their gender or did not identify as male or female were omitted from the pyramid chart.</w:t>
      </w:r>
    </w:p>
  </w:footnote>
  <w:footnote w:id="28">
    <w:p w14:paraId="2AE98C32" w14:textId="63B297BE" w:rsidR="00B31276" w:rsidRPr="00B70FBA" w:rsidRDefault="00B31276" w:rsidP="00B31276">
      <w:pPr>
        <w:pStyle w:val="Footer"/>
        <w:rPr>
          <w:szCs w:val="15"/>
          <w:lang w:val="en-AU"/>
        </w:rPr>
      </w:pPr>
      <w:r w:rsidRPr="00B70FBA">
        <w:rPr>
          <w:rStyle w:val="FootnoteReference"/>
          <w:szCs w:val="15"/>
        </w:rPr>
        <w:footnoteRef/>
      </w:r>
      <w:r w:rsidRPr="00B70FBA">
        <w:rPr>
          <w:szCs w:val="15"/>
        </w:rPr>
        <w:t xml:space="preserve"> In the </w:t>
      </w:r>
      <w:r w:rsidR="00160D51" w:rsidRPr="00160D51">
        <w:rPr>
          <w:szCs w:val="15"/>
        </w:rPr>
        <w:t>WVPHN</w:t>
      </w:r>
      <w:r w:rsidRPr="00B70FBA">
        <w:rPr>
          <w:szCs w:val="15"/>
        </w:rPr>
        <w:t xml:space="preserve"> 2019 needs assessment, parents and carers identified accessibility of services as one of two main barriers for the treatment of people aged </w:t>
      </w:r>
      <w:r w:rsidR="00C97FD3">
        <w:rPr>
          <w:szCs w:val="15"/>
        </w:rPr>
        <w:t>four</w:t>
      </w:r>
      <w:r w:rsidRPr="00B70FBA">
        <w:rPr>
          <w:szCs w:val="15"/>
        </w:rPr>
        <w:t xml:space="preserve"> to 17, of which 32.6</w:t>
      </w:r>
      <w:r w:rsidR="00B72231" w:rsidRPr="00B72231">
        <w:t xml:space="preserve"> </w:t>
      </w:r>
      <w:r w:rsidR="00B72231" w:rsidRPr="00B72231">
        <w:rPr>
          <w:szCs w:val="15"/>
        </w:rPr>
        <w:t>per cent</w:t>
      </w:r>
      <w:r w:rsidRPr="00B70FBA">
        <w:rPr>
          <w:szCs w:val="15"/>
        </w:rPr>
        <w:t xml:space="preserve"> were able to access mental health treatment when needed compared to 41.6 per cent Victoria-wide. </w:t>
      </w:r>
      <w:r w:rsidR="00160D51" w:rsidRPr="00160D51">
        <w:rPr>
          <w:szCs w:val="15"/>
        </w:rPr>
        <w:t>WVPHN</w:t>
      </w:r>
      <w:r w:rsidRPr="00B70FBA">
        <w:rPr>
          <w:szCs w:val="15"/>
        </w:rPr>
        <w:t xml:space="preserve">. Needs Assessment Report 2019. December 2019. </w:t>
      </w:r>
      <w:hyperlink r:id="rId7" w:history="1">
        <w:r w:rsidRPr="00B70FBA">
          <w:rPr>
            <w:rStyle w:val="Hyperlink"/>
            <w:szCs w:val="15"/>
          </w:rPr>
          <w:t>https://westvicphn.com.au/wp-content/uploads/2020/03/WVPHN-Needs-Assessment-2019.pdf</w:t>
        </w:r>
      </w:hyperlink>
      <w:r w:rsidRPr="00B70FBA">
        <w:rPr>
          <w:szCs w:val="15"/>
        </w:rPr>
        <w:t xml:space="preserve">; In the 2019-2022 needs assessment, </w:t>
      </w:r>
      <w:r w:rsidR="00160D51" w:rsidRPr="00160D51">
        <w:rPr>
          <w:szCs w:val="15"/>
        </w:rPr>
        <w:t>GPHN</w:t>
      </w:r>
      <w:r w:rsidRPr="00B70FBA">
        <w:rPr>
          <w:szCs w:val="15"/>
        </w:rPr>
        <w:t xml:space="preserve"> found that less than half of parents surveyed would be able to afford the support they would need for themselves or their children if they were experiencing a mental health issue. </w:t>
      </w:r>
      <w:r w:rsidR="00160D51" w:rsidRPr="00160D51">
        <w:rPr>
          <w:szCs w:val="15"/>
        </w:rPr>
        <w:t>GPHN</w:t>
      </w:r>
      <w:r w:rsidRPr="00B70FBA">
        <w:rPr>
          <w:szCs w:val="15"/>
        </w:rPr>
        <w:t xml:space="preserve">. Needs assessment 2019-2022. November 2018. </w:t>
      </w:r>
      <w:hyperlink r:id="rId8" w:history="1">
        <w:r w:rsidRPr="00B70FBA">
          <w:rPr>
            <w:rStyle w:val="Hyperlink"/>
            <w:szCs w:val="15"/>
          </w:rPr>
          <w:t>https://www.gphn.org.au/wp-content/uploads/2019/02/GPHN-Needs-Assessment-Report-July-2019-June-2022.pdf</w:t>
        </w:r>
      </w:hyperlink>
    </w:p>
  </w:footnote>
  <w:footnote w:id="29">
    <w:p w14:paraId="5CB429D0" w14:textId="47B71C77" w:rsidR="00B31276" w:rsidRPr="00B70FBA" w:rsidRDefault="00B31276" w:rsidP="00B31276">
      <w:pPr>
        <w:pStyle w:val="FootnoteText"/>
        <w:rPr>
          <w:lang w:val="en-AU"/>
        </w:rPr>
      </w:pPr>
      <w:r w:rsidRPr="00B70FBA">
        <w:rPr>
          <w:rStyle w:val="FootnoteReference"/>
          <w:sz w:val="15"/>
          <w:szCs w:val="15"/>
        </w:rPr>
        <w:footnoteRef/>
      </w:r>
      <w:r w:rsidRPr="00B70FBA">
        <w:rPr>
          <w:sz w:val="15"/>
          <w:szCs w:val="15"/>
        </w:rPr>
        <w:t xml:space="preserve"> </w:t>
      </w:r>
      <w:r w:rsidRPr="00B70FBA">
        <w:rPr>
          <w:sz w:val="15"/>
          <w:szCs w:val="15"/>
          <w:lang w:val="en-AU"/>
        </w:rPr>
        <w:t>Ibid</w:t>
      </w:r>
      <w:r w:rsidR="00F416BB">
        <w:rPr>
          <w:sz w:val="15"/>
          <w:szCs w:val="15"/>
          <w:lang w:val="en-AU"/>
        </w:rPr>
        <w:t>.</w:t>
      </w:r>
    </w:p>
  </w:footnote>
  <w:footnote w:id="30">
    <w:p w14:paraId="2E6889EC" w14:textId="77777777" w:rsidR="005423F4" w:rsidRPr="00297EDB" w:rsidRDefault="005423F4" w:rsidP="005423F4">
      <w:pPr>
        <w:pStyle w:val="FootnoteText"/>
        <w:rPr>
          <w:sz w:val="15"/>
          <w:szCs w:val="15"/>
          <w:lang w:val="en-AU"/>
        </w:rPr>
      </w:pPr>
      <w:r w:rsidRPr="00297EDB">
        <w:rPr>
          <w:rStyle w:val="FootnoteReference"/>
          <w:sz w:val="15"/>
          <w:szCs w:val="15"/>
        </w:rPr>
        <w:footnoteRef/>
      </w:r>
      <w:r w:rsidRPr="00297EDB">
        <w:rPr>
          <w:sz w:val="15"/>
          <w:szCs w:val="15"/>
        </w:rPr>
        <w:t xml:space="preserve"> </w:t>
      </w:r>
      <w:r>
        <w:rPr>
          <w:sz w:val="15"/>
          <w:szCs w:val="15"/>
        </w:rPr>
        <w:t xml:space="preserve">Noting that this is from the 2016 census. </w:t>
      </w:r>
      <w:r w:rsidRPr="00297EDB">
        <w:rPr>
          <w:sz w:val="15"/>
          <w:szCs w:val="15"/>
        </w:rPr>
        <w:t xml:space="preserve">Australian </w:t>
      </w:r>
      <w:r>
        <w:rPr>
          <w:sz w:val="15"/>
          <w:szCs w:val="15"/>
        </w:rPr>
        <w:t>Bureau of Statistics</w:t>
      </w:r>
      <w:r w:rsidRPr="00297EDB">
        <w:rPr>
          <w:sz w:val="15"/>
          <w:szCs w:val="15"/>
        </w:rPr>
        <w:t xml:space="preserve">. </w:t>
      </w:r>
      <w:hyperlink r:id="rId9" w:history="1">
        <w:r w:rsidRPr="00511538">
          <w:rPr>
            <w:rStyle w:val="Hyperlink"/>
            <w:sz w:val="15"/>
            <w:szCs w:val="15"/>
          </w:rPr>
          <w:t>2071.0 – Census of the Population and Housing: reflecting Australia – Stories from the Census, 2016.</w:t>
        </w:r>
      </w:hyperlink>
      <w:r w:rsidRPr="00297EDB" w:rsidDel="00511538">
        <w:rPr>
          <w:sz w:val="15"/>
          <w:szCs w:val="15"/>
        </w:rPr>
        <w:t xml:space="preserve"> </w:t>
      </w:r>
    </w:p>
  </w:footnote>
  <w:footnote w:id="31">
    <w:p w14:paraId="7B7FDC5A" w14:textId="77777777" w:rsidR="005423F4" w:rsidRPr="002F1550" w:rsidRDefault="005423F4" w:rsidP="005423F4">
      <w:pPr>
        <w:pStyle w:val="FootnoteText"/>
        <w:rPr>
          <w:lang w:val="en-AU"/>
        </w:rPr>
      </w:pPr>
      <w:r w:rsidRPr="00297EDB">
        <w:rPr>
          <w:rStyle w:val="FootnoteReference"/>
          <w:sz w:val="15"/>
          <w:szCs w:val="15"/>
        </w:rPr>
        <w:footnoteRef/>
      </w:r>
      <w:r w:rsidRPr="00297EDB">
        <w:rPr>
          <w:sz w:val="15"/>
          <w:szCs w:val="15"/>
        </w:rPr>
        <w:t xml:space="preserve"> Ibid.</w:t>
      </w:r>
    </w:p>
  </w:footnote>
  <w:footnote w:id="32">
    <w:p w14:paraId="73355CAE" w14:textId="77777777" w:rsidR="005423F4" w:rsidRPr="00C71602" w:rsidRDefault="005423F4" w:rsidP="005423F4">
      <w:pPr>
        <w:pStyle w:val="FootnoteText"/>
        <w:rPr>
          <w:sz w:val="15"/>
          <w:szCs w:val="15"/>
          <w:lang w:val="en-AU"/>
        </w:rPr>
      </w:pPr>
      <w:r>
        <w:rPr>
          <w:rStyle w:val="FootnoteReference"/>
        </w:rPr>
        <w:footnoteRef/>
      </w:r>
      <w:r>
        <w:t xml:space="preserve"> </w:t>
      </w:r>
      <w:r w:rsidRPr="00297EDB">
        <w:rPr>
          <w:sz w:val="15"/>
          <w:szCs w:val="15"/>
        </w:rPr>
        <w:t xml:space="preserve">Australian Institute of Health and Welfare. Indigenous health and wellbeing. </w:t>
      </w:r>
      <w:hyperlink r:id="rId10" w:history="1">
        <w:r w:rsidRPr="00297EDB">
          <w:rPr>
            <w:rStyle w:val="Hyperlink"/>
            <w:sz w:val="15"/>
            <w:szCs w:val="15"/>
          </w:rPr>
          <w:t>https://www.aihw.gov.au/reports/australias-health/indigenous-health-and-wellbeing</w:t>
        </w:r>
      </w:hyperlink>
    </w:p>
  </w:footnote>
  <w:footnote w:id="33">
    <w:p w14:paraId="6131864E" w14:textId="77777777" w:rsidR="005423F4" w:rsidRPr="00C71602" w:rsidRDefault="005423F4" w:rsidP="005423F4">
      <w:pPr>
        <w:pStyle w:val="FootnoteText"/>
        <w:rPr>
          <w:sz w:val="15"/>
          <w:szCs w:val="15"/>
          <w:lang w:val="en-AU"/>
        </w:rPr>
      </w:pPr>
      <w:r w:rsidRPr="00C71602">
        <w:rPr>
          <w:rStyle w:val="FootnoteReference"/>
          <w:sz w:val="15"/>
          <w:szCs w:val="15"/>
        </w:rPr>
        <w:footnoteRef/>
      </w:r>
      <w:r w:rsidRPr="00C71602">
        <w:rPr>
          <w:sz w:val="15"/>
          <w:szCs w:val="15"/>
        </w:rPr>
        <w:t xml:space="preserve"> </w:t>
      </w:r>
      <w:r>
        <w:rPr>
          <w:sz w:val="15"/>
          <w:szCs w:val="15"/>
        </w:rPr>
        <w:t xml:space="preserve">Noting that this data is from the 2016 census and is likely to be higher in 2021. </w:t>
      </w:r>
      <w:r w:rsidRPr="00C71602">
        <w:rPr>
          <w:sz w:val="15"/>
          <w:szCs w:val="15"/>
          <w:lang w:val="en-AU"/>
        </w:rPr>
        <w:t xml:space="preserve">Australian Bureau of Statistics. 2071.0 </w:t>
      </w:r>
      <w:hyperlink r:id="rId11" w:history="1">
        <w:r w:rsidRPr="00C71602">
          <w:rPr>
            <w:rStyle w:val="Hyperlink"/>
            <w:sz w:val="15"/>
            <w:szCs w:val="15"/>
            <w:lang w:val="en-AU"/>
          </w:rPr>
          <w:t>Census of Population and Housing: Reflecting Australia – Stories from the Census, 2016</w:t>
        </w:r>
      </w:hyperlink>
      <w:r w:rsidRPr="00C71602">
        <w:rPr>
          <w:sz w:val="15"/>
          <w:szCs w:val="15"/>
          <w:lang w:val="en-AU"/>
        </w:rPr>
        <w:t xml:space="preserve">. June 2017. </w:t>
      </w:r>
    </w:p>
  </w:footnote>
  <w:footnote w:id="34">
    <w:p w14:paraId="2C32F7FA" w14:textId="6191B416" w:rsidR="002E7DBC" w:rsidRPr="00062D75" w:rsidRDefault="002E7DBC" w:rsidP="002E7DBC">
      <w:pPr>
        <w:pStyle w:val="FootnoteText"/>
        <w:rPr>
          <w:sz w:val="15"/>
          <w:szCs w:val="15"/>
          <w:lang w:val="en-AU"/>
        </w:rPr>
      </w:pPr>
      <w:r w:rsidRPr="00062D75">
        <w:rPr>
          <w:rStyle w:val="FootnoteReference"/>
          <w:sz w:val="15"/>
          <w:szCs w:val="15"/>
        </w:rPr>
        <w:footnoteRef/>
      </w:r>
      <w:r w:rsidRPr="00062D75">
        <w:rPr>
          <w:sz w:val="15"/>
          <w:szCs w:val="15"/>
        </w:rPr>
        <w:t xml:space="preserve"> </w:t>
      </w:r>
      <w:r w:rsidRPr="00062D75">
        <w:rPr>
          <w:sz w:val="15"/>
          <w:szCs w:val="15"/>
          <w:lang w:val="en-AU"/>
        </w:rPr>
        <w:t xml:space="preserve">People seen in primary care who score </w:t>
      </w:r>
      <w:r>
        <w:rPr>
          <w:sz w:val="15"/>
          <w:szCs w:val="15"/>
          <w:lang w:val="en-AU"/>
        </w:rPr>
        <w:t xml:space="preserve">30 </w:t>
      </w:r>
      <w:r w:rsidRPr="00062D75">
        <w:rPr>
          <w:sz w:val="15"/>
          <w:szCs w:val="15"/>
          <w:lang w:val="en-AU"/>
        </w:rPr>
        <w:t xml:space="preserve">and over </w:t>
      </w:r>
      <w:r>
        <w:rPr>
          <w:sz w:val="15"/>
          <w:szCs w:val="15"/>
          <w:lang w:val="en-AU"/>
        </w:rPr>
        <w:t xml:space="preserve">on the K10 </w:t>
      </w:r>
      <w:r w:rsidRPr="00062D75">
        <w:rPr>
          <w:sz w:val="15"/>
          <w:szCs w:val="15"/>
          <w:lang w:val="en-AU"/>
        </w:rPr>
        <w:t xml:space="preserve">are likely to have </w:t>
      </w:r>
      <w:r>
        <w:rPr>
          <w:sz w:val="15"/>
          <w:szCs w:val="15"/>
          <w:lang w:val="en-AU"/>
        </w:rPr>
        <w:t>very high psychological distress.</w:t>
      </w:r>
      <w:r w:rsidRPr="00062D75">
        <w:rPr>
          <w:sz w:val="15"/>
          <w:szCs w:val="15"/>
          <w:lang w:val="en-AU"/>
        </w:rPr>
        <w:t xml:space="preserve"> This </w:t>
      </w:r>
      <w:proofErr w:type="gramStart"/>
      <w:r w:rsidRPr="00062D75">
        <w:rPr>
          <w:sz w:val="15"/>
          <w:szCs w:val="15"/>
          <w:lang w:val="en-AU"/>
        </w:rPr>
        <w:t>is,</w:t>
      </w:r>
      <w:proofErr w:type="gramEnd"/>
      <w:r w:rsidRPr="00062D75">
        <w:rPr>
          <w:sz w:val="15"/>
          <w:szCs w:val="15"/>
          <w:lang w:val="en-AU"/>
        </w:rPr>
        <w:t xml:space="preserve"> however, a screening instrument and practitioners are expected to make clinical judgements. </w:t>
      </w:r>
      <w:r>
        <w:rPr>
          <w:sz w:val="15"/>
          <w:szCs w:val="15"/>
          <w:lang w:val="en-AU"/>
        </w:rPr>
        <w:t xml:space="preserve">Australian Institute of Health and Welfare. </w:t>
      </w:r>
      <w:hyperlink r:id="rId12" w:history="1">
        <w:r w:rsidRPr="00360D47">
          <w:rPr>
            <w:rStyle w:val="Hyperlink"/>
            <w:sz w:val="15"/>
            <w:szCs w:val="15"/>
            <w:lang w:val="en-AU"/>
          </w:rPr>
          <w:t>Adults with very high levels of psychological distress, 2018</w:t>
        </w:r>
      </w:hyperlink>
      <w:r>
        <w:rPr>
          <w:sz w:val="15"/>
          <w:szCs w:val="15"/>
          <w:lang w:val="en-AU"/>
        </w:rPr>
        <w:t>. 2018.</w:t>
      </w:r>
    </w:p>
  </w:footnote>
  <w:footnote w:id="35">
    <w:p w14:paraId="3A5FECDD" w14:textId="4AE79025" w:rsidR="002E7DBC" w:rsidRPr="008636A2" w:rsidRDefault="002E7DBC" w:rsidP="002E7DBC">
      <w:pPr>
        <w:pStyle w:val="FootnoteText"/>
        <w:rPr>
          <w:sz w:val="15"/>
          <w:szCs w:val="15"/>
          <w:lang w:val="en-AU"/>
        </w:rPr>
      </w:pPr>
      <w:r w:rsidRPr="008636A2">
        <w:rPr>
          <w:rStyle w:val="FootnoteReference"/>
          <w:sz w:val="15"/>
          <w:szCs w:val="15"/>
        </w:rPr>
        <w:footnoteRef/>
      </w:r>
      <w:r w:rsidRPr="008636A2">
        <w:rPr>
          <w:sz w:val="15"/>
          <w:szCs w:val="15"/>
        </w:rPr>
        <w:t xml:space="preserve"> </w:t>
      </w:r>
      <w:r w:rsidRPr="008636A2">
        <w:rPr>
          <w:sz w:val="15"/>
          <w:szCs w:val="15"/>
          <w:lang w:val="en-AU"/>
        </w:rPr>
        <w:t>The diagnostic categories within the PMHC-MDS data include a mix of diagnostic and symptom categories to reflect the fact that people who do</w:t>
      </w:r>
      <w:r w:rsidR="009C1FEB">
        <w:rPr>
          <w:sz w:val="15"/>
          <w:szCs w:val="15"/>
          <w:lang w:val="en-AU"/>
        </w:rPr>
        <w:t xml:space="preserve"> no</w:t>
      </w:r>
      <w:r w:rsidRPr="008636A2">
        <w:rPr>
          <w:sz w:val="15"/>
          <w:szCs w:val="15"/>
          <w:lang w:val="en-AU"/>
        </w:rPr>
        <w:t>t meet full diagnostic criteria can access services (rather than that their diagnosis is unavailable).</w:t>
      </w:r>
    </w:p>
  </w:footnote>
  <w:footnote w:id="36">
    <w:p w14:paraId="0D0EB939" w14:textId="77777777" w:rsidR="002E7DBC" w:rsidRPr="00822FED" w:rsidRDefault="002E7DBC" w:rsidP="002E7DBC">
      <w:pPr>
        <w:pStyle w:val="FootnoteText"/>
        <w:rPr>
          <w:sz w:val="15"/>
          <w:szCs w:val="15"/>
          <w:lang w:val="en-AU"/>
        </w:rPr>
      </w:pPr>
      <w:r w:rsidRPr="00822FED">
        <w:rPr>
          <w:rStyle w:val="FootnoteReference"/>
          <w:sz w:val="15"/>
          <w:szCs w:val="15"/>
        </w:rPr>
        <w:footnoteRef/>
      </w:r>
      <w:r w:rsidRPr="00822FED">
        <w:rPr>
          <w:sz w:val="15"/>
          <w:szCs w:val="15"/>
        </w:rPr>
        <w:t xml:space="preserve"> World Health Organization, COVID-19 disrupting mental health services in most countries, WHO survey. October 2020. </w:t>
      </w:r>
      <w:hyperlink r:id="rId13" w:history="1">
        <w:r w:rsidRPr="00822FED">
          <w:rPr>
            <w:rStyle w:val="Hyperlink"/>
            <w:sz w:val="15"/>
            <w:szCs w:val="15"/>
          </w:rPr>
          <w:t>https://www.who.int/news/item/05-10-2020-covid-19-disrupting-mental-health-services-in-most-countries-who-survey</w:t>
        </w:r>
      </w:hyperlink>
    </w:p>
  </w:footnote>
  <w:footnote w:id="37">
    <w:p w14:paraId="08E47882" w14:textId="77777777" w:rsidR="002E7DBC" w:rsidRPr="00822FED" w:rsidRDefault="002E7DBC" w:rsidP="002E7DBC">
      <w:pPr>
        <w:pStyle w:val="FootnoteText"/>
        <w:rPr>
          <w:sz w:val="15"/>
          <w:szCs w:val="15"/>
          <w:lang w:val="en-AU"/>
        </w:rPr>
      </w:pPr>
      <w:r w:rsidRPr="00822FED">
        <w:rPr>
          <w:rStyle w:val="FootnoteReference"/>
          <w:sz w:val="15"/>
          <w:szCs w:val="15"/>
        </w:rPr>
        <w:footnoteRef/>
      </w:r>
      <w:r w:rsidRPr="00822FED">
        <w:rPr>
          <w:sz w:val="15"/>
          <w:szCs w:val="15"/>
        </w:rPr>
        <w:t xml:space="preserve"> </w:t>
      </w:r>
      <w:proofErr w:type="spellStart"/>
      <w:r>
        <w:rPr>
          <w:sz w:val="15"/>
          <w:szCs w:val="15"/>
        </w:rPr>
        <w:t>Herrman</w:t>
      </w:r>
      <w:proofErr w:type="spellEnd"/>
      <w:r>
        <w:rPr>
          <w:sz w:val="15"/>
          <w:szCs w:val="15"/>
        </w:rPr>
        <w:t xml:space="preserve">, H &amp; </w:t>
      </w:r>
      <w:proofErr w:type="spellStart"/>
      <w:r>
        <w:rPr>
          <w:sz w:val="15"/>
          <w:szCs w:val="15"/>
        </w:rPr>
        <w:t>Kieling</w:t>
      </w:r>
      <w:proofErr w:type="spellEnd"/>
      <w:r>
        <w:rPr>
          <w:sz w:val="15"/>
          <w:szCs w:val="15"/>
        </w:rPr>
        <w:t xml:space="preserve">, C. Symptoms of depression and anxiety during the COVID-19 pandemic: implications for mental health. Medical Journal of Australia; 214 (10). June 2021. </w:t>
      </w:r>
      <w:hyperlink r:id="rId14" w:history="1">
        <w:r w:rsidRPr="00F70035">
          <w:rPr>
            <w:rStyle w:val="Hyperlink"/>
            <w:sz w:val="15"/>
            <w:szCs w:val="15"/>
          </w:rPr>
          <w:t>https://www.mja.com.au/journal/2021/214/10/symptoms-depression-and-anxiety-during-covid-19-pandemic-implications-mental</w:t>
        </w:r>
      </w:hyperlink>
    </w:p>
  </w:footnote>
  <w:footnote w:id="38">
    <w:p w14:paraId="3FEFBA90" w14:textId="77777777" w:rsidR="002E7DBC" w:rsidRPr="00F8608F" w:rsidRDefault="002E7DBC" w:rsidP="002E7DBC">
      <w:pPr>
        <w:pStyle w:val="FootnoteText"/>
        <w:rPr>
          <w:sz w:val="15"/>
          <w:szCs w:val="15"/>
          <w:lang w:val="en-AU"/>
        </w:rPr>
      </w:pPr>
      <w:r w:rsidRPr="00F8608F">
        <w:rPr>
          <w:rStyle w:val="FootnoteReference"/>
          <w:sz w:val="15"/>
          <w:szCs w:val="15"/>
        </w:rPr>
        <w:footnoteRef/>
      </w:r>
      <w:r w:rsidRPr="00F8608F">
        <w:rPr>
          <w:sz w:val="15"/>
          <w:szCs w:val="15"/>
        </w:rPr>
        <w:t xml:space="preserve"> </w:t>
      </w:r>
      <w:r w:rsidRPr="00F8608F">
        <w:rPr>
          <w:sz w:val="15"/>
          <w:szCs w:val="15"/>
          <w:lang w:val="en-AU"/>
        </w:rPr>
        <w:t xml:space="preserve">National Institute for Health and Care Excellence. Common mental health problems: identification and pathways to care. May 2011. </w:t>
      </w:r>
    </w:p>
  </w:footnote>
  <w:footnote w:id="39">
    <w:p w14:paraId="01FB5996" w14:textId="74FCAD64" w:rsidR="00DC1326" w:rsidRPr="00CC3AED" w:rsidRDefault="00DC1326">
      <w:pPr>
        <w:pStyle w:val="FootnoteText"/>
        <w:rPr>
          <w:sz w:val="15"/>
          <w:szCs w:val="15"/>
          <w:lang w:val="en-AU"/>
        </w:rPr>
      </w:pPr>
      <w:r w:rsidRPr="00CC3AED">
        <w:rPr>
          <w:rStyle w:val="FootnoteReference"/>
          <w:sz w:val="15"/>
          <w:szCs w:val="15"/>
        </w:rPr>
        <w:footnoteRef/>
      </w:r>
      <w:r w:rsidRPr="00CC3AED">
        <w:rPr>
          <w:sz w:val="15"/>
          <w:szCs w:val="15"/>
        </w:rPr>
        <w:t xml:space="preserve"> </w:t>
      </w:r>
      <w:r w:rsidRPr="00CC3AED">
        <w:rPr>
          <w:sz w:val="15"/>
          <w:szCs w:val="15"/>
          <w:lang w:val="en-AU"/>
        </w:rPr>
        <w:t xml:space="preserve">It should be noted that </w:t>
      </w:r>
      <w:r w:rsidR="001B2A0C" w:rsidRPr="00CC3AED">
        <w:rPr>
          <w:sz w:val="15"/>
          <w:szCs w:val="15"/>
          <w:lang w:val="en-AU"/>
        </w:rPr>
        <w:t>an average of 42 per cent of participant’s prescription history in</w:t>
      </w:r>
      <w:r w:rsidRPr="00CC3AED">
        <w:rPr>
          <w:sz w:val="15"/>
          <w:szCs w:val="15"/>
          <w:lang w:val="en-AU"/>
        </w:rPr>
        <w:t xml:space="preserve"> each of the medication subgroups antidepressants, </w:t>
      </w:r>
      <w:r w:rsidR="00473697" w:rsidRPr="00CC3AED">
        <w:rPr>
          <w:sz w:val="15"/>
          <w:szCs w:val="15"/>
          <w:lang w:val="en-AU"/>
        </w:rPr>
        <w:t>antipsychotics</w:t>
      </w:r>
      <w:r w:rsidRPr="00CC3AED">
        <w:rPr>
          <w:sz w:val="15"/>
          <w:szCs w:val="15"/>
          <w:lang w:val="en-AU"/>
        </w:rPr>
        <w:t xml:space="preserve">, anxiolytics, </w:t>
      </w:r>
      <w:proofErr w:type="gramStart"/>
      <w:r w:rsidRPr="00CC3AED">
        <w:rPr>
          <w:sz w:val="15"/>
          <w:szCs w:val="15"/>
          <w:lang w:val="en-AU"/>
        </w:rPr>
        <w:t>hypnotics</w:t>
      </w:r>
      <w:proofErr w:type="gramEnd"/>
      <w:r w:rsidRPr="00CC3AED">
        <w:rPr>
          <w:sz w:val="15"/>
          <w:szCs w:val="15"/>
          <w:lang w:val="en-AU"/>
        </w:rPr>
        <w:t xml:space="preserve"> and psychostimulants as </w:t>
      </w:r>
      <w:r w:rsidR="00473697" w:rsidRPr="00CC3AED">
        <w:rPr>
          <w:sz w:val="15"/>
          <w:szCs w:val="15"/>
          <w:lang w:val="en-AU"/>
        </w:rPr>
        <w:t>prescribed</w:t>
      </w:r>
      <w:r w:rsidRPr="00CC3AED">
        <w:rPr>
          <w:sz w:val="15"/>
          <w:szCs w:val="15"/>
          <w:lang w:val="en-AU"/>
        </w:rPr>
        <w:t xml:space="preserve"> in the PMHC-MDS</w:t>
      </w:r>
      <w:r w:rsidR="001B2A0C" w:rsidRPr="00CC3AED">
        <w:rPr>
          <w:sz w:val="15"/>
          <w:szCs w:val="15"/>
          <w:lang w:val="en-AU"/>
        </w:rPr>
        <w:t xml:space="preserve"> was not known.</w:t>
      </w:r>
    </w:p>
  </w:footnote>
  <w:footnote w:id="40">
    <w:p w14:paraId="6AD50E03" w14:textId="77777777" w:rsidR="002E7DBC" w:rsidRPr="00372CB0" w:rsidRDefault="002E7DBC" w:rsidP="002E7DBC">
      <w:pPr>
        <w:pStyle w:val="FootnoteText"/>
        <w:rPr>
          <w:sz w:val="15"/>
          <w:szCs w:val="15"/>
          <w:lang w:val="en-AU"/>
        </w:rPr>
      </w:pPr>
      <w:r w:rsidRPr="00F8608F">
        <w:rPr>
          <w:rStyle w:val="FootnoteReference"/>
          <w:sz w:val="15"/>
          <w:szCs w:val="15"/>
        </w:rPr>
        <w:footnoteRef/>
      </w:r>
      <w:r w:rsidRPr="00F8608F">
        <w:rPr>
          <w:sz w:val="15"/>
          <w:szCs w:val="15"/>
        </w:rPr>
        <w:t xml:space="preserve"> </w:t>
      </w:r>
      <w:r w:rsidRPr="00372CB0">
        <w:rPr>
          <w:sz w:val="15"/>
          <w:szCs w:val="15"/>
          <w:lang w:val="en-AU"/>
        </w:rPr>
        <w:t xml:space="preserve">Australian Commission on Safety and Quality in Health Care. Medication safety in mental health. June 2017. </w:t>
      </w:r>
    </w:p>
  </w:footnote>
  <w:footnote w:id="41">
    <w:p w14:paraId="0A8771EB" w14:textId="77777777" w:rsidR="002E7DBC" w:rsidRPr="00230879" w:rsidRDefault="002E7DBC" w:rsidP="002E7DBC">
      <w:pPr>
        <w:pStyle w:val="FootnoteText"/>
        <w:rPr>
          <w:lang w:val="en-AU"/>
        </w:rPr>
      </w:pPr>
      <w:r w:rsidRPr="00372CB0">
        <w:rPr>
          <w:rStyle w:val="FootnoteReference"/>
          <w:sz w:val="15"/>
          <w:szCs w:val="15"/>
        </w:rPr>
        <w:footnoteRef/>
      </w:r>
      <w:r w:rsidRPr="00372CB0">
        <w:rPr>
          <w:sz w:val="15"/>
          <w:szCs w:val="15"/>
        </w:rPr>
        <w:t xml:space="preserve"> </w:t>
      </w:r>
      <w:r>
        <w:rPr>
          <w:sz w:val="15"/>
          <w:szCs w:val="15"/>
        </w:rPr>
        <w:t xml:space="preserve">The four options for this statement where: employed, unemployed, not in the </w:t>
      </w:r>
      <w:proofErr w:type="spellStart"/>
      <w:r>
        <w:rPr>
          <w:sz w:val="15"/>
          <w:szCs w:val="15"/>
        </w:rPr>
        <w:t>labour</w:t>
      </w:r>
      <w:proofErr w:type="spellEnd"/>
      <w:r>
        <w:rPr>
          <w:sz w:val="15"/>
          <w:szCs w:val="15"/>
        </w:rPr>
        <w:t xml:space="preserve"> force, not stated/inadequately stated. </w:t>
      </w:r>
      <w:r w:rsidRPr="00372CB0">
        <w:rPr>
          <w:sz w:val="15"/>
          <w:szCs w:val="15"/>
        </w:rPr>
        <w:t>Australian Governm</w:t>
      </w:r>
      <w:r w:rsidRPr="00871847">
        <w:rPr>
          <w:sz w:val="15"/>
          <w:szCs w:val="15"/>
        </w:rPr>
        <w:t xml:space="preserve">ent Department of Health. </w:t>
      </w:r>
      <w:hyperlink r:id="rId15" w:anchor="headtohelp-service-contact" w:history="1">
        <w:r w:rsidRPr="00871847">
          <w:rPr>
            <w:rStyle w:val="Hyperlink"/>
            <w:sz w:val="15"/>
            <w:szCs w:val="15"/>
          </w:rPr>
          <w:t>PMHC-MDS data specification</w:t>
        </w:r>
      </w:hyperlink>
      <w:r>
        <w:rPr>
          <w:rStyle w:val="Hyperlink"/>
          <w:sz w:val="15"/>
          <w:szCs w:val="15"/>
        </w:rPr>
        <w:t xml:space="preserve">-Episode </w:t>
      </w:r>
      <w:hyperlink r:id="rId16" w:anchor="episode-labour-force-status" w:history="1">
        <w:proofErr w:type="spellStart"/>
        <w:r w:rsidRPr="0064067E">
          <w:rPr>
            <w:rStyle w:val="Hyperlink"/>
            <w:sz w:val="15"/>
            <w:szCs w:val="15"/>
          </w:rPr>
          <w:t>labo</w:t>
        </w:r>
        <w:r>
          <w:rPr>
            <w:rStyle w:val="Hyperlink"/>
            <w:sz w:val="15"/>
            <w:szCs w:val="15"/>
          </w:rPr>
          <w:t>u</w:t>
        </w:r>
        <w:r w:rsidRPr="0064067E">
          <w:rPr>
            <w:rStyle w:val="Hyperlink"/>
            <w:sz w:val="15"/>
            <w:szCs w:val="15"/>
          </w:rPr>
          <w:t>r</w:t>
        </w:r>
        <w:proofErr w:type="spellEnd"/>
      </w:hyperlink>
      <w:r>
        <w:rPr>
          <w:rStyle w:val="Hyperlink"/>
          <w:sz w:val="15"/>
          <w:szCs w:val="15"/>
        </w:rPr>
        <w:t xml:space="preserve"> </w:t>
      </w:r>
      <w:hyperlink r:id="rId17" w:anchor="episode-labour-force-status" w:history="1">
        <w:r w:rsidRPr="00183703">
          <w:rPr>
            <w:rStyle w:val="Hyperlink"/>
            <w:sz w:val="15"/>
            <w:szCs w:val="15"/>
          </w:rPr>
          <w:t>force</w:t>
        </w:r>
      </w:hyperlink>
      <w:r>
        <w:rPr>
          <w:rStyle w:val="Hyperlink"/>
          <w:sz w:val="15"/>
          <w:szCs w:val="15"/>
        </w:rPr>
        <w:t xml:space="preserve"> status</w:t>
      </w:r>
      <w:r w:rsidRPr="00871847">
        <w:rPr>
          <w:sz w:val="15"/>
          <w:szCs w:val="15"/>
        </w:rPr>
        <w:t xml:space="preserve">. 2019. </w:t>
      </w:r>
    </w:p>
  </w:footnote>
  <w:footnote w:id="42">
    <w:p w14:paraId="1DE8C432" w14:textId="4D226D13" w:rsidR="00440F24" w:rsidRPr="00CC3AED" w:rsidRDefault="00440F24">
      <w:pPr>
        <w:pStyle w:val="FootnoteText"/>
        <w:rPr>
          <w:sz w:val="15"/>
          <w:szCs w:val="15"/>
          <w:lang w:val="en-AU"/>
        </w:rPr>
      </w:pPr>
      <w:r w:rsidRPr="00CC3AED">
        <w:rPr>
          <w:rStyle w:val="FootnoteReference"/>
          <w:sz w:val="15"/>
          <w:szCs w:val="15"/>
        </w:rPr>
        <w:footnoteRef/>
      </w:r>
      <w:r w:rsidRPr="00CC3AED">
        <w:rPr>
          <w:sz w:val="15"/>
          <w:szCs w:val="15"/>
        </w:rPr>
        <w:t xml:space="preserve"> https://www.parliament.vic.gov.au/publications/research-papers/download/36-research-papers/14010-chronology-of-victorian-border-closures-due-to-covid-19</w:t>
      </w:r>
    </w:p>
  </w:footnote>
  <w:footnote w:id="43">
    <w:p w14:paraId="433A50A9" w14:textId="1E9001AD" w:rsidR="00F73F63" w:rsidRPr="00374BCA" w:rsidRDefault="00F73F63" w:rsidP="00D66042">
      <w:pPr>
        <w:pStyle w:val="Footer"/>
        <w:rPr>
          <w:lang w:val="en-AU"/>
        </w:rPr>
      </w:pPr>
      <w:r>
        <w:rPr>
          <w:rStyle w:val="FootnoteReference"/>
        </w:rPr>
        <w:footnoteRef/>
      </w:r>
      <w:r>
        <w:t xml:space="preserve"> </w:t>
      </w:r>
      <w:r>
        <w:rPr>
          <w:lang w:val="en-AU"/>
        </w:rPr>
        <w:t>By way of comparison, 2</w:t>
      </w:r>
      <w:r w:rsidR="00A55BF5">
        <w:rPr>
          <w:lang w:val="en-AU"/>
        </w:rPr>
        <w:t>3</w:t>
      </w:r>
      <w:r w:rsidR="00D66042">
        <w:rPr>
          <w:lang w:val="en-AU"/>
        </w:rPr>
        <w:t xml:space="preserve"> per cent</w:t>
      </w:r>
      <w:r>
        <w:rPr>
          <w:lang w:val="en-AU"/>
        </w:rPr>
        <w:t xml:space="preserve"> of the Australian population is </w:t>
      </w:r>
      <w:r w:rsidR="00056A45">
        <w:rPr>
          <w:lang w:val="en-AU"/>
        </w:rPr>
        <w:t xml:space="preserve">aged </w:t>
      </w:r>
      <w:r w:rsidR="00125F81">
        <w:rPr>
          <w:lang w:val="en-AU"/>
        </w:rPr>
        <w:t>18</w:t>
      </w:r>
      <w:r w:rsidR="00872B4E">
        <w:rPr>
          <w:lang w:val="en-AU"/>
        </w:rPr>
        <w:t xml:space="preserve"> and under</w:t>
      </w:r>
      <w:r w:rsidR="00056A45">
        <w:rPr>
          <w:lang w:val="en-AU"/>
        </w:rPr>
        <w:t xml:space="preserve"> (</w:t>
      </w:r>
      <w:r w:rsidR="00357C09" w:rsidRPr="00357C09">
        <w:rPr>
          <w:lang w:val="en-AU"/>
        </w:rPr>
        <w:t xml:space="preserve">ABS, </w:t>
      </w:r>
      <w:r w:rsidR="00872B4E" w:rsidRPr="00872B4E">
        <w:rPr>
          <w:lang w:val="en-AU"/>
        </w:rPr>
        <w:t xml:space="preserve">Population by age and sex </w:t>
      </w:r>
      <w:r w:rsidR="00D66042" w:rsidRPr="00D66042">
        <w:rPr>
          <w:lang w:val="en-AU"/>
        </w:rPr>
        <w:t>–</w:t>
      </w:r>
      <w:r w:rsidR="00872B4E" w:rsidRPr="00872B4E">
        <w:rPr>
          <w:lang w:val="en-AU"/>
        </w:rPr>
        <w:t xml:space="preserve"> national</w:t>
      </w:r>
      <w:r w:rsidR="00357C09" w:rsidRPr="00357C09">
        <w:rPr>
          <w:lang w:val="en-AU"/>
        </w:rPr>
        <w:t xml:space="preserve">, as </w:t>
      </w:r>
      <w:proofErr w:type="gramStart"/>
      <w:r w:rsidR="00357C09" w:rsidRPr="00357C09">
        <w:rPr>
          <w:lang w:val="en-AU"/>
        </w:rPr>
        <w:t>at</w:t>
      </w:r>
      <w:proofErr w:type="gramEnd"/>
      <w:r w:rsidR="00357C09" w:rsidRPr="00357C09">
        <w:rPr>
          <w:lang w:val="en-AU"/>
        </w:rPr>
        <w:t xml:space="preserve"> 30 June 202</w:t>
      </w:r>
      <w:r w:rsidR="00357C09">
        <w:rPr>
          <w:lang w:val="en-AU"/>
        </w:rPr>
        <w:t xml:space="preserve">1). </w:t>
      </w:r>
      <w:r w:rsidR="00C2215E">
        <w:rPr>
          <w:lang w:val="en-AU"/>
        </w:rPr>
        <w:t xml:space="preserve">While on face value, this would appear that </w:t>
      </w:r>
      <w:r w:rsidR="00422727">
        <w:rPr>
          <w:lang w:val="en-AU"/>
        </w:rPr>
        <w:t>younger people are under-represented, g</w:t>
      </w:r>
      <w:r w:rsidR="006C0678">
        <w:rPr>
          <w:lang w:val="en-AU"/>
        </w:rPr>
        <w:t>iven the existence of specialist child and youth services</w:t>
      </w:r>
      <w:r w:rsidR="00422727">
        <w:rPr>
          <w:lang w:val="en-AU"/>
        </w:rPr>
        <w:t xml:space="preserve">, </w:t>
      </w:r>
      <w:proofErr w:type="gramStart"/>
      <w:r w:rsidR="00422727">
        <w:rPr>
          <w:lang w:val="en-AU"/>
        </w:rPr>
        <w:t>in particular</w:t>
      </w:r>
      <w:r w:rsidR="006C0678">
        <w:rPr>
          <w:lang w:val="en-AU"/>
        </w:rPr>
        <w:t xml:space="preserve"> as</w:t>
      </w:r>
      <w:proofErr w:type="gramEnd"/>
      <w:r w:rsidR="006C0678">
        <w:rPr>
          <w:lang w:val="en-AU"/>
        </w:rPr>
        <w:t xml:space="preserve"> headspace, this </w:t>
      </w:r>
      <w:r w:rsidR="00422727">
        <w:rPr>
          <w:lang w:val="en-AU"/>
        </w:rPr>
        <w:t>could be considered a</w:t>
      </w:r>
      <w:r w:rsidR="006C0678">
        <w:rPr>
          <w:lang w:val="en-AU"/>
        </w:rPr>
        <w:t xml:space="preserve"> reasonable </w:t>
      </w:r>
      <w:r w:rsidR="00374BCA">
        <w:rPr>
          <w:lang w:val="en-AU"/>
        </w:rPr>
        <w:t xml:space="preserve">representation in the </w:t>
      </w:r>
      <w:proofErr w:type="spellStart"/>
      <w:r w:rsidR="00374BCA">
        <w:rPr>
          <w:i/>
          <w:lang w:val="en-AU"/>
        </w:rPr>
        <w:t>HeadtoHelp</w:t>
      </w:r>
      <w:proofErr w:type="spellEnd"/>
      <w:r w:rsidR="00374BCA">
        <w:rPr>
          <w:lang w:val="en-AU"/>
        </w:rPr>
        <w:t xml:space="preserve"> service</w:t>
      </w:r>
      <w:r w:rsidR="00A95AB1">
        <w:rPr>
          <w:lang w:val="en-AU"/>
        </w:rPr>
        <w:t>.</w:t>
      </w:r>
      <w:r w:rsidR="007011B9">
        <w:rPr>
          <w:lang w:val="en-AU"/>
        </w:rPr>
        <w:t xml:space="preserve"> </w:t>
      </w:r>
      <w:hyperlink r:id="rId18" w:history="1">
        <w:r w:rsidR="007011B9" w:rsidRPr="00767FC9">
          <w:rPr>
            <w:rStyle w:val="Hyperlink"/>
            <w:szCs w:val="15"/>
            <w:lang w:val="en-AU"/>
          </w:rPr>
          <w:t>https://www.abs.gov.au/statistics/people/population/national-state-and-territory-population/latest-release</w:t>
        </w:r>
      </w:hyperlink>
      <w:r w:rsidR="007011B9">
        <w:rPr>
          <w:lang w:val="en-AU"/>
        </w:rPr>
        <w:t xml:space="preserve"> </w:t>
      </w:r>
    </w:p>
  </w:footnote>
  <w:footnote w:id="44">
    <w:p w14:paraId="0B608667" w14:textId="77777777" w:rsidR="00730BF3" w:rsidRPr="00D91EBE" w:rsidRDefault="00730BF3" w:rsidP="00730BF3">
      <w:pPr>
        <w:pStyle w:val="FootnoteText"/>
        <w:rPr>
          <w:sz w:val="15"/>
          <w:szCs w:val="15"/>
          <w:lang w:val="en-AU"/>
        </w:rPr>
      </w:pPr>
      <w:r w:rsidRPr="00D91EBE">
        <w:rPr>
          <w:rStyle w:val="FootnoteReference"/>
          <w:sz w:val="15"/>
          <w:szCs w:val="15"/>
        </w:rPr>
        <w:footnoteRef/>
      </w:r>
      <w:r w:rsidRPr="00D91EBE">
        <w:rPr>
          <w:sz w:val="15"/>
          <w:szCs w:val="15"/>
        </w:rPr>
        <w:t xml:space="preserve"> Forbes. </w:t>
      </w:r>
      <w:hyperlink r:id="rId19" w:history="1">
        <w:r w:rsidRPr="00D91EBE">
          <w:rPr>
            <w:rStyle w:val="Hyperlink"/>
            <w:sz w:val="15"/>
            <w:szCs w:val="15"/>
          </w:rPr>
          <w:t>How videoconferencing and COVID-19 may permanently shrink the business travel market.</w:t>
        </w:r>
      </w:hyperlink>
      <w:r w:rsidRPr="00D91EBE">
        <w:rPr>
          <w:sz w:val="15"/>
          <w:szCs w:val="15"/>
        </w:rPr>
        <w:t xml:space="preserve"> November 2020. </w:t>
      </w:r>
    </w:p>
  </w:footnote>
  <w:footnote w:id="45">
    <w:p w14:paraId="5AB79A36" w14:textId="31DA3C85" w:rsidR="00D5448E" w:rsidRPr="0037120D" w:rsidRDefault="00D5448E" w:rsidP="00D5448E">
      <w:pPr>
        <w:pStyle w:val="FootnoteText"/>
        <w:rPr>
          <w:sz w:val="15"/>
          <w:szCs w:val="15"/>
          <w:lang w:val="en-AU"/>
        </w:rPr>
      </w:pPr>
      <w:r w:rsidRPr="0037120D">
        <w:rPr>
          <w:rStyle w:val="FootnoteReference"/>
          <w:sz w:val="15"/>
          <w:szCs w:val="15"/>
        </w:rPr>
        <w:footnoteRef/>
      </w:r>
      <w:r w:rsidRPr="0037120D">
        <w:rPr>
          <w:sz w:val="15"/>
          <w:szCs w:val="15"/>
        </w:rPr>
        <w:t xml:space="preserve"> </w:t>
      </w:r>
      <w:r w:rsidRPr="0037120D">
        <w:rPr>
          <w:sz w:val="15"/>
          <w:szCs w:val="15"/>
          <w:lang w:val="en-AU"/>
        </w:rPr>
        <w:t xml:space="preserve">Note that the total number of identified referral pathways (n=4,131) does not equal to the distinct number of participants (n=5,013). See </w:t>
      </w:r>
      <w:r w:rsidR="006F4010">
        <w:rPr>
          <w:sz w:val="15"/>
          <w:szCs w:val="15"/>
          <w:lang w:val="en-AU"/>
        </w:rPr>
        <w:t>Appendix E</w:t>
      </w:r>
      <w:r w:rsidRPr="0037120D">
        <w:rPr>
          <w:sz w:val="15"/>
          <w:szCs w:val="15"/>
          <w:lang w:val="en-AU"/>
        </w:rPr>
        <w:t xml:space="preserve"> for more details on how these were derived.</w:t>
      </w:r>
    </w:p>
  </w:footnote>
  <w:footnote w:id="46">
    <w:p w14:paraId="3E78C1B7" w14:textId="01A6D8EC" w:rsidR="00D5448E" w:rsidRPr="00640A0D" w:rsidRDefault="00D5448E" w:rsidP="00D5448E">
      <w:pPr>
        <w:pStyle w:val="FootnoteText"/>
        <w:rPr>
          <w:sz w:val="15"/>
          <w:szCs w:val="15"/>
          <w:lang w:val="en-AU"/>
        </w:rPr>
      </w:pPr>
      <w:r w:rsidRPr="00640A0D">
        <w:rPr>
          <w:rStyle w:val="FootnoteReference"/>
          <w:sz w:val="15"/>
          <w:szCs w:val="15"/>
        </w:rPr>
        <w:footnoteRef/>
      </w:r>
      <w:r w:rsidRPr="00640A0D">
        <w:rPr>
          <w:sz w:val="15"/>
          <w:szCs w:val="15"/>
        </w:rPr>
        <w:t xml:space="preserve"> </w:t>
      </w:r>
      <w:r>
        <w:rPr>
          <w:sz w:val="15"/>
          <w:szCs w:val="15"/>
          <w:lang w:val="en-AU"/>
        </w:rPr>
        <w:t>Unless otherwise specified, this i</w:t>
      </w:r>
      <w:r w:rsidRPr="00640A0D">
        <w:rPr>
          <w:sz w:val="15"/>
          <w:szCs w:val="15"/>
          <w:lang w:val="en-AU"/>
        </w:rPr>
        <w:t xml:space="preserve">ncludes referrer organisations classed as ‘community health centre’ and ‘community support organisation </w:t>
      </w:r>
      <w:r w:rsidR="008E7BAE">
        <w:rPr>
          <w:sz w:val="15"/>
          <w:szCs w:val="15"/>
          <w:lang w:val="en-AU"/>
        </w:rPr>
        <w:t>not for profit</w:t>
      </w:r>
      <w:r w:rsidRPr="00640A0D">
        <w:rPr>
          <w:sz w:val="15"/>
          <w:szCs w:val="15"/>
          <w:lang w:val="en-AU"/>
        </w:rPr>
        <w:t>.’</w:t>
      </w:r>
    </w:p>
  </w:footnote>
  <w:footnote w:id="47">
    <w:p w14:paraId="39AC529C" w14:textId="6F1DF374" w:rsidR="00D5448E" w:rsidRPr="00B269AB" w:rsidRDefault="00D5448E" w:rsidP="00D5448E">
      <w:pPr>
        <w:pStyle w:val="FootnoteText"/>
        <w:rPr>
          <w:sz w:val="15"/>
          <w:szCs w:val="15"/>
          <w:lang w:val="en-AU"/>
        </w:rPr>
      </w:pPr>
      <w:r w:rsidRPr="00640A0D">
        <w:rPr>
          <w:rStyle w:val="FootnoteReference"/>
          <w:sz w:val="15"/>
          <w:szCs w:val="15"/>
        </w:rPr>
        <w:footnoteRef/>
      </w:r>
      <w:r w:rsidRPr="00640A0D">
        <w:rPr>
          <w:sz w:val="15"/>
          <w:szCs w:val="15"/>
        </w:rPr>
        <w:t xml:space="preserve"> </w:t>
      </w:r>
      <w:r w:rsidRPr="00640A0D">
        <w:rPr>
          <w:sz w:val="15"/>
          <w:szCs w:val="15"/>
          <w:lang w:val="en-AU"/>
        </w:rPr>
        <w:t xml:space="preserve">A caveat to this analysis is that referral organisation type and provider organisation data appeared missing or incomplete for EMPHN, which has at least three </w:t>
      </w:r>
      <w:r w:rsidR="005D5F50" w:rsidRPr="00640A0D">
        <w:rPr>
          <w:sz w:val="15"/>
          <w:szCs w:val="15"/>
          <w:lang w:val="en-AU"/>
        </w:rPr>
        <w:t>hub</w:t>
      </w:r>
      <w:r w:rsidRPr="00640A0D">
        <w:rPr>
          <w:sz w:val="15"/>
          <w:szCs w:val="15"/>
          <w:lang w:val="en-AU"/>
        </w:rPr>
        <w:t>s and three satellites. When episode data was linked to service contact data, data was available for only Access Health and Banyule Community</w:t>
      </w:r>
      <w:r w:rsidRPr="000C0057">
        <w:rPr>
          <w:sz w:val="15"/>
          <w:szCs w:val="15"/>
          <w:lang w:val="en-AU"/>
        </w:rPr>
        <w:t xml:space="preserve"> Health.</w:t>
      </w:r>
    </w:p>
  </w:footnote>
  <w:footnote w:id="48">
    <w:p w14:paraId="22EA0F4D" w14:textId="77777777" w:rsidR="00D5448E" w:rsidRPr="00487968" w:rsidRDefault="00D5448E" w:rsidP="00D5448E">
      <w:pPr>
        <w:pStyle w:val="FootnoteText"/>
        <w:rPr>
          <w:sz w:val="15"/>
          <w:szCs w:val="15"/>
          <w:lang w:val="en-AU"/>
        </w:rPr>
      </w:pPr>
      <w:r w:rsidRPr="00B269AB">
        <w:rPr>
          <w:rStyle w:val="FootnoteReference"/>
          <w:sz w:val="15"/>
          <w:szCs w:val="15"/>
        </w:rPr>
        <w:footnoteRef/>
      </w:r>
      <w:r>
        <w:rPr>
          <w:sz w:val="15"/>
          <w:szCs w:val="15"/>
        </w:rPr>
        <w:t xml:space="preserve"> Intake referral is when a participant has completed intake and, typically, also completed the IAR and has been referred to </w:t>
      </w:r>
      <w:proofErr w:type="spellStart"/>
      <w:r>
        <w:rPr>
          <w:i/>
          <w:iCs/>
          <w:sz w:val="15"/>
          <w:szCs w:val="15"/>
        </w:rPr>
        <w:t>HeadtoHelp</w:t>
      </w:r>
      <w:proofErr w:type="spellEnd"/>
      <w:r>
        <w:rPr>
          <w:i/>
          <w:iCs/>
          <w:sz w:val="15"/>
          <w:szCs w:val="15"/>
        </w:rPr>
        <w:t xml:space="preserve"> </w:t>
      </w:r>
      <w:r w:rsidRPr="00B962D1">
        <w:rPr>
          <w:sz w:val="15"/>
          <w:szCs w:val="15"/>
        </w:rPr>
        <w:t>services</w:t>
      </w:r>
      <w:r w:rsidRPr="005147A6">
        <w:rPr>
          <w:sz w:val="15"/>
          <w:szCs w:val="15"/>
        </w:rPr>
        <w:t xml:space="preserve">. </w:t>
      </w:r>
    </w:p>
  </w:footnote>
  <w:footnote w:id="49">
    <w:p w14:paraId="0859D4A4" w14:textId="77777777" w:rsidR="00D5448E" w:rsidRPr="00487968" w:rsidRDefault="00D5448E" w:rsidP="00D5448E">
      <w:pPr>
        <w:pStyle w:val="FootnoteText"/>
        <w:rPr>
          <w:sz w:val="15"/>
          <w:szCs w:val="15"/>
          <w:lang w:val="en-AU"/>
        </w:rPr>
      </w:pPr>
      <w:r w:rsidRPr="00487968">
        <w:rPr>
          <w:rStyle w:val="FootnoteReference"/>
          <w:sz w:val="15"/>
          <w:szCs w:val="15"/>
        </w:rPr>
        <w:footnoteRef/>
      </w:r>
      <w:r w:rsidRPr="00487968">
        <w:rPr>
          <w:sz w:val="15"/>
          <w:szCs w:val="15"/>
        </w:rPr>
        <w:t xml:space="preserve"> </w:t>
      </w:r>
      <w:r>
        <w:rPr>
          <w:sz w:val="15"/>
          <w:szCs w:val="15"/>
        </w:rPr>
        <w:t xml:space="preserve">Comprehensive assessment does not refer to the IAR but to mental health assessments made in addition to the IAR. Assessments typically occur in the first session of service delivery. </w:t>
      </w:r>
    </w:p>
  </w:footnote>
  <w:footnote w:id="50">
    <w:p w14:paraId="793F5EFB" w14:textId="77777777" w:rsidR="00D5448E" w:rsidRPr="005A09B5" w:rsidRDefault="00D5448E" w:rsidP="00D5448E">
      <w:pPr>
        <w:pStyle w:val="FootnoteText"/>
        <w:rPr>
          <w:sz w:val="15"/>
          <w:szCs w:val="15"/>
          <w:lang w:val="en-AU"/>
        </w:rPr>
      </w:pPr>
      <w:r w:rsidRPr="00B269AB">
        <w:rPr>
          <w:rStyle w:val="FootnoteReference"/>
          <w:sz w:val="15"/>
          <w:szCs w:val="15"/>
        </w:rPr>
        <w:footnoteRef/>
      </w:r>
      <w:r w:rsidRPr="00B269AB">
        <w:rPr>
          <w:sz w:val="15"/>
          <w:szCs w:val="15"/>
        </w:rPr>
        <w:t xml:space="preserve"> Cook, H. </w:t>
      </w:r>
      <w:hyperlink r:id="rId20" w:history="1">
        <w:r w:rsidRPr="00224543">
          <w:rPr>
            <w:rStyle w:val="Hyperlink"/>
            <w:sz w:val="15"/>
            <w:szCs w:val="15"/>
          </w:rPr>
          <w:t>Psychologists stretched to limit as virus drives spike in referrals</w:t>
        </w:r>
      </w:hyperlink>
      <w:r w:rsidRPr="005A09B5">
        <w:rPr>
          <w:sz w:val="15"/>
          <w:szCs w:val="15"/>
        </w:rPr>
        <w:t>. Published 28 October 2020.</w:t>
      </w:r>
    </w:p>
  </w:footnote>
  <w:footnote w:id="51">
    <w:p w14:paraId="5B3829DE" w14:textId="6765531C" w:rsidR="007F2F94" w:rsidRPr="000E029D" w:rsidRDefault="007F2F94">
      <w:pPr>
        <w:pStyle w:val="FootnoteText"/>
        <w:rPr>
          <w:sz w:val="15"/>
          <w:szCs w:val="15"/>
          <w:lang w:val="en-AU"/>
        </w:rPr>
      </w:pPr>
      <w:r w:rsidRPr="000E029D">
        <w:rPr>
          <w:rStyle w:val="FootnoteReference"/>
          <w:sz w:val="15"/>
          <w:szCs w:val="15"/>
        </w:rPr>
        <w:footnoteRef/>
      </w:r>
      <w:r w:rsidRPr="000E029D">
        <w:rPr>
          <w:sz w:val="15"/>
          <w:szCs w:val="15"/>
        </w:rPr>
        <w:t xml:space="preserve"> </w:t>
      </w:r>
      <w:r w:rsidRPr="000E029D">
        <w:rPr>
          <w:sz w:val="15"/>
          <w:szCs w:val="15"/>
          <w:lang w:val="en-AU"/>
        </w:rPr>
        <w:t>Note that the first service contact does not include the intake service contact and refers to the first service contact where care was administered.</w:t>
      </w:r>
    </w:p>
  </w:footnote>
  <w:footnote w:id="52">
    <w:p w14:paraId="53A59A04" w14:textId="5FD2C40B" w:rsidR="006E2A12" w:rsidRPr="000C4C28" w:rsidRDefault="006E2A12">
      <w:pPr>
        <w:pStyle w:val="FootnoteText"/>
        <w:rPr>
          <w:sz w:val="15"/>
          <w:szCs w:val="15"/>
          <w:lang w:val="en-AU"/>
        </w:rPr>
      </w:pPr>
      <w:r w:rsidRPr="00E00BC6">
        <w:rPr>
          <w:rStyle w:val="FootnoteReference"/>
          <w:sz w:val="15"/>
          <w:szCs w:val="15"/>
        </w:rPr>
        <w:footnoteRef/>
      </w:r>
      <w:r w:rsidRPr="00E00BC6">
        <w:rPr>
          <w:sz w:val="15"/>
          <w:szCs w:val="15"/>
        </w:rPr>
        <w:t xml:space="preserve"> </w:t>
      </w:r>
      <w:r w:rsidR="00B424C3" w:rsidRPr="00E00BC6">
        <w:rPr>
          <w:sz w:val="15"/>
          <w:szCs w:val="15"/>
          <w:lang w:val="en-AU"/>
        </w:rPr>
        <w:t>The</w:t>
      </w:r>
      <w:r w:rsidR="00963007" w:rsidRPr="000C4C28">
        <w:rPr>
          <w:sz w:val="15"/>
          <w:szCs w:val="15"/>
          <w:lang w:val="en-AU"/>
        </w:rPr>
        <w:t xml:space="preserve"> high number of maximum </w:t>
      </w:r>
      <w:r w:rsidR="005548B6" w:rsidRPr="000C4C28">
        <w:rPr>
          <w:sz w:val="15"/>
          <w:szCs w:val="15"/>
          <w:lang w:val="en-AU"/>
        </w:rPr>
        <w:t xml:space="preserve">service contacts for closed episodes of care for EMPHN and WVPHN </w:t>
      </w:r>
      <w:r w:rsidR="00B424C3" w:rsidRPr="000C4C28">
        <w:rPr>
          <w:sz w:val="15"/>
          <w:szCs w:val="15"/>
          <w:lang w:val="en-AU"/>
        </w:rPr>
        <w:t>make them outliers</w:t>
      </w:r>
      <w:r w:rsidR="00DF2B76" w:rsidRPr="000C4C28">
        <w:rPr>
          <w:sz w:val="15"/>
          <w:szCs w:val="15"/>
          <w:lang w:val="en-AU"/>
        </w:rPr>
        <w:t xml:space="preserve">. For EMPHN, 94% of all service contacts were clinical care coordination/liaison, and </w:t>
      </w:r>
      <w:r w:rsidR="00A2456D" w:rsidRPr="000C4C28">
        <w:rPr>
          <w:sz w:val="15"/>
          <w:szCs w:val="15"/>
          <w:lang w:val="en-AU"/>
        </w:rPr>
        <w:t>for WVPHN, 66% of all service contacts were clinical care coordination/liaison</w:t>
      </w:r>
      <w:r w:rsidR="000C4C28" w:rsidRPr="000C4C28">
        <w:rPr>
          <w:sz w:val="15"/>
          <w:szCs w:val="15"/>
          <w:lang w:val="en-AU"/>
        </w:rPr>
        <w:t>, compared to a 35% average across PHNs</w:t>
      </w:r>
      <w:r w:rsidR="00A2456D" w:rsidRPr="000C4C28">
        <w:rPr>
          <w:sz w:val="15"/>
          <w:szCs w:val="15"/>
          <w:lang w:val="en-AU"/>
        </w:rPr>
        <w:t xml:space="preserve">. </w:t>
      </w:r>
      <w:r w:rsidR="004E25D3" w:rsidRPr="000C4C28">
        <w:rPr>
          <w:sz w:val="15"/>
          <w:szCs w:val="15"/>
          <w:lang w:val="en-AU"/>
        </w:rPr>
        <w:t xml:space="preserve">This indicates that the overuse of the clinical care coordination/liaison </w:t>
      </w:r>
      <w:r w:rsidR="000C4C28" w:rsidRPr="000C4C28">
        <w:rPr>
          <w:sz w:val="15"/>
          <w:szCs w:val="15"/>
          <w:lang w:val="en-AU"/>
        </w:rPr>
        <w:t>service contact type may be the reason for the high maximum service contact number for these PHNs.</w:t>
      </w:r>
    </w:p>
  </w:footnote>
  <w:footnote w:id="53">
    <w:p w14:paraId="6ADB9FE0" w14:textId="6FDB99D5" w:rsidR="00183D76" w:rsidRPr="00A62E33" w:rsidRDefault="00183D76">
      <w:pPr>
        <w:pStyle w:val="FootnoteText"/>
        <w:rPr>
          <w:sz w:val="15"/>
          <w:szCs w:val="15"/>
          <w:lang w:val="en-AU"/>
        </w:rPr>
      </w:pPr>
      <w:r w:rsidRPr="00A62E33">
        <w:rPr>
          <w:rStyle w:val="FootnoteReference"/>
          <w:sz w:val="15"/>
          <w:szCs w:val="15"/>
        </w:rPr>
        <w:footnoteRef/>
      </w:r>
      <w:r w:rsidRPr="00A62E33">
        <w:rPr>
          <w:sz w:val="15"/>
          <w:szCs w:val="15"/>
        </w:rPr>
        <w:t xml:space="preserve"> </w:t>
      </w:r>
      <w:r w:rsidR="003E4B43">
        <w:rPr>
          <w:sz w:val="15"/>
          <w:szCs w:val="15"/>
        </w:rPr>
        <w:t>A total of</w:t>
      </w:r>
      <w:r w:rsidRPr="00A62E33">
        <w:rPr>
          <w:sz w:val="15"/>
          <w:szCs w:val="15"/>
        </w:rPr>
        <w:t xml:space="preserve"> </w:t>
      </w:r>
      <w:r w:rsidR="00A62E33" w:rsidRPr="00A62E33">
        <w:rPr>
          <w:sz w:val="15"/>
          <w:szCs w:val="15"/>
          <w:lang w:val="en-AU"/>
        </w:rPr>
        <w:t>19 people reported being referred to other services</w:t>
      </w:r>
      <w:r w:rsidR="005F79CF">
        <w:rPr>
          <w:sz w:val="15"/>
          <w:szCs w:val="15"/>
          <w:lang w:val="en-AU"/>
        </w:rPr>
        <w:t xml:space="preserve">, of which </w:t>
      </w:r>
      <w:r w:rsidR="003E4B43">
        <w:rPr>
          <w:sz w:val="15"/>
          <w:szCs w:val="15"/>
          <w:lang w:val="en-AU"/>
        </w:rPr>
        <w:t>eight</w:t>
      </w:r>
      <w:r w:rsidR="005F79CF">
        <w:rPr>
          <w:sz w:val="15"/>
          <w:szCs w:val="15"/>
          <w:lang w:val="en-AU"/>
        </w:rPr>
        <w:t xml:space="preserve"> were given warm referrals</w:t>
      </w:r>
      <w:r w:rsidR="003E4B43">
        <w:rPr>
          <w:sz w:val="15"/>
          <w:szCs w:val="15"/>
          <w:lang w:val="en-AU"/>
        </w:rPr>
        <w:t>.</w:t>
      </w:r>
    </w:p>
  </w:footnote>
  <w:footnote w:id="54">
    <w:p w14:paraId="56C56CA0" w14:textId="2B904172" w:rsidR="00DC7D09" w:rsidRPr="00E61F6E" w:rsidRDefault="00DC7D09" w:rsidP="00DC7D09">
      <w:pPr>
        <w:pStyle w:val="FootnoteText"/>
        <w:rPr>
          <w:sz w:val="15"/>
          <w:szCs w:val="15"/>
          <w:lang w:val="en-AU"/>
        </w:rPr>
      </w:pPr>
      <w:r w:rsidRPr="00E61F6E">
        <w:rPr>
          <w:rStyle w:val="FootnoteReference"/>
          <w:sz w:val="15"/>
          <w:szCs w:val="15"/>
        </w:rPr>
        <w:footnoteRef/>
      </w:r>
      <w:r w:rsidRPr="00E61F6E">
        <w:rPr>
          <w:sz w:val="15"/>
          <w:szCs w:val="15"/>
        </w:rPr>
        <w:t xml:space="preserve"> </w:t>
      </w:r>
      <w:r w:rsidRPr="00E61F6E">
        <w:rPr>
          <w:sz w:val="15"/>
          <w:szCs w:val="15"/>
          <w:lang w:val="en-AU"/>
        </w:rPr>
        <w:t xml:space="preserve">For NWMPHN, 5 out of 17 </w:t>
      </w:r>
      <w:r w:rsidR="00BE78F8">
        <w:rPr>
          <w:sz w:val="15"/>
          <w:szCs w:val="15"/>
          <w:lang w:val="en-AU"/>
        </w:rPr>
        <w:t>participants reported warm</w:t>
      </w:r>
      <w:r w:rsidRPr="00E61F6E">
        <w:rPr>
          <w:sz w:val="15"/>
          <w:szCs w:val="15"/>
          <w:lang w:val="en-AU"/>
        </w:rPr>
        <w:t xml:space="preserve"> referrals, for WVPHN, </w:t>
      </w:r>
      <w:r w:rsidR="00BE78F8">
        <w:rPr>
          <w:sz w:val="15"/>
          <w:szCs w:val="15"/>
          <w:lang w:val="en-AU"/>
        </w:rPr>
        <w:t>3 out of 10 participants reported warm referrals</w:t>
      </w:r>
      <w:r>
        <w:rPr>
          <w:sz w:val="15"/>
          <w:szCs w:val="15"/>
          <w:lang w:val="en-AU"/>
        </w:rPr>
        <w:t xml:space="preserve">. SEMPHN reported </w:t>
      </w:r>
      <w:r w:rsidR="005E76EA">
        <w:rPr>
          <w:sz w:val="15"/>
          <w:szCs w:val="15"/>
          <w:lang w:val="en-AU"/>
        </w:rPr>
        <w:t xml:space="preserve">1 warm referral out of </w:t>
      </w:r>
      <w:r w:rsidR="0076360F">
        <w:rPr>
          <w:sz w:val="15"/>
          <w:szCs w:val="15"/>
          <w:lang w:val="en-AU"/>
        </w:rPr>
        <w:t xml:space="preserve">18 </w:t>
      </w:r>
      <w:r w:rsidR="00BE78F8">
        <w:rPr>
          <w:sz w:val="15"/>
          <w:szCs w:val="15"/>
          <w:lang w:val="en-AU"/>
        </w:rPr>
        <w:t>participants</w:t>
      </w:r>
      <w:r w:rsidR="0076360F">
        <w:rPr>
          <w:sz w:val="15"/>
          <w:szCs w:val="15"/>
          <w:lang w:val="en-AU"/>
        </w:rPr>
        <w:t>.</w:t>
      </w:r>
    </w:p>
  </w:footnote>
  <w:footnote w:id="55">
    <w:p w14:paraId="7317F7D6" w14:textId="3C6487AA" w:rsidR="000456DC" w:rsidRPr="00531F28" w:rsidRDefault="000456DC" w:rsidP="000456DC">
      <w:pPr>
        <w:pStyle w:val="Footer"/>
      </w:pPr>
      <w:r w:rsidRPr="00531F28">
        <w:rPr>
          <w:rStyle w:val="FootnoteReference"/>
        </w:rPr>
        <w:footnoteRef/>
      </w:r>
      <w:r w:rsidRPr="00531F28">
        <w:t xml:space="preserve"> State of Victoria, Royal Commission into Victoria’s Mental Health System, Final Report, </w:t>
      </w:r>
      <w:proofErr w:type="spellStart"/>
      <w:r w:rsidRPr="00531F28">
        <w:t>Parl</w:t>
      </w:r>
      <w:proofErr w:type="spellEnd"/>
      <w:r w:rsidRPr="00531F28">
        <w:t xml:space="preserve"> Paper No. 202, Session 2018</w:t>
      </w:r>
      <w:r w:rsidR="005559F0">
        <w:t>-</w:t>
      </w:r>
      <w:r w:rsidRPr="00531F28">
        <w:t>21.</w:t>
      </w:r>
    </w:p>
  </w:footnote>
  <w:footnote w:id="56">
    <w:p w14:paraId="46A8D9DC" w14:textId="11219C13" w:rsidR="004A2B83" w:rsidRPr="00B501ED" w:rsidRDefault="004A2B83">
      <w:pPr>
        <w:pStyle w:val="FootnoteText"/>
        <w:rPr>
          <w:sz w:val="15"/>
          <w:szCs w:val="15"/>
          <w:lang w:val="en-AU"/>
        </w:rPr>
      </w:pPr>
      <w:r w:rsidRPr="00B501ED">
        <w:rPr>
          <w:rStyle w:val="FootnoteReference"/>
          <w:sz w:val="15"/>
          <w:szCs w:val="15"/>
        </w:rPr>
        <w:footnoteRef/>
      </w:r>
      <w:r w:rsidRPr="00B501ED">
        <w:rPr>
          <w:sz w:val="15"/>
          <w:szCs w:val="15"/>
        </w:rPr>
        <w:t xml:space="preserve"> </w:t>
      </w:r>
      <w:r w:rsidRPr="00B501ED">
        <w:rPr>
          <w:sz w:val="15"/>
          <w:szCs w:val="15"/>
          <w:lang w:val="en-AU"/>
        </w:rPr>
        <w:t>Power</w:t>
      </w:r>
      <w:r w:rsidR="00AE3945" w:rsidRPr="00B501ED">
        <w:rPr>
          <w:sz w:val="15"/>
          <w:szCs w:val="15"/>
          <w:lang w:val="en-AU"/>
        </w:rPr>
        <w:t xml:space="preserve"> BI is an interactive data visualisation software product from Microsoft, with a primary focus on business intelligence.</w:t>
      </w:r>
    </w:p>
  </w:footnote>
  <w:footnote w:id="57">
    <w:p w14:paraId="1FD1224D" w14:textId="4413A927" w:rsidR="00A05749" w:rsidRPr="00C37252" w:rsidRDefault="00A05749" w:rsidP="0062021D">
      <w:pPr>
        <w:pStyle w:val="Footer"/>
        <w:rPr>
          <w:lang w:val="en-AU"/>
        </w:rPr>
      </w:pPr>
      <w:r w:rsidRPr="00062D75">
        <w:rPr>
          <w:rStyle w:val="FootnoteReference"/>
          <w:szCs w:val="15"/>
        </w:rPr>
        <w:footnoteRef/>
      </w:r>
      <w:r w:rsidRPr="00062D75">
        <w:t xml:space="preserve"> </w:t>
      </w:r>
      <w:r w:rsidRPr="00062D75">
        <w:rPr>
          <w:lang w:val="en-AU"/>
        </w:rPr>
        <w:t xml:space="preserve">People seen in primary care who score </w:t>
      </w:r>
      <w:r>
        <w:rPr>
          <w:lang w:val="en-AU"/>
        </w:rPr>
        <w:t xml:space="preserve">30 </w:t>
      </w:r>
      <w:r w:rsidRPr="00062D75">
        <w:rPr>
          <w:lang w:val="en-AU"/>
        </w:rPr>
        <w:t xml:space="preserve">and over </w:t>
      </w:r>
      <w:r>
        <w:rPr>
          <w:lang w:val="en-AU"/>
        </w:rPr>
        <w:t xml:space="preserve">on the K10 </w:t>
      </w:r>
      <w:r w:rsidRPr="00062D75">
        <w:rPr>
          <w:lang w:val="en-AU"/>
        </w:rPr>
        <w:t xml:space="preserve">are likely to have </w:t>
      </w:r>
      <w:r>
        <w:rPr>
          <w:lang w:val="en-AU"/>
        </w:rPr>
        <w:t>very high psychological distress.</w:t>
      </w:r>
      <w:r w:rsidRPr="00062D75">
        <w:rPr>
          <w:lang w:val="en-AU"/>
        </w:rPr>
        <w:t xml:space="preserve">’ This </w:t>
      </w:r>
      <w:proofErr w:type="gramStart"/>
      <w:r w:rsidRPr="00062D75">
        <w:rPr>
          <w:lang w:val="en-AU"/>
        </w:rPr>
        <w:t>is,</w:t>
      </w:r>
      <w:proofErr w:type="gramEnd"/>
      <w:r w:rsidRPr="00062D75">
        <w:rPr>
          <w:lang w:val="en-AU"/>
        </w:rPr>
        <w:t xml:space="preserve"> however, a screening </w:t>
      </w:r>
      <w:r w:rsidRPr="00C37252">
        <w:rPr>
          <w:lang w:val="en-AU"/>
        </w:rPr>
        <w:t xml:space="preserve">instrument and practitioners are expected to make clinical judgements. Australian Institute of Health and Welfare. </w:t>
      </w:r>
      <w:hyperlink r:id="rId21" w:history="1">
        <w:r w:rsidRPr="00C37252">
          <w:rPr>
            <w:rStyle w:val="Hyperlink"/>
            <w:szCs w:val="15"/>
            <w:lang w:val="en-AU"/>
          </w:rPr>
          <w:t>Adults with very high levels of psychological distress, 2018</w:t>
        </w:r>
      </w:hyperlink>
      <w:r w:rsidRPr="00C37252">
        <w:rPr>
          <w:lang w:val="en-AU"/>
        </w:rPr>
        <w:t>. 2018.</w:t>
      </w:r>
    </w:p>
  </w:footnote>
  <w:footnote w:id="58">
    <w:p w14:paraId="1AF759EB" w14:textId="414D0ADF" w:rsidR="00A05749" w:rsidRPr="00C37252" w:rsidRDefault="00A05749" w:rsidP="0062021D">
      <w:pPr>
        <w:pStyle w:val="Footer"/>
        <w:rPr>
          <w:lang w:val="en-AU"/>
        </w:rPr>
      </w:pPr>
      <w:r w:rsidRPr="00062D75">
        <w:rPr>
          <w:rStyle w:val="FootnoteReference"/>
          <w:szCs w:val="15"/>
        </w:rPr>
        <w:footnoteRef/>
      </w:r>
      <w:r w:rsidR="0062021D">
        <w:rPr>
          <w:lang w:val="en-AU"/>
        </w:rPr>
        <w:t xml:space="preserve"> </w:t>
      </w:r>
      <w:r w:rsidR="0072417D">
        <w:rPr>
          <w:lang w:val="en-AU"/>
        </w:rPr>
        <w:t>In this case, the</w:t>
      </w:r>
      <w:r w:rsidR="0072417D" w:rsidRPr="00DC1FBA">
        <w:rPr>
          <w:lang w:val="en-AU"/>
        </w:rPr>
        <w:t xml:space="preserve"> analysis is based on </w:t>
      </w:r>
      <w:r w:rsidR="0072417D">
        <w:rPr>
          <w:lang w:val="en-AU"/>
        </w:rPr>
        <w:t>participants with both pre- and post-episode K10 scores (n=</w:t>
      </w:r>
      <w:r w:rsidR="00E10360">
        <w:rPr>
          <w:lang w:val="en-AU"/>
        </w:rPr>
        <w:t>1,411</w:t>
      </w:r>
      <w:r w:rsidR="0072417D">
        <w:rPr>
          <w:lang w:val="en-AU"/>
        </w:rPr>
        <w:t>).</w:t>
      </w:r>
    </w:p>
  </w:footnote>
  <w:footnote w:id="59">
    <w:p w14:paraId="0E95CB84" w14:textId="77777777" w:rsidR="00A05749" w:rsidRPr="00C37252" w:rsidRDefault="00A05749" w:rsidP="0062021D">
      <w:pPr>
        <w:pStyle w:val="Footer"/>
        <w:rPr>
          <w:lang w:val="en-AU"/>
        </w:rPr>
      </w:pPr>
      <w:r w:rsidRPr="00C37252">
        <w:rPr>
          <w:rStyle w:val="FootnoteReference"/>
          <w:szCs w:val="15"/>
        </w:rPr>
        <w:footnoteRef/>
      </w:r>
      <w:r w:rsidRPr="00C37252">
        <w:t xml:space="preserve"> </w:t>
      </w:r>
      <w:r w:rsidRPr="00C37252">
        <w:rPr>
          <w:lang w:val="en-AU"/>
        </w:rPr>
        <w:t xml:space="preserve">Australian Government Department of Health. </w:t>
      </w:r>
      <w:hyperlink r:id="rId22" w:history="1">
        <w:r w:rsidRPr="00C37252">
          <w:rPr>
            <w:rStyle w:val="Hyperlink"/>
            <w:szCs w:val="15"/>
            <w:lang w:val="en-AU"/>
          </w:rPr>
          <w:t>Primary Mental Health Care Minimum Data Set – Scoring the Kessler-5.</w:t>
        </w:r>
      </w:hyperlink>
      <w:r w:rsidRPr="00C37252">
        <w:rPr>
          <w:lang w:val="en-AU"/>
        </w:rPr>
        <w:t xml:space="preserve"> September 2018.</w:t>
      </w:r>
    </w:p>
  </w:footnote>
  <w:footnote w:id="60">
    <w:p w14:paraId="23AD44FF" w14:textId="77777777" w:rsidR="00A05749" w:rsidRPr="00360D47" w:rsidRDefault="00A05749" w:rsidP="0062021D">
      <w:pPr>
        <w:pStyle w:val="Footer"/>
        <w:rPr>
          <w:lang w:val="en-AU"/>
        </w:rPr>
      </w:pPr>
      <w:r w:rsidRPr="00C37252">
        <w:rPr>
          <w:rStyle w:val="FootnoteReference"/>
          <w:szCs w:val="15"/>
        </w:rPr>
        <w:footnoteRef/>
      </w:r>
      <w:r w:rsidRPr="00C37252">
        <w:t xml:space="preserve"> </w:t>
      </w:r>
      <w:r w:rsidRPr="00C37252">
        <w:rPr>
          <w:lang w:val="en-AU"/>
        </w:rPr>
        <w:t xml:space="preserve">People seen in primary care who score 12 and over on the K5 are likely to have high or very high psychological distress.’ This is, however, a screening instrument, and practitioners are expected to make clinical judgements. Australian Institute of Health and Welfare. </w:t>
      </w:r>
      <w:hyperlink r:id="rId23" w:history="1">
        <w:r w:rsidRPr="00C37252">
          <w:rPr>
            <w:rStyle w:val="Hyperlink"/>
            <w:szCs w:val="15"/>
            <w:lang w:val="en-AU"/>
          </w:rPr>
          <w:t>Adults with very high levels of psychological distress, 2018</w:t>
        </w:r>
      </w:hyperlink>
      <w:r>
        <w:rPr>
          <w:lang w:val="en-AU"/>
        </w:rPr>
        <w:t xml:space="preserve">. 2018. </w:t>
      </w:r>
    </w:p>
  </w:footnote>
  <w:footnote w:id="61">
    <w:p w14:paraId="2A275FD9" w14:textId="43A6E55A" w:rsidR="000B3E68" w:rsidRPr="00CC3AED" w:rsidRDefault="000B3E68" w:rsidP="0062021D">
      <w:pPr>
        <w:pStyle w:val="Footer"/>
        <w:rPr>
          <w:lang w:val="en-AU"/>
        </w:rPr>
      </w:pPr>
      <w:r w:rsidRPr="00CC3AED">
        <w:rPr>
          <w:rStyle w:val="FootnoteReference"/>
          <w:szCs w:val="15"/>
        </w:rPr>
        <w:footnoteRef/>
      </w:r>
      <w:r w:rsidRPr="00CC3AED">
        <w:t xml:space="preserve"> </w:t>
      </w:r>
      <w:r w:rsidRPr="00CC3AED">
        <w:rPr>
          <w:lang w:val="en-AU"/>
        </w:rPr>
        <w:t>The analysis is based on participants with both pre- and post-K5 scores (n=183)</w:t>
      </w:r>
      <w:r w:rsidR="0062021D">
        <w:rPr>
          <w:lang w:val="en-AU"/>
        </w:rPr>
        <w:t>.</w:t>
      </w:r>
    </w:p>
  </w:footnote>
  <w:footnote w:id="62">
    <w:p w14:paraId="77406CC9" w14:textId="488BCAEE" w:rsidR="00EE228B" w:rsidRPr="005A56F2" w:rsidRDefault="00EE228B">
      <w:pPr>
        <w:pStyle w:val="FootnoteText"/>
        <w:rPr>
          <w:sz w:val="15"/>
          <w:szCs w:val="15"/>
          <w:lang w:val="en-AU"/>
        </w:rPr>
      </w:pPr>
      <w:r w:rsidRPr="005A56F2">
        <w:rPr>
          <w:rStyle w:val="FootnoteReference"/>
          <w:sz w:val="15"/>
          <w:szCs w:val="15"/>
        </w:rPr>
        <w:footnoteRef/>
      </w:r>
      <w:r w:rsidRPr="005A56F2">
        <w:rPr>
          <w:sz w:val="15"/>
          <w:szCs w:val="15"/>
        </w:rPr>
        <w:t xml:space="preserve"> </w:t>
      </w:r>
      <w:r w:rsidR="00FE7E55" w:rsidRPr="005A56F2">
        <w:rPr>
          <w:sz w:val="15"/>
          <w:szCs w:val="15"/>
        </w:rPr>
        <w:t xml:space="preserve">A K5 score of 5-11 indicates a low to moderate level of psychological distress. A score of </w:t>
      </w:r>
      <w:r w:rsidR="005A56F2" w:rsidRPr="005A56F2">
        <w:rPr>
          <w:sz w:val="15"/>
          <w:szCs w:val="15"/>
        </w:rPr>
        <w:t>12-25 indicates a high to very high level of psychological distress.</w:t>
      </w:r>
    </w:p>
  </w:footnote>
  <w:footnote w:id="63">
    <w:p w14:paraId="0A531234" w14:textId="65F33083" w:rsidR="00B13AA2" w:rsidRPr="00243DA7" w:rsidRDefault="00B13AA2">
      <w:pPr>
        <w:pStyle w:val="FootnoteText"/>
        <w:rPr>
          <w:sz w:val="15"/>
          <w:szCs w:val="15"/>
          <w:lang w:val="en-AU"/>
        </w:rPr>
      </w:pPr>
      <w:r w:rsidRPr="00243DA7">
        <w:rPr>
          <w:rStyle w:val="FootnoteReference"/>
          <w:sz w:val="15"/>
          <w:szCs w:val="15"/>
        </w:rPr>
        <w:footnoteRef/>
      </w:r>
      <w:r w:rsidRPr="00243DA7">
        <w:rPr>
          <w:sz w:val="15"/>
          <w:szCs w:val="15"/>
        </w:rPr>
        <w:t xml:space="preserve"> </w:t>
      </w:r>
      <w:r w:rsidR="002D572C" w:rsidRPr="00243DA7">
        <w:rPr>
          <w:sz w:val="15"/>
          <w:szCs w:val="15"/>
          <w:lang w:val="en-AU"/>
        </w:rPr>
        <w:t>The regression analysis is based</w:t>
      </w:r>
      <w:r w:rsidR="00C81472" w:rsidRPr="00243DA7">
        <w:rPr>
          <w:sz w:val="15"/>
          <w:szCs w:val="15"/>
          <w:lang w:val="en-AU"/>
        </w:rPr>
        <w:t xml:space="preserve"> on 1,11</w:t>
      </w:r>
      <w:r w:rsidR="00243DA7" w:rsidRPr="00243DA7">
        <w:rPr>
          <w:sz w:val="15"/>
          <w:szCs w:val="15"/>
          <w:lang w:val="en-AU"/>
        </w:rPr>
        <w:t xml:space="preserve">3 </w:t>
      </w:r>
      <w:r w:rsidR="00C81472" w:rsidRPr="00243DA7">
        <w:rPr>
          <w:sz w:val="15"/>
          <w:szCs w:val="15"/>
          <w:lang w:val="en-AU"/>
        </w:rPr>
        <w:t>participants</w:t>
      </w:r>
      <w:r w:rsidR="00441C2C">
        <w:rPr>
          <w:sz w:val="15"/>
          <w:szCs w:val="15"/>
          <w:lang w:val="en-AU"/>
        </w:rPr>
        <w:t>.</w:t>
      </w:r>
    </w:p>
  </w:footnote>
  <w:footnote w:id="64">
    <w:p w14:paraId="517CF315" w14:textId="67D70358" w:rsidR="00340B64" w:rsidRPr="00CC3AED" w:rsidRDefault="00340B64">
      <w:pPr>
        <w:pStyle w:val="FootnoteText"/>
        <w:rPr>
          <w:sz w:val="15"/>
          <w:szCs w:val="15"/>
          <w:lang w:val="en-AU"/>
        </w:rPr>
      </w:pPr>
      <w:r w:rsidRPr="00CC3AED">
        <w:rPr>
          <w:rStyle w:val="FootnoteReference"/>
          <w:sz w:val="15"/>
          <w:szCs w:val="15"/>
        </w:rPr>
        <w:footnoteRef/>
      </w:r>
      <w:r w:rsidRPr="00CC3AED">
        <w:rPr>
          <w:sz w:val="15"/>
          <w:szCs w:val="15"/>
        </w:rPr>
        <w:t xml:space="preserve"> </w:t>
      </w:r>
      <w:r w:rsidRPr="00CC3AED">
        <w:rPr>
          <w:sz w:val="15"/>
          <w:szCs w:val="15"/>
          <w:lang w:val="en-AU"/>
        </w:rPr>
        <w:t xml:space="preserve">Appropriate tests were used to ensure that key assumptions in the regression </w:t>
      </w:r>
      <w:r w:rsidR="00830363">
        <w:rPr>
          <w:sz w:val="15"/>
          <w:szCs w:val="15"/>
          <w:lang w:val="en-AU"/>
        </w:rPr>
        <w:t>were</w:t>
      </w:r>
      <w:r w:rsidRPr="00CC3AED">
        <w:rPr>
          <w:sz w:val="15"/>
          <w:szCs w:val="15"/>
          <w:lang w:val="en-AU"/>
        </w:rPr>
        <w:t xml:space="preserve"> met such as </w:t>
      </w:r>
      <w:r w:rsidR="00830363">
        <w:rPr>
          <w:sz w:val="15"/>
          <w:szCs w:val="15"/>
          <w:lang w:val="en-AU"/>
        </w:rPr>
        <w:t>low or</w:t>
      </w:r>
      <w:r>
        <w:rPr>
          <w:sz w:val="15"/>
          <w:szCs w:val="15"/>
          <w:lang w:val="en-AU"/>
        </w:rPr>
        <w:t xml:space="preserve"> no </w:t>
      </w:r>
      <w:r w:rsidR="00830363">
        <w:rPr>
          <w:sz w:val="15"/>
          <w:szCs w:val="15"/>
          <w:lang w:val="en-AU"/>
        </w:rPr>
        <w:t xml:space="preserve">collinearity across the factors and constant </w:t>
      </w:r>
      <w:r w:rsidR="0066542E">
        <w:rPr>
          <w:sz w:val="15"/>
          <w:szCs w:val="15"/>
          <w:lang w:val="en-AU"/>
        </w:rPr>
        <w:t>variance of residuals.</w:t>
      </w:r>
    </w:p>
  </w:footnote>
  <w:footnote w:id="65">
    <w:p w14:paraId="74E8CE21" w14:textId="4ED77D8E" w:rsidR="000F7873" w:rsidRPr="00CC3AED" w:rsidRDefault="000F7873">
      <w:pPr>
        <w:pStyle w:val="FootnoteText"/>
        <w:rPr>
          <w:sz w:val="15"/>
          <w:szCs w:val="15"/>
          <w:lang w:val="en-AU"/>
        </w:rPr>
      </w:pPr>
      <w:r w:rsidRPr="00CC3AED">
        <w:rPr>
          <w:rStyle w:val="FootnoteReference"/>
          <w:sz w:val="15"/>
          <w:szCs w:val="15"/>
        </w:rPr>
        <w:footnoteRef/>
      </w:r>
      <w:r w:rsidRPr="00CC3AED">
        <w:rPr>
          <w:sz w:val="15"/>
          <w:szCs w:val="15"/>
        </w:rPr>
        <w:t xml:space="preserve"> </w:t>
      </w:r>
      <w:r w:rsidRPr="00CC3AED">
        <w:rPr>
          <w:sz w:val="15"/>
          <w:szCs w:val="15"/>
          <w:lang w:val="en-AU"/>
        </w:rPr>
        <w:t xml:space="preserve">IAR DST-level of care was not considered because </w:t>
      </w:r>
      <w:r>
        <w:rPr>
          <w:sz w:val="15"/>
          <w:szCs w:val="15"/>
          <w:lang w:val="en-AU"/>
        </w:rPr>
        <w:t xml:space="preserve">participants in </w:t>
      </w:r>
      <w:r w:rsidR="00160D51" w:rsidRPr="00160D51">
        <w:rPr>
          <w:sz w:val="15"/>
          <w:szCs w:val="15"/>
          <w:lang w:val="en-AU"/>
        </w:rPr>
        <w:t>GPHN</w:t>
      </w:r>
      <w:r w:rsidR="00F45E68">
        <w:rPr>
          <w:sz w:val="15"/>
          <w:szCs w:val="15"/>
          <w:lang w:val="en-AU"/>
        </w:rPr>
        <w:t xml:space="preserve"> did not have their </w:t>
      </w:r>
      <w:r w:rsidRPr="00CC3AED">
        <w:rPr>
          <w:sz w:val="15"/>
          <w:szCs w:val="15"/>
          <w:lang w:val="en-AU"/>
        </w:rPr>
        <w:t xml:space="preserve">IAR DST-level of care </w:t>
      </w:r>
      <w:r w:rsidR="00F45E68">
        <w:rPr>
          <w:sz w:val="15"/>
          <w:szCs w:val="15"/>
          <w:lang w:val="en-AU"/>
        </w:rPr>
        <w:t>data in the PMHC-MDS.</w:t>
      </w:r>
    </w:p>
  </w:footnote>
  <w:footnote w:id="66">
    <w:p w14:paraId="37D4F5D3" w14:textId="5350FC2E" w:rsidR="00A05749" w:rsidRPr="002C6CF5" w:rsidRDefault="00A05749" w:rsidP="00A05749">
      <w:pPr>
        <w:pStyle w:val="FootnoteText"/>
        <w:rPr>
          <w:sz w:val="15"/>
          <w:szCs w:val="15"/>
          <w:lang w:val="en-AU"/>
        </w:rPr>
      </w:pPr>
      <w:r w:rsidRPr="002C6CF5">
        <w:rPr>
          <w:rStyle w:val="FootnoteReference"/>
          <w:sz w:val="15"/>
          <w:szCs w:val="15"/>
        </w:rPr>
        <w:footnoteRef/>
      </w:r>
      <w:r w:rsidRPr="002C6CF5">
        <w:rPr>
          <w:sz w:val="15"/>
          <w:szCs w:val="15"/>
        </w:rPr>
        <w:t xml:space="preserve"> </w:t>
      </w:r>
      <w:r w:rsidRPr="002C6CF5">
        <w:rPr>
          <w:sz w:val="15"/>
          <w:szCs w:val="15"/>
          <w:lang w:val="en-AU"/>
        </w:rPr>
        <w:t xml:space="preserve">Regression models generate </w:t>
      </w:r>
      <w:r>
        <w:rPr>
          <w:sz w:val="15"/>
          <w:szCs w:val="15"/>
          <w:lang w:val="en-AU"/>
        </w:rPr>
        <w:t xml:space="preserve">an </w:t>
      </w:r>
      <w:r w:rsidRPr="002C6CF5">
        <w:rPr>
          <w:sz w:val="15"/>
          <w:szCs w:val="15"/>
          <w:lang w:val="en-AU"/>
        </w:rPr>
        <w:t>R</w:t>
      </w:r>
      <w:r w:rsidRPr="002C6CF5">
        <w:rPr>
          <w:sz w:val="15"/>
          <w:szCs w:val="15"/>
          <w:vertAlign w:val="superscript"/>
          <w:lang w:val="en-AU"/>
        </w:rPr>
        <w:t>2</w:t>
      </w:r>
      <w:r w:rsidRPr="002C6CF5">
        <w:rPr>
          <w:sz w:val="15"/>
          <w:szCs w:val="15"/>
          <w:lang w:val="en-AU"/>
        </w:rPr>
        <w:t>,</w:t>
      </w:r>
      <w:r>
        <w:rPr>
          <w:sz w:val="15"/>
          <w:szCs w:val="15"/>
          <w:lang w:val="en-AU"/>
        </w:rPr>
        <w:t xml:space="preserve"> which is</w:t>
      </w:r>
      <w:r w:rsidRPr="002C6CF5">
        <w:rPr>
          <w:sz w:val="15"/>
          <w:szCs w:val="15"/>
          <w:lang w:val="en-AU"/>
        </w:rPr>
        <w:t xml:space="preserve"> a coefficient that measures how close the data is to fitting the regression line. An R</w:t>
      </w:r>
      <w:r w:rsidRPr="002C6CF5">
        <w:rPr>
          <w:sz w:val="15"/>
          <w:szCs w:val="15"/>
          <w:vertAlign w:val="superscript"/>
          <w:lang w:val="en-AU"/>
        </w:rPr>
        <w:t>2</w:t>
      </w:r>
      <w:r w:rsidRPr="002C6CF5">
        <w:rPr>
          <w:sz w:val="15"/>
          <w:szCs w:val="15"/>
          <w:lang w:val="en-AU"/>
        </w:rPr>
        <w:t xml:space="preserve"> of </w:t>
      </w:r>
      <w:r w:rsidR="002E2FBF">
        <w:rPr>
          <w:sz w:val="15"/>
          <w:szCs w:val="15"/>
          <w:lang w:val="en-AU"/>
        </w:rPr>
        <w:t>zero</w:t>
      </w:r>
      <w:r w:rsidRPr="002C6CF5">
        <w:rPr>
          <w:sz w:val="15"/>
          <w:szCs w:val="15"/>
          <w:lang w:val="en-AU"/>
        </w:rPr>
        <w:t xml:space="preserve"> per cent indicates that the model explains none of the variability of the response data around its mean, whereas an R</w:t>
      </w:r>
      <w:r w:rsidRPr="002C6CF5">
        <w:rPr>
          <w:sz w:val="15"/>
          <w:szCs w:val="15"/>
          <w:vertAlign w:val="superscript"/>
          <w:lang w:val="en-AU"/>
        </w:rPr>
        <w:t>2</w:t>
      </w:r>
      <w:r w:rsidRPr="002C6CF5">
        <w:rPr>
          <w:sz w:val="15"/>
          <w:szCs w:val="15"/>
          <w:lang w:val="en-AU"/>
        </w:rPr>
        <w:t xml:space="preserve"> of 100 per cent indicates that the model explains all the variability of the response data around its mean.</w:t>
      </w:r>
      <w:r>
        <w:rPr>
          <w:sz w:val="15"/>
          <w:szCs w:val="15"/>
          <w:lang w:val="en-AU"/>
        </w:rPr>
        <w:t xml:space="preserve"> An </w:t>
      </w:r>
      <w:r w:rsidRPr="002C6CF5">
        <w:rPr>
          <w:sz w:val="15"/>
          <w:szCs w:val="15"/>
          <w:lang w:val="en-AU"/>
        </w:rPr>
        <w:t>R</w:t>
      </w:r>
      <w:r w:rsidRPr="002C6CF5">
        <w:rPr>
          <w:sz w:val="15"/>
          <w:szCs w:val="15"/>
          <w:vertAlign w:val="superscript"/>
          <w:lang w:val="en-AU"/>
        </w:rPr>
        <w:t>2</w:t>
      </w:r>
      <w:r>
        <w:rPr>
          <w:sz w:val="15"/>
          <w:szCs w:val="15"/>
          <w:vertAlign w:val="superscript"/>
          <w:lang w:val="en-AU"/>
        </w:rPr>
        <w:t xml:space="preserve"> </w:t>
      </w:r>
      <w:r>
        <w:rPr>
          <w:sz w:val="15"/>
          <w:szCs w:val="15"/>
          <w:lang w:val="en-AU"/>
        </w:rPr>
        <w:t xml:space="preserve">of 12 per cent indicates that the factors analysed do not really impact the outcomes and that there is high variance in K10 scores, reflecting the fact that there are many factors affecting mental health. </w:t>
      </w:r>
    </w:p>
  </w:footnote>
  <w:footnote w:id="67">
    <w:p w14:paraId="7DE50FF1" w14:textId="653625CF" w:rsidR="00A21512" w:rsidRPr="003A0FD2" w:rsidRDefault="00A21512">
      <w:pPr>
        <w:pStyle w:val="FootnoteText"/>
        <w:rPr>
          <w:sz w:val="15"/>
          <w:szCs w:val="15"/>
          <w:lang w:val="en-AU"/>
        </w:rPr>
      </w:pPr>
      <w:r w:rsidRPr="003A0FD2">
        <w:rPr>
          <w:rStyle w:val="FootnoteReference"/>
          <w:sz w:val="15"/>
          <w:szCs w:val="15"/>
        </w:rPr>
        <w:footnoteRef/>
      </w:r>
      <w:r w:rsidRPr="003A0FD2">
        <w:rPr>
          <w:sz w:val="15"/>
          <w:szCs w:val="15"/>
        </w:rPr>
        <w:t xml:space="preserve"> </w:t>
      </w:r>
      <w:r w:rsidRPr="003A0FD2">
        <w:rPr>
          <w:sz w:val="15"/>
          <w:szCs w:val="15"/>
          <w:lang w:val="en-AU"/>
        </w:rPr>
        <w:t xml:space="preserve">Detailed regression outputs are given in the </w:t>
      </w:r>
      <w:r w:rsidR="003A0FD2" w:rsidRPr="003A0FD2">
        <w:rPr>
          <w:sz w:val="15"/>
          <w:szCs w:val="15"/>
          <w:lang w:val="en-AU"/>
        </w:rPr>
        <w:t xml:space="preserve">Final </w:t>
      </w:r>
      <w:r w:rsidR="002E2FBF">
        <w:rPr>
          <w:sz w:val="15"/>
          <w:szCs w:val="15"/>
          <w:lang w:val="en-AU"/>
        </w:rPr>
        <w:t>Evaluation</w:t>
      </w:r>
      <w:r w:rsidR="003A0FD2" w:rsidRPr="003A0FD2">
        <w:rPr>
          <w:sz w:val="15"/>
          <w:szCs w:val="15"/>
          <w:lang w:val="en-AU"/>
        </w:rPr>
        <w:t xml:space="preserve"> </w:t>
      </w:r>
      <w:r w:rsidR="003A0FD2">
        <w:rPr>
          <w:sz w:val="15"/>
          <w:szCs w:val="15"/>
          <w:lang w:val="en-AU"/>
        </w:rPr>
        <w:t xml:space="preserve">Report </w:t>
      </w:r>
      <w:r w:rsidR="003A0FD2" w:rsidRPr="003A0FD2">
        <w:rPr>
          <w:sz w:val="15"/>
          <w:szCs w:val="15"/>
          <w:lang w:val="en-AU"/>
        </w:rPr>
        <w:t>appendices</w:t>
      </w:r>
      <w:r w:rsidR="003A0FD2">
        <w:rPr>
          <w:sz w:val="15"/>
          <w:szCs w:val="15"/>
          <w:lang w:val="en-AU"/>
        </w:rPr>
        <w:t>.</w:t>
      </w:r>
    </w:p>
  </w:footnote>
  <w:footnote w:id="68">
    <w:p w14:paraId="03721DC1" w14:textId="3D03845B" w:rsidR="00C50757" w:rsidRPr="00AF1C13" w:rsidRDefault="00C50757" w:rsidP="00C50757">
      <w:pPr>
        <w:pStyle w:val="FootnoteText"/>
        <w:rPr>
          <w:sz w:val="15"/>
          <w:szCs w:val="15"/>
          <w:lang w:val="en-AU"/>
        </w:rPr>
      </w:pPr>
      <w:r w:rsidRPr="00AF1C13">
        <w:rPr>
          <w:rStyle w:val="FootnoteReference"/>
          <w:sz w:val="15"/>
          <w:szCs w:val="15"/>
        </w:rPr>
        <w:footnoteRef/>
      </w:r>
      <w:r w:rsidRPr="00AF1C13">
        <w:rPr>
          <w:sz w:val="15"/>
          <w:szCs w:val="15"/>
        </w:rPr>
        <w:t xml:space="preserve"> </w:t>
      </w:r>
      <w:r w:rsidRPr="00AF1C13">
        <w:rPr>
          <w:sz w:val="15"/>
          <w:szCs w:val="15"/>
          <w:lang w:val="en-AU"/>
        </w:rPr>
        <w:t xml:space="preserve">To consider the overall </w:t>
      </w:r>
      <w:r>
        <w:rPr>
          <w:sz w:val="15"/>
          <w:szCs w:val="15"/>
          <w:lang w:val="en-AU"/>
        </w:rPr>
        <w:t>e</w:t>
      </w:r>
      <w:r w:rsidRPr="00AF1C13">
        <w:rPr>
          <w:sz w:val="15"/>
          <w:szCs w:val="15"/>
          <w:lang w:val="en-AU"/>
        </w:rPr>
        <w:t xml:space="preserve">ffect of a factor, we add the effect estimate to the intercept. For example, </w:t>
      </w:r>
      <w:r>
        <w:rPr>
          <w:sz w:val="15"/>
          <w:szCs w:val="15"/>
          <w:lang w:val="en-AU"/>
        </w:rPr>
        <w:t xml:space="preserve">consider a participant across the reference levels except Labour Force Status where they are unemployed. The model then estimates that the overall effect is -7.4 (intercept effect) add 1.77 (the effect </w:t>
      </w:r>
      <w:proofErr w:type="gramStart"/>
      <w:r>
        <w:rPr>
          <w:sz w:val="15"/>
          <w:szCs w:val="15"/>
          <w:lang w:val="en-AU"/>
        </w:rPr>
        <w:t>estimate</w:t>
      </w:r>
      <w:proofErr w:type="gramEnd"/>
      <w:r>
        <w:rPr>
          <w:sz w:val="15"/>
          <w:szCs w:val="15"/>
          <w:lang w:val="en-AU"/>
        </w:rPr>
        <w:t xml:space="preserve"> from the factor Labour Force Status: Unemployed) for an overall effect of -5.63. Noting that all effect estimates are no greater than 7.4, this indicates that across all statistically significant factors, the overall impact to the individual is positive. </w:t>
      </w:r>
    </w:p>
  </w:footnote>
  <w:footnote w:id="69">
    <w:p w14:paraId="79FB5CEC" w14:textId="0ED88A16" w:rsidR="003854FA" w:rsidRPr="00C735BA" w:rsidRDefault="003854FA" w:rsidP="008A6559">
      <w:pPr>
        <w:pStyle w:val="Footer"/>
        <w:rPr>
          <w:lang w:val="en-AU"/>
        </w:rPr>
      </w:pPr>
      <w:r>
        <w:rPr>
          <w:rStyle w:val="FootnoteReference"/>
        </w:rPr>
        <w:footnoteRef/>
      </w:r>
      <w:r>
        <w:t xml:space="preserve"> </w:t>
      </w:r>
      <w:r w:rsidRPr="00C735BA">
        <w:t>Running the regression with the same factors as those used in the interim evaluation does not give homelessness and age as statistically significant factors. On the other hand, running the regression on the interim dataset and controlling for PHN shows that homelessness and age remain statistically significant at the 95 per cent significance level while PHN is only statistically significant 90 per cent significance, signifying that homelessness and age had a stronger relationship at the time of the interim evaluation. A possible explanation for this is that over time PHNs have a larger effect than homelessness status and age combined.</w:t>
      </w:r>
      <w:r w:rsidRPr="003854FA">
        <w:t xml:space="preserve"> Additionally, the regression model using the same factors in the </w:t>
      </w:r>
      <w:r>
        <w:t>I</w:t>
      </w:r>
      <w:r w:rsidRPr="003854FA">
        <w:t xml:space="preserve">nterim </w:t>
      </w:r>
      <w:r>
        <w:t>E</w:t>
      </w:r>
      <w:r w:rsidRPr="003854FA">
        <w:t xml:space="preserve">valuation on the final dataset has an R2 of only </w:t>
      </w:r>
      <w:r w:rsidR="008A6559">
        <w:t>two</w:t>
      </w:r>
      <w:r w:rsidRPr="003854FA">
        <w:t xml:space="preserve"> per cent, compared to 12 per cent in the interim evaluation, suggesting that over time the relationship between the factors has changed significantly and accounting for only </w:t>
      </w:r>
      <w:r w:rsidR="00616052">
        <w:t>two</w:t>
      </w:r>
      <w:r w:rsidRPr="003854FA">
        <w:t xml:space="preserve"> per cent of the total variance down from 12 per cent.</w:t>
      </w:r>
    </w:p>
  </w:footnote>
  <w:footnote w:id="70">
    <w:p w14:paraId="1120FF89" w14:textId="77777777" w:rsidR="0073449D" w:rsidRPr="00EA33C6" w:rsidRDefault="0073449D" w:rsidP="00CB193F">
      <w:pPr>
        <w:pStyle w:val="Footer"/>
        <w:rPr>
          <w:lang w:val="en-AU"/>
        </w:rPr>
      </w:pPr>
      <w:r>
        <w:rPr>
          <w:rStyle w:val="FootnoteReference"/>
        </w:rPr>
        <w:footnoteRef/>
      </w:r>
      <w:r>
        <w:t xml:space="preserve"> </w:t>
      </w:r>
      <w:r w:rsidRPr="00EA33C6">
        <w:rPr>
          <w:lang w:val="en-AU"/>
        </w:rPr>
        <w:t>For details of the frequency with which each of these factors were mentioned, both positively and negatively, please refer to the University of Sydney Voices of Lived Experience report.</w:t>
      </w:r>
    </w:p>
  </w:footnote>
  <w:footnote w:id="71">
    <w:p w14:paraId="54C9C2B6" w14:textId="5A2E121D" w:rsidR="00645241" w:rsidRPr="00A44EB9" w:rsidRDefault="00645241">
      <w:pPr>
        <w:pStyle w:val="FootnoteText"/>
        <w:rPr>
          <w:sz w:val="15"/>
          <w:szCs w:val="15"/>
          <w:lang w:val="en-AU"/>
        </w:rPr>
      </w:pPr>
      <w:r w:rsidRPr="00A44EB9">
        <w:rPr>
          <w:rStyle w:val="FootnoteReference"/>
          <w:sz w:val="15"/>
          <w:szCs w:val="15"/>
        </w:rPr>
        <w:footnoteRef/>
      </w:r>
      <w:r w:rsidRPr="00A44EB9">
        <w:rPr>
          <w:sz w:val="15"/>
          <w:szCs w:val="15"/>
        </w:rPr>
        <w:t xml:space="preserve"> </w:t>
      </w:r>
      <w:r w:rsidRPr="00A44EB9">
        <w:rPr>
          <w:sz w:val="15"/>
          <w:szCs w:val="15"/>
          <w:lang w:val="en-AU"/>
        </w:rPr>
        <w:t xml:space="preserve">PHN flexible funding was excluded in </w:t>
      </w:r>
      <w:r w:rsidR="00A44EB9" w:rsidRPr="00A44EB9">
        <w:rPr>
          <w:sz w:val="15"/>
          <w:szCs w:val="15"/>
          <w:lang w:val="en-AU"/>
        </w:rPr>
        <w:t>these calculations to best reflect hub operation rather than PHN administration and management.</w:t>
      </w:r>
    </w:p>
  </w:footnote>
  <w:footnote w:id="72">
    <w:p w14:paraId="73A191EC" w14:textId="2C45E015" w:rsidR="00D34FE0" w:rsidRPr="00C735BA" w:rsidRDefault="00D34FE0" w:rsidP="00854C7E">
      <w:pPr>
        <w:pStyle w:val="Footer"/>
        <w:rPr>
          <w:lang w:val="en-AU"/>
        </w:rPr>
      </w:pPr>
      <w:r>
        <w:rPr>
          <w:rStyle w:val="FootnoteReference"/>
        </w:rPr>
        <w:footnoteRef/>
      </w:r>
      <w:r>
        <w:t xml:space="preserve"> As intake contacts are not included in the count of service contacts from the PHMC-MDS dataset.</w:t>
      </w:r>
    </w:p>
  </w:footnote>
  <w:footnote w:id="73">
    <w:p w14:paraId="2090D1CF" w14:textId="73E8CBE5" w:rsidR="00090167" w:rsidRPr="00DE5D4D" w:rsidRDefault="00090167" w:rsidP="00075129">
      <w:pPr>
        <w:pStyle w:val="Footer"/>
        <w:rPr>
          <w:lang w:val="en-AU"/>
        </w:rPr>
      </w:pPr>
      <w:r w:rsidRPr="00C56695">
        <w:rPr>
          <w:rStyle w:val="FootnoteReference"/>
          <w:szCs w:val="15"/>
        </w:rPr>
        <w:footnoteRef/>
      </w:r>
      <w:r w:rsidRPr="00C56695">
        <w:t xml:space="preserve"> </w:t>
      </w:r>
      <w:r w:rsidR="00A121A4" w:rsidRPr="00C56695">
        <w:rPr>
          <w:lang w:val="en-AU"/>
        </w:rPr>
        <w:t>headspace</w:t>
      </w:r>
      <w:r w:rsidRPr="00C56695">
        <w:rPr>
          <w:lang w:val="en-AU"/>
        </w:rPr>
        <w:t xml:space="preserve"> Evaluation Report, Kristy Muir et al</w:t>
      </w:r>
      <w:r>
        <w:rPr>
          <w:lang w:val="en-AU"/>
        </w:rPr>
        <w:t>.</w:t>
      </w:r>
      <w:r w:rsidRPr="00C56695">
        <w:rPr>
          <w:lang w:val="en-AU"/>
        </w:rPr>
        <w:t>, Social Policy Research Centre</w:t>
      </w:r>
      <w:r>
        <w:rPr>
          <w:lang w:val="en-AU"/>
        </w:rPr>
        <w:t>,</w:t>
      </w:r>
      <w:r w:rsidRPr="00C56695">
        <w:rPr>
          <w:lang w:val="en-AU"/>
        </w:rPr>
        <w:t xml:space="preserve"> University of New South Wales, 2009.</w:t>
      </w:r>
    </w:p>
  </w:footnote>
  <w:footnote w:id="74">
    <w:p w14:paraId="6ECDB568" w14:textId="77777777" w:rsidR="00090167" w:rsidRPr="00367B7A" w:rsidRDefault="00090167" w:rsidP="00075129">
      <w:pPr>
        <w:pStyle w:val="Footer"/>
        <w:rPr>
          <w:lang w:val="en-AU"/>
        </w:rPr>
      </w:pPr>
      <w:r w:rsidRPr="00367B7A">
        <w:rPr>
          <w:rStyle w:val="FootnoteReference"/>
          <w:szCs w:val="15"/>
        </w:rPr>
        <w:footnoteRef/>
      </w:r>
      <w:r w:rsidRPr="00367B7A">
        <w:t xml:space="preserve"> Is headspace making a difference to young people’s lives? Final report of the independent evaluation of the headspace program, </w:t>
      </w:r>
      <w:proofErr w:type="spellStart"/>
      <w:r w:rsidRPr="00367B7A">
        <w:t>Hilferty</w:t>
      </w:r>
      <w:proofErr w:type="spellEnd"/>
      <w:r w:rsidRPr="00367B7A">
        <w:t xml:space="preserve"> et al., Social Policy Research Centre, University of New South Wales, 2015.</w:t>
      </w:r>
    </w:p>
  </w:footnote>
  <w:footnote w:id="75">
    <w:p w14:paraId="3EF722E6" w14:textId="4B5518BD" w:rsidR="000A575B" w:rsidRPr="000355F7" w:rsidRDefault="000A575B" w:rsidP="000355F7">
      <w:pPr>
        <w:pStyle w:val="Footer"/>
      </w:pPr>
      <w:r>
        <w:rPr>
          <w:rStyle w:val="FootnoteReference"/>
        </w:rPr>
        <w:footnoteRef/>
      </w:r>
      <w:r w:rsidRPr="000355F7">
        <w:rPr>
          <w:vertAlign w:val="superscript"/>
        </w:rPr>
        <w:t xml:space="preserve"> </w:t>
      </w:r>
      <w:r w:rsidRPr="000355F7">
        <w:t xml:space="preserve">The Safe Haven Café in Canberra is located at the Belconnen Community Health Centre and is intended to be a safe space for people experiencing mental health problems or emotional distress to access support more easily than through a clinical emergency room. It is </w:t>
      </w:r>
      <w:r w:rsidR="00B07EFE">
        <w:t>i</w:t>
      </w:r>
      <w:r w:rsidRPr="000355F7">
        <w:t xml:space="preserve">ntended for people who do not have the level of distress that requires emergency attendance but who require more support than what is provided by community </w:t>
      </w:r>
      <w:proofErr w:type="spellStart"/>
      <w:r w:rsidRPr="000355F7">
        <w:t>organisations</w:t>
      </w:r>
      <w:proofErr w:type="spellEnd"/>
      <w:r w:rsidRPr="000355F7">
        <w:t>. People have access to peer workers who can help them to manage their distress.</w:t>
      </w:r>
    </w:p>
  </w:footnote>
  <w:footnote w:id="76">
    <w:p w14:paraId="15D4F1ED" w14:textId="77777777" w:rsidR="00C006CC" w:rsidRPr="00B13987" w:rsidRDefault="00C006CC" w:rsidP="00C006CC">
      <w:pPr>
        <w:pStyle w:val="FootnoteText"/>
        <w:rPr>
          <w:sz w:val="15"/>
          <w:szCs w:val="15"/>
          <w:lang w:val="en-AU"/>
        </w:rPr>
      </w:pPr>
      <w:r w:rsidRPr="00B13987">
        <w:rPr>
          <w:rStyle w:val="FootnoteReference"/>
          <w:sz w:val="15"/>
          <w:szCs w:val="15"/>
        </w:rPr>
        <w:footnoteRef/>
      </w:r>
      <w:r w:rsidRPr="00B13987">
        <w:rPr>
          <w:sz w:val="15"/>
          <w:szCs w:val="15"/>
        </w:rPr>
        <w:t xml:space="preserve"> </w:t>
      </w:r>
      <w:r w:rsidRPr="00B13987">
        <w:rPr>
          <w:sz w:val="15"/>
          <w:szCs w:val="15"/>
          <w:lang w:val="en-AU"/>
        </w:rPr>
        <w:t>Urgent Mental Healthcare Centre Monthly Report January 22, provided by SA Health</w:t>
      </w:r>
    </w:p>
  </w:footnote>
  <w:footnote w:id="77">
    <w:p w14:paraId="42456112" w14:textId="77777777" w:rsidR="000A575B" w:rsidRPr="00596A80" w:rsidRDefault="000A575B" w:rsidP="000A575B">
      <w:pPr>
        <w:pStyle w:val="Footer"/>
        <w:rPr>
          <w:lang w:val="en-AU"/>
        </w:rPr>
      </w:pPr>
      <w:r w:rsidRPr="00596A80">
        <w:rPr>
          <w:rStyle w:val="FootnoteReference"/>
          <w:sz w:val="14"/>
          <w:szCs w:val="14"/>
        </w:rPr>
        <w:footnoteRef/>
      </w:r>
      <w:r w:rsidRPr="00596A80">
        <w:t xml:space="preserve"> </w:t>
      </w:r>
      <w:proofErr w:type="spellStart"/>
      <w:r w:rsidRPr="00596A80">
        <w:rPr>
          <w:lang w:val="en-AU"/>
        </w:rPr>
        <w:t>Pressly</w:t>
      </w:r>
      <w:proofErr w:type="spellEnd"/>
      <w:r w:rsidRPr="00596A80">
        <w:rPr>
          <w:lang w:val="en-AU"/>
        </w:rPr>
        <w:t xml:space="preserve">, P and </w:t>
      </w:r>
      <w:proofErr w:type="spellStart"/>
      <w:r w:rsidRPr="00596A80">
        <w:rPr>
          <w:lang w:val="en-AU"/>
        </w:rPr>
        <w:t>Heesacker</w:t>
      </w:r>
      <w:proofErr w:type="spellEnd"/>
      <w:r w:rsidRPr="00596A80">
        <w:rPr>
          <w:lang w:val="en-AU"/>
        </w:rPr>
        <w:t xml:space="preserve">, M. The Physical Environment and </w:t>
      </w:r>
      <w:proofErr w:type="spellStart"/>
      <w:r w:rsidRPr="00596A80">
        <w:rPr>
          <w:lang w:val="en-AU"/>
        </w:rPr>
        <w:t>Counseling</w:t>
      </w:r>
      <w:proofErr w:type="spellEnd"/>
      <w:r w:rsidRPr="00596A80">
        <w:rPr>
          <w:lang w:val="en-AU"/>
        </w:rPr>
        <w:t xml:space="preserve">: A Review of Theory and Research. Journal of </w:t>
      </w:r>
      <w:proofErr w:type="spellStart"/>
      <w:r w:rsidRPr="00596A80">
        <w:rPr>
          <w:lang w:val="en-AU"/>
        </w:rPr>
        <w:t>Counseling</w:t>
      </w:r>
      <w:proofErr w:type="spellEnd"/>
      <w:r w:rsidRPr="00596A80">
        <w:rPr>
          <w:lang w:val="en-AU"/>
        </w:rPr>
        <w:t xml:space="preserve"> &amp; Development. Page 149.</w:t>
      </w:r>
    </w:p>
  </w:footnote>
  <w:footnote w:id="78">
    <w:p w14:paraId="7AA9D7C3" w14:textId="77777777" w:rsidR="000A575B" w:rsidRPr="00596A80" w:rsidRDefault="000A575B" w:rsidP="000A575B">
      <w:pPr>
        <w:pStyle w:val="Footer"/>
        <w:rPr>
          <w:lang w:val="en-AU"/>
        </w:rPr>
      </w:pPr>
      <w:r w:rsidRPr="00596A80">
        <w:rPr>
          <w:rStyle w:val="FootnoteReference"/>
          <w:sz w:val="14"/>
          <w:szCs w:val="14"/>
        </w:rPr>
        <w:footnoteRef/>
      </w:r>
      <w:r w:rsidRPr="00596A80">
        <w:t xml:space="preserve"> </w:t>
      </w:r>
      <w:r w:rsidRPr="00596A80">
        <w:rPr>
          <w:lang w:val="en-AU"/>
        </w:rPr>
        <w:t>Australian Institute of Health and Welfare. National Mental Health Workforce Strategy. Page 8.</w:t>
      </w:r>
    </w:p>
  </w:footnote>
  <w:footnote w:id="79">
    <w:p w14:paraId="60C74714" w14:textId="77777777" w:rsidR="000A575B" w:rsidRPr="00282524" w:rsidRDefault="000A575B" w:rsidP="000A575B">
      <w:pPr>
        <w:pStyle w:val="Footer"/>
        <w:rPr>
          <w:lang w:val="en-AU"/>
        </w:rPr>
      </w:pPr>
      <w:r w:rsidRPr="00596A80">
        <w:rPr>
          <w:rStyle w:val="FootnoteReference"/>
          <w:sz w:val="14"/>
          <w:szCs w:val="14"/>
        </w:rPr>
        <w:footnoteRef/>
      </w:r>
      <w:r w:rsidRPr="00596A80">
        <w:t xml:space="preserve"> </w:t>
      </w:r>
      <w:r w:rsidRPr="00596A80">
        <w:rPr>
          <w:lang w:val="en-AU"/>
        </w:rPr>
        <w:t>Ibid</w:t>
      </w:r>
      <w:r>
        <w:rPr>
          <w:lang w:val="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17F6F" w14:textId="77777777" w:rsidR="004A1F5A" w:rsidRDefault="004A1F5A">
    <w:pPr>
      <w:pStyle w:val="Header"/>
    </w:pPr>
    <w:r>
      <w:rPr>
        <w:noProof/>
        <w:szCs w:val="20"/>
        <w:lang w:eastAsia="en-AU"/>
      </w:rPr>
      <w:drawing>
        <wp:anchor distT="0" distB="0" distL="114300" distR="114300" simplePos="0" relativeHeight="251657216" behindDoc="0" locked="0" layoutInCell="1" allowOverlap="1" wp14:anchorId="57D0247F" wp14:editId="02C33C9A">
          <wp:simplePos x="0" y="0"/>
          <wp:positionH relativeFrom="page">
            <wp:posOffset>3337</wp:posOffset>
          </wp:positionH>
          <wp:positionV relativeFrom="page">
            <wp:posOffset>-6985</wp:posOffset>
          </wp:positionV>
          <wp:extent cx="7559749" cy="116958"/>
          <wp:effectExtent l="0" t="0" r="0" b="0"/>
          <wp:wrapNone/>
          <wp:docPr id="14356" name="Picture 14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56" name="Picture 14356">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5EED5" w14:textId="77777777" w:rsidR="004A1F5A" w:rsidRDefault="004A1F5A" w:rsidP="003F0DAE">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712D7" w14:textId="77777777" w:rsidR="00FD1812" w:rsidRDefault="00FD1812">
    <w:r>
      <w:rPr>
        <w:noProof/>
        <w:szCs w:val="20"/>
        <w:lang w:val="en-AU" w:eastAsia="en-AU"/>
      </w:rPr>
      <w:drawing>
        <wp:anchor distT="0" distB="0" distL="114300" distR="114300" simplePos="0" relativeHeight="251673600" behindDoc="0" locked="0" layoutInCell="1" allowOverlap="1" wp14:anchorId="28C10C1C" wp14:editId="22323D8A">
          <wp:simplePos x="0" y="0"/>
          <wp:positionH relativeFrom="page">
            <wp:posOffset>0</wp:posOffset>
          </wp:positionH>
          <wp:positionV relativeFrom="page">
            <wp:posOffset>0</wp:posOffset>
          </wp:positionV>
          <wp:extent cx="7560000" cy="114300"/>
          <wp:effectExtent l="0" t="0" r="317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0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D9733" w14:textId="77777777" w:rsidR="00F3512C" w:rsidRDefault="00144C77">
    <w:pPr>
      <w:pStyle w:val="Header"/>
    </w:pPr>
    <w:r>
      <w:rPr>
        <w:noProof/>
        <w:szCs w:val="20"/>
        <w:lang w:val="en-AU" w:eastAsia="en-AU"/>
      </w:rPr>
      <w:drawing>
        <wp:anchor distT="0" distB="0" distL="114300" distR="114300" simplePos="0" relativeHeight="251616256" behindDoc="0" locked="0" layoutInCell="1" allowOverlap="1" wp14:anchorId="190E4D4E" wp14:editId="52FADAAA">
          <wp:simplePos x="0" y="0"/>
          <wp:positionH relativeFrom="page">
            <wp:posOffset>0</wp:posOffset>
          </wp:positionH>
          <wp:positionV relativeFrom="page">
            <wp:posOffset>0</wp:posOffset>
          </wp:positionV>
          <wp:extent cx="10705381" cy="129396"/>
          <wp:effectExtent l="0" t="0" r="0" b="444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1250761" cy="1359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8098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12F5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5045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C073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FD208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ECAC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22A7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26A2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A095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3A87F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007B8F"/>
    <w:multiLevelType w:val="multilevel"/>
    <w:tmpl w:val="9CD6342C"/>
    <w:styleLink w:val="TableexpListnumberedmultilevel"/>
    <w:lvl w:ilvl="0">
      <w:start w:val="1"/>
      <w:numFmt w:val="decimal"/>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1" w15:restartNumberingAfterBreak="0">
    <w:nsid w:val="089A31A2"/>
    <w:multiLevelType w:val="multilevel"/>
    <w:tmpl w:val="BF640E2C"/>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625D8B"/>
    <w:multiLevelType w:val="hybridMultilevel"/>
    <w:tmpl w:val="F4482672"/>
    <w:lvl w:ilvl="0" w:tplc="608E9972">
      <w:start w:val="1"/>
      <w:numFmt w:val="decimal"/>
      <w:pStyle w:val="Listnumbered"/>
      <w:lvlText w:val="%1."/>
      <w:lvlJc w:val="left"/>
      <w:pPr>
        <w:ind w:left="397" w:hanging="397"/>
      </w:pPr>
      <w:rPr>
        <w:rFonts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5905FFB"/>
    <w:multiLevelType w:val="multilevel"/>
    <w:tmpl w:val="F2D8D162"/>
    <w:numStyleLink w:val="Listnumberedmultilevel"/>
  </w:abstractNum>
  <w:abstractNum w:abstractNumId="15" w15:restartNumberingAfterBreak="0">
    <w:nsid w:val="1AA13D2D"/>
    <w:multiLevelType w:val="multilevel"/>
    <w:tmpl w:val="F2D8D162"/>
    <w:styleLink w:val="Listnumberedmultilevel"/>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6" w15:restartNumberingAfterBreak="0">
    <w:nsid w:val="2B9063A0"/>
    <w:multiLevelType w:val="hybridMultilevel"/>
    <w:tmpl w:val="7C369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6A2698"/>
    <w:multiLevelType w:val="hybridMultilevel"/>
    <w:tmpl w:val="88F80222"/>
    <w:lvl w:ilvl="0" w:tplc="9E3E472C">
      <w:start w:val="1"/>
      <w:numFmt w:val="decimal"/>
      <w:pStyle w:val="TableNListnumbered"/>
      <w:lvlText w:val="%1."/>
      <w:lvlJc w:val="left"/>
      <w:pPr>
        <w:ind w:left="284" w:hanging="284"/>
      </w:pPr>
      <w:rPr>
        <w:rFonts w:hint="default"/>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9" w15:restartNumberingAfterBreak="0">
    <w:nsid w:val="3E0B7EFF"/>
    <w:multiLevelType w:val="hybridMultilevel"/>
    <w:tmpl w:val="B8426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8B030FE"/>
    <w:multiLevelType w:val="multilevel"/>
    <w:tmpl w:val="A40495DC"/>
    <w:styleLink w:val="TableNListnumberedmultilevel"/>
    <w:lvl w:ilvl="0">
      <w:start w:val="1"/>
      <w:numFmt w:val="decimal"/>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1A16EBA"/>
    <w:multiLevelType w:val="multilevel"/>
    <w:tmpl w:val="2C9482BE"/>
    <w:lvl w:ilvl="0">
      <w:start w:val="1"/>
      <w:numFmt w:val="upperLetter"/>
      <w:pStyle w:val="xAppendixLevel1"/>
      <w:lvlText w:val="Appendix %1"/>
      <w:lvlJc w:val="left"/>
      <w:pPr>
        <w:ind w:left="2410" w:hanging="22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93" w:hanging="851"/>
      </w:pPr>
      <w:rPr>
        <w:rFonts w:hint="default"/>
        <w:color w:val="00264D"/>
        <w:sz w:val="34"/>
        <w:szCs w:val="34"/>
      </w:rPr>
    </w:lvl>
    <w:lvl w:ilvl="2">
      <w:start w:val="1"/>
      <w:numFmt w:val="decimal"/>
      <w:pStyle w:val="xAppendixLevel3"/>
      <w:lvlText w:val="%1.%2.%3"/>
      <w:lvlJc w:val="left"/>
      <w:pPr>
        <w:ind w:left="993" w:hanging="851"/>
      </w:pPr>
      <w:rPr>
        <w:rFonts w:hint="default"/>
        <w:color w:val="00264D"/>
        <w:sz w:val="28"/>
        <w:szCs w:val="28"/>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26" w15:restartNumberingAfterBreak="0">
    <w:nsid w:val="79B7218E"/>
    <w:multiLevelType w:val="hybridMultilevel"/>
    <w:tmpl w:val="7EACF5BC"/>
    <w:lvl w:ilvl="0" w:tplc="BC5C8C98">
      <w:start w:val="1"/>
      <w:numFmt w:val="bullet"/>
      <w:lvlText w:val=""/>
      <w:lvlJc w:val="left"/>
      <w:pPr>
        <w:ind w:left="340" w:hanging="340"/>
      </w:pPr>
      <w:rPr>
        <w:rFonts w:ascii="Symbol" w:hAnsi="Symbol" w:hint="default"/>
        <w:color w:val="000000" w:themeColor="text1"/>
        <w:sz w:val="16"/>
      </w:rPr>
    </w:lvl>
    <w:lvl w:ilvl="1" w:tplc="E5C6A014">
      <w:start w:val="1"/>
      <w:numFmt w:val="bullet"/>
      <w:pStyle w:val="ListBullet2"/>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18"/>
  </w:num>
  <w:num w:numId="5">
    <w:abstractNumId w:val="13"/>
  </w:num>
  <w:num w:numId="6">
    <w:abstractNumId w:val="17"/>
  </w:num>
  <w:num w:numId="7">
    <w:abstractNumId w:val="20"/>
  </w:num>
  <w:num w:numId="8">
    <w:abstractNumId w:val="21"/>
  </w:num>
  <w:num w:numId="9">
    <w:abstractNumId w:val="22"/>
  </w:num>
  <w:num w:numId="10">
    <w:abstractNumId w:val="23"/>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2"/>
  </w:num>
  <w:num w:numId="14">
    <w:abstractNumId w:val="14"/>
  </w:num>
  <w:num w:numId="15">
    <w:abstractNumId w:val="24"/>
  </w:num>
  <w:num w:numId="16">
    <w:abstractNumId w:val="15"/>
  </w:num>
  <w:num w:numId="17">
    <w:abstractNumId w:val="13"/>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13"/>
    <w:lvlOverride w:ilvl="0">
      <w:startOverride w:val="1"/>
    </w:lvlOverride>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9"/>
  </w:num>
  <w:num w:numId="32">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A1F5A"/>
    <w:rsid w:val="000001B9"/>
    <w:rsid w:val="000002DB"/>
    <w:rsid w:val="0000031B"/>
    <w:rsid w:val="000004CA"/>
    <w:rsid w:val="0000050E"/>
    <w:rsid w:val="00000533"/>
    <w:rsid w:val="00000BBC"/>
    <w:rsid w:val="00000BCA"/>
    <w:rsid w:val="00000C68"/>
    <w:rsid w:val="00000DB1"/>
    <w:rsid w:val="00000F77"/>
    <w:rsid w:val="00001042"/>
    <w:rsid w:val="00001193"/>
    <w:rsid w:val="000011A3"/>
    <w:rsid w:val="00001287"/>
    <w:rsid w:val="000014A7"/>
    <w:rsid w:val="00001537"/>
    <w:rsid w:val="000017B3"/>
    <w:rsid w:val="0000191A"/>
    <w:rsid w:val="00001C03"/>
    <w:rsid w:val="00001CA4"/>
    <w:rsid w:val="00001E0C"/>
    <w:rsid w:val="00001ED9"/>
    <w:rsid w:val="0000202A"/>
    <w:rsid w:val="000020C1"/>
    <w:rsid w:val="000022AF"/>
    <w:rsid w:val="00002394"/>
    <w:rsid w:val="0000264B"/>
    <w:rsid w:val="000026D7"/>
    <w:rsid w:val="000026E6"/>
    <w:rsid w:val="00002BBA"/>
    <w:rsid w:val="00002C8C"/>
    <w:rsid w:val="00002CB8"/>
    <w:rsid w:val="00002F6C"/>
    <w:rsid w:val="000030E2"/>
    <w:rsid w:val="00003182"/>
    <w:rsid w:val="000032F9"/>
    <w:rsid w:val="0000355A"/>
    <w:rsid w:val="00003590"/>
    <w:rsid w:val="00003B5E"/>
    <w:rsid w:val="00003D09"/>
    <w:rsid w:val="00003ED7"/>
    <w:rsid w:val="00004056"/>
    <w:rsid w:val="000044F9"/>
    <w:rsid w:val="00004720"/>
    <w:rsid w:val="000048B2"/>
    <w:rsid w:val="000049CE"/>
    <w:rsid w:val="00004A59"/>
    <w:rsid w:val="00004A9A"/>
    <w:rsid w:val="00004BA5"/>
    <w:rsid w:val="00004DA8"/>
    <w:rsid w:val="0000507E"/>
    <w:rsid w:val="00005869"/>
    <w:rsid w:val="0000598C"/>
    <w:rsid w:val="00005C2D"/>
    <w:rsid w:val="00005CBC"/>
    <w:rsid w:val="00005D5B"/>
    <w:rsid w:val="00005D5F"/>
    <w:rsid w:val="00005DFD"/>
    <w:rsid w:val="00005E89"/>
    <w:rsid w:val="0000614E"/>
    <w:rsid w:val="000061E7"/>
    <w:rsid w:val="00006272"/>
    <w:rsid w:val="0000635E"/>
    <w:rsid w:val="0000640A"/>
    <w:rsid w:val="000065EB"/>
    <w:rsid w:val="00006843"/>
    <w:rsid w:val="0000684C"/>
    <w:rsid w:val="00006A1A"/>
    <w:rsid w:val="00006ADE"/>
    <w:rsid w:val="00006C7B"/>
    <w:rsid w:val="00006CCC"/>
    <w:rsid w:val="000070B5"/>
    <w:rsid w:val="000070C2"/>
    <w:rsid w:val="000071D6"/>
    <w:rsid w:val="000072A6"/>
    <w:rsid w:val="000072DE"/>
    <w:rsid w:val="00007302"/>
    <w:rsid w:val="00007340"/>
    <w:rsid w:val="0000738F"/>
    <w:rsid w:val="0000740A"/>
    <w:rsid w:val="00007499"/>
    <w:rsid w:val="000075AA"/>
    <w:rsid w:val="0000769E"/>
    <w:rsid w:val="000077F7"/>
    <w:rsid w:val="00007B73"/>
    <w:rsid w:val="00007F40"/>
    <w:rsid w:val="00007FB3"/>
    <w:rsid w:val="00010032"/>
    <w:rsid w:val="00010037"/>
    <w:rsid w:val="00010223"/>
    <w:rsid w:val="0001028A"/>
    <w:rsid w:val="0001033A"/>
    <w:rsid w:val="0001037D"/>
    <w:rsid w:val="0001044A"/>
    <w:rsid w:val="0001048D"/>
    <w:rsid w:val="00010564"/>
    <w:rsid w:val="00010610"/>
    <w:rsid w:val="0001061A"/>
    <w:rsid w:val="00010777"/>
    <w:rsid w:val="000107AA"/>
    <w:rsid w:val="0001082F"/>
    <w:rsid w:val="00010873"/>
    <w:rsid w:val="00010A3A"/>
    <w:rsid w:val="00010AD8"/>
    <w:rsid w:val="00010B47"/>
    <w:rsid w:val="00010C1D"/>
    <w:rsid w:val="00010C8F"/>
    <w:rsid w:val="000110B8"/>
    <w:rsid w:val="00011146"/>
    <w:rsid w:val="0001118A"/>
    <w:rsid w:val="000114E6"/>
    <w:rsid w:val="00011853"/>
    <w:rsid w:val="00011BDC"/>
    <w:rsid w:val="00011C5D"/>
    <w:rsid w:val="00011D0B"/>
    <w:rsid w:val="00011D16"/>
    <w:rsid w:val="00011DB2"/>
    <w:rsid w:val="00011F81"/>
    <w:rsid w:val="00011FA1"/>
    <w:rsid w:val="00011FC9"/>
    <w:rsid w:val="00011FEF"/>
    <w:rsid w:val="0001212C"/>
    <w:rsid w:val="00012475"/>
    <w:rsid w:val="000126C4"/>
    <w:rsid w:val="00012BEF"/>
    <w:rsid w:val="00012F76"/>
    <w:rsid w:val="000130B8"/>
    <w:rsid w:val="000133BA"/>
    <w:rsid w:val="0001348F"/>
    <w:rsid w:val="000135A0"/>
    <w:rsid w:val="000137FA"/>
    <w:rsid w:val="00013C5E"/>
    <w:rsid w:val="00013CA4"/>
    <w:rsid w:val="00013D50"/>
    <w:rsid w:val="00013FC3"/>
    <w:rsid w:val="00013FF5"/>
    <w:rsid w:val="00013FFA"/>
    <w:rsid w:val="00013FFE"/>
    <w:rsid w:val="0001402D"/>
    <w:rsid w:val="0001402E"/>
    <w:rsid w:val="00014220"/>
    <w:rsid w:val="00014297"/>
    <w:rsid w:val="0001438A"/>
    <w:rsid w:val="0001440B"/>
    <w:rsid w:val="00014513"/>
    <w:rsid w:val="000147FC"/>
    <w:rsid w:val="00014990"/>
    <w:rsid w:val="00014A0B"/>
    <w:rsid w:val="00014A36"/>
    <w:rsid w:val="00014A70"/>
    <w:rsid w:val="00014B6C"/>
    <w:rsid w:val="00014D7F"/>
    <w:rsid w:val="00014DCA"/>
    <w:rsid w:val="00014E89"/>
    <w:rsid w:val="00014FAD"/>
    <w:rsid w:val="00014FE6"/>
    <w:rsid w:val="000150B5"/>
    <w:rsid w:val="000151CC"/>
    <w:rsid w:val="00015287"/>
    <w:rsid w:val="000152AA"/>
    <w:rsid w:val="000153F4"/>
    <w:rsid w:val="0001557D"/>
    <w:rsid w:val="00015941"/>
    <w:rsid w:val="00015A51"/>
    <w:rsid w:val="00015AB1"/>
    <w:rsid w:val="00015B5F"/>
    <w:rsid w:val="00015BEE"/>
    <w:rsid w:val="00015CBB"/>
    <w:rsid w:val="00015D16"/>
    <w:rsid w:val="00015D9C"/>
    <w:rsid w:val="00015EA8"/>
    <w:rsid w:val="00016004"/>
    <w:rsid w:val="000163F1"/>
    <w:rsid w:val="000164A6"/>
    <w:rsid w:val="00016538"/>
    <w:rsid w:val="000166CB"/>
    <w:rsid w:val="00016776"/>
    <w:rsid w:val="00016814"/>
    <w:rsid w:val="000168D1"/>
    <w:rsid w:val="00016A4F"/>
    <w:rsid w:val="00016A72"/>
    <w:rsid w:val="00016B01"/>
    <w:rsid w:val="00016BEE"/>
    <w:rsid w:val="00016EDC"/>
    <w:rsid w:val="00016FB8"/>
    <w:rsid w:val="000171A0"/>
    <w:rsid w:val="00017241"/>
    <w:rsid w:val="000174FF"/>
    <w:rsid w:val="000176E1"/>
    <w:rsid w:val="00017842"/>
    <w:rsid w:val="00017A16"/>
    <w:rsid w:val="00017A38"/>
    <w:rsid w:val="00017BEA"/>
    <w:rsid w:val="00017E9D"/>
    <w:rsid w:val="00017ED4"/>
    <w:rsid w:val="00017F26"/>
    <w:rsid w:val="00017F50"/>
    <w:rsid w:val="00017F7A"/>
    <w:rsid w:val="0002031D"/>
    <w:rsid w:val="00020B26"/>
    <w:rsid w:val="00020B88"/>
    <w:rsid w:val="00020BAC"/>
    <w:rsid w:val="00020C60"/>
    <w:rsid w:val="00020DAB"/>
    <w:rsid w:val="000211E1"/>
    <w:rsid w:val="000213F8"/>
    <w:rsid w:val="00021618"/>
    <w:rsid w:val="00021670"/>
    <w:rsid w:val="000216A2"/>
    <w:rsid w:val="00021807"/>
    <w:rsid w:val="00021A2D"/>
    <w:rsid w:val="00021ADB"/>
    <w:rsid w:val="00021DEC"/>
    <w:rsid w:val="000221AB"/>
    <w:rsid w:val="000221CA"/>
    <w:rsid w:val="00022267"/>
    <w:rsid w:val="0002237F"/>
    <w:rsid w:val="0002242F"/>
    <w:rsid w:val="000227C1"/>
    <w:rsid w:val="000228C0"/>
    <w:rsid w:val="000229D0"/>
    <w:rsid w:val="00022AF0"/>
    <w:rsid w:val="00022B0B"/>
    <w:rsid w:val="00022B24"/>
    <w:rsid w:val="00022BF8"/>
    <w:rsid w:val="00022E0B"/>
    <w:rsid w:val="00022FC7"/>
    <w:rsid w:val="00023109"/>
    <w:rsid w:val="00023349"/>
    <w:rsid w:val="00023508"/>
    <w:rsid w:val="000236C1"/>
    <w:rsid w:val="000237F0"/>
    <w:rsid w:val="00023936"/>
    <w:rsid w:val="0002437A"/>
    <w:rsid w:val="00024415"/>
    <w:rsid w:val="00024472"/>
    <w:rsid w:val="00024482"/>
    <w:rsid w:val="000244E9"/>
    <w:rsid w:val="000246F2"/>
    <w:rsid w:val="0002477A"/>
    <w:rsid w:val="00024980"/>
    <w:rsid w:val="00024AE5"/>
    <w:rsid w:val="00024BEB"/>
    <w:rsid w:val="00024D5D"/>
    <w:rsid w:val="00024E65"/>
    <w:rsid w:val="00025028"/>
    <w:rsid w:val="0002504D"/>
    <w:rsid w:val="00025221"/>
    <w:rsid w:val="0002561D"/>
    <w:rsid w:val="000256A6"/>
    <w:rsid w:val="000259DF"/>
    <w:rsid w:val="00025A81"/>
    <w:rsid w:val="00025C6A"/>
    <w:rsid w:val="00025CFB"/>
    <w:rsid w:val="00025D0A"/>
    <w:rsid w:val="00025DA3"/>
    <w:rsid w:val="00025E57"/>
    <w:rsid w:val="00026059"/>
    <w:rsid w:val="0002611E"/>
    <w:rsid w:val="00026145"/>
    <w:rsid w:val="000264FB"/>
    <w:rsid w:val="00026532"/>
    <w:rsid w:val="0002681A"/>
    <w:rsid w:val="000268F2"/>
    <w:rsid w:val="00026A1D"/>
    <w:rsid w:val="00026B73"/>
    <w:rsid w:val="00026C3C"/>
    <w:rsid w:val="00026E37"/>
    <w:rsid w:val="00026F4C"/>
    <w:rsid w:val="00026F63"/>
    <w:rsid w:val="00026FC8"/>
    <w:rsid w:val="000270E7"/>
    <w:rsid w:val="000272EA"/>
    <w:rsid w:val="0002763A"/>
    <w:rsid w:val="00027819"/>
    <w:rsid w:val="00027847"/>
    <w:rsid w:val="00027874"/>
    <w:rsid w:val="00027976"/>
    <w:rsid w:val="0002797B"/>
    <w:rsid w:val="00027C07"/>
    <w:rsid w:val="00027C71"/>
    <w:rsid w:val="00027C8A"/>
    <w:rsid w:val="00027FC4"/>
    <w:rsid w:val="00030033"/>
    <w:rsid w:val="00030089"/>
    <w:rsid w:val="00030239"/>
    <w:rsid w:val="0003027A"/>
    <w:rsid w:val="00030330"/>
    <w:rsid w:val="0003077B"/>
    <w:rsid w:val="000307B5"/>
    <w:rsid w:val="000308F9"/>
    <w:rsid w:val="00030D02"/>
    <w:rsid w:val="00031092"/>
    <w:rsid w:val="0003112B"/>
    <w:rsid w:val="00031175"/>
    <w:rsid w:val="00031221"/>
    <w:rsid w:val="000312B7"/>
    <w:rsid w:val="000312E9"/>
    <w:rsid w:val="00031445"/>
    <w:rsid w:val="0003158A"/>
    <w:rsid w:val="00031821"/>
    <w:rsid w:val="000318CD"/>
    <w:rsid w:val="0003193A"/>
    <w:rsid w:val="00031A32"/>
    <w:rsid w:val="00031A67"/>
    <w:rsid w:val="00031B63"/>
    <w:rsid w:val="00031C0A"/>
    <w:rsid w:val="00031E4C"/>
    <w:rsid w:val="00031F94"/>
    <w:rsid w:val="000321CC"/>
    <w:rsid w:val="00032265"/>
    <w:rsid w:val="000322B9"/>
    <w:rsid w:val="00032301"/>
    <w:rsid w:val="0003234D"/>
    <w:rsid w:val="00032418"/>
    <w:rsid w:val="0003249C"/>
    <w:rsid w:val="00032558"/>
    <w:rsid w:val="000326A2"/>
    <w:rsid w:val="000326E4"/>
    <w:rsid w:val="00032A5B"/>
    <w:rsid w:val="00032E4C"/>
    <w:rsid w:val="00032EF9"/>
    <w:rsid w:val="0003307F"/>
    <w:rsid w:val="0003316E"/>
    <w:rsid w:val="0003328D"/>
    <w:rsid w:val="0003331F"/>
    <w:rsid w:val="000333C6"/>
    <w:rsid w:val="0003365F"/>
    <w:rsid w:val="0003387C"/>
    <w:rsid w:val="00033A44"/>
    <w:rsid w:val="00033CA7"/>
    <w:rsid w:val="00033E73"/>
    <w:rsid w:val="00033ECE"/>
    <w:rsid w:val="00033F04"/>
    <w:rsid w:val="00034087"/>
    <w:rsid w:val="00034231"/>
    <w:rsid w:val="000342E1"/>
    <w:rsid w:val="000344D9"/>
    <w:rsid w:val="00034506"/>
    <w:rsid w:val="000345E4"/>
    <w:rsid w:val="000346E4"/>
    <w:rsid w:val="00034BCD"/>
    <w:rsid w:val="00034E16"/>
    <w:rsid w:val="000350CD"/>
    <w:rsid w:val="00035155"/>
    <w:rsid w:val="00035177"/>
    <w:rsid w:val="00035211"/>
    <w:rsid w:val="000353BB"/>
    <w:rsid w:val="000355F7"/>
    <w:rsid w:val="0003562E"/>
    <w:rsid w:val="000356C2"/>
    <w:rsid w:val="0003583C"/>
    <w:rsid w:val="00035A72"/>
    <w:rsid w:val="00035C34"/>
    <w:rsid w:val="00035D2C"/>
    <w:rsid w:val="00035DE9"/>
    <w:rsid w:val="00035DF6"/>
    <w:rsid w:val="00035E0B"/>
    <w:rsid w:val="00035EB0"/>
    <w:rsid w:val="00035F0A"/>
    <w:rsid w:val="000360E8"/>
    <w:rsid w:val="00036170"/>
    <w:rsid w:val="000361BD"/>
    <w:rsid w:val="0003620A"/>
    <w:rsid w:val="0003620D"/>
    <w:rsid w:val="00036211"/>
    <w:rsid w:val="00036253"/>
    <w:rsid w:val="000362D4"/>
    <w:rsid w:val="0003656E"/>
    <w:rsid w:val="00036628"/>
    <w:rsid w:val="00036801"/>
    <w:rsid w:val="00036840"/>
    <w:rsid w:val="0003699E"/>
    <w:rsid w:val="00036A41"/>
    <w:rsid w:val="00036BFB"/>
    <w:rsid w:val="00036CAA"/>
    <w:rsid w:val="00036D43"/>
    <w:rsid w:val="00036DF8"/>
    <w:rsid w:val="00036E0E"/>
    <w:rsid w:val="00036F9F"/>
    <w:rsid w:val="00037309"/>
    <w:rsid w:val="000373D8"/>
    <w:rsid w:val="0003745D"/>
    <w:rsid w:val="000375BA"/>
    <w:rsid w:val="000375FD"/>
    <w:rsid w:val="00037674"/>
    <w:rsid w:val="000376CA"/>
    <w:rsid w:val="000378CE"/>
    <w:rsid w:val="0003793F"/>
    <w:rsid w:val="00037AC5"/>
    <w:rsid w:val="00037C03"/>
    <w:rsid w:val="00037D79"/>
    <w:rsid w:val="00037F1A"/>
    <w:rsid w:val="00037FA6"/>
    <w:rsid w:val="00040112"/>
    <w:rsid w:val="00040247"/>
    <w:rsid w:val="0004033A"/>
    <w:rsid w:val="000404DB"/>
    <w:rsid w:val="00040674"/>
    <w:rsid w:val="00040771"/>
    <w:rsid w:val="000407AB"/>
    <w:rsid w:val="0004083B"/>
    <w:rsid w:val="00040872"/>
    <w:rsid w:val="00040ACA"/>
    <w:rsid w:val="00040C14"/>
    <w:rsid w:val="00040D04"/>
    <w:rsid w:val="00040D3A"/>
    <w:rsid w:val="00040E72"/>
    <w:rsid w:val="00040ECC"/>
    <w:rsid w:val="00040F8F"/>
    <w:rsid w:val="00040F9B"/>
    <w:rsid w:val="00040FE8"/>
    <w:rsid w:val="00041055"/>
    <w:rsid w:val="00041140"/>
    <w:rsid w:val="000414D3"/>
    <w:rsid w:val="000414E8"/>
    <w:rsid w:val="000414EF"/>
    <w:rsid w:val="00041568"/>
    <w:rsid w:val="0004158F"/>
    <w:rsid w:val="00041685"/>
    <w:rsid w:val="0004168B"/>
    <w:rsid w:val="000418F9"/>
    <w:rsid w:val="00041A60"/>
    <w:rsid w:val="00041BC7"/>
    <w:rsid w:val="00041CB7"/>
    <w:rsid w:val="00041D05"/>
    <w:rsid w:val="00041E30"/>
    <w:rsid w:val="00041E54"/>
    <w:rsid w:val="000421BF"/>
    <w:rsid w:val="0004233F"/>
    <w:rsid w:val="00042896"/>
    <w:rsid w:val="0004299F"/>
    <w:rsid w:val="00042AE4"/>
    <w:rsid w:val="00042AEC"/>
    <w:rsid w:val="00042C74"/>
    <w:rsid w:val="00042E79"/>
    <w:rsid w:val="00042E8B"/>
    <w:rsid w:val="00042F20"/>
    <w:rsid w:val="00043033"/>
    <w:rsid w:val="00043134"/>
    <w:rsid w:val="000431D9"/>
    <w:rsid w:val="000433A1"/>
    <w:rsid w:val="000433D4"/>
    <w:rsid w:val="0004359F"/>
    <w:rsid w:val="00043808"/>
    <w:rsid w:val="00043874"/>
    <w:rsid w:val="00043909"/>
    <w:rsid w:val="00043941"/>
    <w:rsid w:val="00043A11"/>
    <w:rsid w:val="00043A96"/>
    <w:rsid w:val="00043BA9"/>
    <w:rsid w:val="00043BBC"/>
    <w:rsid w:val="00043BBF"/>
    <w:rsid w:val="00043D46"/>
    <w:rsid w:val="0004424B"/>
    <w:rsid w:val="00044311"/>
    <w:rsid w:val="00044339"/>
    <w:rsid w:val="0004434D"/>
    <w:rsid w:val="000444C3"/>
    <w:rsid w:val="000444DF"/>
    <w:rsid w:val="0004451C"/>
    <w:rsid w:val="00044602"/>
    <w:rsid w:val="00044616"/>
    <w:rsid w:val="000447DD"/>
    <w:rsid w:val="0004489F"/>
    <w:rsid w:val="00044991"/>
    <w:rsid w:val="00044C09"/>
    <w:rsid w:val="00044C0C"/>
    <w:rsid w:val="00044CD4"/>
    <w:rsid w:val="00044D5E"/>
    <w:rsid w:val="00044EB4"/>
    <w:rsid w:val="00045082"/>
    <w:rsid w:val="000450E8"/>
    <w:rsid w:val="000451C9"/>
    <w:rsid w:val="00045299"/>
    <w:rsid w:val="000452AC"/>
    <w:rsid w:val="000456DC"/>
    <w:rsid w:val="0004576D"/>
    <w:rsid w:val="00045A3A"/>
    <w:rsid w:val="00045A83"/>
    <w:rsid w:val="00045F39"/>
    <w:rsid w:val="00046128"/>
    <w:rsid w:val="00046198"/>
    <w:rsid w:val="0004622F"/>
    <w:rsid w:val="0004626F"/>
    <w:rsid w:val="000463D0"/>
    <w:rsid w:val="000463F6"/>
    <w:rsid w:val="000464D6"/>
    <w:rsid w:val="000465AA"/>
    <w:rsid w:val="0004664B"/>
    <w:rsid w:val="0004695F"/>
    <w:rsid w:val="000469CE"/>
    <w:rsid w:val="00046A6B"/>
    <w:rsid w:val="00046BDC"/>
    <w:rsid w:val="00046E1A"/>
    <w:rsid w:val="00047033"/>
    <w:rsid w:val="00047058"/>
    <w:rsid w:val="00047105"/>
    <w:rsid w:val="000471E4"/>
    <w:rsid w:val="00047205"/>
    <w:rsid w:val="0004729B"/>
    <w:rsid w:val="000475A0"/>
    <w:rsid w:val="0004763B"/>
    <w:rsid w:val="00047668"/>
    <w:rsid w:val="000476FC"/>
    <w:rsid w:val="00047894"/>
    <w:rsid w:val="000478C8"/>
    <w:rsid w:val="000478FC"/>
    <w:rsid w:val="000479D0"/>
    <w:rsid w:val="000479E5"/>
    <w:rsid w:val="000479EC"/>
    <w:rsid w:val="00047CEB"/>
    <w:rsid w:val="00047D4C"/>
    <w:rsid w:val="00047DC1"/>
    <w:rsid w:val="00047F30"/>
    <w:rsid w:val="00047FB2"/>
    <w:rsid w:val="000502FF"/>
    <w:rsid w:val="00050380"/>
    <w:rsid w:val="0005055A"/>
    <w:rsid w:val="0005068D"/>
    <w:rsid w:val="000508BC"/>
    <w:rsid w:val="0005099B"/>
    <w:rsid w:val="00050A96"/>
    <w:rsid w:val="00050C12"/>
    <w:rsid w:val="00050DE6"/>
    <w:rsid w:val="00050E90"/>
    <w:rsid w:val="00050F6C"/>
    <w:rsid w:val="00051511"/>
    <w:rsid w:val="000516C1"/>
    <w:rsid w:val="00051772"/>
    <w:rsid w:val="00051796"/>
    <w:rsid w:val="00051885"/>
    <w:rsid w:val="000519F4"/>
    <w:rsid w:val="00051AA6"/>
    <w:rsid w:val="00051AFB"/>
    <w:rsid w:val="00051C2E"/>
    <w:rsid w:val="00051CD9"/>
    <w:rsid w:val="00051DBB"/>
    <w:rsid w:val="00051E86"/>
    <w:rsid w:val="00051EE6"/>
    <w:rsid w:val="0005218E"/>
    <w:rsid w:val="00052493"/>
    <w:rsid w:val="0005261B"/>
    <w:rsid w:val="00052699"/>
    <w:rsid w:val="00052BB9"/>
    <w:rsid w:val="00052E0D"/>
    <w:rsid w:val="00052EA3"/>
    <w:rsid w:val="00052EAB"/>
    <w:rsid w:val="00052ED4"/>
    <w:rsid w:val="00052F36"/>
    <w:rsid w:val="00052FCA"/>
    <w:rsid w:val="0005309A"/>
    <w:rsid w:val="0005327B"/>
    <w:rsid w:val="000534BA"/>
    <w:rsid w:val="00053735"/>
    <w:rsid w:val="00053797"/>
    <w:rsid w:val="00053826"/>
    <w:rsid w:val="000538B4"/>
    <w:rsid w:val="0005395D"/>
    <w:rsid w:val="00053968"/>
    <w:rsid w:val="00053C54"/>
    <w:rsid w:val="00053C59"/>
    <w:rsid w:val="00053EF5"/>
    <w:rsid w:val="00053F7E"/>
    <w:rsid w:val="00053FF2"/>
    <w:rsid w:val="00054088"/>
    <w:rsid w:val="0005409C"/>
    <w:rsid w:val="00054231"/>
    <w:rsid w:val="00054406"/>
    <w:rsid w:val="00054522"/>
    <w:rsid w:val="00054618"/>
    <w:rsid w:val="000547FE"/>
    <w:rsid w:val="00054832"/>
    <w:rsid w:val="0005492F"/>
    <w:rsid w:val="00054A93"/>
    <w:rsid w:val="00054C2F"/>
    <w:rsid w:val="00054CF0"/>
    <w:rsid w:val="00054E53"/>
    <w:rsid w:val="00054EE2"/>
    <w:rsid w:val="000552A4"/>
    <w:rsid w:val="00055358"/>
    <w:rsid w:val="00055495"/>
    <w:rsid w:val="000556A6"/>
    <w:rsid w:val="000558CC"/>
    <w:rsid w:val="00055B31"/>
    <w:rsid w:val="00055BDF"/>
    <w:rsid w:val="00055BE2"/>
    <w:rsid w:val="00055C9A"/>
    <w:rsid w:val="00055ED2"/>
    <w:rsid w:val="00056035"/>
    <w:rsid w:val="0005612F"/>
    <w:rsid w:val="00056249"/>
    <w:rsid w:val="00056258"/>
    <w:rsid w:val="000562AF"/>
    <w:rsid w:val="00056732"/>
    <w:rsid w:val="00056822"/>
    <w:rsid w:val="00056831"/>
    <w:rsid w:val="0005685A"/>
    <w:rsid w:val="00056894"/>
    <w:rsid w:val="00056A29"/>
    <w:rsid w:val="00056A45"/>
    <w:rsid w:val="00056D5B"/>
    <w:rsid w:val="00056D9D"/>
    <w:rsid w:val="00056E95"/>
    <w:rsid w:val="00056E96"/>
    <w:rsid w:val="00056EDD"/>
    <w:rsid w:val="00056F85"/>
    <w:rsid w:val="00056FA1"/>
    <w:rsid w:val="00056FAB"/>
    <w:rsid w:val="0005704E"/>
    <w:rsid w:val="0005726E"/>
    <w:rsid w:val="000573DB"/>
    <w:rsid w:val="00057457"/>
    <w:rsid w:val="00057495"/>
    <w:rsid w:val="00057629"/>
    <w:rsid w:val="000576E9"/>
    <w:rsid w:val="0005782E"/>
    <w:rsid w:val="00057905"/>
    <w:rsid w:val="00057974"/>
    <w:rsid w:val="00057EA9"/>
    <w:rsid w:val="00057FFA"/>
    <w:rsid w:val="00060137"/>
    <w:rsid w:val="00060353"/>
    <w:rsid w:val="000603CE"/>
    <w:rsid w:val="0006043C"/>
    <w:rsid w:val="000605B1"/>
    <w:rsid w:val="000606D2"/>
    <w:rsid w:val="0006091C"/>
    <w:rsid w:val="00060A1B"/>
    <w:rsid w:val="00060B15"/>
    <w:rsid w:val="00060B3D"/>
    <w:rsid w:val="00060E58"/>
    <w:rsid w:val="00060EA0"/>
    <w:rsid w:val="00061212"/>
    <w:rsid w:val="00061323"/>
    <w:rsid w:val="0006137E"/>
    <w:rsid w:val="000613AB"/>
    <w:rsid w:val="0006149B"/>
    <w:rsid w:val="00061569"/>
    <w:rsid w:val="000616E1"/>
    <w:rsid w:val="000617D2"/>
    <w:rsid w:val="0006194F"/>
    <w:rsid w:val="00061D48"/>
    <w:rsid w:val="00061DA4"/>
    <w:rsid w:val="00061E02"/>
    <w:rsid w:val="00061FC6"/>
    <w:rsid w:val="00062021"/>
    <w:rsid w:val="000621A4"/>
    <w:rsid w:val="00062275"/>
    <w:rsid w:val="000622D4"/>
    <w:rsid w:val="000622E2"/>
    <w:rsid w:val="0006234D"/>
    <w:rsid w:val="000625DE"/>
    <w:rsid w:val="0006265E"/>
    <w:rsid w:val="00062838"/>
    <w:rsid w:val="00062B37"/>
    <w:rsid w:val="00062F0E"/>
    <w:rsid w:val="00062F36"/>
    <w:rsid w:val="00063007"/>
    <w:rsid w:val="0006325F"/>
    <w:rsid w:val="0006333F"/>
    <w:rsid w:val="000635CF"/>
    <w:rsid w:val="00063711"/>
    <w:rsid w:val="000637DD"/>
    <w:rsid w:val="000638DE"/>
    <w:rsid w:val="00063994"/>
    <w:rsid w:val="00063B2C"/>
    <w:rsid w:val="00063B42"/>
    <w:rsid w:val="00063CC0"/>
    <w:rsid w:val="00063D49"/>
    <w:rsid w:val="00063D91"/>
    <w:rsid w:val="00063F50"/>
    <w:rsid w:val="00064075"/>
    <w:rsid w:val="00064248"/>
    <w:rsid w:val="00064290"/>
    <w:rsid w:val="000644F3"/>
    <w:rsid w:val="00064AB7"/>
    <w:rsid w:val="00064C62"/>
    <w:rsid w:val="00064C9F"/>
    <w:rsid w:val="00065231"/>
    <w:rsid w:val="0006526F"/>
    <w:rsid w:val="000652B2"/>
    <w:rsid w:val="0006532B"/>
    <w:rsid w:val="00065338"/>
    <w:rsid w:val="0006538A"/>
    <w:rsid w:val="00065696"/>
    <w:rsid w:val="000657FD"/>
    <w:rsid w:val="000658C6"/>
    <w:rsid w:val="00065946"/>
    <w:rsid w:val="00065E3B"/>
    <w:rsid w:val="00065F82"/>
    <w:rsid w:val="0006632C"/>
    <w:rsid w:val="00066408"/>
    <w:rsid w:val="00066445"/>
    <w:rsid w:val="000664DF"/>
    <w:rsid w:val="0006655B"/>
    <w:rsid w:val="000667BD"/>
    <w:rsid w:val="000667DC"/>
    <w:rsid w:val="0006690A"/>
    <w:rsid w:val="000669B5"/>
    <w:rsid w:val="00066B15"/>
    <w:rsid w:val="00066B45"/>
    <w:rsid w:val="00066C90"/>
    <w:rsid w:val="00066E52"/>
    <w:rsid w:val="00066F71"/>
    <w:rsid w:val="00067058"/>
    <w:rsid w:val="000670E8"/>
    <w:rsid w:val="0006725E"/>
    <w:rsid w:val="0006738A"/>
    <w:rsid w:val="00067525"/>
    <w:rsid w:val="000675D7"/>
    <w:rsid w:val="000676B1"/>
    <w:rsid w:val="00067742"/>
    <w:rsid w:val="000678F0"/>
    <w:rsid w:val="00067902"/>
    <w:rsid w:val="000679FC"/>
    <w:rsid w:val="00067BB5"/>
    <w:rsid w:val="00067D14"/>
    <w:rsid w:val="00067D27"/>
    <w:rsid w:val="00067DDD"/>
    <w:rsid w:val="00070030"/>
    <w:rsid w:val="0007014A"/>
    <w:rsid w:val="0007018B"/>
    <w:rsid w:val="000701FE"/>
    <w:rsid w:val="0007028A"/>
    <w:rsid w:val="0007051E"/>
    <w:rsid w:val="00070546"/>
    <w:rsid w:val="00070846"/>
    <w:rsid w:val="000708FE"/>
    <w:rsid w:val="00070C66"/>
    <w:rsid w:val="00070C6F"/>
    <w:rsid w:val="00070FD0"/>
    <w:rsid w:val="000714B8"/>
    <w:rsid w:val="000714EC"/>
    <w:rsid w:val="000715CF"/>
    <w:rsid w:val="0007197C"/>
    <w:rsid w:val="00071A23"/>
    <w:rsid w:val="00071A54"/>
    <w:rsid w:val="00071A73"/>
    <w:rsid w:val="00071ADF"/>
    <w:rsid w:val="00071DAA"/>
    <w:rsid w:val="00071DFF"/>
    <w:rsid w:val="00071F0B"/>
    <w:rsid w:val="00072020"/>
    <w:rsid w:val="0007205D"/>
    <w:rsid w:val="000721CD"/>
    <w:rsid w:val="00072349"/>
    <w:rsid w:val="000723BF"/>
    <w:rsid w:val="000724D6"/>
    <w:rsid w:val="0007252E"/>
    <w:rsid w:val="00072622"/>
    <w:rsid w:val="00072848"/>
    <w:rsid w:val="000728A0"/>
    <w:rsid w:val="00072944"/>
    <w:rsid w:val="00072957"/>
    <w:rsid w:val="0007296C"/>
    <w:rsid w:val="000729B5"/>
    <w:rsid w:val="00072FA4"/>
    <w:rsid w:val="00073281"/>
    <w:rsid w:val="00073315"/>
    <w:rsid w:val="000734A1"/>
    <w:rsid w:val="000736FB"/>
    <w:rsid w:val="00073C0B"/>
    <w:rsid w:val="00073E0B"/>
    <w:rsid w:val="00073F1D"/>
    <w:rsid w:val="00073F29"/>
    <w:rsid w:val="00073F35"/>
    <w:rsid w:val="00073FDF"/>
    <w:rsid w:val="0007401E"/>
    <w:rsid w:val="0007411D"/>
    <w:rsid w:val="00074136"/>
    <w:rsid w:val="00074283"/>
    <w:rsid w:val="000742DB"/>
    <w:rsid w:val="0007438F"/>
    <w:rsid w:val="00074448"/>
    <w:rsid w:val="00074469"/>
    <w:rsid w:val="00074556"/>
    <w:rsid w:val="000745A8"/>
    <w:rsid w:val="000746B5"/>
    <w:rsid w:val="000747C1"/>
    <w:rsid w:val="00074B1F"/>
    <w:rsid w:val="00074B5E"/>
    <w:rsid w:val="00074B7D"/>
    <w:rsid w:val="00074D40"/>
    <w:rsid w:val="00074DA8"/>
    <w:rsid w:val="0007510E"/>
    <w:rsid w:val="00075129"/>
    <w:rsid w:val="000753A4"/>
    <w:rsid w:val="00075476"/>
    <w:rsid w:val="00075770"/>
    <w:rsid w:val="0007577F"/>
    <w:rsid w:val="00075B05"/>
    <w:rsid w:val="00075BF8"/>
    <w:rsid w:val="00075D56"/>
    <w:rsid w:val="00075E3E"/>
    <w:rsid w:val="000764CD"/>
    <w:rsid w:val="00076575"/>
    <w:rsid w:val="00076581"/>
    <w:rsid w:val="000766AE"/>
    <w:rsid w:val="0007690D"/>
    <w:rsid w:val="00076ACD"/>
    <w:rsid w:val="00076BB0"/>
    <w:rsid w:val="00076C6B"/>
    <w:rsid w:val="00076DCE"/>
    <w:rsid w:val="000770A6"/>
    <w:rsid w:val="000771C7"/>
    <w:rsid w:val="000772C6"/>
    <w:rsid w:val="00077366"/>
    <w:rsid w:val="000773C6"/>
    <w:rsid w:val="000774D7"/>
    <w:rsid w:val="0007752E"/>
    <w:rsid w:val="00077681"/>
    <w:rsid w:val="000777D0"/>
    <w:rsid w:val="00077B50"/>
    <w:rsid w:val="00077BE5"/>
    <w:rsid w:val="00077C0E"/>
    <w:rsid w:val="00077E89"/>
    <w:rsid w:val="00077EAC"/>
    <w:rsid w:val="00077EB6"/>
    <w:rsid w:val="00077EE1"/>
    <w:rsid w:val="00080024"/>
    <w:rsid w:val="000800C1"/>
    <w:rsid w:val="000801B3"/>
    <w:rsid w:val="000801C1"/>
    <w:rsid w:val="000803EA"/>
    <w:rsid w:val="00080A7B"/>
    <w:rsid w:val="00080B10"/>
    <w:rsid w:val="00080C25"/>
    <w:rsid w:val="00080CDA"/>
    <w:rsid w:val="000811E8"/>
    <w:rsid w:val="0008125C"/>
    <w:rsid w:val="00081275"/>
    <w:rsid w:val="000812CB"/>
    <w:rsid w:val="00081654"/>
    <w:rsid w:val="00081752"/>
    <w:rsid w:val="00081CA1"/>
    <w:rsid w:val="00081E3D"/>
    <w:rsid w:val="000820DE"/>
    <w:rsid w:val="00082268"/>
    <w:rsid w:val="000826BB"/>
    <w:rsid w:val="000826DB"/>
    <w:rsid w:val="000826FD"/>
    <w:rsid w:val="00082773"/>
    <w:rsid w:val="000828B4"/>
    <w:rsid w:val="00082979"/>
    <w:rsid w:val="000829E3"/>
    <w:rsid w:val="00082AC8"/>
    <w:rsid w:val="00082FC7"/>
    <w:rsid w:val="00083005"/>
    <w:rsid w:val="00083261"/>
    <w:rsid w:val="00083485"/>
    <w:rsid w:val="0008351F"/>
    <w:rsid w:val="000838BC"/>
    <w:rsid w:val="00083919"/>
    <w:rsid w:val="00083946"/>
    <w:rsid w:val="00083A09"/>
    <w:rsid w:val="00083A32"/>
    <w:rsid w:val="00083AAE"/>
    <w:rsid w:val="00083D52"/>
    <w:rsid w:val="0008452C"/>
    <w:rsid w:val="00084551"/>
    <w:rsid w:val="00084750"/>
    <w:rsid w:val="00084818"/>
    <w:rsid w:val="000848B1"/>
    <w:rsid w:val="00084A8F"/>
    <w:rsid w:val="00084AB4"/>
    <w:rsid w:val="00084FAE"/>
    <w:rsid w:val="00085136"/>
    <w:rsid w:val="00085339"/>
    <w:rsid w:val="00085495"/>
    <w:rsid w:val="000854DE"/>
    <w:rsid w:val="000856B9"/>
    <w:rsid w:val="000856EF"/>
    <w:rsid w:val="00085742"/>
    <w:rsid w:val="00085743"/>
    <w:rsid w:val="000857F3"/>
    <w:rsid w:val="0008585F"/>
    <w:rsid w:val="000858B3"/>
    <w:rsid w:val="00085A13"/>
    <w:rsid w:val="00085D25"/>
    <w:rsid w:val="00085DB9"/>
    <w:rsid w:val="00085F19"/>
    <w:rsid w:val="00085FFF"/>
    <w:rsid w:val="00086057"/>
    <w:rsid w:val="00086130"/>
    <w:rsid w:val="000861B3"/>
    <w:rsid w:val="000864E7"/>
    <w:rsid w:val="00086CCA"/>
    <w:rsid w:val="00086CFD"/>
    <w:rsid w:val="00086EE3"/>
    <w:rsid w:val="00087056"/>
    <w:rsid w:val="0008729F"/>
    <w:rsid w:val="00087358"/>
    <w:rsid w:val="00087585"/>
    <w:rsid w:val="00087634"/>
    <w:rsid w:val="0008767F"/>
    <w:rsid w:val="0008793B"/>
    <w:rsid w:val="00087B5A"/>
    <w:rsid w:val="00087D6A"/>
    <w:rsid w:val="00087F6E"/>
    <w:rsid w:val="00087F81"/>
    <w:rsid w:val="00090137"/>
    <w:rsid w:val="00090167"/>
    <w:rsid w:val="000901E9"/>
    <w:rsid w:val="0009026A"/>
    <w:rsid w:val="00090309"/>
    <w:rsid w:val="0009035E"/>
    <w:rsid w:val="000903C2"/>
    <w:rsid w:val="000903CC"/>
    <w:rsid w:val="0009045D"/>
    <w:rsid w:val="00090490"/>
    <w:rsid w:val="0009064E"/>
    <w:rsid w:val="000907FE"/>
    <w:rsid w:val="0009093E"/>
    <w:rsid w:val="00090997"/>
    <w:rsid w:val="00090C7B"/>
    <w:rsid w:val="00090D6E"/>
    <w:rsid w:val="00090D70"/>
    <w:rsid w:val="00090D8C"/>
    <w:rsid w:val="00090DD8"/>
    <w:rsid w:val="0009113E"/>
    <w:rsid w:val="0009117C"/>
    <w:rsid w:val="00091437"/>
    <w:rsid w:val="000914ED"/>
    <w:rsid w:val="0009158E"/>
    <w:rsid w:val="000916AF"/>
    <w:rsid w:val="00091B49"/>
    <w:rsid w:val="00091CAA"/>
    <w:rsid w:val="00092335"/>
    <w:rsid w:val="00092419"/>
    <w:rsid w:val="000924B4"/>
    <w:rsid w:val="000926FD"/>
    <w:rsid w:val="0009279D"/>
    <w:rsid w:val="000928F2"/>
    <w:rsid w:val="00092905"/>
    <w:rsid w:val="00092940"/>
    <w:rsid w:val="00092CB1"/>
    <w:rsid w:val="00092EC5"/>
    <w:rsid w:val="00093138"/>
    <w:rsid w:val="00093175"/>
    <w:rsid w:val="000931A9"/>
    <w:rsid w:val="000932D8"/>
    <w:rsid w:val="000933FA"/>
    <w:rsid w:val="00093417"/>
    <w:rsid w:val="00093530"/>
    <w:rsid w:val="00093806"/>
    <w:rsid w:val="00093855"/>
    <w:rsid w:val="0009391B"/>
    <w:rsid w:val="00093997"/>
    <w:rsid w:val="00093AA7"/>
    <w:rsid w:val="00093AD2"/>
    <w:rsid w:val="00093F46"/>
    <w:rsid w:val="00093F87"/>
    <w:rsid w:val="000940CC"/>
    <w:rsid w:val="000941D0"/>
    <w:rsid w:val="0009451C"/>
    <w:rsid w:val="00094757"/>
    <w:rsid w:val="00094781"/>
    <w:rsid w:val="00094831"/>
    <w:rsid w:val="00094957"/>
    <w:rsid w:val="00094A3B"/>
    <w:rsid w:val="00094B12"/>
    <w:rsid w:val="00094BA0"/>
    <w:rsid w:val="00094C54"/>
    <w:rsid w:val="00094D8D"/>
    <w:rsid w:val="00094DFD"/>
    <w:rsid w:val="00094E8C"/>
    <w:rsid w:val="00095097"/>
    <w:rsid w:val="000950EA"/>
    <w:rsid w:val="00095217"/>
    <w:rsid w:val="00095339"/>
    <w:rsid w:val="00095483"/>
    <w:rsid w:val="000954D5"/>
    <w:rsid w:val="00095504"/>
    <w:rsid w:val="0009552E"/>
    <w:rsid w:val="00095684"/>
    <w:rsid w:val="00095702"/>
    <w:rsid w:val="0009595D"/>
    <w:rsid w:val="000959FF"/>
    <w:rsid w:val="00095AB0"/>
    <w:rsid w:val="00095AD9"/>
    <w:rsid w:val="00095C1C"/>
    <w:rsid w:val="000960C8"/>
    <w:rsid w:val="000963C5"/>
    <w:rsid w:val="000963F0"/>
    <w:rsid w:val="00096458"/>
    <w:rsid w:val="00096617"/>
    <w:rsid w:val="00096821"/>
    <w:rsid w:val="000968BD"/>
    <w:rsid w:val="00096D09"/>
    <w:rsid w:val="000970F6"/>
    <w:rsid w:val="00097113"/>
    <w:rsid w:val="0009714F"/>
    <w:rsid w:val="00097300"/>
    <w:rsid w:val="000975DA"/>
    <w:rsid w:val="000978B7"/>
    <w:rsid w:val="00097A96"/>
    <w:rsid w:val="00097ADB"/>
    <w:rsid w:val="00097B4B"/>
    <w:rsid w:val="00097C97"/>
    <w:rsid w:val="00097D93"/>
    <w:rsid w:val="00097EA8"/>
    <w:rsid w:val="00097ECA"/>
    <w:rsid w:val="000A0044"/>
    <w:rsid w:val="000A068D"/>
    <w:rsid w:val="000A06DE"/>
    <w:rsid w:val="000A0830"/>
    <w:rsid w:val="000A09A4"/>
    <w:rsid w:val="000A0C02"/>
    <w:rsid w:val="000A0F17"/>
    <w:rsid w:val="000A10BF"/>
    <w:rsid w:val="000A1319"/>
    <w:rsid w:val="000A132D"/>
    <w:rsid w:val="000A137C"/>
    <w:rsid w:val="000A14DA"/>
    <w:rsid w:val="000A1567"/>
    <w:rsid w:val="000A1647"/>
    <w:rsid w:val="000A1992"/>
    <w:rsid w:val="000A19E7"/>
    <w:rsid w:val="000A1DC2"/>
    <w:rsid w:val="000A229E"/>
    <w:rsid w:val="000A237A"/>
    <w:rsid w:val="000A243B"/>
    <w:rsid w:val="000A2462"/>
    <w:rsid w:val="000A2478"/>
    <w:rsid w:val="000A28DA"/>
    <w:rsid w:val="000A2983"/>
    <w:rsid w:val="000A2C13"/>
    <w:rsid w:val="000A2E65"/>
    <w:rsid w:val="000A2FD0"/>
    <w:rsid w:val="000A3004"/>
    <w:rsid w:val="000A3409"/>
    <w:rsid w:val="000A3483"/>
    <w:rsid w:val="000A35AB"/>
    <w:rsid w:val="000A394E"/>
    <w:rsid w:val="000A39BC"/>
    <w:rsid w:val="000A39E4"/>
    <w:rsid w:val="000A3FCC"/>
    <w:rsid w:val="000A4093"/>
    <w:rsid w:val="000A4183"/>
    <w:rsid w:val="000A42A5"/>
    <w:rsid w:val="000A4372"/>
    <w:rsid w:val="000A46C7"/>
    <w:rsid w:val="000A4EC6"/>
    <w:rsid w:val="000A5309"/>
    <w:rsid w:val="000A534C"/>
    <w:rsid w:val="000A5438"/>
    <w:rsid w:val="000A55AD"/>
    <w:rsid w:val="000A575B"/>
    <w:rsid w:val="000A58DF"/>
    <w:rsid w:val="000A5B7A"/>
    <w:rsid w:val="000A5D94"/>
    <w:rsid w:val="000A5F16"/>
    <w:rsid w:val="000A6024"/>
    <w:rsid w:val="000A615C"/>
    <w:rsid w:val="000A65D7"/>
    <w:rsid w:val="000A67F1"/>
    <w:rsid w:val="000A6832"/>
    <w:rsid w:val="000A6841"/>
    <w:rsid w:val="000A6AF6"/>
    <w:rsid w:val="000A6C58"/>
    <w:rsid w:val="000A6E2C"/>
    <w:rsid w:val="000A6F43"/>
    <w:rsid w:val="000A6F68"/>
    <w:rsid w:val="000A7017"/>
    <w:rsid w:val="000A7318"/>
    <w:rsid w:val="000A73FF"/>
    <w:rsid w:val="000A74B8"/>
    <w:rsid w:val="000A74DD"/>
    <w:rsid w:val="000A75B8"/>
    <w:rsid w:val="000A775A"/>
    <w:rsid w:val="000A77F3"/>
    <w:rsid w:val="000A7CC4"/>
    <w:rsid w:val="000A7E34"/>
    <w:rsid w:val="000B0312"/>
    <w:rsid w:val="000B0345"/>
    <w:rsid w:val="000B0353"/>
    <w:rsid w:val="000B0434"/>
    <w:rsid w:val="000B0905"/>
    <w:rsid w:val="000B098E"/>
    <w:rsid w:val="000B0A6E"/>
    <w:rsid w:val="000B0E7D"/>
    <w:rsid w:val="000B100F"/>
    <w:rsid w:val="000B10B9"/>
    <w:rsid w:val="000B1589"/>
    <w:rsid w:val="000B185D"/>
    <w:rsid w:val="000B1892"/>
    <w:rsid w:val="000B19A6"/>
    <w:rsid w:val="000B1BBA"/>
    <w:rsid w:val="000B1BD4"/>
    <w:rsid w:val="000B1CAD"/>
    <w:rsid w:val="000B1D0F"/>
    <w:rsid w:val="000B1F29"/>
    <w:rsid w:val="000B1F77"/>
    <w:rsid w:val="000B2077"/>
    <w:rsid w:val="000B2282"/>
    <w:rsid w:val="000B24E0"/>
    <w:rsid w:val="000B2788"/>
    <w:rsid w:val="000B29F0"/>
    <w:rsid w:val="000B2B31"/>
    <w:rsid w:val="000B2C7A"/>
    <w:rsid w:val="000B2EF9"/>
    <w:rsid w:val="000B3100"/>
    <w:rsid w:val="000B316F"/>
    <w:rsid w:val="000B3174"/>
    <w:rsid w:val="000B33F4"/>
    <w:rsid w:val="000B3441"/>
    <w:rsid w:val="000B3709"/>
    <w:rsid w:val="000B37D1"/>
    <w:rsid w:val="000B390E"/>
    <w:rsid w:val="000B3BED"/>
    <w:rsid w:val="000B3D4D"/>
    <w:rsid w:val="000B3DD3"/>
    <w:rsid w:val="000B3E66"/>
    <w:rsid w:val="000B3E68"/>
    <w:rsid w:val="000B3EDE"/>
    <w:rsid w:val="000B3EF0"/>
    <w:rsid w:val="000B4064"/>
    <w:rsid w:val="000B40C5"/>
    <w:rsid w:val="000B4152"/>
    <w:rsid w:val="000B41DF"/>
    <w:rsid w:val="000B432E"/>
    <w:rsid w:val="000B4378"/>
    <w:rsid w:val="000B457D"/>
    <w:rsid w:val="000B4ADC"/>
    <w:rsid w:val="000B4B49"/>
    <w:rsid w:val="000B4E4C"/>
    <w:rsid w:val="000B4EE8"/>
    <w:rsid w:val="000B4F4B"/>
    <w:rsid w:val="000B51EA"/>
    <w:rsid w:val="000B5267"/>
    <w:rsid w:val="000B53A5"/>
    <w:rsid w:val="000B54E4"/>
    <w:rsid w:val="000B572A"/>
    <w:rsid w:val="000B5733"/>
    <w:rsid w:val="000B58B7"/>
    <w:rsid w:val="000B597D"/>
    <w:rsid w:val="000B5B4D"/>
    <w:rsid w:val="000B5C5D"/>
    <w:rsid w:val="000B5DC1"/>
    <w:rsid w:val="000B5E14"/>
    <w:rsid w:val="000B5F88"/>
    <w:rsid w:val="000B5FCA"/>
    <w:rsid w:val="000B61A7"/>
    <w:rsid w:val="000B61FE"/>
    <w:rsid w:val="000B648F"/>
    <w:rsid w:val="000B6A83"/>
    <w:rsid w:val="000B6A87"/>
    <w:rsid w:val="000B6EB8"/>
    <w:rsid w:val="000B7046"/>
    <w:rsid w:val="000B7104"/>
    <w:rsid w:val="000B7142"/>
    <w:rsid w:val="000B71BC"/>
    <w:rsid w:val="000B7238"/>
    <w:rsid w:val="000B724B"/>
    <w:rsid w:val="000B725A"/>
    <w:rsid w:val="000B72A1"/>
    <w:rsid w:val="000B7470"/>
    <w:rsid w:val="000B747A"/>
    <w:rsid w:val="000B767B"/>
    <w:rsid w:val="000B7726"/>
    <w:rsid w:val="000B7759"/>
    <w:rsid w:val="000B7957"/>
    <w:rsid w:val="000B79B3"/>
    <w:rsid w:val="000B7A3C"/>
    <w:rsid w:val="000B7BC5"/>
    <w:rsid w:val="000B7BF7"/>
    <w:rsid w:val="000B7C53"/>
    <w:rsid w:val="000B7C77"/>
    <w:rsid w:val="000C0191"/>
    <w:rsid w:val="000C01BC"/>
    <w:rsid w:val="000C02F8"/>
    <w:rsid w:val="000C0423"/>
    <w:rsid w:val="000C04FD"/>
    <w:rsid w:val="000C0501"/>
    <w:rsid w:val="000C0502"/>
    <w:rsid w:val="000C0598"/>
    <w:rsid w:val="000C066A"/>
    <w:rsid w:val="000C06C4"/>
    <w:rsid w:val="000C0CF6"/>
    <w:rsid w:val="000C0EF1"/>
    <w:rsid w:val="000C1354"/>
    <w:rsid w:val="000C13E2"/>
    <w:rsid w:val="000C143A"/>
    <w:rsid w:val="000C1477"/>
    <w:rsid w:val="000C153F"/>
    <w:rsid w:val="000C15A5"/>
    <w:rsid w:val="000C161E"/>
    <w:rsid w:val="000C168C"/>
    <w:rsid w:val="000C172D"/>
    <w:rsid w:val="000C17FD"/>
    <w:rsid w:val="000C1D75"/>
    <w:rsid w:val="000C1FC8"/>
    <w:rsid w:val="000C2013"/>
    <w:rsid w:val="000C25BE"/>
    <w:rsid w:val="000C2616"/>
    <w:rsid w:val="000C2628"/>
    <w:rsid w:val="000C2660"/>
    <w:rsid w:val="000C27CE"/>
    <w:rsid w:val="000C2961"/>
    <w:rsid w:val="000C29A8"/>
    <w:rsid w:val="000C29CE"/>
    <w:rsid w:val="000C2B28"/>
    <w:rsid w:val="000C2BB3"/>
    <w:rsid w:val="000C2E59"/>
    <w:rsid w:val="000C2F7C"/>
    <w:rsid w:val="000C2FD4"/>
    <w:rsid w:val="000C308A"/>
    <w:rsid w:val="000C30BD"/>
    <w:rsid w:val="000C3112"/>
    <w:rsid w:val="000C3272"/>
    <w:rsid w:val="000C32D8"/>
    <w:rsid w:val="000C3318"/>
    <w:rsid w:val="000C351C"/>
    <w:rsid w:val="000C3545"/>
    <w:rsid w:val="000C35A0"/>
    <w:rsid w:val="000C35F6"/>
    <w:rsid w:val="000C3686"/>
    <w:rsid w:val="000C370F"/>
    <w:rsid w:val="000C379B"/>
    <w:rsid w:val="000C39C2"/>
    <w:rsid w:val="000C3A66"/>
    <w:rsid w:val="000C3A6F"/>
    <w:rsid w:val="000C3B18"/>
    <w:rsid w:val="000C3BA1"/>
    <w:rsid w:val="000C3E75"/>
    <w:rsid w:val="000C3E85"/>
    <w:rsid w:val="000C3F3B"/>
    <w:rsid w:val="000C4138"/>
    <w:rsid w:val="000C419C"/>
    <w:rsid w:val="000C4235"/>
    <w:rsid w:val="000C4306"/>
    <w:rsid w:val="000C43C4"/>
    <w:rsid w:val="000C47D4"/>
    <w:rsid w:val="000C4A15"/>
    <w:rsid w:val="000C4AD3"/>
    <w:rsid w:val="000C4ADA"/>
    <w:rsid w:val="000C4B7D"/>
    <w:rsid w:val="000C4C28"/>
    <w:rsid w:val="000C4D39"/>
    <w:rsid w:val="000C4D49"/>
    <w:rsid w:val="000C4DD0"/>
    <w:rsid w:val="000C4E4B"/>
    <w:rsid w:val="000C504C"/>
    <w:rsid w:val="000C5054"/>
    <w:rsid w:val="000C5121"/>
    <w:rsid w:val="000C51CD"/>
    <w:rsid w:val="000C548A"/>
    <w:rsid w:val="000C59DB"/>
    <w:rsid w:val="000C5A78"/>
    <w:rsid w:val="000C5C09"/>
    <w:rsid w:val="000C6443"/>
    <w:rsid w:val="000C6598"/>
    <w:rsid w:val="000C6714"/>
    <w:rsid w:val="000C6887"/>
    <w:rsid w:val="000C6895"/>
    <w:rsid w:val="000C68F5"/>
    <w:rsid w:val="000C6AC8"/>
    <w:rsid w:val="000C6C87"/>
    <w:rsid w:val="000C6D7E"/>
    <w:rsid w:val="000C6D82"/>
    <w:rsid w:val="000C71D6"/>
    <w:rsid w:val="000C7269"/>
    <w:rsid w:val="000C72F6"/>
    <w:rsid w:val="000C7547"/>
    <w:rsid w:val="000C75CA"/>
    <w:rsid w:val="000C75E6"/>
    <w:rsid w:val="000C7641"/>
    <w:rsid w:val="000C7650"/>
    <w:rsid w:val="000C7752"/>
    <w:rsid w:val="000C7951"/>
    <w:rsid w:val="000C79E2"/>
    <w:rsid w:val="000C7B2F"/>
    <w:rsid w:val="000C7B41"/>
    <w:rsid w:val="000C7E4C"/>
    <w:rsid w:val="000C7FFA"/>
    <w:rsid w:val="000D02E9"/>
    <w:rsid w:val="000D0320"/>
    <w:rsid w:val="000D052F"/>
    <w:rsid w:val="000D0766"/>
    <w:rsid w:val="000D09AD"/>
    <w:rsid w:val="000D0AA7"/>
    <w:rsid w:val="000D0AD1"/>
    <w:rsid w:val="000D119D"/>
    <w:rsid w:val="000D1213"/>
    <w:rsid w:val="000D12B5"/>
    <w:rsid w:val="000D132D"/>
    <w:rsid w:val="000D14F7"/>
    <w:rsid w:val="000D156E"/>
    <w:rsid w:val="000D1A15"/>
    <w:rsid w:val="000D1B18"/>
    <w:rsid w:val="000D1E29"/>
    <w:rsid w:val="000D1E62"/>
    <w:rsid w:val="000D1E9E"/>
    <w:rsid w:val="000D205F"/>
    <w:rsid w:val="000D22B5"/>
    <w:rsid w:val="000D22B6"/>
    <w:rsid w:val="000D2361"/>
    <w:rsid w:val="000D246B"/>
    <w:rsid w:val="000D24B6"/>
    <w:rsid w:val="000D24F6"/>
    <w:rsid w:val="000D263D"/>
    <w:rsid w:val="000D2693"/>
    <w:rsid w:val="000D2820"/>
    <w:rsid w:val="000D28AB"/>
    <w:rsid w:val="000D2A07"/>
    <w:rsid w:val="000D2A13"/>
    <w:rsid w:val="000D2A4A"/>
    <w:rsid w:val="000D2A82"/>
    <w:rsid w:val="000D2D2E"/>
    <w:rsid w:val="000D2E9D"/>
    <w:rsid w:val="000D2FCC"/>
    <w:rsid w:val="000D2FE6"/>
    <w:rsid w:val="000D3070"/>
    <w:rsid w:val="000D3294"/>
    <w:rsid w:val="000D32A3"/>
    <w:rsid w:val="000D32F1"/>
    <w:rsid w:val="000D35B5"/>
    <w:rsid w:val="000D35EE"/>
    <w:rsid w:val="000D3679"/>
    <w:rsid w:val="000D37D5"/>
    <w:rsid w:val="000D3916"/>
    <w:rsid w:val="000D394B"/>
    <w:rsid w:val="000D399F"/>
    <w:rsid w:val="000D3A49"/>
    <w:rsid w:val="000D3A88"/>
    <w:rsid w:val="000D3AC0"/>
    <w:rsid w:val="000D3BAF"/>
    <w:rsid w:val="000D3EB6"/>
    <w:rsid w:val="000D3ECC"/>
    <w:rsid w:val="000D3FF0"/>
    <w:rsid w:val="000D43C2"/>
    <w:rsid w:val="000D43EF"/>
    <w:rsid w:val="000D448E"/>
    <w:rsid w:val="000D450D"/>
    <w:rsid w:val="000D4764"/>
    <w:rsid w:val="000D4A6A"/>
    <w:rsid w:val="000D4B1B"/>
    <w:rsid w:val="000D5366"/>
    <w:rsid w:val="000D537D"/>
    <w:rsid w:val="000D56FC"/>
    <w:rsid w:val="000D57C7"/>
    <w:rsid w:val="000D5870"/>
    <w:rsid w:val="000D5CDF"/>
    <w:rsid w:val="000D5CE3"/>
    <w:rsid w:val="000D5D3C"/>
    <w:rsid w:val="000D5DE5"/>
    <w:rsid w:val="000D5F9B"/>
    <w:rsid w:val="000D5FAF"/>
    <w:rsid w:val="000D60EE"/>
    <w:rsid w:val="000D61FF"/>
    <w:rsid w:val="000D634A"/>
    <w:rsid w:val="000D6550"/>
    <w:rsid w:val="000D676B"/>
    <w:rsid w:val="000D68AA"/>
    <w:rsid w:val="000D68ED"/>
    <w:rsid w:val="000D68F2"/>
    <w:rsid w:val="000D69EB"/>
    <w:rsid w:val="000D6ADB"/>
    <w:rsid w:val="000D6D99"/>
    <w:rsid w:val="000D6E77"/>
    <w:rsid w:val="000D7015"/>
    <w:rsid w:val="000D708D"/>
    <w:rsid w:val="000D72F9"/>
    <w:rsid w:val="000D7415"/>
    <w:rsid w:val="000D74F5"/>
    <w:rsid w:val="000D79DC"/>
    <w:rsid w:val="000D79F0"/>
    <w:rsid w:val="000E0073"/>
    <w:rsid w:val="000E029D"/>
    <w:rsid w:val="000E0725"/>
    <w:rsid w:val="000E081D"/>
    <w:rsid w:val="000E09DA"/>
    <w:rsid w:val="000E0A89"/>
    <w:rsid w:val="000E0B4A"/>
    <w:rsid w:val="000E0B7E"/>
    <w:rsid w:val="000E0B98"/>
    <w:rsid w:val="000E0C03"/>
    <w:rsid w:val="000E0F6F"/>
    <w:rsid w:val="000E10AD"/>
    <w:rsid w:val="000E12C6"/>
    <w:rsid w:val="000E1342"/>
    <w:rsid w:val="000E15CB"/>
    <w:rsid w:val="000E1605"/>
    <w:rsid w:val="000E18B2"/>
    <w:rsid w:val="000E1C2F"/>
    <w:rsid w:val="000E1DC9"/>
    <w:rsid w:val="000E205C"/>
    <w:rsid w:val="000E21F0"/>
    <w:rsid w:val="000E23E7"/>
    <w:rsid w:val="000E24E1"/>
    <w:rsid w:val="000E255C"/>
    <w:rsid w:val="000E2799"/>
    <w:rsid w:val="000E2901"/>
    <w:rsid w:val="000E2993"/>
    <w:rsid w:val="000E2CA8"/>
    <w:rsid w:val="000E2D2E"/>
    <w:rsid w:val="000E2DD4"/>
    <w:rsid w:val="000E2E34"/>
    <w:rsid w:val="000E2EF3"/>
    <w:rsid w:val="000E31D5"/>
    <w:rsid w:val="000E3396"/>
    <w:rsid w:val="000E3405"/>
    <w:rsid w:val="000E3407"/>
    <w:rsid w:val="000E3620"/>
    <w:rsid w:val="000E3729"/>
    <w:rsid w:val="000E374A"/>
    <w:rsid w:val="000E38E6"/>
    <w:rsid w:val="000E3C86"/>
    <w:rsid w:val="000E3ED8"/>
    <w:rsid w:val="000E3FC2"/>
    <w:rsid w:val="000E3FEB"/>
    <w:rsid w:val="000E4498"/>
    <w:rsid w:val="000E458E"/>
    <w:rsid w:val="000E45D3"/>
    <w:rsid w:val="000E4830"/>
    <w:rsid w:val="000E488C"/>
    <w:rsid w:val="000E490E"/>
    <w:rsid w:val="000E4967"/>
    <w:rsid w:val="000E4D78"/>
    <w:rsid w:val="000E4EA3"/>
    <w:rsid w:val="000E50AA"/>
    <w:rsid w:val="000E55AE"/>
    <w:rsid w:val="000E55DB"/>
    <w:rsid w:val="000E5620"/>
    <w:rsid w:val="000E5667"/>
    <w:rsid w:val="000E56ED"/>
    <w:rsid w:val="000E57F6"/>
    <w:rsid w:val="000E5856"/>
    <w:rsid w:val="000E5877"/>
    <w:rsid w:val="000E5994"/>
    <w:rsid w:val="000E5B02"/>
    <w:rsid w:val="000E5B83"/>
    <w:rsid w:val="000E5C3A"/>
    <w:rsid w:val="000E5C95"/>
    <w:rsid w:val="000E5CF6"/>
    <w:rsid w:val="000E5EF6"/>
    <w:rsid w:val="000E5F80"/>
    <w:rsid w:val="000E5F8E"/>
    <w:rsid w:val="000E663E"/>
    <w:rsid w:val="000E6699"/>
    <w:rsid w:val="000E66A9"/>
    <w:rsid w:val="000E683E"/>
    <w:rsid w:val="000E6841"/>
    <w:rsid w:val="000E6944"/>
    <w:rsid w:val="000E6998"/>
    <w:rsid w:val="000E6B35"/>
    <w:rsid w:val="000E6C94"/>
    <w:rsid w:val="000E6DB9"/>
    <w:rsid w:val="000E6EBA"/>
    <w:rsid w:val="000E7127"/>
    <w:rsid w:val="000E7180"/>
    <w:rsid w:val="000E7188"/>
    <w:rsid w:val="000E7233"/>
    <w:rsid w:val="000E73D2"/>
    <w:rsid w:val="000E746D"/>
    <w:rsid w:val="000E7B0C"/>
    <w:rsid w:val="000E7BC4"/>
    <w:rsid w:val="000E7FFA"/>
    <w:rsid w:val="000F00D1"/>
    <w:rsid w:val="000F0250"/>
    <w:rsid w:val="000F0254"/>
    <w:rsid w:val="000F0338"/>
    <w:rsid w:val="000F0455"/>
    <w:rsid w:val="000F06DD"/>
    <w:rsid w:val="000F083E"/>
    <w:rsid w:val="000F08D0"/>
    <w:rsid w:val="000F0A5A"/>
    <w:rsid w:val="000F0C4C"/>
    <w:rsid w:val="000F0FA5"/>
    <w:rsid w:val="000F11A9"/>
    <w:rsid w:val="000F13A7"/>
    <w:rsid w:val="000F15F0"/>
    <w:rsid w:val="000F172D"/>
    <w:rsid w:val="000F1987"/>
    <w:rsid w:val="000F1A25"/>
    <w:rsid w:val="000F1B11"/>
    <w:rsid w:val="000F1B50"/>
    <w:rsid w:val="000F1BE9"/>
    <w:rsid w:val="000F1DC0"/>
    <w:rsid w:val="000F1DF1"/>
    <w:rsid w:val="000F1E4D"/>
    <w:rsid w:val="000F1F10"/>
    <w:rsid w:val="000F1F44"/>
    <w:rsid w:val="000F201B"/>
    <w:rsid w:val="000F2245"/>
    <w:rsid w:val="000F237D"/>
    <w:rsid w:val="000F2406"/>
    <w:rsid w:val="000F2491"/>
    <w:rsid w:val="000F2635"/>
    <w:rsid w:val="000F2874"/>
    <w:rsid w:val="000F2C66"/>
    <w:rsid w:val="000F2E02"/>
    <w:rsid w:val="000F2FC9"/>
    <w:rsid w:val="000F315C"/>
    <w:rsid w:val="000F3389"/>
    <w:rsid w:val="000F3510"/>
    <w:rsid w:val="000F355B"/>
    <w:rsid w:val="000F35EB"/>
    <w:rsid w:val="000F361D"/>
    <w:rsid w:val="000F367A"/>
    <w:rsid w:val="000F376F"/>
    <w:rsid w:val="000F37EB"/>
    <w:rsid w:val="000F38D5"/>
    <w:rsid w:val="000F39AE"/>
    <w:rsid w:val="000F39E0"/>
    <w:rsid w:val="000F3DBA"/>
    <w:rsid w:val="000F3E21"/>
    <w:rsid w:val="000F3E68"/>
    <w:rsid w:val="000F3EEF"/>
    <w:rsid w:val="000F3F10"/>
    <w:rsid w:val="000F3FAE"/>
    <w:rsid w:val="000F4220"/>
    <w:rsid w:val="000F42C7"/>
    <w:rsid w:val="000F46B7"/>
    <w:rsid w:val="000F490A"/>
    <w:rsid w:val="000F4930"/>
    <w:rsid w:val="000F493A"/>
    <w:rsid w:val="000F4967"/>
    <w:rsid w:val="000F4ABD"/>
    <w:rsid w:val="000F4AC2"/>
    <w:rsid w:val="000F4D21"/>
    <w:rsid w:val="000F4EF6"/>
    <w:rsid w:val="000F4FDA"/>
    <w:rsid w:val="000F5044"/>
    <w:rsid w:val="000F5106"/>
    <w:rsid w:val="000F51AF"/>
    <w:rsid w:val="000F52B6"/>
    <w:rsid w:val="000F52D2"/>
    <w:rsid w:val="000F52EC"/>
    <w:rsid w:val="000F53A9"/>
    <w:rsid w:val="000F5675"/>
    <w:rsid w:val="000F577E"/>
    <w:rsid w:val="000F5798"/>
    <w:rsid w:val="000F57BC"/>
    <w:rsid w:val="000F57D2"/>
    <w:rsid w:val="000F5995"/>
    <w:rsid w:val="000F5A2D"/>
    <w:rsid w:val="000F5B17"/>
    <w:rsid w:val="000F5C12"/>
    <w:rsid w:val="000F5C7F"/>
    <w:rsid w:val="000F5CAD"/>
    <w:rsid w:val="000F5D75"/>
    <w:rsid w:val="000F5EE4"/>
    <w:rsid w:val="000F6241"/>
    <w:rsid w:val="000F6371"/>
    <w:rsid w:val="000F63B5"/>
    <w:rsid w:val="000F6616"/>
    <w:rsid w:val="000F66F2"/>
    <w:rsid w:val="000F66FF"/>
    <w:rsid w:val="000F687D"/>
    <w:rsid w:val="000F688B"/>
    <w:rsid w:val="000F6C88"/>
    <w:rsid w:val="000F7078"/>
    <w:rsid w:val="000F7873"/>
    <w:rsid w:val="000F7A0E"/>
    <w:rsid w:val="000F7DE4"/>
    <w:rsid w:val="00100098"/>
    <w:rsid w:val="0010028A"/>
    <w:rsid w:val="001002B6"/>
    <w:rsid w:val="00100328"/>
    <w:rsid w:val="0010054F"/>
    <w:rsid w:val="001008E7"/>
    <w:rsid w:val="001009DC"/>
    <w:rsid w:val="00100AD5"/>
    <w:rsid w:val="00100B4F"/>
    <w:rsid w:val="00100B79"/>
    <w:rsid w:val="00100E38"/>
    <w:rsid w:val="00100EE6"/>
    <w:rsid w:val="00100F3C"/>
    <w:rsid w:val="00100FD2"/>
    <w:rsid w:val="00101020"/>
    <w:rsid w:val="001011BC"/>
    <w:rsid w:val="00101823"/>
    <w:rsid w:val="00101832"/>
    <w:rsid w:val="001018BA"/>
    <w:rsid w:val="001019AF"/>
    <w:rsid w:val="00101AB6"/>
    <w:rsid w:val="00101ADF"/>
    <w:rsid w:val="00101C61"/>
    <w:rsid w:val="00101CBE"/>
    <w:rsid w:val="00101E2D"/>
    <w:rsid w:val="00101EC7"/>
    <w:rsid w:val="00101FCF"/>
    <w:rsid w:val="00101FE0"/>
    <w:rsid w:val="001021D2"/>
    <w:rsid w:val="0010225B"/>
    <w:rsid w:val="0010229D"/>
    <w:rsid w:val="001024CC"/>
    <w:rsid w:val="00102767"/>
    <w:rsid w:val="0010277A"/>
    <w:rsid w:val="001028B9"/>
    <w:rsid w:val="00102950"/>
    <w:rsid w:val="00102AA4"/>
    <w:rsid w:val="00102B7D"/>
    <w:rsid w:val="00102C73"/>
    <w:rsid w:val="00102DC2"/>
    <w:rsid w:val="001032DF"/>
    <w:rsid w:val="001033B7"/>
    <w:rsid w:val="00103447"/>
    <w:rsid w:val="001036BD"/>
    <w:rsid w:val="00103751"/>
    <w:rsid w:val="0010386D"/>
    <w:rsid w:val="001038CA"/>
    <w:rsid w:val="00103AC3"/>
    <w:rsid w:val="00103B9D"/>
    <w:rsid w:val="00103BD6"/>
    <w:rsid w:val="00103D2E"/>
    <w:rsid w:val="00103EB3"/>
    <w:rsid w:val="00103F19"/>
    <w:rsid w:val="00104251"/>
    <w:rsid w:val="0010462B"/>
    <w:rsid w:val="001047E6"/>
    <w:rsid w:val="001047FC"/>
    <w:rsid w:val="00104826"/>
    <w:rsid w:val="001048EE"/>
    <w:rsid w:val="00104A3E"/>
    <w:rsid w:val="00104AC2"/>
    <w:rsid w:val="00104BA6"/>
    <w:rsid w:val="00104EE4"/>
    <w:rsid w:val="00104F32"/>
    <w:rsid w:val="00105061"/>
    <w:rsid w:val="001051E0"/>
    <w:rsid w:val="00105236"/>
    <w:rsid w:val="0010530C"/>
    <w:rsid w:val="00105317"/>
    <w:rsid w:val="001057A8"/>
    <w:rsid w:val="0010581D"/>
    <w:rsid w:val="00105872"/>
    <w:rsid w:val="00105B01"/>
    <w:rsid w:val="00105C4E"/>
    <w:rsid w:val="00105C82"/>
    <w:rsid w:val="00105CC5"/>
    <w:rsid w:val="00105DD9"/>
    <w:rsid w:val="00105EC9"/>
    <w:rsid w:val="00105F4E"/>
    <w:rsid w:val="00105F73"/>
    <w:rsid w:val="0010615C"/>
    <w:rsid w:val="001062FE"/>
    <w:rsid w:val="001063E0"/>
    <w:rsid w:val="00106407"/>
    <w:rsid w:val="001065FA"/>
    <w:rsid w:val="0010662C"/>
    <w:rsid w:val="00106660"/>
    <w:rsid w:val="001067C1"/>
    <w:rsid w:val="00106A0C"/>
    <w:rsid w:val="00106AA8"/>
    <w:rsid w:val="00106BF2"/>
    <w:rsid w:val="00106F42"/>
    <w:rsid w:val="00106F82"/>
    <w:rsid w:val="00107049"/>
    <w:rsid w:val="001070EF"/>
    <w:rsid w:val="00107250"/>
    <w:rsid w:val="0010741D"/>
    <w:rsid w:val="00107468"/>
    <w:rsid w:val="00107674"/>
    <w:rsid w:val="001078C8"/>
    <w:rsid w:val="00107977"/>
    <w:rsid w:val="00107B52"/>
    <w:rsid w:val="00107B7C"/>
    <w:rsid w:val="00107CA0"/>
    <w:rsid w:val="00107CDB"/>
    <w:rsid w:val="00107DAF"/>
    <w:rsid w:val="00107DB1"/>
    <w:rsid w:val="00107DE3"/>
    <w:rsid w:val="00107F86"/>
    <w:rsid w:val="00107FF7"/>
    <w:rsid w:val="00110089"/>
    <w:rsid w:val="00110169"/>
    <w:rsid w:val="0011024A"/>
    <w:rsid w:val="00110272"/>
    <w:rsid w:val="001104F8"/>
    <w:rsid w:val="00110983"/>
    <w:rsid w:val="00110A13"/>
    <w:rsid w:val="00110E1B"/>
    <w:rsid w:val="00110F47"/>
    <w:rsid w:val="00110FED"/>
    <w:rsid w:val="00111257"/>
    <w:rsid w:val="001112F8"/>
    <w:rsid w:val="00111512"/>
    <w:rsid w:val="00111530"/>
    <w:rsid w:val="0011179B"/>
    <w:rsid w:val="00111DC9"/>
    <w:rsid w:val="00111FCB"/>
    <w:rsid w:val="00111FF7"/>
    <w:rsid w:val="001124B3"/>
    <w:rsid w:val="0011253A"/>
    <w:rsid w:val="00112560"/>
    <w:rsid w:val="0011265C"/>
    <w:rsid w:val="00112675"/>
    <w:rsid w:val="001127F3"/>
    <w:rsid w:val="00112875"/>
    <w:rsid w:val="00112BE7"/>
    <w:rsid w:val="00112E18"/>
    <w:rsid w:val="00112EA4"/>
    <w:rsid w:val="00112FB6"/>
    <w:rsid w:val="00113269"/>
    <w:rsid w:val="00113347"/>
    <w:rsid w:val="0011337A"/>
    <w:rsid w:val="00113423"/>
    <w:rsid w:val="001134D3"/>
    <w:rsid w:val="00113535"/>
    <w:rsid w:val="00113627"/>
    <w:rsid w:val="001136C1"/>
    <w:rsid w:val="001139A9"/>
    <w:rsid w:val="00113BB4"/>
    <w:rsid w:val="00113E72"/>
    <w:rsid w:val="00113FD6"/>
    <w:rsid w:val="00113FDC"/>
    <w:rsid w:val="00114002"/>
    <w:rsid w:val="0011418B"/>
    <w:rsid w:val="001145A9"/>
    <w:rsid w:val="001148C8"/>
    <w:rsid w:val="001148CD"/>
    <w:rsid w:val="00114909"/>
    <w:rsid w:val="001149DB"/>
    <w:rsid w:val="001149FC"/>
    <w:rsid w:val="00114A2C"/>
    <w:rsid w:val="00114AC4"/>
    <w:rsid w:val="00114B6D"/>
    <w:rsid w:val="00114CC6"/>
    <w:rsid w:val="00114CD4"/>
    <w:rsid w:val="00114E63"/>
    <w:rsid w:val="00114F9F"/>
    <w:rsid w:val="001151D1"/>
    <w:rsid w:val="00115240"/>
    <w:rsid w:val="00115327"/>
    <w:rsid w:val="00115AA5"/>
    <w:rsid w:val="00115C66"/>
    <w:rsid w:val="00115DA5"/>
    <w:rsid w:val="00115E88"/>
    <w:rsid w:val="001160FD"/>
    <w:rsid w:val="001161D5"/>
    <w:rsid w:val="001161DA"/>
    <w:rsid w:val="0011632C"/>
    <w:rsid w:val="001165B5"/>
    <w:rsid w:val="001166AB"/>
    <w:rsid w:val="00116725"/>
    <w:rsid w:val="001167BB"/>
    <w:rsid w:val="001167CA"/>
    <w:rsid w:val="00116CD4"/>
    <w:rsid w:val="00116E07"/>
    <w:rsid w:val="00116EF7"/>
    <w:rsid w:val="00116F09"/>
    <w:rsid w:val="0011735E"/>
    <w:rsid w:val="0011739A"/>
    <w:rsid w:val="0011747D"/>
    <w:rsid w:val="0011751F"/>
    <w:rsid w:val="00117712"/>
    <w:rsid w:val="001177AA"/>
    <w:rsid w:val="0011782F"/>
    <w:rsid w:val="0011793B"/>
    <w:rsid w:val="001179F4"/>
    <w:rsid w:val="00117A99"/>
    <w:rsid w:val="00117C52"/>
    <w:rsid w:val="00117D3B"/>
    <w:rsid w:val="00117EF6"/>
    <w:rsid w:val="00117FF8"/>
    <w:rsid w:val="00120662"/>
    <w:rsid w:val="001206D0"/>
    <w:rsid w:val="001207E2"/>
    <w:rsid w:val="00120B81"/>
    <w:rsid w:val="00120C9B"/>
    <w:rsid w:val="00120E85"/>
    <w:rsid w:val="00120EF8"/>
    <w:rsid w:val="00120EF9"/>
    <w:rsid w:val="00121067"/>
    <w:rsid w:val="0012108D"/>
    <w:rsid w:val="0012120D"/>
    <w:rsid w:val="0012139D"/>
    <w:rsid w:val="001213DF"/>
    <w:rsid w:val="001214C8"/>
    <w:rsid w:val="00121513"/>
    <w:rsid w:val="00121521"/>
    <w:rsid w:val="0012166A"/>
    <w:rsid w:val="00121774"/>
    <w:rsid w:val="0012199F"/>
    <w:rsid w:val="001219B0"/>
    <w:rsid w:val="00121DCF"/>
    <w:rsid w:val="00121E72"/>
    <w:rsid w:val="00121F0D"/>
    <w:rsid w:val="00121F74"/>
    <w:rsid w:val="001220DF"/>
    <w:rsid w:val="001222BF"/>
    <w:rsid w:val="00122439"/>
    <w:rsid w:val="00122488"/>
    <w:rsid w:val="00122601"/>
    <w:rsid w:val="0012264D"/>
    <w:rsid w:val="001228D8"/>
    <w:rsid w:val="001229CF"/>
    <w:rsid w:val="00122A1A"/>
    <w:rsid w:val="00122A2C"/>
    <w:rsid w:val="00122A57"/>
    <w:rsid w:val="00122ADC"/>
    <w:rsid w:val="00122FD4"/>
    <w:rsid w:val="00123048"/>
    <w:rsid w:val="00123226"/>
    <w:rsid w:val="00123247"/>
    <w:rsid w:val="001234B5"/>
    <w:rsid w:val="001234DE"/>
    <w:rsid w:val="00123945"/>
    <w:rsid w:val="00123B38"/>
    <w:rsid w:val="00123B8E"/>
    <w:rsid w:val="00123E35"/>
    <w:rsid w:val="00123E79"/>
    <w:rsid w:val="00123F75"/>
    <w:rsid w:val="00123FD5"/>
    <w:rsid w:val="00124115"/>
    <w:rsid w:val="001242A8"/>
    <w:rsid w:val="0012452E"/>
    <w:rsid w:val="0012466E"/>
    <w:rsid w:val="00124795"/>
    <w:rsid w:val="00124AA5"/>
    <w:rsid w:val="00124B1B"/>
    <w:rsid w:val="00124B47"/>
    <w:rsid w:val="00124B76"/>
    <w:rsid w:val="00124BA5"/>
    <w:rsid w:val="00124C6A"/>
    <w:rsid w:val="00124D85"/>
    <w:rsid w:val="00124FB7"/>
    <w:rsid w:val="00125068"/>
    <w:rsid w:val="001250FD"/>
    <w:rsid w:val="00125190"/>
    <w:rsid w:val="0012523D"/>
    <w:rsid w:val="00125551"/>
    <w:rsid w:val="00125821"/>
    <w:rsid w:val="0012588B"/>
    <w:rsid w:val="00125A03"/>
    <w:rsid w:val="00125BFC"/>
    <w:rsid w:val="00125D3F"/>
    <w:rsid w:val="00125D89"/>
    <w:rsid w:val="00125E44"/>
    <w:rsid w:val="00125F68"/>
    <w:rsid w:val="00125F81"/>
    <w:rsid w:val="00126022"/>
    <w:rsid w:val="00126038"/>
    <w:rsid w:val="00126182"/>
    <w:rsid w:val="001262CB"/>
    <w:rsid w:val="00126673"/>
    <w:rsid w:val="001268CF"/>
    <w:rsid w:val="001269E4"/>
    <w:rsid w:val="00126AE0"/>
    <w:rsid w:val="00126B1B"/>
    <w:rsid w:val="00126C69"/>
    <w:rsid w:val="00126E03"/>
    <w:rsid w:val="00127089"/>
    <w:rsid w:val="001275C4"/>
    <w:rsid w:val="0012764A"/>
    <w:rsid w:val="00127A4C"/>
    <w:rsid w:val="00127AF1"/>
    <w:rsid w:val="00127C77"/>
    <w:rsid w:val="00127DE7"/>
    <w:rsid w:val="00127E1B"/>
    <w:rsid w:val="00127F5B"/>
    <w:rsid w:val="0013006F"/>
    <w:rsid w:val="0013015E"/>
    <w:rsid w:val="001301D5"/>
    <w:rsid w:val="001302BB"/>
    <w:rsid w:val="00130634"/>
    <w:rsid w:val="00130647"/>
    <w:rsid w:val="0013071A"/>
    <w:rsid w:val="00130746"/>
    <w:rsid w:val="00130889"/>
    <w:rsid w:val="00130980"/>
    <w:rsid w:val="001309E1"/>
    <w:rsid w:val="00130B89"/>
    <w:rsid w:val="00130CF0"/>
    <w:rsid w:val="00130EEA"/>
    <w:rsid w:val="00130FFF"/>
    <w:rsid w:val="0013105D"/>
    <w:rsid w:val="00131258"/>
    <w:rsid w:val="00131267"/>
    <w:rsid w:val="0013129A"/>
    <w:rsid w:val="00131514"/>
    <w:rsid w:val="00131519"/>
    <w:rsid w:val="0013165C"/>
    <w:rsid w:val="00131673"/>
    <w:rsid w:val="0013167D"/>
    <w:rsid w:val="00131A2D"/>
    <w:rsid w:val="00131AAD"/>
    <w:rsid w:val="00131E74"/>
    <w:rsid w:val="001323AD"/>
    <w:rsid w:val="001324C7"/>
    <w:rsid w:val="001325A7"/>
    <w:rsid w:val="00132AEC"/>
    <w:rsid w:val="00132B04"/>
    <w:rsid w:val="00132E95"/>
    <w:rsid w:val="00132F27"/>
    <w:rsid w:val="00132F31"/>
    <w:rsid w:val="00132FD0"/>
    <w:rsid w:val="00133068"/>
    <w:rsid w:val="0013313D"/>
    <w:rsid w:val="0013321A"/>
    <w:rsid w:val="0013343F"/>
    <w:rsid w:val="00133536"/>
    <w:rsid w:val="00133541"/>
    <w:rsid w:val="00133682"/>
    <w:rsid w:val="001336B2"/>
    <w:rsid w:val="0013376D"/>
    <w:rsid w:val="0013379D"/>
    <w:rsid w:val="00133855"/>
    <w:rsid w:val="00133876"/>
    <w:rsid w:val="00133996"/>
    <w:rsid w:val="00133A1C"/>
    <w:rsid w:val="00133C57"/>
    <w:rsid w:val="00133C67"/>
    <w:rsid w:val="00133D41"/>
    <w:rsid w:val="00133DC5"/>
    <w:rsid w:val="00134041"/>
    <w:rsid w:val="00134143"/>
    <w:rsid w:val="00134148"/>
    <w:rsid w:val="001342FF"/>
    <w:rsid w:val="0013435D"/>
    <w:rsid w:val="0013451E"/>
    <w:rsid w:val="00134673"/>
    <w:rsid w:val="0013495A"/>
    <w:rsid w:val="00134BF5"/>
    <w:rsid w:val="00134C81"/>
    <w:rsid w:val="00134C8A"/>
    <w:rsid w:val="00134D3B"/>
    <w:rsid w:val="00135217"/>
    <w:rsid w:val="001352E5"/>
    <w:rsid w:val="00135300"/>
    <w:rsid w:val="0013541D"/>
    <w:rsid w:val="0013544A"/>
    <w:rsid w:val="00135485"/>
    <w:rsid w:val="001357B2"/>
    <w:rsid w:val="001357D8"/>
    <w:rsid w:val="0013583B"/>
    <w:rsid w:val="00135A61"/>
    <w:rsid w:val="00135AC7"/>
    <w:rsid w:val="00135BC7"/>
    <w:rsid w:val="00135D0D"/>
    <w:rsid w:val="00135F02"/>
    <w:rsid w:val="00136211"/>
    <w:rsid w:val="001362BE"/>
    <w:rsid w:val="001362C1"/>
    <w:rsid w:val="0013637A"/>
    <w:rsid w:val="001363DF"/>
    <w:rsid w:val="00136650"/>
    <w:rsid w:val="001367A3"/>
    <w:rsid w:val="001369C3"/>
    <w:rsid w:val="001369FF"/>
    <w:rsid w:val="00136B35"/>
    <w:rsid w:val="00136CC6"/>
    <w:rsid w:val="00136E7A"/>
    <w:rsid w:val="00136E83"/>
    <w:rsid w:val="00136F0D"/>
    <w:rsid w:val="00136F27"/>
    <w:rsid w:val="001370A6"/>
    <w:rsid w:val="00137216"/>
    <w:rsid w:val="0013738A"/>
    <w:rsid w:val="0013749C"/>
    <w:rsid w:val="001377A7"/>
    <w:rsid w:val="00137830"/>
    <w:rsid w:val="00137A3B"/>
    <w:rsid w:val="00137EB0"/>
    <w:rsid w:val="00137FC8"/>
    <w:rsid w:val="001400F0"/>
    <w:rsid w:val="001401A7"/>
    <w:rsid w:val="00140309"/>
    <w:rsid w:val="001404B0"/>
    <w:rsid w:val="00140594"/>
    <w:rsid w:val="001405D6"/>
    <w:rsid w:val="001406A4"/>
    <w:rsid w:val="001408E7"/>
    <w:rsid w:val="00140B8E"/>
    <w:rsid w:val="00140C3A"/>
    <w:rsid w:val="00140FA2"/>
    <w:rsid w:val="00140FEF"/>
    <w:rsid w:val="00141137"/>
    <w:rsid w:val="00141142"/>
    <w:rsid w:val="0014126F"/>
    <w:rsid w:val="001412B3"/>
    <w:rsid w:val="001412FC"/>
    <w:rsid w:val="0014139A"/>
    <w:rsid w:val="001414C1"/>
    <w:rsid w:val="00141636"/>
    <w:rsid w:val="00141AB1"/>
    <w:rsid w:val="00141CA1"/>
    <w:rsid w:val="00141D1A"/>
    <w:rsid w:val="00141EF1"/>
    <w:rsid w:val="00141F58"/>
    <w:rsid w:val="00141F78"/>
    <w:rsid w:val="00141F8D"/>
    <w:rsid w:val="00142275"/>
    <w:rsid w:val="0014229D"/>
    <w:rsid w:val="00142310"/>
    <w:rsid w:val="0014269C"/>
    <w:rsid w:val="00142735"/>
    <w:rsid w:val="00142795"/>
    <w:rsid w:val="001427DD"/>
    <w:rsid w:val="00142A29"/>
    <w:rsid w:val="00142B3D"/>
    <w:rsid w:val="00142CF4"/>
    <w:rsid w:val="00142EC0"/>
    <w:rsid w:val="00143016"/>
    <w:rsid w:val="0014309B"/>
    <w:rsid w:val="00143121"/>
    <w:rsid w:val="00143201"/>
    <w:rsid w:val="001432F8"/>
    <w:rsid w:val="001433E1"/>
    <w:rsid w:val="001434F9"/>
    <w:rsid w:val="00143525"/>
    <w:rsid w:val="0014360E"/>
    <w:rsid w:val="001436A1"/>
    <w:rsid w:val="001436DF"/>
    <w:rsid w:val="00143943"/>
    <w:rsid w:val="0014395E"/>
    <w:rsid w:val="001439F0"/>
    <w:rsid w:val="00143A98"/>
    <w:rsid w:val="00143B43"/>
    <w:rsid w:val="00143C36"/>
    <w:rsid w:val="00143CAB"/>
    <w:rsid w:val="00143D5B"/>
    <w:rsid w:val="00143E33"/>
    <w:rsid w:val="00143E3F"/>
    <w:rsid w:val="00143E67"/>
    <w:rsid w:val="00143F9D"/>
    <w:rsid w:val="00143FAC"/>
    <w:rsid w:val="00143FE2"/>
    <w:rsid w:val="001441BF"/>
    <w:rsid w:val="00144382"/>
    <w:rsid w:val="0014449E"/>
    <w:rsid w:val="00144B27"/>
    <w:rsid w:val="00144B63"/>
    <w:rsid w:val="00144BC4"/>
    <w:rsid w:val="00144C31"/>
    <w:rsid w:val="00144C77"/>
    <w:rsid w:val="00144D05"/>
    <w:rsid w:val="00144DBD"/>
    <w:rsid w:val="00144DE5"/>
    <w:rsid w:val="00144E97"/>
    <w:rsid w:val="00144F2B"/>
    <w:rsid w:val="0014519F"/>
    <w:rsid w:val="001452F5"/>
    <w:rsid w:val="00145310"/>
    <w:rsid w:val="001455C6"/>
    <w:rsid w:val="001457A7"/>
    <w:rsid w:val="001457D5"/>
    <w:rsid w:val="001458D5"/>
    <w:rsid w:val="00145E62"/>
    <w:rsid w:val="00145F24"/>
    <w:rsid w:val="00145F25"/>
    <w:rsid w:val="00146088"/>
    <w:rsid w:val="0014608F"/>
    <w:rsid w:val="00146106"/>
    <w:rsid w:val="00146466"/>
    <w:rsid w:val="00146952"/>
    <w:rsid w:val="00146A75"/>
    <w:rsid w:val="00146ACB"/>
    <w:rsid w:val="00146BF3"/>
    <w:rsid w:val="00146C71"/>
    <w:rsid w:val="001470B3"/>
    <w:rsid w:val="0014716E"/>
    <w:rsid w:val="001471D3"/>
    <w:rsid w:val="00147247"/>
    <w:rsid w:val="00147281"/>
    <w:rsid w:val="001472A1"/>
    <w:rsid w:val="001472A4"/>
    <w:rsid w:val="0014743E"/>
    <w:rsid w:val="001474A6"/>
    <w:rsid w:val="00147523"/>
    <w:rsid w:val="001476A6"/>
    <w:rsid w:val="001477B8"/>
    <w:rsid w:val="00147807"/>
    <w:rsid w:val="00147A08"/>
    <w:rsid w:val="00147BA9"/>
    <w:rsid w:val="00147C42"/>
    <w:rsid w:val="001500D4"/>
    <w:rsid w:val="00150196"/>
    <w:rsid w:val="001503AB"/>
    <w:rsid w:val="00150402"/>
    <w:rsid w:val="00150470"/>
    <w:rsid w:val="00150491"/>
    <w:rsid w:val="0015070A"/>
    <w:rsid w:val="0015094E"/>
    <w:rsid w:val="00150AB5"/>
    <w:rsid w:val="00150B1D"/>
    <w:rsid w:val="00150B5C"/>
    <w:rsid w:val="00150B66"/>
    <w:rsid w:val="00150B8F"/>
    <w:rsid w:val="00150C80"/>
    <w:rsid w:val="00150E06"/>
    <w:rsid w:val="00150F84"/>
    <w:rsid w:val="001513DA"/>
    <w:rsid w:val="00151400"/>
    <w:rsid w:val="00151402"/>
    <w:rsid w:val="00151573"/>
    <w:rsid w:val="001515D6"/>
    <w:rsid w:val="0015163E"/>
    <w:rsid w:val="00151678"/>
    <w:rsid w:val="00151702"/>
    <w:rsid w:val="001519B1"/>
    <w:rsid w:val="00151AFB"/>
    <w:rsid w:val="00151B44"/>
    <w:rsid w:val="00151D50"/>
    <w:rsid w:val="00151D60"/>
    <w:rsid w:val="00151F8C"/>
    <w:rsid w:val="00151FDC"/>
    <w:rsid w:val="00152081"/>
    <w:rsid w:val="001520B4"/>
    <w:rsid w:val="001521C9"/>
    <w:rsid w:val="00152292"/>
    <w:rsid w:val="001523A9"/>
    <w:rsid w:val="0015291D"/>
    <w:rsid w:val="00152960"/>
    <w:rsid w:val="00152C40"/>
    <w:rsid w:val="00152DE7"/>
    <w:rsid w:val="00152F6E"/>
    <w:rsid w:val="00153025"/>
    <w:rsid w:val="00153265"/>
    <w:rsid w:val="00153291"/>
    <w:rsid w:val="0015345C"/>
    <w:rsid w:val="001536DB"/>
    <w:rsid w:val="00153777"/>
    <w:rsid w:val="0015390F"/>
    <w:rsid w:val="00153914"/>
    <w:rsid w:val="001539A4"/>
    <w:rsid w:val="00153B7A"/>
    <w:rsid w:val="00153BA1"/>
    <w:rsid w:val="00153DAF"/>
    <w:rsid w:val="00153EAD"/>
    <w:rsid w:val="0015402B"/>
    <w:rsid w:val="001541AB"/>
    <w:rsid w:val="00154294"/>
    <w:rsid w:val="001542A8"/>
    <w:rsid w:val="00154332"/>
    <w:rsid w:val="00154594"/>
    <w:rsid w:val="001546D1"/>
    <w:rsid w:val="0015480D"/>
    <w:rsid w:val="00154899"/>
    <w:rsid w:val="0015495D"/>
    <w:rsid w:val="00154CBE"/>
    <w:rsid w:val="00154E0E"/>
    <w:rsid w:val="00154E42"/>
    <w:rsid w:val="00154F42"/>
    <w:rsid w:val="00154F60"/>
    <w:rsid w:val="00155009"/>
    <w:rsid w:val="001550A5"/>
    <w:rsid w:val="00155415"/>
    <w:rsid w:val="00155559"/>
    <w:rsid w:val="001555B8"/>
    <w:rsid w:val="0015566C"/>
    <w:rsid w:val="001556FC"/>
    <w:rsid w:val="0015576B"/>
    <w:rsid w:val="001558CC"/>
    <w:rsid w:val="00155910"/>
    <w:rsid w:val="00155943"/>
    <w:rsid w:val="0015596A"/>
    <w:rsid w:val="00155A62"/>
    <w:rsid w:val="00155B51"/>
    <w:rsid w:val="00155BB3"/>
    <w:rsid w:val="00155C03"/>
    <w:rsid w:val="00155C3C"/>
    <w:rsid w:val="00156062"/>
    <w:rsid w:val="001562C7"/>
    <w:rsid w:val="0015637C"/>
    <w:rsid w:val="001563A2"/>
    <w:rsid w:val="001565AB"/>
    <w:rsid w:val="001567D2"/>
    <w:rsid w:val="00156931"/>
    <w:rsid w:val="00156DE3"/>
    <w:rsid w:val="001571D2"/>
    <w:rsid w:val="00157337"/>
    <w:rsid w:val="00157918"/>
    <w:rsid w:val="00157ABD"/>
    <w:rsid w:val="00157F13"/>
    <w:rsid w:val="00160032"/>
    <w:rsid w:val="00160078"/>
    <w:rsid w:val="001600FE"/>
    <w:rsid w:val="001603C3"/>
    <w:rsid w:val="0016049F"/>
    <w:rsid w:val="001604B1"/>
    <w:rsid w:val="001605E1"/>
    <w:rsid w:val="0016066B"/>
    <w:rsid w:val="0016084A"/>
    <w:rsid w:val="00160880"/>
    <w:rsid w:val="001608F6"/>
    <w:rsid w:val="00160AF3"/>
    <w:rsid w:val="00160D4F"/>
    <w:rsid w:val="00160D51"/>
    <w:rsid w:val="00160FB1"/>
    <w:rsid w:val="00161103"/>
    <w:rsid w:val="001612F5"/>
    <w:rsid w:val="001614AA"/>
    <w:rsid w:val="00161519"/>
    <w:rsid w:val="00161554"/>
    <w:rsid w:val="001615C8"/>
    <w:rsid w:val="0016165A"/>
    <w:rsid w:val="001616A4"/>
    <w:rsid w:val="001616ED"/>
    <w:rsid w:val="001618BE"/>
    <w:rsid w:val="00161AB2"/>
    <w:rsid w:val="00161B6C"/>
    <w:rsid w:val="00161BDA"/>
    <w:rsid w:val="00161C81"/>
    <w:rsid w:val="00161E52"/>
    <w:rsid w:val="00162175"/>
    <w:rsid w:val="00162305"/>
    <w:rsid w:val="00162492"/>
    <w:rsid w:val="00162612"/>
    <w:rsid w:val="001626F9"/>
    <w:rsid w:val="00162702"/>
    <w:rsid w:val="001627E6"/>
    <w:rsid w:val="00162953"/>
    <w:rsid w:val="00162A97"/>
    <w:rsid w:val="00162D29"/>
    <w:rsid w:val="00162E17"/>
    <w:rsid w:val="00162ECC"/>
    <w:rsid w:val="00162FF6"/>
    <w:rsid w:val="001633B5"/>
    <w:rsid w:val="0016350C"/>
    <w:rsid w:val="00163723"/>
    <w:rsid w:val="00163B6B"/>
    <w:rsid w:val="00163BCB"/>
    <w:rsid w:val="00163C37"/>
    <w:rsid w:val="00163D13"/>
    <w:rsid w:val="00163E88"/>
    <w:rsid w:val="00164019"/>
    <w:rsid w:val="0016405D"/>
    <w:rsid w:val="0016412C"/>
    <w:rsid w:val="00164134"/>
    <w:rsid w:val="00164308"/>
    <w:rsid w:val="00164514"/>
    <w:rsid w:val="001645D1"/>
    <w:rsid w:val="00164613"/>
    <w:rsid w:val="0016477C"/>
    <w:rsid w:val="0016477D"/>
    <w:rsid w:val="001647DF"/>
    <w:rsid w:val="00164B62"/>
    <w:rsid w:val="00164C03"/>
    <w:rsid w:val="00164E5D"/>
    <w:rsid w:val="00164E88"/>
    <w:rsid w:val="00164FBC"/>
    <w:rsid w:val="00164FFC"/>
    <w:rsid w:val="001650CB"/>
    <w:rsid w:val="001651D5"/>
    <w:rsid w:val="00165362"/>
    <w:rsid w:val="0016539A"/>
    <w:rsid w:val="00165484"/>
    <w:rsid w:val="00165592"/>
    <w:rsid w:val="00165741"/>
    <w:rsid w:val="001659D0"/>
    <w:rsid w:val="00165C21"/>
    <w:rsid w:val="00165CAA"/>
    <w:rsid w:val="00165CBA"/>
    <w:rsid w:val="00165D4D"/>
    <w:rsid w:val="00165DB7"/>
    <w:rsid w:val="00165DCD"/>
    <w:rsid w:val="00166123"/>
    <w:rsid w:val="001661FE"/>
    <w:rsid w:val="001662CE"/>
    <w:rsid w:val="0016638E"/>
    <w:rsid w:val="0016639E"/>
    <w:rsid w:val="00166610"/>
    <w:rsid w:val="00166761"/>
    <w:rsid w:val="00166845"/>
    <w:rsid w:val="00166AB6"/>
    <w:rsid w:val="00166C66"/>
    <w:rsid w:val="00166D36"/>
    <w:rsid w:val="00166E42"/>
    <w:rsid w:val="00166F14"/>
    <w:rsid w:val="00167556"/>
    <w:rsid w:val="001675FB"/>
    <w:rsid w:val="00167654"/>
    <w:rsid w:val="0016765A"/>
    <w:rsid w:val="001676EC"/>
    <w:rsid w:val="0016777B"/>
    <w:rsid w:val="00167866"/>
    <w:rsid w:val="00167B51"/>
    <w:rsid w:val="00167C8D"/>
    <w:rsid w:val="00167CEE"/>
    <w:rsid w:val="00167E0B"/>
    <w:rsid w:val="00170019"/>
    <w:rsid w:val="00170183"/>
    <w:rsid w:val="001704C5"/>
    <w:rsid w:val="0017054F"/>
    <w:rsid w:val="0017080E"/>
    <w:rsid w:val="00170880"/>
    <w:rsid w:val="00170ACB"/>
    <w:rsid w:val="0017106B"/>
    <w:rsid w:val="0017117E"/>
    <w:rsid w:val="001711F1"/>
    <w:rsid w:val="00171217"/>
    <w:rsid w:val="00171585"/>
    <w:rsid w:val="001717F4"/>
    <w:rsid w:val="001718E9"/>
    <w:rsid w:val="00171B90"/>
    <w:rsid w:val="00171CA1"/>
    <w:rsid w:val="00171CFD"/>
    <w:rsid w:val="00171D8D"/>
    <w:rsid w:val="00171DC5"/>
    <w:rsid w:val="00171E82"/>
    <w:rsid w:val="00171F07"/>
    <w:rsid w:val="00171F81"/>
    <w:rsid w:val="001721F2"/>
    <w:rsid w:val="00172772"/>
    <w:rsid w:val="00172842"/>
    <w:rsid w:val="001728F1"/>
    <w:rsid w:val="00172984"/>
    <w:rsid w:val="00172A70"/>
    <w:rsid w:val="00172AFB"/>
    <w:rsid w:val="00172B64"/>
    <w:rsid w:val="00172B89"/>
    <w:rsid w:val="00172C24"/>
    <w:rsid w:val="00172CAA"/>
    <w:rsid w:val="00172CE7"/>
    <w:rsid w:val="0017326F"/>
    <w:rsid w:val="00173344"/>
    <w:rsid w:val="001737D5"/>
    <w:rsid w:val="001738B3"/>
    <w:rsid w:val="00173A60"/>
    <w:rsid w:val="00173AD9"/>
    <w:rsid w:val="00173C51"/>
    <w:rsid w:val="00174038"/>
    <w:rsid w:val="001741FB"/>
    <w:rsid w:val="00174209"/>
    <w:rsid w:val="001742B2"/>
    <w:rsid w:val="001744D1"/>
    <w:rsid w:val="001745D6"/>
    <w:rsid w:val="001747A2"/>
    <w:rsid w:val="00174847"/>
    <w:rsid w:val="0017492A"/>
    <w:rsid w:val="0017498A"/>
    <w:rsid w:val="00174A0F"/>
    <w:rsid w:val="00174A26"/>
    <w:rsid w:val="00174B18"/>
    <w:rsid w:val="00174E90"/>
    <w:rsid w:val="00175146"/>
    <w:rsid w:val="001752DC"/>
    <w:rsid w:val="00175460"/>
    <w:rsid w:val="001755B2"/>
    <w:rsid w:val="001755C9"/>
    <w:rsid w:val="00175663"/>
    <w:rsid w:val="0017584D"/>
    <w:rsid w:val="00175A7A"/>
    <w:rsid w:val="00175B6F"/>
    <w:rsid w:val="00175C3A"/>
    <w:rsid w:val="00175C89"/>
    <w:rsid w:val="00175D19"/>
    <w:rsid w:val="00175D26"/>
    <w:rsid w:val="00175D45"/>
    <w:rsid w:val="00175DDD"/>
    <w:rsid w:val="00175E63"/>
    <w:rsid w:val="00175EB1"/>
    <w:rsid w:val="00175ED9"/>
    <w:rsid w:val="0017624F"/>
    <w:rsid w:val="00176342"/>
    <w:rsid w:val="001763CF"/>
    <w:rsid w:val="00176552"/>
    <w:rsid w:val="001765F4"/>
    <w:rsid w:val="0017660C"/>
    <w:rsid w:val="001769A8"/>
    <w:rsid w:val="00176B53"/>
    <w:rsid w:val="00176CCE"/>
    <w:rsid w:val="00176CE5"/>
    <w:rsid w:val="00176F0B"/>
    <w:rsid w:val="00176FD6"/>
    <w:rsid w:val="00177201"/>
    <w:rsid w:val="00177213"/>
    <w:rsid w:val="00177290"/>
    <w:rsid w:val="001773C8"/>
    <w:rsid w:val="001774B5"/>
    <w:rsid w:val="001774EB"/>
    <w:rsid w:val="001775AB"/>
    <w:rsid w:val="001776D0"/>
    <w:rsid w:val="001777A3"/>
    <w:rsid w:val="00177827"/>
    <w:rsid w:val="0017792B"/>
    <w:rsid w:val="001779DA"/>
    <w:rsid w:val="00177D54"/>
    <w:rsid w:val="0018000E"/>
    <w:rsid w:val="001800BA"/>
    <w:rsid w:val="001801D5"/>
    <w:rsid w:val="001803AB"/>
    <w:rsid w:val="00180441"/>
    <w:rsid w:val="0018048B"/>
    <w:rsid w:val="00180618"/>
    <w:rsid w:val="00180626"/>
    <w:rsid w:val="001806B2"/>
    <w:rsid w:val="00180793"/>
    <w:rsid w:val="00181185"/>
    <w:rsid w:val="001813C0"/>
    <w:rsid w:val="00181474"/>
    <w:rsid w:val="00181615"/>
    <w:rsid w:val="00181889"/>
    <w:rsid w:val="001818CA"/>
    <w:rsid w:val="00181A7A"/>
    <w:rsid w:val="00181B19"/>
    <w:rsid w:val="00181C1A"/>
    <w:rsid w:val="00181CC5"/>
    <w:rsid w:val="00181D2D"/>
    <w:rsid w:val="00181DF6"/>
    <w:rsid w:val="00181F51"/>
    <w:rsid w:val="0018214F"/>
    <w:rsid w:val="0018218B"/>
    <w:rsid w:val="001821E0"/>
    <w:rsid w:val="00182647"/>
    <w:rsid w:val="00182814"/>
    <w:rsid w:val="00182A68"/>
    <w:rsid w:val="00182AF9"/>
    <w:rsid w:val="001832A2"/>
    <w:rsid w:val="001833C2"/>
    <w:rsid w:val="001834F1"/>
    <w:rsid w:val="0018362A"/>
    <w:rsid w:val="001837F3"/>
    <w:rsid w:val="00183835"/>
    <w:rsid w:val="001838C0"/>
    <w:rsid w:val="00183936"/>
    <w:rsid w:val="00183A0F"/>
    <w:rsid w:val="00183C8B"/>
    <w:rsid w:val="00183D76"/>
    <w:rsid w:val="00183ED8"/>
    <w:rsid w:val="00183FFA"/>
    <w:rsid w:val="001840C3"/>
    <w:rsid w:val="00184133"/>
    <w:rsid w:val="001843E5"/>
    <w:rsid w:val="00184536"/>
    <w:rsid w:val="00184619"/>
    <w:rsid w:val="001846DC"/>
    <w:rsid w:val="00184923"/>
    <w:rsid w:val="0018495F"/>
    <w:rsid w:val="001849B2"/>
    <w:rsid w:val="00184D7D"/>
    <w:rsid w:val="00184E98"/>
    <w:rsid w:val="00184F16"/>
    <w:rsid w:val="00185064"/>
    <w:rsid w:val="001850A6"/>
    <w:rsid w:val="00185162"/>
    <w:rsid w:val="0018521D"/>
    <w:rsid w:val="00185284"/>
    <w:rsid w:val="0018533B"/>
    <w:rsid w:val="001854D5"/>
    <w:rsid w:val="001854E5"/>
    <w:rsid w:val="001854FC"/>
    <w:rsid w:val="00185545"/>
    <w:rsid w:val="0018563C"/>
    <w:rsid w:val="001857CA"/>
    <w:rsid w:val="001858C7"/>
    <w:rsid w:val="001858D0"/>
    <w:rsid w:val="00185AB4"/>
    <w:rsid w:val="00185B0C"/>
    <w:rsid w:val="00185B44"/>
    <w:rsid w:val="00185D11"/>
    <w:rsid w:val="00186072"/>
    <w:rsid w:val="0018607F"/>
    <w:rsid w:val="00186279"/>
    <w:rsid w:val="001862C3"/>
    <w:rsid w:val="001863AD"/>
    <w:rsid w:val="001864F8"/>
    <w:rsid w:val="001865CE"/>
    <w:rsid w:val="00186618"/>
    <w:rsid w:val="00186730"/>
    <w:rsid w:val="001869E2"/>
    <w:rsid w:val="00186B9F"/>
    <w:rsid w:val="00186BB8"/>
    <w:rsid w:val="00186BD7"/>
    <w:rsid w:val="00186C02"/>
    <w:rsid w:val="00186D80"/>
    <w:rsid w:val="00186F41"/>
    <w:rsid w:val="00186F80"/>
    <w:rsid w:val="00186FD0"/>
    <w:rsid w:val="00187220"/>
    <w:rsid w:val="00187317"/>
    <w:rsid w:val="00187469"/>
    <w:rsid w:val="00187485"/>
    <w:rsid w:val="001875BA"/>
    <w:rsid w:val="001876A9"/>
    <w:rsid w:val="0018787F"/>
    <w:rsid w:val="00187A79"/>
    <w:rsid w:val="00187A94"/>
    <w:rsid w:val="00187BC5"/>
    <w:rsid w:val="00187C73"/>
    <w:rsid w:val="00187EC9"/>
    <w:rsid w:val="00187F2C"/>
    <w:rsid w:val="00187F4D"/>
    <w:rsid w:val="00187FD0"/>
    <w:rsid w:val="00187FE5"/>
    <w:rsid w:val="0019024A"/>
    <w:rsid w:val="001902C2"/>
    <w:rsid w:val="0019052C"/>
    <w:rsid w:val="00190598"/>
    <w:rsid w:val="001905A9"/>
    <w:rsid w:val="001906AD"/>
    <w:rsid w:val="001909F2"/>
    <w:rsid w:val="00190B42"/>
    <w:rsid w:val="00190BB0"/>
    <w:rsid w:val="00190BC4"/>
    <w:rsid w:val="00190BDA"/>
    <w:rsid w:val="00190C56"/>
    <w:rsid w:val="00190E91"/>
    <w:rsid w:val="00190F22"/>
    <w:rsid w:val="001910FA"/>
    <w:rsid w:val="0019157D"/>
    <w:rsid w:val="00191A30"/>
    <w:rsid w:val="00191AF3"/>
    <w:rsid w:val="00191B6F"/>
    <w:rsid w:val="00191C35"/>
    <w:rsid w:val="00191D0A"/>
    <w:rsid w:val="00191DBD"/>
    <w:rsid w:val="0019218B"/>
    <w:rsid w:val="0019221E"/>
    <w:rsid w:val="0019225B"/>
    <w:rsid w:val="00192301"/>
    <w:rsid w:val="00192310"/>
    <w:rsid w:val="001926A2"/>
    <w:rsid w:val="0019270B"/>
    <w:rsid w:val="00192955"/>
    <w:rsid w:val="0019297C"/>
    <w:rsid w:val="00192B35"/>
    <w:rsid w:val="00192B76"/>
    <w:rsid w:val="00192BE3"/>
    <w:rsid w:val="00192CEE"/>
    <w:rsid w:val="00192E0E"/>
    <w:rsid w:val="00193004"/>
    <w:rsid w:val="00193212"/>
    <w:rsid w:val="00193310"/>
    <w:rsid w:val="001933C2"/>
    <w:rsid w:val="001933C9"/>
    <w:rsid w:val="00193422"/>
    <w:rsid w:val="0019342D"/>
    <w:rsid w:val="001934B0"/>
    <w:rsid w:val="001935CA"/>
    <w:rsid w:val="00193820"/>
    <w:rsid w:val="001939CD"/>
    <w:rsid w:val="00193A07"/>
    <w:rsid w:val="00193CBA"/>
    <w:rsid w:val="00193D2B"/>
    <w:rsid w:val="00193DC9"/>
    <w:rsid w:val="00193E0C"/>
    <w:rsid w:val="00193E5B"/>
    <w:rsid w:val="00193FE1"/>
    <w:rsid w:val="0019417A"/>
    <w:rsid w:val="0019417B"/>
    <w:rsid w:val="001943A1"/>
    <w:rsid w:val="001943F4"/>
    <w:rsid w:val="00194437"/>
    <w:rsid w:val="001946CE"/>
    <w:rsid w:val="001946E7"/>
    <w:rsid w:val="001948D8"/>
    <w:rsid w:val="00194D68"/>
    <w:rsid w:val="00194EA1"/>
    <w:rsid w:val="00195108"/>
    <w:rsid w:val="00195146"/>
    <w:rsid w:val="001951D0"/>
    <w:rsid w:val="0019531E"/>
    <w:rsid w:val="001955DF"/>
    <w:rsid w:val="001956C9"/>
    <w:rsid w:val="001957AD"/>
    <w:rsid w:val="001958D5"/>
    <w:rsid w:val="00195A17"/>
    <w:rsid w:val="00195B45"/>
    <w:rsid w:val="00195B4A"/>
    <w:rsid w:val="00195CC8"/>
    <w:rsid w:val="00195F63"/>
    <w:rsid w:val="00195F98"/>
    <w:rsid w:val="001962BD"/>
    <w:rsid w:val="001965ED"/>
    <w:rsid w:val="00196660"/>
    <w:rsid w:val="001967E0"/>
    <w:rsid w:val="0019699D"/>
    <w:rsid w:val="00196B4E"/>
    <w:rsid w:val="00196C97"/>
    <w:rsid w:val="00196D78"/>
    <w:rsid w:val="00196E9A"/>
    <w:rsid w:val="00196F4A"/>
    <w:rsid w:val="00197029"/>
    <w:rsid w:val="001973F3"/>
    <w:rsid w:val="00197486"/>
    <w:rsid w:val="001975AF"/>
    <w:rsid w:val="0019766F"/>
    <w:rsid w:val="001978C2"/>
    <w:rsid w:val="00197A95"/>
    <w:rsid w:val="00197BE0"/>
    <w:rsid w:val="00197DD8"/>
    <w:rsid w:val="001A014A"/>
    <w:rsid w:val="001A0166"/>
    <w:rsid w:val="001A020B"/>
    <w:rsid w:val="001A0256"/>
    <w:rsid w:val="001A0443"/>
    <w:rsid w:val="001A05ED"/>
    <w:rsid w:val="001A073F"/>
    <w:rsid w:val="001A0940"/>
    <w:rsid w:val="001A0AB7"/>
    <w:rsid w:val="001A0B97"/>
    <w:rsid w:val="001A0C7F"/>
    <w:rsid w:val="001A0D3E"/>
    <w:rsid w:val="001A0DB0"/>
    <w:rsid w:val="001A0F16"/>
    <w:rsid w:val="001A116B"/>
    <w:rsid w:val="001A1263"/>
    <w:rsid w:val="001A132A"/>
    <w:rsid w:val="001A13F5"/>
    <w:rsid w:val="001A1444"/>
    <w:rsid w:val="001A14FC"/>
    <w:rsid w:val="001A15A9"/>
    <w:rsid w:val="001A15D8"/>
    <w:rsid w:val="001A16EE"/>
    <w:rsid w:val="001A1788"/>
    <w:rsid w:val="001A1910"/>
    <w:rsid w:val="001A1946"/>
    <w:rsid w:val="001A1A43"/>
    <w:rsid w:val="001A1ADE"/>
    <w:rsid w:val="001A1C41"/>
    <w:rsid w:val="001A1DC7"/>
    <w:rsid w:val="001A1E44"/>
    <w:rsid w:val="001A1E49"/>
    <w:rsid w:val="001A1E8A"/>
    <w:rsid w:val="001A1FE5"/>
    <w:rsid w:val="001A2150"/>
    <w:rsid w:val="001A2325"/>
    <w:rsid w:val="001A23B8"/>
    <w:rsid w:val="001A2425"/>
    <w:rsid w:val="001A253A"/>
    <w:rsid w:val="001A257C"/>
    <w:rsid w:val="001A2636"/>
    <w:rsid w:val="001A2800"/>
    <w:rsid w:val="001A2805"/>
    <w:rsid w:val="001A2821"/>
    <w:rsid w:val="001A290D"/>
    <w:rsid w:val="001A2B71"/>
    <w:rsid w:val="001A2BB8"/>
    <w:rsid w:val="001A2BE1"/>
    <w:rsid w:val="001A3345"/>
    <w:rsid w:val="001A337E"/>
    <w:rsid w:val="001A3816"/>
    <w:rsid w:val="001A3973"/>
    <w:rsid w:val="001A3A6C"/>
    <w:rsid w:val="001A3B00"/>
    <w:rsid w:val="001A40B8"/>
    <w:rsid w:val="001A4172"/>
    <w:rsid w:val="001A4194"/>
    <w:rsid w:val="001A4284"/>
    <w:rsid w:val="001A42CF"/>
    <w:rsid w:val="001A430B"/>
    <w:rsid w:val="001A4375"/>
    <w:rsid w:val="001A442E"/>
    <w:rsid w:val="001A4670"/>
    <w:rsid w:val="001A4917"/>
    <w:rsid w:val="001A4ADA"/>
    <w:rsid w:val="001A4BFB"/>
    <w:rsid w:val="001A4D46"/>
    <w:rsid w:val="001A4DC6"/>
    <w:rsid w:val="001A4FA3"/>
    <w:rsid w:val="001A5072"/>
    <w:rsid w:val="001A518F"/>
    <w:rsid w:val="001A55C8"/>
    <w:rsid w:val="001A560F"/>
    <w:rsid w:val="001A56B4"/>
    <w:rsid w:val="001A56CF"/>
    <w:rsid w:val="001A59E8"/>
    <w:rsid w:val="001A5A73"/>
    <w:rsid w:val="001A5B1C"/>
    <w:rsid w:val="001A5B4D"/>
    <w:rsid w:val="001A5EF6"/>
    <w:rsid w:val="001A5F14"/>
    <w:rsid w:val="001A5FD7"/>
    <w:rsid w:val="001A61C6"/>
    <w:rsid w:val="001A6376"/>
    <w:rsid w:val="001A6424"/>
    <w:rsid w:val="001A65AE"/>
    <w:rsid w:val="001A6749"/>
    <w:rsid w:val="001A67AA"/>
    <w:rsid w:val="001A68D1"/>
    <w:rsid w:val="001A68F2"/>
    <w:rsid w:val="001A69CE"/>
    <w:rsid w:val="001A6A5F"/>
    <w:rsid w:val="001A6BCB"/>
    <w:rsid w:val="001A6C94"/>
    <w:rsid w:val="001A6CAD"/>
    <w:rsid w:val="001A6CF4"/>
    <w:rsid w:val="001A6DCE"/>
    <w:rsid w:val="001A6EFB"/>
    <w:rsid w:val="001A6FB7"/>
    <w:rsid w:val="001A7021"/>
    <w:rsid w:val="001A704B"/>
    <w:rsid w:val="001A7065"/>
    <w:rsid w:val="001A70AF"/>
    <w:rsid w:val="001A7211"/>
    <w:rsid w:val="001A727D"/>
    <w:rsid w:val="001A7398"/>
    <w:rsid w:val="001A7689"/>
    <w:rsid w:val="001A78B3"/>
    <w:rsid w:val="001A79E2"/>
    <w:rsid w:val="001A7A28"/>
    <w:rsid w:val="001A7B09"/>
    <w:rsid w:val="001A7B9E"/>
    <w:rsid w:val="001A7D5F"/>
    <w:rsid w:val="001A7F81"/>
    <w:rsid w:val="001B02DC"/>
    <w:rsid w:val="001B0537"/>
    <w:rsid w:val="001B0553"/>
    <w:rsid w:val="001B07F7"/>
    <w:rsid w:val="001B0907"/>
    <w:rsid w:val="001B0B0C"/>
    <w:rsid w:val="001B0E9A"/>
    <w:rsid w:val="001B0EE8"/>
    <w:rsid w:val="001B0F71"/>
    <w:rsid w:val="001B0FF6"/>
    <w:rsid w:val="001B10A3"/>
    <w:rsid w:val="001B10C9"/>
    <w:rsid w:val="001B10E3"/>
    <w:rsid w:val="001B13A1"/>
    <w:rsid w:val="001B15D4"/>
    <w:rsid w:val="001B16B5"/>
    <w:rsid w:val="001B1885"/>
    <w:rsid w:val="001B18B6"/>
    <w:rsid w:val="001B1A12"/>
    <w:rsid w:val="001B1B2C"/>
    <w:rsid w:val="001B1C99"/>
    <w:rsid w:val="001B1C9C"/>
    <w:rsid w:val="001B1E2C"/>
    <w:rsid w:val="001B1E94"/>
    <w:rsid w:val="001B1F2D"/>
    <w:rsid w:val="001B1F89"/>
    <w:rsid w:val="001B20A6"/>
    <w:rsid w:val="001B2418"/>
    <w:rsid w:val="001B256B"/>
    <w:rsid w:val="001B2750"/>
    <w:rsid w:val="001B27C4"/>
    <w:rsid w:val="001B28C9"/>
    <w:rsid w:val="001B29CD"/>
    <w:rsid w:val="001B2A0C"/>
    <w:rsid w:val="001B2BA5"/>
    <w:rsid w:val="001B2C1C"/>
    <w:rsid w:val="001B2CF1"/>
    <w:rsid w:val="001B2DE3"/>
    <w:rsid w:val="001B2DE4"/>
    <w:rsid w:val="001B2E2C"/>
    <w:rsid w:val="001B2E52"/>
    <w:rsid w:val="001B2E66"/>
    <w:rsid w:val="001B2E81"/>
    <w:rsid w:val="001B2FC8"/>
    <w:rsid w:val="001B30A5"/>
    <w:rsid w:val="001B3163"/>
    <w:rsid w:val="001B3194"/>
    <w:rsid w:val="001B336B"/>
    <w:rsid w:val="001B362D"/>
    <w:rsid w:val="001B381C"/>
    <w:rsid w:val="001B3874"/>
    <w:rsid w:val="001B38B3"/>
    <w:rsid w:val="001B3903"/>
    <w:rsid w:val="001B3A97"/>
    <w:rsid w:val="001B3D1B"/>
    <w:rsid w:val="001B3DFE"/>
    <w:rsid w:val="001B3E02"/>
    <w:rsid w:val="001B3FFA"/>
    <w:rsid w:val="001B4540"/>
    <w:rsid w:val="001B46E7"/>
    <w:rsid w:val="001B49E3"/>
    <w:rsid w:val="001B49E7"/>
    <w:rsid w:val="001B4A58"/>
    <w:rsid w:val="001B4C57"/>
    <w:rsid w:val="001B4CE9"/>
    <w:rsid w:val="001B4D8F"/>
    <w:rsid w:val="001B4DBA"/>
    <w:rsid w:val="001B4DD6"/>
    <w:rsid w:val="001B4E0A"/>
    <w:rsid w:val="001B4E96"/>
    <w:rsid w:val="001B4F54"/>
    <w:rsid w:val="001B5012"/>
    <w:rsid w:val="001B5141"/>
    <w:rsid w:val="001B523B"/>
    <w:rsid w:val="001B5288"/>
    <w:rsid w:val="001B52C4"/>
    <w:rsid w:val="001B57A3"/>
    <w:rsid w:val="001B5960"/>
    <w:rsid w:val="001B59EE"/>
    <w:rsid w:val="001B5A10"/>
    <w:rsid w:val="001B5B14"/>
    <w:rsid w:val="001B5BBE"/>
    <w:rsid w:val="001B5CED"/>
    <w:rsid w:val="001B5D02"/>
    <w:rsid w:val="001B5D4B"/>
    <w:rsid w:val="001B5EF0"/>
    <w:rsid w:val="001B5F71"/>
    <w:rsid w:val="001B5FCC"/>
    <w:rsid w:val="001B5FD5"/>
    <w:rsid w:val="001B6010"/>
    <w:rsid w:val="001B60D5"/>
    <w:rsid w:val="001B6247"/>
    <w:rsid w:val="001B62F4"/>
    <w:rsid w:val="001B6549"/>
    <w:rsid w:val="001B65A5"/>
    <w:rsid w:val="001B679D"/>
    <w:rsid w:val="001B68D0"/>
    <w:rsid w:val="001B6973"/>
    <w:rsid w:val="001B6987"/>
    <w:rsid w:val="001B6AA1"/>
    <w:rsid w:val="001B6B25"/>
    <w:rsid w:val="001B6B69"/>
    <w:rsid w:val="001B6C86"/>
    <w:rsid w:val="001B6C91"/>
    <w:rsid w:val="001B6D14"/>
    <w:rsid w:val="001B6D93"/>
    <w:rsid w:val="001B6F4A"/>
    <w:rsid w:val="001B6F5A"/>
    <w:rsid w:val="001B71F7"/>
    <w:rsid w:val="001B72B9"/>
    <w:rsid w:val="001B72DD"/>
    <w:rsid w:val="001B7312"/>
    <w:rsid w:val="001B7358"/>
    <w:rsid w:val="001B7380"/>
    <w:rsid w:val="001B73BD"/>
    <w:rsid w:val="001B73E9"/>
    <w:rsid w:val="001B7420"/>
    <w:rsid w:val="001B74AD"/>
    <w:rsid w:val="001B770F"/>
    <w:rsid w:val="001B7A4B"/>
    <w:rsid w:val="001B7A95"/>
    <w:rsid w:val="001B7F50"/>
    <w:rsid w:val="001C0041"/>
    <w:rsid w:val="001C006D"/>
    <w:rsid w:val="001C007F"/>
    <w:rsid w:val="001C025F"/>
    <w:rsid w:val="001C02E7"/>
    <w:rsid w:val="001C033E"/>
    <w:rsid w:val="001C0AC4"/>
    <w:rsid w:val="001C0B3A"/>
    <w:rsid w:val="001C0C0E"/>
    <w:rsid w:val="001C0CD3"/>
    <w:rsid w:val="001C0D39"/>
    <w:rsid w:val="001C0DBA"/>
    <w:rsid w:val="001C0F86"/>
    <w:rsid w:val="001C11AD"/>
    <w:rsid w:val="001C130C"/>
    <w:rsid w:val="001C170B"/>
    <w:rsid w:val="001C1AC8"/>
    <w:rsid w:val="001C1B8D"/>
    <w:rsid w:val="001C1CD2"/>
    <w:rsid w:val="001C1D33"/>
    <w:rsid w:val="001C1E25"/>
    <w:rsid w:val="001C1E8B"/>
    <w:rsid w:val="001C2137"/>
    <w:rsid w:val="001C21BB"/>
    <w:rsid w:val="001C2204"/>
    <w:rsid w:val="001C2409"/>
    <w:rsid w:val="001C2718"/>
    <w:rsid w:val="001C293B"/>
    <w:rsid w:val="001C2BC5"/>
    <w:rsid w:val="001C2DE9"/>
    <w:rsid w:val="001C2F45"/>
    <w:rsid w:val="001C2FF6"/>
    <w:rsid w:val="001C2FF9"/>
    <w:rsid w:val="001C3086"/>
    <w:rsid w:val="001C3189"/>
    <w:rsid w:val="001C3393"/>
    <w:rsid w:val="001C36B5"/>
    <w:rsid w:val="001C36C5"/>
    <w:rsid w:val="001C37B5"/>
    <w:rsid w:val="001C380E"/>
    <w:rsid w:val="001C3855"/>
    <w:rsid w:val="001C397A"/>
    <w:rsid w:val="001C39E1"/>
    <w:rsid w:val="001C3AF7"/>
    <w:rsid w:val="001C3B3C"/>
    <w:rsid w:val="001C3C0C"/>
    <w:rsid w:val="001C3FAE"/>
    <w:rsid w:val="001C40A7"/>
    <w:rsid w:val="001C40E1"/>
    <w:rsid w:val="001C4246"/>
    <w:rsid w:val="001C4426"/>
    <w:rsid w:val="001C4869"/>
    <w:rsid w:val="001C494B"/>
    <w:rsid w:val="001C4AAF"/>
    <w:rsid w:val="001C4ADF"/>
    <w:rsid w:val="001C4E13"/>
    <w:rsid w:val="001C4EAB"/>
    <w:rsid w:val="001C4F60"/>
    <w:rsid w:val="001C5073"/>
    <w:rsid w:val="001C5121"/>
    <w:rsid w:val="001C5578"/>
    <w:rsid w:val="001C5BFF"/>
    <w:rsid w:val="001C5DB2"/>
    <w:rsid w:val="001C5E42"/>
    <w:rsid w:val="001C5FD5"/>
    <w:rsid w:val="001C602D"/>
    <w:rsid w:val="001C6257"/>
    <w:rsid w:val="001C63A1"/>
    <w:rsid w:val="001C64AB"/>
    <w:rsid w:val="001C6602"/>
    <w:rsid w:val="001C6668"/>
    <w:rsid w:val="001C6710"/>
    <w:rsid w:val="001C6784"/>
    <w:rsid w:val="001C6A5C"/>
    <w:rsid w:val="001C6AC6"/>
    <w:rsid w:val="001C6BFD"/>
    <w:rsid w:val="001C6D08"/>
    <w:rsid w:val="001C6D3E"/>
    <w:rsid w:val="001C6D71"/>
    <w:rsid w:val="001C7115"/>
    <w:rsid w:val="001C7597"/>
    <w:rsid w:val="001C79EA"/>
    <w:rsid w:val="001C7A19"/>
    <w:rsid w:val="001C7B9E"/>
    <w:rsid w:val="001D01B7"/>
    <w:rsid w:val="001D0470"/>
    <w:rsid w:val="001D06BA"/>
    <w:rsid w:val="001D06CB"/>
    <w:rsid w:val="001D072D"/>
    <w:rsid w:val="001D088A"/>
    <w:rsid w:val="001D0A15"/>
    <w:rsid w:val="001D0C11"/>
    <w:rsid w:val="001D0C6D"/>
    <w:rsid w:val="001D0DC6"/>
    <w:rsid w:val="001D0E85"/>
    <w:rsid w:val="001D0EA8"/>
    <w:rsid w:val="001D0EC1"/>
    <w:rsid w:val="001D0EE5"/>
    <w:rsid w:val="001D0F28"/>
    <w:rsid w:val="001D10D3"/>
    <w:rsid w:val="001D1368"/>
    <w:rsid w:val="001D1561"/>
    <w:rsid w:val="001D1735"/>
    <w:rsid w:val="001D179E"/>
    <w:rsid w:val="001D1892"/>
    <w:rsid w:val="001D1978"/>
    <w:rsid w:val="001D1CE2"/>
    <w:rsid w:val="001D1E0A"/>
    <w:rsid w:val="001D1E7A"/>
    <w:rsid w:val="001D1EEB"/>
    <w:rsid w:val="001D20E8"/>
    <w:rsid w:val="001D20FC"/>
    <w:rsid w:val="001D21DD"/>
    <w:rsid w:val="001D22F0"/>
    <w:rsid w:val="001D23D0"/>
    <w:rsid w:val="001D27B1"/>
    <w:rsid w:val="001D2806"/>
    <w:rsid w:val="001D29A9"/>
    <w:rsid w:val="001D2A51"/>
    <w:rsid w:val="001D2BD6"/>
    <w:rsid w:val="001D2E64"/>
    <w:rsid w:val="001D2F1E"/>
    <w:rsid w:val="001D2FE7"/>
    <w:rsid w:val="001D3047"/>
    <w:rsid w:val="001D336A"/>
    <w:rsid w:val="001D34C8"/>
    <w:rsid w:val="001D3933"/>
    <w:rsid w:val="001D3BDF"/>
    <w:rsid w:val="001D3DD4"/>
    <w:rsid w:val="001D3E8F"/>
    <w:rsid w:val="001D3F99"/>
    <w:rsid w:val="001D40CE"/>
    <w:rsid w:val="001D417E"/>
    <w:rsid w:val="001D41B2"/>
    <w:rsid w:val="001D4283"/>
    <w:rsid w:val="001D436C"/>
    <w:rsid w:val="001D4465"/>
    <w:rsid w:val="001D4528"/>
    <w:rsid w:val="001D4650"/>
    <w:rsid w:val="001D467C"/>
    <w:rsid w:val="001D472B"/>
    <w:rsid w:val="001D4793"/>
    <w:rsid w:val="001D47EA"/>
    <w:rsid w:val="001D48C9"/>
    <w:rsid w:val="001D490B"/>
    <w:rsid w:val="001D4978"/>
    <w:rsid w:val="001D4CB6"/>
    <w:rsid w:val="001D4D0B"/>
    <w:rsid w:val="001D4E4D"/>
    <w:rsid w:val="001D50E0"/>
    <w:rsid w:val="001D5211"/>
    <w:rsid w:val="001D5401"/>
    <w:rsid w:val="001D55BF"/>
    <w:rsid w:val="001D5773"/>
    <w:rsid w:val="001D5788"/>
    <w:rsid w:val="001D57E0"/>
    <w:rsid w:val="001D5916"/>
    <w:rsid w:val="001D59E7"/>
    <w:rsid w:val="001D5AF6"/>
    <w:rsid w:val="001D5B47"/>
    <w:rsid w:val="001D5CD5"/>
    <w:rsid w:val="001D5DA5"/>
    <w:rsid w:val="001D5DA6"/>
    <w:rsid w:val="001D5F35"/>
    <w:rsid w:val="001D5FE3"/>
    <w:rsid w:val="001D605B"/>
    <w:rsid w:val="001D60DB"/>
    <w:rsid w:val="001D61C3"/>
    <w:rsid w:val="001D64AA"/>
    <w:rsid w:val="001D671B"/>
    <w:rsid w:val="001D676D"/>
    <w:rsid w:val="001D68C4"/>
    <w:rsid w:val="001D6A3B"/>
    <w:rsid w:val="001D6AA5"/>
    <w:rsid w:val="001D6B62"/>
    <w:rsid w:val="001D6DBB"/>
    <w:rsid w:val="001D6F4F"/>
    <w:rsid w:val="001D7119"/>
    <w:rsid w:val="001D713B"/>
    <w:rsid w:val="001D722A"/>
    <w:rsid w:val="001D73BB"/>
    <w:rsid w:val="001D7A90"/>
    <w:rsid w:val="001D7B5B"/>
    <w:rsid w:val="001D7B82"/>
    <w:rsid w:val="001D7CCF"/>
    <w:rsid w:val="001D7CEB"/>
    <w:rsid w:val="001D7F18"/>
    <w:rsid w:val="001D7FE3"/>
    <w:rsid w:val="001E00C3"/>
    <w:rsid w:val="001E0347"/>
    <w:rsid w:val="001E03FE"/>
    <w:rsid w:val="001E0720"/>
    <w:rsid w:val="001E0854"/>
    <w:rsid w:val="001E09BA"/>
    <w:rsid w:val="001E0A32"/>
    <w:rsid w:val="001E0B46"/>
    <w:rsid w:val="001E0C5B"/>
    <w:rsid w:val="001E0D4C"/>
    <w:rsid w:val="001E0DF9"/>
    <w:rsid w:val="001E1036"/>
    <w:rsid w:val="001E1438"/>
    <w:rsid w:val="001E180F"/>
    <w:rsid w:val="001E1879"/>
    <w:rsid w:val="001E18D2"/>
    <w:rsid w:val="001E190B"/>
    <w:rsid w:val="001E193E"/>
    <w:rsid w:val="001E19AC"/>
    <w:rsid w:val="001E1AA6"/>
    <w:rsid w:val="001E1B9F"/>
    <w:rsid w:val="001E1E23"/>
    <w:rsid w:val="001E2035"/>
    <w:rsid w:val="001E20C5"/>
    <w:rsid w:val="001E2301"/>
    <w:rsid w:val="001E254A"/>
    <w:rsid w:val="001E2569"/>
    <w:rsid w:val="001E2584"/>
    <w:rsid w:val="001E2738"/>
    <w:rsid w:val="001E2756"/>
    <w:rsid w:val="001E2918"/>
    <w:rsid w:val="001E2A83"/>
    <w:rsid w:val="001E2AAD"/>
    <w:rsid w:val="001E30E6"/>
    <w:rsid w:val="001E3148"/>
    <w:rsid w:val="001E3185"/>
    <w:rsid w:val="001E3504"/>
    <w:rsid w:val="001E386C"/>
    <w:rsid w:val="001E3901"/>
    <w:rsid w:val="001E39C4"/>
    <w:rsid w:val="001E3A61"/>
    <w:rsid w:val="001E3C55"/>
    <w:rsid w:val="001E3E39"/>
    <w:rsid w:val="001E40CF"/>
    <w:rsid w:val="001E415D"/>
    <w:rsid w:val="001E4169"/>
    <w:rsid w:val="001E4297"/>
    <w:rsid w:val="001E429E"/>
    <w:rsid w:val="001E42E5"/>
    <w:rsid w:val="001E4A34"/>
    <w:rsid w:val="001E4AD7"/>
    <w:rsid w:val="001E4D95"/>
    <w:rsid w:val="001E4DC8"/>
    <w:rsid w:val="001E4EB3"/>
    <w:rsid w:val="001E4F0C"/>
    <w:rsid w:val="001E4F1F"/>
    <w:rsid w:val="001E5012"/>
    <w:rsid w:val="001E512B"/>
    <w:rsid w:val="001E5190"/>
    <w:rsid w:val="001E5193"/>
    <w:rsid w:val="001E53AA"/>
    <w:rsid w:val="001E5442"/>
    <w:rsid w:val="001E5462"/>
    <w:rsid w:val="001E5663"/>
    <w:rsid w:val="001E58C8"/>
    <w:rsid w:val="001E5963"/>
    <w:rsid w:val="001E5A91"/>
    <w:rsid w:val="001E5B2A"/>
    <w:rsid w:val="001E5C88"/>
    <w:rsid w:val="001E5E92"/>
    <w:rsid w:val="001E5F1C"/>
    <w:rsid w:val="001E611A"/>
    <w:rsid w:val="001E6418"/>
    <w:rsid w:val="001E64A6"/>
    <w:rsid w:val="001E66BD"/>
    <w:rsid w:val="001E69D3"/>
    <w:rsid w:val="001E6A1D"/>
    <w:rsid w:val="001E6D5A"/>
    <w:rsid w:val="001E6DFA"/>
    <w:rsid w:val="001E6E9C"/>
    <w:rsid w:val="001E6F43"/>
    <w:rsid w:val="001E6F6E"/>
    <w:rsid w:val="001E7066"/>
    <w:rsid w:val="001E72EB"/>
    <w:rsid w:val="001E72F4"/>
    <w:rsid w:val="001E72F5"/>
    <w:rsid w:val="001E74B9"/>
    <w:rsid w:val="001E7562"/>
    <w:rsid w:val="001E76CE"/>
    <w:rsid w:val="001E76E0"/>
    <w:rsid w:val="001E7833"/>
    <w:rsid w:val="001E78C1"/>
    <w:rsid w:val="001E795C"/>
    <w:rsid w:val="001E7C94"/>
    <w:rsid w:val="001E7F57"/>
    <w:rsid w:val="001F0043"/>
    <w:rsid w:val="001F016D"/>
    <w:rsid w:val="001F01C1"/>
    <w:rsid w:val="001F020A"/>
    <w:rsid w:val="001F02B9"/>
    <w:rsid w:val="001F04A6"/>
    <w:rsid w:val="001F04DC"/>
    <w:rsid w:val="001F08AF"/>
    <w:rsid w:val="001F0D6E"/>
    <w:rsid w:val="001F0FA1"/>
    <w:rsid w:val="001F0FFF"/>
    <w:rsid w:val="001F103E"/>
    <w:rsid w:val="001F10F6"/>
    <w:rsid w:val="001F110F"/>
    <w:rsid w:val="001F1188"/>
    <w:rsid w:val="001F1B6D"/>
    <w:rsid w:val="001F1EB9"/>
    <w:rsid w:val="001F1F23"/>
    <w:rsid w:val="001F1F3A"/>
    <w:rsid w:val="001F1FEC"/>
    <w:rsid w:val="001F2027"/>
    <w:rsid w:val="001F20B7"/>
    <w:rsid w:val="001F211A"/>
    <w:rsid w:val="001F21D7"/>
    <w:rsid w:val="001F2332"/>
    <w:rsid w:val="001F23BF"/>
    <w:rsid w:val="001F25DF"/>
    <w:rsid w:val="001F2744"/>
    <w:rsid w:val="001F28EB"/>
    <w:rsid w:val="001F2A58"/>
    <w:rsid w:val="001F2ADD"/>
    <w:rsid w:val="001F2B01"/>
    <w:rsid w:val="001F2B1D"/>
    <w:rsid w:val="001F2B76"/>
    <w:rsid w:val="001F2BB1"/>
    <w:rsid w:val="001F2CF7"/>
    <w:rsid w:val="001F2F3F"/>
    <w:rsid w:val="001F31B2"/>
    <w:rsid w:val="001F35C4"/>
    <w:rsid w:val="001F368E"/>
    <w:rsid w:val="001F3A8D"/>
    <w:rsid w:val="001F3CD6"/>
    <w:rsid w:val="001F3CE0"/>
    <w:rsid w:val="001F3E62"/>
    <w:rsid w:val="001F3FB3"/>
    <w:rsid w:val="001F41BA"/>
    <w:rsid w:val="001F437D"/>
    <w:rsid w:val="001F43C5"/>
    <w:rsid w:val="001F471C"/>
    <w:rsid w:val="001F474F"/>
    <w:rsid w:val="001F47B4"/>
    <w:rsid w:val="001F489E"/>
    <w:rsid w:val="001F4A2A"/>
    <w:rsid w:val="001F4A96"/>
    <w:rsid w:val="001F4AAA"/>
    <w:rsid w:val="001F4AFA"/>
    <w:rsid w:val="001F4C6A"/>
    <w:rsid w:val="001F4D24"/>
    <w:rsid w:val="001F4E79"/>
    <w:rsid w:val="001F4F12"/>
    <w:rsid w:val="001F4F81"/>
    <w:rsid w:val="001F5114"/>
    <w:rsid w:val="001F51C7"/>
    <w:rsid w:val="001F52B9"/>
    <w:rsid w:val="001F52C3"/>
    <w:rsid w:val="001F532F"/>
    <w:rsid w:val="001F5584"/>
    <w:rsid w:val="001F559C"/>
    <w:rsid w:val="001F5635"/>
    <w:rsid w:val="001F56F6"/>
    <w:rsid w:val="001F57AE"/>
    <w:rsid w:val="001F5B9C"/>
    <w:rsid w:val="001F5BE5"/>
    <w:rsid w:val="001F5C09"/>
    <w:rsid w:val="001F5E88"/>
    <w:rsid w:val="001F6078"/>
    <w:rsid w:val="001F6274"/>
    <w:rsid w:val="001F643E"/>
    <w:rsid w:val="001F6581"/>
    <w:rsid w:val="001F6641"/>
    <w:rsid w:val="001F685A"/>
    <w:rsid w:val="001F68F8"/>
    <w:rsid w:val="001F6A25"/>
    <w:rsid w:val="001F6A8C"/>
    <w:rsid w:val="001F6C13"/>
    <w:rsid w:val="001F6CA3"/>
    <w:rsid w:val="001F6EA5"/>
    <w:rsid w:val="001F6F8A"/>
    <w:rsid w:val="001F7073"/>
    <w:rsid w:val="001F7085"/>
    <w:rsid w:val="001F776E"/>
    <w:rsid w:val="001F782B"/>
    <w:rsid w:val="001F7889"/>
    <w:rsid w:val="001F7943"/>
    <w:rsid w:val="001F7B01"/>
    <w:rsid w:val="001F7C4F"/>
    <w:rsid w:val="001F7CEE"/>
    <w:rsid w:val="001F7D7A"/>
    <w:rsid w:val="0020000D"/>
    <w:rsid w:val="00200138"/>
    <w:rsid w:val="00200163"/>
    <w:rsid w:val="002003E8"/>
    <w:rsid w:val="002006F2"/>
    <w:rsid w:val="002007CC"/>
    <w:rsid w:val="0020080F"/>
    <w:rsid w:val="002008D9"/>
    <w:rsid w:val="0020090B"/>
    <w:rsid w:val="00200979"/>
    <w:rsid w:val="00200B60"/>
    <w:rsid w:val="00200D6D"/>
    <w:rsid w:val="00200EC2"/>
    <w:rsid w:val="00200ED0"/>
    <w:rsid w:val="00200FA3"/>
    <w:rsid w:val="002010A9"/>
    <w:rsid w:val="0020118B"/>
    <w:rsid w:val="00201474"/>
    <w:rsid w:val="002017A3"/>
    <w:rsid w:val="00201975"/>
    <w:rsid w:val="00201A5B"/>
    <w:rsid w:val="00201CD1"/>
    <w:rsid w:val="00201E30"/>
    <w:rsid w:val="00201E9E"/>
    <w:rsid w:val="00201EC3"/>
    <w:rsid w:val="00201F9B"/>
    <w:rsid w:val="00201FFC"/>
    <w:rsid w:val="002023BC"/>
    <w:rsid w:val="00202580"/>
    <w:rsid w:val="0020287F"/>
    <w:rsid w:val="00202927"/>
    <w:rsid w:val="00202A10"/>
    <w:rsid w:val="00202AA2"/>
    <w:rsid w:val="00202AB3"/>
    <w:rsid w:val="00202B3C"/>
    <w:rsid w:val="00202B83"/>
    <w:rsid w:val="00202C55"/>
    <w:rsid w:val="00202ED4"/>
    <w:rsid w:val="00202F18"/>
    <w:rsid w:val="0020336A"/>
    <w:rsid w:val="0020368B"/>
    <w:rsid w:val="002037C2"/>
    <w:rsid w:val="002038B4"/>
    <w:rsid w:val="002039F8"/>
    <w:rsid w:val="00203B5F"/>
    <w:rsid w:val="00203B80"/>
    <w:rsid w:val="00203C0A"/>
    <w:rsid w:val="00203D1A"/>
    <w:rsid w:val="00203E80"/>
    <w:rsid w:val="0020429B"/>
    <w:rsid w:val="002042B4"/>
    <w:rsid w:val="002042BD"/>
    <w:rsid w:val="002042F9"/>
    <w:rsid w:val="002043E0"/>
    <w:rsid w:val="00204524"/>
    <w:rsid w:val="0020458D"/>
    <w:rsid w:val="002047BE"/>
    <w:rsid w:val="00204816"/>
    <w:rsid w:val="00204A95"/>
    <w:rsid w:val="00204B8D"/>
    <w:rsid w:val="00204D66"/>
    <w:rsid w:val="00204DB5"/>
    <w:rsid w:val="00204F94"/>
    <w:rsid w:val="00205023"/>
    <w:rsid w:val="00205026"/>
    <w:rsid w:val="002050E3"/>
    <w:rsid w:val="0020542D"/>
    <w:rsid w:val="0020562B"/>
    <w:rsid w:val="002058A4"/>
    <w:rsid w:val="00205A15"/>
    <w:rsid w:val="00205B66"/>
    <w:rsid w:val="00205F40"/>
    <w:rsid w:val="002064A8"/>
    <w:rsid w:val="002064B4"/>
    <w:rsid w:val="00206570"/>
    <w:rsid w:val="00206639"/>
    <w:rsid w:val="0020676C"/>
    <w:rsid w:val="0020688C"/>
    <w:rsid w:val="002068CC"/>
    <w:rsid w:val="00206A96"/>
    <w:rsid w:val="00206AB6"/>
    <w:rsid w:val="00206C3D"/>
    <w:rsid w:val="00206D70"/>
    <w:rsid w:val="00207113"/>
    <w:rsid w:val="0020727B"/>
    <w:rsid w:val="00207296"/>
    <w:rsid w:val="002073DD"/>
    <w:rsid w:val="00207544"/>
    <w:rsid w:val="00207808"/>
    <w:rsid w:val="00207B7F"/>
    <w:rsid w:val="00207B9E"/>
    <w:rsid w:val="00207E59"/>
    <w:rsid w:val="00207EF9"/>
    <w:rsid w:val="0021030C"/>
    <w:rsid w:val="002103EE"/>
    <w:rsid w:val="00210454"/>
    <w:rsid w:val="0021045C"/>
    <w:rsid w:val="00210490"/>
    <w:rsid w:val="00210612"/>
    <w:rsid w:val="0021077F"/>
    <w:rsid w:val="00210C28"/>
    <w:rsid w:val="00210E90"/>
    <w:rsid w:val="00211059"/>
    <w:rsid w:val="002112B9"/>
    <w:rsid w:val="00211553"/>
    <w:rsid w:val="0021157E"/>
    <w:rsid w:val="002116E7"/>
    <w:rsid w:val="002119DA"/>
    <w:rsid w:val="00211B85"/>
    <w:rsid w:val="00211BA6"/>
    <w:rsid w:val="00211CAA"/>
    <w:rsid w:val="00211D7E"/>
    <w:rsid w:val="00211DBD"/>
    <w:rsid w:val="00211E44"/>
    <w:rsid w:val="00211E78"/>
    <w:rsid w:val="00212067"/>
    <w:rsid w:val="002120B7"/>
    <w:rsid w:val="0021233A"/>
    <w:rsid w:val="00212493"/>
    <w:rsid w:val="00212519"/>
    <w:rsid w:val="00212555"/>
    <w:rsid w:val="0021272D"/>
    <w:rsid w:val="00212851"/>
    <w:rsid w:val="002128B5"/>
    <w:rsid w:val="002128E0"/>
    <w:rsid w:val="00212917"/>
    <w:rsid w:val="00212A74"/>
    <w:rsid w:val="00212B2F"/>
    <w:rsid w:val="00212BE4"/>
    <w:rsid w:val="00212CCE"/>
    <w:rsid w:val="00213375"/>
    <w:rsid w:val="0021339B"/>
    <w:rsid w:val="0021351C"/>
    <w:rsid w:val="002136C7"/>
    <w:rsid w:val="00213758"/>
    <w:rsid w:val="002137E7"/>
    <w:rsid w:val="002138EB"/>
    <w:rsid w:val="00213B31"/>
    <w:rsid w:val="00213C00"/>
    <w:rsid w:val="00213F3F"/>
    <w:rsid w:val="002140B2"/>
    <w:rsid w:val="0021410B"/>
    <w:rsid w:val="002141CA"/>
    <w:rsid w:val="00214283"/>
    <w:rsid w:val="00214359"/>
    <w:rsid w:val="00214543"/>
    <w:rsid w:val="00214845"/>
    <w:rsid w:val="002148F3"/>
    <w:rsid w:val="002149B8"/>
    <w:rsid w:val="00214B21"/>
    <w:rsid w:val="00214C96"/>
    <w:rsid w:val="00214D99"/>
    <w:rsid w:val="00214E8E"/>
    <w:rsid w:val="00214E9B"/>
    <w:rsid w:val="00214FCF"/>
    <w:rsid w:val="002153F5"/>
    <w:rsid w:val="0021566B"/>
    <w:rsid w:val="0021574D"/>
    <w:rsid w:val="00215C95"/>
    <w:rsid w:val="00215DBB"/>
    <w:rsid w:val="00216080"/>
    <w:rsid w:val="002162D1"/>
    <w:rsid w:val="0021636C"/>
    <w:rsid w:val="00216545"/>
    <w:rsid w:val="00216574"/>
    <w:rsid w:val="00216684"/>
    <w:rsid w:val="00216743"/>
    <w:rsid w:val="002168B2"/>
    <w:rsid w:val="00216C86"/>
    <w:rsid w:val="00216CB3"/>
    <w:rsid w:val="00216CEC"/>
    <w:rsid w:val="00216CEF"/>
    <w:rsid w:val="00216E35"/>
    <w:rsid w:val="00216EEC"/>
    <w:rsid w:val="00216F7F"/>
    <w:rsid w:val="00217038"/>
    <w:rsid w:val="002170B4"/>
    <w:rsid w:val="002171AC"/>
    <w:rsid w:val="002171CF"/>
    <w:rsid w:val="00217211"/>
    <w:rsid w:val="002175DB"/>
    <w:rsid w:val="002177BC"/>
    <w:rsid w:val="0021799F"/>
    <w:rsid w:val="00217A03"/>
    <w:rsid w:val="00217A60"/>
    <w:rsid w:val="00217C5A"/>
    <w:rsid w:val="00217D2A"/>
    <w:rsid w:val="00217E45"/>
    <w:rsid w:val="00217E48"/>
    <w:rsid w:val="0022013F"/>
    <w:rsid w:val="002202AD"/>
    <w:rsid w:val="0022045F"/>
    <w:rsid w:val="00220582"/>
    <w:rsid w:val="0022058B"/>
    <w:rsid w:val="0022058F"/>
    <w:rsid w:val="0022075D"/>
    <w:rsid w:val="002207B0"/>
    <w:rsid w:val="002207D3"/>
    <w:rsid w:val="00220DA7"/>
    <w:rsid w:val="00220F1E"/>
    <w:rsid w:val="00220FBE"/>
    <w:rsid w:val="00221236"/>
    <w:rsid w:val="0022125E"/>
    <w:rsid w:val="002212F6"/>
    <w:rsid w:val="00221330"/>
    <w:rsid w:val="0022149C"/>
    <w:rsid w:val="00221572"/>
    <w:rsid w:val="0022169D"/>
    <w:rsid w:val="002218E0"/>
    <w:rsid w:val="00221B06"/>
    <w:rsid w:val="00221C03"/>
    <w:rsid w:val="00221D0F"/>
    <w:rsid w:val="00221D8F"/>
    <w:rsid w:val="0022200A"/>
    <w:rsid w:val="002220D8"/>
    <w:rsid w:val="002220DD"/>
    <w:rsid w:val="002223A2"/>
    <w:rsid w:val="002223EE"/>
    <w:rsid w:val="0022263C"/>
    <w:rsid w:val="00222657"/>
    <w:rsid w:val="00222721"/>
    <w:rsid w:val="00222724"/>
    <w:rsid w:val="002228C7"/>
    <w:rsid w:val="00222B31"/>
    <w:rsid w:val="00222DA2"/>
    <w:rsid w:val="00222DC2"/>
    <w:rsid w:val="00222EAF"/>
    <w:rsid w:val="00222FB2"/>
    <w:rsid w:val="0022312E"/>
    <w:rsid w:val="00223158"/>
    <w:rsid w:val="00223213"/>
    <w:rsid w:val="00223231"/>
    <w:rsid w:val="002232F8"/>
    <w:rsid w:val="00223582"/>
    <w:rsid w:val="00223623"/>
    <w:rsid w:val="00223B0F"/>
    <w:rsid w:val="00223C24"/>
    <w:rsid w:val="00223F52"/>
    <w:rsid w:val="002240E0"/>
    <w:rsid w:val="0022419B"/>
    <w:rsid w:val="00224254"/>
    <w:rsid w:val="0022439F"/>
    <w:rsid w:val="00224413"/>
    <w:rsid w:val="002244B9"/>
    <w:rsid w:val="002245AA"/>
    <w:rsid w:val="00224709"/>
    <w:rsid w:val="00224879"/>
    <w:rsid w:val="00224A99"/>
    <w:rsid w:val="00224C49"/>
    <w:rsid w:val="00224D3F"/>
    <w:rsid w:val="00224E9C"/>
    <w:rsid w:val="00225075"/>
    <w:rsid w:val="002250C5"/>
    <w:rsid w:val="002252B0"/>
    <w:rsid w:val="002253D2"/>
    <w:rsid w:val="0022547E"/>
    <w:rsid w:val="002254CC"/>
    <w:rsid w:val="00225604"/>
    <w:rsid w:val="00225639"/>
    <w:rsid w:val="00225779"/>
    <w:rsid w:val="002258FA"/>
    <w:rsid w:val="00225925"/>
    <w:rsid w:val="00225A5E"/>
    <w:rsid w:val="00225AEE"/>
    <w:rsid w:val="00225C6A"/>
    <w:rsid w:val="00225DBF"/>
    <w:rsid w:val="00225ED7"/>
    <w:rsid w:val="00225F4C"/>
    <w:rsid w:val="00226042"/>
    <w:rsid w:val="00226103"/>
    <w:rsid w:val="002261CB"/>
    <w:rsid w:val="002264BA"/>
    <w:rsid w:val="0022652E"/>
    <w:rsid w:val="002265E3"/>
    <w:rsid w:val="002265F5"/>
    <w:rsid w:val="0022662B"/>
    <w:rsid w:val="0022668C"/>
    <w:rsid w:val="00226720"/>
    <w:rsid w:val="00226753"/>
    <w:rsid w:val="00226A18"/>
    <w:rsid w:val="00226A73"/>
    <w:rsid w:val="00226AD8"/>
    <w:rsid w:val="00226B55"/>
    <w:rsid w:val="00226F0D"/>
    <w:rsid w:val="002270D9"/>
    <w:rsid w:val="002271B9"/>
    <w:rsid w:val="002275D0"/>
    <w:rsid w:val="00227642"/>
    <w:rsid w:val="002276C7"/>
    <w:rsid w:val="00227836"/>
    <w:rsid w:val="00227867"/>
    <w:rsid w:val="00227A05"/>
    <w:rsid w:val="00227DA7"/>
    <w:rsid w:val="0023002E"/>
    <w:rsid w:val="00230184"/>
    <w:rsid w:val="002301E5"/>
    <w:rsid w:val="00230658"/>
    <w:rsid w:val="0023070B"/>
    <w:rsid w:val="0023074C"/>
    <w:rsid w:val="0023080D"/>
    <w:rsid w:val="00230859"/>
    <w:rsid w:val="002309A7"/>
    <w:rsid w:val="00230B5A"/>
    <w:rsid w:val="00230BA5"/>
    <w:rsid w:val="00230D0A"/>
    <w:rsid w:val="00230DCA"/>
    <w:rsid w:val="00230F83"/>
    <w:rsid w:val="00231102"/>
    <w:rsid w:val="00231118"/>
    <w:rsid w:val="00231206"/>
    <w:rsid w:val="0023122F"/>
    <w:rsid w:val="00231840"/>
    <w:rsid w:val="002319E2"/>
    <w:rsid w:val="00231A3D"/>
    <w:rsid w:val="00231BFB"/>
    <w:rsid w:val="00231C2D"/>
    <w:rsid w:val="00231F01"/>
    <w:rsid w:val="00231FB8"/>
    <w:rsid w:val="00231FF0"/>
    <w:rsid w:val="002320CB"/>
    <w:rsid w:val="002320FC"/>
    <w:rsid w:val="00232122"/>
    <w:rsid w:val="00232209"/>
    <w:rsid w:val="002322C3"/>
    <w:rsid w:val="00232318"/>
    <w:rsid w:val="0023234A"/>
    <w:rsid w:val="002323D4"/>
    <w:rsid w:val="002323E9"/>
    <w:rsid w:val="00232769"/>
    <w:rsid w:val="00232778"/>
    <w:rsid w:val="00232AD8"/>
    <w:rsid w:val="00232AE4"/>
    <w:rsid w:val="00232BB9"/>
    <w:rsid w:val="00232BE8"/>
    <w:rsid w:val="00232DE4"/>
    <w:rsid w:val="00232EF4"/>
    <w:rsid w:val="00232FF7"/>
    <w:rsid w:val="002331E7"/>
    <w:rsid w:val="0023322F"/>
    <w:rsid w:val="00233395"/>
    <w:rsid w:val="00233562"/>
    <w:rsid w:val="002339CB"/>
    <w:rsid w:val="00233A18"/>
    <w:rsid w:val="00233A68"/>
    <w:rsid w:val="00233A74"/>
    <w:rsid w:val="00233B18"/>
    <w:rsid w:val="00233B1E"/>
    <w:rsid w:val="00233BC3"/>
    <w:rsid w:val="00233CB5"/>
    <w:rsid w:val="00233CF0"/>
    <w:rsid w:val="00233E22"/>
    <w:rsid w:val="00233F78"/>
    <w:rsid w:val="00234001"/>
    <w:rsid w:val="00234100"/>
    <w:rsid w:val="00234127"/>
    <w:rsid w:val="0023413B"/>
    <w:rsid w:val="002342E6"/>
    <w:rsid w:val="002343BF"/>
    <w:rsid w:val="00234635"/>
    <w:rsid w:val="00234BDB"/>
    <w:rsid w:val="00234C6E"/>
    <w:rsid w:val="00234CA8"/>
    <w:rsid w:val="00234CB1"/>
    <w:rsid w:val="00234D8E"/>
    <w:rsid w:val="00235030"/>
    <w:rsid w:val="00235349"/>
    <w:rsid w:val="00235366"/>
    <w:rsid w:val="00235388"/>
    <w:rsid w:val="002354D7"/>
    <w:rsid w:val="002358D3"/>
    <w:rsid w:val="002359C5"/>
    <w:rsid w:val="00235A6C"/>
    <w:rsid w:val="00235AA5"/>
    <w:rsid w:val="00235AB5"/>
    <w:rsid w:val="00235C54"/>
    <w:rsid w:val="00235C6A"/>
    <w:rsid w:val="00235C8E"/>
    <w:rsid w:val="00235D85"/>
    <w:rsid w:val="00235E9C"/>
    <w:rsid w:val="00235F01"/>
    <w:rsid w:val="0023625D"/>
    <w:rsid w:val="00236379"/>
    <w:rsid w:val="002365AD"/>
    <w:rsid w:val="002365B1"/>
    <w:rsid w:val="00236B4B"/>
    <w:rsid w:val="00236E1D"/>
    <w:rsid w:val="00237395"/>
    <w:rsid w:val="002374CB"/>
    <w:rsid w:val="002374EA"/>
    <w:rsid w:val="00237535"/>
    <w:rsid w:val="00237553"/>
    <w:rsid w:val="00237651"/>
    <w:rsid w:val="00237689"/>
    <w:rsid w:val="002377AE"/>
    <w:rsid w:val="00237869"/>
    <w:rsid w:val="002378A0"/>
    <w:rsid w:val="00237CE5"/>
    <w:rsid w:val="00237DE0"/>
    <w:rsid w:val="00237EBE"/>
    <w:rsid w:val="00237F1B"/>
    <w:rsid w:val="00237FC6"/>
    <w:rsid w:val="00240097"/>
    <w:rsid w:val="00240356"/>
    <w:rsid w:val="00240388"/>
    <w:rsid w:val="002403D2"/>
    <w:rsid w:val="0024069B"/>
    <w:rsid w:val="0024069D"/>
    <w:rsid w:val="00240739"/>
    <w:rsid w:val="00240A26"/>
    <w:rsid w:val="00240A49"/>
    <w:rsid w:val="00240ADA"/>
    <w:rsid w:val="00240B4E"/>
    <w:rsid w:val="00240C8E"/>
    <w:rsid w:val="00240C90"/>
    <w:rsid w:val="00240D40"/>
    <w:rsid w:val="00240E53"/>
    <w:rsid w:val="00240F5B"/>
    <w:rsid w:val="002410C4"/>
    <w:rsid w:val="00241105"/>
    <w:rsid w:val="00241702"/>
    <w:rsid w:val="00241767"/>
    <w:rsid w:val="0024191A"/>
    <w:rsid w:val="0024193A"/>
    <w:rsid w:val="00241C91"/>
    <w:rsid w:val="00241D0E"/>
    <w:rsid w:val="00241E03"/>
    <w:rsid w:val="00241E12"/>
    <w:rsid w:val="00241F14"/>
    <w:rsid w:val="00241FA5"/>
    <w:rsid w:val="00242459"/>
    <w:rsid w:val="0024249B"/>
    <w:rsid w:val="0024261B"/>
    <w:rsid w:val="0024281E"/>
    <w:rsid w:val="00242856"/>
    <w:rsid w:val="00242B72"/>
    <w:rsid w:val="00242D46"/>
    <w:rsid w:val="00242F0C"/>
    <w:rsid w:val="00242F27"/>
    <w:rsid w:val="00243019"/>
    <w:rsid w:val="0024308A"/>
    <w:rsid w:val="002430D7"/>
    <w:rsid w:val="002430E7"/>
    <w:rsid w:val="002431CD"/>
    <w:rsid w:val="0024320D"/>
    <w:rsid w:val="002434B3"/>
    <w:rsid w:val="00243774"/>
    <w:rsid w:val="00243AB6"/>
    <w:rsid w:val="00243B85"/>
    <w:rsid w:val="00243D97"/>
    <w:rsid w:val="00243DA7"/>
    <w:rsid w:val="00243E87"/>
    <w:rsid w:val="00243F6C"/>
    <w:rsid w:val="0024413F"/>
    <w:rsid w:val="00244149"/>
    <w:rsid w:val="00244176"/>
    <w:rsid w:val="002443BA"/>
    <w:rsid w:val="002446A2"/>
    <w:rsid w:val="002447CD"/>
    <w:rsid w:val="00244B66"/>
    <w:rsid w:val="00244DF7"/>
    <w:rsid w:val="00244E4E"/>
    <w:rsid w:val="00244F17"/>
    <w:rsid w:val="00244F87"/>
    <w:rsid w:val="00245054"/>
    <w:rsid w:val="00245168"/>
    <w:rsid w:val="00245422"/>
    <w:rsid w:val="00245611"/>
    <w:rsid w:val="00245677"/>
    <w:rsid w:val="00245723"/>
    <w:rsid w:val="0024595F"/>
    <w:rsid w:val="00245AE3"/>
    <w:rsid w:val="00245B63"/>
    <w:rsid w:val="002461A2"/>
    <w:rsid w:val="002461D5"/>
    <w:rsid w:val="00246560"/>
    <w:rsid w:val="002466A5"/>
    <w:rsid w:val="002466F7"/>
    <w:rsid w:val="002469FD"/>
    <w:rsid w:val="00246A3C"/>
    <w:rsid w:val="00246A52"/>
    <w:rsid w:val="00246ACE"/>
    <w:rsid w:val="00246B5C"/>
    <w:rsid w:val="00246D44"/>
    <w:rsid w:val="00246EA5"/>
    <w:rsid w:val="00246EC9"/>
    <w:rsid w:val="00246FCB"/>
    <w:rsid w:val="002470FA"/>
    <w:rsid w:val="002473B6"/>
    <w:rsid w:val="00247477"/>
    <w:rsid w:val="002474E5"/>
    <w:rsid w:val="002475E3"/>
    <w:rsid w:val="00247608"/>
    <w:rsid w:val="0024763D"/>
    <w:rsid w:val="002476C8"/>
    <w:rsid w:val="0024781D"/>
    <w:rsid w:val="00247979"/>
    <w:rsid w:val="00247EB4"/>
    <w:rsid w:val="0025007B"/>
    <w:rsid w:val="002500C8"/>
    <w:rsid w:val="0025042C"/>
    <w:rsid w:val="0025045E"/>
    <w:rsid w:val="0025046D"/>
    <w:rsid w:val="00250E64"/>
    <w:rsid w:val="00250FE1"/>
    <w:rsid w:val="00251397"/>
    <w:rsid w:val="0025143E"/>
    <w:rsid w:val="00251486"/>
    <w:rsid w:val="00251511"/>
    <w:rsid w:val="0025162A"/>
    <w:rsid w:val="00251677"/>
    <w:rsid w:val="00251978"/>
    <w:rsid w:val="00251A95"/>
    <w:rsid w:val="00251CE8"/>
    <w:rsid w:val="0025202B"/>
    <w:rsid w:val="0025206F"/>
    <w:rsid w:val="002520B7"/>
    <w:rsid w:val="00252111"/>
    <w:rsid w:val="002521F1"/>
    <w:rsid w:val="002523F6"/>
    <w:rsid w:val="00252421"/>
    <w:rsid w:val="0025243D"/>
    <w:rsid w:val="00252862"/>
    <w:rsid w:val="00252956"/>
    <w:rsid w:val="00252A7D"/>
    <w:rsid w:val="00252C04"/>
    <w:rsid w:val="00252C9E"/>
    <w:rsid w:val="00252DAB"/>
    <w:rsid w:val="00252EE9"/>
    <w:rsid w:val="00252F30"/>
    <w:rsid w:val="00252FE4"/>
    <w:rsid w:val="00253033"/>
    <w:rsid w:val="002530A6"/>
    <w:rsid w:val="00253392"/>
    <w:rsid w:val="0025349B"/>
    <w:rsid w:val="0025357C"/>
    <w:rsid w:val="00253791"/>
    <w:rsid w:val="0025391D"/>
    <w:rsid w:val="00253B27"/>
    <w:rsid w:val="00253B77"/>
    <w:rsid w:val="00253ECE"/>
    <w:rsid w:val="002542E2"/>
    <w:rsid w:val="0025435B"/>
    <w:rsid w:val="002548CE"/>
    <w:rsid w:val="0025494B"/>
    <w:rsid w:val="002549E7"/>
    <w:rsid w:val="00254B7D"/>
    <w:rsid w:val="00254BA9"/>
    <w:rsid w:val="00254EA9"/>
    <w:rsid w:val="00254F01"/>
    <w:rsid w:val="00254F29"/>
    <w:rsid w:val="00255025"/>
    <w:rsid w:val="0025503B"/>
    <w:rsid w:val="00255043"/>
    <w:rsid w:val="002550C4"/>
    <w:rsid w:val="002556D4"/>
    <w:rsid w:val="00255721"/>
    <w:rsid w:val="00255B4D"/>
    <w:rsid w:val="00255BCC"/>
    <w:rsid w:val="00255D03"/>
    <w:rsid w:val="00255D0E"/>
    <w:rsid w:val="00255DDE"/>
    <w:rsid w:val="00255E82"/>
    <w:rsid w:val="00256013"/>
    <w:rsid w:val="002561A6"/>
    <w:rsid w:val="002561A9"/>
    <w:rsid w:val="00256227"/>
    <w:rsid w:val="002562A6"/>
    <w:rsid w:val="002564C7"/>
    <w:rsid w:val="00256500"/>
    <w:rsid w:val="00256551"/>
    <w:rsid w:val="00256B86"/>
    <w:rsid w:val="00256C45"/>
    <w:rsid w:val="00256F79"/>
    <w:rsid w:val="002573DA"/>
    <w:rsid w:val="00257506"/>
    <w:rsid w:val="0025758F"/>
    <w:rsid w:val="002576CA"/>
    <w:rsid w:val="002576E9"/>
    <w:rsid w:val="002576EF"/>
    <w:rsid w:val="002577AD"/>
    <w:rsid w:val="002578F2"/>
    <w:rsid w:val="00257971"/>
    <w:rsid w:val="002579A1"/>
    <w:rsid w:val="00257ABD"/>
    <w:rsid w:val="00257AE2"/>
    <w:rsid w:val="00257BBC"/>
    <w:rsid w:val="00257BC1"/>
    <w:rsid w:val="00257C54"/>
    <w:rsid w:val="00257D58"/>
    <w:rsid w:val="00257FEF"/>
    <w:rsid w:val="0026025C"/>
    <w:rsid w:val="002602D4"/>
    <w:rsid w:val="0026032F"/>
    <w:rsid w:val="0026060D"/>
    <w:rsid w:val="002606E6"/>
    <w:rsid w:val="00260701"/>
    <w:rsid w:val="002609AB"/>
    <w:rsid w:val="00260C1B"/>
    <w:rsid w:val="00260C6F"/>
    <w:rsid w:val="00260F69"/>
    <w:rsid w:val="00260FCE"/>
    <w:rsid w:val="0026100D"/>
    <w:rsid w:val="00261015"/>
    <w:rsid w:val="0026102E"/>
    <w:rsid w:val="002612D1"/>
    <w:rsid w:val="002614FB"/>
    <w:rsid w:val="00261693"/>
    <w:rsid w:val="00261BA9"/>
    <w:rsid w:val="00261BD3"/>
    <w:rsid w:val="00261BE4"/>
    <w:rsid w:val="00261D62"/>
    <w:rsid w:val="00261D82"/>
    <w:rsid w:val="00261DF2"/>
    <w:rsid w:val="00261EB5"/>
    <w:rsid w:val="00262085"/>
    <w:rsid w:val="002620C7"/>
    <w:rsid w:val="00262158"/>
    <w:rsid w:val="0026234D"/>
    <w:rsid w:val="002623DD"/>
    <w:rsid w:val="00262431"/>
    <w:rsid w:val="00262446"/>
    <w:rsid w:val="00262679"/>
    <w:rsid w:val="002627DB"/>
    <w:rsid w:val="00262A20"/>
    <w:rsid w:val="00262A24"/>
    <w:rsid w:val="00262BA8"/>
    <w:rsid w:val="00262BAE"/>
    <w:rsid w:val="00262BF1"/>
    <w:rsid w:val="00262C6B"/>
    <w:rsid w:val="00262C9F"/>
    <w:rsid w:val="00262DE1"/>
    <w:rsid w:val="0026370B"/>
    <w:rsid w:val="002638DF"/>
    <w:rsid w:val="0026394B"/>
    <w:rsid w:val="00263CB7"/>
    <w:rsid w:val="00263D54"/>
    <w:rsid w:val="0026412B"/>
    <w:rsid w:val="00264229"/>
    <w:rsid w:val="002644E3"/>
    <w:rsid w:val="002645D1"/>
    <w:rsid w:val="00264628"/>
    <w:rsid w:val="002646C2"/>
    <w:rsid w:val="00264BF0"/>
    <w:rsid w:val="00264C88"/>
    <w:rsid w:val="00264DE6"/>
    <w:rsid w:val="00264E33"/>
    <w:rsid w:val="00264F35"/>
    <w:rsid w:val="00264F36"/>
    <w:rsid w:val="00264FB0"/>
    <w:rsid w:val="0026513A"/>
    <w:rsid w:val="00265183"/>
    <w:rsid w:val="002651FB"/>
    <w:rsid w:val="0026527F"/>
    <w:rsid w:val="00265489"/>
    <w:rsid w:val="002655B6"/>
    <w:rsid w:val="00265618"/>
    <w:rsid w:val="002656CA"/>
    <w:rsid w:val="002657B9"/>
    <w:rsid w:val="00265A01"/>
    <w:rsid w:val="00265A4F"/>
    <w:rsid w:val="00265B45"/>
    <w:rsid w:val="00265C66"/>
    <w:rsid w:val="00265D0F"/>
    <w:rsid w:val="00265FFF"/>
    <w:rsid w:val="002660B6"/>
    <w:rsid w:val="00266109"/>
    <w:rsid w:val="002661A5"/>
    <w:rsid w:val="002661E5"/>
    <w:rsid w:val="00266509"/>
    <w:rsid w:val="002666A9"/>
    <w:rsid w:val="0026689F"/>
    <w:rsid w:val="00266905"/>
    <w:rsid w:val="00266AE3"/>
    <w:rsid w:val="00266B6B"/>
    <w:rsid w:val="00266C06"/>
    <w:rsid w:val="00266C2A"/>
    <w:rsid w:val="00266DD0"/>
    <w:rsid w:val="0026706F"/>
    <w:rsid w:val="002671B4"/>
    <w:rsid w:val="0026721D"/>
    <w:rsid w:val="0026746C"/>
    <w:rsid w:val="00267669"/>
    <w:rsid w:val="00267846"/>
    <w:rsid w:val="00267968"/>
    <w:rsid w:val="00267AE8"/>
    <w:rsid w:val="00267B0B"/>
    <w:rsid w:val="00267B37"/>
    <w:rsid w:val="00267B75"/>
    <w:rsid w:val="00267C2F"/>
    <w:rsid w:val="00267E37"/>
    <w:rsid w:val="00270020"/>
    <w:rsid w:val="00270039"/>
    <w:rsid w:val="002701A7"/>
    <w:rsid w:val="002704D0"/>
    <w:rsid w:val="002707DC"/>
    <w:rsid w:val="0027089A"/>
    <w:rsid w:val="00270991"/>
    <w:rsid w:val="002709EB"/>
    <w:rsid w:val="00270A88"/>
    <w:rsid w:val="00270BB4"/>
    <w:rsid w:val="00270CB9"/>
    <w:rsid w:val="00270D29"/>
    <w:rsid w:val="0027117B"/>
    <w:rsid w:val="00271190"/>
    <w:rsid w:val="00271201"/>
    <w:rsid w:val="0027148F"/>
    <w:rsid w:val="0027170D"/>
    <w:rsid w:val="00271750"/>
    <w:rsid w:val="00271A9D"/>
    <w:rsid w:val="00271B16"/>
    <w:rsid w:val="00271CA2"/>
    <w:rsid w:val="002720DB"/>
    <w:rsid w:val="00272185"/>
    <w:rsid w:val="00272234"/>
    <w:rsid w:val="002722BB"/>
    <w:rsid w:val="00272382"/>
    <w:rsid w:val="00272390"/>
    <w:rsid w:val="00272399"/>
    <w:rsid w:val="002723AE"/>
    <w:rsid w:val="00272581"/>
    <w:rsid w:val="002729DF"/>
    <w:rsid w:val="00272A66"/>
    <w:rsid w:val="00272A9B"/>
    <w:rsid w:val="00272B40"/>
    <w:rsid w:val="00272BC2"/>
    <w:rsid w:val="00272C04"/>
    <w:rsid w:val="00272C32"/>
    <w:rsid w:val="00272EA4"/>
    <w:rsid w:val="00272FF4"/>
    <w:rsid w:val="00273089"/>
    <w:rsid w:val="0027328F"/>
    <w:rsid w:val="00273586"/>
    <w:rsid w:val="0027360B"/>
    <w:rsid w:val="00273893"/>
    <w:rsid w:val="00273985"/>
    <w:rsid w:val="00273A05"/>
    <w:rsid w:val="00273A20"/>
    <w:rsid w:val="00273CA0"/>
    <w:rsid w:val="00273CB5"/>
    <w:rsid w:val="00273D2C"/>
    <w:rsid w:val="002740E0"/>
    <w:rsid w:val="0027418C"/>
    <w:rsid w:val="0027425E"/>
    <w:rsid w:val="0027433B"/>
    <w:rsid w:val="002743A0"/>
    <w:rsid w:val="00274490"/>
    <w:rsid w:val="00274546"/>
    <w:rsid w:val="0027454F"/>
    <w:rsid w:val="00274628"/>
    <w:rsid w:val="00274878"/>
    <w:rsid w:val="002749DD"/>
    <w:rsid w:val="00274A89"/>
    <w:rsid w:val="00274CC1"/>
    <w:rsid w:val="0027518A"/>
    <w:rsid w:val="00275413"/>
    <w:rsid w:val="00275740"/>
    <w:rsid w:val="002757DB"/>
    <w:rsid w:val="00275811"/>
    <w:rsid w:val="00275818"/>
    <w:rsid w:val="002758AB"/>
    <w:rsid w:val="00275B4B"/>
    <w:rsid w:val="00275C0B"/>
    <w:rsid w:val="00275FA4"/>
    <w:rsid w:val="00276043"/>
    <w:rsid w:val="002762B6"/>
    <w:rsid w:val="002765F0"/>
    <w:rsid w:val="0027671D"/>
    <w:rsid w:val="002768D9"/>
    <w:rsid w:val="00276BA2"/>
    <w:rsid w:val="00276DC0"/>
    <w:rsid w:val="00276E1C"/>
    <w:rsid w:val="002771D6"/>
    <w:rsid w:val="002773B0"/>
    <w:rsid w:val="002777EB"/>
    <w:rsid w:val="0027781E"/>
    <w:rsid w:val="002778D2"/>
    <w:rsid w:val="00277965"/>
    <w:rsid w:val="00277A75"/>
    <w:rsid w:val="00277BB8"/>
    <w:rsid w:val="00277C18"/>
    <w:rsid w:val="00277D77"/>
    <w:rsid w:val="00277E49"/>
    <w:rsid w:val="00280069"/>
    <w:rsid w:val="002800DE"/>
    <w:rsid w:val="002800FC"/>
    <w:rsid w:val="00280136"/>
    <w:rsid w:val="00280154"/>
    <w:rsid w:val="002802A0"/>
    <w:rsid w:val="00280416"/>
    <w:rsid w:val="002807F0"/>
    <w:rsid w:val="0028085F"/>
    <w:rsid w:val="00280909"/>
    <w:rsid w:val="00280AAD"/>
    <w:rsid w:val="00280B35"/>
    <w:rsid w:val="00280B67"/>
    <w:rsid w:val="00280C61"/>
    <w:rsid w:val="00280E84"/>
    <w:rsid w:val="002811B2"/>
    <w:rsid w:val="002811E0"/>
    <w:rsid w:val="00281415"/>
    <w:rsid w:val="00281614"/>
    <w:rsid w:val="002816A0"/>
    <w:rsid w:val="00281CDB"/>
    <w:rsid w:val="00281D9B"/>
    <w:rsid w:val="00281EB9"/>
    <w:rsid w:val="00281ED8"/>
    <w:rsid w:val="0028204C"/>
    <w:rsid w:val="00282175"/>
    <w:rsid w:val="002821A0"/>
    <w:rsid w:val="00282315"/>
    <w:rsid w:val="002823A6"/>
    <w:rsid w:val="002823EA"/>
    <w:rsid w:val="00282524"/>
    <w:rsid w:val="0028253D"/>
    <w:rsid w:val="00282691"/>
    <w:rsid w:val="00282710"/>
    <w:rsid w:val="002827B9"/>
    <w:rsid w:val="002827F7"/>
    <w:rsid w:val="00282932"/>
    <w:rsid w:val="002829DA"/>
    <w:rsid w:val="00282AE6"/>
    <w:rsid w:val="00282D74"/>
    <w:rsid w:val="00282EE0"/>
    <w:rsid w:val="00282F04"/>
    <w:rsid w:val="00282F1E"/>
    <w:rsid w:val="002830EE"/>
    <w:rsid w:val="0028312A"/>
    <w:rsid w:val="0028319A"/>
    <w:rsid w:val="00283278"/>
    <w:rsid w:val="00283454"/>
    <w:rsid w:val="00283552"/>
    <w:rsid w:val="00283661"/>
    <w:rsid w:val="0028374D"/>
    <w:rsid w:val="00283757"/>
    <w:rsid w:val="00283A02"/>
    <w:rsid w:val="00283EB9"/>
    <w:rsid w:val="00283F4B"/>
    <w:rsid w:val="00284100"/>
    <w:rsid w:val="00284169"/>
    <w:rsid w:val="00284295"/>
    <w:rsid w:val="00284387"/>
    <w:rsid w:val="0028438B"/>
    <w:rsid w:val="00284391"/>
    <w:rsid w:val="00284431"/>
    <w:rsid w:val="0028462D"/>
    <w:rsid w:val="0028465C"/>
    <w:rsid w:val="0028488C"/>
    <w:rsid w:val="00284AEC"/>
    <w:rsid w:val="00284C17"/>
    <w:rsid w:val="00284F6C"/>
    <w:rsid w:val="00285054"/>
    <w:rsid w:val="00285244"/>
    <w:rsid w:val="002853D1"/>
    <w:rsid w:val="002854BF"/>
    <w:rsid w:val="00285512"/>
    <w:rsid w:val="00285BEF"/>
    <w:rsid w:val="00285CB7"/>
    <w:rsid w:val="00285CF5"/>
    <w:rsid w:val="00285D36"/>
    <w:rsid w:val="00285D8C"/>
    <w:rsid w:val="00285DC1"/>
    <w:rsid w:val="00285F0A"/>
    <w:rsid w:val="00285F7A"/>
    <w:rsid w:val="00285FDF"/>
    <w:rsid w:val="002862B4"/>
    <w:rsid w:val="00286379"/>
    <w:rsid w:val="002866FE"/>
    <w:rsid w:val="0028671E"/>
    <w:rsid w:val="00286776"/>
    <w:rsid w:val="002868AF"/>
    <w:rsid w:val="00286978"/>
    <w:rsid w:val="00286A91"/>
    <w:rsid w:val="00286B01"/>
    <w:rsid w:val="00286B58"/>
    <w:rsid w:val="00286BF0"/>
    <w:rsid w:val="00286C5C"/>
    <w:rsid w:val="00286CBA"/>
    <w:rsid w:val="002870BB"/>
    <w:rsid w:val="002871D9"/>
    <w:rsid w:val="002871F8"/>
    <w:rsid w:val="002874B8"/>
    <w:rsid w:val="00287524"/>
    <w:rsid w:val="002875F9"/>
    <w:rsid w:val="002878CC"/>
    <w:rsid w:val="00287A23"/>
    <w:rsid w:val="00287C5A"/>
    <w:rsid w:val="00287EF8"/>
    <w:rsid w:val="0029059B"/>
    <w:rsid w:val="002905AC"/>
    <w:rsid w:val="00290658"/>
    <w:rsid w:val="00290704"/>
    <w:rsid w:val="00290758"/>
    <w:rsid w:val="00290A00"/>
    <w:rsid w:val="00290A33"/>
    <w:rsid w:val="00290CA3"/>
    <w:rsid w:val="00290CBA"/>
    <w:rsid w:val="00290E15"/>
    <w:rsid w:val="002911B2"/>
    <w:rsid w:val="002911E0"/>
    <w:rsid w:val="002912E9"/>
    <w:rsid w:val="00291340"/>
    <w:rsid w:val="002913F0"/>
    <w:rsid w:val="002916CD"/>
    <w:rsid w:val="00291706"/>
    <w:rsid w:val="0029175B"/>
    <w:rsid w:val="00291B1B"/>
    <w:rsid w:val="00291B42"/>
    <w:rsid w:val="00291CF9"/>
    <w:rsid w:val="00291D8A"/>
    <w:rsid w:val="00291E7A"/>
    <w:rsid w:val="002920AE"/>
    <w:rsid w:val="0029220F"/>
    <w:rsid w:val="0029247A"/>
    <w:rsid w:val="00292495"/>
    <w:rsid w:val="002925EF"/>
    <w:rsid w:val="0029260F"/>
    <w:rsid w:val="0029261D"/>
    <w:rsid w:val="002926B5"/>
    <w:rsid w:val="00292B34"/>
    <w:rsid w:val="00292CCB"/>
    <w:rsid w:val="00292D2B"/>
    <w:rsid w:val="00292E42"/>
    <w:rsid w:val="00292E4B"/>
    <w:rsid w:val="00293192"/>
    <w:rsid w:val="0029320C"/>
    <w:rsid w:val="0029327A"/>
    <w:rsid w:val="002932D7"/>
    <w:rsid w:val="00293351"/>
    <w:rsid w:val="0029346E"/>
    <w:rsid w:val="002934E9"/>
    <w:rsid w:val="0029373E"/>
    <w:rsid w:val="002938F0"/>
    <w:rsid w:val="00293A3E"/>
    <w:rsid w:val="00293A42"/>
    <w:rsid w:val="00293B60"/>
    <w:rsid w:val="00293CAA"/>
    <w:rsid w:val="00293EE4"/>
    <w:rsid w:val="00293F20"/>
    <w:rsid w:val="00293F62"/>
    <w:rsid w:val="00293FAC"/>
    <w:rsid w:val="00294015"/>
    <w:rsid w:val="002940E8"/>
    <w:rsid w:val="00294257"/>
    <w:rsid w:val="0029447C"/>
    <w:rsid w:val="002944C5"/>
    <w:rsid w:val="0029453E"/>
    <w:rsid w:val="00294736"/>
    <w:rsid w:val="002947A2"/>
    <w:rsid w:val="0029481D"/>
    <w:rsid w:val="0029484B"/>
    <w:rsid w:val="00294900"/>
    <w:rsid w:val="002949E3"/>
    <w:rsid w:val="002949E6"/>
    <w:rsid w:val="00294BAB"/>
    <w:rsid w:val="00294C1F"/>
    <w:rsid w:val="00294C7F"/>
    <w:rsid w:val="00294CDE"/>
    <w:rsid w:val="00295004"/>
    <w:rsid w:val="00295119"/>
    <w:rsid w:val="00295174"/>
    <w:rsid w:val="002951DB"/>
    <w:rsid w:val="00295894"/>
    <w:rsid w:val="002958FB"/>
    <w:rsid w:val="00295A8F"/>
    <w:rsid w:val="00295B50"/>
    <w:rsid w:val="00295C0A"/>
    <w:rsid w:val="00295C18"/>
    <w:rsid w:val="00295E66"/>
    <w:rsid w:val="00295EE6"/>
    <w:rsid w:val="00295F3C"/>
    <w:rsid w:val="00296144"/>
    <w:rsid w:val="0029622F"/>
    <w:rsid w:val="002964EA"/>
    <w:rsid w:val="002965B9"/>
    <w:rsid w:val="0029660B"/>
    <w:rsid w:val="00296A41"/>
    <w:rsid w:val="00296B52"/>
    <w:rsid w:val="00296C1E"/>
    <w:rsid w:val="00296C46"/>
    <w:rsid w:val="00296CDF"/>
    <w:rsid w:val="00296CEA"/>
    <w:rsid w:val="00296E98"/>
    <w:rsid w:val="00296F36"/>
    <w:rsid w:val="00296FDD"/>
    <w:rsid w:val="002970CF"/>
    <w:rsid w:val="0029727E"/>
    <w:rsid w:val="002974D7"/>
    <w:rsid w:val="0029755F"/>
    <w:rsid w:val="00297688"/>
    <w:rsid w:val="002976EF"/>
    <w:rsid w:val="00297717"/>
    <w:rsid w:val="0029775D"/>
    <w:rsid w:val="00297811"/>
    <w:rsid w:val="0029788E"/>
    <w:rsid w:val="002979A9"/>
    <w:rsid w:val="00297E5B"/>
    <w:rsid w:val="002A00CA"/>
    <w:rsid w:val="002A01AC"/>
    <w:rsid w:val="002A0249"/>
    <w:rsid w:val="002A04CB"/>
    <w:rsid w:val="002A0710"/>
    <w:rsid w:val="002A0881"/>
    <w:rsid w:val="002A0A88"/>
    <w:rsid w:val="002A0B51"/>
    <w:rsid w:val="002A0BAB"/>
    <w:rsid w:val="002A0CB9"/>
    <w:rsid w:val="002A0F63"/>
    <w:rsid w:val="002A1108"/>
    <w:rsid w:val="002A11BB"/>
    <w:rsid w:val="002A12BB"/>
    <w:rsid w:val="002A13D0"/>
    <w:rsid w:val="002A14B8"/>
    <w:rsid w:val="002A1523"/>
    <w:rsid w:val="002A1537"/>
    <w:rsid w:val="002A18A1"/>
    <w:rsid w:val="002A18A8"/>
    <w:rsid w:val="002A1955"/>
    <w:rsid w:val="002A19D9"/>
    <w:rsid w:val="002A1A63"/>
    <w:rsid w:val="002A1A76"/>
    <w:rsid w:val="002A1B18"/>
    <w:rsid w:val="002A1B1D"/>
    <w:rsid w:val="002A1C0C"/>
    <w:rsid w:val="002A1D72"/>
    <w:rsid w:val="002A1DEA"/>
    <w:rsid w:val="002A1FCD"/>
    <w:rsid w:val="002A1FD9"/>
    <w:rsid w:val="002A208D"/>
    <w:rsid w:val="002A217E"/>
    <w:rsid w:val="002A2397"/>
    <w:rsid w:val="002A24CE"/>
    <w:rsid w:val="002A282C"/>
    <w:rsid w:val="002A29E1"/>
    <w:rsid w:val="002A2BC0"/>
    <w:rsid w:val="002A2CCD"/>
    <w:rsid w:val="002A2DA7"/>
    <w:rsid w:val="002A2E44"/>
    <w:rsid w:val="002A2E6B"/>
    <w:rsid w:val="002A2FD5"/>
    <w:rsid w:val="002A3024"/>
    <w:rsid w:val="002A30E6"/>
    <w:rsid w:val="002A30EE"/>
    <w:rsid w:val="002A3396"/>
    <w:rsid w:val="002A3430"/>
    <w:rsid w:val="002A346F"/>
    <w:rsid w:val="002A34CF"/>
    <w:rsid w:val="002A3578"/>
    <w:rsid w:val="002A3A1F"/>
    <w:rsid w:val="002A3AFC"/>
    <w:rsid w:val="002A3C41"/>
    <w:rsid w:val="002A4103"/>
    <w:rsid w:val="002A41A0"/>
    <w:rsid w:val="002A4558"/>
    <w:rsid w:val="002A45EB"/>
    <w:rsid w:val="002A46B8"/>
    <w:rsid w:val="002A46E4"/>
    <w:rsid w:val="002A476A"/>
    <w:rsid w:val="002A47A4"/>
    <w:rsid w:val="002A48AB"/>
    <w:rsid w:val="002A4A3B"/>
    <w:rsid w:val="002A4A80"/>
    <w:rsid w:val="002A4E56"/>
    <w:rsid w:val="002A4EEC"/>
    <w:rsid w:val="002A4F40"/>
    <w:rsid w:val="002A50BC"/>
    <w:rsid w:val="002A51A2"/>
    <w:rsid w:val="002A51D5"/>
    <w:rsid w:val="002A5237"/>
    <w:rsid w:val="002A52B1"/>
    <w:rsid w:val="002A533D"/>
    <w:rsid w:val="002A541F"/>
    <w:rsid w:val="002A54C8"/>
    <w:rsid w:val="002A5779"/>
    <w:rsid w:val="002A58B5"/>
    <w:rsid w:val="002A58C2"/>
    <w:rsid w:val="002A598F"/>
    <w:rsid w:val="002A5BCB"/>
    <w:rsid w:val="002A5CBB"/>
    <w:rsid w:val="002A5F95"/>
    <w:rsid w:val="002A60D1"/>
    <w:rsid w:val="002A6229"/>
    <w:rsid w:val="002A62EF"/>
    <w:rsid w:val="002A6322"/>
    <w:rsid w:val="002A63BB"/>
    <w:rsid w:val="002A63F5"/>
    <w:rsid w:val="002A66DD"/>
    <w:rsid w:val="002A6787"/>
    <w:rsid w:val="002A6796"/>
    <w:rsid w:val="002A68D8"/>
    <w:rsid w:val="002A691F"/>
    <w:rsid w:val="002A695D"/>
    <w:rsid w:val="002A697D"/>
    <w:rsid w:val="002A6BFF"/>
    <w:rsid w:val="002A6C74"/>
    <w:rsid w:val="002A6EDC"/>
    <w:rsid w:val="002A6F18"/>
    <w:rsid w:val="002A6FE7"/>
    <w:rsid w:val="002A709D"/>
    <w:rsid w:val="002A70C3"/>
    <w:rsid w:val="002A73BE"/>
    <w:rsid w:val="002A73F0"/>
    <w:rsid w:val="002A7439"/>
    <w:rsid w:val="002A7643"/>
    <w:rsid w:val="002A78D4"/>
    <w:rsid w:val="002A7A65"/>
    <w:rsid w:val="002A7ABE"/>
    <w:rsid w:val="002A7B9A"/>
    <w:rsid w:val="002A7DB9"/>
    <w:rsid w:val="002A7E6B"/>
    <w:rsid w:val="002A7F34"/>
    <w:rsid w:val="002A7FE7"/>
    <w:rsid w:val="002B0099"/>
    <w:rsid w:val="002B0189"/>
    <w:rsid w:val="002B04E8"/>
    <w:rsid w:val="002B06EC"/>
    <w:rsid w:val="002B07B8"/>
    <w:rsid w:val="002B08BF"/>
    <w:rsid w:val="002B0A22"/>
    <w:rsid w:val="002B0AE3"/>
    <w:rsid w:val="002B0B52"/>
    <w:rsid w:val="002B0C09"/>
    <w:rsid w:val="002B0EBC"/>
    <w:rsid w:val="002B0F11"/>
    <w:rsid w:val="002B0F86"/>
    <w:rsid w:val="002B1239"/>
    <w:rsid w:val="002B12FB"/>
    <w:rsid w:val="002B1501"/>
    <w:rsid w:val="002B152D"/>
    <w:rsid w:val="002B158E"/>
    <w:rsid w:val="002B1908"/>
    <w:rsid w:val="002B1B34"/>
    <w:rsid w:val="002B1EE3"/>
    <w:rsid w:val="002B2164"/>
    <w:rsid w:val="002B24D4"/>
    <w:rsid w:val="002B2581"/>
    <w:rsid w:val="002B25E4"/>
    <w:rsid w:val="002B278E"/>
    <w:rsid w:val="002B297A"/>
    <w:rsid w:val="002B2DD4"/>
    <w:rsid w:val="002B2E39"/>
    <w:rsid w:val="002B2E63"/>
    <w:rsid w:val="002B2F45"/>
    <w:rsid w:val="002B304F"/>
    <w:rsid w:val="002B3267"/>
    <w:rsid w:val="002B3278"/>
    <w:rsid w:val="002B3344"/>
    <w:rsid w:val="002B33C4"/>
    <w:rsid w:val="002B3404"/>
    <w:rsid w:val="002B34C6"/>
    <w:rsid w:val="002B3602"/>
    <w:rsid w:val="002B364C"/>
    <w:rsid w:val="002B36A0"/>
    <w:rsid w:val="002B36CF"/>
    <w:rsid w:val="002B37A2"/>
    <w:rsid w:val="002B385B"/>
    <w:rsid w:val="002B3B22"/>
    <w:rsid w:val="002B3C0D"/>
    <w:rsid w:val="002B3D33"/>
    <w:rsid w:val="002B3D86"/>
    <w:rsid w:val="002B3D88"/>
    <w:rsid w:val="002B3DD8"/>
    <w:rsid w:val="002B3EF3"/>
    <w:rsid w:val="002B3EF4"/>
    <w:rsid w:val="002B3F45"/>
    <w:rsid w:val="002B407B"/>
    <w:rsid w:val="002B42FC"/>
    <w:rsid w:val="002B43D2"/>
    <w:rsid w:val="002B45A0"/>
    <w:rsid w:val="002B45FE"/>
    <w:rsid w:val="002B46DD"/>
    <w:rsid w:val="002B478E"/>
    <w:rsid w:val="002B4906"/>
    <w:rsid w:val="002B4B7F"/>
    <w:rsid w:val="002B4B80"/>
    <w:rsid w:val="002B4C48"/>
    <w:rsid w:val="002B4F3D"/>
    <w:rsid w:val="002B50C0"/>
    <w:rsid w:val="002B53A0"/>
    <w:rsid w:val="002B5670"/>
    <w:rsid w:val="002B5822"/>
    <w:rsid w:val="002B59BE"/>
    <w:rsid w:val="002B5A38"/>
    <w:rsid w:val="002B5B30"/>
    <w:rsid w:val="002B5BEE"/>
    <w:rsid w:val="002B5BFB"/>
    <w:rsid w:val="002B5C1B"/>
    <w:rsid w:val="002B5D7D"/>
    <w:rsid w:val="002B6073"/>
    <w:rsid w:val="002B6271"/>
    <w:rsid w:val="002B62E3"/>
    <w:rsid w:val="002B677B"/>
    <w:rsid w:val="002B67A8"/>
    <w:rsid w:val="002B6844"/>
    <w:rsid w:val="002B6C1C"/>
    <w:rsid w:val="002B6C3E"/>
    <w:rsid w:val="002B6F78"/>
    <w:rsid w:val="002B7201"/>
    <w:rsid w:val="002B723B"/>
    <w:rsid w:val="002B7683"/>
    <w:rsid w:val="002B791C"/>
    <w:rsid w:val="002B7924"/>
    <w:rsid w:val="002B7953"/>
    <w:rsid w:val="002B7CCA"/>
    <w:rsid w:val="002B7D08"/>
    <w:rsid w:val="002B7E7B"/>
    <w:rsid w:val="002C0090"/>
    <w:rsid w:val="002C01B6"/>
    <w:rsid w:val="002C045A"/>
    <w:rsid w:val="002C05A9"/>
    <w:rsid w:val="002C0867"/>
    <w:rsid w:val="002C08BE"/>
    <w:rsid w:val="002C08D6"/>
    <w:rsid w:val="002C08F1"/>
    <w:rsid w:val="002C0941"/>
    <w:rsid w:val="002C099C"/>
    <w:rsid w:val="002C0A40"/>
    <w:rsid w:val="002C0B79"/>
    <w:rsid w:val="002C0BA5"/>
    <w:rsid w:val="002C0BCA"/>
    <w:rsid w:val="002C0D02"/>
    <w:rsid w:val="002C0D37"/>
    <w:rsid w:val="002C0F82"/>
    <w:rsid w:val="002C1028"/>
    <w:rsid w:val="002C1045"/>
    <w:rsid w:val="002C1135"/>
    <w:rsid w:val="002C1187"/>
    <w:rsid w:val="002C11A1"/>
    <w:rsid w:val="002C148D"/>
    <w:rsid w:val="002C1683"/>
    <w:rsid w:val="002C1693"/>
    <w:rsid w:val="002C16C7"/>
    <w:rsid w:val="002C16E1"/>
    <w:rsid w:val="002C16F2"/>
    <w:rsid w:val="002C1896"/>
    <w:rsid w:val="002C1935"/>
    <w:rsid w:val="002C19BC"/>
    <w:rsid w:val="002C1A12"/>
    <w:rsid w:val="002C1B1F"/>
    <w:rsid w:val="002C1BCC"/>
    <w:rsid w:val="002C1BD2"/>
    <w:rsid w:val="002C1C88"/>
    <w:rsid w:val="002C1D56"/>
    <w:rsid w:val="002C1DA8"/>
    <w:rsid w:val="002C1DAC"/>
    <w:rsid w:val="002C20D8"/>
    <w:rsid w:val="002C21CC"/>
    <w:rsid w:val="002C2663"/>
    <w:rsid w:val="002C286B"/>
    <w:rsid w:val="002C290F"/>
    <w:rsid w:val="002C2A49"/>
    <w:rsid w:val="002C2AF5"/>
    <w:rsid w:val="002C2C3F"/>
    <w:rsid w:val="002C2D92"/>
    <w:rsid w:val="002C2D97"/>
    <w:rsid w:val="002C2EA7"/>
    <w:rsid w:val="002C2EAD"/>
    <w:rsid w:val="002C2FB6"/>
    <w:rsid w:val="002C2FEC"/>
    <w:rsid w:val="002C3135"/>
    <w:rsid w:val="002C31E4"/>
    <w:rsid w:val="002C329B"/>
    <w:rsid w:val="002C33B4"/>
    <w:rsid w:val="002C33B8"/>
    <w:rsid w:val="002C33D8"/>
    <w:rsid w:val="002C3476"/>
    <w:rsid w:val="002C3505"/>
    <w:rsid w:val="002C35D4"/>
    <w:rsid w:val="002C3607"/>
    <w:rsid w:val="002C36AF"/>
    <w:rsid w:val="002C3752"/>
    <w:rsid w:val="002C37DE"/>
    <w:rsid w:val="002C3833"/>
    <w:rsid w:val="002C389D"/>
    <w:rsid w:val="002C399F"/>
    <w:rsid w:val="002C3ACB"/>
    <w:rsid w:val="002C3D2E"/>
    <w:rsid w:val="002C4073"/>
    <w:rsid w:val="002C41AB"/>
    <w:rsid w:val="002C4227"/>
    <w:rsid w:val="002C4295"/>
    <w:rsid w:val="002C43A8"/>
    <w:rsid w:val="002C445F"/>
    <w:rsid w:val="002C459D"/>
    <w:rsid w:val="002C45AD"/>
    <w:rsid w:val="002C45D4"/>
    <w:rsid w:val="002C4AD9"/>
    <w:rsid w:val="002C4C18"/>
    <w:rsid w:val="002C4D25"/>
    <w:rsid w:val="002C4D94"/>
    <w:rsid w:val="002C4F34"/>
    <w:rsid w:val="002C4F45"/>
    <w:rsid w:val="002C4F90"/>
    <w:rsid w:val="002C560A"/>
    <w:rsid w:val="002C586A"/>
    <w:rsid w:val="002C5A99"/>
    <w:rsid w:val="002C5BD1"/>
    <w:rsid w:val="002C5BE9"/>
    <w:rsid w:val="002C5CD7"/>
    <w:rsid w:val="002C5E5E"/>
    <w:rsid w:val="002C5E9D"/>
    <w:rsid w:val="002C5F1E"/>
    <w:rsid w:val="002C60BA"/>
    <w:rsid w:val="002C6304"/>
    <w:rsid w:val="002C630E"/>
    <w:rsid w:val="002C631E"/>
    <w:rsid w:val="002C637E"/>
    <w:rsid w:val="002C63C8"/>
    <w:rsid w:val="002C664C"/>
    <w:rsid w:val="002C665D"/>
    <w:rsid w:val="002C6661"/>
    <w:rsid w:val="002C68BA"/>
    <w:rsid w:val="002C6AAC"/>
    <w:rsid w:val="002C6B03"/>
    <w:rsid w:val="002C6BE5"/>
    <w:rsid w:val="002C6E2D"/>
    <w:rsid w:val="002C6F44"/>
    <w:rsid w:val="002C6FC7"/>
    <w:rsid w:val="002C7038"/>
    <w:rsid w:val="002C7067"/>
    <w:rsid w:val="002C708C"/>
    <w:rsid w:val="002C709E"/>
    <w:rsid w:val="002C71AC"/>
    <w:rsid w:val="002C734B"/>
    <w:rsid w:val="002C735C"/>
    <w:rsid w:val="002C7606"/>
    <w:rsid w:val="002C77E9"/>
    <w:rsid w:val="002C7856"/>
    <w:rsid w:val="002C7B6F"/>
    <w:rsid w:val="002C7C25"/>
    <w:rsid w:val="002C7C7D"/>
    <w:rsid w:val="002C7CD4"/>
    <w:rsid w:val="002C7E4B"/>
    <w:rsid w:val="002C7E4C"/>
    <w:rsid w:val="002C7E93"/>
    <w:rsid w:val="002C7EEB"/>
    <w:rsid w:val="002D011C"/>
    <w:rsid w:val="002D014A"/>
    <w:rsid w:val="002D0156"/>
    <w:rsid w:val="002D021C"/>
    <w:rsid w:val="002D049A"/>
    <w:rsid w:val="002D056E"/>
    <w:rsid w:val="002D0773"/>
    <w:rsid w:val="002D07BE"/>
    <w:rsid w:val="002D08D0"/>
    <w:rsid w:val="002D0919"/>
    <w:rsid w:val="002D0FCD"/>
    <w:rsid w:val="002D125B"/>
    <w:rsid w:val="002D128D"/>
    <w:rsid w:val="002D13D6"/>
    <w:rsid w:val="002D14C1"/>
    <w:rsid w:val="002D14DC"/>
    <w:rsid w:val="002D16D5"/>
    <w:rsid w:val="002D1744"/>
    <w:rsid w:val="002D181E"/>
    <w:rsid w:val="002D1850"/>
    <w:rsid w:val="002D18A1"/>
    <w:rsid w:val="002D18E9"/>
    <w:rsid w:val="002D1AAD"/>
    <w:rsid w:val="002D1AFC"/>
    <w:rsid w:val="002D1B5F"/>
    <w:rsid w:val="002D1C45"/>
    <w:rsid w:val="002D1C74"/>
    <w:rsid w:val="002D1D5A"/>
    <w:rsid w:val="002D1DBC"/>
    <w:rsid w:val="002D1EB0"/>
    <w:rsid w:val="002D1F71"/>
    <w:rsid w:val="002D21A5"/>
    <w:rsid w:val="002D259C"/>
    <w:rsid w:val="002D2645"/>
    <w:rsid w:val="002D266D"/>
    <w:rsid w:val="002D2763"/>
    <w:rsid w:val="002D276F"/>
    <w:rsid w:val="002D2B9C"/>
    <w:rsid w:val="002D2FE4"/>
    <w:rsid w:val="002D308E"/>
    <w:rsid w:val="002D320B"/>
    <w:rsid w:val="002D32FC"/>
    <w:rsid w:val="002D344C"/>
    <w:rsid w:val="002D3640"/>
    <w:rsid w:val="002D37BF"/>
    <w:rsid w:val="002D3C0B"/>
    <w:rsid w:val="002D3FBC"/>
    <w:rsid w:val="002D4013"/>
    <w:rsid w:val="002D40C8"/>
    <w:rsid w:val="002D42F8"/>
    <w:rsid w:val="002D43CC"/>
    <w:rsid w:val="002D4499"/>
    <w:rsid w:val="002D47AF"/>
    <w:rsid w:val="002D47DB"/>
    <w:rsid w:val="002D4868"/>
    <w:rsid w:val="002D4D3F"/>
    <w:rsid w:val="002D4D9B"/>
    <w:rsid w:val="002D4FD8"/>
    <w:rsid w:val="002D506D"/>
    <w:rsid w:val="002D50FE"/>
    <w:rsid w:val="002D51C9"/>
    <w:rsid w:val="002D52CE"/>
    <w:rsid w:val="002D530D"/>
    <w:rsid w:val="002D537E"/>
    <w:rsid w:val="002D5622"/>
    <w:rsid w:val="002D572C"/>
    <w:rsid w:val="002D5A06"/>
    <w:rsid w:val="002D5C04"/>
    <w:rsid w:val="002D5D33"/>
    <w:rsid w:val="002D6071"/>
    <w:rsid w:val="002D60B0"/>
    <w:rsid w:val="002D60FB"/>
    <w:rsid w:val="002D63AA"/>
    <w:rsid w:val="002D645E"/>
    <w:rsid w:val="002D6473"/>
    <w:rsid w:val="002D6593"/>
    <w:rsid w:val="002D65DD"/>
    <w:rsid w:val="002D66AE"/>
    <w:rsid w:val="002D6807"/>
    <w:rsid w:val="002D6934"/>
    <w:rsid w:val="002D6942"/>
    <w:rsid w:val="002D6BBE"/>
    <w:rsid w:val="002D6C53"/>
    <w:rsid w:val="002D6D79"/>
    <w:rsid w:val="002D7459"/>
    <w:rsid w:val="002D75D3"/>
    <w:rsid w:val="002D7EEB"/>
    <w:rsid w:val="002E0023"/>
    <w:rsid w:val="002E0036"/>
    <w:rsid w:val="002E00C3"/>
    <w:rsid w:val="002E010B"/>
    <w:rsid w:val="002E01DD"/>
    <w:rsid w:val="002E02B9"/>
    <w:rsid w:val="002E052E"/>
    <w:rsid w:val="002E06E7"/>
    <w:rsid w:val="002E0864"/>
    <w:rsid w:val="002E0964"/>
    <w:rsid w:val="002E0A99"/>
    <w:rsid w:val="002E0B37"/>
    <w:rsid w:val="002E0C73"/>
    <w:rsid w:val="002E0D88"/>
    <w:rsid w:val="002E0EBF"/>
    <w:rsid w:val="002E13C0"/>
    <w:rsid w:val="002E148F"/>
    <w:rsid w:val="002E15D0"/>
    <w:rsid w:val="002E165D"/>
    <w:rsid w:val="002E18A8"/>
    <w:rsid w:val="002E18C2"/>
    <w:rsid w:val="002E199D"/>
    <w:rsid w:val="002E1BFA"/>
    <w:rsid w:val="002E1FE9"/>
    <w:rsid w:val="002E1FF0"/>
    <w:rsid w:val="002E207E"/>
    <w:rsid w:val="002E2085"/>
    <w:rsid w:val="002E223B"/>
    <w:rsid w:val="002E241B"/>
    <w:rsid w:val="002E24C9"/>
    <w:rsid w:val="002E25F2"/>
    <w:rsid w:val="002E260F"/>
    <w:rsid w:val="002E2C19"/>
    <w:rsid w:val="002E2DC4"/>
    <w:rsid w:val="002E2EA7"/>
    <w:rsid w:val="002E2EF8"/>
    <w:rsid w:val="002E2F12"/>
    <w:rsid w:val="002E2FBF"/>
    <w:rsid w:val="002E2FFB"/>
    <w:rsid w:val="002E306E"/>
    <w:rsid w:val="002E3361"/>
    <w:rsid w:val="002E3389"/>
    <w:rsid w:val="002E342E"/>
    <w:rsid w:val="002E3552"/>
    <w:rsid w:val="002E3828"/>
    <w:rsid w:val="002E3B10"/>
    <w:rsid w:val="002E3D75"/>
    <w:rsid w:val="002E3F03"/>
    <w:rsid w:val="002E3F4E"/>
    <w:rsid w:val="002E41B5"/>
    <w:rsid w:val="002E4257"/>
    <w:rsid w:val="002E47DC"/>
    <w:rsid w:val="002E4C7C"/>
    <w:rsid w:val="002E502D"/>
    <w:rsid w:val="002E509E"/>
    <w:rsid w:val="002E515F"/>
    <w:rsid w:val="002E53BA"/>
    <w:rsid w:val="002E545E"/>
    <w:rsid w:val="002E54FC"/>
    <w:rsid w:val="002E5510"/>
    <w:rsid w:val="002E5839"/>
    <w:rsid w:val="002E5A4B"/>
    <w:rsid w:val="002E5E1B"/>
    <w:rsid w:val="002E5EDF"/>
    <w:rsid w:val="002E5F9E"/>
    <w:rsid w:val="002E6142"/>
    <w:rsid w:val="002E6190"/>
    <w:rsid w:val="002E61AB"/>
    <w:rsid w:val="002E62AC"/>
    <w:rsid w:val="002E6430"/>
    <w:rsid w:val="002E6434"/>
    <w:rsid w:val="002E6579"/>
    <w:rsid w:val="002E66EF"/>
    <w:rsid w:val="002E6775"/>
    <w:rsid w:val="002E692C"/>
    <w:rsid w:val="002E69BC"/>
    <w:rsid w:val="002E6A44"/>
    <w:rsid w:val="002E6B94"/>
    <w:rsid w:val="002E6F52"/>
    <w:rsid w:val="002E6F79"/>
    <w:rsid w:val="002E723D"/>
    <w:rsid w:val="002E72CF"/>
    <w:rsid w:val="002E746B"/>
    <w:rsid w:val="002E74C0"/>
    <w:rsid w:val="002E74E6"/>
    <w:rsid w:val="002E7568"/>
    <w:rsid w:val="002E75CB"/>
    <w:rsid w:val="002E7745"/>
    <w:rsid w:val="002E784A"/>
    <w:rsid w:val="002E7896"/>
    <w:rsid w:val="002E789C"/>
    <w:rsid w:val="002E78CF"/>
    <w:rsid w:val="002E7B74"/>
    <w:rsid w:val="002E7CB0"/>
    <w:rsid w:val="002E7D60"/>
    <w:rsid w:val="002E7D6D"/>
    <w:rsid w:val="002E7DBC"/>
    <w:rsid w:val="002F00C3"/>
    <w:rsid w:val="002F0123"/>
    <w:rsid w:val="002F0280"/>
    <w:rsid w:val="002F0291"/>
    <w:rsid w:val="002F032A"/>
    <w:rsid w:val="002F03B7"/>
    <w:rsid w:val="002F04A7"/>
    <w:rsid w:val="002F05E3"/>
    <w:rsid w:val="002F06A3"/>
    <w:rsid w:val="002F078E"/>
    <w:rsid w:val="002F0883"/>
    <w:rsid w:val="002F0F86"/>
    <w:rsid w:val="002F0FBE"/>
    <w:rsid w:val="002F103B"/>
    <w:rsid w:val="002F1043"/>
    <w:rsid w:val="002F1056"/>
    <w:rsid w:val="002F10E4"/>
    <w:rsid w:val="002F11E6"/>
    <w:rsid w:val="002F123A"/>
    <w:rsid w:val="002F123B"/>
    <w:rsid w:val="002F1422"/>
    <w:rsid w:val="002F14BD"/>
    <w:rsid w:val="002F16ED"/>
    <w:rsid w:val="002F1A64"/>
    <w:rsid w:val="002F1AB9"/>
    <w:rsid w:val="002F1CAE"/>
    <w:rsid w:val="002F1DC5"/>
    <w:rsid w:val="002F20A2"/>
    <w:rsid w:val="002F22EA"/>
    <w:rsid w:val="002F23BB"/>
    <w:rsid w:val="002F23D7"/>
    <w:rsid w:val="002F2462"/>
    <w:rsid w:val="002F264D"/>
    <w:rsid w:val="002F280B"/>
    <w:rsid w:val="002F29B9"/>
    <w:rsid w:val="002F2C78"/>
    <w:rsid w:val="002F2F76"/>
    <w:rsid w:val="002F303E"/>
    <w:rsid w:val="002F31AF"/>
    <w:rsid w:val="002F3238"/>
    <w:rsid w:val="002F32BF"/>
    <w:rsid w:val="002F330F"/>
    <w:rsid w:val="002F3409"/>
    <w:rsid w:val="002F36E0"/>
    <w:rsid w:val="002F39A7"/>
    <w:rsid w:val="002F3CCC"/>
    <w:rsid w:val="002F3DD8"/>
    <w:rsid w:val="002F3E1E"/>
    <w:rsid w:val="002F3FCD"/>
    <w:rsid w:val="002F426F"/>
    <w:rsid w:val="002F42C2"/>
    <w:rsid w:val="002F43C1"/>
    <w:rsid w:val="002F4474"/>
    <w:rsid w:val="002F461F"/>
    <w:rsid w:val="002F463E"/>
    <w:rsid w:val="002F46CC"/>
    <w:rsid w:val="002F46F5"/>
    <w:rsid w:val="002F47ED"/>
    <w:rsid w:val="002F482E"/>
    <w:rsid w:val="002F4A32"/>
    <w:rsid w:val="002F4A82"/>
    <w:rsid w:val="002F4AFA"/>
    <w:rsid w:val="002F4CB4"/>
    <w:rsid w:val="002F5189"/>
    <w:rsid w:val="002F52F1"/>
    <w:rsid w:val="002F53C2"/>
    <w:rsid w:val="002F548F"/>
    <w:rsid w:val="002F5584"/>
    <w:rsid w:val="002F566A"/>
    <w:rsid w:val="002F56A2"/>
    <w:rsid w:val="002F56FF"/>
    <w:rsid w:val="002F58D8"/>
    <w:rsid w:val="002F5924"/>
    <w:rsid w:val="002F5947"/>
    <w:rsid w:val="002F5B80"/>
    <w:rsid w:val="002F5C9B"/>
    <w:rsid w:val="002F5D36"/>
    <w:rsid w:val="002F5E7C"/>
    <w:rsid w:val="002F6030"/>
    <w:rsid w:val="002F6088"/>
    <w:rsid w:val="002F61B0"/>
    <w:rsid w:val="002F626B"/>
    <w:rsid w:val="002F6400"/>
    <w:rsid w:val="002F671D"/>
    <w:rsid w:val="002F69A9"/>
    <w:rsid w:val="002F6A6D"/>
    <w:rsid w:val="002F6BF8"/>
    <w:rsid w:val="002F6D1C"/>
    <w:rsid w:val="002F6D33"/>
    <w:rsid w:val="002F6F49"/>
    <w:rsid w:val="002F72B5"/>
    <w:rsid w:val="002F7316"/>
    <w:rsid w:val="002F749D"/>
    <w:rsid w:val="002F74BD"/>
    <w:rsid w:val="002F74C5"/>
    <w:rsid w:val="002F7633"/>
    <w:rsid w:val="002F77C0"/>
    <w:rsid w:val="002F790A"/>
    <w:rsid w:val="002F7960"/>
    <w:rsid w:val="002F7BA2"/>
    <w:rsid w:val="002F7BA7"/>
    <w:rsid w:val="003000B1"/>
    <w:rsid w:val="003001DB"/>
    <w:rsid w:val="00300248"/>
    <w:rsid w:val="00300305"/>
    <w:rsid w:val="0030055E"/>
    <w:rsid w:val="00300569"/>
    <w:rsid w:val="00300AF6"/>
    <w:rsid w:val="00300C36"/>
    <w:rsid w:val="00300C79"/>
    <w:rsid w:val="00300C96"/>
    <w:rsid w:val="00300D76"/>
    <w:rsid w:val="00300E9C"/>
    <w:rsid w:val="00300EEF"/>
    <w:rsid w:val="00300F28"/>
    <w:rsid w:val="003011A8"/>
    <w:rsid w:val="003012B2"/>
    <w:rsid w:val="003012BF"/>
    <w:rsid w:val="00301475"/>
    <w:rsid w:val="003016CC"/>
    <w:rsid w:val="003016CD"/>
    <w:rsid w:val="0030177A"/>
    <w:rsid w:val="00301790"/>
    <w:rsid w:val="0030195F"/>
    <w:rsid w:val="003019CD"/>
    <w:rsid w:val="00301B63"/>
    <w:rsid w:val="00301DEC"/>
    <w:rsid w:val="00301E39"/>
    <w:rsid w:val="00301FC7"/>
    <w:rsid w:val="00301FD0"/>
    <w:rsid w:val="00301FD7"/>
    <w:rsid w:val="00302076"/>
    <w:rsid w:val="00302204"/>
    <w:rsid w:val="00302382"/>
    <w:rsid w:val="0030277E"/>
    <w:rsid w:val="00302862"/>
    <w:rsid w:val="003028F8"/>
    <w:rsid w:val="00302A31"/>
    <w:rsid w:val="00302EFC"/>
    <w:rsid w:val="00303093"/>
    <w:rsid w:val="0030359B"/>
    <w:rsid w:val="003036BE"/>
    <w:rsid w:val="003036FB"/>
    <w:rsid w:val="00303829"/>
    <w:rsid w:val="00303982"/>
    <w:rsid w:val="00303A57"/>
    <w:rsid w:val="00303ACB"/>
    <w:rsid w:val="00303BF4"/>
    <w:rsid w:val="00303C0B"/>
    <w:rsid w:val="00304120"/>
    <w:rsid w:val="0030412E"/>
    <w:rsid w:val="00304366"/>
    <w:rsid w:val="00304386"/>
    <w:rsid w:val="003043D1"/>
    <w:rsid w:val="003043DA"/>
    <w:rsid w:val="00304541"/>
    <w:rsid w:val="00304576"/>
    <w:rsid w:val="003046CA"/>
    <w:rsid w:val="00304A06"/>
    <w:rsid w:val="00304A8F"/>
    <w:rsid w:val="00304CA4"/>
    <w:rsid w:val="00304CAE"/>
    <w:rsid w:val="00304E5C"/>
    <w:rsid w:val="00304EBB"/>
    <w:rsid w:val="00305171"/>
    <w:rsid w:val="00305526"/>
    <w:rsid w:val="00305579"/>
    <w:rsid w:val="00305624"/>
    <w:rsid w:val="00305B17"/>
    <w:rsid w:val="00305D15"/>
    <w:rsid w:val="00305EEF"/>
    <w:rsid w:val="0030604A"/>
    <w:rsid w:val="00306062"/>
    <w:rsid w:val="0030636C"/>
    <w:rsid w:val="0030657B"/>
    <w:rsid w:val="003066B1"/>
    <w:rsid w:val="00306722"/>
    <w:rsid w:val="00306776"/>
    <w:rsid w:val="003067DB"/>
    <w:rsid w:val="003067EE"/>
    <w:rsid w:val="0030685F"/>
    <w:rsid w:val="003068D3"/>
    <w:rsid w:val="003069BC"/>
    <w:rsid w:val="003069D3"/>
    <w:rsid w:val="00306D48"/>
    <w:rsid w:val="00306E67"/>
    <w:rsid w:val="0030700F"/>
    <w:rsid w:val="00307041"/>
    <w:rsid w:val="00307258"/>
    <w:rsid w:val="00307259"/>
    <w:rsid w:val="00307546"/>
    <w:rsid w:val="003078A7"/>
    <w:rsid w:val="0030791B"/>
    <w:rsid w:val="00307989"/>
    <w:rsid w:val="00307B0B"/>
    <w:rsid w:val="00307B16"/>
    <w:rsid w:val="00307BA8"/>
    <w:rsid w:val="00307F30"/>
    <w:rsid w:val="00310442"/>
    <w:rsid w:val="00310470"/>
    <w:rsid w:val="00310551"/>
    <w:rsid w:val="0031056C"/>
    <w:rsid w:val="003105EF"/>
    <w:rsid w:val="00310664"/>
    <w:rsid w:val="00310821"/>
    <w:rsid w:val="003109B7"/>
    <w:rsid w:val="00310A2C"/>
    <w:rsid w:val="00310A73"/>
    <w:rsid w:val="00310ABC"/>
    <w:rsid w:val="00310CD1"/>
    <w:rsid w:val="00310DF0"/>
    <w:rsid w:val="00310E44"/>
    <w:rsid w:val="003110AC"/>
    <w:rsid w:val="003111D1"/>
    <w:rsid w:val="0031140E"/>
    <w:rsid w:val="0031163C"/>
    <w:rsid w:val="0031175A"/>
    <w:rsid w:val="00311873"/>
    <w:rsid w:val="003118AB"/>
    <w:rsid w:val="0031194E"/>
    <w:rsid w:val="00311BCC"/>
    <w:rsid w:val="00311D77"/>
    <w:rsid w:val="00311F62"/>
    <w:rsid w:val="00312053"/>
    <w:rsid w:val="003120C8"/>
    <w:rsid w:val="0031226C"/>
    <w:rsid w:val="0031228C"/>
    <w:rsid w:val="003124DF"/>
    <w:rsid w:val="003126A6"/>
    <w:rsid w:val="00312879"/>
    <w:rsid w:val="003128D7"/>
    <w:rsid w:val="0031297D"/>
    <w:rsid w:val="00312A2D"/>
    <w:rsid w:val="00312A31"/>
    <w:rsid w:val="00312A33"/>
    <w:rsid w:val="00312B43"/>
    <w:rsid w:val="00312BED"/>
    <w:rsid w:val="00312C13"/>
    <w:rsid w:val="00312C47"/>
    <w:rsid w:val="00312CD4"/>
    <w:rsid w:val="00312D1E"/>
    <w:rsid w:val="00312EAB"/>
    <w:rsid w:val="0031302C"/>
    <w:rsid w:val="00313057"/>
    <w:rsid w:val="003133D3"/>
    <w:rsid w:val="0031351A"/>
    <w:rsid w:val="00313699"/>
    <w:rsid w:val="003137DF"/>
    <w:rsid w:val="003139D6"/>
    <w:rsid w:val="00313A46"/>
    <w:rsid w:val="00313A56"/>
    <w:rsid w:val="00313AE3"/>
    <w:rsid w:val="00313BAC"/>
    <w:rsid w:val="00313C21"/>
    <w:rsid w:val="00313CB7"/>
    <w:rsid w:val="00313D5F"/>
    <w:rsid w:val="00313E47"/>
    <w:rsid w:val="00313F87"/>
    <w:rsid w:val="00314171"/>
    <w:rsid w:val="0031448D"/>
    <w:rsid w:val="00314580"/>
    <w:rsid w:val="00314594"/>
    <w:rsid w:val="00314799"/>
    <w:rsid w:val="00314828"/>
    <w:rsid w:val="00314A4D"/>
    <w:rsid w:val="00314A64"/>
    <w:rsid w:val="00314E82"/>
    <w:rsid w:val="00314F12"/>
    <w:rsid w:val="00315330"/>
    <w:rsid w:val="003155CF"/>
    <w:rsid w:val="003157BC"/>
    <w:rsid w:val="003157DA"/>
    <w:rsid w:val="00315949"/>
    <w:rsid w:val="003159DC"/>
    <w:rsid w:val="00315D30"/>
    <w:rsid w:val="00315D8A"/>
    <w:rsid w:val="0031603E"/>
    <w:rsid w:val="00316637"/>
    <w:rsid w:val="003166AE"/>
    <w:rsid w:val="00316892"/>
    <w:rsid w:val="0031698A"/>
    <w:rsid w:val="003169E8"/>
    <w:rsid w:val="00316C48"/>
    <w:rsid w:val="00316C6A"/>
    <w:rsid w:val="00316D83"/>
    <w:rsid w:val="003171A3"/>
    <w:rsid w:val="00317246"/>
    <w:rsid w:val="00317382"/>
    <w:rsid w:val="00317459"/>
    <w:rsid w:val="00317570"/>
    <w:rsid w:val="003176C4"/>
    <w:rsid w:val="003179C5"/>
    <w:rsid w:val="003179E5"/>
    <w:rsid w:val="00317A36"/>
    <w:rsid w:val="00317B18"/>
    <w:rsid w:val="00317BA7"/>
    <w:rsid w:val="00317C0E"/>
    <w:rsid w:val="00317CC3"/>
    <w:rsid w:val="0032003B"/>
    <w:rsid w:val="0032007C"/>
    <w:rsid w:val="003200FF"/>
    <w:rsid w:val="003201DD"/>
    <w:rsid w:val="00320273"/>
    <w:rsid w:val="003203C7"/>
    <w:rsid w:val="0032064D"/>
    <w:rsid w:val="003206A6"/>
    <w:rsid w:val="0032090C"/>
    <w:rsid w:val="0032099F"/>
    <w:rsid w:val="00320B90"/>
    <w:rsid w:val="00320C97"/>
    <w:rsid w:val="00320FF2"/>
    <w:rsid w:val="00321025"/>
    <w:rsid w:val="003210F3"/>
    <w:rsid w:val="00321237"/>
    <w:rsid w:val="00321645"/>
    <w:rsid w:val="00321682"/>
    <w:rsid w:val="0032168D"/>
    <w:rsid w:val="003218B8"/>
    <w:rsid w:val="00321B5B"/>
    <w:rsid w:val="00321CCD"/>
    <w:rsid w:val="00321DD7"/>
    <w:rsid w:val="00322178"/>
    <w:rsid w:val="0032219C"/>
    <w:rsid w:val="00322241"/>
    <w:rsid w:val="003223D6"/>
    <w:rsid w:val="0032242F"/>
    <w:rsid w:val="00322449"/>
    <w:rsid w:val="003224BE"/>
    <w:rsid w:val="003225A9"/>
    <w:rsid w:val="003225BF"/>
    <w:rsid w:val="00322972"/>
    <w:rsid w:val="003229AF"/>
    <w:rsid w:val="00322B58"/>
    <w:rsid w:val="00322BD3"/>
    <w:rsid w:val="00322C06"/>
    <w:rsid w:val="00322C6C"/>
    <w:rsid w:val="00322D93"/>
    <w:rsid w:val="00322FD2"/>
    <w:rsid w:val="003230CA"/>
    <w:rsid w:val="003233DD"/>
    <w:rsid w:val="003234E8"/>
    <w:rsid w:val="00323773"/>
    <w:rsid w:val="003238D7"/>
    <w:rsid w:val="003239BD"/>
    <w:rsid w:val="00323ADD"/>
    <w:rsid w:val="00323B30"/>
    <w:rsid w:val="00323C7A"/>
    <w:rsid w:val="00323C9C"/>
    <w:rsid w:val="00323D3C"/>
    <w:rsid w:val="00323EFD"/>
    <w:rsid w:val="00323F85"/>
    <w:rsid w:val="003241CE"/>
    <w:rsid w:val="0032441D"/>
    <w:rsid w:val="0032460F"/>
    <w:rsid w:val="00324832"/>
    <w:rsid w:val="00324A2A"/>
    <w:rsid w:val="00324BF4"/>
    <w:rsid w:val="00324E5E"/>
    <w:rsid w:val="00324EA0"/>
    <w:rsid w:val="00324F61"/>
    <w:rsid w:val="00325057"/>
    <w:rsid w:val="00325190"/>
    <w:rsid w:val="00325266"/>
    <w:rsid w:val="0032528A"/>
    <w:rsid w:val="00325451"/>
    <w:rsid w:val="00325710"/>
    <w:rsid w:val="0032577D"/>
    <w:rsid w:val="00325804"/>
    <w:rsid w:val="003259A2"/>
    <w:rsid w:val="00325DC9"/>
    <w:rsid w:val="00326173"/>
    <w:rsid w:val="0032636D"/>
    <w:rsid w:val="0032637B"/>
    <w:rsid w:val="003264BF"/>
    <w:rsid w:val="0032656F"/>
    <w:rsid w:val="00326865"/>
    <w:rsid w:val="00326873"/>
    <w:rsid w:val="00326EDA"/>
    <w:rsid w:val="00327137"/>
    <w:rsid w:val="00327463"/>
    <w:rsid w:val="003276A9"/>
    <w:rsid w:val="003276C4"/>
    <w:rsid w:val="003277E3"/>
    <w:rsid w:val="00327875"/>
    <w:rsid w:val="00327988"/>
    <w:rsid w:val="003279E4"/>
    <w:rsid w:val="00327A64"/>
    <w:rsid w:val="00327B92"/>
    <w:rsid w:val="00330185"/>
    <w:rsid w:val="003301F5"/>
    <w:rsid w:val="00330218"/>
    <w:rsid w:val="003303D4"/>
    <w:rsid w:val="003303F8"/>
    <w:rsid w:val="003304A1"/>
    <w:rsid w:val="00330580"/>
    <w:rsid w:val="0033059C"/>
    <w:rsid w:val="0033081D"/>
    <w:rsid w:val="00330A37"/>
    <w:rsid w:val="00330A49"/>
    <w:rsid w:val="00330B4E"/>
    <w:rsid w:val="00330C61"/>
    <w:rsid w:val="00330DF7"/>
    <w:rsid w:val="00330ED6"/>
    <w:rsid w:val="00330F74"/>
    <w:rsid w:val="00330FEA"/>
    <w:rsid w:val="00331074"/>
    <w:rsid w:val="0033177D"/>
    <w:rsid w:val="0033186A"/>
    <w:rsid w:val="00331898"/>
    <w:rsid w:val="00331AEC"/>
    <w:rsid w:val="00331C8A"/>
    <w:rsid w:val="00331C95"/>
    <w:rsid w:val="00331E2E"/>
    <w:rsid w:val="003320C0"/>
    <w:rsid w:val="0033218D"/>
    <w:rsid w:val="003321BC"/>
    <w:rsid w:val="003322ED"/>
    <w:rsid w:val="00332354"/>
    <w:rsid w:val="0033244E"/>
    <w:rsid w:val="003326BE"/>
    <w:rsid w:val="003327FF"/>
    <w:rsid w:val="00332865"/>
    <w:rsid w:val="00332A03"/>
    <w:rsid w:val="00332A21"/>
    <w:rsid w:val="00332C83"/>
    <w:rsid w:val="00332CA2"/>
    <w:rsid w:val="00332DE6"/>
    <w:rsid w:val="00332FD7"/>
    <w:rsid w:val="00333061"/>
    <w:rsid w:val="00333110"/>
    <w:rsid w:val="00333254"/>
    <w:rsid w:val="00333299"/>
    <w:rsid w:val="003333D8"/>
    <w:rsid w:val="0033344A"/>
    <w:rsid w:val="00333950"/>
    <w:rsid w:val="00333992"/>
    <w:rsid w:val="00333AD5"/>
    <w:rsid w:val="00333B69"/>
    <w:rsid w:val="00333C0F"/>
    <w:rsid w:val="00333D6D"/>
    <w:rsid w:val="00333EE9"/>
    <w:rsid w:val="003340E0"/>
    <w:rsid w:val="003341BF"/>
    <w:rsid w:val="003341EB"/>
    <w:rsid w:val="0033422B"/>
    <w:rsid w:val="0033432A"/>
    <w:rsid w:val="00334396"/>
    <w:rsid w:val="003344B8"/>
    <w:rsid w:val="003347F3"/>
    <w:rsid w:val="003348FD"/>
    <w:rsid w:val="0033497C"/>
    <w:rsid w:val="00334BBF"/>
    <w:rsid w:val="00334CB7"/>
    <w:rsid w:val="00334E75"/>
    <w:rsid w:val="00334EC8"/>
    <w:rsid w:val="00334FE4"/>
    <w:rsid w:val="00334FE6"/>
    <w:rsid w:val="00335259"/>
    <w:rsid w:val="00335269"/>
    <w:rsid w:val="003353D0"/>
    <w:rsid w:val="00335462"/>
    <w:rsid w:val="00335546"/>
    <w:rsid w:val="003355F1"/>
    <w:rsid w:val="00335669"/>
    <w:rsid w:val="003359AE"/>
    <w:rsid w:val="00335A2D"/>
    <w:rsid w:val="00335AAF"/>
    <w:rsid w:val="00335BB2"/>
    <w:rsid w:val="00335CD5"/>
    <w:rsid w:val="00335D5F"/>
    <w:rsid w:val="00335E28"/>
    <w:rsid w:val="0033610D"/>
    <w:rsid w:val="0033620C"/>
    <w:rsid w:val="00336336"/>
    <w:rsid w:val="003363EC"/>
    <w:rsid w:val="00336437"/>
    <w:rsid w:val="00336536"/>
    <w:rsid w:val="0033679F"/>
    <w:rsid w:val="003368C5"/>
    <w:rsid w:val="00336A17"/>
    <w:rsid w:val="00336A1F"/>
    <w:rsid w:val="00336E6D"/>
    <w:rsid w:val="00336F70"/>
    <w:rsid w:val="003370CA"/>
    <w:rsid w:val="00337561"/>
    <w:rsid w:val="0033761B"/>
    <w:rsid w:val="0033769A"/>
    <w:rsid w:val="00337949"/>
    <w:rsid w:val="00337A28"/>
    <w:rsid w:val="00337A72"/>
    <w:rsid w:val="00337D3D"/>
    <w:rsid w:val="0034029F"/>
    <w:rsid w:val="00340555"/>
    <w:rsid w:val="00340679"/>
    <w:rsid w:val="003407D5"/>
    <w:rsid w:val="003409AD"/>
    <w:rsid w:val="00340ACD"/>
    <w:rsid w:val="00340B64"/>
    <w:rsid w:val="00340DB4"/>
    <w:rsid w:val="00340DB6"/>
    <w:rsid w:val="00340EA2"/>
    <w:rsid w:val="0034104C"/>
    <w:rsid w:val="0034105D"/>
    <w:rsid w:val="00341146"/>
    <w:rsid w:val="00341260"/>
    <w:rsid w:val="003412F4"/>
    <w:rsid w:val="003412FC"/>
    <w:rsid w:val="00341500"/>
    <w:rsid w:val="0034150C"/>
    <w:rsid w:val="00341888"/>
    <w:rsid w:val="003419EF"/>
    <w:rsid w:val="00341C04"/>
    <w:rsid w:val="00341F3A"/>
    <w:rsid w:val="00341F9E"/>
    <w:rsid w:val="00341FB8"/>
    <w:rsid w:val="003420B9"/>
    <w:rsid w:val="00342168"/>
    <w:rsid w:val="003422CF"/>
    <w:rsid w:val="0034258A"/>
    <w:rsid w:val="00342649"/>
    <w:rsid w:val="0034267E"/>
    <w:rsid w:val="0034277A"/>
    <w:rsid w:val="00342AA3"/>
    <w:rsid w:val="00342CE4"/>
    <w:rsid w:val="00342D7B"/>
    <w:rsid w:val="00342E9D"/>
    <w:rsid w:val="00342FCE"/>
    <w:rsid w:val="00343494"/>
    <w:rsid w:val="00343565"/>
    <w:rsid w:val="003435C5"/>
    <w:rsid w:val="00343690"/>
    <w:rsid w:val="00343702"/>
    <w:rsid w:val="0034377C"/>
    <w:rsid w:val="003437CB"/>
    <w:rsid w:val="00343891"/>
    <w:rsid w:val="003438F6"/>
    <w:rsid w:val="00343C29"/>
    <w:rsid w:val="00343E66"/>
    <w:rsid w:val="0034435C"/>
    <w:rsid w:val="0034449E"/>
    <w:rsid w:val="003444D8"/>
    <w:rsid w:val="003444DC"/>
    <w:rsid w:val="0034459A"/>
    <w:rsid w:val="0034459B"/>
    <w:rsid w:val="0034461C"/>
    <w:rsid w:val="003447AA"/>
    <w:rsid w:val="00344830"/>
    <w:rsid w:val="00344837"/>
    <w:rsid w:val="00344852"/>
    <w:rsid w:val="0034485D"/>
    <w:rsid w:val="003449C5"/>
    <w:rsid w:val="00344C07"/>
    <w:rsid w:val="00344D03"/>
    <w:rsid w:val="00344D7B"/>
    <w:rsid w:val="00344DE7"/>
    <w:rsid w:val="00344FF2"/>
    <w:rsid w:val="0034505F"/>
    <w:rsid w:val="003452E0"/>
    <w:rsid w:val="003454DB"/>
    <w:rsid w:val="00345567"/>
    <w:rsid w:val="00345571"/>
    <w:rsid w:val="003455F9"/>
    <w:rsid w:val="00345B84"/>
    <w:rsid w:val="00345B97"/>
    <w:rsid w:val="00345E58"/>
    <w:rsid w:val="0034600B"/>
    <w:rsid w:val="00346087"/>
    <w:rsid w:val="00346114"/>
    <w:rsid w:val="00346187"/>
    <w:rsid w:val="00346964"/>
    <w:rsid w:val="00346968"/>
    <w:rsid w:val="00346A27"/>
    <w:rsid w:val="00346C27"/>
    <w:rsid w:val="00346CDD"/>
    <w:rsid w:val="00346D0E"/>
    <w:rsid w:val="00346E17"/>
    <w:rsid w:val="00346F81"/>
    <w:rsid w:val="0034708B"/>
    <w:rsid w:val="0034722E"/>
    <w:rsid w:val="00347375"/>
    <w:rsid w:val="003474D3"/>
    <w:rsid w:val="003475E1"/>
    <w:rsid w:val="00347671"/>
    <w:rsid w:val="003476C2"/>
    <w:rsid w:val="003476DD"/>
    <w:rsid w:val="00347712"/>
    <w:rsid w:val="0034783C"/>
    <w:rsid w:val="00347868"/>
    <w:rsid w:val="00347C70"/>
    <w:rsid w:val="00347DE0"/>
    <w:rsid w:val="00347F95"/>
    <w:rsid w:val="00350077"/>
    <w:rsid w:val="003500A9"/>
    <w:rsid w:val="003500BA"/>
    <w:rsid w:val="0035017A"/>
    <w:rsid w:val="003504AC"/>
    <w:rsid w:val="0035064F"/>
    <w:rsid w:val="0035072D"/>
    <w:rsid w:val="00350824"/>
    <w:rsid w:val="00350C2E"/>
    <w:rsid w:val="00350C69"/>
    <w:rsid w:val="00350D1E"/>
    <w:rsid w:val="00351230"/>
    <w:rsid w:val="003512AF"/>
    <w:rsid w:val="003517A9"/>
    <w:rsid w:val="00351AC8"/>
    <w:rsid w:val="00351B93"/>
    <w:rsid w:val="00351EE8"/>
    <w:rsid w:val="00351EFE"/>
    <w:rsid w:val="0035216F"/>
    <w:rsid w:val="00352235"/>
    <w:rsid w:val="0035224E"/>
    <w:rsid w:val="00352352"/>
    <w:rsid w:val="0035241B"/>
    <w:rsid w:val="00352637"/>
    <w:rsid w:val="00352822"/>
    <w:rsid w:val="003528E4"/>
    <w:rsid w:val="00352904"/>
    <w:rsid w:val="00352AEB"/>
    <w:rsid w:val="00352C68"/>
    <w:rsid w:val="00352D07"/>
    <w:rsid w:val="00352D70"/>
    <w:rsid w:val="00352E02"/>
    <w:rsid w:val="00352E48"/>
    <w:rsid w:val="0035313C"/>
    <w:rsid w:val="00353148"/>
    <w:rsid w:val="0035328F"/>
    <w:rsid w:val="003532CB"/>
    <w:rsid w:val="0035357E"/>
    <w:rsid w:val="003535E3"/>
    <w:rsid w:val="0035379D"/>
    <w:rsid w:val="0035391B"/>
    <w:rsid w:val="00353AF4"/>
    <w:rsid w:val="00353C00"/>
    <w:rsid w:val="00353C0A"/>
    <w:rsid w:val="00353D9B"/>
    <w:rsid w:val="00353DE6"/>
    <w:rsid w:val="00353DEC"/>
    <w:rsid w:val="00354075"/>
    <w:rsid w:val="003540A0"/>
    <w:rsid w:val="00354797"/>
    <w:rsid w:val="003548DE"/>
    <w:rsid w:val="00354A31"/>
    <w:rsid w:val="00354D74"/>
    <w:rsid w:val="00354FE6"/>
    <w:rsid w:val="003551CD"/>
    <w:rsid w:val="003552D3"/>
    <w:rsid w:val="003556CA"/>
    <w:rsid w:val="003557BC"/>
    <w:rsid w:val="003557DD"/>
    <w:rsid w:val="003557FB"/>
    <w:rsid w:val="0035583D"/>
    <w:rsid w:val="003558D8"/>
    <w:rsid w:val="00355A14"/>
    <w:rsid w:val="00355ACC"/>
    <w:rsid w:val="00355B3A"/>
    <w:rsid w:val="00355BC9"/>
    <w:rsid w:val="00355C02"/>
    <w:rsid w:val="00355E8E"/>
    <w:rsid w:val="00355ECD"/>
    <w:rsid w:val="0035629F"/>
    <w:rsid w:val="003562E1"/>
    <w:rsid w:val="00356354"/>
    <w:rsid w:val="00356489"/>
    <w:rsid w:val="00356713"/>
    <w:rsid w:val="003567BC"/>
    <w:rsid w:val="00356803"/>
    <w:rsid w:val="00356838"/>
    <w:rsid w:val="00356896"/>
    <w:rsid w:val="0035692A"/>
    <w:rsid w:val="003569B8"/>
    <w:rsid w:val="00356A73"/>
    <w:rsid w:val="00356AE8"/>
    <w:rsid w:val="00356CDE"/>
    <w:rsid w:val="00356D31"/>
    <w:rsid w:val="00356E42"/>
    <w:rsid w:val="003571DB"/>
    <w:rsid w:val="00357243"/>
    <w:rsid w:val="00357259"/>
    <w:rsid w:val="003572BE"/>
    <w:rsid w:val="0035751E"/>
    <w:rsid w:val="003575B0"/>
    <w:rsid w:val="00357712"/>
    <w:rsid w:val="003577A4"/>
    <w:rsid w:val="00357817"/>
    <w:rsid w:val="003578C4"/>
    <w:rsid w:val="0035795F"/>
    <w:rsid w:val="003579F4"/>
    <w:rsid w:val="00357C09"/>
    <w:rsid w:val="00357C6B"/>
    <w:rsid w:val="00357D33"/>
    <w:rsid w:val="00357E51"/>
    <w:rsid w:val="00357F9B"/>
    <w:rsid w:val="003600F1"/>
    <w:rsid w:val="0036036A"/>
    <w:rsid w:val="0036048E"/>
    <w:rsid w:val="003605A2"/>
    <w:rsid w:val="00360610"/>
    <w:rsid w:val="0036070E"/>
    <w:rsid w:val="00360742"/>
    <w:rsid w:val="0036087C"/>
    <w:rsid w:val="003609BE"/>
    <w:rsid w:val="00360A0D"/>
    <w:rsid w:val="00360D02"/>
    <w:rsid w:val="00360F21"/>
    <w:rsid w:val="00361130"/>
    <w:rsid w:val="0036116B"/>
    <w:rsid w:val="00361234"/>
    <w:rsid w:val="0036127D"/>
    <w:rsid w:val="00361A72"/>
    <w:rsid w:val="00361C1E"/>
    <w:rsid w:val="00361C5D"/>
    <w:rsid w:val="00361D8A"/>
    <w:rsid w:val="00361E84"/>
    <w:rsid w:val="00361F1D"/>
    <w:rsid w:val="003622FA"/>
    <w:rsid w:val="00362345"/>
    <w:rsid w:val="0036246B"/>
    <w:rsid w:val="00362570"/>
    <w:rsid w:val="00362587"/>
    <w:rsid w:val="00362620"/>
    <w:rsid w:val="00362845"/>
    <w:rsid w:val="003628E3"/>
    <w:rsid w:val="00362924"/>
    <w:rsid w:val="00362C4F"/>
    <w:rsid w:val="00362DB1"/>
    <w:rsid w:val="00362DBD"/>
    <w:rsid w:val="00362ED8"/>
    <w:rsid w:val="00362FFE"/>
    <w:rsid w:val="0036303C"/>
    <w:rsid w:val="003631CF"/>
    <w:rsid w:val="003631FA"/>
    <w:rsid w:val="0036324B"/>
    <w:rsid w:val="0036332A"/>
    <w:rsid w:val="003633BD"/>
    <w:rsid w:val="00363542"/>
    <w:rsid w:val="0036361C"/>
    <w:rsid w:val="003637FF"/>
    <w:rsid w:val="00363A15"/>
    <w:rsid w:val="00363AD7"/>
    <w:rsid w:val="00363F2E"/>
    <w:rsid w:val="00363FCF"/>
    <w:rsid w:val="00364104"/>
    <w:rsid w:val="0036428F"/>
    <w:rsid w:val="003642E9"/>
    <w:rsid w:val="00364341"/>
    <w:rsid w:val="00364443"/>
    <w:rsid w:val="00364454"/>
    <w:rsid w:val="0036456D"/>
    <w:rsid w:val="0036468C"/>
    <w:rsid w:val="0036483A"/>
    <w:rsid w:val="003648D8"/>
    <w:rsid w:val="00364921"/>
    <w:rsid w:val="00364AF8"/>
    <w:rsid w:val="00364BDE"/>
    <w:rsid w:val="003650DC"/>
    <w:rsid w:val="003652BA"/>
    <w:rsid w:val="00365333"/>
    <w:rsid w:val="003653D0"/>
    <w:rsid w:val="003654AA"/>
    <w:rsid w:val="00365558"/>
    <w:rsid w:val="00365619"/>
    <w:rsid w:val="00365661"/>
    <w:rsid w:val="003656DC"/>
    <w:rsid w:val="00365733"/>
    <w:rsid w:val="00365850"/>
    <w:rsid w:val="0036597B"/>
    <w:rsid w:val="00365A12"/>
    <w:rsid w:val="00365AC1"/>
    <w:rsid w:val="00365BC7"/>
    <w:rsid w:val="00365FDD"/>
    <w:rsid w:val="00366074"/>
    <w:rsid w:val="003660EC"/>
    <w:rsid w:val="00366121"/>
    <w:rsid w:val="00366170"/>
    <w:rsid w:val="00366224"/>
    <w:rsid w:val="003663F4"/>
    <w:rsid w:val="003663F9"/>
    <w:rsid w:val="0036643C"/>
    <w:rsid w:val="00366564"/>
    <w:rsid w:val="00366CB7"/>
    <w:rsid w:val="00366D50"/>
    <w:rsid w:val="003672CA"/>
    <w:rsid w:val="003675DC"/>
    <w:rsid w:val="003676B2"/>
    <w:rsid w:val="003676DF"/>
    <w:rsid w:val="00367960"/>
    <w:rsid w:val="003679FC"/>
    <w:rsid w:val="00367B7A"/>
    <w:rsid w:val="00367B87"/>
    <w:rsid w:val="00367BCA"/>
    <w:rsid w:val="00367CEB"/>
    <w:rsid w:val="00367DD5"/>
    <w:rsid w:val="00367E8E"/>
    <w:rsid w:val="00367EEF"/>
    <w:rsid w:val="00370064"/>
    <w:rsid w:val="00370411"/>
    <w:rsid w:val="00370746"/>
    <w:rsid w:val="003707B7"/>
    <w:rsid w:val="00370851"/>
    <w:rsid w:val="003709CC"/>
    <w:rsid w:val="00370A56"/>
    <w:rsid w:val="00370B6D"/>
    <w:rsid w:val="00370E17"/>
    <w:rsid w:val="00370EA7"/>
    <w:rsid w:val="003711AA"/>
    <w:rsid w:val="003711C0"/>
    <w:rsid w:val="0037125F"/>
    <w:rsid w:val="0037140A"/>
    <w:rsid w:val="00371545"/>
    <w:rsid w:val="003715CD"/>
    <w:rsid w:val="00371669"/>
    <w:rsid w:val="0037182B"/>
    <w:rsid w:val="003718DD"/>
    <w:rsid w:val="00371D14"/>
    <w:rsid w:val="00371EBF"/>
    <w:rsid w:val="00371F3F"/>
    <w:rsid w:val="00372289"/>
    <w:rsid w:val="003722DC"/>
    <w:rsid w:val="003723CA"/>
    <w:rsid w:val="00372457"/>
    <w:rsid w:val="003725BA"/>
    <w:rsid w:val="00372756"/>
    <w:rsid w:val="00372E3C"/>
    <w:rsid w:val="00372E41"/>
    <w:rsid w:val="00372F52"/>
    <w:rsid w:val="00372F57"/>
    <w:rsid w:val="00373247"/>
    <w:rsid w:val="003732C4"/>
    <w:rsid w:val="00373433"/>
    <w:rsid w:val="00373628"/>
    <w:rsid w:val="0037365A"/>
    <w:rsid w:val="0037368C"/>
    <w:rsid w:val="00373696"/>
    <w:rsid w:val="003738AB"/>
    <w:rsid w:val="0037390C"/>
    <w:rsid w:val="003739D7"/>
    <w:rsid w:val="00373CEA"/>
    <w:rsid w:val="00373E22"/>
    <w:rsid w:val="00374021"/>
    <w:rsid w:val="00374218"/>
    <w:rsid w:val="0037426C"/>
    <w:rsid w:val="00374517"/>
    <w:rsid w:val="0037477D"/>
    <w:rsid w:val="003748F2"/>
    <w:rsid w:val="00374A3B"/>
    <w:rsid w:val="00374BCA"/>
    <w:rsid w:val="00374BCB"/>
    <w:rsid w:val="00374C52"/>
    <w:rsid w:val="00374D68"/>
    <w:rsid w:val="00374E6F"/>
    <w:rsid w:val="00374EF7"/>
    <w:rsid w:val="00374FAB"/>
    <w:rsid w:val="00375006"/>
    <w:rsid w:val="003751EF"/>
    <w:rsid w:val="003752BA"/>
    <w:rsid w:val="0037532E"/>
    <w:rsid w:val="0037554E"/>
    <w:rsid w:val="00375710"/>
    <w:rsid w:val="0037591F"/>
    <w:rsid w:val="0037594C"/>
    <w:rsid w:val="003759BA"/>
    <w:rsid w:val="003759F6"/>
    <w:rsid w:val="00375A1D"/>
    <w:rsid w:val="00375A35"/>
    <w:rsid w:val="00375BEF"/>
    <w:rsid w:val="00376235"/>
    <w:rsid w:val="003765FA"/>
    <w:rsid w:val="00376828"/>
    <w:rsid w:val="00376AE0"/>
    <w:rsid w:val="00376D21"/>
    <w:rsid w:val="00376DC7"/>
    <w:rsid w:val="00376E44"/>
    <w:rsid w:val="00376FBE"/>
    <w:rsid w:val="0037703E"/>
    <w:rsid w:val="003771D6"/>
    <w:rsid w:val="00377413"/>
    <w:rsid w:val="0037748F"/>
    <w:rsid w:val="00377508"/>
    <w:rsid w:val="0037750A"/>
    <w:rsid w:val="00377603"/>
    <w:rsid w:val="003779AF"/>
    <w:rsid w:val="00377B1E"/>
    <w:rsid w:val="00377B4E"/>
    <w:rsid w:val="00377C8C"/>
    <w:rsid w:val="00377DD7"/>
    <w:rsid w:val="00377EDB"/>
    <w:rsid w:val="00380316"/>
    <w:rsid w:val="0038053D"/>
    <w:rsid w:val="003805A1"/>
    <w:rsid w:val="003806B3"/>
    <w:rsid w:val="003806CA"/>
    <w:rsid w:val="00380793"/>
    <w:rsid w:val="003808E5"/>
    <w:rsid w:val="00380D8E"/>
    <w:rsid w:val="00380DEF"/>
    <w:rsid w:val="00380E31"/>
    <w:rsid w:val="00380EA4"/>
    <w:rsid w:val="00381040"/>
    <w:rsid w:val="00381364"/>
    <w:rsid w:val="003817BA"/>
    <w:rsid w:val="003818D3"/>
    <w:rsid w:val="00381912"/>
    <w:rsid w:val="00381980"/>
    <w:rsid w:val="003819B3"/>
    <w:rsid w:val="00381BB5"/>
    <w:rsid w:val="00381BC9"/>
    <w:rsid w:val="00381D50"/>
    <w:rsid w:val="00381E73"/>
    <w:rsid w:val="0038215E"/>
    <w:rsid w:val="00382177"/>
    <w:rsid w:val="0038229B"/>
    <w:rsid w:val="003825C3"/>
    <w:rsid w:val="00382697"/>
    <w:rsid w:val="003826B8"/>
    <w:rsid w:val="0038276D"/>
    <w:rsid w:val="003827A9"/>
    <w:rsid w:val="003828B9"/>
    <w:rsid w:val="003828C0"/>
    <w:rsid w:val="00382996"/>
    <w:rsid w:val="00382C64"/>
    <w:rsid w:val="00382C81"/>
    <w:rsid w:val="00382D8A"/>
    <w:rsid w:val="00382FFF"/>
    <w:rsid w:val="0038312A"/>
    <w:rsid w:val="00383227"/>
    <w:rsid w:val="0038324B"/>
    <w:rsid w:val="003832C5"/>
    <w:rsid w:val="003832CE"/>
    <w:rsid w:val="00383327"/>
    <w:rsid w:val="00383619"/>
    <w:rsid w:val="00383711"/>
    <w:rsid w:val="00383850"/>
    <w:rsid w:val="00383869"/>
    <w:rsid w:val="00383B50"/>
    <w:rsid w:val="00383B6E"/>
    <w:rsid w:val="003841C3"/>
    <w:rsid w:val="0038436C"/>
    <w:rsid w:val="003847D7"/>
    <w:rsid w:val="00384B07"/>
    <w:rsid w:val="00384B70"/>
    <w:rsid w:val="00384BE8"/>
    <w:rsid w:val="00384E59"/>
    <w:rsid w:val="00384EEC"/>
    <w:rsid w:val="003850FA"/>
    <w:rsid w:val="00385152"/>
    <w:rsid w:val="00385166"/>
    <w:rsid w:val="0038541B"/>
    <w:rsid w:val="00385493"/>
    <w:rsid w:val="003854FA"/>
    <w:rsid w:val="00385923"/>
    <w:rsid w:val="00385B17"/>
    <w:rsid w:val="00385D23"/>
    <w:rsid w:val="00385DE4"/>
    <w:rsid w:val="00385E1C"/>
    <w:rsid w:val="00385E61"/>
    <w:rsid w:val="00385EAE"/>
    <w:rsid w:val="003862DA"/>
    <w:rsid w:val="00386444"/>
    <w:rsid w:val="00386698"/>
    <w:rsid w:val="00386759"/>
    <w:rsid w:val="0038677A"/>
    <w:rsid w:val="00386795"/>
    <w:rsid w:val="003868BB"/>
    <w:rsid w:val="0038697D"/>
    <w:rsid w:val="00386D7A"/>
    <w:rsid w:val="00386E58"/>
    <w:rsid w:val="00386E67"/>
    <w:rsid w:val="00386EA9"/>
    <w:rsid w:val="00386F18"/>
    <w:rsid w:val="00386F99"/>
    <w:rsid w:val="00386FD4"/>
    <w:rsid w:val="00387100"/>
    <w:rsid w:val="0038712E"/>
    <w:rsid w:val="003871B0"/>
    <w:rsid w:val="0038728A"/>
    <w:rsid w:val="003873EC"/>
    <w:rsid w:val="00387698"/>
    <w:rsid w:val="00387799"/>
    <w:rsid w:val="003877E8"/>
    <w:rsid w:val="0038781E"/>
    <w:rsid w:val="00387830"/>
    <w:rsid w:val="00387845"/>
    <w:rsid w:val="003879F0"/>
    <w:rsid w:val="00387BA4"/>
    <w:rsid w:val="00387EA6"/>
    <w:rsid w:val="003900BA"/>
    <w:rsid w:val="0039010D"/>
    <w:rsid w:val="00390161"/>
    <w:rsid w:val="0039059D"/>
    <w:rsid w:val="003906B9"/>
    <w:rsid w:val="00390972"/>
    <w:rsid w:val="00390A38"/>
    <w:rsid w:val="00390AE1"/>
    <w:rsid w:val="00390B54"/>
    <w:rsid w:val="00390BEE"/>
    <w:rsid w:val="00390D09"/>
    <w:rsid w:val="00390D5B"/>
    <w:rsid w:val="0039111D"/>
    <w:rsid w:val="003911D0"/>
    <w:rsid w:val="003912DB"/>
    <w:rsid w:val="00391533"/>
    <w:rsid w:val="00391653"/>
    <w:rsid w:val="00391991"/>
    <w:rsid w:val="00391B74"/>
    <w:rsid w:val="00391B7C"/>
    <w:rsid w:val="00391BF3"/>
    <w:rsid w:val="00391BF4"/>
    <w:rsid w:val="00392116"/>
    <w:rsid w:val="00392119"/>
    <w:rsid w:val="0039211A"/>
    <w:rsid w:val="003924C9"/>
    <w:rsid w:val="0039255C"/>
    <w:rsid w:val="00392731"/>
    <w:rsid w:val="00392A9A"/>
    <w:rsid w:val="00392B3C"/>
    <w:rsid w:val="00392EAF"/>
    <w:rsid w:val="00392ECB"/>
    <w:rsid w:val="00392EFD"/>
    <w:rsid w:val="00392FA2"/>
    <w:rsid w:val="003933CB"/>
    <w:rsid w:val="00393412"/>
    <w:rsid w:val="003934BB"/>
    <w:rsid w:val="003935A9"/>
    <w:rsid w:val="00393634"/>
    <w:rsid w:val="0039374D"/>
    <w:rsid w:val="00393A58"/>
    <w:rsid w:val="00393A6C"/>
    <w:rsid w:val="00393B0D"/>
    <w:rsid w:val="00393BBF"/>
    <w:rsid w:val="00393E69"/>
    <w:rsid w:val="00393E7C"/>
    <w:rsid w:val="00393F09"/>
    <w:rsid w:val="00393F43"/>
    <w:rsid w:val="00393F88"/>
    <w:rsid w:val="0039459C"/>
    <w:rsid w:val="0039463A"/>
    <w:rsid w:val="00394670"/>
    <w:rsid w:val="003946B3"/>
    <w:rsid w:val="003948D6"/>
    <w:rsid w:val="00394A24"/>
    <w:rsid w:val="00394BB4"/>
    <w:rsid w:val="00394BF5"/>
    <w:rsid w:val="00394FE6"/>
    <w:rsid w:val="00395141"/>
    <w:rsid w:val="00395154"/>
    <w:rsid w:val="0039521D"/>
    <w:rsid w:val="00395390"/>
    <w:rsid w:val="00395498"/>
    <w:rsid w:val="00395559"/>
    <w:rsid w:val="003955BD"/>
    <w:rsid w:val="003956F6"/>
    <w:rsid w:val="00395832"/>
    <w:rsid w:val="00395A77"/>
    <w:rsid w:val="00395AA4"/>
    <w:rsid w:val="00395B93"/>
    <w:rsid w:val="00395C14"/>
    <w:rsid w:val="00395D8F"/>
    <w:rsid w:val="00395E7B"/>
    <w:rsid w:val="00396034"/>
    <w:rsid w:val="0039603B"/>
    <w:rsid w:val="00396377"/>
    <w:rsid w:val="0039644B"/>
    <w:rsid w:val="00396B88"/>
    <w:rsid w:val="00396F5F"/>
    <w:rsid w:val="003973A3"/>
    <w:rsid w:val="003973F1"/>
    <w:rsid w:val="00397513"/>
    <w:rsid w:val="0039751A"/>
    <w:rsid w:val="0039766F"/>
    <w:rsid w:val="00397792"/>
    <w:rsid w:val="0039780A"/>
    <w:rsid w:val="00397C21"/>
    <w:rsid w:val="00397E27"/>
    <w:rsid w:val="00397FB7"/>
    <w:rsid w:val="003A0148"/>
    <w:rsid w:val="003A0223"/>
    <w:rsid w:val="003A039D"/>
    <w:rsid w:val="003A03E9"/>
    <w:rsid w:val="003A0437"/>
    <w:rsid w:val="003A0472"/>
    <w:rsid w:val="003A04B2"/>
    <w:rsid w:val="003A0559"/>
    <w:rsid w:val="003A0671"/>
    <w:rsid w:val="003A0818"/>
    <w:rsid w:val="003A0B2C"/>
    <w:rsid w:val="003A0DC9"/>
    <w:rsid w:val="003A0E7C"/>
    <w:rsid w:val="003A0FD2"/>
    <w:rsid w:val="003A111C"/>
    <w:rsid w:val="003A134A"/>
    <w:rsid w:val="003A1391"/>
    <w:rsid w:val="003A13B3"/>
    <w:rsid w:val="003A1537"/>
    <w:rsid w:val="003A157A"/>
    <w:rsid w:val="003A158F"/>
    <w:rsid w:val="003A1599"/>
    <w:rsid w:val="003A166F"/>
    <w:rsid w:val="003A17DA"/>
    <w:rsid w:val="003A1A50"/>
    <w:rsid w:val="003A1A61"/>
    <w:rsid w:val="003A1B7D"/>
    <w:rsid w:val="003A1BA2"/>
    <w:rsid w:val="003A1C40"/>
    <w:rsid w:val="003A1D57"/>
    <w:rsid w:val="003A1EBC"/>
    <w:rsid w:val="003A1F78"/>
    <w:rsid w:val="003A1FD0"/>
    <w:rsid w:val="003A206F"/>
    <w:rsid w:val="003A20A0"/>
    <w:rsid w:val="003A20E5"/>
    <w:rsid w:val="003A24C1"/>
    <w:rsid w:val="003A2675"/>
    <w:rsid w:val="003A28EC"/>
    <w:rsid w:val="003A2A54"/>
    <w:rsid w:val="003A2A68"/>
    <w:rsid w:val="003A2C76"/>
    <w:rsid w:val="003A2CBA"/>
    <w:rsid w:val="003A2FFC"/>
    <w:rsid w:val="003A3269"/>
    <w:rsid w:val="003A32EE"/>
    <w:rsid w:val="003A3424"/>
    <w:rsid w:val="003A36D8"/>
    <w:rsid w:val="003A372F"/>
    <w:rsid w:val="003A3918"/>
    <w:rsid w:val="003A39C2"/>
    <w:rsid w:val="003A3D37"/>
    <w:rsid w:val="003A4025"/>
    <w:rsid w:val="003A4185"/>
    <w:rsid w:val="003A42C5"/>
    <w:rsid w:val="003A437B"/>
    <w:rsid w:val="003A4391"/>
    <w:rsid w:val="003A448E"/>
    <w:rsid w:val="003A453F"/>
    <w:rsid w:val="003A456C"/>
    <w:rsid w:val="003A4601"/>
    <w:rsid w:val="003A4802"/>
    <w:rsid w:val="003A4A09"/>
    <w:rsid w:val="003A4ADA"/>
    <w:rsid w:val="003A4C8F"/>
    <w:rsid w:val="003A4CA7"/>
    <w:rsid w:val="003A4DDE"/>
    <w:rsid w:val="003A4FCE"/>
    <w:rsid w:val="003A5049"/>
    <w:rsid w:val="003A512B"/>
    <w:rsid w:val="003A5163"/>
    <w:rsid w:val="003A5321"/>
    <w:rsid w:val="003A559E"/>
    <w:rsid w:val="003A564D"/>
    <w:rsid w:val="003A5AFD"/>
    <w:rsid w:val="003A5D1C"/>
    <w:rsid w:val="003A5D37"/>
    <w:rsid w:val="003A5D5B"/>
    <w:rsid w:val="003A5D87"/>
    <w:rsid w:val="003A5DD8"/>
    <w:rsid w:val="003A5EA5"/>
    <w:rsid w:val="003A5EA8"/>
    <w:rsid w:val="003A5EE3"/>
    <w:rsid w:val="003A5F4F"/>
    <w:rsid w:val="003A5FE4"/>
    <w:rsid w:val="003A615D"/>
    <w:rsid w:val="003A6396"/>
    <w:rsid w:val="003A63D4"/>
    <w:rsid w:val="003A65A0"/>
    <w:rsid w:val="003A67A9"/>
    <w:rsid w:val="003A68E8"/>
    <w:rsid w:val="003A6CFB"/>
    <w:rsid w:val="003A7268"/>
    <w:rsid w:val="003A7278"/>
    <w:rsid w:val="003A7408"/>
    <w:rsid w:val="003A7461"/>
    <w:rsid w:val="003A752F"/>
    <w:rsid w:val="003A75EB"/>
    <w:rsid w:val="003A782C"/>
    <w:rsid w:val="003A787C"/>
    <w:rsid w:val="003A7CC1"/>
    <w:rsid w:val="003A7D1C"/>
    <w:rsid w:val="003A7D72"/>
    <w:rsid w:val="003A7EF1"/>
    <w:rsid w:val="003A7F35"/>
    <w:rsid w:val="003B005C"/>
    <w:rsid w:val="003B00D8"/>
    <w:rsid w:val="003B012B"/>
    <w:rsid w:val="003B03DF"/>
    <w:rsid w:val="003B0530"/>
    <w:rsid w:val="003B075C"/>
    <w:rsid w:val="003B0968"/>
    <w:rsid w:val="003B09BC"/>
    <w:rsid w:val="003B0AF7"/>
    <w:rsid w:val="003B0B5E"/>
    <w:rsid w:val="003B0C07"/>
    <w:rsid w:val="003B0C68"/>
    <w:rsid w:val="003B0DF2"/>
    <w:rsid w:val="003B0E3F"/>
    <w:rsid w:val="003B0E40"/>
    <w:rsid w:val="003B0E72"/>
    <w:rsid w:val="003B0FCB"/>
    <w:rsid w:val="003B1305"/>
    <w:rsid w:val="003B1636"/>
    <w:rsid w:val="003B172F"/>
    <w:rsid w:val="003B1A78"/>
    <w:rsid w:val="003B1CE8"/>
    <w:rsid w:val="003B1E09"/>
    <w:rsid w:val="003B1F90"/>
    <w:rsid w:val="003B201D"/>
    <w:rsid w:val="003B2022"/>
    <w:rsid w:val="003B20A0"/>
    <w:rsid w:val="003B23FB"/>
    <w:rsid w:val="003B2578"/>
    <w:rsid w:val="003B2583"/>
    <w:rsid w:val="003B2828"/>
    <w:rsid w:val="003B284D"/>
    <w:rsid w:val="003B298A"/>
    <w:rsid w:val="003B2B03"/>
    <w:rsid w:val="003B2B31"/>
    <w:rsid w:val="003B2C8A"/>
    <w:rsid w:val="003B2D5D"/>
    <w:rsid w:val="003B3039"/>
    <w:rsid w:val="003B3093"/>
    <w:rsid w:val="003B3272"/>
    <w:rsid w:val="003B32A9"/>
    <w:rsid w:val="003B32CE"/>
    <w:rsid w:val="003B3411"/>
    <w:rsid w:val="003B3567"/>
    <w:rsid w:val="003B3602"/>
    <w:rsid w:val="003B3749"/>
    <w:rsid w:val="003B37D7"/>
    <w:rsid w:val="003B37F1"/>
    <w:rsid w:val="003B38F2"/>
    <w:rsid w:val="003B3A99"/>
    <w:rsid w:val="003B3D57"/>
    <w:rsid w:val="003B3F70"/>
    <w:rsid w:val="003B412F"/>
    <w:rsid w:val="003B42A9"/>
    <w:rsid w:val="003B4459"/>
    <w:rsid w:val="003B44E9"/>
    <w:rsid w:val="003B452E"/>
    <w:rsid w:val="003B4576"/>
    <w:rsid w:val="003B464C"/>
    <w:rsid w:val="003B4679"/>
    <w:rsid w:val="003B47EA"/>
    <w:rsid w:val="003B486E"/>
    <w:rsid w:val="003B498E"/>
    <w:rsid w:val="003B4B37"/>
    <w:rsid w:val="003B4C10"/>
    <w:rsid w:val="003B4DF6"/>
    <w:rsid w:val="003B51D3"/>
    <w:rsid w:val="003B547E"/>
    <w:rsid w:val="003B54E4"/>
    <w:rsid w:val="003B5587"/>
    <w:rsid w:val="003B55DD"/>
    <w:rsid w:val="003B577A"/>
    <w:rsid w:val="003B5837"/>
    <w:rsid w:val="003B5924"/>
    <w:rsid w:val="003B59D3"/>
    <w:rsid w:val="003B5A1D"/>
    <w:rsid w:val="003B5C03"/>
    <w:rsid w:val="003B5CC9"/>
    <w:rsid w:val="003B5E6B"/>
    <w:rsid w:val="003B5F81"/>
    <w:rsid w:val="003B6126"/>
    <w:rsid w:val="003B6153"/>
    <w:rsid w:val="003B619F"/>
    <w:rsid w:val="003B63C9"/>
    <w:rsid w:val="003B64F3"/>
    <w:rsid w:val="003B65B1"/>
    <w:rsid w:val="003B6620"/>
    <w:rsid w:val="003B66BB"/>
    <w:rsid w:val="003B6998"/>
    <w:rsid w:val="003B6BE3"/>
    <w:rsid w:val="003B6C06"/>
    <w:rsid w:val="003B6C4C"/>
    <w:rsid w:val="003B7105"/>
    <w:rsid w:val="003B73D3"/>
    <w:rsid w:val="003B7419"/>
    <w:rsid w:val="003B743D"/>
    <w:rsid w:val="003B74EB"/>
    <w:rsid w:val="003B752B"/>
    <w:rsid w:val="003B75E7"/>
    <w:rsid w:val="003B7744"/>
    <w:rsid w:val="003B77E9"/>
    <w:rsid w:val="003B7919"/>
    <w:rsid w:val="003B798D"/>
    <w:rsid w:val="003B7B9A"/>
    <w:rsid w:val="003B7CC1"/>
    <w:rsid w:val="003B7E31"/>
    <w:rsid w:val="003B7F73"/>
    <w:rsid w:val="003B7F82"/>
    <w:rsid w:val="003B7FFC"/>
    <w:rsid w:val="003C00CA"/>
    <w:rsid w:val="003C012B"/>
    <w:rsid w:val="003C025C"/>
    <w:rsid w:val="003C0284"/>
    <w:rsid w:val="003C0304"/>
    <w:rsid w:val="003C063E"/>
    <w:rsid w:val="003C06B9"/>
    <w:rsid w:val="003C0A64"/>
    <w:rsid w:val="003C0AE6"/>
    <w:rsid w:val="003C0AE8"/>
    <w:rsid w:val="003C0CF2"/>
    <w:rsid w:val="003C0E4D"/>
    <w:rsid w:val="003C100F"/>
    <w:rsid w:val="003C105D"/>
    <w:rsid w:val="003C11FD"/>
    <w:rsid w:val="003C145F"/>
    <w:rsid w:val="003C1545"/>
    <w:rsid w:val="003C1609"/>
    <w:rsid w:val="003C1770"/>
    <w:rsid w:val="003C177E"/>
    <w:rsid w:val="003C191F"/>
    <w:rsid w:val="003C194C"/>
    <w:rsid w:val="003C1958"/>
    <w:rsid w:val="003C1A1A"/>
    <w:rsid w:val="003C1ADB"/>
    <w:rsid w:val="003C1AEF"/>
    <w:rsid w:val="003C1D29"/>
    <w:rsid w:val="003C1D32"/>
    <w:rsid w:val="003C20CF"/>
    <w:rsid w:val="003C20E7"/>
    <w:rsid w:val="003C2109"/>
    <w:rsid w:val="003C218F"/>
    <w:rsid w:val="003C22F0"/>
    <w:rsid w:val="003C2346"/>
    <w:rsid w:val="003C2374"/>
    <w:rsid w:val="003C23BD"/>
    <w:rsid w:val="003C23F6"/>
    <w:rsid w:val="003C25AA"/>
    <w:rsid w:val="003C2740"/>
    <w:rsid w:val="003C2753"/>
    <w:rsid w:val="003C2ACA"/>
    <w:rsid w:val="003C2E2D"/>
    <w:rsid w:val="003C2E51"/>
    <w:rsid w:val="003C3236"/>
    <w:rsid w:val="003C3256"/>
    <w:rsid w:val="003C353F"/>
    <w:rsid w:val="003C35F5"/>
    <w:rsid w:val="003C3644"/>
    <w:rsid w:val="003C3666"/>
    <w:rsid w:val="003C36A3"/>
    <w:rsid w:val="003C3944"/>
    <w:rsid w:val="003C396C"/>
    <w:rsid w:val="003C396D"/>
    <w:rsid w:val="003C3AC3"/>
    <w:rsid w:val="003C3B61"/>
    <w:rsid w:val="003C3C42"/>
    <w:rsid w:val="003C3D6F"/>
    <w:rsid w:val="003C40B8"/>
    <w:rsid w:val="003C41D6"/>
    <w:rsid w:val="003C4303"/>
    <w:rsid w:val="003C452E"/>
    <w:rsid w:val="003C4853"/>
    <w:rsid w:val="003C4C7D"/>
    <w:rsid w:val="003C4CA9"/>
    <w:rsid w:val="003C4D4F"/>
    <w:rsid w:val="003C4DAC"/>
    <w:rsid w:val="003C524D"/>
    <w:rsid w:val="003C5303"/>
    <w:rsid w:val="003C5687"/>
    <w:rsid w:val="003C5779"/>
    <w:rsid w:val="003C5955"/>
    <w:rsid w:val="003C5A3B"/>
    <w:rsid w:val="003C5AC4"/>
    <w:rsid w:val="003C5B61"/>
    <w:rsid w:val="003C5C92"/>
    <w:rsid w:val="003C5CF4"/>
    <w:rsid w:val="003C5FE8"/>
    <w:rsid w:val="003C60A4"/>
    <w:rsid w:val="003C6835"/>
    <w:rsid w:val="003C6867"/>
    <w:rsid w:val="003C6920"/>
    <w:rsid w:val="003C6BCE"/>
    <w:rsid w:val="003C6C78"/>
    <w:rsid w:val="003C6F79"/>
    <w:rsid w:val="003C70F7"/>
    <w:rsid w:val="003C714F"/>
    <w:rsid w:val="003C71B1"/>
    <w:rsid w:val="003C71E2"/>
    <w:rsid w:val="003C72AE"/>
    <w:rsid w:val="003C72DD"/>
    <w:rsid w:val="003C734B"/>
    <w:rsid w:val="003C7549"/>
    <w:rsid w:val="003C7598"/>
    <w:rsid w:val="003C770B"/>
    <w:rsid w:val="003C77B8"/>
    <w:rsid w:val="003C77DC"/>
    <w:rsid w:val="003C783E"/>
    <w:rsid w:val="003C78D6"/>
    <w:rsid w:val="003C798E"/>
    <w:rsid w:val="003C7A6A"/>
    <w:rsid w:val="003C7AED"/>
    <w:rsid w:val="003C7C28"/>
    <w:rsid w:val="003C7DF2"/>
    <w:rsid w:val="003C7DFB"/>
    <w:rsid w:val="003C7E56"/>
    <w:rsid w:val="003D0008"/>
    <w:rsid w:val="003D00E2"/>
    <w:rsid w:val="003D01E4"/>
    <w:rsid w:val="003D0284"/>
    <w:rsid w:val="003D02C5"/>
    <w:rsid w:val="003D05BA"/>
    <w:rsid w:val="003D0703"/>
    <w:rsid w:val="003D08E0"/>
    <w:rsid w:val="003D08E1"/>
    <w:rsid w:val="003D0A0E"/>
    <w:rsid w:val="003D0AE1"/>
    <w:rsid w:val="003D0BA3"/>
    <w:rsid w:val="003D0C40"/>
    <w:rsid w:val="003D0C50"/>
    <w:rsid w:val="003D0DC1"/>
    <w:rsid w:val="003D0F03"/>
    <w:rsid w:val="003D0F4C"/>
    <w:rsid w:val="003D1015"/>
    <w:rsid w:val="003D10CE"/>
    <w:rsid w:val="003D11A0"/>
    <w:rsid w:val="003D1381"/>
    <w:rsid w:val="003D13BB"/>
    <w:rsid w:val="003D1434"/>
    <w:rsid w:val="003D1873"/>
    <w:rsid w:val="003D1C22"/>
    <w:rsid w:val="003D1ED7"/>
    <w:rsid w:val="003D209E"/>
    <w:rsid w:val="003D20FD"/>
    <w:rsid w:val="003D22E0"/>
    <w:rsid w:val="003D22EB"/>
    <w:rsid w:val="003D242B"/>
    <w:rsid w:val="003D267A"/>
    <w:rsid w:val="003D27DC"/>
    <w:rsid w:val="003D28E2"/>
    <w:rsid w:val="003D2A4C"/>
    <w:rsid w:val="003D2B87"/>
    <w:rsid w:val="003D2C5F"/>
    <w:rsid w:val="003D2C91"/>
    <w:rsid w:val="003D2D1D"/>
    <w:rsid w:val="003D2D3F"/>
    <w:rsid w:val="003D2E40"/>
    <w:rsid w:val="003D2E46"/>
    <w:rsid w:val="003D30D3"/>
    <w:rsid w:val="003D3348"/>
    <w:rsid w:val="003D3374"/>
    <w:rsid w:val="003D3443"/>
    <w:rsid w:val="003D35EF"/>
    <w:rsid w:val="003D368B"/>
    <w:rsid w:val="003D37DD"/>
    <w:rsid w:val="003D38D1"/>
    <w:rsid w:val="003D3A4A"/>
    <w:rsid w:val="003D3AFA"/>
    <w:rsid w:val="003D3C6A"/>
    <w:rsid w:val="003D4060"/>
    <w:rsid w:val="003D42FD"/>
    <w:rsid w:val="003D434E"/>
    <w:rsid w:val="003D438E"/>
    <w:rsid w:val="003D43A9"/>
    <w:rsid w:val="003D45B6"/>
    <w:rsid w:val="003D46CB"/>
    <w:rsid w:val="003D4759"/>
    <w:rsid w:val="003D4791"/>
    <w:rsid w:val="003D48E5"/>
    <w:rsid w:val="003D49F3"/>
    <w:rsid w:val="003D4A3A"/>
    <w:rsid w:val="003D4A5F"/>
    <w:rsid w:val="003D4A71"/>
    <w:rsid w:val="003D4B9F"/>
    <w:rsid w:val="003D4C77"/>
    <w:rsid w:val="003D50F7"/>
    <w:rsid w:val="003D51D5"/>
    <w:rsid w:val="003D520F"/>
    <w:rsid w:val="003D5245"/>
    <w:rsid w:val="003D561D"/>
    <w:rsid w:val="003D567E"/>
    <w:rsid w:val="003D581B"/>
    <w:rsid w:val="003D5A96"/>
    <w:rsid w:val="003D5AA3"/>
    <w:rsid w:val="003D5C4F"/>
    <w:rsid w:val="003D6144"/>
    <w:rsid w:val="003D6315"/>
    <w:rsid w:val="003D6460"/>
    <w:rsid w:val="003D6500"/>
    <w:rsid w:val="003D6692"/>
    <w:rsid w:val="003D66D8"/>
    <w:rsid w:val="003D66E8"/>
    <w:rsid w:val="003D6743"/>
    <w:rsid w:val="003D6786"/>
    <w:rsid w:val="003D6830"/>
    <w:rsid w:val="003D6874"/>
    <w:rsid w:val="003D6B81"/>
    <w:rsid w:val="003D6C48"/>
    <w:rsid w:val="003D6CF1"/>
    <w:rsid w:val="003D6EBD"/>
    <w:rsid w:val="003D6FB8"/>
    <w:rsid w:val="003D7006"/>
    <w:rsid w:val="003D756A"/>
    <w:rsid w:val="003D7602"/>
    <w:rsid w:val="003D7666"/>
    <w:rsid w:val="003D780F"/>
    <w:rsid w:val="003D7BA9"/>
    <w:rsid w:val="003D7D63"/>
    <w:rsid w:val="003E0162"/>
    <w:rsid w:val="003E01A5"/>
    <w:rsid w:val="003E02B4"/>
    <w:rsid w:val="003E02F3"/>
    <w:rsid w:val="003E05C1"/>
    <w:rsid w:val="003E0882"/>
    <w:rsid w:val="003E0972"/>
    <w:rsid w:val="003E0AD0"/>
    <w:rsid w:val="003E0D11"/>
    <w:rsid w:val="003E0DB0"/>
    <w:rsid w:val="003E0DCC"/>
    <w:rsid w:val="003E0F34"/>
    <w:rsid w:val="003E0FAD"/>
    <w:rsid w:val="003E126E"/>
    <w:rsid w:val="003E12B7"/>
    <w:rsid w:val="003E155F"/>
    <w:rsid w:val="003E1615"/>
    <w:rsid w:val="003E17C9"/>
    <w:rsid w:val="003E1835"/>
    <w:rsid w:val="003E18E0"/>
    <w:rsid w:val="003E1B48"/>
    <w:rsid w:val="003E1B98"/>
    <w:rsid w:val="003E1CFE"/>
    <w:rsid w:val="003E1E35"/>
    <w:rsid w:val="003E20E1"/>
    <w:rsid w:val="003E214C"/>
    <w:rsid w:val="003E22EF"/>
    <w:rsid w:val="003E2563"/>
    <w:rsid w:val="003E281D"/>
    <w:rsid w:val="003E28E7"/>
    <w:rsid w:val="003E2963"/>
    <w:rsid w:val="003E2985"/>
    <w:rsid w:val="003E2A83"/>
    <w:rsid w:val="003E2B38"/>
    <w:rsid w:val="003E2D27"/>
    <w:rsid w:val="003E2DAA"/>
    <w:rsid w:val="003E2ED9"/>
    <w:rsid w:val="003E346F"/>
    <w:rsid w:val="003E348A"/>
    <w:rsid w:val="003E34A2"/>
    <w:rsid w:val="003E378E"/>
    <w:rsid w:val="003E38BE"/>
    <w:rsid w:val="003E3AA1"/>
    <w:rsid w:val="003E3D1D"/>
    <w:rsid w:val="003E3E28"/>
    <w:rsid w:val="003E41AC"/>
    <w:rsid w:val="003E4458"/>
    <w:rsid w:val="003E4568"/>
    <w:rsid w:val="003E4573"/>
    <w:rsid w:val="003E4622"/>
    <w:rsid w:val="003E4775"/>
    <w:rsid w:val="003E4889"/>
    <w:rsid w:val="003E4A1A"/>
    <w:rsid w:val="003E4A93"/>
    <w:rsid w:val="003E4B43"/>
    <w:rsid w:val="003E4B4B"/>
    <w:rsid w:val="003E4BD0"/>
    <w:rsid w:val="003E4FB7"/>
    <w:rsid w:val="003E50A9"/>
    <w:rsid w:val="003E523B"/>
    <w:rsid w:val="003E52E7"/>
    <w:rsid w:val="003E535A"/>
    <w:rsid w:val="003E53C6"/>
    <w:rsid w:val="003E54B7"/>
    <w:rsid w:val="003E54BC"/>
    <w:rsid w:val="003E5970"/>
    <w:rsid w:val="003E5B1F"/>
    <w:rsid w:val="003E5BB2"/>
    <w:rsid w:val="003E5BEC"/>
    <w:rsid w:val="003E5EC8"/>
    <w:rsid w:val="003E5FBC"/>
    <w:rsid w:val="003E6141"/>
    <w:rsid w:val="003E6155"/>
    <w:rsid w:val="003E622C"/>
    <w:rsid w:val="003E6270"/>
    <w:rsid w:val="003E6293"/>
    <w:rsid w:val="003E6435"/>
    <w:rsid w:val="003E6444"/>
    <w:rsid w:val="003E65EA"/>
    <w:rsid w:val="003E6614"/>
    <w:rsid w:val="003E6686"/>
    <w:rsid w:val="003E685B"/>
    <w:rsid w:val="003E6DDE"/>
    <w:rsid w:val="003E6ECE"/>
    <w:rsid w:val="003E7096"/>
    <w:rsid w:val="003E729A"/>
    <w:rsid w:val="003E72C5"/>
    <w:rsid w:val="003E72DF"/>
    <w:rsid w:val="003E730B"/>
    <w:rsid w:val="003E764C"/>
    <w:rsid w:val="003E77CB"/>
    <w:rsid w:val="003E7829"/>
    <w:rsid w:val="003E7A57"/>
    <w:rsid w:val="003E7ABA"/>
    <w:rsid w:val="003E7B3A"/>
    <w:rsid w:val="003E7B4C"/>
    <w:rsid w:val="003E7B8C"/>
    <w:rsid w:val="003E7DF1"/>
    <w:rsid w:val="003E7F83"/>
    <w:rsid w:val="003F00E1"/>
    <w:rsid w:val="003F02F8"/>
    <w:rsid w:val="003F03D7"/>
    <w:rsid w:val="003F0424"/>
    <w:rsid w:val="003F0477"/>
    <w:rsid w:val="003F04A2"/>
    <w:rsid w:val="003F0836"/>
    <w:rsid w:val="003F0B80"/>
    <w:rsid w:val="003F0B83"/>
    <w:rsid w:val="003F0C1F"/>
    <w:rsid w:val="003F0CC4"/>
    <w:rsid w:val="003F0DAE"/>
    <w:rsid w:val="003F0E96"/>
    <w:rsid w:val="003F102B"/>
    <w:rsid w:val="003F107B"/>
    <w:rsid w:val="003F12F8"/>
    <w:rsid w:val="003F14D5"/>
    <w:rsid w:val="003F16F8"/>
    <w:rsid w:val="003F179E"/>
    <w:rsid w:val="003F17A0"/>
    <w:rsid w:val="003F1927"/>
    <w:rsid w:val="003F1934"/>
    <w:rsid w:val="003F198C"/>
    <w:rsid w:val="003F1A57"/>
    <w:rsid w:val="003F1B0F"/>
    <w:rsid w:val="003F1CD3"/>
    <w:rsid w:val="003F21C6"/>
    <w:rsid w:val="003F2566"/>
    <w:rsid w:val="003F2579"/>
    <w:rsid w:val="003F2592"/>
    <w:rsid w:val="003F259E"/>
    <w:rsid w:val="003F2755"/>
    <w:rsid w:val="003F279A"/>
    <w:rsid w:val="003F2BEA"/>
    <w:rsid w:val="003F2C62"/>
    <w:rsid w:val="003F2C6E"/>
    <w:rsid w:val="003F2C70"/>
    <w:rsid w:val="003F2E69"/>
    <w:rsid w:val="003F2F4F"/>
    <w:rsid w:val="003F30C8"/>
    <w:rsid w:val="003F371E"/>
    <w:rsid w:val="003F39DD"/>
    <w:rsid w:val="003F39FD"/>
    <w:rsid w:val="003F3A60"/>
    <w:rsid w:val="003F3A9B"/>
    <w:rsid w:val="003F3E63"/>
    <w:rsid w:val="003F3E8B"/>
    <w:rsid w:val="003F3F2A"/>
    <w:rsid w:val="003F40ED"/>
    <w:rsid w:val="003F41CF"/>
    <w:rsid w:val="003F4374"/>
    <w:rsid w:val="003F460E"/>
    <w:rsid w:val="003F4634"/>
    <w:rsid w:val="003F4683"/>
    <w:rsid w:val="003F4AD8"/>
    <w:rsid w:val="003F4FC7"/>
    <w:rsid w:val="003F50AA"/>
    <w:rsid w:val="003F50E6"/>
    <w:rsid w:val="003F578B"/>
    <w:rsid w:val="003F58CA"/>
    <w:rsid w:val="003F59DC"/>
    <w:rsid w:val="003F5A46"/>
    <w:rsid w:val="003F5BB9"/>
    <w:rsid w:val="003F5BCE"/>
    <w:rsid w:val="003F5BE3"/>
    <w:rsid w:val="003F5C1D"/>
    <w:rsid w:val="003F5C3A"/>
    <w:rsid w:val="003F5C5D"/>
    <w:rsid w:val="003F5D33"/>
    <w:rsid w:val="003F5DBF"/>
    <w:rsid w:val="003F61D0"/>
    <w:rsid w:val="003F621D"/>
    <w:rsid w:val="003F6259"/>
    <w:rsid w:val="003F6283"/>
    <w:rsid w:val="003F62BB"/>
    <w:rsid w:val="003F6415"/>
    <w:rsid w:val="003F6708"/>
    <w:rsid w:val="003F674D"/>
    <w:rsid w:val="003F6765"/>
    <w:rsid w:val="003F67A3"/>
    <w:rsid w:val="003F683C"/>
    <w:rsid w:val="003F68AF"/>
    <w:rsid w:val="003F696E"/>
    <w:rsid w:val="003F698B"/>
    <w:rsid w:val="003F6C2C"/>
    <w:rsid w:val="003F6F15"/>
    <w:rsid w:val="003F6F2A"/>
    <w:rsid w:val="003F6FA0"/>
    <w:rsid w:val="003F7421"/>
    <w:rsid w:val="003F747F"/>
    <w:rsid w:val="003F74B6"/>
    <w:rsid w:val="003F797C"/>
    <w:rsid w:val="003F7ADF"/>
    <w:rsid w:val="003F7C09"/>
    <w:rsid w:val="003F7EF1"/>
    <w:rsid w:val="004001CC"/>
    <w:rsid w:val="004001D4"/>
    <w:rsid w:val="004002A0"/>
    <w:rsid w:val="004007E4"/>
    <w:rsid w:val="004009BC"/>
    <w:rsid w:val="00400AE8"/>
    <w:rsid w:val="004010C6"/>
    <w:rsid w:val="00401154"/>
    <w:rsid w:val="0040119F"/>
    <w:rsid w:val="0040124E"/>
    <w:rsid w:val="0040130A"/>
    <w:rsid w:val="004016D7"/>
    <w:rsid w:val="00401818"/>
    <w:rsid w:val="0040199B"/>
    <w:rsid w:val="00401B68"/>
    <w:rsid w:val="00401CB9"/>
    <w:rsid w:val="00401DB4"/>
    <w:rsid w:val="00401E1E"/>
    <w:rsid w:val="00401FF1"/>
    <w:rsid w:val="0040200E"/>
    <w:rsid w:val="0040205A"/>
    <w:rsid w:val="00402313"/>
    <w:rsid w:val="00402318"/>
    <w:rsid w:val="004024B3"/>
    <w:rsid w:val="004024B6"/>
    <w:rsid w:val="004026E5"/>
    <w:rsid w:val="004028CE"/>
    <w:rsid w:val="004029A1"/>
    <w:rsid w:val="00402AA3"/>
    <w:rsid w:val="00402B62"/>
    <w:rsid w:val="00402E2A"/>
    <w:rsid w:val="00402F19"/>
    <w:rsid w:val="0040300A"/>
    <w:rsid w:val="004032A1"/>
    <w:rsid w:val="00403938"/>
    <w:rsid w:val="0040399B"/>
    <w:rsid w:val="00403C61"/>
    <w:rsid w:val="00403DCA"/>
    <w:rsid w:val="00403E80"/>
    <w:rsid w:val="00403F07"/>
    <w:rsid w:val="00403FBD"/>
    <w:rsid w:val="0040402F"/>
    <w:rsid w:val="0040410F"/>
    <w:rsid w:val="004041CE"/>
    <w:rsid w:val="00404239"/>
    <w:rsid w:val="004043F2"/>
    <w:rsid w:val="004045C5"/>
    <w:rsid w:val="00404682"/>
    <w:rsid w:val="004046D0"/>
    <w:rsid w:val="00404788"/>
    <w:rsid w:val="004047AB"/>
    <w:rsid w:val="00404937"/>
    <w:rsid w:val="004049B9"/>
    <w:rsid w:val="00404B95"/>
    <w:rsid w:val="00404B9B"/>
    <w:rsid w:val="00404FFE"/>
    <w:rsid w:val="004050ED"/>
    <w:rsid w:val="004051CA"/>
    <w:rsid w:val="004052EB"/>
    <w:rsid w:val="004054C4"/>
    <w:rsid w:val="00405503"/>
    <w:rsid w:val="00405793"/>
    <w:rsid w:val="00405853"/>
    <w:rsid w:val="004059D3"/>
    <w:rsid w:val="00405A2F"/>
    <w:rsid w:val="00405D27"/>
    <w:rsid w:val="00405E99"/>
    <w:rsid w:val="00405EC1"/>
    <w:rsid w:val="00405F85"/>
    <w:rsid w:val="00405FB3"/>
    <w:rsid w:val="004062D7"/>
    <w:rsid w:val="0040642B"/>
    <w:rsid w:val="004064E7"/>
    <w:rsid w:val="00406852"/>
    <w:rsid w:val="004068EB"/>
    <w:rsid w:val="0040694A"/>
    <w:rsid w:val="00406E04"/>
    <w:rsid w:val="00406E7D"/>
    <w:rsid w:val="00406EA1"/>
    <w:rsid w:val="00406F70"/>
    <w:rsid w:val="00406F9B"/>
    <w:rsid w:val="0040700F"/>
    <w:rsid w:val="00407278"/>
    <w:rsid w:val="00407318"/>
    <w:rsid w:val="00407968"/>
    <w:rsid w:val="004079F7"/>
    <w:rsid w:val="00407CE4"/>
    <w:rsid w:val="00407E2A"/>
    <w:rsid w:val="00410287"/>
    <w:rsid w:val="0041041D"/>
    <w:rsid w:val="004104BC"/>
    <w:rsid w:val="0041053A"/>
    <w:rsid w:val="004106F6"/>
    <w:rsid w:val="004107F2"/>
    <w:rsid w:val="00410BCB"/>
    <w:rsid w:val="00410D52"/>
    <w:rsid w:val="00410DC9"/>
    <w:rsid w:val="00410EA2"/>
    <w:rsid w:val="00410FF2"/>
    <w:rsid w:val="004112B1"/>
    <w:rsid w:val="004113B6"/>
    <w:rsid w:val="00411411"/>
    <w:rsid w:val="00411413"/>
    <w:rsid w:val="00411690"/>
    <w:rsid w:val="0041180A"/>
    <w:rsid w:val="00411847"/>
    <w:rsid w:val="00411B18"/>
    <w:rsid w:val="00411CC6"/>
    <w:rsid w:val="00411DA0"/>
    <w:rsid w:val="00411FC4"/>
    <w:rsid w:val="00412067"/>
    <w:rsid w:val="004120CC"/>
    <w:rsid w:val="0041210A"/>
    <w:rsid w:val="00412162"/>
    <w:rsid w:val="00412177"/>
    <w:rsid w:val="004121CB"/>
    <w:rsid w:val="00412394"/>
    <w:rsid w:val="00412485"/>
    <w:rsid w:val="004124E0"/>
    <w:rsid w:val="00412538"/>
    <w:rsid w:val="00412741"/>
    <w:rsid w:val="0041276D"/>
    <w:rsid w:val="00412877"/>
    <w:rsid w:val="00412B6A"/>
    <w:rsid w:val="00412CCD"/>
    <w:rsid w:val="00412DC4"/>
    <w:rsid w:val="00412FBB"/>
    <w:rsid w:val="00412FCE"/>
    <w:rsid w:val="0041324A"/>
    <w:rsid w:val="00413992"/>
    <w:rsid w:val="004139AB"/>
    <w:rsid w:val="00413A38"/>
    <w:rsid w:val="00413A50"/>
    <w:rsid w:val="00413AF5"/>
    <w:rsid w:val="00413D63"/>
    <w:rsid w:val="00413F08"/>
    <w:rsid w:val="004140A3"/>
    <w:rsid w:val="004140BB"/>
    <w:rsid w:val="0041424A"/>
    <w:rsid w:val="004144EB"/>
    <w:rsid w:val="00414617"/>
    <w:rsid w:val="00414733"/>
    <w:rsid w:val="0041493D"/>
    <w:rsid w:val="0041495E"/>
    <w:rsid w:val="00414AEB"/>
    <w:rsid w:val="00414B25"/>
    <w:rsid w:val="00414B3D"/>
    <w:rsid w:val="00414F8F"/>
    <w:rsid w:val="00415033"/>
    <w:rsid w:val="004152D6"/>
    <w:rsid w:val="00415355"/>
    <w:rsid w:val="0041535C"/>
    <w:rsid w:val="0041538C"/>
    <w:rsid w:val="004153B3"/>
    <w:rsid w:val="00415599"/>
    <w:rsid w:val="004155B1"/>
    <w:rsid w:val="00415A8E"/>
    <w:rsid w:val="00415BC7"/>
    <w:rsid w:val="00415BC9"/>
    <w:rsid w:val="00415CCF"/>
    <w:rsid w:val="00415CD7"/>
    <w:rsid w:val="00415CF1"/>
    <w:rsid w:val="00415F91"/>
    <w:rsid w:val="00416123"/>
    <w:rsid w:val="004162B3"/>
    <w:rsid w:val="004162D7"/>
    <w:rsid w:val="004162EF"/>
    <w:rsid w:val="00416349"/>
    <w:rsid w:val="004164A6"/>
    <w:rsid w:val="004164B9"/>
    <w:rsid w:val="004166DB"/>
    <w:rsid w:val="004167CE"/>
    <w:rsid w:val="00416827"/>
    <w:rsid w:val="004168E6"/>
    <w:rsid w:val="0041693F"/>
    <w:rsid w:val="004169EA"/>
    <w:rsid w:val="00416A24"/>
    <w:rsid w:val="00416A58"/>
    <w:rsid w:val="00416B2C"/>
    <w:rsid w:val="00416E53"/>
    <w:rsid w:val="004170D4"/>
    <w:rsid w:val="004171F3"/>
    <w:rsid w:val="0041727E"/>
    <w:rsid w:val="00417364"/>
    <w:rsid w:val="004176A4"/>
    <w:rsid w:val="00417761"/>
    <w:rsid w:val="00417801"/>
    <w:rsid w:val="0041795F"/>
    <w:rsid w:val="00417A4C"/>
    <w:rsid w:val="00417DEA"/>
    <w:rsid w:val="00417F33"/>
    <w:rsid w:val="00417F45"/>
    <w:rsid w:val="004200C6"/>
    <w:rsid w:val="00420185"/>
    <w:rsid w:val="00420241"/>
    <w:rsid w:val="0042030B"/>
    <w:rsid w:val="00420415"/>
    <w:rsid w:val="0042042C"/>
    <w:rsid w:val="00420444"/>
    <w:rsid w:val="004204BB"/>
    <w:rsid w:val="0042056F"/>
    <w:rsid w:val="00420630"/>
    <w:rsid w:val="00420637"/>
    <w:rsid w:val="004209BC"/>
    <w:rsid w:val="00420A04"/>
    <w:rsid w:val="00420C71"/>
    <w:rsid w:val="00420D5F"/>
    <w:rsid w:val="00420D8F"/>
    <w:rsid w:val="00420EEA"/>
    <w:rsid w:val="00420FB0"/>
    <w:rsid w:val="0042110A"/>
    <w:rsid w:val="004212A3"/>
    <w:rsid w:val="00421457"/>
    <w:rsid w:val="0042145E"/>
    <w:rsid w:val="004214DC"/>
    <w:rsid w:val="004214EB"/>
    <w:rsid w:val="00421688"/>
    <w:rsid w:val="004216BA"/>
    <w:rsid w:val="00421971"/>
    <w:rsid w:val="00421991"/>
    <w:rsid w:val="004219F8"/>
    <w:rsid w:val="00421C27"/>
    <w:rsid w:val="00421C62"/>
    <w:rsid w:val="00421DD3"/>
    <w:rsid w:val="004220E9"/>
    <w:rsid w:val="00422310"/>
    <w:rsid w:val="00422371"/>
    <w:rsid w:val="00422565"/>
    <w:rsid w:val="00422727"/>
    <w:rsid w:val="00422B01"/>
    <w:rsid w:val="00422B38"/>
    <w:rsid w:val="00422BB0"/>
    <w:rsid w:val="00422BDD"/>
    <w:rsid w:val="00422DD1"/>
    <w:rsid w:val="0042308E"/>
    <w:rsid w:val="00423178"/>
    <w:rsid w:val="00423378"/>
    <w:rsid w:val="004233CE"/>
    <w:rsid w:val="0042351B"/>
    <w:rsid w:val="004235DB"/>
    <w:rsid w:val="0042372B"/>
    <w:rsid w:val="00423841"/>
    <w:rsid w:val="00423A1E"/>
    <w:rsid w:val="00423AB6"/>
    <w:rsid w:val="00423C7D"/>
    <w:rsid w:val="00423CDD"/>
    <w:rsid w:val="00423D7E"/>
    <w:rsid w:val="00423E3F"/>
    <w:rsid w:val="00424373"/>
    <w:rsid w:val="00424724"/>
    <w:rsid w:val="004247E3"/>
    <w:rsid w:val="00424839"/>
    <w:rsid w:val="004248CC"/>
    <w:rsid w:val="00424908"/>
    <w:rsid w:val="00424A4B"/>
    <w:rsid w:val="00424A64"/>
    <w:rsid w:val="00424A81"/>
    <w:rsid w:val="00424AF9"/>
    <w:rsid w:val="00424BCD"/>
    <w:rsid w:val="00424E13"/>
    <w:rsid w:val="00424F80"/>
    <w:rsid w:val="00424FFD"/>
    <w:rsid w:val="00425180"/>
    <w:rsid w:val="0042525A"/>
    <w:rsid w:val="00425408"/>
    <w:rsid w:val="00425574"/>
    <w:rsid w:val="0042582B"/>
    <w:rsid w:val="004258BD"/>
    <w:rsid w:val="0042593D"/>
    <w:rsid w:val="00425C11"/>
    <w:rsid w:val="00425CFA"/>
    <w:rsid w:val="00425D74"/>
    <w:rsid w:val="00425DC6"/>
    <w:rsid w:val="00425E87"/>
    <w:rsid w:val="00425F99"/>
    <w:rsid w:val="00426303"/>
    <w:rsid w:val="00426352"/>
    <w:rsid w:val="0042648C"/>
    <w:rsid w:val="0042653D"/>
    <w:rsid w:val="00426696"/>
    <w:rsid w:val="004266D6"/>
    <w:rsid w:val="004267BB"/>
    <w:rsid w:val="00426B25"/>
    <w:rsid w:val="00426B8B"/>
    <w:rsid w:val="00426DCF"/>
    <w:rsid w:val="00426E53"/>
    <w:rsid w:val="00426F04"/>
    <w:rsid w:val="00426F2A"/>
    <w:rsid w:val="004271BE"/>
    <w:rsid w:val="004272B1"/>
    <w:rsid w:val="0042745D"/>
    <w:rsid w:val="004274FD"/>
    <w:rsid w:val="00427608"/>
    <w:rsid w:val="0042765D"/>
    <w:rsid w:val="0042769D"/>
    <w:rsid w:val="0042783D"/>
    <w:rsid w:val="00427985"/>
    <w:rsid w:val="004279B1"/>
    <w:rsid w:val="00427A0D"/>
    <w:rsid w:val="00427AF6"/>
    <w:rsid w:val="00427C4F"/>
    <w:rsid w:val="00427D02"/>
    <w:rsid w:val="00427FDD"/>
    <w:rsid w:val="004300D1"/>
    <w:rsid w:val="0043018A"/>
    <w:rsid w:val="004301FD"/>
    <w:rsid w:val="00430244"/>
    <w:rsid w:val="004302A4"/>
    <w:rsid w:val="0043031D"/>
    <w:rsid w:val="004303FA"/>
    <w:rsid w:val="00430400"/>
    <w:rsid w:val="004304EA"/>
    <w:rsid w:val="00430598"/>
    <w:rsid w:val="00430969"/>
    <w:rsid w:val="00430986"/>
    <w:rsid w:val="00430A09"/>
    <w:rsid w:val="00430B63"/>
    <w:rsid w:val="00430EB5"/>
    <w:rsid w:val="00430F37"/>
    <w:rsid w:val="004310E0"/>
    <w:rsid w:val="004310F0"/>
    <w:rsid w:val="00431158"/>
    <w:rsid w:val="0043116C"/>
    <w:rsid w:val="00431611"/>
    <w:rsid w:val="004317A7"/>
    <w:rsid w:val="00431871"/>
    <w:rsid w:val="0043199E"/>
    <w:rsid w:val="00431B1E"/>
    <w:rsid w:val="00431B2F"/>
    <w:rsid w:val="00431CD0"/>
    <w:rsid w:val="00431F71"/>
    <w:rsid w:val="00431FD0"/>
    <w:rsid w:val="0043214D"/>
    <w:rsid w:val="004321DD"/>
    <w:rsid w:val="004326AA"/>
    <w:rsid w:val="00432803"/>
    <w:rsid w:val="00432A86"/>
    <w:rsid w:val="00432AE4"/>
    <w:rsid w:val="00432B25"/>
    <w:rsid w:val="00432B4A"/>
    <w:rsid w:val="00432BD4"/>
    <w:rsid w:val="00432C75"/>
    <w:rsid w:val="00432E64"/>
    <w:rsid w:val="0043300C"/>
    <w:rsid w:val="0043309A"/>
    <w:rsid w:val="004332D4"/>
    <w:rsid w:val="00433409"/>
    <w:rsid w:val="00433426"/>
    <w:rsid w:val="00433718"/>
    <w:rsid w:val="004337EB"/>
    <w:rsid w:val="0043384D"/>
    <w:rsid w:val="00433AF6"/>
    <w:rsid w:val="00433B65"/>
    <w:rsid w:val="00433B9D"/>
    <w:rsid w:val="00433BCA"/>
    <w:rsid w:val="00433C2D"/>
    <w:rsid w:val="00433D23"/>
    <w:rsid w:val="00433D43"/>
    <w:rsid w:val="00433D55"/>
    <w:rsid w:val="00433DA3"/>
    <w:rsid w:val="00433DEF"/>
    <w:rsid w:val="00433EE5"/>
    <w:rsid w:val="00433F19"/>
    <w:rsid w:val="00433FFD"/>
    <w:rsid w:val="0043400F"/>
    <w:rsid w:val="0043406B"/>
    <w:rsid w:val="0043408F"/>
    <w:rsid w:val="00434279"/>
    <w:rsid w:val="004342A7"/>
    <w:rsid w:val="00434428"/>
    <w:rsid w:val="00434429"/>
    <w:rsid w:val="00434460"/>
    <w:rsid w:val="0043455B"/>
    <w:rsid w:val="0043460A"/>
    <w:rsid w:val="00434692"/>
    <w:rsid w:val="004346F9"/>
    <w:rsid w:val="004347F7"/>
    <w:rsid w:val="00434961"/>
    <w:rsid w:val="00434B75"/>
    <w:rsid w:val="00434C6F"/>
    <w:rsid w:val="00434CF2"/>
    <w:rsid w:val="00434D97"/>
    <w:rsid w:val="00434ED2"/>
    <w:rsid w:val="00435023"/>
    <w:rsid w:val="00435036"/>
    <w:rsid w:val="00435053"/>
    <w:rsid w:val="00435241"/>
    <w:rsid w:val="00435370"/>
    <w:rsid w:val="0043564D"/>
    <w:rsid w:val="00435657"/>
    <w:rsid w:val="004358A2"/>
    <w:rsid w:val="004358F6"/>
    <w:rsid w:val="00435919"/>
    <w:rsid w:val="0043597C"/>
    <w:rsid w:val="0043599C"/>
    <w:rsid w:val="00435B8F"/>
    <w:rsid w:val="00436339"/>
    <w:rsid w:val="00436386"/>
    <w:rsid w:val="0043662C"/>
    <w:rsid w:val="004366EF"/>
    <w:rsid w:val="004367BF"/>
    <w:rsid w:val="0043681F"/>
    <w:rsid w:val="00436C4D"/>
    <w:rsid w:val="00436C55"/>
    <w:rsid w:val="00436D0C"/>
    <w:rsid w:val="00436D8F"/>
    <w:rsid w:val="00436E19"/>
    <w:rsid w:val="00436E49"/>
    <w:rsid w:val="00436F9F"/>
    <w:rsid w:val="00436FC8"/>
    <w:rsid w:val="00437026"/>
    <w:rsid w:val="004371F9"/>
    <w:rsid w:val="0043724F"/>
    <w:rsid w:val="0043750E"/>
    <w:rsid w:val="00437979"/>
    <w:rsid w:val="00437A6F"/>
    <w:rsid w:val="00437D9B"/>
    <w:rsid w:val="00437E12"/>
    <w:rsid w:val="00437EF6"/>
    <w:rsid w:val="00437FC7"/>
    <w:rsid w:val="00440084"/>
    <w:rsid w:val="0044009A"/>
    <w:rsid w:val="0044029B"/>
    <w:rsid w:val="0044040A"/>
    <w:rsid w:val="004404B5"/>
    <w:rsid w:val="0044057B"/>
    <w:rsid w:val="004406A0"/>
    <w:rsid w:val="00440C2D"/>
    <w:rsid w:val="00440F24"/>
    <w:rsid w:val="00441040"/>
    <w:rsid w:val="004410CC"/>
    <w:rsid w:val="004414E3"/>
    <w:rsid w:val="00441593"/>
    <w:rsid w:val="00441A2C"/>
    <w:rsid w:val="00441BC7"/>
    <w:rsid w:val="00441BDF"/>
    <w:rsid w:val="00441C2C"/>
    <w:rsid w:val="00441D13"/>
    <w:rsid w:val="00441E97"/>
    <w:rsid w:val="00442029"/>
    <w:rsid w:val="0044202B"/>
    <w:rsid w:val="0044237D"/>
    <w:rsid w:val="0044270F"/>
    <w:rsid w:val="00442711"/>
    <w:rsid w:val="004427B2"/>
    <w:rsid w:val="00442898"/>
    <w:rsid w:val="00442A05"/>
    <w:rsid w:val="00442A43"/>
    <w:rsid w:val="00442BFA"/>
    <w:rsid w:val="00442D7A"/>
    <w:rsid w:val="0044317A"/>
    <w:rsid w:val="004434B0"/>
    <w:rsid w:val="004434D5"/>
    <w:rsid w:val="0044354A"/>
    <w:rsid w:val="004435A4"/>
    <w:rsid w:val="0044375B"/>
    <w:rsid w:val="00443765"/>
    <w:rsid w:val="00443980"/>
    <w:rsid w:val="00443AB1"/>
    <w:rsid w:val="00443BC2"/>
    <w:rsid w:val="004440C9"/>
    <w:rsid w:val="004442C0"/>
    <w:rsid w:val="004447B6"/>
    <w:rsid w:val="00444843"/>
    <w:rsid w:val="00444EC8"/>
    <w:rsid w:val="00444ECB"/>
    <w:rsid w:val="00444EE0"/>
    <w:rsid w:val="004450AD"/>
    <w:rsid w:val="00445402"/>
    <w:rsid w:val="0044540E"/>
    <w:rsid w:val="00445454"/>
    <w:rsid w:val="004456C3"/>
    <w:rsid w:val="00445B15"/>
    <w:rsid w:val="00445BBD"/>
    <w:rsid w:val="00445C75"/>
    <w:rsid w:val="00445C91"/>
    <w:rsid w:val="0044619D"/>
    <w:rsid w:val="0044620C"/>
    <w:rsid w:val="0044628A"/>
    <w:rsid w:val="00446305"/>
    <w:rsid w:val="00446385"/>
    <w:rsid w:val="00446483"/>
    <w:rsid w:val="004465EB"/>
    <w:rsid w:val="00446789"/>
    <w:rsid w:val="00446B64"/>
    <w:rsid w:val="00446BC7"/>
    <w:rsid w:val="00446BD7"/>
    <w:rsid w:val="00446CA0"/>
    <w:rsid w:val="00446CD1"/>
    <w:rsid w:val="00446D84"/>
    <w:rsid w:val="00446DCD"/>
    <w:rsid w:val="00446DD9"/>
    <w:rsid w:val="00446FFB"/>
    <w:rsid w:val="0044707C"/>
    <w:rsid w:val="00447116"/>
    <w:rsid w:val="00447270"/>
    <w:rsid w:val="004472B7"/>
    <w:rsid w:val="004473DB"/>
    <w:rsid w:val="004474F8"/>
    <w:rsid w:val="004477D3"/>
    <w:rsid w:val="004479FB"/>
    <w:rsid w:val="00447BB5"/>
    <w:rsid w:val="00447C97"/>
    <w:rsid w:val="00447D5A"/>
    <w:rsid w:val="00447D9F"/>
    <w:rsid w:val="00447F54"/>
    <w:rsid w:val="004501D3"/>
    <w:rsid w:val="00450241"/>
    <w:rsid w:val="004503D5"/>
    <w:rsid w:val="00450822"/>
    <w:rsid w:val="004508BD"/>
    <w:rsid w:val="00450900"/>
    <w:rsid w:val="00450939"/>
    <w:rsid w:val="00450E6A"/>
    <w:rsid w:val="00450E6D"/>
    <w:rsid w:val="00450E8F"/>
    <w:rsid w:val="00450F58"/>
    <w:rsid w:val="0045111B"/>
    <w:rsid w:val="004511A2"/>
    <w:rsid w:val="00451264"/>
    <w:rsid w:val="00451420"/>
    <w:rsid w:val="004515E5"/>
    <w:rsid w:val="004516AE"/>
    <w:rsid w:val="004516DF"/>
    <w:rsid w:val="00451809"/>
    <w:rsid w:val="00451BB8"/>
    <w:rsid w:val="00451E2A"/>
    <w:rsid w:val="00452124"/>
    <w:rsid w:val="0045250F"/>
    <w:rsid w:val="00452600"/>
    <w:rsid w:val="004526C8"/>
    <w:rsid w:val="00452775"/>
    <w:rsid w:val="0045280D"/>
    <w:rsid w:val="00452CA0"/>
    <w:rsid w:val="00452D63"/>
    <w:rsid w:val="00452DE5"/>
    <w:rsid w:val="00452F9F"/>
    <w:rsid w:val="0045328E"/>
    <w:rsid w:val="00453445"/>
    <w:rsid w:val="004534C5"/>
    <w:rsid w:val="00453566"/>
    <w:rsid w:val="004538BE"/>
    <w:rsid w:val="004539B3"/>
    <w:rsid w:val="004539B6"/>
    <w:rsid w:val="00453A6D"/>
    <w:rsid w:val="00453A99"/>
    <w:rsid w:val="00453B48"/>
    <w:rsid w:val="004540C0"/>
    <w:rsid w:val="004540FE"/>
    <w:rsid w:val="00454121"/>
    <w:rsid w:val="004542D7"/>
    <w:rsid w:val="004543E8"/>
    <w:rsid w:val="00454514"/>
    <w:rsid w:val="00454931"/>
    <w:rsid w:val="00454AD8"/>
    <w:rsid w:val="00454DD5"/>
    <w:rsid w:val="00454DF2"/>
    <w:rsid w:val="004553D9"/>
    <w:rsid w:val="00455575"/>
    <w:rsid w:val="0045562A"/>
    <w:rsid w:val="0045572F"/>
    <w:rsid w:val="004557F4"/>
    <w:rsid w:val="00455950"/>
    <w:rsid w:val="00455B79"/>
    <w:rsid w:val="00455F20"/>
    <w:rsid w:val="00455FE5"/>
    <w:rsid w:val="004561DC"/>
    <w:rsid w:val="00456212"/>
    <w:rsid w:val="004562CD"/>
    <w:rsid w:val="004563B8"/>
    <w:rsid w:val="004563EF"/>
    <w:rsid w:val="0045676C"/>
    <w:rsid w:val="00456774"/>
    <w:rsid w:val="0045692E"/>
    <w:rsid w:val="00456AA5"/>
    <w:rsid w:val="00456B20"/>
    <w:rsid w:val="00456DBD"/>
    <w:rsid w:val="00456E71"/>
    <w:rsid w:val="00456E93"/>
    <w:rsid w:val="004570E9"/>
    <w:rsid w:val="0045778A"/>
    <w:rsid w:val="0045781F"/>
    <w:rsid w:val="004578AC"/>
    <w:rsid w:val="004578EB"/>
    <w:rsid w:val="00457D91"/>
    <w:rsid w:val="00457E00"/>
    <w:rsid w:val="00457EA1"/>
    <w:rsid w:val="00457EAF"/>
    <w:rsid w:val="00460058"/>
    <w:rsid w:val="00460650"/>
    <w:rsid w:val="00460A78"/>
    <w:rsid w:val="00460AC6"/>
    <w:rsid w:val="00460B57"/>
    <w:rsid w:val="00460B7C"/>
    <w:rsid w:val="00460C47"/>
    <w:rsid w:val="00460C69"/>
    <w:rsid w:val="00460F54"/>
    <w:rsid w:val="00461181"/>
    <w:rsid w:val="00461540"/>
    <w:rsid w:val="0046162A"/>
    <w:rsid w:val="004618A6"/>
    <w:rsid w:val="0046192A"/>
    <w:rsid w:val="00461B0F"/>
    <w:rsid w:val="00461B36"/>
    <w:rsid w:val="00461BA4"/>
    <w:rsid w:val="00461BDE"/>
    <w:rsid w:val="0046205B"/>
    <w:rsid w:val="004620AC"/>
    <w:rsid w:val="004620D2"/>
    <w:rsid w:val="004620DF"/>
    <w:rsid w:val="00462309"/>
    <w:rsid w:val="004623F3"/>
    <w:rsid w:val="00462666"/>
    <w:rsid w:val="004626D8"/>
    <w:rsid w:val="004627E0"/>
    <w:rsid w:val="00462999"/>
    <w:rsid w:val="00462A42"/>
    <w:rsid w:val="00462B96"/>
    <w:rsid w:val="00462FD5"/>
    <w:rsid w:val="00463352"/>
    <w:rsid w:val="00463477"/>
    <w:rsid w:val="00463673"/>
    <w:rsid w:val="00463733"/>
    <w:rsid w:val="00463A32"/>
    <w:rsid w:val="00463B3B"/>
    <w:rsid w:val="00463BD5"/>
    <w:rsid w:val="00464078"/>
    <w:rsid w:val="00464496"/>
    <w:rsid w:val="004644BD"/>
    <w:rsid w:val="00464528"/>
    <w:rsid w:val="00464624"/>
    <w:rsid w:val="004650C8"/>
    <w:rsid w:val="00465197"/>
    <w:rsid w:val="004653E1"/>
    <w:rsid w:val="00465A7C"/>
    <w:rsid w:val="00465B72"/>
    <w:rsid w:val="00465C06"/>
    <w:rsid w:val="00465FEA"/>
    <w:rsid w:val="0046626A"/>
    <w:rsid w:val="00466289"/>
    <w:rsid w:val="004665E1"/>
    <w:rsid w:val="00466681"/>
    <w:rsid w:val="0046668A"/>
    <w:rsid w:val="004667F6"/>
    <w:rsid w:val="00466889"/>
    <w:rsid w:val="00466A5F"/>
    <w:rsid w:val="00466ACD"/>
    <w:rsid w:val="00466B31"/>
    <w:rsid w:val="00466BEC"/>
    <w:rsid w:val="00466DFE"/>
    <w:rsid w:val="00466EB0"/>
    <w:rsid w:val="00466F18"/>
    <w:rsid w:val="00466FC9"/>
    <w:rsid w:val="00467399"/>
    <w:rsid w:val="004673DD"/>
    <w:rsid w:val="004674A5"/>
    <w:rsid w:val="004677D2"/>
    <w:rsid w:val="004678B8"/>
    <w:rsid w:val="00467A27"/>
    <w:rsid w:val="00467C4A"/>
    <w:rsid w:val="00467CE0"/>
    <w:rsid w:val="00467DF6"/>
    <w:rsid w:val="00467F8C"/>
    <w:rsid w:val="004700E6"/>
    <w:rsid w:val="00470277"/>
    <w:rsid w:val="00470604"/>
    <w:rsid w:val="00470626"/>
    <w:rsid w:val="004706BA"/>
    <w:rsid w:val="00470845"/>
    <w:rsid w:val="004708AB"/>
    <w:rsid w:val="00470A92"/>
    <w:rsid w:val="00470C90"/>
    <w:rsid w:val="00470EC7"/>
    <w:rsid w:val="00470EE9"/>
    <w:rsid w:val="00470FDD"/>
    <w:rsid w:val="00471018"/>
    <w:rsid w:val="00471185"/>
    <w:rsid w:val="004711BC"/>
    <w:rsid w:val="004712CC"/>
    <w:rsid w:val="00471583"/>
    <w:rsid w:val="0047161A"/>
    <w:rsid w:val="0047187B"/>
    <w:rsid w:val="004718DF"/>
    <w:rsid w:val="00471AE2"/>
    <w:rsid w:val="00471B7D"/>
    <w:rsid w:val="00471BA1"/>
    <w:rsid w:val="00471BB8"/>
    <w:rsid w:val="00471C26"/>
    <w:rsid w:val="00471D38"/>
    <w:rsid w:val="00471D83"/>
    <w:rsid w:val="00471D98"/>
    <w:rsid w:val="0047214D"/>
    <w:rsid w:val="004723D1"/>
    <w:rsid w:val="004723DD"/>
    <w:rsid w:val="00472487"/>
    <w:rsid w:val="004724FC"/>
    <w:rsid w:val="0047252D"/>
    <w:rsid w:val="0047280C"/>
    <w:rsid w:val="0047297F"/>
    <w:rsid w:val="00472A45"/>
    <w:rsid w:val="00472AEE"/>
    <w:rsid w:val="00472B0C"/>
    <w:rsid w:val="00472C81"/>
    <w:rsid w:val="00472DF6"/>
    <w:rsid w:val="00473203"/>
    <w:rsid w:val="00473248"/>
    <w:rsid w:val="00473353"/>
    <w:rsid w:val="00473440"/>
    <w:rsid w:val="004734FC"/>
    <w:rsid w:val="0047352F"/>
    <w:rsid w:val="0047363F"/>
    <w:rsid w:val="00473697"/>
    <w:rsid w:val="004736A4"/>
    <w:rsid w:val="0047398B"/>
    <w:rsid w:val="00473A0A"/>
    <w:rsid w:val="00473B9D"/>
    <w:rsid w:val="00473DB9"/>
    <w:rsid w:val="00473E82"/>
    <w:rsid w:val="0047410E"/>
    <w:rsid w:val="00474120"/>
    <w:rsid w:val="00474227"/>
    <w:rsid w:val="0047425C"/>
    <w:rsid w:val="0047433E"/>
    <w:rsid w:val="004744A4"/>
    <w:rsid w:val="004744CE"/>
    <w:rsid w:val="00474874"/>
    <w:rsid w:val="0047488A"/>
    <w:rsid w:val="00474964"/>
    <w:rsid w:val="00474984"/>
    <w:rsid w:val="00474A1C"/>
    <w:rsid w:val="00474A27"/>
    <w:rsid w:val="0047527F"/>
    <w:rsid w:val="004753B4"/>
    <w:rsid w:val="004753EE"/>
    <w:rsid w:val="004754FF"/>
    <w:rsid w:val="004755F9"/>
    <w:rsid w:val="004757EB"/>
    <w:rsid w:val="00475AF0"/>
    <w:rsid w:val="00475B06"/>
    <w:rsid w:val="00475C27"/>
    <w:rsid w:val="0047618F"/>
    <w:rsid w:val="00476341"/>
    <w:rsid w:val="004765C5"/>
    <w:rsid w:val="004765F9"/>
    <w:rsid w:val="0047695D"/>
    <w:rsid w:val="004769F1"/>
    <w:rsid w:val="00476AE1"/>
    <w:rsid w:val="00476AEF"/>
    <w:rsid w:val="00476B17"/>
    <w:rsid w:val="00476EE6"/>
    <w:rsid w:val="00476EE8"/>
    <w:rsid w:val="00477000"/>
    <w:rsid w:val="00477108"/>
    <w:rsid w:val="00477503"/>
    <w:rsid w:val="00477539"/>
    <w:rsid w:val="004776B6"/>
    <w:rsid w:val="00477721"/>
    <w:rsid w:val="00477773"/>
    <w:rsid w:val="004777A5"/>
    <w:rsid w:val="0047786A"/>
    <w:rsid w:val="00477A1E"/>
    <w:rsid w:val="00477B7E"/>
    <w:rsid w:val="00477C98"/>
    <w:rsid w:val="00477D14"/>
    <w:rsid w:val="00477D94"/>
    <w:rsid w:val="00477EC9"/>
    <w:rsid w:val="00480123"/>
    <w:rsid w:val="004804B6"/>
    <w:rsid w:val="00480A63"/>
    <w:rsid w:val="00480E7F"/>
    <w:rsid w:val="00480F3E"/>
    <w:rsid w:val="0048102C"/>
    <w:rsid w:val="00481203"/>
    <w:rsid w:val="00481231"/>
    <w:rsid w:val="00481547"/>
    <w:rsid w:val="00481572"/>
    <w:rsid w:val="00481825"/>
    <w:rsid w:val="0048190E"/>
    <w:rsid w:val="004819B6"/>
    <w:rsid w:val="00481A4F"/>
    <w:rsid w:val="00481AE7"/>
    <w:rsid w:val="00481D18"/>
    <w:rsid w:val="00481E13"/>
    <w:rsid w:val="00481EE1"/>
    <w:rsid w:val="00481F8F"/>
    <w:rsid w:val="00482199"/>
    <w:rsid w:val="00482214"/>
    <w:rsid w:val="0048225A"/>
    <w:rsid w:val="0048259A"/>
    <w:rsid w:val="0048259F"/>
    <w:rsid w:val="004825DC"/>
    <w:rsid w:val="00482852"/>
    <w:rsid w:val="00482894"/>
    <w:rsid w:val="00482934"/>
    <w:rsid w:val="00482B6C"/>
    <w:rsid w:val="00482C76"/>
    <w:rsid w:val="00482DDB"/>
    <w:rsid w:val="00482E6E"/>
    <w:rsid w:val="00482EB0"/>
    <w:rsid w:val="00482F6C"/>
    <w:rsid w:val="004832D9"/>
    <w:rsid w:val="004836D5"/>
    <w:rsid w:val="004837BB"/>
    <w:rsid w:val="00483ACC"/>
    <w:rsid w:val="00483BA3"/>
    <w:rsid w:val="00483E37"/>
    <w:rsid w:val="00483FB2"/>
    <w:rsid w:val="004840B8"/>
    <w:rsid w:val="004841BB"/>
    <w:rsid w:val="0048423E"/>
    <w:rsid w:val="004846E4"/>
    <w:rsid w:val="00484836"/>
    <w:rsid w:val="00484855"/>
    <w:rsid w:val="00484AAE"/>
    <w:rsid w:val="00484C15"/>
    <w:rsid w:val="00484C6F"/>
    <w:rsid w:val="00484E12"/>
    <w:rsid w:val="00484E53"/>
    <w:rsid w:val="00485095"/>
    <w:rsid w:val="0048537F"/>
    <w:rsid w:val="00485403"/>
    <w:rsid w:val="00485547"/>
    <w:rsid w:val="00485750"/>
    <w:rsid w:val="004857FB"/>
    <w:rsid w:val="0048597E"/>
    <w:rsid w:val="00485B8D"/>
    <w:rsid w:val="00485B8E"/>
    <w:rsid w:val="00485CF9"/>
    <w:rsid w:val="00485D41"/>
    <w:rsid w:val="00485DF4"/>
    <w:rsid w:val="00485F65"/>
    <w:rsid w:val="00485FF2"/>
    <w:rsid w:val="00486156"/>
    <w:rsid w:val="00486396"/>
    <w:rsid w:val="00486413"/>
    <w:rsid w:val="004866C9"/>
    <w:rsid w:val="00486973"/>
    <w:rsid w:val="00486AF4"/>
    <w:rsid w:val="00486B20"/>
    <w:rsid w:val="00486B2F"/>
    <w:rsid w:val="00486B59"/>
    <w:rsid w:val="00486CA2"/>
    <w:rsid w:val="00486D54"/>
    <w:rsid w:val="00486E7F"/>
    <w:rsid w:val="00486F43"/>
    <w:rsid w:val="00487029"/>
    <w:rsid w:val="00487156"/>
    <w:rsid w:val="00487540"/>
    <w:rsid w:val="00487674"/>
    <w:rsid w:val="004877E7"/>
    <w:rsid w:val="0048788F"/>
    <w:rsid w:val="004878EE"/>
    <w:rsid w:val="00487C2D"/>
    <w:rsid w:val="004900B2"/>
    <w:rsid w:val="00490103"/>
    <w:rsid w:val="00490182"/>
    <w:rsid w:val="0049025F"/>
    <w:rsid w:val="00490347"/>
    <w:rsid w:val="0049038D"/>
    <w:rsid w:val="00490418"/>
    <w:rsid w:val="0049044A"/>
    <w:rsid w:val="00490503"/>
    <w:rsid w:val="0049054F"/>
    <w:rsid w:val="00490807"/>
    <w:rsid w:val="00490AB4"/>
    <w:rsid w:val="00490C9B"/>
    <w:rsid w:val="00490E84"/>
    <w:rsid w:val="00491065"/>
    <w:rsid w:val="0049124D"/>
    <w:rsid w:val="0049139D"/>
    <w:rsid w:val="004913D2"/>
    <w:rsid w:val="00491459"/>
    <w:rsid w:val="0049157F"/>
    <w:rsid w:val="00491679"/>
    <w:rsid w:val="00491745"/>
    <w:rsid w:val="00491753"/>
    <w:rsid w:val="004917C5"/>
    <w:rsid w:val="0049194B"/>
    <w:rsid w:val="00491A08"/>
    <w:rsid w:val="00491B81"/>
    <w:rsid w:val="00491C12"/>
    <w:rsid w:val="00491E50"/>
    <w:rsid w:val="00491F14"/>
    <w:rsid w:val="0049213B"/>
    <w:rsid w:val="004922A1"/>
    <w:rsid w:val="004922EE"/>
    <w:rsid w:val="004924D2"/>
    <w:rsid w:val="00492692"/>
    <w:rsid w:val="00492773"/>
    <w:rsid w:val="004928A4"/>
    <w:rsid w:val="00492C86"/>
    <w:rsid w:val="00492CA4"/>
    <w:rsid w:val="00492CE4"/>
    <w:rsid w:val="00492F7D"/>
    <w:rsid w:val="004930F1"/>
    <w:rsid w:val="004933E5"/>
    <w:rsid w:val="0049344E"/>
    <w:rsid w:val="004934D3"/>
    <w:rsid w:val="0049369B"/>
    <w:rsid w:val="004938D3"/>
    <w:rsid w:val="00493A66"/>
    <w:rsid w:val="00493A88"/>
    <w:rsid w:val="00493AA1"/>
    <w:rsid w:val="00493BED"/>
    <w:rsid w:val="00493BF3"/>
    <w:rsid w:val="00493F96"/>
    <w:rsid w:val="0049405A"/>
    <w:rsid w:val="00494179"/>
    <w:rsid w:val="00494185"/>
    <w:rsid w:val="0049423D"/>
    <w:rsid w:val="00494289"/>
    <w:rsid w:val="004942C5"/>
    <w:rsid w:val="0049441C"/>
    <w:rsid w:val="00494461"/>
    <w:rsid w:val="004945B8"/>
    <w:rsid w:val="004946D3"/>
    <w:rsid w:val="00494821"/>
    <w:rsid w:val="00494992"/>
    <w:rsid w:val="00494A28"/>
    <w:rsid w:val="00494CDA"/>
    <w:rsid w:val="00494E17"/>
    <w:rsid w:val="00494F61"/>
    <w:rsid w:val="00495053"/>
    <w:rsid w:val="0049530C"/>
    <w:rsid w:val="0049531C"/>
    <w:rsid w:val="00495507"/>
    <w:rsid w:val="00495515"/>
    <w:rsid w:val="0049559D"/>
    <w:rsid w:val="004955F9"/>
    <w:rsid w:val="004957C7"/>
    <w:rsid w:val="0049589A"/>
    <w:rsid w:val="00495AD4"/>
    <w:rsid w:val="00495BA5"/>
    <w:rsid w:val="00495C03"/>
    <w:rsid w:val="00495D36"/>
    <w:rsid w:val="00495D6F"/>
    <w:rsid w:val="00495D9E"/>
    <w:rsid w:val="00495E16"/>
    <w:rsid w:val="00495EAB"/>
    <w:rsid w:val="00495EF2"/>
    <w:rsid w:val="00496012"/>
    <w:rsid w:val="00496048"/>
    <w:rsid w:val="00496148"/>
    <w:rsid w:val="00496175"/>
    <w:rsid w:val="0049631C"/>
    <w:rsid w:val="0049632F"/>
    <w:rsid w:val="00496390"/>
    <w:rsid w:val="004963B8"/>
    <w:rsid w:val="0049655D"/>
    <w:rsid w:val="004967AE"/>
    <w:rsid w:val="004967B4"/>
    <w:rsid w:val="004967F8"/>
    <w:rsid w:val="00496A8B"/>
    <w:rsid w:val="00496DD9"/>
    <w:rsid w:val="00496E64"/>
    <w:rsid w:val="00497201"/>
    <w:rsid w:val="00497283"/>
    <w:rsid w:val="00497326"/>
    <w:rsid w:val="004974C4"/>
    <w:rsid w:val="004974DF"/>
    <w:rsid w:val="00497545"/>
    <w:rsid w:val="0049776F"/>
    <w:rsid w:val="00497783"/>
    <w:rsid w:val="004977C1"/>
    <w:rsid w:val="00497814"/>
    <w:rsid w:val="00497BFD"/>
    <w:rsid w:val="00497F10"/>
    <w:rsid w:val="00497F70"/>
    <w:rsid w:val="004A0112"/>
    <w:rsid w:val="004A011A"/>
    <w:rsid w:val="004A0314"/>
    <w:rsid w:val="004A0361"/>
    <w:rsid w:val="004A0404"/>
    <w:rsid w:val="004A0444"/>
    <w:rsid w:val="004A04EC"/>
    <w:rsid w:val="004A057B"/>
    <w:rsid w:val="004A05B7"/>
    <w:rsid w:val="004A063B"/>
    <w:rsid w:val="004A073F"/>
    <w:rsid w:val="004A0842"/>
    <w:rsid w:val="004A094F"/>
    <w:rsid w:val="004A0B89"/>
    <w:rsid w:val="004A0FCA"/>
    <w:rsid w:val="004A1166"/>
    <w:rsid w:val="004A1273"/>
    <w:rsid w:val="004A128F"/>
    <w:rsid w:val="004A139F"/>
    <w:rsid w:val="004A1471"/>
    <w:rsid w:val="004A157E"/>
    <w:rsid w:val="004A16BB"/>
    <w:rsid w:val="004A17C8"/>
    <w:rsid w:val="004A17CC"/>
    <w:rsid w:val="004A1830"/>
    <w:rsid w:val="004A19A2"/>
    <w:rsid w:val="004A1B36"/>
    <w:rsid w:val="004A1D14"/>
    <w:rsid w:val="004A1EA2"/>
    <w:rsid w:val="004A1F5A"/>
    <w:rsid w:val="004A1FEB"/>
    <w:rsid w:val="004A2051"/>
    <w:rsid w:val="004A2515"/>
    <w:rsid w:val="004A25E5"/>
    <w:rsid w:val="004A2716"/>
    <w:rsid w:val="004A27AC"/>
    <w:rsid w:val="004A283F"/>
    <w:rsid w:val="004A2A41"/>
    <w:rsid w:val="004A2B7C"/>
    <w:rsid w:val="004A2B83"/>
    <w:rsid w:val="004A2BBF"/>
    <w:rsid w:val="004A2D8B"/>
    <w:rsid w:val="004A3190"/>
    <w:rsid w:val="004A31B8"/>
    <w:rsid w:val="004A32F1"/>
    <w:rsid w:val="004A34B6"/>
    <w:rsid w:val="004A3519"/>
    <w:rsid w:val="004A3542"/>
    <w:rsid w:val="004A35AC"/>
    <w:rsid w:val="004A35C2"/>
    <w:rsid w:val="004A377A"/>
    <w:rsid w:val="004A38A9"/>
    <w:rsid w:val="004A38CD"/>
    <w:rsid w:val="004A3A1A"/>
    <w:rsid w:val="004A3AB5"/>
    <w:rsid w:val="004A3E08"/>
    <w:rsid w:val="004A3F9A"/>
    <w:rsid w:val="004A408E"/>
    <w:rsid w:val="004A419B"/>
    <w:rsid w:val="004A4376"/>
    <w:rsid w:val="004A43C3"/>
    <w:rsid w:val="004A4411"/>
    <w:rsid w:val="004A487D"/>
    <w:rsid w:val="004A49A1"/>
    <w:rsid w:val="004A4DBE"/>
    <w:rsid w:val="004A4F24"/>
    <w:rsid w:val="004A50B5"/>
    <w:rsid w:val="004A50F8"/>
    <w:rsid w:val="004A534D"/>
    <w:rsid w:val="004A5367"/>
    <w:rsid w:val="004A53E4"/>
    <w:rsid w:val="004A5434"/>
    <w:rsid w:val="004A5467"/>
    <w:rsid w:val="004A5774"/>
    <w:rsid w:val="004A58AB"/>
    <w:rsid w:val="004A5D5C"/>
    <w:rsid w:val="004A5DC6"/>
    <w:rsid w:val="004A5DD5"/>
    <w:rsid w:val="004A5DD7"/>
    <w:rsid w:val="004A6034"/>
    <w:rsid w:val="004A615D"/>
    <w:rsid w:val="004A6396"/>
    <w:rsid w:val="004A6440"/>
    <w:rsid w:val="004A6473"/>
    <w:rsid w:val="004A65DC"/>
    <w:rsid w:val="004A65FF"/>
    <w:rsid w:val="004A6846"/>
    <w:rsid w:val="004A687C"/>
    <w:rsid w:val="004A68CB"/>
    <w:rsid w:val="004A695F"/>
    <w:rsid w:val="004A69E3"/>
    <w:rsid w:val="004A6B07"/>
    <w:rsid w:val="004A6C4C"/>
    <w:rsid w:val="004A6C8C"/>
    <w:rsid w:val="004A6D46"/>
    <w:rsid w:val="004A6FAE"/>
    <w:rsid w:val="004A6FBA"/>
    <w:rsid w:val="004A7094"/>
    <w:rsid w:val="004A7249"/>
    <w:rsid w:val="004A77F3"/>
    <w:rsid w:val="004A7980"/>
    <w:rsid w:val="004A7AB2"/>
    <w:rsid w:val="004A7C67"/>
    <w:rsid w:val="004B0184"/>
    <w:rsid w:val="004B01AA"/>
    <w:rsid w:val="004B02AC"/>
    <w:rsid w:val="004B036D"/>
    <w:rsid w:val="004B0526"/>
    <w:rsid w:val="004B05E1"/>
    <w:rsid w:val="004B0689"/>
    <w:rsid w:val="004B06E3"/>
    <w:rsid w:val="004B096E"/>
    <w:rsid w:val="004B0C77"/>
    <w:rsid w:val="004B0E27"/>
    <w:rsid w:val="004B0E45"/>
    <w:rsid w:val="004B106A"/>
    <w:rsid w:val="004B1147"/>
    <w:rsid w:val="004B1284"/>
    <w:rsid w:val="004B12F6"/>
    <w:rsid w:val="004B1698"/>
    <w:rsid w:val="004B1824"/>
    <w:rsid w:val="004B1916"/>
    <w:rsid w:val="004B1A1E"/>
    <w:rsid w:val="004B1A95"/>
    <w:rsid w:val="004B1C0A"/>
    <w:rsid w:val="004B1CCC"/>
    <w:rsid w:val="004B1D81"/>
    <w:rsid w:val="004B1F2D"/>
    <w:rsid w:val="004B22C6"/>
    <w:rsid w:val="004B2315"/>
    <w:rsid w:val="004B25BB"/>
    <w:rsid w:val="004B27FD"/>
    <w:rsid w:val="004B29AA"/>
    <w:rsid w:val="004B2F2A"/>
    <w:rsid w:val="004B3124"/>
    <w:rsid w:val="004B32A6"/>
    <w:rsid w:val="004B371E"/>
    <w:rsid w:val="004B397F"/>
    <w:rsid w:val="004B3A69"/>
    <w:rsid w:val="004B3B19"/>
    <w:rsid w:val="004B3B28"/>
    <w:rsid w:val="004B3B2B"/>
    <w:rsid w:val="004B3C5C"/>
    <w:rsid w:val="004B3CD1"/>
    <w:rsid w:val="004B3E2B"/>
    <w:rsid w:val="004B406C"/>
    <w:rsid w:val="004B43CE"/>
    <w:rsid w:val="004B4499"/>
    <w:rsid w:val="004B45B0"/>
    <w:rsid w:val="004B47EF"/>
    <w:rsid w:val="004B4991"/>
    <w:rsid w:val="004B4B1B"/>
    <w:rsid w:val="004B4C0B"/>
    <w:rsid w:val="004B4FAB"/>
    <w:rsid w:val="004B506E"/>
    <w:rsid w:val="004B5152"/>
    <w:rsid w:val="004B5199"/>
    <w:rsid w:val="004B5683"/>
    <w:rsid w:val="004B580F"/>
    <w:rsid w:val="004B583C"/>
    <w:rsid w:val="004B5B2E"/>
    <w:rsid w:val="004B5B8E"/>
    <w:rsid w:val="004B5BC6"/>
    <w:rsid w:val="004B611C"/>
    <w:rsid w:val="004B618F"/>
    <w:rsid w:val="004B625C"/>
    <w:rsid w:val="004B628D"/>
    <w:rsid w:val="004B635A"/>
    <w:rsid w:val="004B651D"/>
    <w:rsid w:val="004B6748"/>
    <w:rsid w:val="004B6790"/>
    <w:rsid w:val="004B6A29"/>
    <w:rsid w:val="004B6B0E"/>
    <w:rsid w:val="004B6C33"/>
    <w:rsid w:val="004B6CC3"/>
    <w:rsid w:val="004B7244"/>
    <w:rsid w:val="004B727F"/>
    <w:rsid w:val="004B7485"/>
    <w:rsid w:val="004B75B1"/>
    <w:rsid w:val="004B75DA"/>
    <w:rsid w:val="004B7707"/>
    <w:rsid w:val="004B7726"/>
    <w:rsid w:val="004B7866"/>
    <w:rsid w:val="004B7A1D"/>
    <w:rsid w:val="004B7CA4"/>
    <w:rsid w:val="004B7D39"/>
    <w:rsid w:val="004B7EF1"/>
    <w:rsid w:val="004C0053"/>
    <w:rsid w:val="004C00C3"/>
    <w:rsid w:val="004C0117"/>
    <w:rsid w:val="004C0217"/>
    <w:rsid w:val="004C0314"/>
    <w:rsid w:val="004C03A9"/>
    <w:rsid w:val="004C06AD"/>
    <w:rsid w:val="004C0945"/>
    <w:rsid w:val="004C0A1A"/>
    <w:rsid w:val="004C0B4D"/>
    <w:rsid w:val="004C0C82"/>
    <w:rsid w:val="004C0E9C"/>
    <w:rsid w:val="004C0EA9"/>
    <w:rsid w:val="004C0F41"/>
    <w:rsid w:val="004C0F48"/>
    <w:rsid w:val="004C0FDE"/>
    <w:rsid w:val="004C1056"/>
    <w:rsid w:val="004C106E"/>
    <w:rsid w:val="004C1103"/>
    <w:rsid w:val="004C137B"/>
    <w:rsid w:val="004C1414"/>
    <w:rsid w:val="004C1797"/>
    <w:rsid w:val="004C17BF"/>
    <w:rsid w:val="004C18F4"/>
    <w:rsid w:val="004C1B22"/>
    <w:rsid w:val="004C1B45"/>
    <w:rsid w:val="004C1EAD"/>
    <w:rsid w:val="004C2014"/>
    <w:rsid w:val="004C2454"/>
    <w:rsid w:val="004C245E"/>
    <w:rsid w:val="004C25DE"/>
    <w:rsid w:val="004C2602"/>
    <w:rsid w:val="004C26AC"/>
    <w:rsid w:val="004C2803"/>
    <w:rsid w:val="004C282D"/>
    <w:rsid w:val="004C2882"/>
    <w:rsid w:val="004C291E"/>
    <w:rsid w:val="004C2C55"/>
    <w:rsid w:val="004C2CFA"/>
    <w:rsid w:val="004C2FC7"/>
    <w:rsid w:val="004C31BE"/>
    <w:rsid w:val="004C3355"/>
    <w:rsid w:val="004C36F9"/>
    <w:rsid w:val="004C37C7"/>
    <w:rsid w:val="004C38C4"/>
    <w:rsid w:val="004C3CA1"/>
    <w:rsid w:val="004C3E33"/>
    <w:rsid w:val="004C3E8A"/>
    <w:rsid w:val="004C3F33"/>
    <w:rsid w:val="004C40DA"/>
    <w:rsid w:val="004C43CF"/>
    <w:rsid w:val="004C4421"/>
    <w:rsid w:val="004C4475"/>
    <w:rsid w:val="004C45DB"/>
    <w:rsid w:val="004C46DE"/>
    <w:rsid w:val="004C4703"/>
    <w:rsid w:val="004C4707"/>
    <w:rsid w:val="004C4732"/>
    <w:rsid w:val="004C476A"/>
    <w:rsid w:val="004C491E"/>
    <w:rsid w:val="004C496F"/>
    <w:rsid w:val="004C4A96"/>
    <w:rsid w:val="004C4CB5"/>
    <w:rsid w:val="004C4D2A"/>
    <w:rsid w:val="004C4F7B"/>
    <w:rsid w:val="004C50F9"/>
    <w:rsid w:val="004C5408"/>
    <w:rsid w:val="004C5552"/>
    <w:rsid w:val="004C571F"/>
    <w:rsid w:val="004C5763"/>
    <w:rsid w:val="004C5878"/>
    <w:rsid w:val="004C59B9"/>
    <w:rsid w:val="004C5B14"/>
    <w:rsid w:val="004C5DBE"/>
    <w:rsid w:val="004C5DE4"/>
    <w:rsid w:val="004C5E31"/>
    <w:rsid w:val="004C5E9D"/>
    <w:rsid w:val="004C5EDC"/>
    <w:rsid w:val="004C6357"/>
    <w:rsid w:val="004C67ED"/>
    <w:rsid w:val="004C69B0"/>
    <w:rsid w:val="004C6B85"/>
    <w:rsid w:val="004C6BD6"/>
    <w:rsid w:val="004C6C92"/>
    <w:rsid w:val="004C6D04"/>
    <w:rsid w:val="004C72F3"/>
    <w:rsid w:val="004C74BB"/>
    <w:rsid w:val="004C763E"/>
    <w:rsid w:val="004C76AE"/>
    <w:rsid w:val="004C772D"/>
    <w:rsid w:val="004C77D2"/>
    <w:rsid w:val="004C79AF"/>
    <w:rsid w:val="004C7A2B"/>
    <w:rsid w:val="004C7CD3"/>
    <w:rsid w:val="004C7EE1"/>
    <w:rsid w:val="004C7F1F"/>
    <w:rsid w:val="004D0131"/>
    <w:rsid w:val="004D01F1"/>
    <w:rsid w:val="004D06E7"/>
    <w:rsid w:val="004D07E4"/>
    <w:rsid w:val="004D0934"/>
    <w:rsid w:val="004D09F6"/>
    <w:rsid w:val="004D0B0E"/>
    <w:rsid w:val="004D0BCF"/>
    <w:rsid w:val="004D0BDF"/>
    <w:rsid w:val="004D0F20"/>
    <w:rsid w:val="004D101E"/>
    <w:rsid w:val="004D10E1"/>
    <w:rsid w:val="004D1263"/>
    <w:rsid w:val="004D1472"/>
    <w:rsid w:val="004D1837"/>
    <w:rsid w:val="004D18DB"/>
    <w:rsid w:val="004D1B59"/>
    <w:rsid w:val="004D1CE3"/>
    <w:rsid w:val="004D1D6A"/>
    <w:rsid w:val="004D1FEE"/>
    <w:rsid w:val="004D21A7"/>
    <w:rsid w:val="004D2658"/>
    <w:rsid w:val="004D27B4"/>
    <w:rsid w:val="004D27E4"/>
    <w:rsid w:val="004D28F3"/>
    <w:rsid w:val="004D297A"/>
    <w:rsid w:val="004D2AB2"/>
    <w:rsid w:val="004D2CA9"/>
    <w:rsid w:val="004D303D"/>
    <w:rsid w:val="004D31D5"/>
    <w:rsid w:val="004D31EF"/>
    <w:rsid w:val="004D3271"/>
    <w:rsid w:val="004D35A3"/>
    <w:rsid w:val="004D35F7"/>
    <w:rsid w:val="004D3A0E"/>
    <w:rsid w:val="004D3C26"/>
    <w:rsid w:val="004D3C3C"/>
    <w:rsid w:val="004D3C44"/>
    <w:rsid w:val="004D3ED1"/>
    <w:rsid w:val="004D3F68"/>
    <w:rsid w:val="004D4263"/>
    <w:rsid w:val="004D42DB"/>
    <w:rsid w:val="004D44A3"/>
    <w:rsid w:val="004D4557"/>
    <w:rsid w:val="004D4854"/>
    <w:rsid w:val="004D4AA6"/>
    <w:rsid w:val="004D4AFD"/>
    <w:rsid w:val="004D4CAC"/>
    <w:rsid w:val="004D4DC1"/>
    <w:rsid w:val="004D4EFF"/>
    <w:rsid w:val="004D4F0E"/>
    <w:rsid w:val="004D51D0"/>
    <w:rsid w:val="004D52A9"/>
    <w:rsid w:val="004D53F4"/>
    <w:rsid w:val="004D550F"/>
    <w:rsid w:val="004D5629"/>
    <w:rsid w:val="004D57B1"/>
    <w:rsid w:val="004D57C9"/>
    <w:rsid w:val="004D5965"/>
    <w:rsid w:val="004D5C4D"/>
    <w:rsid w:val="004D5C51"/>
    <w:rsid w:val="004D5C7B"/>
    <w:rsid w:val="004D5E88"/>
    <w:rsid w:val="004D5EC4"/>
    <w:rsid w:val="004D5FD8"/>
    <w:rsid w:val="004D5FF5"/>
    <w:rsid w:val="004D607A"/>
    <w:rsid w:val="004D60BF"/>
    <w:rsid w:val="004D63DA"/>
    <w:rsid w:val="004D64D0"/>
    <w:rsid w:val="004D65F9"/>
    <w:rsid w:val="004D6961"/>
    <w:rsid w:val="004D6A62"/>
    <w:rsid w:val="004D6C66"/>
    <w:rsid w:val="004D6C6B"/>
    <w:rsid w:val="004D6CDA"/>
    <w:rsid w:val="004D6D97"/>
    <w:rsid w:val="004D6DA4"/>
    <w:rsid w:val="004D6E66"/>
    <w:rsid w:val="004D6F26"/>
    <w:rsid w:val="004D716B"/>
    <w:rsid w:val="004D71CF"/>
    <w:rsid w:val="004D72CF"/>
    <w:rsid w:val="004D72D0"/>
    <w:rsid w:val="004D742A"/>
    <w:rsid w:val="004D74C1"/>
    <w:rsid w:val="004D74C2"/>
    <w:rsid w:val="004D7568"/>
    <w:rsid w:val="004D7580"/>
    <w:rsid w:val="004D7665"/>
    <w:rsid w:val="004D7723"/>
    <w:rsid w:val="004D7799"/>
    <w:rsid w:val="004D78D5"/>
    <w:rsid w:val="004D78E7"/>
    <w:rsid w:val="004D797D"/>
    <w:rsid w:val="004D79D3"/>
    <w:rsid w:val="004D79DC"/>
    <w:rsid w:val="004D7C34"/>
    <w:rsid w:val="004D7C3F"/>
    <w:rsid w:val="004D7C5C"/>
    <w:rsid w:val="004E0063"/>
    <w:rsid w:val="004E0223"/>
    <w:rsid w:val="004E02C0"/>
    <w:rsid w:val="004E0360"/>
    <w:rsid w:val="004E03E5"/>
    <w:rsid w:val="004E072A"/>
    <w:rsid w:val="004E074B"/>
    <w:rsid w:val="004E086B"/>
    <w:rsid w:val="004E0A35"/>
    <w:rsid w:val="004E0B8F"/>
    <w:rsid w:val="004E0BD2"/>
    <w:rsid w:val="004E0CE6"/>
    <w:rsid w:val="004E0D86"/>
    <w:rsid w:val="004E0EEF"/>
    <w:rsid w:val="004E0FAC"/>
    <w:rsid w:val="004E1265"/>
    <w:rsid w:val="004E12B4"/>
    <w:rsid w:val="004E12EB"/>
    <w:rsid w:val="004E1426"/>
    <w:rsid w:val="004E15CB"/>
    <w:rsid w:val="004E1819"/>
    <w:rsid w:val="004E19AB"/>
    <w:rsid w:val="004E19AD"/>
    <w:rsid w:val="004E1B29"/>
    <w:rsid w:val="004E1B3C"/>
    <w:rsid w:val="004E1CCD"/>
    <w:rsid w:val="004E1CE4"/>
    <w:rsid w:val="004E2001"/>
    <w:rsid w:val="004E2048"/>
    <w:rsid w:val="004E2105"/>
    <w:rsid w:val="004E2233"/>
    <w:rsid w:val="004E223D"/>
    <w:rsid w:val="004E2294"/>
    <w:rsid w:val="004E23FC"/>
    <w:rsid w:val="004E2426"/>
    <w:rsid w:val="004E24A5"/>
    <w:rsid w:val="004E25D3"/>
    <w:rsid w:val="004E274D"/>
    <w:rsid w:val="004E28DE"/>
    <w:rsid w:val="004E2963"/>
    <w:rsid w:val="004E29A3"/>
    <w:rsid w:val="004E2AB1"/>
    <w:rsid w:val="004E2AD1"/>
    <w:rsid w:val="004E2BF4"/>
    <w:rsid w:val="004E2C31"/>
    <w:rsid w:val="004E2CB1"/>
    <w:rsid w:val="004E2D3C"/>
    <w:rsid w:val="004E2EB5"/>
    <w:rsid w:val="004E2EC7"/>
    <w:rsid w:val="004E2F15"/>
    <w:rsid w:val="004E31CE"/>
    <w:rsid w:val="004E31FD"/>
    <w:rsid w:val="004E3279"/>
    <w:rsid w:val="004E32B1"/>
    <w:rsid w:val="004E346A"/>
    <w:rsid w:val="004E35ED"/>
    <w:rsid w:val="004E366B"/>
    <w:rsid w:val="004E3681"/>
    <w:rsid w:val="004E397C"/>
    <w:rsid w:val="004E3C9A"/>
    <w:rsid w:val="004E3D7F"/>
    <w:rsid w:val="004E3E51"/>
    <w:rsid w:val="004E3F45"/>
    <w:rsid w:val="004E4268"/>
    <w:rsid w:val="004E43D4"/>
    <w:rsid w:val="004E4436"/>
    <w:rsid w:val="004E484E"/>
    <w:rsid w:val="004E4856"/>
    <w:rsid w:val="004E4B33"/>
    <w:rsid w:val="004E4CF8"/>
    <w:rsid w:val="004E4D45"/>
    <w:rsid w:val="004E4D86"/>
    <w:rsid w:val="004E4EAD"/>
    <w:rsid w:val="004E4F00"/>
    <w:rsid w:val="004E50DD"/>
    <w:rsid w:val="004E51D9"/>
    <w:rsid w:val="004E51FE"/>
    <w:rsid w:val="004E5251"/>
    <w:rsid w:val="004E537A"/>
    <w:rsid w:val="004E53AB"/>
    <w:rsid w:val="004E5547"/>
    <w:rsid w:val="004E55DB"/>
    <w:rsid w:val="004E57C8"/>
    <w:rsid w:val="004E5A00"/>
    <w:rsid w:val="004E5F30"/>
    <w:rsid w:val="004E603B"/>
    <w:rsid w:val="004E61EC"/>
    <w:rsid w:val="004E65C1"/>
    <w:rsid w:val="004E6CB0"/>
    <w:rsid w:val="004E6DA0"/>
    <w:rsid w:val="004E6F51"/>
    <w:rsid w:val="004E6F71"/>
    <w:rsid w:val="004E7028"/>
    <w:rsid w:val="004E7042"/>
    <w:rsid w:val="004E7282"/>
    <w:rsid w:val="004E735A"/>
    <w:rsid w:val="004E7375"/>
    <w:rsid w:val="004E760F"/>
    <w:rsid w:val="004E767B"/>
    <w:rsid w:val="004E7A18"/>
    <w:rsid w:val="004E7A77"/>
    <w:rsid w:val="004E7B06"/>
    <w:rsid w:val="004E7C4D"/>
    <w:rsid w:val="004E7DC1"/>
    <w:rsid w:val="004F0063"/>
    <w:rsid w:val="004F0107"/>
    <w:rsid w:val="004F0398"/>
    <w:rsid w:val="004F040C"/>
    <w:rsid w:val="004F048D"/>
    <w:rsid w:val="004F04FF"/>
    <w:rsid w:val="004F0732"/>
    <w:rsid w:val="004F083A"/>
    <w:rsid w:val="004F0926"/>
    <w:rsid w:val="004F0CD6"/>
    <w:rsid w:val="004F106B"/>
    <w:rsid w:val="004F1072"/>
    <w:rsid w:val="004F117C"/>
    <w:rsid w:val="004F11A5"/>
    <w:rsid w:val="004F144A"/>
    <w:rsid w:val="004F1584"/>
    <w:rsid w:val="004F1787"/>
    <w:rsid w:val="004F18A3"/>
    <w:rsid w:val="004F18ED"/>
    <w:rsid w:val="004F19DD"/>
    <w:rsid w:val="004F1C30"/>
    <w:rsid w:val="004F1EE3"/>
    <w:rsid w:val="004F223E"/>
    <w:rsid w:val="004F2309"/>
    <w:rsid w:val="004F2405"/>
    <w:rsid w:val="004F2425"/>
    <w:rsid w:val="004F2436"/>
    <w:rsid w:val="004F2538"/>
    <w:rsid w:val="004F27F4"/>
    <w:rsid w:val="004F28D1"/>
    <w:rsid w:val="004F28D4"/>
    <w:rsid w:val="004F2904"/>
    <w:rsid w:val="004F2B90"/>
    <w:rsid w:val="004F2C7D"/>
    <w:rsid w:val="004F2CA0"/>
    <w:rsid w:val="004F2DDC"/>
    <w:rsid w:val="004F2E40"/>
    <w:rsid w:val="004F2E79"/>
    <w:rsid w:val="004F2EA7"/>
    <w:rsid w:val="004F2EFC"/>
    <w:rsid w:val="004F2F68"/>
    <w:rsid w:val="004F3039"/>
    <w:rsid w:val="004F3202"/>
    <w:rsid w:val="004F3268"/>
    <w:rsid w:val="004F3456"/>
    <w:rsid w:val="004F3542"/>
    <w:rsid w:val="004F367D"/>
    <w:rsid w:val="004F37C3"/>
    <w:rsid w:val="004F38FB"/>
    <w:rsid w:val="004F39A0"/>
    <w:rsid w:val="004F39D0"/>
    <w:rsid w:val="004F3CDB"/>
    <w:rsid w:val="004F3FB0"/>
    <w:rsid w:val="004F41A5"/>
    <w:rsid w:val="004F425E"/>
    <w:rsid w:val="004F44C1"/>
    <w:rsid w:val="004F4742"/>
    <w:rsid w:val="004F48B4"/>
    <w:rsid w:val="004F4992"/>
    <w:rsid w:val="004F4A8A"/>
    <w:rsid w:val="004F4C18"/>
    <w:rsid w:val="004F4C28"/>
    <w:rsid w:val="004F4E3C"/>
    <w:rsid w:val="004F512C"/>
    <w:rsid w:val="004F5397"/>
    <w:rsid w:val="004F545C"/>
    <w:rsid w:val="004F5607"/>
    <w:rsid w:val="004F579A"/>
    <w:rsid w:val="004F57BC"/>
    <w:rsid w:val="004F5845"/>
    <w:rsid w:val="004F585E"/>
    <w:rsid w:val="004F58FB"/>
    <w:rsid w:val="004F5AF3"/>
    <w:rsid w:val="004F5DE6"/>
    <w:rsid w:val="004F607B"/>
    <w:rsid w:val="004F615F"/>
    <w:rsid w:val="004F6377"/>
    <w:rsid w:val="004F63D8"/>
    <w:rsid w:val="004F6538"/>
    <w:rsid w:val="004F6723"/>
    <w:rsid w:val="004F676B"/>
    <w:rsid w:val="004F6994"/>
    <w:rsid w:val="004F6A87"/>
    <w:rsid w:val="004F6A8A"/>
    <w:rsid w:val="004F6AEF"/>
    <w:rsid w:val="004F6E08"/>
    <w:rsid w:val="004F6EC0"/>
    <w:rsid w:val="004F6F37"/>
    <w:rsid w:val="004F6FEA"/>
    <w:rsid w:val="004F7004"/>
    <w:rsid w:val="004F7021"/>
    <w:rsid w:val="004F71C8"/>
    <w:rsid w:val="004F7418"/>
    <w:rsid w:val="004F74AD"/>
    <w:rsid w:val="004F7624"/>
    <w:rsid w:val="004F76C9"/>
    <w:rsid w:val="004F78CD"/>
    <w:rsid w:val="004F7A77"/>
    <w:rsid w:val="004F7AA0"/>
    <w:rsid w:val="004F7AB7"/>
    <w:rsid w:val="004F7B07"/>
    <w:rsid w:val="004F7BCD"/>
    <w:rsid w:val="004F7CA1"/>
    <w:rsid w:val="004F7CC3"/>
    <w:rsid w:val="004F7E1B"/>
    <w:rsid w:val="004F7E56"/>
    <w:rsid w:val="004F7EC2"/>
    <w:rsid w:val="004F7F6F"/>
    <w:rsid w:val="0050023B"/>
    <w:rsid w:val="00500265"/>
    <w:rsid w:val="005004A7"/>
    <w:rsid w:val="00500A7B"/>
    <w:rsid w:val="00500ABF"/>
    <w:rsid w:val="00500AD1"/>
    <w:rsid w:val="00500B39"/>
    <w:rsid w:val="00500BD5"/>
    <w:rsid w:val="00500CF1"/>
    <w:rsid w:val="00500D53"/>
    <w:rsid w:val="00500DB2"/>
    <w:rsid w:val="00500F68"/>
    <w:rsid w:val="0050101E"/>
    <w:rsid w:val="00501020"/>
    <w:rsid w:val="005011CE"/>
    <w:rsid w:val="005012FD"/>
    <w:rsid w:val="00501373"/>
    <w:rsid w:val="00501417"/>
    <w:rsid w:val="005014DE"/>
    <w:rsid w:val="00501583"/>
    <w:rsid w:val="00501707"/>
    <w:rsid w:val="0050189F"/>
    <w:rsid w:val="005018F3"/>
    <w:rsid w:val="00501937"/>
    <w:rsid w:val="005019F3"/>
    <w:rsid w:val="00501B65"/>
    <w:rsid w:val="00501EFA"/>
    <w:rsid w:val="00502105"/>
    <w:rsid w:val="005022C8"/>
    <w:rsid w:val="00502710"/>
    <w:rsid w:val="00502940"/>
    <w:rsid w:val="00502C93"/>
    <w:rsid w:val="00502E5D"/>
    <w:rsid w:val="00502EAE"/>
    <w:rsid w:val="00503333"/>
    <w:rsid w:val="00503361"/>
    <w:rsid w:val="005033CF"/>
    <w:rsid w:val="0050357C"/>
    <w:rsid w:val="005036D6"/>
    <w:rsid w:val="00503707"/>
    <w:rsid w:val="00503734"/>
    <w:rsid w:val="005037E4"/>
    <w:rsid w:val="0050385F"/>
    <w:rsid w:val="005038F7"/>
    <w:rsid w:val="00503968"/>
    <w:rsid w:val="00504147"/>
    <w:rsid w:val="00504398"/>
    <w:rsid w:val="00504449"/>
    <w:rsid w:val="00504595"/>
    <w:rsid w:val="00504636"/>
    <w:rsid w:val="00504674"/>
    <w:rsid w:val="00504784"/>
    <w:rsid w:val="00504897"/>
    <w:rsid w:val="00504992"/>
    <w:rsid w:val="00504B16"/>
    <w:rsid w:val="00504D9C"/>
    <w:rsid w:val="00504E45"/>
    <w:rsid w:val="00505171"/>
    <w:rsid w:val="00505530"/>
    <w:rsid w:val="005055DC"/>
    <w:rsid w:val="005056E9"/>
    <w:rsid w:val="00505784"/>
    <w:rsid w:val="005057E4"/>
    <w:rsid w:val="005059AE"/>
    <w:rsid w:val="005059C9"/>
    <w:rsid w:val="00505B5F"/>
    <w:rsid w:val="00505BA3"/>
    <w:rsid w:val="00505D54"/>
    <w:rsid w:val="00505DC2"/>
    <w:rsid w:val="00505E28"/>
    <w:rsid w:val="00505E66"/>
    <w:rsid w:val="00505F30"/>
    <w:rsid w:val="00505F56"/>
    <w:rsid w:val="00506144"/>
    <w:rsid w:val="0050633C"/>
    <w:rsid w:val="005065CD"/>
    <w:rsid w:val="005066CB"/>
    <w:rsid w:val="005066FD"/>
    <w:rsid w:val="005068FB"/>
    <w:rsid w:val="00506AD9"/>
    <w:rsid w:val="00506D6A"/>
    <w:rsid w:val="00506E6A"/>
    <w:rsid w:val="00506E7A"/>
    <w:rsid w:val="00507025"/>
    <w:rsid w:val="005070A4"/>
    <w:rsid w:val="005070EE"/>
    <w:rsid w:val="00507111"/>
    <w:rsid w:val="0050714D"/>
    <w:rsid w:val="005072D1"/>
    <w:rsid w:val="0050736B"/>
    <w:rsid w:val="005073DF"/>
    <w:rsid w:val="005073EC"/>
    <w:rsid w:val="00507704"/>
    <w:rsid w:val="00507727"/>
    <w:rsid w:val="005077BE"/>
    <w:rsid w:val="00507964"/>
    <w:rsid w:val="00507D2E"/>
    <w:rsid w:val="00507D3F"/>
    <w:rsid w:val="00510007"/>
    <w:rsid w:val="00510249"/>
    <w:rsid w:val="00510320"/>
    <w:rsid w:val="005103CE"/>
    <w:rsid w:val="0051053C"/>
    <w:rsid w:val="00510881"/>
    <w:rsid w:val="0051091D"/>
    <w:rsid w:val="0051095F"/>
    <w:rsid w:val="005109ED"/>
    <w:rsid w:val="00510A82"/>
    <w:rsid w:val="00510D6A"/>
    <w:rsid w:val="00510F7B"/>
    <w:rsid w:val="00510FDC"/>
    <w:rsid w:val="005111AD"/>
    <w:rsid w:val="00511364"/>
    <w:rsid w:val="005115EE"/>
    <w:rsid w:val="00511900"/>
    <w:rsid w:val="005119FE"/>
    <w:rsid w:val="00511A3A"/>
    <w:rsid w:val="00511CCE"/>
    <w:rsid w:val="00511D05"/>
    <w:rsid w:val="0051252A"/>
    <w:rsid w:val="00512535"/>
    <w:rsid w:val="00512853"/>
    <w:rsid w:val="0051288F"/>
    <w:rsid w:val="00512C51"/>
    <w:rsid w:val="00512C56"/>
    <w:rsid w:val="00512E11"/>
    <w:rsid w:val="00512EEE"/>
    <w:rsid w:val="005133F3"/>
    <w:rsid w:val="00513412"/>
    <w:rsid w:val="00513430"/>
    <w:rsid w:val="00513443"/>
    <w:rsid w:val="00513471"/>
    <w:rsid w:val="0051359A"/>
    <w:rsid w:val="0051367A"/>
    <w:rsid w:val="00513800"/>
    <w:rsid w:val="00513909"/>
    <w:rsid w:val="00513BC9"/>
    <w:rsid w:val="005140B8"/>
    <w:rsid w:val="00514110"/>
    <w:rsid w:val="005141EB"/>
    <w:rsid w:val="00514376"/>
    <w:rsid w:val="005146F5"/>
    <w:rsid w:val="005147E1"/>
    <w:rsid w:val="005148CA"/>
    <w:rsid w:val="00514992"/>
    <w:rsid w:val="00514A2C"/>
    <w:rsid w:val="00514A62"/>
    <w:rsid w:val="00514A63"/>
    <w:rsid w:val="00514BD4"/>
    <w:rsid w:val="00514C2D"/>
    <w:rsid w:val="00514E3D"/>
    <w:rsid w:val="00514EB8"/>
    <w:rsid w:val="00514F6E"/>
    <w:rsid w:val="00514F73"/>
    <w:rsid w:val="00514F95"/>
    <w:rsid w:val="00515040"/>
    <w:rsid w:val="00515067"/>
    <w:rsid w:val="005152A7"/>
    <w:rsid w:val="0051537A"/>
    <w:rsid w:val="00515535"/>
    <w:rsid w:val="00515980"/>
    <w:rsid w:val="00515B88"/>
    <w:rsid w:val="00515C43"/>
    <w:rsid w:val="00515D33"/>
    <w:rsid w:val="00515DC1"/>
    <w:rsid w:val="00515E1B"/>
    <w:rsid w:val="00515EDF"/>
    <w:rsid w:val="00515F5A"/>
    <w:rsid w:val="005162ED"/>
    <w:rsid w:val="00516552"/>
    <w:rsid w:val="005166D4"/>
    <w:rsid w:val="00516787"/>
    <w:rsid w:val="005167AA"/>
    <w:rsid w:val="0051680B"/>
    <w:rsid w:val="0051693F"/>
    <w:rsid w:val="00516ABB"/>
    <w:rsid w:val="00516B5A"/>
    <w:rsid w:val="00516B61"/>
    <w:rsid w:val="00516E77"/>
    <w:rsid w:val="00516F71"/>
    <w:rsid w:val="00517064"/>
    <w:rsid w:val="00517073"/>
    <w:rsid w:val="005170BE"/>
    <w:rsid w:val="00517258"/>
    <w:rsid w:val="00517303"/>
    <w:rsid w:val="005174F7"/>
    <w:rsid w:val="0051783B"/>
    <w:rsid w:val="00517911"/>
    <w:rsid w:val="00517A5D"/>
    <w:rsid w:val="00517B3D"/>
    <w:rsid w:val="00517EA7"/>
    <w:rsid w:val="00517EEE"/>
    <w:rsid w:val="00520076"/>
    <w:rsid w:val="005200B4"/>
    <w:rsid w:val="0052019D"/>
    <w:rsid w:val="00520249"/>
    <w:rsid w:val="00520305"/>
    <w:rsid w:val="00520400"/>
    <w:rsid w:val="00520522"/>
    <w:rsid w:val="005206C5"/>
    <w:rsid w:val="0052076F"/>
    <w:rsid w:val="00520804"/>
    <w:rsid w:val="00520859"/>
    <w:rsid w:val="005209B2"/>
    <w:rsid w:val="00520B1D"/>
    <w:rsid w:val="00520BEB"/>
    <w:rsid w:val="00520C7C"/>
    <w:rsid w:val="00520DD3"/>
    <w:rsid w:val="00520E2E"/>
    <w:rsid w:val="00520EB0"/>
    <w:rsid w:val="00521032"/>
    <w:rsid w:val="0052107D"/>
    <w:rsid w:val="005210F6"/>
    <w:rsid w:val="00521683"/>
    <w:rsid w:val="005216C8"/>
    <w:rsid w:val="00521A6D"/>
    <w:rsid w:val="00521B84"/>
    <w:rsid w:val="00521D27"/>
    <w:rsid w:val="00521D58"/>
    <w:rsid w:val="00521D94"/>
    <w:rsid w:val="00521F08"/>
    <w:rsid w:val="00521F77"/>
    <w:rsid w:val="00522285"/>
    <w:rsid w:val="005222F3"/>
    <w:rsid w:val="00522530"/>
    <w:rsid w:val="00522540"/>
    <w:rsid w:val="0052274D"/>
    <w:rsid w:val="0052287A"/>
    <w:rsid w:val="005228B2"/>
    <w:rsid w:val="005229F1"/>
    <w:rsid w:val="00522B65"/>
    <w:rsid w:val="00522BC3"/>
    <w:rsid w:val="0052304C"/>
    <w:rsid w:val="00523096"/>
    <w:rsid w:val="0052309B"/>
    <w:rsid w:val="0052328C"/>
    <w:rsid w:val="005233D5"/>
    <w:rsid w:val="00523402"/>
    <w:rsid w:val="00523728"/>
    <w:rsid w:val="0052376B"/>
    <w:rsid w:val="0052390E"/>
    <w:rsid w:val="00523AEF"/>
    <w:rsid w:val="00523B76"/>
    <w:rsid w:val="00523B80"/>
    <w:rsid w:val="00523D66"/>
    <w:rsid w:val="00523F14"/>
    <w:rsid w:val="0052422B"/>
    <w:rsid w:val="00524244"/>
    <w:rsid w:val="00524275"/>
    <w:rsid w:val="005242D5"/>
    <w:rsid w:val="0052443C"/>
    <w:rsid w:val="005244DC"/>
    <w:rsid w:val="00524520"/>
    <w:rsid w:val="00524567"/>
    <w:rsid w:val="00524571"/>
    <w:rsid w:val="00524599"/>
    <w:rsid w:val="0052474D"/>
    <w:rsid w:val="005248D8"/>
    <w:rsid w:val="0052496F"/>
    <w:rsid w:val="00524BB9"/>
    <w:rsid w:val="00524CA1"/>
    <w:rsid w:val="00524E83"/>
    <w:rsid w:val="00524E99"/>
    <w:rsid w:val="00524F20"/>
    <w:rsid w:val="00524F43"/>
    <w:rsid w:val="00524F57"/>
    <w:rsid w:val="005252E8"/>
    <w:rsid w:val="0052553A"/>
    <w:rsid w:val="00525885"/>
    <w:rsid w:val="00525B44"/>
    <w:rsid w:val="00525CE2"/>
    <w:rsid w:val="00525E17"/>
    <w:rsid w:val="00525F28"/>
    <w:rsid w:val="00525F9B"/>
    <w:rsid w:val="0052610C"/>
    <w:rsid w:val="00526121"/>
    <w:rsid w:val="00526122"/>
    <w:rsid w:val="00526405"/>
    <w:rsid w:val="0052640B"/>
    <w:rsid w:val="0052649A"/>
    <w:rsid w:val="00526557"/>
    <w:rsid w:val="005268ED"/>
    <w:rsid w:val="00526A2D"/>
    <w:rsid w:val="00526C19"/>
    <w:rsid w:val="00526C8C"/>
    <w:rsid w:val="00526D3A"/>
    <w:rsid w:val="00526E50"/>
    <w:rsid w:val="00526E61"/>
    <w:rsid w:val="00526EB9"/>
    <w:rsid w:val="00526F1C"/>
    <w:rsid w:val="00526FC6"/>
    <w:rsid w:val="00527178"/>
    <w:rsid w:val="005272C2"/>
    <w:rsid w:val="00527428"/>
    <w:rsid w:val="0052749C"/>
    <w:rsid w:val="0052756A"/>
    <w:rsid w:val="005275C6"/>
    <w:rsid w:val="005279AA"/>
    <w:rsid w:val="00527AC8"/>
    <w:rsid w:val="00527BDE"/>
    <w:rsid w:val="00527C74"/>
    <w:rsid w:val="00527CB5"/>
    <w:rsid w:val="00527F57"/>
    <w:rsid w:val="00530191"/>
    <w:rsid w:val="00530270"/>
    <w:rsid w:val="005302BF"/>
    <w:rsid w:val="00530304"/>
    <w:rsid w:val="0053049E"/>
    <w:rsid w:val="005305CB"/>
    <w:rsid w:val="0053061E"/>
    <w:rsid w:val="00530763"/>
    <w:rsid w:val="005309E6"/>
    <w:rsid w:val="00530A77"/>
    <w:rsid w:val="00530A99"/>
    <w:rsid w:val="00530AB0"/>
    <w:rsid w:val="00530B52"/>
    <w:rsid w:val="00530B5B"/>
    <w:rsid w:val="00530C1C"/>
    <w:rsid w:val="00530D10"/>
    <w:rsid w:val="00530D89"/>
    <w:rsid w:val="00530E04"/>
    <w:rsid w:val="00530E7D"/>
    <w:rsid w:val="00530E7F"/>
    <w:rsid w:val="00530ED0"/>
    <w:rsid w:val="00530F2F"/>
    <w:rsid w:val="005310FE"/>
    <w:rsid w:val="0053140D"/>
    <w:rsid w:val="00531AD4"/>
    <w:rsid w:val="00531D12"/>
    <w:rsid w:val="00531DEF"/>
    <w:rsid w:val="00531ED9"/>
    <w:rsid w:val="00531F28"/>
    <w:rsid w:val="00531FB4"/>
    <w:rsid w:val="005320D3"/>
    <w:rsid w:val="0053221A"/>
    <w:rsid w:val="00532382"/>
    <w:rsid w:val="005324E6"/>
    <w:rsid w:val="005324F5"/>
    <w:rsid w:val="0053252C"/>
    <w:rsid w:val="00532B7C"/>
    <w:rsid w:val="0053304A"/>
    <w:rsid w:val="005332D4"/>
    <w:rsid w:val="00533570"/>
    <w:rsid w:val="005338B8"/>
    <w:rsid w:val="00533A55"/>
    <w:rsid w:val="0053403F"/>
    <w:rsid w:val="005341F8"/>
    <w:rsid w:val="0053445E"/>
    <w:rsid w:val="005345ED"/>
    <w:rsid w:val="005346B1"/>
    <w:rsid w:val="00534758"/>
    <w:rsid w:val="00534876"/>
    <w:rsid w:val="005348C8"/>
    <w:rsid w:val="00534A1C"/>
    <w:rsid w:val="00534B01"/>
    <w:rsid w:val="00534BED"/>
    <w:rsid w:val="00534D01"/>
    <w:rsid w:val="005350A1"/>
    <w:rsid w:val="0053519C"/>
    <w:rsid w:val="00535370"/>
    <w:rsid w:val="0053564D"/>
    <w:rsid w:val="00535673"/>
    <w:rsid w:val="00535826"/>
    <w:rsid w:val="005358B8"/>
    <w:rsid w:val="00535ACD"/>
    <w:rsid w:val="00535B09"/>
    <w:rsid w:val="00535C23"/>
    <w:rsid w:val="00535C3B"/>
    <w:rsid w:val="00535C5D"/>
    <w:rsid w:val="00535E4A"/>
    <w:rsid w:val="00535F4C"/>
    <w:rsid w:val="00535FC9"/>
    <w:rsid w:val="00536240"/>
    <w:rsid w:val="0053627C"/>
    <w:rsid w:val="00536918"/>
    <w:rsid w:val="00536A7A"/>
    <w:rsid w:val="00536C7B"/>
    <w:rsid w:val="00536CBB"/>
    <w:rsid w:val="00536D3B"/>
    <w:rsid w:val="005373FD"/>
    <w:rsid w:val="0053756C"/>
    <w:rsid w:val="00537760"/>
    <w:rsid w:val="00537839"/>
    <w:rsid w:val="00537971"/>
    <w:rsid w:val="0053799B"/>
    <w:rsid w:val="005379E1"/>
    <w:rsid w:val="00537A79"/>
    <w:rsid w:val="00537B89"/>
    <w:rsid w:val="00537E81"/>
    <w:rsid w:val="005403D0"/>
    <w:rsid w:val="005404DD"/>
    <w:rsid w:val="005405D6"/>
    <w:rsid w:val="005406C0"/>
    <w:rsid w:val="005407FD"/>
    <w:rsid w:val="0054095D"/>
    <w:rsid w:val="00540E14"/>
    <w:rsid w:val="00540E54"/>
    <w:rsid w:val="00541055"/>
    <w:rsid w:val="005410DA"/>
    <w:rsid w:val="0054138A"/>
    <w:rsid w:val="00541563"/>
    <w:rsid w:val="005415AE"/>
    <w:rsid w:val="005415F3"/>
    <w:rsid w:val="00541685"/>
    <w:rsid w:val="00541A8C"/>
    <w:rsid w:val="00541BB4"/>
    <w:rsid w:val="00541C16"/>
    <w:rsid w:val="00541C8E"/>
    <w:rsid w:val="00541CCC"/>
    <w:rsid w:val="00541CD7"/>
    <w:rsid w:val="00541FBD"/>
    <w:rsid w:val="005421FA"/>
    <w:rsid w:val="005422C0"/>
    <w:rsid w:val="00542340"/>
    <w:rsid w:val="005423F4"/>
    <w:rsid w:val="0054249D"/>
    <w:rsid w:val="0054265F"/>
    <w:rsid w:val="00542B7F"/>
    <w:rsid w:val="00542B97"/>
    <w:rsid w:val="00542D2B"/>
    <w:rsid w:val="00542F54"/>
    <w:rsid w:val="00543078"/>
    <w:rsid w:val="005430E5"/>
    <w:rsid w:val="0054313E"/>
    <w:rsid w:val="005432F3"/>
    <w:rsid w:val="00543425"/>
    <w:rsid w:val="0054361C"/>
    <w:rsid w:val="00543638"/>
    <w:rsid w:val="00543709"/>
    <w:rsid w:val="00543883"/>
    <w:rsid w:val="00543A41"/>
    <w:rsid w:val="00543D0A"/>
    <w:rsid w:val="00543D77"/>
    <w:rsid w:val="00543F63"/>
    <w:rsid w:val="005442FE"/>
    <w:rsid w:val="005447AD"/>
    <w:rsid w:val="00544808"/>
    <w:rsid w:val="00544879"/>
    <w:rsid w:val="00544892"/>
    <w:rsid w:val="0054492A"/>
    <w:rsid w:val="005449D1"/>
    <w:rsid w:val="00544D2E"/>
    <w:rsid w:val="00544FBD"/>
    <w:rsid w:val="00545057"/>
    <w:rsid w:val="00545302"/>
    <w:rsid w:val="0054531C"/>
    <w:rsid w:val="005454CD"/>
    <w:rsid w:val="0054558B"/>
    <w:rsid w:val="00545723"/>
    <w:rsid w:val="005457AD"/>
    <w:rsid w:val="005458A3"/>
    <w:rsid w:val="00545937"/>
    <w:rsid w:val="00545B87"/>
    <w:rsid w:val="00545BB3"/>
    <w:rsid w:val="00545F9C"/>
    <w:rsid w:val="00545FB3"/>
    <w:rsid w:val="005460BC"/>
    <w:rsid w:val="005460F5"/>
    <w:rsid w:val="005462EC"/>
    <w:rsid w:val="00546413"/>
    <w:rsid w:val="0054659D"/>
    <w:rsid w:val="0054668D"/>
    <w:rsid w:val="005467AA"/>
    <w:rsid w:val="00546844"/>
    <w:rsid w:val="0054691B"/>
    <w:rsid w:val="00546BE4"/>
    <w:rsid w:val="00546C95"/>
    <w:rsid w:val="00546CDC"/>
    <w:rsid w:val="00546D16"/>
    <w:rsid w:val="0054705C"/>
    <w:rsid w:val="00547149"/>
    <w:rsid w:val="0054715D"/>
    <w:rsid w:val="005471B3"/>
    <w:rsid w:val="005474E3"/>
    <w:rsid w:val="0054757F"/>
    <w:rsid w:val="00547AAA"/>
    <w:rsid w:val="00547CE6"/>
    <w:rsid w:val="005500DC"/>
    <w:rsid w:val="005504A1"/>
    <w:rsid w:val="0055064A"/>
    <w:rsid w:val="00550743"/>
    <w:rsid w:val="00550775"/>
    <w:rsid w:val="005508BF"/>
    <w:rsid w:val="005509AA"/>
    <w:rsid w:val="00550ADE"/>
    <w:rsid w:val="00550DC2"/>
    <w:rsid w:val="00550EAD"/>
    <w:rsid w:val="00551108"/>
    <w:rsid w:val="0055115B"/>
    <w:rsid w:val="0055122F"/>
    <w:rsid w:val="005513B9"/>
    <w:rsid w:val="0055143A"/>
    <w:rsid w:val="005515B1"/>
    <w:rsid w:val="005517D2"/>
    <w:rsid w:val="005517E3"/>
    <w:rsid w:val="005518F2"/>
    <w:rsid w:val="00551D62"/>
    <w:rsid w:val="00551F40"/>
    <w:rsid w:val="005521AC"/>
    <w:rsid w:val="0055238B"/>
    <w:rsid w:val="00552470"/>
    <w:rsid w:val="0055252E"/>
    <w:rsid w:val="00552718"/>
    <w:rsid w:val="0055292A"/>
    <w:rsid w:val="00552B4F"/>
    <w:rsid w:val="00552DB3"/>
    <w:rsid w:val="00552E13"/>
    <w:rsid w:val="00552E63"/>
    <w:rsid w:val="00552ED5"/>
    <w:rsid w:val="0055304D"/>
    <w:rsid w:val="00553166"/>
    <w:rsid w:val="00553225"/>
    <w:rsid w:val="005532D5"/>
    <w:rsid w:val="00553404"/>
    <w:rsid w:val="0055367E"/>
    <w:rsid w:val="005536EF"/>
    <w:rsid w:val="00553A0A"/>
    <w:rsid w:val="00553ABD"/>
    <w:rsid w:val="00553AF0"/>
    <w:rsid w:val="00554054"/>
    <w:rsid w:val="00554382"/>
    <w:rsid w:val="005543DE"/>
    <w:rsid w:val="005546D4"/>
    <w:rsid w:val="005546E4"/>
    <w:rsid w:val="005548B6"/>
    <w:rsid w:val="005548FA"/>
    <w:rsid w:val="00554978"/>
    <w:rsid w:val="00554A15"/>
    <w:rsid w:val="00554A2A"/>
    <w:rsid w:val="00554B4C"/>
    <w:rsid w:val="00554C02"/>
    <w:rsid w:val="00554C5A"/>
    <w:rsid w:val="00554EC1"/>
    <w:rsid w:val="00555215"/>
    <w:rsid w:val="00555302"/>
    <w:rsid w:val="0055560D"/>
    <w:rsid w:val="005557E1"/>
    <w:rsid w:val="005559F0"/>
    <w:rsid w:val="00555C69"/>
    <w:rsid w:val="00555D8F"/>
    <w:rsid w:val="00555DFF"/>
    <w:rsid w:val="00555E93"/>
    <w:rsid w:val="00555F59"/>
    <w:rsid w:val="00556033"/>
    <w:rsid w:val="005560BA"/>
    <w:rsid w:val="00556801"/>
    <w:rsid w:val="00556810"/>
    <w:rsid w:val="00556A4B"/>
    <w:rsid w:val="00556B13"/>
    <w:rsid w:val="00556CB2"/>
    <w:rsid w:val="00556DA7"/>
    <w:rsid w:val="00556E0B"/>
    <w:rsid w:val="00556E6C"/>
    <w:rsid w:val="00557007"/>
    <w:rsid w:val="00557028"/>
    <w:rsid w:val="00557123"/>
    <w:rsid w:val="0055716D"/>
    <w:rsid w:val="005571A5"/>
    <w:rsid w:val="00557257"/>
    <w:rsid w:val="005573AA"/>
    <w:rsid w:val="005573F7"/>
    <w:rsid w:val="005574E5"/>
    <w:rsid w:val="005576E9"/>
    <w:rsid w:val="00557844"/>
    <w:rsid w:val="00557AB8"/>
    <w:rsid w:val="00557C4C"/>
    <w:rsid w:val="00557F6D"/>
    <w:rsid w:val="005600E8"/>
    <w:rsid w:val="00560103"/>
    <w:rsid w:val="00560198"/>
    <w:rsid w:val="0056021C"/>
    <w:rsid w:val="00560372"/>
    <w:rsid w:val="00560A0D"/>
    <w:rsid w:val="00560C50"/>
    <w:rsid w:val="00560D2C"/>
    <w:rsid w:val="005611DF"/>
    <w:rsid w:val="005612D4"/>
    <w:rsid w:val="0056152A"/>
    <w:rsid w:val="00561660"/>
    <w:rsid w:val="00561677"/>
    <w:rsid w:val="005619E7"/>
    <w:rsid w:val="00561D8C"/>
    <w:rsid w:val="00561E8B"/>
    <w:rsid w:val="00561EA5"/>
    <w:rsid w:val="00562174"/>
    <w:rsid w:val="005621B5"/>
    <w:rsid w:val="00562498"/>
    <w:rsid w:val="005624DF"/>
    <w:rsid w:val="00562675"/>
    <w:rsid w:val="005626D8"/>
    <w:rsid w:val="00563082"/>
    <w:rsid w:val="00563135"/>
    <w:rsid w:val="00563146"/>
    <w:rsid w:val="00563595"/>
    <w:rsid w:val="0056368E"/>
    <w:rsid w:val="00563696"/>
    <w:rsid w:val="00563B3D"/>
    <w:rsid w:val="00563B9E"/>
    <w:rsid w:val="00563C9B"/>
    <w:rsid w:val="00563CB4"/>
    <w:rsid w:val="00563CCA"/>
    <w:rsid w:val="00563E0B"/>
    <w:rsid w:val="00563FC0"/>
    <w:rsid w:val="00564176"/>
    <w:rsid w:val="005641A5"/>
    <w:rsid w:val="005642DA"/>
    <w:rsid w:val="00564445"/>
    <w:rsid w:val="005644A8"/>
    <w:rsid w:val="0056456D"/>
    <w:rsid w:val="00564605"/>
    <w:rsid w:val="0056465B"/>
    <w:rsid w:val="005646D3"/>
    <w:rsid w:val="005649CB"/>
    <w:rsid w:val="00564AAD"/>
    <w:rsid w:val="00564B36"/>
    <w:rsid w:val="00564B66"/>
    <w:rsid w:val="00564C50"/>
    <w:rsid w:val="00564CE9"/>
    <w:rsid w:val="005652DD"/>
    <w:rsid w:val="005653D2"/>
    <w:rsid w:val="0056543C"/>
    <w:rsid w:val="0056545F"/>
    <w:rsid w:val="0056581D"/>
    <w:rsid w:val="00565853"/>
    <w:rsid w:val="0056586D"/>
    <w:rsid w:val="0056589E"/>
    <w:rsid w:val="00565AE9"/>
    <w:rsid w:val="00565AFF"/>
    <w:rsid w:val="00565B64"/>
    <w:rsid w:val="005660B4"/>
    <w:rsid w:val="00566275"/>
    <w:rsid w:val="0056677A"/>
    <w:rsid w:val="0056690E"/>
    <w:rsid w:val="0056698B"/>
    <w:rsid w:val="005669C5"/>
    <w:rsid w:val="00566D6A"/>
    <w:rsid w:val="00566DE0"/>
    <w:rsid w:val="00566F9D"/>
    <w:rsid w:val="00567048"/>
    <w:rsid w:val="005670C3"/>
    <w:rsid w:val="0056711E"/>
    <w:rsid w:val="00567323"/>
    <w:rsid w:val="005673AB"/>
    <w:rsid w:val="00567552"/>
    <w:rsid w:val="005675BC"/>
    <w:rsid w:val="005676A1"/>
    <w:rsid w:val="00567798"/>
    <w:rsid w:val="00567A94"/>
    <w:rsid w:val="00567ACA"/>
    <w:rsid w:val="00567CD0"/>
    <w:rsid w:val="00567DDF"/>
    <w:rsid w:val="00567EA0"/>
    <w:rsid w:val="00567FC9"/>
    <w:rsid w:val="00570127"/>
    <w:rsid w:val="005701CE"/>
    <w:rsid w:val="005701FD"/>
    <w:rsid w:val="005702AC"/>
    <w:rsid w:val="00570343"/>
    <w:rsid w:val="00570539"/>
    <w:rsid w:val="005708C1"/>
    <w:rsid w:val="00570A5F"/>
    <w:rsid w:val="00570A99"/>
    <w:rsid w:val="00570AC6"/>
    <w:rsid w:val="00570C3F"/>
    <w:rsid w:val="00570DE1"/>
    <w:rsid w:val="00570E5E"/>
    <w:rsid w:val="00570F58"/>
    <w:rsid w:val="00571113"/>
    <w:rsid w:val="00571300"/>
    <w:rsid w:val="00571302"/>
    <w:rsid w:val="005714EA"/>
    <w:rsid w:val="00571594"/>
    <w:rsid w:val="00571785"/>
    <w:rsid w:val="0057182E"/>
    <w:rsid w:val="00571ABD"/>
    <w:rsid w:val="00571D18"/>
    <w:rsid w:val="00572041"/>
    <w:rsid w:val="00572045"/>
    <w:rsid w:val="00572321"/>
    <w:rsid w:val="0057234C"/>
    <w:rsid w:val="0057236C"/>
    <w:rsid w:val="00572517"/>
    <w:rsid w:val="00572564"/>
    <w:rsid w:val="00572748"/>
    <w:rsid w:val="0057281B"/>
    <w:rsid w:val="00572906"/>
    <w:rsid w:val="0057294C"/>
    <w:rsid w:val="00572AB3"/>
    <w:rsid w:val="00572ABC"/>
    <w:rsid w:val="00572BBE"/>
    <w:rsid w:val="00572C58"/>
    <w:rsid w:val="00572F41"/>
    <w:rsid w:val="00572F8F"/>
    <w:rsid w:val="00573021"/>
    <w:rsid w:val="005730F9"/>
    <w:rsid w:val="005731C8"/>
    <w:rsid w:val="005735F9"/>
    <w:rsid w:val="00573679"/>
    <w:rsid w:val="0057376E"/>
    <w:rsid w:val="00573915"/>
    <w:rsid w:val="00573A62"/>
    <w:rsid w:val="00573DAB"/>
    <w:rsid w:val="00573DAD"/>
    <w:rsid w:val="00573E2F"/>
    <w:rsid w:val="0057432F"/>
    <w:rsid w:val="00574581"/>
    <w:rsid w:val="005746CF"/>
    <w:rsid w:val="005747B6"/>
    <w:rsid w:val="00574806"/>
    <w:rsid w:val="00574826"/>
    <w:rsid w:val="0057490C"/>
    <w:rsid w:val="0057492C"/>
    <w:rsid w:val="00574960"/>
    <w:rsid w:val="00574B35"/>
    <w:rsid w:val="00574B81"/>
    <w:rsid w:val="00574E06"/>
    <w:rsid w:val="0057515B"/>
    <w:rsid w:val="00575385"/>
    <w:rsid w:val="0057541C"/>
    <w:rsid w:val="00575491"/>
    <w:rsid w:val="005757DA"/>
    <w:rsid w:val="00575BB6"/>
    <w:rsid w:val="00575C4F"/>
    <w:rsid w:val="00575D18"/>
    <w:rsid w:val="00575E7A"/>
    <w:rsid w:val="00575FDB"/>
    <w:rsid w:val="00576044"/>
    <w:rsid w:val="00576270"/>
    <w:rsid w:val="0057639E"/>
    <w:rsid w:val="005763CB"/>
    <w:rsid w:val="0057697A"/>
    <w:rsid w:val="005769B0"/>
    <w:rsid w:val="00576A3C"/>
    <w:rsid w:val="00576A44"/>
    <w:rsid w:val="00576AED"/>
    <w:rsid w:val="00576B41"/>
    <w:rsid w:val="00576BB7"/>
    <w:rsid w:val="00576BC8"/>
    <w:rsid w:val="00576BD8"/>
    <w:rsid w:val="00576FBA"/>
    <w:rsid w:val="00577064"/>
    <w:rsid w:val="005771CF"/>
    <w:rsid w:val="005772BA"/>
    <w:rsid w:val="005774B0"/>
    <w:rsid w:val="00577622"/>
    <w:rsid w:val="0057766F"/>
    <w:rsid w:val="005776B5"/>
    <w:rsid w:val="005777DB"/>
    <w:rsid w:val="00577A2B"/>
    <w:rsid w:val="00577ACE"/>
    <w:rsid w:val="00577B26"/>
    <w:rsid w:val="00577BD0"/>
    <w:rsid w:val="005801EA"/>
    <w:rsid w:val="0058029C"/>
    <w:rsid w:val="00580343"/>
    <w:rsid w:val="005803AF"/>
    <w:rsid w:val="0058060C"/>
    <w:rsid w:val="0058068E"/>
    <w:rsid w:val="005806FB"/>
    <w:rsid w:val="0058074D"/>
    <w:rsid w:val="0058074F"/>
    <w:rsid w:val="005807A5"/>
    <w:rsid w:val="005807BF"/>
    <w:rsid w:val="0058085A"/>
    <w:rsid w:val="00580E7C"/>
    <w:rsid w:val="00580F36"/>
    <w:rsid w:val="005810A5"/>
    <w:rsid w:val="00581461"/>
    <w:rsid w:val="00581639"/>
    <w:rsid w:val="0058172F"/>
    <w:rsid w:val="005817FA"/>
    <w:rsid w:val="00581A00"/>
    <w:rsid w:val="00581ADF"/>
    <w:rsid w:val="00581B53"/>
    <w:rsid w:val="00581F8E"/>
    <w:rsid w:val="0058205E"/>
    <w:rsid w:val="005820F4"/>
    <w:rsid w:val="00582265"/>
    <w:rsid w:val="005823D8"/>
    <w:rsid w:val="00582464"/>
    <w:rsid w:val="00582531"/>
    <w:rsid w:val="0058258D"/>
    <w:rsid w:val="00582592"/>
    <w:rsid w:val="005825FD"/>
    <w:rsid w:val="005826A9"/>
    <w:rsid w:val="005827BC"/>
    <w:rsid w:val="00582840"/>
    <w:rsid w:val="00582CF4"/>
    <w:rsid w:val="00582CF7"/>
    <w:rsid w:val="00582ED6"/>
    <w:rsid w:val="00582F04"/>
    <w:rsid w:val="0058302F"/>
    <w:rsid w:val="005830CB"/>
    <w:rsid w:val="0058316B"/>
    <w:rsid w:val="005831FD"/>
    <w:rsid w:val="0058345F"/>
    <w:rsid w:val="005835E5"/>
    <w:rsid w:val="00583AB6"/>
    <w:rsid w:val="00583B3B"/>
    <w:rsid w:val="00583C0C"/>
    <w:rsid w:val="00583DA0"/>
    <w:rsid w:val="00584032"/>
    <w:rsid w:val="005841B1"/>
    <w:rsid w:val="0058421E"/>
    <w:rsid w:val="0058436E"/>
    <w:rsid w:val="005846F5"/>
    <w:rsid w:val="00584C86"/>
    <w:rsid w:val="00584ED6"/>
    <w:rsid w:val="00584F00"/>
    <w:rsid w:val="00584F6C"/>
    <w:rsid w:val="0058528A"/>
    <w:rsid w:val="0058530A"/>
    <w:rsid w:val="00585655"/>
    <w:rsid w:val="005856BD"/>
    <w:rsid w:val="00585859"/>
    <w:rsid w:val="0058592E"/>
    <w:rsid w:val="0058597F"/>
    <w:rsid w:val="00585B07"/>
    <w:rsid w:val="00585CF6"/>
    <w:rsid w:val="00585E6C"/>
    <w:rsid w:val="005860C9"/>
    <w:rsid w:val="00586326"/>
    <w:rsid w:val="005863A4"/>
    <w:rsid w:val="0058647E"/>
    <w:rsid w:val="00586749"/>
    <w:rsid w:val="0058679B"/>
    <w:rsid w:val="0058684E"/>
    <w:rsid w:val="005869A8"/>
    <w:rsid w:val="00586BAC"/>
    <w:rsid w:val="00586BBF"/>
    <w:rsid w:val="00586BC9"/>
    <w:rsid w:val="005871FD"/>
    <w:rsid w:val="005874F6"/>
    <w:rsid w:val="00587791"/>
    <w:rsid w:val="005877B9"/>
    <w:rsid w:val="0058784C"/>
    <w:rsid w:val="00587E44"/>
    <w:rsid w:val="00587E8C"/>
    <w:rsid w:val="00587ED7"/>
    <w:rsid w:val="00587F87"/>
    <w:rsid w:val="00587FD9"/>
    <w:rsid w:val="00590037"/>
    <w:rsid w:val="0059011B"/>
    <w:rsid w:val="00590201"/>
    <w:rsid w:val="0059041F"/>
    <w:rsid w:val="0059067A"/>
    <w:rsid w:val="005906BA"/>
    <w:rsid w:val="005908B7"/>
    <w:rsid w:val="00590C6E"/>
    <w:rsid w:val="00590CE5"/>
    <w:rsid w:val="00590FAA"/>
    <w:rsid w:val="0059131C"/>
    <w:rsid w:val="0059168A"/>
    <w:rsid w:val="005918FE"/>
    <w:rsid w:val="00591A8F"/>
    <w:rsid w:val="00591CDD"/>
    <w:rsid w:val="00591E7D"/>
    <w:rsid w:val="005921CA"/>
    <w:rsid w:val="005921D5"/>
    <w:rsid w:val="00592210"/>
    <w:rsid w:val="005924DE"/>
    <w:rsid w:val="0059258A"/>
    <w:rsid w:val="005925AA"/>
    <w:rsid w:val="0059273A"/>
    <w:rsid w:val="005927A6"/>
    <w:rsid w:val="005928CC"/>
    <w:rsid w:val="005928E5"/>
    <w:rsid w:val="00592A83"/>
    <w:rsid w:val="00592B48"/>
    <w:rsid w:val="00592D0E"/>
    <w:rsid w:val="00592F24"/>
    <w:rsid w:val="00592F34"/>
    <w:rsid w:val="0059310D"/>
    <w:rsid w:val="005931B5"/>
    <w:rsid w:val="00593246"/>
    <w:rsid w:val="005933F1"/>
    <w:rsid w:val="00593414"/>
    <w:rsid w:val="005934DF"/>
    <w:rsid w:val="005938B3"/>
    <w:rsid w:val="005939AF"/>
    <w:rsid w:val="005939FD"/>
    <w:rsid w:val="005939FE"/>
    <w:rsid w:val="00593ABF"/>
    <w:rsid w:val="00593C6A"/>
    <w:rsid w:val="00593CDC"/>
    <w:rsid w:val="00593D4B"/>
    <w:rsid w:val="00593D63"/>
    <w:rsid w:val="00593E3E"/>
    <w:rsid w:val="005943DF"/>
    <w:rsid w:val="005944E8"/>
    <w:rsid w:val="005945EF"/>
    <w:rsid w:val="005945FE"/>
    <w:rsid w:val="0059460F"/>
    <w:rsid w:val="00594651"/>
    <w:rsid w:val="00594863"/>
    <w:rsid w:val="00594A0E"/>
    <w:rsid w:val="00594B8C"/>
    <w:rsid w:val="00594C60"/>
    <w:rsid w:val="00594CB7"/>
    <w:rsid w:val="00594EFC"/>
    <w:rsid w:val="00595088"/>
    <w:rsid w:val="005952F6"/>
    <w:rsid w:val="0059539E"/>
    <w:rsid w:val="005953AA"/>
    <w:rsid w:val="0059581C"/>
    <w:rsid w:val="00595830"/>
    <w:rsid w:val="0059585F"/>
    <w:rsid w:val="005958B3"/>
    <w:rsid w:val="005959A9"/>
    <w:rsid w:val="005959AB"/>
    <w:rsid w:val="005959D2"/>
    <w:rsid w:val="00595B91"/>
    <w:rsid w:val="00595E03"/>
    <w:rsid w:val="00596234"/>
    <w:rsid w:val="00596352"/>
    <w:rsid w:val="005963E8"/>
    <w:rsid w:val="00596618"/>
    <w:rsid w:val="005967DA"/>
    <w:rsid w:val="00596893"/>
    <w:rsid w:val="005968A7"/>
    <w:rsid w:val="00596A80"/>
    <w:rsid w:val="00596B35"/>
    <w:rsid w:val="00596BFE"/>
    <w:rsid w:val="00596C92"/>
    <w:rsid w:val="00596D18"/>
    <w:rsid w:val="00596E13"/>
    <w:rsid w:val="00596F54"/>
    <w:rsid w:val="00597427"/>
    <w:rsid w:val="0059777C"/>
    <w:rsid w:val="00597785"/>
    <w:rsid w:val="00597870"/>
    <w:rsid w:val="00597943"/>
    <w:rsid w:val="00597965"/>
    <w:rsid w:val="00597BD6"/>
    <w:rsid w:val="00597F87"/>
    <w:rsid w:val="00597FB2"/>
    <w:rsid w:val="005A006A"/>
    <w:rsid w:val="005A009C"/>
    <w:rsid w:val="005A025E"/>
    <w:rsid w:val="005A0323"/>
    <w:rsid w:val="005A050A"/>
    <w:rsid w:val="005A075C"/>
    <w:rsid w:val="005A0930"/>
    <w:rsid w:val="005A0BEA"/>
    <w:rsid w:val="005A0DAB"/>
    <w:rsid w:val="005A0E5E"/>
    <w:rsid w:val="005A0F82"/>
    <w:rsid w:val="005A10BC"/>
    <w:rsid w:val="005A11CB"/>
    <w:rsid w:val="005A12C0"/>
    <w:rsid w:val="005A1488"/>
    <w:rsid w:val="005A17A8"/>
    <w:rsid w:val="005A1A60"/>
    <w:rsid w:val="005A1A86"/>
    <w:rsid w:val="005A1E54"/>
    <w:rsid w:val="005A2005"/>
    <w:rsid w:val="005A2336"/>
    <w:rsid w:val="005A2381"/>
    <w:rsid w:val="005A23FB"/>
    <w:rsid w:val="005A26F8"/>
    <w:rsid w:val="005A27C5"/>
    <w:rsid w:val="005A2A50"/>
    <w:rsid w:val="005A2AA2"/>
    <w:rsid w:val="005A2AA7"/>
    <w:rsid w:val="005A2C83"/>
    <w:rsid w:val="005A2D82"/>
    <w:rsid w:val="005A2E05"/>
    <w:rsid w:val="005A2F91"/>
    <w:rsid w:val="005A2FDF"/>
    <w:rsid w:val="005A31C1"/>
    <w:rsid w:val="005A3265"/>
    <w:rsid w:val="005A328F"/>
    <w:rsid w:val="005A3299"/>
    <w:rsid w:val="005A32FA"/>
    <w:rsid w:val="005A35B3"/>
    <w:rsid w:val="005A36A4"/>
    <w:rsid w:val="005A371B"/>
    <w:rsid w:val="005A37B6"/>
    <w:rsid w:val="005A39B4"/>
    <w:rsid w:val="005A3A87"/>
    <w:rsid w:val="005A3D29"/>
    <w:rsid w:val="005A3D71"/>
    <w:rsid w:val="005A3E5E"/>
    <w:rsid w:val="005A3EB3"/>
    <w:rsid w:val="005A4208"/>
    <w:rsid w:val="005A4469"/>
    <w:rsid w:val="005A46D3"/>
    <w:rsid w:val="005A46F7"/>
    <w:rsid w:val="005A4769"/>
    <w:rsid w:val="005A48AB"/>
    <w:rsid w:val="005A4903"/>
    <w:rsid w:val="005A4A3B"/>
    <w:rsid w:val="005A4AFD"/>
    <w:rsid w:val="005A4C45"/>
    <w:rsid w:val="005A4C57"/>
    <w:rsid w:val="005A4D2D"/>
    <w:rsid w:val="005A4D5F"/>
    <w:rsid w:val="005A4E4F"/>
    <w:rsid w:val="005A4ED6"/>
    <w:rsid w:val="005A502B"/>
    <w:rsid w:val="005A52A4"/>
    <w:rsid w:val="005A52FE"/>
    <w:rsid w:val="005A5395"/>
    <w:rsid w:val="005A56F2"/>
    <w:rsid w:val="005A5865"/>
    <w:rsid w:val="005A5A02"/>
    <w:rsid w:val="005A5A10"/>
    <w:rsid w:val="005A5B20"/>
    <w:rsid w:val="005A5E48"/>
    <w:rsid w:val="005A5ECF"/>
    <w:rsid w:val="005A6025"/>
    <w:rsid w:val="005A6081"/>
    <w:rsid w:val="005A60F5"/>
    <w:rsid w:val="005A6196"/>
    <w:rsid w:val="005A61A4"/>
    <w:rsid w:val="005A61D0"/>
    <w:rsid w:val="005A62D1"/>
    <w:rsid w:val="005A669D"/>
    <w:rsid w:val="005A66F9"/>
    <w:rsid w:val="005A67FA"/>
    <w:rsid w:val="005A6BE6"/>
    <w:rsid w:val="005A6C13"/>
    <w:rsid w:val="005A6F5A"/>
    <w:rsid w:val="005A6FBB"/>
    <w:rsid w:val="005A702D"/>
    <w:rsid w:val="005A7218"/>
    <w:rsid w:val="005A732E"/>
    <w:rsid w:val="005A7435"/>
    <w:rsid w:val="005A7595"/>
    <w:rsid w:val="005A75F0"/>
    <w:rsid w:val="005A776D"/>
    <w:rsid w:val="005A7843"/>
    <w:rsid w:val="005A7AF9"/>
    <w:rsid w:val="005A7B22"/>
    <w:rsid w:val="005A7C88"/>
    <w:rsid w:val="005A7CE8"/>
    <w:rsid w:val="005A7D9C"/>
    <w:rsid w:val="005A7EDE"/>
    <w:rsid w:val="005A7FD2"/>
    <w:rsid w:val="005B0093"/>
    <w:rsid w:val="005B0310"/>
    <w:rsid w:val="005B031F"/>
    <w:rsid w:val="005B0467"/>
    <w:rsid w:val="005B0799"/>
    <w:rsid w:val="005B083D"/>
    <w:rsid w:val="005B084E"/>
    <w:rsid w:val="005B0A03"/>
    <w:rsid w:val="005B0D4F"/>
    <w:rsid w:val="005B0D65"/>
    <w:rsid w:val="005B0DF1"/>
    <w:rsid w:val="005B0EE0"/>
    <w:rsid w:val="005B0F14"/>
    <w:rsid w:val="005B10AA"/>
    <w:rsid w:val="005B13A1"/>
    <w:rsid w:val="005B16B4"/>
    <w:rsid w:val="005B16E4"/>
    <w:rsid w:val="005B1717"/>
    <w:rsid w:val="005B1723"/>
    <w:rsid w:val="005B1941"/>
    <w:rsid w:val="005B1A1E"/>
    <w:rsid w:val="005B1D47"/>
    <w:rsid w:val="005B1D9B"/>
    <w:rsid w:val="005B1DC6"/>
    <w:rsid w:val="005B1E7B"/>
    <w:rsid w:val="005B1FEA"/>
    <w:rsid w:val="005B1FFB"/>
    <w:rsid w:val="005B22CD"/>
    <w:rsid w:val="005B2312"/>
    <w:rsid w:val="005B23AB"/>
    <w:rsid w:val="005B240A"/>
    <w:rsid w:val="005B244E"/>
    <w:rsid w:val="005B2552"/>
    <w:rsid w:val="005B2611"/>
    <w:rsid w:val="005B2C72"/>
    <w:rsid w:val="005B2CB1"/>
    <w:rsid w:val="005B2CE3"/>
    <w:rsid w:val="005B2ED2"/>
    <w:rsid w:val="005B30CE"/>
    <w:rsid w:val="005B31D9"/>
    <w:rsid w:val="005B32C1"/>
    <w:rsid w:val="005B37A8"/>
    <w:rsid w:val="005B3828"/>
    <w:rsid w:val="005B3DD9"/>
    <w:rsid w:val="005B3DDB"/>
    <w:rsid w:val="005B3F84"/>
    <w:rsid w:val="005B41F5"/>
    <w:rsid w:val="005B4393"/>
    <w:rsid w:val="005B4467"/>
    <w:rsid w:val="005B45AF"/>
    <w:rsid w:val="005B469E"/>
    <w:rsid w:val="005B4970"/>
    <w:rsid w:val="005B4997"/>
    <w:rsid w:val="005B49C0"/>
    <w:rsid w:val="005B4A34"/>
    <w:rsid w:val="005B4B83"/>
    <w:rsid w:val="005B4C39"/>
    <w:rsid w:val="005B4D60"/>
    <w:rsid w:val="005B4D83"/>
    <w:rsid w:val="005B4E57"/>
    <w:rsid w:val="005B4EA2"/>
    <w:rsid w:val="005B4F02"/>
    <w:rsid w:val="005B4FA1"/>
    <w:rsid w:val="005B4FDE"/>
    <w:rsid w:val="005B5033"/>
    <w:rsid w:val="005B50CC"/>
    <w:rsid w:val="005B530A"/>
    <w:rsid w:val="005B5433"/>
    <w:rsid w:val="005B557F"/>
    <w:rsid w:val="005B569D"/>
    <w:rsid w:val="005B579C"/>
    <w:rsid w:val="005B57AD"/>
    <w:rsid w:val="005B59D4"/>
    <w:rsid w:val="005B5A68"/>
    <w:rsid w:val="005B5A90"/>
    <w:rsid w:val="005B5B6A"/>
    <w:rsid w:val="005B5C73"/>
    <w:rsid w:val="005B5DE4"/>
    <w:rsid w:val="005B5E5D"/>
    <w:rsid w:val="005B5EFC"/>
    <w:rsid w:val="005B6120"/>
    <w:rsid w:val="005B63B5"/>
    <w:rsid w:val="005B64D3"/>
    <w:rsid w:val="005B674A"/>
    <w:rsid w:val="005B6898"/>
    <w:rsid w:val="005B69B2"/>
    <w:rsid w:val="005B69B9"/>
    <w:rsid w:val="005B6AD0"/>
    <w:rsid w:val="005B6B4B"/>
    <w:rsid w:val="005B6D42"/>
    <w:rsid w:val="005B6E47"/>
    <w:rsid w:val="005B719E"/>
    <w:rsid w:val="005B72E8"/>
    <w:rsid w:val="005B756F"/>
    <w:rsid w:val="005B76C3"/>
    <w:rsid w:val="005B7869"/>
    <w:rsid w:val="005B7882"/>
    <w:rsid w:val="005B788B"/>
    <w:rsid w:val="005B7894"/>
    <w:rsid w:val="005B7945"/>
    <w:rsid w:val="005B79B0"/>
    <w:rsid w:val="005B7BBE"/>
    <w:rsid w:val="005B7BF6"/>
    <w:rsid w:val="005B7C74"/>
    <w:rsid w:val="005C0039"/>
    <w:rsid w:val="005C0155"/>
    <w:rsid w:val="005C038C"/>
    <w:rsid w:val="005C03DC"/>
    <w:rsid w:val="005C03E5"/>
    <w:rsid w:val="005C03E8"/>
    <w:rsid w:val="005C051E"/>
    <w:rsid w:val="005C0641"/>
    <w:rsid w:val="005C06C8"/>
    <w:rsid w:val="005C08DD"/>
    <w:rsid w:val="005C0B70"/>
    <w:rsid w:val="005C0BC6"/>
    <w:rsid w:val="005C0C68"/>
    <w:rsid w:val="005C0ECB"/>
    <w:rsid w:val="005C0F63"/>
    <w:rsid w:val="005C102B"/>
    <w:rsid w:val="005C13D1"/>
    <w:rsid w:val="005C1627"/>
    <w:rsid w:val="005C169A"/>
    <w:rsid w:val="005C1760"/>
    <w:rsid w:val="005C17FA"/>
    <w:rsid w:val="005C1A10"/>
    <w:rsid w:val="005C1A4B"/>
    <w:rsid w:val="005C1BF3"/>
    <w:rsid w:val="005C1C1B"/>
    <w:rsid w:val="005C1F2A"/>
    <w:rsid w:val="005C1F7E"/>
    <w:rsid w:val="005C2064"/>
    <w:rsid w:val="005C20DA"/>
    <w:rsid w:val="005C2105"/>
    <w:rsid w:val="005C2843"/>
    <w:rsid w:val="005C2A8D"/>
    <w:rsid w:val="005C2ADE"/>
    <w:rsid w:val="005C2CC3"/>
    <w:rsid w:val="005C2ECA"/>
    <w:rsid w:val="005C318F"/>
    <w:rsid w:val="005C322B"/>
    <w:rsid w:val="005C3287"/>
    <w:rsid w:val="005C3359"/>
    <w:rsid w:val="005C34F4"/>
    <w:rsid w:val="005C3506"/>
    <w:rsid w:val="005C3622"/>
    <w:rsid w:val="005C377D"/>
    <w:rsid w:val="005C3780"/>
    <w:rsid w:val="005C388F"/>
    <w:rsid w:val="005C3988"/>
    <w:rsid w:val="005C3B1C"/>
    <w:rsid w:val="005C40C1"/>
    <w:rsid w:val="005C41C6"/>
    <w:rsid w:val="005C432C"/>
    <w:rsid w:val="005C443D"/>
    <w:rsid w:val="005C44D6"/>
    <w:rsid w:val="005C44EA"/>
    <w:rsid w:val="005C46B7"/>
    <w:rsid w:val="005C46C1"/>
    <w:rsid w:val="005C4A2C"/>
    <w:rsid w:val="005C4AEF"/>
    <w:rsid w:val="005C4C2B"/>
    <w:rsid w:val="005C4CBB"/>
    <w:rsid w:val="005C4D06"/>
    <w:rsid w:val="005C4FC5"/>
    <w:rsid w:val="005C5300"/>
    <w:rsid w:val="005C54D5"/>
    <w:rsid w:val="005C56CB"/>
    <w:rsid w:val="005C5760"/>
    <w:rsid w:val="005C5784"/>
    <w:rsid w:val="005C57FB"/>
    <w:rsid w:val="005C5839"/>
    <w:rsid w:val="005C58F1"/>
    <w:rsid w:val="005C5AC7"/>
    <w:rsid w:val="005C5B15"/>
    <w:rsid w:val="005C5BB7"/>
    <w:rsid w:val="005C5BE4"/>
    <w:rsid w:val="005C5D9B"/>
    <w:rsid w:val="005C5F0E"/>
    <w:rsid w:val="005C5F14"/>
    <w:rsid w:val="005C5F8F"/>
    <w:rsid w:val="005C5FA9"/>
    <w:rsid w:val="005C6033"/>
    <w:rsid w:val="005C60FD"/>
    <w:rsid w:val="005C61B1"/>
    <w:rsid w:val="005C6342"/>
    <w:rsid w:val="005C63F5"/>
    <w:rsid w:val="005C6462"/>
    <w:rsid w:val="005C64E4"/>
    <w:rsid w:val="005C64E9"/>
    <w:rsid w:val="005C6680"/>
    <w:rsid w:val="005C67C5"/>
    <w:rsid w:val="005C6E5E"/>
    <w:rsid w:val="005C6EEC"/>
    <w:rsid w:val="005C6F2D"/>
    <w:rsid w:val="005C74AA"/>
    <w:rsid w:val="005C755A"/>
    <w:rsid w:val="005C77C6"/>
    <w:rsid w:val="005C7981"/>
    <w:rsid w:val="005C7A6D"/>
    <w:rsid w:val="005C7B5A"/>
    <w:rsid w:val="005C7CDC"/>
    <w:rsid w:val="005C7D1F"/>
    <w:rsid w:val="005C7D2D"/>
    <w:rsid w:val="005C7DAF"/>
    <w:rsid w:val="005C7EEE"/>
    <w:rsid w:val="005C7FF6"/>
    <w:rsid w:val="005D014F"/>
    <w:rsid w:val="005D01AB"/>
    <w:rsid w:val="005D0209"/>
    <w:rsid w:val="005D0274"/>
    <w:rsid w:val="005D02A5"/>
    <w:rsid w:val="005D038E"/>
    <w:rsid w:val="005D0661"/>
    <w:rsid w:val="005D0D29"/>
    <w:rsid w:val="005D0DFB"/>
    <w:rsid w:val="005D0F9B"/>
    <w:rsid w:val="005D1042"/>
    <w:rsid w:val="005D1058"/>
    <w:rsid w:val="005D1232"/>
    <w:rsid w:val="005D1479"/>
    <w:rsid w:val="005D14EC"/>
    <w:rsid w:val="005D1BE3"/>
    <w:rsid w:val="005D1C56"/>
    <w:rsid w:val="005D1F21"/>
    <w:rsid w:val="005D209E"/>
    <w:rsid w:val="005D25CD"/>
    <w:rsid w:val="005D2608"/>
    <w:rsid w:val="005D2ABD"/>
    <w:rsid w:val="005D2AE1"/>
    <w:rsid w:val="005D2D0E"/>
    <w:rsid w:val="005D2D88"/>
    <w:rsid w:val="005D30EC"/>
    <w:rsid w:val="005D3283"/>
    <w:rsid w:val="005D33C1"/>
    <w:rsid w:val="005D344A"/>
    <w:rsid w:val="005D372D"/>
    <w:rsid w:val="005D375A"/>
    <w:rsid w:val="005D37C0"/>
    <w:rsid w:val="005D3833"/>
    <w:rsid w:val="005D3846"/>
    <w:rsid w:val="005D3863"/>
    <w:rsid w:val="005D38E9"/>
    <w:rsid w:val="005D3ABF"/>
    <w:rsid w:val="005D3C85"/>
    <w:rsid w:val="005D3CE1"/>
    <w:rsid w:val="005D3E5D"/>
    <w:rsid w:val="005D42F6"/>
    <w:rsid w:val="005D460E"/>
    <w:rsid w:val="005D47EB"/>
    <w:rsid w:val="005D4DBE"/>
    <w:rsid w:val="005D4DF8"/>
    <w:rsid w:val="005D523F"/>
    <w:rsid w:val="005D52DC"/>
    <w:rsid w:val="005D53C2"/>
    <w:rsid w:val="005D5449"/>
    <w:rsid w:val="005D5497"/>
    <w:rsid w:val="005D5538"/>
    <w:rsid w:val="005D5550"/>
    <w:rsid w:val="005D55AE"/>
    <w:rsid w:val="005D587E"/>
    <w:rsid w:val="005D594D"/>
    <w:rsid w:val="005D59AD"/>
    <w:rsid w:val="005D5F50"/>
    <w:rsid w:val="005D5FAD"/>
    <w:rsid w:val="005D6057"/>
    <w:rsid w:val="005D60B1"/>
    <w:rsid w:val="005D642F"/>
    <w:rsid w:val="005D645A"/>
    <w:rsid w:val="005D64F7"/>
    <w:rsid w:val="005D654A"/>
    <w:rsid w:val="005D6794"/>
    <w:rsid w:val="005D68B8"/>
    <w:rsid w:val="005D6A96"/>
    <w:rsid w:val="005D6B0B"/>
    <w:rsid w:val="005D6CA7"/>
    <w:rsid w:val="005D70CF"/>
    <w:rsid w:val="005D711D"/>
    <w:rsid w:val="005D7147"/>
    <w:rsid w:val="005D7265"/>
    <w:rsid w:val="005D728C"/>
    <w:rsid w:val="005D72AE"/>
    <w:rsid w:val="005D7534"/>
    <w:rsid w:val="005D7604"/>
    <w:rsid w:val="005D76A8"/>
    <w:rsid w:val="005D7DB8"/>
    <w:rsid w:val="005D7E3F"/>
    <w:rsid w:val="005D7F03"/>
    <w:rsid w:val="005D7FCA"/>
    <w:rsid w:val="005E0036"/>
    <w:rsid w:val="005E026A"/>
    <w:rsid w:val="005E041E"/>
    <w:rsid w:val="005E0420"/>
    <w:rsid w:val="005E0492"/>
    <w:rsid w:val="005E05DB"/>
    <w:rsid w:val="005E063B"/>
    <w:rsid w:val="005E07AC"/>
    <w:rsid w:val="005E0A32"/>
    <w:rsid w:val="005E0C72"/>
    <w:rsid w:val="005E0CAE"/>
    <w:rsid w:val="005E0E77"/>
    <w:rsid w:val="005E0EE9"/>
    <w:rsid w:val="005E10C2"/>
    <w:rsid w:val="005E111B"/>
    <w:rsid w:val="005E135E"/>
    <w:rsid w:val="005E13DD"/>
    <w:rsid w:val="005E1500"/>
    <w:rsid w:val="005E15B3"/>
    <w:rsid w:val="005E15C1"/>
    <w:rsid w:val="005E170B"/>
    <w:rsid w:val="005E18C1"/>
    <w:rsid w:val="005E1A0D"/>
    <w:rsid w:val="005E1B83"/>
    <w:rsid w:val="005E1C27"/>
    <w:rsid w:val="005E1DD8"/>
    <w:rsid w:val="005E1DEC"/>
    <w:rsid w:val="005E2141"/>
    <w:rsid w:val="005E2148"/>
    <w:rsid w:val="005E21BC"/>
    <w:rsid w:val="005E21ED"/>
    <w:rsid w:val="005E225E"/>
    <w:rsid w:val="005E234D"/>
    <w:rsid w:val="005E25D2"/>
    <w:rsid w:val="005E275A"/>
    <w:rsid w:val="005E28A7"/>
    <w:rsid w:val="005E2B15"/>
    <w:rsid w:val="005E2B4A"/>
    <w:rsid w:val="005E2C81"/>
    <w:rsid w:val="005E2D35"/>
    <w:rsid w:val="005E2F7B"/>
    <w:rsid w:val="005E310D"/>
    <w:rsid w:val="005E3190"/>
    <w:rsid w:val="005E3267"/>
    <w:rsid w:val="005E3290"/>
    <w:rsid w:val="005E3348"/>
    <w:rsid w:val="005E35FC"/>
    <w:rsid w:val="005E36C1"/>
    <w:rsid w:val="005E37CC"/>
    <w:rsid w:val="005E38EF"/>
    <w:rsid w:val="005E38FC"/>
    <w:rsid w:val="005E3B4A"/>
    <w:rsid w:val="005E3CE0"/>
    <w:rsid w:val="005E4126"/>
    <w:rsid w:val="005E42D7"/>
    <w:rsid w:val="005E43E6"/>
    <w:rsid w:val="005E4458"/>
    <w:rsid w:val="005E44A9"/>
    <w:rsid w:val="005E4513"/>
    <w:rsid w:val="005E458B"/>
    <w:rsid w:val="005E46AD"/>
    <w:rsid w:val="005E4846"/>
    <w:rsid w:val="005E495C"/>
    <w:rsid w:val="005E4AC4"/>
    <w:rsid w:val="005E4E68"/>
    <w:rsid w:val="005E5184"/>
    <w:rsid w:val="005E541A"/>
    <w:rsid w:val="005E5488"/>
    <w:rsid w:val="005E5489"/>
    <w:rsid w:val="005E54DE"/>
    <w:rsid w:val="005E5824"/>
    <w:rsid w:val="005E5882"/>
    <w:rsid w:val="005E5897"/>
    <w:rsid w:val="005E5E32"/>
    <w:rsid w:val="005E5ED2"/>
    <w:rsid w:val="005E5F81"/>
    <w:rsid w:val="005E6029"/>
    <w:rsid w:val="005E6301"/>
    <w:rsid w:val="005E6415"/>
    <w:rsid w:val="005E647A"/>
    <w:rsid w:val="005E64DD"/>
    <w:rsid w:val="005E656F"/>
    <w:rsid w:val="005E6A20"/>
    <w:rsid w:val="005E6B38"/>
    <w:rsid w:val="005E6DF2"/>
    <w:rsid w:val="005E6E59"/>
    <w:rsid w:val="005E6F01"/>
    <w:rsid w:val="005E70A3"/>
    <w:rsid w:val="005E72EB"/>
    <w:rsid w:val="005E731C"/>
    <w:rsid w:val="005E7597"/>
    <w:rsid w:val="005E76EA"/>
    <w:rsid w:val="005E790D"/>
    <w:rsid w:val="005E7A6C"/>
    <w:rsid w:val="005E7E36"/>
    <w:rsid w:val="005E7F51"/>
    <w:rsid w:val="005F05A8"/>
    <w:rsid w:val="005F0658"/>
    <w:rsid w:val="005F0735"/>
    <w:rsid w:val="005F085C"/>
    <w:rsid w:val="005F09CC"/>
    <w:rsid w:val="005F0AD6"/>
    <w:rsid w:val="005F0CC2"/>
    <w:rsid w:val="005F0D1A"/>
    <w:rsid w:val="005F0DCD"/>
    <w:rsid w:val="005F1020"/>
    <w:rsid w:val="005F1251"/>
    <w:rsid w:val="005F1343"/>
    <w:rsid w:val="005F134F"/>
    <w:rsid w:val="005F15DA"/>
    <w:rsid w:val="005F15E7"/>
    <w:rsid w:val="005F15F0"/>
    <w:rsid w:val="005F1657"/>
    <w:rsid w:val="005F18D5"/>
    <w:rsid w:val="005F1957"/>
    <w:rsid w:val="005F1CD6"/>
    <w:rsid w:val="005F1DC5"/>
    <w:rsid w:val="005F1E1F"/>
    <w:rsid w:val="005F2114"/>
    <w:rsid w:val="005F23B7"/>
    <w:rsid w:val="005F282D"/>
    <w:rsid w:val="005F2CF7"/>
    <w:rsid w:val="005F319B"/>
    <w:rsid w:val="005F3688"/>
    <w:rsid w:val="005F3A14"/>
    <w:rsid w:val="005F3CF6"/>
    <w:rsid w:val="005F3E9A"/>
    <w:rsid w:val="005F4162"/>
    <w:rsid w:val="005F427E"/>
    <w:rsid w:val="005F442D"/>
    <w:rsid w:val="005F4547"/>
    <w:rsid w:val="005F458B"/>
    <w:rsid w:val="005F458D"/>
    <w:rsid w:val="005F46B4"/>
    <w:rsid w:val="005F4737"/>
    <w:rsid w:val="005F47F3"/>
    <w:rsid w:val="005F49FD"/>
    <w:rsid w:val="005F4F22"/>
    <w:rsid w:val="005F4F80"/>
    <w:rsid w:val="005F510E"/>
    <w:rsid w:val="005F5145"/>
    <w:rsid w:val="005F51E0"/>
    <w:rsid w:val="005F521D"/>
    <w:rsid w:val="005F54BE"/>
    <w:rsid w:val="005F5562"/>
    <w:rsid w:val="005F5936"/>
    <w:rsid w:val="005F5A04"/>
    <w:rsid w:val="005F5A38"/>
    <w:rsid w:val="005F5A4C"/>
    <w:rsid w:val="005F5AD3"/>
    <w:rsid w:val="005F5C73"/>
    <w:rsid w:val="005F5D13"/>
    <w:rsid w:val="005F5DD7"/>
    <w:rsid w:val="005F5E41"/>
    <w:rsid w:val="005F5F53"/>
    <w:rsid w:val="005F608C"/>
    <w:rsid w:val="005F609E"/>
    <w:rsid w:val="005F61EA"/>
    <w:rsid w:val="005F630D"/>
    <w:rsid w:val="005F645B"/>
    <w:rsid w:val="005F645D"/>
    <w:rsid w:val="005F64A0"/>
    <w:rsid w:val="005F66B3"/>
    <w:rsid w:val="005F671A"/>
    <w:rsid w:val="005F679B"/>
    <w:rsid w:val="005F6808"/>
    <w:rsid w:val="005F68B7"/>
    <w:rsid w:val="005F690C"/>
    <w:rsid w:val="005F6958"/>
    <w:rsid w:val="005F69A7"/>
    <w:rsid w:val="005F6C5D"/>
    <w:rsid w:val="005F6C63"/>
    <w:rsid w:val="005F6C9A"/>
    <w:rsid w:val="005F6E69"/>
    <w:rsid w:val="005F6F45"/>
    <w:rsid w:val="005F70CE"/>
    <w:rsid w:val="005F73A6"/>
    <w:rsid w:val="005F7428"/>
    <w:rsid w:val="005F747B"/>
    <w:rsid w:val="005F7592"/>
    <w:rsid w:val="005F759D"/>
    <w:rsid w:val="005F762F"/>
    <w:rsid w:val="005F7741"/>
    <w:rsid w:val="005F77FA"/>
    <w:rsid w:val="005F7885"/>
    <w:rsid w:val="005F78B7"/>
    <w:rsid w:val="005F78CC"/>
    <w:rsid w:val="005F79CF"/>
    <w:rsid w:val="005F7AD3"/>
    <w:rsid w:val="005F7C2F"/>
    <w:rsid w:val="005F7C69"/>
    <w:rsid w:val="005F7C6E"/>
    <w:rsid w:val="005F7D1A"/>
    <w:rsid w:val="005F7EDE"/>
    <w:rsid w:val="0060036B"/>
    <w:rsid w:val="0060053D"/>
    <w:rsid w:val="00600614"/>
    <w:rsid w:val="00600639"/>
    <w:rsid w:val="00600829"/>
    <w:rsid w:val="006009FA"/>
    <w:rsid w:val="00600A20"/>
    <w:rsid w:val="00600B07"/>
    <w:rsid w:val="00600B70"/>
    <w:rsid w:val="00600B91"/>
    <w:rsid w:val="00600F2D"/>
    <w:rsid w:val="00600F8D"/>
    <w:rsid w:val="006014CC"/>
    <w:rsid w:val="006014D3"/>
    <w:rsid w:val="006015CC"/>
    <w:rsid w:val="00601722"/>
    <w:rsid w:val="00601786"/>
    <w:rsid w:val="006018CE"/>
    <w:rsid w:val="00601901"/>
    <w:rsid w:val="00601944"/>
    <w:rsid w:val="006019D5"/>
    <w:rsid w:val="00601A25"/>
    <w:rsid w:val="00601B44"/>
    <w:rsid w:val="00601DD5"/>
    <w:rsid w:val="00601E09"/>
    <w:rsid w:val="00602257"/>
    <w:rsid w:val="0060225C"/>
    <w:rsid w:val="00602265"/>
    <w:rsid w:val="006022C8"/>
    <w:rsid w:val="00602466"/>
    <w:rsid w:val="0060247E"/>
    <w:rsid w:val="006024BF"/>
    <w:rsid w:val="0060251F"/>
    <w:rsid w:val="00602564"/>
    <w:rsid w:val="0060279A"/>
    <w:rsid w:val="00602B5C"/>
    <w:rsid w:val="00602D9E"/>
    <w:rsid w:val="00602EA2"/>
    <w:rsid w:val="00602EF1"/>
    <w:rsid w:val="0060300D"/>
    <w:rsid w:val="00603060"/>
    <w:rsid w:val="00603079"/>
    <w:rsid w:val="006031D1"/>
    <w:rsid w:val="00603211"/>
    <w:rsid w:val="006032C7"/>
    <w:rsid w:val="006034C3"/>
    <w:rsid w:val="006036B9"/>
    <w:rsid w:val="006039F3"/>
    <w:rsid w:val="00603AD9"/>
    <w:rsid w:val="00603C3D"/>
    <w:rsid w:val="00603DE4"/>
    <w:rsid w:val="00603E46"/>
    <w:rsid w:val="00603E63"/>
    <w:rsid w:val="00603E84"/>
    <w:rsid w:val="00603FFC"/>
    <w:rsid w:val="0060415E"/>
    <w:rsid w:val="00604227"/>
    <w:rsid w:val="006042B5"/>
    <w:rsid w:val="006042BC"/>
    <w:rsid w:val="0060432F"/>
    <w:rsid w:val="006044E4"/>
    <w:rsid w:val="0060463A"/>
    <w:rsid w:val="006046FF"/>
    <w:rsid w:val="00604744"/>
    <w:rsid w:val="006049AD"/>
    <w:rsid w:val="006049E7"/>
    <w:rsid w:val="006049ED"/>
    <w:rsid w:val="00604CA5"/>
    <w:rsid w:val="00604D00"/>
    <w:rsid w:val="00604EC9"/>
    <w:rsid w:val="00605143"/>
    <w:rsid w:val="00605147"/>
    <w:rsid w:val="0060516C"/>
    <w:rsid w:val="0060533F"/>
    <w:rsid w:val="0060562F"/>
    <w:rsid w:val="006056E4"/>
    <w:rsid w:val="00605985"/>
    <w:rsid w:val="00605A2F"/>
    <w:rsid w:val="00605AD4"/>
    <w:rsid w:val="00605AE5"/>
    <w:rsid w:val="00605BE8"/>
    <w:rsid w:val="00605C33"/>
    <w:rsid w:val="0060619D"/>
    <w:rsid w:val="0060644B"/>
    <w:rsid w:val="0060651C"/>
    <w:rsid w:val="006065BC"/>
    <w:rsid w:val="00606612"/>
    <w:rsid w:val="0060661E"/>
    <w:rsid w:val="006066C8"/>
    <w:rsid w:val="00606742"/>
    <w:rsid w:val="00606A0D"/>
    <w:rsid w:val="00606B94"/>
    <w:rsid w:val="00606BF8"/>
    <w:rsid w:val="00606D8F"/>
    <w:rsid w:val="00606FA9"/>
    <w:rsid w:val="006074F0"/>
    <w:rsid w:val="00607536"/>
    <w:rsid w:val="0060767A"/>
    <w:rsid w:val="00607749"/>
    <w:rsid w:val="00607790"/>
    <w:rsid w:val="006077B6"/>
    <w:rsid w:val="006077DC"/>
    <w:rsid w:val="00607804"/>
    <w:rsid w:val="006079E0"/>
    <w:rsid w:val="00607BD3"/>
    <w:rsid w:val="00607C6B"/>
    <w:rsid w:val="00607CE1"/>
    <w:rsid w:val="00607DCD"/>
    <w:rsid w:val="00607E4D"/>
    <w:rsid w:val="00607ECD"/>
    <w:rsid w:val="00607F02"/>
    <w:rsid w:val="0061007D"/>
    <w:rsid w:val="00610135"/>
    <w:rsid w:val="00610346"/>
    <w:rsid w:val="0061042E"/>
    <w:rsid w:val="00610545"/>
    <w:rsid w:val="00610569"/>
    <w:rsid w:val="0061058F"/>
    <w:rsid w:val="00610636"/>
    <w:rsid w:val="00610684"/>
    <w:rsid w:val="006106E4"/>
    <w:rsid w:val="00610769"/>
    <w:rsid w:val="0061087D"/>
    <w:rsid w:val="00610935"/>
    <w:rsid w:val="00610A7E"/>
    <w:rsid w:val="00610B4B"/>
    <w:rsid w:val="00610D93"/>
    <w:rsid w:val="00610EB6"/>
    <w:rsid w:val="0061107B"/>
    <w:rsid w:val="006110D1"/>
    <w:rsid w:val="0061132F"/>
    <w:rsid w:val="0061147C"/>
    <w:rsid w:val="00611567"/>
    <w:rsid w:val="006115C9"/>
    <w:rsid w:val="006115CF"/>
    <w:rsid w:val="006118D8"/>
    <w:rsid w:val="0061192E"/>
    <w:rsid w:val="00611A28"/>
    <w:rsid w:val="00611B86"/>
    <w:rsid w:val="00611BF8"/>
    <w:rsid w:val="00611CA4"/>
    <w:rsid w:val="00611E3D"/>
    <w:rsid w:val="00611E67"/>
    <w:rsid w:val="00611ED0"/>
    <w:rsid w:val="0061200B"/>
    <w:rsid w:val="00612055"/>
    <w:rsid w:val="00612233"/>
    <w:rsid w:val="0061225E"/>
    <w:rsid w:val="0061239B"/>
    <w:rsid w:val="006123E2"/>
    <w:rsid w:val="00612475"/>
    <w:rsid w:val="0061252D"/>
    <w:rsid w:val="006125FA"/>
    <w:rsid w:val="00612640"/>
    <w:rsid w:val="00612777"/>
    <w:rsid w:val="00612D3E"/>
    <w:rsid w:val="00612DC3"/>
    <w:rsid w:val="00612FCB"/>
    <w:rsid w:val="0061305D"/>
    <w:rsid w:val="006131B9"/>
    <w:rsid w:val="006132C2"/>
    <w:rsid w:val="006133AD"/>
    <w:rsid w:val="006136EE"/>
    <w:rsid w:val="00613795"/>
    <w:rsid w:val="006138A7"/>
    <w:rsid w:val="006138F7"/>
    <w:rsid w:val="00613965"/>
    <w:rsid w:val="00613C03"/>
    <w:rsid w:val="00613CCA"/>
    <w:rsid w:val="00613E45"/>
    <w:rsid w:val="00613EE9"/>
    <w:rsid w:val="006140CE"/>
    <w:rsid w:val="0061414D"/>
    <w:rsid w:val="006141E2"/>
    <w:rsid w:val="0061438A"/>
    <w:rsid w:val="00614498"/>
    <w:rsid w:val="0061468A"/>
    <w:rsid w:val="00614790"/>
    <w:rsid w:val="0061479D"/>
    <w:rsid w:val="006147B1"/>
    <w:rsid w:val="0061491E"/>
    <w:rsid w:val="0061496D"/>
    <w:rsid w:val="00614A9D"/>
    <w:rsid w:val="00614BE9"/>
    <w:rsid w:val="00614C26"/>
    <w:rsid w:val="00614C84"/>
    <w:rsid w:val="00614CEB"/>
    <w:rsid w:val="00614E8D"/>
    <w:rsid w:val="00615275"/>
    <w:rsid w:val="0061538A"/>
    <w:rsid w:val="00615579"/>
    <w:rsid w:val="006155A8"/>
    <w:rsid w:val="006156DF"/>
    <w:rsid w:val="006156E8"/>
    <w:rsid w:val="00615736"/>
    <w:rsid w:val="0061581B"/>
    <w:rsid w:val="00615901"/>
    <w:rsid w:val="00615D15"/>
    <w:rsid w:val="00615D8B"/>
    <w:rsid w:val="00615DE5"/>
    <w:rsid w:val="00615E13"/>
    <w:rsid w:val="00615EB9"/>
    <w:rsid w:val="00615F17"/>
    <w:rsid w:val="00616052"/>
    <w:rsid w:val="0061606C"/>
    <w:rsid w:val="00616135"/>
    <w:rsid w:val="00616202"/>
    <w:rsid w:val="00616293"/>
    <w:rsid w:val="006162DE"/>
    <w:rsid w:val="006163DA"/>
    <w:rsid w:val="00616409"/>
    <w:rsid w:val="006167D3"/>
    <w:rsid w:val="00616872"/>
    <w:rsid w:val="006168C9"/>
    <w:rsid w:val="00616A45"/>
    <w:rsid w:val="00616A50"/>
    <w:rsid w:val="00616CFC"/>
    <w:rsid w:val="00616D7B"/>
    <w:rsid w:val="00616D80"/>
    <w:rsid w:val="00616DAB"/>
    <w:rsid w:val="00616FA1"/>
    <w:rsid w:val="00617156"/>
    <w:rsid w:val="00617178"/>
    <w:rsid w:val="00617210"/>
    <w:rsid w:val="00617265"/>
    <w:rsid w:val="006172F5"/>
    <w:rsid w:val="00617412"/>
    <w:rsid w:val="00617491"/>
    <w:rsid w:val="006174FA"/>
    <w:rsid w:val="00617661"/>
    <w:rsid w:val="006178FF"/>
    <w:rsid w:val="00617909"/>
    <w:rsid w:val="006179BB"/>
    <w:rsid w:val="00617B80"/>
    <w:rsid w:val="00617D22"/>
    <w:rsid w:val="00617D4E"/>
    <w:rsid w:val="00617EE1"/>
    <w:rsid w:val="0062002A"/>
    <w:rsid w:val="00620041"/>
    <w:rsid w:val="0062015B"/>
    <w:rsid w:val="0062021D"/>
    <w:rsid w:val="0062026C"/>
    <w:rsid w:val="00620365"/>
    <w:rsid w:val="0062045B"/>
    <w:rsid w:val="0062048F"/>
    <w:rsid w:val="00620535"/>
    <w:rsid w:val="00620572"/>
    <w:rsid w:val="0062062E"/>
    <w:rsid w:val="006207A9"/>
    <w:rsid w:val="00620889"/>
    <w:rsid w:val="006208F4"/>
    <w:rsid w:val="00620947"/>
    <w:rsid w:val="00620B47"/>
    <w:rsid w:val="00620BD2"/>
    <w:rsid w:val="00620C23"/>
    <w:rsid w:val="00620EE2"/>
    <w:rsid w:val="00620FA1"/>
    <w:rsid w:val="00621055"/>
    <w:rsid w:val="006211E5"/>
    <w:rsid w:val="006212AC"/>
    <w:rsid w:val="006212BE"/>
    <w:rsid w:val="0062143C"/>
    <w:rsid w:val="0062156C"/>
    <w:rsid w:val="00621656"/>
    <w:rsid w:val="006216F2"/>
    <w:rsid w:val="006218FC"/>
    <w:rsid w:val="00621B14"/>
    <w:rsid w:val="00621C6A"/>
    <w:rsid w:val="00621CEB"/>
    <w:rsid w:val="00621E34"/>
    <w:rsid w:val="00621E4F"/>
    <w:rsid w:val="00622088"/>
    <w:rsid w:val="00622189"/>
    <w:rsid w:val="006224AF"/>
    <w:rsid w:val="006225E8"/>
    <w:rsid w:val="00622702"/>
    <w:rsid w:val="006227C6"/>
    <w:rsid w:val="00622A27"/>
    <w:rsid w:val="00622B11"/>
    <w:rsid w:val="00622BF2"/>
    <w:rsid w:val="00622C0A"/>
    <w:rsid w:val="00622D25"/>
    <w:rsid w:val="00622E32"/>
    <w:rsid w:val="00622E8B"/>
    <w:rsid w:val="00622E94"/>
    <w:rsid w:val="00622F01"/>
    <w:rsid w:val="00622F48"/>
    <w:rsid w:val="00622F61"/>
    <w:rsid w:val="00622FDC"/>
    <w:rsid w:val="00623201"/>
    <w:rsid w:val="006232BE"/>
    <w:rsid w:val="00623396"/>
    <w:rsid w:val="00623489"/>
    <w:rsid w:val="006234B7"/>
    <w:rsid w:val="0062356D"/>
    <w:rsid w:val="00623592"/>
    <w:rsid w:val="00623C3E"/>
    <w:rsid w:val="00623E47"/>
    <w:rsid w:val="00623FA2"/>
    <w:rsid w:val="00623FAC"/>
    <w:rsid w:val="00623FBE"/>
    <w:rsid w:val="0062401F"/>
    <w:rsid w:val="0062407D"/>
    <w:rsid w:val="006241AD"/>
    <w:rsid w:val="006241E6"/>
    <w:rsid w:val="006242A0"/>
    <w:rsid w:val="006242F8"/>
    <w:rsid w:val="006244EC"/>
    <w:rsid w:val="00624559"/>
    <w:rsid w:val="006247BB"/>
    <w:rsid w:val="00624896"/>
    <w:rsid w:val="0062495F"/>
    <w:rsid w:val="006249CC"/>
    <w:rsid w:val="00624A47"/>
    <w:rsid w:val="00624DEB"/>
    <w:rsid w:val="006250C9"/>
    <w:rsid w:val="00625126"/>
    <w:rsid w:val="00625146"/>
    <w:rsid w:val="006252D7"/>
    <w:rsid w:val="00625419"/>
    <w:rsid w:val="006254A6"/>
    <w:rsid w:val="00625538"/>
    <w:rsid w:val="006256FA"/>
    <w:rsid w:val="006259A2"/>
    <w:rsid w:val="00625AE9"/>
    <w:rsid w:val="00625FD4"/>
    <w:rsid w:val="00626240"/>
    <w:rsid w:val="006262CC"/>
    <w:rsid w:val="006262F5"/>
    <w:rsid w:val="0062652D"/>
    <w:rsid w:val="0062655C"/>
    <w:rsid w:val="0062655F"/>
    <w:rsid w:val="00626796"/>
    <w:rsid w:val="00626870"/>
    <w:rsid w:val="00626BD1"/>
    <w:rsid w:val="00626C20"/>
    <w:rsid w:val="00626C6A"/>
    <w:rsid w:val="00626E3C"/>
    <w:rsid w:val="006270D6"/>
    <w:rsid w:val="00627192"/>
    <w:rsid w:val="0062729D"/>
    <w:rsid w:val="0062732F"/>
    <w:rsid w:val="00627449"/>
    <w:rsid w:val="0062751D"/>
    <w:rsid w:val="006276C4"/>
    <w:rsid w:val="006279CE"/>
    <w:rsid w:val="006279F9"/>
    <w:rsid w:val="00627E93"/>
    <w:rsid w:val="00627EAA"/>
    <w:rsid w:val="00627F40"/>
    <w:rsid w:val="00627F6B"/>
    <w:rsid w:val="0063006C"/>
    <w:rsid w:val="006300FF"/>
    <w:rsid w:val="00630215"/>
    <w:rsid w:val="00630321"/>
    <w:rsid w:val="00630533"/>
    <w:rsid w:val="00630795"/>
    <w:rsid w:val="006309DC"/>
    <w:rsid w:val="00630A39"/>
    <w:rsid w:val="00630A70"/>
    <w:rsid w:val="00630DAB"/>
    <w:rsid w:val="00630DBB"/>
    <w:rsid w:val="006310BC"/>
    <w:rsid w:val="00631149"/>
    <w:rsid w:val="00631188"/>
    <w:rsid w:val="006313DE"/>
    <w:rsid w:val="006315FA"/>
    <w:rsid w:val="00631853"/>
    <w:rsid w:val="00631882"/>
    <w:rsid w:val="00631886"/>
    <w:rsid w:val="006318BB"/>
    <w:rsid w:val="00631C51"/>
    <w:rsid w:val="00631D55"/>
    <w:rsid w:val="00631E2F"/>
    <w:rsid w:val="00631EA7"/>
    <w:rsid w:val="00631F11"/>
    <w:rsid w:val="00631F51"/>
    <w:rsid w:val="00631F71"/>
    <w:rsid w:val="006320F2"/>
    <w:rsid w:val="006321F3"/>
    <w:rsid w:val="00632224"/>
    <w:rsid w:val="006322F4"/>
    <w:rsid w:val="006323A0"/>
    <w:rsid w:val="006328D5"/>
    <w:rsid w:val="00632AE7"/>
    <w:rsid w:val="00632CB7"/>
    <w:rsid w:val="00632D56"/>
    <w:rsid w:val="00632E67"/>
    <w:rsid w:val="00632E78"/>
    <w:rsid w:val="00633106"/>
    <w:rsid w:val="00633159"/>
    <w:rsid w:val="0063317D"/>
    <w:rsid w:val="00633197"/>
    <w:rsid w:val="00633203"/>
    <w:rsid w:val="00633233"/>
    <w:rsid w:val="0063330B"/>
    <w:rsid w:val="00633347"/>
    <w:rsid w:val="006333BC"/>
    <w:rsid w:val="00633414"/>
    <w:rsid w:val="006334F0"/>
    <w:rsid w:val="0063381E"/>
    <w:rsid w:val="00633900"/>
    <w:rsid w:val="00633B1B"/>
    <w:rsid w:val="00633B2C"/>
    <w:rsid w:val="00633D7E"/>
    <w:rsid w:val="00633E62"/>
    <w:rsid w:val="00634183"/>
    <w:rsid w:val="006341AA"/>
    <w:rsid w:val="006341C8"/>
    <w:rsid w:val="00634304"/>
    <w:rsid w:val="00634491"/>
    <w:rsid w:val="0063455C"/>
    <w:rsid w:val="0063464A"/>
    <w:rsid w:val="0063466B"/>
    <w:rsid w:val="0063482E"/>
    <w:rsid w:val="00634842"/>
    <w:rsid w:val="0063493A"/>
    <w:rsid w:val="0063497C"/>
    <w:rsid w:val="00634A5A"/>
    <w:rsid w:val="00635030"/>
    <w:rsid w:val="00635188"/>
    <w:rsid w:val="006351F5"/>
    <w:rsid w:val="00635232"/>
    <w:rsid w:val="00635481"/>
    <w:rsid w:val="0063552C"/>
    <w:rsid w:val="006355BA"/>
    <w:rsid w:val="006356AF"/>
    <w:rsid w:val="006357DF"/>
    <w:rsid w:val="0063582A"/>
    <w:rsid w:val="006359DA"/>
    <w:rsid w:val="00635B3C"/>
    <w:rsid w:val="00635C69"/>
    <w:rsid w:val="00635CDD"/>
    <w:rsid w:val="00635E7A"/>
    <w:rsid w:val="006361D2"/>
    <w:rsid w:val="00636277"/>
    <w:rsid w:val="006363BE"/>
    <w:rsid w:val="00636440"/>
    <w:rsid w:val="00636617"/>
    <w:rsid w:val="006367F4"/>
    <w:rsid w:val="006368D8"/>
    <w:rsid w:val="006368FE"/>
    <w:rsid w:val="00636953"/>
    <w:rsid w:val="006369B1"/>
    <w:rsid w:val="00636C8E"/>
    <w:rsid w:val="00636E20"/>
    <w:rsid w:val="00636EAB"/>
    <w:rsid w:val="00636F17"/>
    <w:rsid w:val="006370FC"/>
    <w:rsid w:val="0063719E"/>
    <w:rsid w:val="006371B0"/>
    <w:rsid w:val="0063724E"/>
    <w:rsid w:val="00637257"/>
    <w:rsid w:val="006374A4"/>
    <w:rsid w:val="0063762B"/>
    <w:rsid w:val="00637669"/>
    <w:rsid w:val="00637708"/>
    <w:rsid w:val="006379DD"/>
    <w:rsid w:val="00637AF0"/>
    <w:rsid w:val="00637AF2"/>
    <w:rsid w:val="00637B9F"/>
    <w:rsid w:val="00637C29"/>
    <w:rsid w:val="00637C6B"/>
    <w:rsid w:val="00637EAB"/>
    <w:rsid w:val="006401CD"/>
    <w:rsid w:val="006401F3"/>
    <w:rsid w:val="006401FD"/>
    <w:rsid w:val="00640211"/>
    <w:rsid w:val="00640642"/>
    <w:rsid w:val="0064064A"/>
    <w:rsid w:val="00640800"/>
    <w:rsid w:val="00640809"/>
    <w:rsid w:val="0064089D"/>
    <w:rsid w:val="0064091E"/>
    <w:rsid w:val="00640951"/>
    <w:rsid w:val="00640AA4"/>
    <w:rsid w:val="00640E03"/>
    <w:rsid w:val="00640F27"/>
    <w:rsid w:val="00640FBE"/>
    <w:rsid w:val="00640FE6"/>
    <w:rsid w:val="00641398"/>
    <w:rsid w:val="006413A5"/>
    <w:rsid w:val="006417BF"/>
    <w:rsid w:val="00641C82"/>
    <w:rsid w:val="006420A8"/>
    <w:rsid w:val="00642179"/>
    <w:rsid w:val="006421B1"/>
    <w:rsid w:val="00642202"/>
    <w:rsid w:val="0064221C"/>
    <w:rsid w:val="006422C4"/>
    <w:rsid w:val="00642306"/>
    <w:rsid w:val="00642346"/>
    <w:rsid w:val="00642AE4"/>
    <w:rsid w:val="00642D22"/>
    <w:rsid w:val="00643085"/>
    <w:rsid w:val="006430EE"/>
    <w:rsid w:val="00643288"/>
    <w:rsid w:val="006432F6"/>
    <w:rsid w:val="00643695"/>
    <w:rsid w:val="006436AA"/>
    <w:rsid w:val="00643890"/>
    <w:rsid w:val="00643977"/>
    <w:rsid w:val="006439F4"/>
    <w:rsid w:val="00643A8D"/>
    <w:rsid w:val="00643AC3"/>
    <w:rsid w:val="00643BD9"/>
    <w:rsid w:val="00643D9A"/>
    <w:rsid w:val="00644022"/>
    <w:rsid w:val="00644142"/>
    <w:rsid w:val="006441E6"/>
    <w:rsid w:val="006441EE"/>
    <w:rsid w:val="006446A2"/>
    <w:rsid w:val="0064472C"/>
    <w:rsid w:val="006447DC"/>
    <w:rsid w:val="00644866"/>
    <w:rsid w:val="00644A89"/>
    <w:rsid w:val="00644B53"/>
    <w:rsid w:val="00644C44"/>
    <w:rsid w:val="00644F7C"/>
    <w:rsid w:val="0064510E"/>
    <w:rsid w:val="0064517D"/>
    <w:rsid w:val="00645241"/>
    <w:rsid w:val="0064542F"/>
    <w:rsid w:val="006455E7"/>
    <w:rsid w:val="006455F0"/>
    <w:rsid w:val="00645601"/>
    <w:rsid w:val="00645672"/>
    <w:rsid w:val="00645719"/>
    <w:rsid w:val="006459B9"/>
    <w:rsid w:val="006459FF"/>
    <w:rsid w:val="00645C6F"/>
    <w:rsid w:val="00645D26"/>
    <w:rsid w:val="00645D96"/>
    <w:rsid w:val="00645DF3"/>
    <w:rsid w:val="00645E6F"/>
    <w:rsid w:val="0064605F"/>
    <w:rsid w:val="0064609D"/>
    <w:rsid w:val="00646264"/>
    <w:rsid w:val="006462CA"/>
    <w:rsid w:val="00646335"/>
    <w:rsid w:val="00646570"/>
    <w:rsid w:val="00646642"/>
    <w:rsid w:val="00646729"/>
    <w:rsid w:val="0064691E"/>
    <w:rsid w:val="0064693F"/>
    <w:rsid w:val="006469EB"/>
    <w:rsid w:val="00646A20"/>
    <w:rsid w:val="00646EB0"/>
    <w:rsid w:val="0064701C"/>
    <w:rsid w:val="00647070"/>
    <w:rsid w:val="00647110"/>
    <w:rsid w:val="0064733C"/>
    <w:rsid w:val="006473A6"/>
    <w:rsid w:val="0064755D"/>
    <w:rsid w:val="00647575"/>
    <w:rsid w:val="0064769C"/>
    <w:rsid w:val="00647703"/>
    <w:rsid w:val="006477A1"/>
    <w:rsid w:val="006477FA"/>
    <w:rsid w:val="00647898"/>
    <w:rsid w:val="0064789A"/>
    <w:rsid w:val="006478A3"/>
    <w:rsid w:val="00647D6E"/>
    <w:rsid w:val="00647DDB"/>
    <w:rsid w:val="0065010B"/>
    <w:rsid w:val="0065013F"/>
    <w:rsid w:val="00650273"/>
    <w:rsid w:val="006503FA"/>
    <w:rsid w:val="00650430"/>
    <w:rsid w:val="0065045D"/>
    <w:rsid w:val="006506BE"/>
    <w:rsid w:val="006506C4"/>
    <w:rsid w:val="0065074D"/>
    <w:rsid w:val="00650821"/>
    <w:rsid w:val="00650C37"/>
    <w:rsid w:val="00650F7B"/>
    <w:rsid w:val="00651080"/>
    <w:rsid w:val="006510E4"/>
    <w:rsid w:val="0065114F"/>
    <w:rsid w:val="0065117E"/>
    <w:rsid w:val="00651189"/>
    <w:rsid w:val="006511BE"/>
    <w:rsid w:val="00651451"/>
    <w:rsid w:val="0065145C"/>
    <w:rsid w:val="006514E2"/>
    <w:rsid w:val="006515EE"/>
    <w:rsid w:val="006517B1"/>
    <w:rsid w:val="00651B9A"/>
    <w:rsid w:val="00651BE4"/>
    <w:rsid w:val="00651C05"/>
    <w:rsid w:val="00651C20"/>
    <w:rsid w:val="00651C42"/>
    <w:rsid w:val="00651CC2"/>
    <w:rsid w:val="00651D11"/>
    <w:rsid w:val="00651D6A"/>
    <w:rsid w:val="00651E63"/>
    <w:rsid w:val="006520EC"/>
    <w:rsid w:val="00652129"/>
    <w:rsid w:val="006522C8"/>
    <w:rsid w:val="0065236E"/>
    <w:rsid w:val="006524D8"/>
    <w:rsid w:val="0065254B"/>
    <w:rsid w:val="00652597"/>
    <w:rsid w:val="006525C3"/>
    <w:rsid w:val="00652794"/>
    <w:rsid w:val="00652AB0"/>
    <w:rsid w:val="00652BFB"/>
    <w:rsid w:val="00652C65"/>
    <w:rsid w:val="00652D46"/>
    <w:rsid w:val="00652D5A"/>
    <w:rsid w:val="00652DD4"/>
    <w:rsid w:val="00652F67"/>
    <w:rsid w:val="006531BA"/>
    <w:rsid w:val="00653216"/>
    <w:rsid w:val="006532F8"/>
    <w:rsid w:val="0065358B"/>
    <w:rsid w:val="006538BB"/>
    <w:rsid w:val="00653916"/>
    <w:rsid w:val="00653B5E"/>
    <w:rsid w:val="00653C0F"/>
    <w:rsid w:val="00653C40"/>
    <w:rsid w:val="00653C62"/>
    <w:rsid w:val="00653E32"/>
    <w:rsid w:val="006540B8"/>
    <w:rsid w:val="006540CD"/>
    <w:rsid w:val="006542B2"/>
    <w:rsid w:val="0065438C"/>
    <w:rsid w:val="006543E8"/>
    <w:rsid w:val="00654585"/>
    <w:rsid w:val="006546AF"/>
    <w:rsid w:val="0065474C"/>
    <w:rsid w:val="006547B0"/>
    <w:rsid w:val="006547EB"/>
    <w:rsid w:val="00654891"/>
    <w:rsid w:val="00654898"/>
    <w:rsid w:val="0065489D"/>
    <w:rsid w:val="006548E0"/>
    <w:rsid w:val="00654C21"/>
    <w:rsid w:val="00654C49"/>
    <w:rsid w:val="00654CDF"/>
    <w:rsid w:val="00654DA5"/>
    <w:rsid w:val="00654F60"/>
    <w:rsid w:val="0065503E"/>
    <w:rsid w:val="00655055"/>
    <w:rsid w:val="00655340"/>
    <w:rsid w:val="00655386"/>
    <w:rsid w:val="00655396"/>
    <w:rsid w:val="00655500"/>
    <w:rsid w:val="00655BE1"/>
    <w:rsid w:val="00655D17"/>
    <w:rsid w:val="00655D2C"/>
    <w:rsid w:val="00655D4A"/>
    <w:rsid w:val="00655D99"/>
    <w:rsid w:val="00655FAB"/>
    <w:rsid w:val="00656101"/>
    <w:rsid w:val="0065610C"/>
    <w:rsid w:val="0065611E"/>
    <w:rsid w:val="0065655E"/>
    <w:rsid w:val="00656591"/>
    <w:rsid w:val="006566D1"/>
    <w:rsid w:val="006569D4"/>
    <w:rsid w:val="00656AF1"/>
    <w:rsid w:val="00656B7A"/>
    <w:rsid w:val="00656F24"/>
    <w:rsid w:val="006570B7"/>
    <w:rsid w:val="00657154"/>
    <w:rsid w:val="00657176"/>
    <w:rsid w:val="00657242"/>
    <w:rsid w:val="006572F4"/>
    <w:rsid w:val="00657A1E"/>
    <w:rsid w:val="00657A61"/>
    <w:rsid w:val="00657BC3"/>
    <w:rsid w:val="00657C23"/>
    <w:rsid w:val="00657D70"/>
    <w:rsid w:val="00657E43"/>
    <w:rsid w:val="00657E65"/>
    <w:rsid w:val="00660188"/>
    <w:rsid w:val="00660452"/>
    <w:rsid w:val="00660690"/>
    <w:rsid w:val="006607DF"/>
    <w:rsid w:val="006607E8"/>
    <w:rsid w:val="00660865"/>
    <w:rsid w:val="00660922"/>
    <w:rsid w:val="00660973"/>
    <w:rsid w:val="006609D3"/>
    <w:rsid w:val="00660A0D"/>
    <w:rsid w:val="00660ABC"/>
    <w:rsid w:val="00660E8F"/>
    <w:rsid w:val="00661496"/>
    <w:rsid w:val="006615C1"/>
    <w:rsid w:val="0066165C"/>
    <w:rsid w:val="0066167A"/>
    <w:rsid w:val="00661835"/>
    <w:rsid w:val="0066190C"/>
    <w:rsid w:val="0066198C"/>
    <w:rsid w:val="00661A76"/>
    <w:rsid w:val="00661AD2"/>
    <w:rsid w:val="00661D57"/>
    <w:rsid w:val="00661D61"/>
    <w:rsid w:val="00661E93"/>
    <w:rsid w:val="0066217D"/>
    <w:rsid w:val="006625D5"/>
    <w:rsid w:val="00662A19"/>
    <w:rsid w:val="00662E7C"/>
    <w:rsid w:val="00662FBC"/>
    <w:rsid w:val="00663053"/>
    <w:rsid w:val="00663065"/>
    <w:rsid w:val="00663207"/>
    <w:rsid w:val="006633AA"/>
    <w:rsid w:val="006634F9"/>
    <w:rsid w:val="00663A84"/>
    <w:rsid w:val="00663E45"/>
    <w:rsid w:val="00663F6D"/>
    <w:rsid w:val="00664014"/>
    <w:rsid w:val="00664021"/>
    <w:rsid w:val="0066408C"/>
    <w:rsid w:val="006641B2"/>
    <w:rsid w:val="006642D3"/>
    <w:rsid w:val="0066430F"/>
    <w:rsid w:val="0066435F"/>
    <w:rsid w:val="0066439F"/>
    <w:rsid w:val="006644F3"/>
    <w:rsid w:val="00664949"/>
    <w:rsid w:val="006649FB"/>
    <w:rsid w:val="00664BA0"/>
    <w:rsid w:val="00664E6D"/>
    <w:rsid w:val="006650D9"/>
    <w:rsid w:val="006652EB"/>
    <w:rsid w:val="0066530A"/>
    <w:rsid w:val="0066542E"/>
    <w:rsid w:val="0066546C"/>
    <w:rsid w:val="006654D3"/>
    <w:rsid w:val="0066551E"/>
    <w:rsid w:val="00665523"/>
    <w:rsid w:val="00665885"/>
    <w:rsid w:val="00665DC4"/>
    <w:rsid w:val="00665DDF"/>
    <w:rsid w:val="00665E7F"/>
    <w:rsid w:val="00665FCC"/>
    <w:rsid w:val="006661E7"/>
    <w:rsid w:val="00666319"/>
    <w:rsid w:val="006663A2"/>
    <w:rsid w:val="006665F2"/>
    <w:rsid w:val="006667C4"/>
    <w:rsid w:val="0066686A"/>
    <w:rsid w:val="006668C7"/>
    <w:rsid w:val="006669C8"/>
    <w:rsid w:val="00666A24"/>
    <w:rsid w:val="00666A29"/>
    <w:rsid w:val="00666A39"/>
    <w:rsid w:val="00666B2B"/>
    <w:rsid w:val="00666CAC"/>
    <w:rsid w:val="00666CD8"/>
    <w:rsid w:val="006670A6"/>
    <w:rsid w:val="00667256"/>
    <w:rsid w:val="0066732C"/>
    <w:rsid w:val="006673AA"/>
    <w:rsid w:val="00667497"/>
    <w:rsid w:val="00667763"/>
    <w:rsid w:val="0066779E"/>
    <w:rsid w:val="00667B68"/>
    <w:rsid w:val="00667CF3"/>
    <w:rsid w:val="00667DB1"/>
    <w:rsid w:val="00667FCA"/>
    <w:rsid w:val="006700A5"/>
    <w:rsid w:val="006700A9"/>
    <w:rsid w:val="00670534"/>
    <w:rsid w:val="0067080C"/>
    <w:rsid w:val="00670AE8"/>
    <w:rsid w:val="00670D6B"/>
    <w:rsid w:val="00671009"/>
    <w:rsid w:val="00671086"/>
    <w:rsid w:val="006710A3"/>
    <w:rsid w:val="006715B9"/>
    <w:rsid w:val="0067170F"/>
    <w:rsid w:val="0067172B"/>
    <w:rsid w:val="0067175A"/>
    <w:rsid w:val="006718E9"/>
    <w:rsid w:val="006718EC"/>
    <w:rsid w:val="00671A06"/>
    <w:rsid w:val="00671A17"/>
    <w:rsid w:val="00671A69"/>
    <w:rsid w:val="00671BD2"/>
    <w:rsid w:val="00671BFB"/>
    <w:rsid w:val="00671C50"/>
    <w:rsid w:val="00671CDE"/>
    <w:rsid w:val="00671D6B"/>
    <w:rsid w:val="00672072"/>
    <w:rsid w:val="00672586"/>
    <w:rsid w:val="00672670"/>
    <w:rsid w:val="00672838"/>
    <w:rsid w:val="0067297E"/>
    <w:rsid w:val="00672A8F"/>
    <w:rsid w:val="00672A99"/>
    <w:rsid w:val="00672C0F"/>
    <w:rsid w:val="00672C39"/>
    <w:rsid w:val="00672DD1"/>
    <w:rsid w:val="00672EA2"/>
    <w:rsid w:val="00672EB3"/>
    <w:rsid w:val="00672FB5"/>
    <w:rsid w:val="00672FD7"/>
    <w:rsid w:val="0067306C"/>
    <w:rsid w:val="006730CA"/>
    <w:rsid w:val="006730DA"/>
    <w:rsid w:val="00673296"/>
    <w:rsid w:val="00673487"/>
    <w:rsid w:val="006734F5"/>
    <w:rsid w:val="006735BD"/>
    <w:rsid w:val="006737C6"/>
    <w:rsid w:val="00673806"/>
    <w:rsid w:val="006738D2"/>
    <w:rsid w:val="0067394B"/>
    <w:rsid w:val="006739ED"/>
    <w:rsid w:val="00673ACF"/>
    <w:rsid w:val="00673CE7"/>
    <w:rsid w:val="00673E4A"/>
    <w:rsid w:val="00673EBD"/>
    <w:rsid w:val="0067405A"/>
    <w:rsid w:val="0067410A"/>
    <w:rsid w:val="006741D1"/>
    <w:rsid w:val="006743F2"/>
    <w:rsid w:val="00674516"/>
    <w:rsid w:val="00674950"/>
    <w:rsid w:val="00674CDE"/>
    <w:rsid w:val="00674D0E"/>
    <w:rsid w:val="00674DFB"/>
    <w:rsid w:val="006750DC"/>
    <w:rsid w:val="006753BF"/>
    <w:rsid w:val="0067556F"/>
    <w:rsid w:val="00675578"/>
    <w:rsid w:val="0067562E"/>
    <w:rsid w:val="006756DC"/>
    <w:rsid w:val="006757E1"/>
    <w:rsid w:val="00675A26"/>
    <w:rsid w:val="00675BCE"/>
    <w:rsid w:val="00675D37"/>
    <w:rsid w:val="00675DED"/>
    <w:rsid w:val="00675F21"/>
    <w:rsid w:val="00675F82"/>
    <w:rsid w:val="00675FBD"/>
    <w:rsid w:val="0067600C"/>
    <w:rsid w:val="00676251"/>
    <w:rsid w:val="00676733"/>
    <w:rsid w:val="00676963"/>
    <w:rsid w:val="00676ADE"/>
    <w:rsid w:val="00676B60"/>
    <w:rsid w:val="00676D82"/>
    <w:rsid w:val="00677007"/>
    <w:rsid w:val="0067704C"/>
    <w:rsid w:val="00677250"/>
    <w:rsid w:val="00677264"/>
    <w:rsid w:val="00677269"/>
    <w:rsid w:val="006772D3"/>
    <w:rsid w:val="0067735F"/>
    <w:rsid w:val="00677472"/>
    <w:rsid w:val="006776ED"/>
    <w:rsid w:val="00677722"/>
    <w:rsid w:val="006777B1"/>
    <w:rsid w:val="00677823"/>
    <w:rsid w:val="00677919"/>
    <w:rsid w:val="00677AF7"/>
    <w:rsid w:val="00677C9B"/>
    <w:rsid w:val="00677E0C"/>
    <w:rsid w:val="00677EA5"/>
    <w:rsid w:val="00677EFD"/>
    <w:rsid w:val="00677FE3"/>
    <w:rsid w:val="00680225"/>
    <w:rsid w:val="00680282"/>
    <w:rsid w:val="006804AE"/>
    <w:rsid w:val="006806E1"/>
    <w:rsid w:val="0068077C"/>
    <w:rsid w:val="006808F5"/>
    <w:rsid w:val="0068095B"/>
    <w:rsid w:val="006809FE"/>
    <w:rsid w:val="00680A3A"/>
    <w:rsid w:val="00680A44"/>
    <w:rsid w:val="00680B3F"/>
    <w:rsid w:val="00680D0B"/>
    <w:rsid w:val="00680D6D"/>
    <w:rsid w:val="00680E1C"/>
    <w:rsid w:val="00680F45"/>
    <w:rsid w:val="006810CC"/>
    <w:rsid w:val="006813A8"/>
    <w:rsid w:val="006815ED"/>
    <w:rsid w:val="006817A8"/>
    <w:rsid w:val="0068182B"/>
    <w:rsid w:val="0068183E"/>
    <w:rsid w:val="00681965"/>
    <w:rsid w:val="00681A83"/>
    <w:rsid w:val="00681BB5"/>
    <w:rsid w:val="00681BD0"/>
    <w:rsid w:val="00681C40"/>
    <w:rsid w:val="00681D33"/>
    <w:rsid w:val="00682104"/>
    <w:rsid w:val="0068211E"/>
    <w:rsid w:val="006821BD"/>
    <w:rsid w:val="00682201"/>
    <w:rsid w:val="00682670"/>
    <w:rsid w:val="00682697"/>
    <w:rsid w:val="00682797"/>
    <w:rsid w:val="00682833"/>
    <w:rsid w:val="00682A1F"/>
    <w:rsid w:val="00682CEA"/>
    <w:rsid w:val="00682CFD"/>
    <w:rsid w:val="0068308A"/>
    <w:rsid w:val="00683288"/>
    <w:rsid w:val="0068332B"/>
    <w:rsid w:val="00683339"/>
    <w:rsid w:val="006837B9"/>
    <w:rsid w:val="00683A3E"/>
    <w:rsid w:val="00683A67"/>
    <w:rsid w:val="00683AC9"/>
    <w:rsid w:val="00683B10"/>
    <w:rsid w:val="006842A9"/>
    <w:rsid w:val="00684549"/>
    <w:rsid w:val="00684906"/>
    <w:rsid w:val="00684925"/>
    <w:rsid w:val="006849FA"/>
    <w:rsid w:val="00684BF7"/>
    <w:rsid w:val="00684CA9"/>
    <w:rsid w:val="00684D82"/>
    <w:rsid w:val="00684FF1"/>
    <w:rsid w:val="0068509B"/>
    <w:rsid w:val="006850B1"/>
    <w:rsid w:val="00685217"/>
    <w:rsid w:val="0068522B"/>
    <w:rsid w:val="00685430"/>
    <w:rsid w:val="0068566D"/>
    <w:rsid w:val="0068599D"/>
    <w:rsid w:val="00685A34"/>
    <w:rsid w:val="00685AF5"/>
    <w:rsid w:val="00686079"/>
    <w:rsid w:val="00686141"/>
    <w:rsid w:val="006861C5"/>
    <w:rsid w:val="0068623F"/>
    <w:rsid w:val="0068630E"/>
    <w:rsid w:val="00686339"/>
    <w:rsid w:val="006863D1"/>
    <w:rsid w:val="006867A2"/>
    <w:rsid w:val="00686980"/>
    <w:rsid w:val="00686AE0"/>
    <w:rsid w:val="00686C7D"/>
    <w:rsid w:val="00686E5A"/>
    <w:rsid w:val="00686F83"/>
    <w:rsid w:val="006870F2"/>
    <w:rsid w:val="00687684"/>
    <w:rsid w:val="00687846"/>
    <w:rsid w:val="00687958"/>
    <w:rsid w:val="00687963"/>
    <w:rsid w:val="00687CAD"/>
    <w:rsid w:val="00687E1A"/>
    <w:rsid w:val="00687E2C"/>
    <w:rsid w:val="00687E7D"/>
    <w:rsid w:val="00687FB7"/>
    <w:rsid w:val="00690341"/>
    <w:rsid w:val="006904B5"/>
    <w:rsid w:val="0069050C"/>
    <w:rsid w:val="00690779"/>
    <w:rsid w:val="00690C81"/>
    <w:rsid w:val="00690C8E"/>
    <w:rsid w:val="0069139E"/>
    <w:rsid w:val="006914B7"/>
    <w:rsid w:val="006914F9"/>
    <w:rsid w:val="00691525"/>
    <w:rsid w:val="0069159E"/>
    <w:rsid w:val="006915A3"/>
    <w:rsid w:val="006917DE"/>
    <w:rsid w:val="006919A4"/>
    <w:rsid w:val="006919B0"/>
    <w:rsid w:val="00691A2D"/>
    <w:rsid w:val="00691A66"/>
    <w:rsid w:val="00691C0C"/>
    <w:rsid w:val="00691D9F"/>
    <w:rsid w:val="00691E5C"/>
    <w:rsid w:val="00691EE3"/>
    <w:rsid w:val="0069214B"/>
    <w:rsid w:val="0069214D"/>
    <w:rsid w:val="006921C1"/>
    <w:rsid w:val="00692312"/>
    <w:rsid w:val="006923AC"/>
    <w:rsid w:val="0069252B"/>
    <w:rsid w:val="0069263D"/>
    <w:rsid w:val="0069276E"/>
    <w:rsid w:val="00692794"/>
    <w:rsid w:val="00692A2A"/>
    <w:rsid w:val="00692A5E"/>
    <w:rsid w:val="00692C38"/>
    <w:rsid w:val="00692D23"/>
    <w:rsid w:val="00692E64"/>
    <w:rsid w:val="00692F4D"/>
    <w:rsid w:val="00692F8A"/>
    <w:rsid w:val="00692F8E"/>
    <w:rsid w:val="00692FDE"/>
    <w:rsid w:val="00693241"/>
    <w:rsid w:val="006934E0"/>
    <w:rsid w:val="00693641"/>
    <w:rsid w:val="00693696"/>
    <w:rsid w:val="00693700"/>
    <w:rsid w:val="00693759"/>
    <w:rsid w:val="006937F2"/>
    <w:rsid w:val="00693803"/>
    <w:rsid w:val="0069387C"/>
    <w:rsid w:val="00693D12"/>
    <w:rsid w:val="00693DA6"/>
    <w:rsid w:val="00693DC9"/>
    <w:rsid w:val="00693E1C"/>
    <w:rsid w:val="00693E25"/>
    <w:rsid w:val="00693EC0"/>
    <w:rsid w:val="006942A7"/>
    <w:rsid w:val="006945B8"/>
    <w:rsid w:val="006945F1"/>
    <w:rsid w:val="0069496D"/>
    <w:rsid w:val="00694970"/>
    <w:rsid w:val="00694B56"/>
    <w:rsid w:val="00694B83"/>
    <w:rsid w:val="00694F62"/>
    <w:rsid w:val="0069536C"/>
    <w:rsid w:val="006954AB"/>
    <w:rsid w:val="0069556E"/>
    <w:rsid w:val="006956BD"/>
    <w:rsid w:val="0069598E"/>
    <w:rsid w:val="006959B1"/>
    <w:rsid w:val="00695D74"/>
    <w:rsid w:val="00695E19"/>
    <w:rsid w:val="00695E93"/>
    <w:rsid w:val="00695ECC"/>
    <w:rsid w:val="00695F75"/>
    <w:rsid w:val="0069603F"/>
    <w:rsid w:val="00696284"/>
    <w:rsid w:val="006963C0"/>
    <w:rsid w:val="006963C1"/>
    <w:rsid w:val="006964DC"/>
    <w:rsid w:val="00696718"/>
    <w:rsid w:val="00696829"/>
    <w:rsid w:val="00696A74"/>
    <w:rsid w:val="00696AC5"/>
    <w:rsid w:val="00696C0A"/>
    <w:rsid w:val="00696D76"/>
    <w:rsid w:val="00696ED6"/>
    <w:rsid w:val="00696EEF"/>
    <w:rsid w:val="0069706F"/>
    <w:rsid w:val="00697190"/>
    <w:rsid w:val="00697340"/>
    <w:rsid w:val="006974A8"/>
    <w:rsid w:val="006974C4"/>
    <w:rsid w:val="00697537"/>
    <w:rsid w:val="00697686"/>
    <w:rsid w:val="006978BB"/>
    <w:rsid w:val="0069791A"/>
    <w:rsid w:val="00697AA2"/>
    <w:rsid w:val="00697AAD"/>
    <w:rsid w:val="00697CF1"/>
    <w:rsid w:val="006A0124"/>
    <w:rsid w:val="006A0197"/>
    <w:rsid w:val="006A0250"/>
    <w:rsid w:val="006A0559"/>
    <w:rsid w:val="006A0959"/>
    <w:rsid w:val="006A0999"/>
    <w:rsid w:val="006A0CFD"/>
    <w:rsid w:val="006A0D11"/>
    <w:rsid w:val="006A0E03"/>
    <w:rsid w:val="006A0FD9"/>
    <w:rsid w:val="006A0FEC"/>
    <w:rsid w:val="006A105F"/>
    <w:rsid w:val="006A1164"/>
    <w:rsid w:val="006A11FE"/>
    <w:rsid w:val="006A12AF"/>
    <w:rsid w:val="006A157E"/>
    <w:rsid w:val="006A164C"/>
    <w:rsid w:val="006A1738"/>
    <w:rsid w:val="006A1DA5"/>
    <w:rsid w:val="006A1F76"/>
    <w:rsid w:val="006A20D1"/>
    <w:rsid w:val="006A2144"/>
    <w:rsid w:val="006A218A"/>
    <w:rsid w:val="006A2223"/>
    <w:rsid w:val="006A22A2"/>
    <w:rsid w:val="006A2372"/>
    <w:rsid w:val="006A2382"/>
    <w:rsid w:val="006A2575"/>
    <w:rsid w:val="006A272F"/>
    <w:rsid w:val="006A2746"/>
    <w:rsid w:val="006A2877"/>
    <w:rsid w:val="006A2893"/>
    <w:rsid w:val="006A2A91"/>
    <w:rsid w:val="006A2ADF"/>
    <w:rsid w:val="006A2D1B"/>
    <w:rsid w:val="006A2D43"/>
    <w:rsid w:val="006A2D85"/>
    <w:rsid w:val="006A2DB1"/>
    <w:rsid w:val="006A2E7A"/>
    <w:rsid w:val="006A2F64"/>
    <w:rsid w:val="006A301B"/>
    <w:rsid w:val="006A304E"/>
    <w:rsid w:val="006A317A"/>
    <w:rsid w:val="006A320A"/>
    <w:rsid w:val="006A33F0"/>
    <w:rsid w:val="006A355D"/>
    <w:rsid w:val="006A3717"/>
    <w:rsid w:val="006A3841"/>
    <w:rsid w:val="006A3988"/>
    <w:rsid w:val="006A3A25"/>
    <w:rsid w:val="006A3D0B"/>
    <w:rsid w:val="006A4036"/>
    <w:rsid w:val="006A41FE"/>
    <w:rsid w:val="006A4566"/>
    <w:rsid w:val="006A4674"/>
    <w:rsid w:val="006A4719"/>
    <w:rsid w:val="006A4893"/>
    <w:rsid w:val="006A4E47"/>
    <w:rsid w:val="006A4F1C"/>
    <w:rsid w:val="006A4FA9"/>
    <w:rsid w:val="006A5075"/>
    <w:rsid w:val="006A5180"/>
    <w:rsid w:val="006A534D"/>
    <w:rsid w:val="006A5373"/>
    <w:rsid w:val="006A537D"/>
    <w:rsid w:val="006A5487"/>
    <w:rsid w:val="006A5599"/>
    <w:rsid w:val="006A56DE"/>
    <w:rsid w:val="006A5741"/>
    <w:rsid w:val="006A5792"/>
    <w:rsid w:val="006A581F"/>
    <w:rsid w:val="006A5830"/>
    <w:rsid w:val="006A588F"/>
    <w:rsid w:val="006A59EA"/>
    <w:rsid w:val="006A5B1F"/>
    <w:rsid w:val="006A5E55"/>
    <w:rsid w:val="006A601B"/>
    <w:rsid w:val="006A6033"/>
    <w:rsid w:val="006A6112"/>
    <w:rsid w:val="006A6180"/>
    <w:rsid w:val="006A6201"/>
    <w:rsid w:val="006A638C"/>
    <w:rsid w:val="006A66AE"/>
    <w:rsid w:val="006A6707"/>
    <w:rsid w:val="006A689B"/>
    <w:rsid w:val="006A691F"/>
    <w:rsid w:val="006A6966"/>
    <w:rsid w:val="006A6D03"/>
    <w:rsid w:val="006A6D6C"/>
    <w:rsid w:val="006A6DB0"/>
    <w:rsid w:val="006A6E67"/>
    <w:rsid w:val="006A6E93"/>
    <w:rsid w:val="006A6FBE"/>
    <w:rsid w:val="006A7306"/>
    <w:rsid w:val="006A7436"/>
    <w:rsid w:val="006A74AF"/>
    <w:rsid w:val="006A7555"/>
    <w:rsid w:val="006A79C6"/>
    <w:rsid w:val="006A7A7B"/>
    <w:rsid w:val="006A7A8E"/>
    <w:rsid w:val="006A7E93"/>
    <w:rsid w:val="006A7F82"/>
    <w:rsid w:val="006A7FFB"/>
    <w:rsid w:val="006B0041"/>
    <w:rsid w:val="006B0695"/>
    <w:rsid w:val="006B06C1"/>
    <w:rsid w:val="006B07DA"/>
    <w:rsid w:val="006B0993"/>
    <w:rsid w:val="006B0A8C"/>
    <w:rsid w:val="006B0CA8"/>
    <w:rsid w:val="006B0CB9"/>
    <w:rsid w:val="006B0DDB"/>
    <w:rsid w:val="006B0EB0"/>
    <w:rsid w:val="006B11E9"/>
    <w:rsid w:val="006B1211"/>
    <w:rsid w:val="006B1297"/>
    <w:rsid w:val="006B1591"/>
    <w:rsid w:val="006B15CE"/>
    <w:rsid w:val="006B17EB"/>
    <w:rsid w:val="006B18BA"/>
    <w:rsid w:val="006B1A64"/>
    <w:rsid w:val="006B1AA8"/>
    <w:rsid w:val="006B1B65"/>
    <w:rsid w:val="006B1CC1"/>
    <w:rsid w:val="006B1D1D"/>
    <w:rsid w:val="006B1D80"/>
    <w:rsid w:val="006B1DE1"/>
    <w:rsid w:val="006B1F6B"/>
    <w:rsid w:val="006B2051"/>
    <w:rsid w:val="006B2191"/>
    <w:rsid w:val="006B21DC"/>
    <w:rsid w:val="006B23F9"/>
    <w:rsid w:val="006B244E"/>
    <w:rsid w:val="006B24ED"/>
    <w:rsid w:val="006B25E4"/>
    <w:rsid w:val="006B2663"/>
    <w:rsid w:val="006B26D8"/>
    <w:rsid w:val="006B2725"/>
    <w:rsid w:val="006B27FD"/>
    <w:rsid w:val="006B2835"/>
    <w:rsid w:val="006B2A76"/>
    <w:rsid w:val="006B2B15"/>
    <w:rsid w:val="006B2B17"/>
    <w:rsid w:val="006B2BF6"/>
    <w:rsid w:val="006B2C01"/>
    <w:rsid w:val="006B3079"/>
    <w:rsid w:val="006B30A0"/>
    <w:rsid w:val="006B3124"/>
    <w:rsid w:val="006B32BC"/>
    <w:rsid w:val="006B3629"/>
    <w:rsid w:val="006B367D"/>
    <w:rsid w:val="006B3A11"/>
    <w:rsid w:val="006B3C00"/>
    <w:rsid w:val="006B3D24"/>
    <w:rsid w:val="006B3D89"/>
    <w:rsid w:val="006B3E9F"/>
    <w:rsid w:val="006B40A7"/>
    <w:rsid w:val="006B4133"/>
    <w:rsid w:val="006B42ED"/>
    <w:rsid w:val="006B42F6"/>
    <w:rsid w:val="006B445D"/>
    <w:rsid w:val="006B446C"/>
    <w:rsid w:val="006B4495"/>
    <w:rsid w:val="006B45B3"/>
    <w:rsid w:val="006B46A5"/>
    <w:rsid w:val="006B4BCC"/>
    <w:rsid w:val="006B4D9D"/>
    <w:rsid w:val="006B4DF5"/>
    <w:rsid w:val="006B4E99"/>
    <w:rsid w:val="006B4F4D"/>
    <w:rsid w:val="006B4F8D"/>
    <w:rsid w:val="006B505E"/>
    <w:rsid w:val="006B510A"/>
    <w:rsid w:val="006B527B"/>
    <w:rsid w:val="006B53A3"/>
    <w:rsid w:val="006B5411"/>
    <w:rsid w:val="006B54CD"/>
    <w:rsid w:val="006B56BB"/>
    <w:rsid w:val="006B5798"/>
    <w:rsid w:val="006B5822"/>
    <w:rsid w:val="006B587F"/>
    <w:rsid w:val="006B5900"/>
    <w:rsid w:val="006B59CF"/>
    <w:rsid w:val="006B5C41"/>
    <w:rsid w:val="006B5D89"/>
    <w:rsid w:val="006B5E59"/>
    <w:rsid w:val="006B60D8"/>
    <w:rsid w:val="006B62A3"/>
    <w:rsid w:val="006B63F1"/>
    <w:rsid w:val="006B6449"/>
    <w:rsid w:val="006B647F"/>
    <w:rsid w:val="006B6602"/>
    <w:rsid w:val="006B67DD"/>
    <w:rsid w:val="006B6D5C"/>
    <w:rsid w:val="006B6DBF"/>
    <w:rsid w:val="006B73CF"/>
    <w:rsid w:val="006B7496"/>
    <w:rsid w:val="006B7639"/>
    <w:rsid w:val="006B76CA"/>
    <w:rsid w:val="006B77D9"/>
    <w:rsid w:val="006B79E6"/>
    <w:rsid w:val="006B7BB4"/>
    <w:rsid w:val="006B7C4D"/>
    <w:rsid w:val="006B7CCA"/>
    <w:rsid w:val="006B7CE4"/>
    <w:rsid w:val="006B7D1E"/>
    <w:rsid w:val="006B7D31"/>
    <w:rsid w:val="006B7D6B"/>
    <w:rsid w:val="006B7FF8"/>
    <w:rsid w:val="006C00B9"/>
    <w:rsid w:val="006C026A"/>
    <w:rsid w:val="006C02A6"/>
    <w:rsid w:val="006C0380"/>
    <w:rsid w:val="006C03D3"/>
    <w:rsid w:val="006C04C9"/>
    <w:rsid w:val="006C051F"/>
    <w:rsid w:val="006C054B"/>
    <w:rsid w:val="006C0678"/>
    <w:rsid w:val="006C0D60"/>
    <w:rsid w:val="006C0F6C"/>
    <w:rsid w:val="006C0F7A"/>
    <w:rsid w:val="006C0FA3"/>
    <w:rsid w:val="006C0FC9"/>
    <w:rsid w:val="006C1024"/>
    <w:rsid w:val="006C1058"/>
    <w:rsid w:val="006C10C8"/>
    <w:rsid w:val="006C10CD"/>
    <w:rsid w:val="006C1166"/>
    <w:rsid w:val="006C145A"/>
    <w:rsid w:val="006C15BB"/>
    <w:rsid w:val="006C15DF"/>
    <w:rsid w:val="006C1787"/>
    <w:rsid w:val="006C1A32"/>
    <w:rsid w:val="006C1AF6"/>
    <w:rsid w:val="006C1B80"/>
    <w:rsid w:val="006C1C40"/>
    <w:rsid w:val="006C1E82"/>
    <w:rsid w:val="006C1F7D"/>
    <w:rsid w:val="006C255C"/>
    <w:rsid w:val="006C25F9"/>
    <w:rsid w:val="006C2670"/>
    <w:rsid w:val="006C27D0"/>
    <w:rsid w:val="006C29E8"/>
    <w:rsid w:val="006C2B34"/>
    <w:rsid w:val="006C2BD3"/>
    <w:rsid w:val="006C2BDA"/>
    <w:rsid w:val="006C2CEF"/>
    <w:rsid w:val="006C2D0C"/>
    <w:rsid w:val="006C2E61"/>
    <w:rsid w:val="006C3050"/>
    <w:rsid w:val="006C3121"/>
    <w:rsid w:val="006C3412"/>
    <w:rsid w:val="006C398F"/>
    <w:rsid w:val="006C3E83"/>
    <w:rsid w:val="006C3EB3"/>
    <w:rsid w:val="006C3ED2"/>
    <w:rsid w:val="006C3F6B"/>
    <w:rsid w:val="006C4000"/>
    <w:rsid w:val="006C431C"/>
    <w:rsid w:val="006C4357"/>
    <w:rsid w:val="006C45EB"/>
    <w:rsid w:val="006C478E"/>
    <w:rsid w:val="006C47C1"/>
    <w:rsid w:val="006C4D8B"/>
    <w:rsid w:val="006C4E28"/>
    <w:rsid w:val="006C4EFB"/>
    <w:rsid w:val="006C4F60"/>
    <w:rsid w:val="006C50D4"/>
    <w:rsid w:val="006C5191"/>
    <w:rsid w:val="006C5235"/>
    <w:rsid w:val="006C52AA"/>
    <w:rsid w:val="006C545D"/>
    <w:rsid w:val="006C5497"/>
    <w:rsid w:val="006C554B"/>
    <w:rsid w:val="006C55E2"/>
    <w:rsid w:val="006C5689"/>
    <w:rsid w:val="006C568E"/>
    <w:rsid w:val="006C56FC"/>
    <w:rsid w:val="006C57A2"/>
    <w:rsid w:val="006C59B7"/>
    <w:rsid w:val="006C5C18"/>
    <w:rsid w:val="006C5CE6"/>
    <w:rsid w:val="006C5D35"/>
    <w:rsid w:val="006C5E28"/>
    <w:rsid w:val="006C5F20"/>
    <w:rsid w:val="006C62B4"/>
    <w:rsid w:val="006C634B"/>
    <w:rsid w:val="006C642D"/>
    <w:rsid w:val="006C64A1"/>
    <w:rsid w:val="006C6553"/>
    <w:rsid w:val="006C662B"/>
    <w:rsid w:val="006C67D9"/>
    <w:rsid w:val="006C68E7"/>
    <w:rsid w:val="006C6932"/>
    <w:rsid w:val="006C69ED"/>
    <w:rsid w:val="006C6F7A"/>
    <w:rsid w:val="006C7172"/>
    <w:rsid w:val="006C7287"/>
    <w:rsid w:val="006C7360"/>
    <w:rsid w:val="006C7418"/>
    <w:rsid w:val="006C7643"/>
    <w:rsid w:val="006C77CB"/>
    <w:rsid w:val="006C7834"/>
    <w:rsid w:val="006C7976"/>
    <w:rsid w:val="006C7A12"/>
    <w:rsid w:val="006C7D7F"/>
    <w:rsid w:val="006C7EC7"/>
    <w:rsid w:val="006D0057"/>
    <w:rsid w:val="006D0293"/>
    <w:rsid w:val="006D029A"/>
    <w:rsid w:val="006D02D9"/>
    <w:rsid w:val="006D04E1"/>
    <w:rsid w:val="006D0668"/>
    <w:rsid w:val="006D08D8"/>
    <w:rsid w:val="006D08E6"/>
    <w:rsid w:val="006D0A8C"/>
    <w:rsid w:val="006D0B36"/>
    <w:rsid w:val="006D0B63"/>
    <w:rsid w:val="006D0B93"/>
    <w:rsid w:val="006D0BDA"/>
    <w:rsid w:val="006D0CE4"/>
    <w:rsid w:val="006D0DB2"/>
    <w:rsid w:val="006D0E60"/>
    <w:rsid w:val="006D0EA9"/>
    <w:rsid w:val="006D127E"/>
    <w:rsid w:val="006D14FE"/>
    <w:rsid w:val="006D1595"/>
    <w:rsid w:val="006D170E"/>
    <w:rsid w:val="006D172A"/>
    <w:rsid w:val="006D19EE"/>
    <w:rsid w:val="006D19F6"/>
    <w:rsid w:val="006D1A6A"/>
    <w:rsid w:val="006D1AE8"/>
    <w:rsid w:val="006D1E17"/>
    <w:rsid w:val="006D1F62"/>
    <w:rsid w:val="006D2260"/>
    <w:rsid w:val="006D228E"/>
    <w:rsid w:val="006D2368"/>
    <w:rsid w:val="006D2370"/>
    <w:rsid w:val="006D2576"/>
    <w:rsid w:val="006D261B"/>
    <w:rsid w:val="006D262C"/>
    <w:rsid w:val="006D273F"/>
    <w:rsid w:val="006D2B00"/>
    <w:rsid w:val="006D2C3F"/>
    <w:rsid w:val="006D2E75"/>
    <w:rsid w:val="006D2F35"/>
    <w:rsid w:val="006D3025"/>
    <w:rsid w:val="006D30A1"/>
    <w:rsid w:val="006D3127"/>
    <w:rsid w:val="006D3517"/>
    <w:rsid w:val="006D367C"/>
    <w:rsid w:val="006D368A"/>
    <w:rsid w:val="006D36F5"/>
    <w:rsid w:val="006D373F"/>
    <w:rsid w:val="006D3923"/>
    <w:rsid w:val="006D39BE"/>
    <w:rsid w:val="006D39FE"/>
    <w:rsid w:val="006D3ACB"/>
    <w:rsid w:val="006D3B13"/>
    <w:rsid w:val="006D3C05"/>
    <w:rsid w:val="006D3CEC"/>
    <w:rsid w:val="006D3D23"/>
    <w:rsid w:val="006D3EA2"/>
    <w:rsid w:val="006D3F55"/>
    <w:rsid w:val="006D40D4"/>
    <w:rsid w:val="006D4119"/>
    <w:rsid w:val="006D42EC"/>
    <w:rsid w:val="006D42EF"/>
    <w:rsid w:val="006D44D7"/>
    <w:rsid w:val="006D460D"/>
    <w:rsid w:val="006D4759"/>
    <w:rsid w:val="006D481E"/>
    <w:rsid w:val="006D4929"/>
    <w:rsid w:val="006D4B49"/>
    <w:rsid w:val="006D4B6C"/>
    <w:rsid w:val="006D4C74"/>
    <w:rsid w:val="006D4C91"/>
    <w:rsid w:val="006D4D58"/>
    <w:rsid w:val="006D50A1"/>
    <w:rsid w:val="006D51A1"/>
    <w:rsid w:val="006D527A"/>
    <w:rsid w:val="006D5376"/>
    <w:rsid w:val="006D53FD"/>
    <w:rsid w:val="006D5724"/>
    <w:rsid w:val="006D576A"/>
    <w:rsid w:val="006D577C"/>
    <w:rsid w:val="006D58F8"/>
    <w:rsid w:val="006D5968"/>
    <w:rsid w:val="006D5AE6"/>
    <w:rsid w:val="006D5C6E"/>
    <w:rsid w:val="006D5D0D"/>
    <w:rsid w:val="006D5EE8"/>
    <w:rsid w:val="006D5F8B"/>
    <w:rsid w:val="006D5FA6"/>
    <w:rsid w:val="006D603F"/>
    <w:rsid w:val="006D60E7"/>
    <w:rsid w:val="006D63F7"/>
    <w:rsid w:val="006D68F3"/>
    <w:rsid w:val="006D6DED"/>
    <w:rsid w:val="006D6F9F"/>
    <w:rsid w:val="006D70D2"/>
    <w:rsid w:val="006D7573"/>
    <w:rsid w:val="006D7A1C"/>
    <w:rsid w:val="006D7A22"/>
    <w:rsid w:val="006D7B51"/>
    <w:rsid w:val="006D7C2C"/>
    <w:rsid w:val="006D7E41"/>
    <w:rsid w:val="006D7E9E"/>
    <w:rsid w:val="006D7F0B"/>
    <w:rsid w:val="006E0401"/>
    <w:rsid w:val="006E041B"/>
    <w:rsid w:val="006E0424"/>
    <w:rsid w:val="006E04A5"/>
    <w:rsid w:val="006E04C4"/>
    <w:rsid w:val="006E06AE"/>
    <w:rsid w:val="006E0790"/>
    <w:rsid w:val="006E0A56"/>
    <w:rsid w:val="006E0A94"/>
    <w:rsid w:val="006E0B44"/>
    <w:rsid w:val="006E0EC9"/>
    <w:rsid w:val="006E0ECD"/>
    <w:rsid w:val="006E0F0B"/>
    <w:rsid w:val="006E10C9"/>
    <w:rsid w:val="006E11A4"/>
    <w:rsid w:val="006E1419"/>
    <w:rsid w:val="006E154E"/>
    <w:rsid w:val="006E16B2"/>
    <w:rsid w:val="006E1AD9"/>
    <w:rsid w:val="006E1CFB"/>
    <w:rsid w:val="006E1EE1"/>
    <w:rsid w:val="006E1F49"/>
    <w:rsid w:val="006E1FA4"/>
    <w:rsid w:val="006E20C3"/>
    <w:rsid w:val="006E2223"/>
    <w:rsid w:val="006E2390"/>
    <w:rsid w:val="006E288C"/>
    <w:rsid w:val="006E28CA"/>
    <w:rsid w:val="006E292B"/>
    <w:rsid w:val="006E29C5"/>
    <w:rsid w:val="006E2A12"/>
    <w:rsid w:val="006E2B18"/>
    <w:rsid w:val="006E2CA2"/>
    <w:rsid w:val="006E2E06"/>
    <w:rsid w:val="006E31A2"/>
    <w:rsid w:val="006E33BC"/>
    <w:rsid w:val="006E3419"/>
    <w:rsid w:val="006E356D"/>
    <w:rsid w:val="006E3662"/>
    <w:rsid w:val="006E369F"/>
    <w:rsid w:val="006E3784"/>
    <w:rsid w:val="006E3BC1"/>
    <w:rsid w:val="006E3CDE"/>
    <w:rsid w:val="006E3F1E"/>
    <w:rsid w:val="006E43D8"/>
    <w:rsid w:val="006E4472"/>
    <w:rsid w:val="006E44DB"/>
    <w:rsid w:val="006E457E"/>
    <w:rsid w:val="006E458B"/>
    <w:rsid w:val="006E4675"/>
    <w:rsid w:val="006E46D6"/>
    <w:rsid w:val="006E4841"/>
    <w:rsid w:val="006E4A3F"/>
    <w:rsid w:val="006E4AA4"/>
    <w:rsid w:val="006E4ACA"/>
    <w:rsid w:val="006E4BB4"/>
    <w:rsid w:val="006E4CE5"/>
    <w:rsid w:val="006E4E2B"/>
    <w:rsid w:val="006E4EE0"/>
    <w:rsid w:val="006E5251"/>
    <w:rsid w:val="006E528C"/>
    <w:rsid w:val="006E533E"/>
    <w:rsid w:val="006E5567"/>
    <w:rsid w:val="006E55E9"/>
    <w:rsid w:val="006E5700"/>
    <w:rsid w:val="006E5924"/>
    <w:rsid w:val="006E5AF5"/>
    <w:rsid w:val="006E5C02"/>
    <w:rsid w:val="006E5DA3"/>
    <w:rsid w:val="006E5DD2"/>
    <w:rsid w:val="006E629F"/>
    <w:rsid w:val="006E6365"/>
    <w:rsid w:val="006E63EA"/>
    <w:rsid w:val="006E6431"/>
    <w:rsid w:val="006E650A"/>
    <w:rsid w:val="006E69FD"/>
    <w:rsid w:val="006E6ABA"/>
    <w:rsid w:val="006E6ADD"/>
    <w:rsid w:val="006E6E43"/>
    <w:rsid w:val="006E6F58"/>
    <w:rsid w:val="006E703F"/>
    <w:rsid w:val="006E7112"/>
    <w:rsid w:val="006E72AA"/>
    <w:rsid w:val="006E72F5"/>
    <w:rsid w:val="006E7438"/>
    <w:rsid w:val="006E744A"/>
    <w:rsid w:val="006E783F"/>
    <w:rsid w:val="006E786C"/>
    <w:rsid w:val="006E7C1F"/>
    <w:rsid w:val="006E7CDF"/>
    <w:rsid w:val="006E7EDF"/>
    <w:rsid w:val="006F01F4"/>
    <w:rsid w:val="006F024A"/>
    <w:rsid w:val="006F0254"/>
    <w:rsid w:val="006F0371"/>
    <w:rsid w:val="006F04D2"/>
    <w:rsid w:val="006F05E9"/>
    <w:rsid w:val="006F07D5"/>
    <w:rsid w:val="006F0A59"/>
    <w:rsid w:val="006F0B72"/>
    <w:rsid w:val="006F0C57"/>
    <w:rsid w:val="006F0CA6"/>
    <w:rsid w:val="006F0E98"/>
    <w:rsid w:val="006F0F46"/>
    <w:rsid w:val="006F0F78"/>
    <w:rsid w:val="006F114C"/>
    <w:rsid w:val="006F1249"/>
    <w:rsid w:val="006F1293"/>
    <w:rsid w:val="006F12EC"/>
    <w:rsid w:val="006F157B"/>
    <w:rsid w:val="006F169F"/>
    <w:rsid w:val="006F18CF"/>
    <w:rsid w:val="006F18EC"/>
    <w:rsid w:val="006F1938"/>
    <w:rsid w:val="006F1B05"/>
    <w:rsid w:val="006F1BA1"/>
    <w:rsid w:val="006F1D83"/>
    <w:rsid w:val="006F1DED"/>
    <w:rsid w:val="006F1F13"/>
    <w:rsid w:val="006F2298"/>
    <w:rsid w:val="006F23E0"/>
    <w:rsid w:val="006F247F"/>
    <w:rsid w:val="006F24EC"/>
    <w:rsid w:val="006F25AD"/>
    <w:rsid w:val="006F25FC"/>
    <w:rsid w:val="006F2994"/>
    <w:rsid w:val="006F2A0C"/>
    <w:rsid w:val="006F2B3F"/>
    <w:rsid w:val="006F2C6A"/>
    <w:rsid w:val="006F2D8C"/>
    <w:rsid w:val="006F2DDB"/>
    <w:rsid w:val="006F2E4E"/>
    <w:rsid w:val="006F2E60"/>
    <w:rsid w:val="006F2F26"/>
    <w:rsid w:val="006F2F65"/>
    <w:rsid w:val="006F320A"/>
    <w:rsid w:val="006F33CE"/>
    <w:rsid w:val="006F3633"/>
    <w:rsid w:val="006F373F"/>
    <w:rsid w:val="006F39FC"/>
    <w:rsid w:val="006F3B2B"/>
    <w:rsid w:val="006F3DA3"/>
    <w:rsid w:val="006F3F8A"/>
    <w:rsid w:val="006F4010"/>
    <w:rsid w:val="006F411F"/>
    <w:rsid w:val="006F414D"/>
    <w:rsid w:val="006F42A4"/>
    <w:rsid w:val="006F4303"/>
    <w:rsid w:val="006F45A5"/>
    <w:rsid w:val="006F460C"/>
    <w:rsid w:val="006F46BA"/>
    <w:rsid w:val="006F4768"/>
    <w:rsid w:val="006F4A5E"/>
    <w:rsid w:val="006F4BFB"/>
    <w:rsid w:val="006F4DA4"/>
    <w:rsid w:val="006F4EF7"/>
    <w:rsid w:val="006F5112"/>
    <w:rsid w:val="006F5578"/>
    <w:rsid w:val="006F57B7"/>
    <w:rsid w:val="006F57C9"/>
    <w:rsid w:val="006F5A25"/>
    <w:rsid w:val="006F5A97"/>
    <w:rsid w:val="006F6411"/>
    <w:rsid w:val="006F64F1"/>
    <w:rsid w:val="006F6595"/>
    <w:rsid w:val="006F6678"/>
    <w:rsid w:val="006F6681"/>
    <w:rsid w:val="006F6A30"/>
    <w:rsid w:val="006F6BCB"/>
    <w:rsid w:val="006F6C90"/>
    <w:rsid w:val="006F6DDE"/>
    <w:rsid w:val="006F6E14"/>
    <w:rsid w:val="006F6E3D"/>
    <w:rsid w:val="006F7025"/>
    <w:rsid w:val="006F7111"/>
    <w:rsid w:val="006F7350"/>
    <w:rsid w:val="006F75F3"/>
    <w:rsid w:val="006F77FE"/>
    <w:rsid w:val="006F79A7"/>
    <w:rsid w:val="006F79E5"/>
    <w:rsid w:val="006F7AAC"/>
    <w:rsid w:val="006F7B53"/>
    <w:rsid w:val="006F7B5A"/>
    <w:rsid w:val="006F7B6A"/>
    <w:rsid w:val="006F7E88"/>
    <w:rsid w:val="006F7FB3"/>
    <w:rsid w:val="00700070"/>
    <w:rsid w:val="00700265"/>
    <w:rsid w:val="0070043A"/>
    <w:rsid w:val="00700520"/>
    <w:rsid w:val="007008E5"/>
    <w:rsid w:val="007008FE"/>
    <w:rsid w:val="00700B68"/>
    <w:rsid w:val="00700C9D"/>
    <w:rsid w:val="00700D43"/>
    <w:rsid w:val="00700E18"/>
    <w:rsid w:val="00700F48"/>
    <w:rsid w:val="007011B9"/>
    <w:rsid w:val="0070136F"/>
    <w:rsid w:val="0070142E"/>
    <w:rsid w:val="00701515"/>
    <w:rsid w:val="00701CA0"/>
    <w:rsid w:val="00701E08"/>
    <w:rsid w:val="007020FA"/>
    <w:rsid w:val="00702107"/>
    <w:rsid w:val="00702286"/>
    <w:rsid w:val="007023B8"/>
    <w:rsid w:val="007024A7"/>
    <w:rsid w:val="00702589"/>
    <w:rsid w:val="0070261E"/>
    <w:rsid w:val="007026ED"/>
    <w:rsid w:val="00702A57"/>
    <w:rsid w:val="00702B3B"/>
    <w:rsid w:val="00702BCF"/>
    <w:rsid w:val="00702C27"/>
    <w:rsid w:val="00702C69"/>
    <w:rsid w:val="00702E70"/>
    <w:rsid w:val="00702F0B"/>
    <w:rsid w:val="00703002"/>
    <w:rsid w:val="007030B5"/>
    <w:rsid w:val="007032C3"/>
    <w:rsid w:val="007033FA"/>
    <w:rsid w:val="007033FE"/>
    <w:rsid w:val="007034F7"/>
    <w:rsid w:val="007037B6"/>
    <w:rsid w:val="007038D6"/>
    <w:rsid w:val="0070391D"/>
    <w:rsid w:val="00703A89"/>
    <w:rsid w:val="00703D6A"/>
    <w:rsid w:val="00703D92"/>
    <w:rsid w:val="00703E16"/>
    <w:rsid w:val="00703E1C"/>
    <w:rsid w:val="00703F27"/>
    <w:rsid w:val="00703F5D"/>
    <w:rsid w:val="00703FE9"/>
    <w:rsid w:val="00704053"/>
    <w:rsid w:val="007040DB"/>
    <w:rsid w:val="0070411A"/>
    <w:rsid w:val="00704289"/>
    <w:rsid w:val="007047E8"/>
    <w:rsid w:val="007048CB"/>
    <w:rsid w:val="007049C7"/>
    <w:rsid w:val="00704AB5"/>
    <w:rsid w:val="00704DB4"/>
    <w:rsid w:val="00704E31"/>
    <w:rsid w:val="00704E78"/>
    <w:rsid w:val="00705190"/>
    <w:rsid w:val="00705307"/>
    <w:rsid w:val="00705414"/>
    <w:rsid w:val="0070544C"/>
    <w:rsid w:val="007054D5"/>
    <w:rsid w:val="0070592D"/>
    <w:rsid w:val="007059BF"/>
    <w:rsid w:val="00705B86"/>
    <w:rsid w:val="00705CC0"/>
    <w:rsid w:val="00705DBA"/>
    <w:rsid w:val="00705E20"/>
    <w:rsid w:val="00705F7D"/>
    <w:rsid w:val="00706271"/>
    <w:rsid w:val="00706495"/>
    <w:rsid w:val="00706501"/>
    <w:rsid w:val="00706520"/>
    <w:rsid w:val="0070653C"/>
    <w:rsid w:val="0070662B"/>
    <w:rsid w:val="0070673C"/>
    <w:rsid w:val="0070676A"/>
    <w:rsid w:val="0070679A"/>
    <w:rsid w:val="00706A11"/>
    <w:rsid w:val="00706A52"/>
    <w:rsid w:val="00706A5E"/>
    <w:rsid w:val="00706B2F"/>
    <w:rsid w:val="00706C8A"/>
    <w:rsid w:val="00706CE5"/>
    <w:rsid w:val="00706D5D"/>
    <w:rsid w:val="00706DE6"/>
    <w:rsid w:val="007070F4"/>
    <w:rsid w:val="007071AF"/>
    <w:rsid w:val="00707462"/>
    <w:rsid w:val="007074EF"/>
    <w:rsid w:val="007075CD"/>
    <w:rsid w:val="007077A9"/>
    <w:rsid w:val="00707928"/>
    <w:rsid w:val="00707963"/>
    <w:rsid w:val="00707995"/>
    <w:rsid w:val="00707BDF"/>
    <w:rsid w:val="00707C30"/>
    <w:rsid w:val="00707D27"/>
    <w:rsid w:val="00707F37"/>
    <w:rsid w:val="007100BE"/>
    <w:rsid w:val="00710109"/>
    <w:rsid w:val="0071013D"/>
    <w:rsid w:val="007103D0"/>
    <w:rsid w:val="00710402"/>
    <w:rsid w:val="00710632"/>
    <w:rsid w:val="007106E7"/>
    <w:rsid w:val="007107A6"/>
    <w:rsid w:val="00710A78"/>
    <w:rsid w:val="00710B07"/>
    <w:rsid w:val="00710CDE"/>
    <w:rsid w:val="00710E83"/>
    <w:rsid w:val="00710E8C"/>
    <w:rsid w:val="00710EE7"/>
    <w:rsid w:val="00711005"/>
    <w:rsid w:val="007110C1"/>
    <w:rsid w:val="0071135A"/>
    <w:rsid w:val="00711385"/>
    <w:rsid w:val="00711580"/>
    <w:rsid w:val="007115D3"/>
    <w:rsid w:val="00711872"/>
    <w:rsid w:val="00711C41"/>
    <w:rsid w:val="00711D17"/>
    <w:rsid w:val="00711E46"/>
    <w:rsid w:val="00711F5D"/>
    <w:rsid w:val="00711FE0"/>
    <w:rsid w:val="00712310"/>
    <w:rsid w:val="00712375"/>
    <w:rsid w:val="007124D1"/>
    <w:rsid w:val="00712593"/>
    <w:rsid w:val="0071272E"/>
    <w:rsid w:val="00712732"/>
    <w:rsid w:val="00712789"/>
    <w:rsid w:val="00712878"/>
    <w:rsid w:val="00712945"/>
    <w:rsid w:val="00712B24"/>
    <w:rsid w:val="00712BDA"/>
    <w:rsid w:val="00712C6D"/>
    <w:rsid w:val="00712DD0"/>
    <w:rsid w:val="00712E3D"/>
    <w:rsid w:val="0071308F"/>
    <w:rsid w:val="007130C9"/>
    <w:rsid w:val="00713215"/>
    <w:rsid w:val="00713434"/>
    <w:rsid w:val="007135F0"/>
    <w:rsid w:val="00713636"/>
    <w:rsid w:val="007137EE"/>
    <w:rsid w:val="00713D03"/>
    <w:rsid w:val="00713EAC"/>
    <w:rsid w:val="00713FB2"/>
    <w:rsid w:val="00714092"/>
    <w:rsid w:val="007140A6"/>
    <w:rsid w:val="007141A9"/>
    <w:rsid w:val="0071429B"/>
    <w:rsid w:val="007142F4"/>
    <w:rsid w:val="00714471"/>
    <w:rsid w:val="00714746"/>
    <w:rsid w:val="007147AA"/>
    <w:rsid w:val="00714899"/>
    <w:rsid w:val="007149A7"/>
    <w:rsid w:val="00714B7C"/>
    <w:rsid w:val="00714D3E"/>
    <w:rsid w:val="00714DE0"/>
    <w:rsid w:val="00714E00"/>
    <w:rsid w:val="00714F38"/>
    <w:rsid w:val="007150E3"/>
    <w:rsid w:val="00715221"/>
    <w:rsid w:val="00715230"/>
    <w:rsid w:val="007152D8"/>
    <w:rsid w:val="00715479"/>
    <w:rsid w:val="007155B4"/>
    <w:rsid w:val="007156B5"/>
    <w:rsid w:val="00715794"/>
    <w:rsid w:val="007159E2"/>
    <w:rsid w:val="00715A46"/>
    <w:rsid w:val="00715D41"/>
    <w:rsid w:val="00715F0B"/>
    <w:rsid w:val="00715F5B"/>
    <w:rsid w:val="00715F5E"/>
    <w:rsid w:val="0071608B"/>
    <w:rsid w:val="0071612C"/>
    <w:rsid w:val="0071680D"/>
    <w:rsid w:val="0071695E"/>
    <w:rsid w:val="00716984"/>
    <w:rsid w:val="00716A3C"/>
    <w:rsid w:val="00716A4C"/>
    <w:rsid w:val="00716A7A"/>
    <w:rsid w:val="00716B31"/>
    <w:rsid w:val="00716BB7"/>
    <w:rsid w:val="00716F58"/>
    <w:rsid w:val="00716FA3"/>
    <w:rsid w:val="0071711D"/>
    <w:rsid w:val="00717124"/>
    <w:rsid w:val="0071717C"/>
    <w:rsid w:val="007171D1"/>
    <w:rsid w:val="007172C3"/>
    <w:rsid w:val="007172E0"/>
    <w:rsid w:val="0071745D"/>
    <w:rsid w:val="007175AE"/>
    <w:rsid w:val="007175DE"/>
    <w:rsid w:val="0071766C"/>
    <w:rsid w:val="007177AD"/>
    <w:rsid w:val="00717AE2"/>
    <w:rsid w:val="00717AEF"/>
    <w:rsid w:val="00717B9A"/>
    <w:rsid w:val="00717BCB"/>
    <w:rsid w:val="00717DCE"/>
    <w:rsid w:val="00717E4C"/>
    <w:rsid w:val="007200A8"/>
    <w:rsid w:val="00720155"/>
    <w:rsid w:val="007201D6"/>
    <w:rsid w:val="00720293"/>
    <w:rsid w:val="00720316"/>
    <w:rsid w:val="007203D8"/>
    <w:rsid w:val="007203F7"/>
    <w:rsid w:val="0072041D"/>
    <w:rsid w:val="007205A0"/>
    <w:rsid w:val="007207A9"/>
    <w:rsid w:val="007209E0"/>
    <w:rsid w:val="00720B60"/>
    <w:rsid w:val="00720B6A"/>
    <w:rsid w:val="00720CC5"/>
    <w:rsid w:val="00720EBC"/>
    <w:rsid w:val="007210CD"/>
    <w:rsid w:val="0072110A"/>
    <w:rsid w:val="00721242"/>
    <w:rsid w:val="0072126C"/>
    <w:rsid w:val="007214D1"/>
    <w:rsid w:val="007217AF"/>
    <w:rsid w:val="0072181B"/>
    <w:rsid w:val="0072197E"/>
    <w:rsid w:val="00721AF8"/>
    <w:rsid w:val="00721C57"/>
    <w:rsid w:val="00721E15"/>
    <w:rsid w:val="00721E3F"/>
    <w:rsid w:val="00722121"/>
    <w:rsid w:val="00722188"/>
    <w:rsid w:val="007221A1"/>
    <w:rsid w:val="00722291"/>
    <w:rsid w:val="007222B3"/>
    <w:rsid w:val="0072232E"/>
    <w:rsid w:val="0072244F"/>
    <w:rsid w:val="007225A8"/>
    <w:rsid w:val="00722614"/>
    <w:rsid w:val="00722700"/>
    <w:rsid w:val="007227D7"/>
    <w:rsid w:val="0072285E"/>
    <w:rsid w:val="0072299B"/>
    <w:rsid w:val="007229C1"/>
    <w:rsid w:val="00722AF0"/>
    <w:rsid w:val="00722CBC"/>
    <w:rsid w:val="00722D6B"/>
    <w:rsid w:val="00722D86"/>
    <w:rsid w:val="00722E9E"/>
    <w:rsid w:val="0072309E"/>
    <w:rsid w:val="00723299"/>
    <w:rsid w:val="007232DD"/>
    <w:rsid w:val="007235A5"/>
    <w:rsid w:val="007236EA"/>
    <w:rsid w:val="0072371E"/>
    <w:rsid w:val="007239D3"/>
    <w:rsid w:val="00723B2E"/>
    <w:rsid w:val="00723BB1"/>
    <w:rsid w:val="00723BB2"/>
    <w:rsid w:val="00723BF0"/>
    <w:rsid w:val="00723C8A"/>
    <w:rsid w:val="00723F4D"/>
    <w:rsid w:val="00723FC5"/>
    <w:rsid w:val="0072417D"/>
    <w:rsid w:val="00724205"/>
    <w:rsid w:val="007242B3"/>
    <w:rsid w:val="0072466D"/>
    <w:rsid w:val="00724890"/>
    <w:rsid w:val="007248ED"/>
    <w:rsid w:val="0072499E"/>
    <w:rsid w:val="00724C01"/>
    <w:rsid w:val="00724E8C"/>
    <w:rsid w:val="00724F7A"/>
    <w:rsid w:val="007252F3"/>
    <w:rsid w:val="007253DE"/>
    <w:rsid w:val="00725429"/>
    <w:rsid w:val="007254C0"/>
    <w:rsid w:val="00725539"/>
    <w:rsid w:val="0072565F"/>
    <w:rsid w:val="007257E8"/>
    <w:rsid w:val="0072582D"/>
    <w:rsid w:val="007259AD"/>
    <w:rsid w:val="00725B56"/>
    <w:rsid w:val="00725FE9"/>
    <w:rsid w:val="0072608E"/>
    <w:rsid w:val="00726212"/>
    <w:rsid w:val="00726352"/>
    <w:rsid w:val="00726475"/>
    <w:rsid w:val="007265B7"/>
    <w:rsid w:val="007265F4"/>
    <w:rsid w:val="00726667"/>
    <w:rsid w:val="007266A0"/>
    <w:rsid w:val="00726D3F"/>
    <w:rsid w:val="00726D81"/>
    <w:rsid w:val="007272DE"/>
    <w:rsid w:val="00727340"/>
    <w:rsid w:val="00727596"/>
    <w:rsid w:val="00727A19"/>
    <w:rsid w:val="00727C38"/>
    <w:rsid w:val="00727D7E"/>
    <w:rsid w:val="007301E2"/>
    <w:rsid w:val="007302DE"/>
    <w:rsid w:val="0073030E"/>
    <w:rsid w:val="00730333"/>
    <w:rsid w:val="00730575"/>
    <w:rsid w:val="007306D4"/>
    <w:rsid w:val="00730861"/>
    <w:rsid w:val="0073090B"/>
    <w:rsid w:val="0073098B"/>
    <w:rsid w:val="00730ACE"/>
    <w:rsid w:val="00730BF3"/>
    <w:rsid w:val="00730CBC"/>
    <w:rsid w:val="00730F20"/>
    <w:rsid w:val="007310AA"/>
    <w:rsid w:val="007311B3"/>
    <w:rsid w:val="00731280"/>
    <w:rsid w:val="007313E5"/>
    <w:rsid w:val="0073168B"/>
    <w:rsid w:val="00731827"/>
    <w:rsid w:val="007318B1"/>
    <w:rsid w:val="00731981"/>
    <w:rsid w:val="00731A45"/>
    <w:rsid w:val="00731B0B"/>
    <w:rsid w:val="00731B55"/>
    <w:rsid w:val="00731C28"/>
    <w:rsid w:val="00731CD7"/>
    <w:rsid w:val="00731D23"/>
    <w:rsid w:val="00731DEA"/>
    <w:rsid w:val="00731E16"/>
    <w:rsid w:val="00731E1C"/>
    <w:rsid w:val="00731E2F"/>
    <w:rsid w:val="00731F17"/>
    <w:rsid w:val="00732067"/>
    <w:rsid w:val="00732134"/>
    <w:rsid w:val="007322F6"/>
    <w:rsid w:val="007322F8"/>
    <w:rsid w:val="007322F9"/>
    <w:rsid w:val="007322FA"/>
    <w:rsid w:val="007324BC"/>
    <w:rsid w:val="0073252B"/>
    <w:rsid w:val="00732547"/>
    <w:rsid w:val="00732587"/>
    <w:rsid w:val="00732AB8"/>
    <w:rsid w:val="00732B39"/>
    <w:rsid w:val="00732E99"/>
    <w:rsid w:val="00732FE1"/>
    <w:rsid w:val="0073325B"/>
    <w:rsid w:val="0073326E"/>
    <w:rsid w:val="00733287"/>
    <w:rsid w:val="007332AC"/>
    <w:rsid w:val="00733388"/>
    <w:rsid w:val="00733683"/>
    <w:rsid w:val="00733878"/>
    <w:rsid w:val="0073389C"/>
    <w:rsid w:val="007338DB"/>
    <w:rsid w:val="00733925"/>
    <w:rsid w:val="007339BA"/>
    <w:rsid w:val="00733C87"/>
    <w:rsid w:val="00733E83"/>
    <w:rsid w:val="00733ECF"/>
    <w:rsid w:val="00734011"/>
    <w:rsid w:val="00734177"/>
    <w:rsid w:val="007341B8"/>
    <w:rsid w:val="0073422C"/>
    <w:rsid w:val="0073449D"/>
    <w:rsid w:val="0073452F"/>
    <w:rsid w:val="0073486C"/>
    <w:rsid w:val="0073488D"/>
    <w:rsid w:val="00734946"/>
    <w:rsid w:val="00734A1E"/>
    <w:rsid w:val="00734A3D"/>
    <w:rsid w:val="00734A41"/>
    <w:rsid w:val="00734C70"/>
    <w:rsid w:val="00734D45"/>
    <w:rsid w:val="00734E50"/>
    <w:rsid w:val="00734E7D"/>
    <w:rsid w:val="00734FC1"/>
    <w:rsid w:val="00735005"/>
    <w:rsid w:val="00735014"/>
    <w:rsid w:val="0073551F"/>
    <w:rsid w:val="007355E3"/>
    <w:rsid w:val="00735785"/>
    <w:rsid w:val="0073588A"/>
    <w:rsid w:val="00735B10"/>
    <w:rsid w:val="00735B11"/>
    <w:rsid w:val="00735CAA"/>
    <w:rsid w:val="00735F5C"/>
    <w:rsid w:val="00735F8F"/>
    <w:rsid w:val="0073603B"/>
    <w:rsid w:val="007360C8"/>
    <w:rsid w:val="007361B9"/>
    <w:rsid w:val="007361C7"/>
    <w:rsid w:val="007361CF"/>
    <w:rsid w:val="007366C9"/>
    <w:rsid w:val="00736808"/>
    <w:rsid w:val="007368B9"/>
    <w:rsid w:val="00736925"/>
    <w:rsid w:val="0073697B"/>
    <w:rsid w:val="00736D28"/>
    <w:rsid w:val="00736D31"/>
    <w:rsid w:val="00736DA3"/>
    <w:rsid w:val="00736E1F"/>
    <w:rsid w:val="00736F6A"/>
    <w:rsid w:val="00736FE7"/>
    <w:rsid w:val="00737004"/>
    <w:rsid w:val="007372D6"/>
    <w:rsid w:val="007373A0"/>
    <w:rsid w:val="00737AE8"/>
    <w:rsid w:val="00737BE0"/>
    <w:rsid w:val="00737E5E"/>
    <w:rsid w:val="00737E61"/>
    <w:rsid w:val="00737F49"/>
    <w:rsid w:val="007400A1"/>
    <w:rsid w:val="00740176"/>
    <w:rsid w:val="007401D3"/>
    <w:rsid w:val="00740425"/>
    <w:rsid w:val="0074046C"/>
    <w:rsid w:val="00740488"/>
    <w:rsid w:val="00740639"/>
    <w:rsid w:val="00740706"/>
    <w:rsid w:val="00740969"/>
    <w:rsid w:val="007409AA"/>
    <w:rsid w:val="00740BF0"/>
    <w:rsid w:val="00740C35"/>
    <w:rsid w:val="00740CCF"/>
    <w:rsid w:val="00740DAF"/>
    <w:rsid w:val="00740F60"/>
    <w:rsid w:val="00741192"/>
    <w:rsid w:val="00741342"/>
    <w:rsid w:val="00741452"/>
    <w:rsid w:val="00741908"/>
    <w:rsid w:val="00741969"/>
    <w:rsid w:val="00741A78"/>
    <w:rsid w:val="00741A96"/>
    <w:rsid w:val="00741CD2"/>
    <w:rsid w:val="00741DBC"/>
    <w:rsid w:val="00741F55"/>
    <w:rsid w:val="0074207D"/>
    <w:rsid w:val="007420D9"/>
    <w:rsid w:val="007421DC"/>
    <w:rsid w:val="007423C9"/>
    <w:rsid w:val="00742485"/>
    <w:rsid w:val="007424FB"/>
    <w:rsid w:val="0074256A"/>
    <w:rsid w:val="00742655"/>
    <w:rsid w:val="00742684"/>
    <w:rsid w:val="0074273A"/>
    <w:rsid w:val="00742868"/>
    <w:rsid w:val="007428A8"/>
    <w:rsid w:val="0074291B"/>
    <w:rsid w:val="007429DF"/>
    <w:rsid w:val="00742CD7"/>
    <w:rsid w:val="00742CFB"/>
    <w:rsid w:val="00742EDD"/>
    <w:rsid w:val="00742EF1"/>
    <w:rsid w:val="00742F7C"/>
    <w:rsid w:val="00742FA3"/>
    <w:rsid w:val="00742FCF"/>
    <w:rsid w:val="0074316F"/>
    <w:rsid w:val="0074320F"/>
    <w:rsid w:val="007432EF"/>
    <w:rsid w:val="00743386"/>
    <w:rsid w:val="00743469"/>
    <w:rsid w:val="00743553"/>
    <w:rsid w:val="00743579"/>
    <w:rsid w:val="0074359E"/>
    <w:rsid w:val="0074396D"/>
    <w:rsid w:val="00743A04"/>
    <w:rsid w:val="00743AB2"/>
    <w:rsid w:val="00743DAF"/>
    <w:rsid w:val="00743DC0"/>
    <w:rsid w:val="00743DD5"/>
    <w:rsid w:val="00743DF8"/>
    <w:rsid w:val="00743E69"/>
    <w:rsid w:val="00743FEA"/>
    <w:rsid w:val="00744018"/>
    <w:rsid w:val="00744047"/>
    <w:rsid w:val="0074429C"/>
    <w:rsid w:val="0074430D"/>
    <w:rsid w:val="007445EE"/>
    <w:rsid w:val="0074481F"/>
    <w:rsid w:val="00744B31"/>
    <w:rsid w:val="00744C18"/>
    <w:rsid w:val="00744CD1"/>
    <w:rsid w:val="00744E99"/>
    <w:rsid w:val="00744FE1"/>
    <w:rsid w:val="007450D5"/>
    <w:rsid w:val="0074516C"/>
    <w:rsid w:val="007451A2"/>
    <w:rsid w:val="0074521D"/>
    <w:rsid w:val="007452C8"/>
    <w:rsid w:val="007454FB"/>
    <w:rsid w:val="00745633"/>
    <w:rsid w:val="0074563F"/>
    <w:rsid w:val="00745B21"/>
    <w:rsid w:val="00745D23"/>
    <w:rsid w:val="00745F01"/>
    <w:rsid w:val="007462C2"/>
    <w:rsid w:val="007465C7"/>
    <w:rsid w:val="00746624"/>
    <w:rsid w:val="007466C7"/>
    <w:rsid w:val="00746878"/>
    <w:rsid w:val="00746A77"/>
    <w:rsid w:val="00746A9C"/>
    <w:rsid w:val="00746C14"/>
    <w:rsid w:val="00746DDF"/>
    <w:rsid w:val="00746E15"/>
    <w:rsid w:val="00746E82"/>
    <w:rsid w:val="00746F66"/>
    <w:rsid w:val="00746FBD"/>
    <w:rsid w:val="00747072"/>
    <w:rsid w:val="007470BF"/>
    <w:rsid w:val="007472D8"/>
    <w:rsid w:val="007472E0"/>
    <w:rsid w:val="0074735E"/>
    <w:rsid w:val="007473EC"/>
    <w:rsid w:val="0074745F"/>
    <w:rsid w:val="007474B1"/>
    <w:rsid w:val="00747548"/>
    <w:rsid w:val="00747693"/>
    <w:rsid w:val="00747837"/>
    <w:rsid w:val="00747B17"/>
    <w:rsid w:val="00747BBD"/>
    <w:rsid w:val="00747C33"/>
    <w:rsid w:val="00747C77"/>
    <w:rsid w:val="00747D51"/>
    <w:rsid w:val="00747EC6"/>
    <w:rsid w:val="00747EF2"/>
    <w:rsid w:val="00747FDF"/>
    <w:rsid w:val="00750096"/>
    <w:rsid w:val="00750098"/>
    <w:rsid w:val="0075011F"/>
    <w:rsid w:val="007501EF"/>
    <w:rsid w:val="00750202"/>
    <w:rsid w:val="007508D7"/>
    <w:rsid w:val="007509CC"/>
    <w:rsid w:val="00750B5A"/>
    <w:rsid w:val="00750BFF"/>
    <w:rsid w:val="00750D2C"/>
    <w:rsid w:val="00751114"/>
    <w:rsid w:val="00751197"/>
    <w:rsid w:val="00751236"/>
    <w:rsid w:val="007513A4"/>
    <w:rsid w:val="0075147F"/>
    <w:rsid w:val="0075172F"/>
    <w:rsid w:val="00751782"/>
    <w:rsid w:val="00751A1C"/>
    <w:rsid w:val="00751CB1"/>
    <w:rsid w:val="00751D09"/>
    <w:rsid w:val="00751D30"/>
    <w:rsid w:val="00751EBA"/>
    <w:rsid w:val="00752087"/>
    <w:rsid w:val="00752157"/>
    <w:rsid w:val="0075235F"/>
    <w:rsid w:val="007524BD"/>
    <w:rsid w:val="007526E3"/>
    <w:rsid w:val="007529C3"/>
    <w:rsid w:val="007529D0"/>
    <w:rsid w:val="00752A09"/>
    <w:rsid w:val="00752C27"/>
    <w:rsid w:val="00752C75"/>
    <w:rsid w:val="00752DFA"/>
    <w:rsid w:val="00752EA2"/>
    <w:rsid w:val="0075306B"/>
    <w:rsid w:val="007531C4"/>
    <w:rsid w:val="0075327A"/>
    <w:rsid w:val="007532E1"/>
    <w:rsid w:val="0075335A"/>
    <w:rsid w:val="00753439"/>
    <w:rsid w:val="00753679"/>
    <w:rsid w:val="007538CB"/>
    <w:rsid w:val="007538FF"/>
    <w:rsid w:val="007539A5"/>
    <w:rsid w:val="00753A28"/>
    <w:rsid w:val="00753BD8"/>
    <w:rsid w:val="00753CC1"/>
    <w:rsid w:val="00753F20"/>
    <w:rsid w:val="007540A5"/>
    <w:rsid w:val="007542F4"/>
    <w:rsid w:val="007544C3"/>
    <w:rsid w:val="007548F5"/>
    <w:rsid w:val="007549BC"/>
    <w:rsid w:val="00754A96"/>
    <w:rsid w:val="00754AE7"/>
    <w:rsid w:val="00754B54"/>
    <w:rsid w:val="00754C7F"/>
    <w:rsid w:val="00754F3C"/>
    <w:rsid w:val="00755043"/>
    <w:rsid w:val="00755422"/>
    <w:rsid w:val="00755429"/>
    <w:rsid w:val="0075553C"/>
    <w:rsid w:val="00755595"/>
    <w:rsid w:val="007555A8"/>
    <w:rsid w:val="0075578A"/>
    <w:rsid w:val="00755838"/>
    <w:rsid w:val="00755952"/>
    <w:rsid w:val="00755DBA"/>
    <w:rsid w:val="00755FAF"/>
    <w:rsid w:val="0075610A"/>
    <w:rsid w:val="00756259"/>
    <w:rsid w:val="0075630B"/>
    <w:rsid w:val="00756354"/>
    <w:rsid w:val="0075635B"/>
    <w:rsid w:val="007563E8"/>
    <w:rsid w:val="007565D3"/>
    <w:rsid w:val="00756907"/>
    <w:rsid w:val="007569A0"/>
    <w:rsid w:val="00756B70"/>
    <w:rsid w:val="00756DC5"/>
    <w:rsid w:val="00757324"/>
    <w:rsid w:val="0075734E"/>
    <w:rsid w:val="00757357"/>
    <w:rsid w:val="0075744C"/>
    <w:rsid w:val="0075792D"/>
    <w:rsid w:val="00757A3E"/>
    <w:rsid w:val="00757A8A"/>
    <w:rsid w:val="00757D46"/>
    <w:rsid w:val="00757F58"/>
    <w:rsid w:val="0076003D"/>
    <w:rsid w:val="00760051"/>
    <w:rsid w:val="0076009D"/>
    <w:rsid w:val="00760520"/>
    <w:rsid w:val="0076087F"/>
    <w:rsid w:val="00760948"/>
    <w:rsid w:val="00760A6F"/>
    <w:rsid w:val="00760BFB"/>
    <w:rsid w:val="00760C4C"/>
    <w:rsid w:val="00760C5F"/>
    <w:rsid w:val="00760C7C"/>
    <w:rsid w:val="00760D49"/>
    <w:rsid w:val="00760DDA"/>
    <w:rsid w:val="00760E61"/>
    <w:rsid w:val="00760F37"/>
    <w:rsid w:val="00760F59"/>
    <w:rsid w:val="007611B2"/>
    <w:rsid w:val="007615E3"/>
    <w:rsid w:val="007617A0"/>
    <w:rsid w:val="00761A9A"/>
    <w:rsid w:val="00761ABD"/>
    <w:rsid w:val="00761BA8"/>
    <w:rsid w:val="00761E73"/>
    <w:rsid w:val="00761FFC"/>
    <w:rsid w:val="00762287"/>
    <w:rsid w:val="0076231F"/>
    <w:rsid w:val="007624F7"/>
    <w:rsid w:val="007626E7"/>
    <w:rsid w:val="007626EB"/>
    <w:rsid w:val="007628D5"/>
    <w:rsid w:val="00762E57"/>
    <w:rsid w:val="00763088"/>
    <w:rsid w:val="007631BB"/>
    <w:rsid w:val="007632ED"/>
    <w:rsid w:val="0076333B"/>
    <w:rsid w:val="0076356E"/>
    <w:rsid w:val="0076359F"/>
    <w:rsid w:val="007635DD"/>
    <w:rsid w:val="0076360F"/>
    <w:rsid w:val="0076361D"/>
    <w:rsid w:val="007636E8"/>
    <w:rsid w:val="00763702"/>
    <w:rsid w:val="00763C5A"/>
    <w:rsid w:val="00763C87"/>
    <w:rsid w:val="00763C9F"/>
    <w:rsid w:val="00763EE1"/>
    <w:rsid w:val="00763F14"/>
    <w:rsid w:val="0076417E"/>
    <w:rsid w:val="007642C6"/>
    <w:rsid w:val="007642E2"/>
    <w:rsid w:val="0076444A"/>
    <w:rsid w:val="007644F3"/>
    <w:rsid w:val="00764589"/>
    <w:rsid w:val="00764666"/>
    <w:rsid w:val="007646E1"/>
    <w:rsid w:val="0076477D"/>
    <w:rsid w:val="00764826"/>
    <w:rsid w:val="00764830"/>
    <w:rsid w:val="007649EA"/>
    <w:rsid w:val="00764AAB"/>
    <w:rsid w:val="00764CF7"/>
    <w:rsid w:val="00764E57"/>
    <w:rsid w:val="007650BB"/>
    <w:rsid w:val="00765281"/>
    <w:rsid w:val="007654DC"/>
    <w:rsid w:val="00765870"/>
    <w:rsid w:val="007658FE"/>
    <w:rsid w:val="00765A25"/>
    <w:rsid w:val="00765A94"/>
    <w:rsid w:val="00765D8F"/>
    <w:rsid w:val="00765E3F"/>
    <w:rsid w:val="00765E74"/>
    <w:rsid w:val="00765EC9"/>
    <w:rsid w:val="00765F62"/>
    <w:rsid w:val="00765F9B"/>
    <w:rsid w:val="0076605F"/>
    <w:rsid w:val="00766085"/>
    <w:rsid w:val="0076627E"/>
    <w:rsid w:val="00766387"/>
    <w:rsid w:val="00766389"/>
    <w:rsid w:val="00766420"/>
    <w:rsid w:val="007664A3"/>
    <w:rsid w:val="00766757"/>
    <w:rsid w:val="007667B0"/>
    <w:rsid w:val="0076681B"/>
    <w:rsid w:val="00766C88"/>
    <w:rsid w:val="00767176"/>
    <w:rsid w:val="00767453"/>
    <w:rsid w:val="00767629"/>
    <w:rsid w:val="00767775"/>
    <w:rsid w:val="00767975"/>
    <w:rsid w:val="007679C8"/>
    <w:rsid w:val="00767BC3"/>
    <w:rsid w:val="00767CAA"/>
    <w:rsid w:val="00767D75"/>
    <w:rsid w:val="00767EF7"/>
    <w:rsid w:val="007702DB"/>
    <w:rsid w:val="007702EA"/>
    <w:rsid w:val="00770971"/>
    <w:rsid w:val="007709B0"/>
    <w:rsid w:val="007709F3"/>
    <w:rsid w:val="00770A83"/>
    <w:rsid w:val="00770A86"/>
    <w:rsid w:val="00770A94"/>
    <w:rsid w:val="00770ACF"/>
    <w:rsid w:val="00770B31"/>
    <w:rsid w:val="00770C2E"/>
    <w:rsid w:val="00770DBE"/>
    <w:rsid w:val="00770E4D"/>
    <w:rsid w:val="00771171"/>
    <w:rsid w:val="00771307"/>
    <w:rsid w:val="00771352"/>
    <w:rsid w:val="007713E7"/>
    <w:rsid w:val="00771530"/>
    <w:rsid w:val="007715A6"/>
    <w:rsid w:val="007715E4"/>
    <w:rsid w:val="00771F42"/>
    <w:rsid w:val="0077202B"/>
    <w:rsid w:val="007720FE"/>
    <w:rsid w:val="007722E8"/>
    <w:rsid w:val="007723C5"/>
    <w:rsid w:val="0077286E"/>
    <w:rsid w:val="007728B9"/>
    <w:rsid w:val="00772CA2"/>
    <w:rsid w:val="00772CA5"/>
    <w:rsid w:val="00772EDA"/>
    <w:rsid w:val="00772F88"/>
    <w:rsid w:val="00772FB8"/>
    <w:rsid w:val="0077301B"/>
    <w:rsid w:val="00773189"/>
    <w:rsid w:val="007732E7"/>
    <w:rsid w:val="0077344F"/>
    <w:rsid w:val="00773797"/>
    <w:rsid w:val="007737D5"/>
    <w:rsid w:val="0077389A"/>
    <w:rsid w:val="0077393C"/>
    <w:rsid w:val="00773CFE"/>
    <w:rsid w:val="007741FF"/>
    <w:rsid w:val="007743AD"/>
    <w:rsid w:val="007745CC"/>
    <w:rsid w:val="007747C1"/>
    <w:rsid w:val="0077480A"/>
    <w:rsid w:val="00774905"/>
    <w:rsid w:val="00774C51"/>
    <w:rsid w:val="00774E4B"/>
    <w:rsid w:val="0077518C"/>
    <w:rsid w:val="0077532F"/>
    <w:rsid w:val="00775378"/>
    <w:rsid w:val="00775597"/>
    <w:rsid w:val="007755C9"/>
    <w:rsid w:val="007755E4"/>
    <w:rsid w:val="007757B8"/>
    <w:rsid w:val="007757CE"/>
    <w:rsid w:val="0077591B"/>
    <w:rsid w:val="00775980"/>
    <w:rsid w:val="00775A31"/>
    <w:rsid w:val="00775AB5"/>
    <w:rsid w:val="00775FC0"/>
    <w:rsid w:val="0077610B"/>
    <w:rsid w:val="0077612F"/>
    <w:rsid w:val="00776243"/>
    <w:rsid w:val="00776888"/>
    <w:rsid w:val="007768AA"/>
    <w:rsid w:val="00776C8F"/>
    <w:rsid w:val="00776E6C"/>
    <w:rsid w:val="00776EFB"/>
    <w:rsid w:val="00776F04"/>
    <w:rsid w:val="00776F30"/>
    <w:rsid w:val="00776F9F"/>
    <w:rsid w:val="007770D1"/>
    <w:rsid w:val="00777272"/>
    <w:rsid w:val="007772B2"/>
    <w:rsid w:val="00777317"/>
    <w:rsid w:val="0077736B"/>
    <w:rsid w:val="0077743C"/>
    <w:rsid w:val="007774E9"/>
    <w:rsid w:val="0077753F"/>
    <w:rsid w:val="0077760F"/>
    <w:rsid w:val="007776FA"/>
    <w:rsid w:val="0077773A"/>
    <w:rsid w:val="00777823"/>
    <w:rsid w:val="00777A18"/>
    <w:rsid w:val="00777AD1"/>
    <w:rsid w:val="00777ADC"/>
    <w:rsid w:val="00777BC8"/>
    <w:rsid w:val="00777D9D"/>
    <w:rsid w:val="00777DB6"/>
    <w:rsid w:val="00777F76"/>
    <w:rsid w:val="007802B0"/>
    <w:rsid w:val="007804D1"/>
    <w:rsid w:val="007806C0"/>
    <w:rsid w:val="0078073C"/>
    <w:rsid w:val="007809F1"/>
    <w:rsid w:val="00780CF9"/>
    <w:rsid w:val="00780EBA"/>
    <w:rsid w:val="00780EBE"/>
    <w:rsid w:val="00781213"/>
    <w:rsid w:val="00781437"/>
    <w:rsid w:val="0078146B"/>
    <w:rsid w:val="0078150B"/>
    <w:rsid w:val="00781571"/>
    <w:rsid w:val="0078174B"/>
    <w:rsid w:val="007817A2"/>
    <w:rsid w:val="00781879"/>
    <w:rsid w:val="007818DD"/>
    <w:rsid w:val="00781953"/>
    <w:rsid w:val="00781A3D"/>
    <w:rsid w:val="00781A51"/>
    <w:rsid w:val="00781A75"/>
    <w:rsid w:val="00781B2E"/>
    <w:rsid w:val="00781C23"/>
    <w:rsid w:val="00781CC5"/>
    <w:rsid w:val="00782278"/>
    <w:rsid w:val="007822D4"/>
    <w:rsid w:val="007822EC"/>
    <w:rsid w:val="0078242F"/>
    <w:rsid w:val="00782578"/>
    <w:rsid w:val="007826F6"/>
    <w:rsid w:val="00782723"/>
    <w:rsid w:val="007827A7"/>
    <w:rsid w:val="007829B5"/>
    <w:rsid w:val="00782D85"/>
    <w:rsid w:val="00783030"/>
    <w:rsid w:val="00783100"/>
    <w:rsid w:val="00783135"/>
    <w:rsid w:val="00783331"/>
    <w:rsid w:val="00783477"/>
    <w:rsid w:val="00783745"/>
    <w:rsid w:val="00783774"/>
    <w:rsid w:val="00783850"/>
    <w:rsid w:val="00783A3A"/>
    <w:rsid w:val="00783A6D"/>
    <w:rsid w:val="00783B0C"/>
    <w:rsid w:val="0078400A"/>
    <w:rsid w:val="00784084"/>
    <w:rsid w:val="007842C4"/>
    <w:rsid w:val="0078434C"/>
    <w:rsid w:val="00784423"/>
    <w:rsid w:val="00784464"/>
    <w:rsid w:val="0078449C"/>
    <w:rsid w:val="007844B0"/>
    <w:rsid w:val="007844F3"/>
    <w:rsid w:val="00784843"/>
    <w:rsid w:val="00784AAC"/>
    <w:rsid w:val="00784CAE"/>
    <w:rsid w:val="00784CB7"/>
    <w:rsid w:val="00784D6A"/>
    <w:rsid w:val="00784D84"/>
    <w:rsid w:val="00784D86"/>
    <w:rsid w:val="00784D90"/>
    <w:rsid w:val="00784E5D"/>
    <w:rsid w:val="00785292"/>
    <w:rsid w:val="00785366"/>
    <w:rsid w:val="0078537E"/>
    <w:rsid w:val="007853C4"/>
    <w:rsid w:val="00785459"/>
    <w:rsid w:val="00785495"/>
    <w:rsid w:val="007854BE"/>
    <w:rsid w:val="0078591E"/>
    <w:rsid w:val="00785D4A"/>
    <w:rsid w:val="00785DB5"/>
    <w:rsid w:val="00785E88"/>
    <w:rsid w:val="00785F56"/>
    <w:rsid w:val="00785F62"/>
    <w:rsid w:val="00785FCD"/>
    <w:rsid w:val="0078603E"/>
    <w:rsid w:val="0078643F"/>
    <w:rsid w:val="00786682"/>
    <w:rsid w:val="007866A3"/>
    <w:rsid w:val="00786A12"/>
    <w:rsid w:val="00786A98"/>
    <w:rsid w:val="00786BE3"/>
    <w:rsid w:val="00786C18"/>
    <w:rsid w:val="00786C21"/>
    <w:rsid w:val="00786DE4"/>
    <w:rsid w:val="00786F0D"/>
    <w:rsid w:val="00787055"/>
    <w:rsid w:val="0078717C"/>
    <w:rsid w:val="0078719A"/>
    <w:rsid w:val="00787259"/>
    <w:rsid w:val="00787278"/>
    <w:rsid w:val="007872D0"/>
    <w:rsid w:val="00787344"/>
    <w:rsid w:val="00787504"/>
    <w:rsid w:val="007875AD"/>
    <w:rsid w:val="00787773"/>
    <w:rsid w:val="00787829"/>
    <w:rsid w:val="00787B2F"/>
    <w:rsid w:val="00787BDB"/>
    <w:rsid w:val="00787C9F"/>
    <w:rsid w:val="00787CB0"/>
    <w:rsid w:val="00787CBA"/>
    <w:rsid w:val="00787CF4"/>
    <w:rsid w:val="00787ECA"/>
    <w:rsid w:val="00787EF7"/>
    <w:rsid w:val="00790014"/>
    <w:rsid w:val="0079007A"/>
    <w:rsid w:val="0079045D"/>
    <w:rsid w:val="0079047A"/>
    <w:rsid w:val="007905D3"/>
    <w:rsid w:val="007905DE"/>
    <w:rsid w:val="0079065C"/>
    <w:rsid w:val="0079067D"/>
    <w:rsid w:val="007906AF"/>
    <w:rsid w:val="007906D9"/>
    <w:rsid w:val="0079077F"/>
    <w:rsid w:val="00790B07"/>
    <w:rsid w:val="00790CB3"/>
    <w:rsid w:val="00790E5B"/>
    <w:rsid w:val="007910E2"/>
    <w:rsid w:val="007911B7"/>
    <w:rsid w:val="00791202"/>
    <w:rsid w:val="00791497"/>
    <w:rsid w:val="00791560"/>
    <w:rsid w:val="007915A4"/>
    <w:rsid w:val="007915F0"/>
    <w:rsid w:val="00791603"/>
    <w:rsid w:val="00791624"/>
    <w:rsid w:val="00791656"/>
    <w:rsid w:val="0079166D"/>
    <w:rsid w:val="00791686"/>
    <w:rsid w:val="007919B5"/>
    <w:rsid w:val="00791A4D"/>
    <w:rsid w:val="00791B94"/>
    <w:rsid w:val="00791C88"/>
    <w:rsid w:val="0079207B"/>
    <w:rsid w:val="007920EC"/>
    <w:rsid w:val="00792259"/>
    <w:rsid w:val="0079237A"/>
    <w:rsid w:val="00792382"/>
    <w:rsid w:val="0079239C"/>
    <w:rsid w:val="007924EB"/>
    <w:rsid w:val="00792586"/>
    <w:rsid w:val="0079259A"/>
    <w:rsid w:val="0079265D"/>
    <w:rsid w:val="007929AB"/>
    <w:rsid w:val="007929DA"/>
    <w:rsid w:val="00792C4D"/>
    <w:rsid w:val="00792D4E"/>
    <w:rsid w:val="00792E19"/>
    <w:rsid w:val="00792FA9"/>
    <w:rsid w:val="007931AB"/>
    <w:rsid w:val="00793202"/>
    <w:rsid w:val="00793362"/>
    <w:rsid w:val="0079340D"/>
    <w:rsid w:val="00793464"/>
    <w:rsid w:val="007934BC"/>
    <w:rsid w:val="0079388F"/>
    <w:rsid w:val="0079395A"/>
    <w:rsid w:val="0079396D"/>
    <w:rsid w:val="00793A0A"/>
    <w:rsid w:val="00793A0D"/>
    <w:rsid w:val="00793B47"/>
    <w:rsid w:val="00793B77"/>
    <w:rsid w:val="00793B98"/>
    <w:rsid w:val="00793CA7"/>
    <w:rsid w:val="00793EA4"/>
    <w:rsid w:val="0079407A"/>
    <w:rsid w:val="0079426E"/>
    <w:rsid w:val="00794313"/>
    <w:rsid w:val="0079442D"/>
    <w:rsid w:val="00794441"/>
    <w:rsid w:val="00794464"/>
    <w:rsid w:val="007945C8"/>
    <w:rsid w:val="007947FE"/>
    <w:rsid w:val="00794873"/>
    <w:rsid w:val="00794914"/>
    <w:rsid w:val="00794938"/>
    <w:rsid w:val="00794998"/>
    <w:rsid w:val="00794AF4"/>
    <w:rsid w:val="00794B6A"/>
    <w:rsid w:val="00794CE6"/>
    <w:rsid w:val="00794F8D"/>
    <w:rsid w:val="0079538B"/>
    <w:rsid w:val="00795434"/>
    <w:rsid w:val="00795510"/>
    <w:rsid w:val="00795701"/>
    <w:rsid w:val="0079577F"/>
    <w:rsid w:val="0079586E"/>
    <w:rsid w:val="007959E7"/>
    <w:rsid w:val="00795A71"/>
    <w:rsid w:val="00795B78"/>
    <w:rsid w:val="00795EB5"/>
    <w:rsid w:val="0079638A"/>
    <w:rsid w:val="0079639A"/>
    <w:rsid w:val="00796410"/>
    <w:rsid w:val="007964B7"/>
    <w:rsid w:val="00796522"/>
    <w:rsid w:val="007965F4"/>
    <w:rsid w:val="00796612"/>
    <w:rsid w:val="007966B7"/>
    <w:rsid w:val="007967AB"/>
    <w:rsid w:val="00796B79"/>
    <w:rsid w:val="00796E45"/>
    <w:rsid w:val="00796F81"/>
    <w:rsid w:val="007977FE"/>
    <w:rsid w:val="0079785E"/>
    <w:rsid w:val="00797B3A"/>
    <w:rsid w:val="00797C20"/>
    <w:rsid w:val="00797F35"/>
    <w:rsid w:val="007A022E"/>
    <w:rsid w:val="007A0254"/>
    <w:rsid w:val="007A0307"/>
    <w:rsid w:val="007A0B5B"/>
    <w:rsid w:val="007A0BF1"/>
    <w:rsid w:val="007A0C3B"/>
    <w:rsid w:val="007A0DD7"/>
    <w:rsid w:val="007A100E"/>
    <w:rsid w:val="007A16F9"/>
    <w:rsid w:val="007A17FC"/>
    <w:rsid w:val="007A1960"/>
    <w:rsid w:val="007A1DEF"/>
    <w:rsid w:val="007A1F08"/>
    <w:rsid w:val="007A2065"/>
    <w:rsid w:val="007A2078"/>
    <w:rsid w:val="007A2090"/>
    <w:rsid w:val="007A210E"/>
    <w:rsid w:val="007A2143"/>
    <w:rsid w:val="007A24C1"/>
    <w:rsid w:val="007A2517"/>
    <w:rsid w:val="007A25B4"/>
    <w:rsid w:val="007A27D8"/>
    <w:rsid w:val="007A2A07"/>
    <w:rsid w:val="007A2B80"/>
    <w:rsid w:val="007A356C"/>
    <w:rsid w:val="007A3805"/>
    <w:rsid w:val="007A3A41"/>
    <w:rsid w:val="007A3DB8"/>
    <w:rsid w:val="007A3E41"/>
    <w:rsid w:val="007A4146"/>
    <w:rsid w:val="007A4236"/>
    <w:rsid w:val="007A4256"/>
    <w:rsid w:val="007A42A9"/>
    <w:rsid w:val="007A42F0"/>
    <w:rsid w:val="007A4378"/>
    <w:rsid w:val="007A43DC"/>
    <w:rsid w:val="007A4500"/>
    <w:rsid w:val="007A4552"/>
    <w:rsid w:val="007A4629"/>
    <w:rsid w:val="007A4972"/>
    <w:rsid w:val="007A4B3D"/>
    <w:rsid w:val="007A4C59"/>
    <w:rsid w:val="007A4D0B"/>
    <w:rsid w:val="007A4F0E"/>
    <w:rsid w:val="007A4F5F"/>
    <w:rsid w:val="007A5080"/>
    <w:rsid w:val="007A5111"/>
    <w:rsid w:val="007A5180"/>
    <w:rsid w:val="007A5680"/>
    <w:rsid w:val="007A585D"/>
    <w:rsid w:val="007A58AA"/>
    <w:rsid w:val="007A5981"/>
    <w:rsid w:val="007A5CB0"/>
    <w:rsid w:val="007A5CCF"/>
    <w:rsid w:val="007A5E94"/>
    <w:rsid w:val="007A5F82"/>
    <w:rsid w:val="007A61C7"/>
    <w:rsid w:val="007A61CD"/>
    <w:rsid w:val="007A654B"/>
    <w:rsid w:val="007A654C"/>
    <w:rsid w:val="007A65E4"/>
    <w:rsid w:val="007A65EA"/>
    <w:rsid w:val="007A66A8"/>
    <w:rsid w:val="007A66DB"/>
    <w:rsid w:val="007A6930"/>
    <w:rsid w:val="007A6BAC"/>
    <w:rsid w:val="007A6F19"/>
    <w:rsid w:val="007A6F41"/>
    <w:rsid w:val="007A6FED"/>
    <w:rsid w:val="007A7108"/>
    <w:rsid w:val="007A7130"/>
    <w:rsid w:val="007A714F"/>
    <w:rsid w:val="007A71B6"/>
    <w:rsid w:val="007A736E"/>
    <w:rsid w:val="007A743D"/>
    <w:rsid w:val="007A748C"/>
    <w:rsid w:val="007A74CE"/>
    <w:rsid w:val="007A764A"/>
    <w:rsid w:val="007A778B"/>
    <w:rsid w:val="007A77FE"/>
    <w:rsid w:val="007A794E"/>
    <w:rsid w:val="007A795E"/>
    <w:rsid w:val="007A7B46"/>
    <w:rsid w:val="007A7B59"/>
    <w:rsid w:val="007A7B62"/>
    <w:rsid w:val="007A7B8F"/>
    <w:rsid w:val="007A7BBB"/>
    <w:rsid w:val="007A7D2D"/>
    <w:rsid w:val="007A7E6D"/>
    <w:rsid w:val="007A7EDD"/>
    <w:rsid w:val="007A7F5C"/>
    <w:rsid w:val="007A7F7F"/>
    <w:rsid w:val="007B0204"/>
    <w:rsid w:val="007B099D"/>
    <w:rsid w:val="007B0A38"/>
    <w:rsid w:val="007B0B21"/>
    <w:rsid w:val="007B0B37"/>
    <w:rsid w:val="007B0BD1"/>
    <w:rsid w:val="007B0C06"/>
    <w:rsid w:val="007B0C6A"/>
    <w:rsid w:val="007B0D12"/>
    <w:rsid w:val="007B0E2E"/>
    <w:rsid w:val="007B0ED3"/>
    <w:rsid w:val="007B111D"/>
    <w:rsid w:val="007B12CC"/>
    <w:rsid w:val="007B138F"/>
    <w:rsid w:val="007B16FA"/>
    <w:rsid w:val="007B1D96"/>
    <w:rsid w:val="007B1F60"/>
    <w:rsid w:val="007B20F5"/>
    <w:rsid w:val="007B2493"/>
    <w:rsid w:val="007B24CE"/>
    <w:rsid w:val="007B265E"/>
    <w:rsid w:val="007B266B"/>
    <w:rsid w:val="007B281B"/>
    <w:rsid w:val="007B2844"/>
    <w:rsid w:val="007B2917"/>
    <w:rsid w:val="007B2A5B"/>
    <w:rsid w:val="007B2AB1"/>
    <w:rsid w:val="007B2AB7"/>
    <w:rsid w:val="007B2AFC"/>
    <w:rsid w:val="007B2D17"/>
    <w:rsid w:val="007B2FBA"/>
    <w:rsid w:val="007B3136"/>
    <w:rsid w:val="007B31C5"/>
    <w:rsid w:val="007B3400"/>
    <w:rsid w:val="007B34E1"/>
    <w:rsid w:val="007B3558"/>
    <w:rsid w:val="007B35E4"/>
    <w:rsid w:val="007B3700"/>
    <w:rsid w:val="007B3898"/>
    <w:rsid w:val="007B38B9"/>
    <w:rsid w:val="007B3A6A"/>
    <w:rsid w:val="007B3D35"/>
    <w:rsid w:val="007B3EE7"/>
    <w:rsid w:val="007B3EF0"/>
    <w:rsid w:val="007B3F3B"/>
    <w:rsid w:val="007B4468"/>
    <w:rsid w:val="007B45AD"/>
    <w:rsid w:val="007B461C"/>
    <w:rsid w:val="007B4786"/>
    <w:rsid w:val="007B4934"/>
    <w:rsid w:val="007B49D4"/>
    <w:rsid w:val="007B4A04"/>
    <w:rsid w:val="007B4A14"/>
    <w:rsid w:val="007B4A89"/>
    <w:rsid w:val="007B4B18"/>
    <w:rsid w:val="007B4D58"/>
    <w:rsid w:val="007B4FA2"/>
    <w:rsid w:val="007B4FC8"/>
    <w:rsid w:val="007B4FF6"/>
    <w:rsid w:val="007B5160"/>
    <w:rsid w:val="007B524F"/>
    <w:rsid w:val="007B5375"/>
    <w:rsid w:val="007B540C"/>
    <w:rsid w:val="007B5670"/>
    <w:rsid w:val="007B5821"/>
    <w:rsid w:val="007B5B1E"/>
    <w:rsid w:val="007B5BFD"/>
    <w:rsid w:val="007B5D24"/>
    <w:rsid w:val="007B6026"/>
    <w:rsid w:val="007B6060"/>
    <w:rsid w:val="007B6218"/>
    <w:rsid w:val="007B63D8"/>
    <w:rsid w:val="007B6417"/>
    <w:rsid w:val="007B6446"/>
    <w:rsid w:val="007B64D4"/>
    <w:rsid w:val="007B680F"/>
    <w:rsid w:val="007B696B"/>
    <w:rsid w:val="007B6CF7"/>
    <w:rsid w:val="007B6F44"/>
    <w:rsid w:val="007B74FB"/>
    <w:rsid w:val="007B7524"/>
    <w:rsid w:val="007B75A5"/>
    <w:rsid w:val="007B7628"/>
    <w:rsid w:val="007B7763"/>
    <w:rsid w:val="007B78B8"/>
    <w:rsid w:val="007B78CF"/>
    <w:rsid w:val="007B7A0D"/>
    <w:rsid w:val="007B7D1F"/>
    <w:rsid w:val="007B7D2E"/>
    <w:rsid w:val="007B7E15"/>
    <w:rsid w:val="007B7EA3"/>
    <w:rsid w:val="007C0405"/>
    <w:rsid w:val="007C0469"/>
    <w:rsid w:val="007C0543"/>
    <w:rsid w:val="007C0551"/>
    <w:rsid w:val="007C0630"/>
    <w:rsid w:val="007C06F4"/>
    <w:rsid w:val="007C0804"/>
    <w:rsid w:val="007C0A40"/>
    <w:rsid w:val="007C0BFC"/>
    <w:rsid w:val="007C0C9E"/>
    <w:rsid w:val="007C0E38"/>
    <w:rsid w:val="007C0E8E"/>
    <w:rsid w:val="007C0EEB"/>
    <w:rsid w:val="007C0F38"/>
    <w:rsid w:val="007C0FED"/>
    <w:rsid w:val="007C102D"/>
    <w:rsid w:val="007C13AC"/>
    <w:rsid w:val="007C1662"/>
    <w:rsid w:val="007C16A1"/>
    <w:rsid w:val="007C17C5"/>
    <w:rsid w:val="007C1A30"/>
    <w:rsid w:val="007C1AD3"/>
    <w:rsid w:val="007C1C96"/>
    <w:rsid w:val="007C1F4F"/>
    <w:rsid w:val="007C1FED"/>
    <w:rsid w:val="007C2158"/>
    <w:rsid w:val="007C2231"/>
    <w:rsid w:val="007C22F5"/>
    <w:rsid w:val="007C2423"/>
    <w:rsid w:val="007C25D1"/>
    <w:rsid w:val="007C28B3"/>
    <w:rsid w:val="007C2A75"/>
    <w:rsid w:val="007C2D73"/>
    <w:rsid w:val="007C2E6E"/>
    <w:rsid w:val="007C318D"/>
    <w:rsid w:val="007C33DE"/>
    <w:rsid w:val="007C34AF"/>
    <w:rsid w:val="007C36FC"/>
    <w:rsid w:val="007C37AB"/>
    <w:rsid w:val="007C38DD"/>
    <w:rsid w:val="007C3AA3"/>
    <w:rsid w:val="007C3AD3"/>
    <w:rsid w:val="007C3B53"/>
    <w:rsid w:val="007C3BCF"/>
    <w:rsid w:val="007C3C84"/>
    <w:rsid w:val="007C3D65"/>
    <w:rsid w:val="007C3F3D"/>
    <w:rsid w:val="007C4047"/>
    <w:rsid w:val="007C417E"/>
    <w:rsid w:val="007C43A1"/>
    <w:rsid w:val="007C448C"/>
    <w:rsid w:val="007C4A1E"/>
    <w:rsid w:val="007C4AA3"/>
    <w:rsid w:val="007C4AC6"/>
    <w:rsid w:val="007C4E8E"/>
    <w:rsid w:val="007C506E"/>
    <w:rsid w:val="007C51CE"/>
    <w:rsid w:val="007C5201"/>
    <w:rsid w:val="007C5251"/>
    <w:rsid w:val="007C53E7"/>
    <w:rsid w:val="007C545F"/>
    <w:rsid w:val="007C57D5"/>
    <w:rsid w:val="007C5A3B"/>
    <w:rsid w:val="007C5BB4"/>
    <w:rsid w:val="007C5BC4"/>
    <w:rsid w:val="007C5D3C"/>
    <w:rsid w:val="007C5F20"/>
    <w:rsid w:val="007C5F78"/>
    <w:rsid w:val="007C6002"/>
    <w:rsid w:val="007C6101"/>
    <w:rsid w:val="007C6128"/>
    <w:rsid w:val="007C641D"/>
    <w:rsid w:val="007C6568"/>
    <w:rsid w:val="007C6584"/>
    <w:rsid w:val="007C6699"/>
    <w:rsid w:val="007C669C"/>
    <w:rsid w:val="007C676A"/>
    <w:rsid w:val="007C696C"/>
    <w:rsid w:val="007C6B21"/>
    <w:rsid w:val="007C6B50"/>
    <w:rsid w:val="007C6D5A"/>
    <w:rsid w:val="007C6E61"/>
    <w:rsid w:val="007C6ED6"/>
    <w:rsid w:val="007C715C"/>
    <w:rsid w:val="007C735A"/>
    <w:rsid w:val="007C74C2"/>
    <w:rsid w:val="007C74D8"/>
    <w:rsid w:val="007C74EB"/>
    <w:rsid w:val="007C7611"/>
    <w:rsid w:val="007C7629"/>
    <w:rsid w:val="007C7704"/>
    <w:rsid w:val="007C77E5"/>
    <w:rsid w:val="007C7812"/>
    <w:rsid w:val="007C7834"/>
    <w:rsid w:val="007C7BD3"/>
    <w:rsid w:val="007C7C89"/>
    <w:rsid w:val="007D0041"/>
    <w:rsid w:val="007D01F9"/>
    <w:rsid w:val="007D0281"/>
    <w:rsid w:val="007D02A9"/>
    <w:rsid w:val="007D0447"/>
    <w:rsid w:val="007D050E"/>
    <w:rsid w:val="007D05D9"/>
    <w:rsid w:val="007D0632"/>
    <w:rsid w:val="007D06BB"/>
    <w:rsid w:val="007D06D0"/>
    <w:rsid w:val="007D0953"/>
    <w:rsid w:val="007D0965"/>
    <w:rsid w:val="007D0AC0"/>
    <w:rsid w:val="007D0B28"/>
    <w:rsid w:val="007D0D77"/>
    <w:rsid w:val="007D0E53"/>
    <w:rsid w:val="007D0EE6"/>
    <w:rsid w:val="007D1140"/>
    <w:rsid w:val="007D123C"/>
    <w:rsid w:val="007D1287"/>
    <w:rsid w:val="007D1424"/>
    <w:rsid w:val="007D15AD"/>
    <w:rsid w:val="007D179F"/>
    <w:rsid w:val="007D17BC"/>
    <w:rsid w:val="007D1B28"/>
    <w:rsid w:val="007D1BE8"/>
    <w:rsid w:val="007D1CCA"/>
    <w:rsid w:val="007D1FC8"/>
    <w:rsid w:val="007D22D0"/>
    <w:rsid w:val="007D2365"/>
    <w:rsid w:val="007D241B"/>
    <w:rsid w:val="007D2456"/>
    <w:rsid w:val="007D2577"/>
    <w:rsid w:val="007D25CC"/>
    <w:rsid w:val="007D25D1"/>
    <w:rsid w:val="007D2776"/>
    <w:rsid w:val="007D27C1"/>
    <w:rsid w:val="007D2B7A"/>
    <w:rsid w:val="007D2B93"/>
    <w:rsid w:val="007D2C51"/>
    <w:rsid w:val="007D30FE"/>
    <w:rsid w:val="007D31F7"/>
    <w:rsid w:val="007D32B7"/>
    <w:rsid w:val="007D32F3"/>
    <w:rsid w:val="007D3324"/>
    <w:rsid w:val="007D390C"/>
    <w:rsid w:val="007D3912"/>
    <w:rsid w:val="007D39BF"/>
    <w:rsid w:val="007D3B89"/>
    <w:rsid w:val="007D3C0A"/>
    <w:rsid w:val="007D3D8E"/>
    <w:rsid w:val="007D3DCB"/>
    <w:rsid w:val="007D3F81"/>
    <w:rsid w:val="007D4109"/>
    <w:rsid w:val="007D4186"/>
    <w:rsid w:val="007D41E7"/>
    <w:rsid w:val="007D4212"/>
    <w:rsid w:val="007D42A9"/>
    <w:rsid w:val="007D42C6"/>
    <w:rsid w:val="007D4466"/>
    <w:rsid w:val="007D4495"/>
    <w:rsid w:val="007D4728"/>
    <w:rsid w:val="007D476E"/>
    <w:rsid w:val="007D49DA"/>
    <w:rsid w:val="007D4CB6"/>
    <w:rsid w:val="007D4CE3"/>
    <w:rsid w:val="007D4D58"/>
    <w:rsid w:val="007D4DCB"/>
    <w:rsid w:val="007D5032"/>
    <w:rsid w:val="007D50F9"/>
    <w:rsid w:val="007D5583"/>
    <w:rsid w:val="007D55FF"/>
    <w:rsid w:val="007D5805"/>
    <w:rsid w:val="007D59FB"/>
    <w:rsid w:val="007D5BE1"/>
    <w:rsid w:val="007D5F8C"/>
    <w:rsid w:val="007D612A"/>
    <w:rsid w:val="007D65A4"/>
    <w:rsid w:val="007D667F"/>
    <w:rsid w:val="007D67FD"/>
    <w:rsid w:val="007D684B"/>
    <w:rsid w:val="007D6920"/>
    <w:rsid w:val="007D6926"/>
    <w:rsid w:val="007D6A73"/>
    <w:rsid w:val="007D6AEE"/>
    <w:rsid w:val="007D6BF8"/>
    <w:rsid w:val="007D702C"/>
    <w:rsid w:val="007D71C8"/>
    <w:rsid w:val="007D7217"/>
    <w:rsid w:val="007D72B2"/>
    <w:rsid w:val="007D72DD"/>
    <w:rsid w:val="007D73B1"/>
    <w:rsid w:val="007D74CC"/>
    <w:rsid w:val="007D794B"/>
    <w:rsid w:val="007D7BB5"/>
    <w:rsid w:val="007D7E8D"/>
    <w:rsid w:val="007D7F5E"/>
    <w:rsid w:val="007E0108"/>
    <w:rsid w:val="007E027A"/>
    <w:rsid w:val="007E034E"/>
    <w:rsid w:val="007E0583"/>
    <w:rsid w:val="007E06C8"/>
    <w:rsid w:val="007E0710"/>
    <w:rsid w:val="007E077B"/>
    <w:rsid w:val="007E07DA"/>
    <w:rsid w:val="007E08F2"/>
    <w:rsid w:val="007E0B40"/>
    <w:rsid w:val="007E0C63"/>
    <w:rsid w:val="007E0CB1"/>
    <w:rsid w:val="007E0D5E"/>
    <w:rsid w:val="007E0E62"/>
    <w:rsid w:val="007E0EFE"/>
    <w:rsid w:val="007E118B"/>
    <w:rsid w:val="007E1221"/>
    <w:rsid w:val="007E147E"/>
    <w:rsid w:val="007E1555"/>
    <w:rsid w:val="007E161F"/>
    <w:rsid w:val="007E165E"/>
    <w:rsid w:val="007E1CED"/>
    <w:rsid w:val="007E1CFD"/>
    <w:rsid w:val="007E1F87"/>
    <w:rsid w:val="007E20E3"/>
    <w:rsid w:val="007E24F8"/>
    <w:rsid w:val="007E2729"/>
    <w:rsid w:val="007E28AC"/>
    <w:rsid w:val="007E29CA"/>
    <w:rsid w:val="007E2A95"/>
    <w:rsid w:val="007E2C44"/>
    <w:rsid w:val="007E2C66"/>
    <w:rsid w:val="007E2EF9"/>
    <w:rsid w:val="007E2FA4"/>
    <w:rsid w:val="007E30A1"/>
    <w:rsid w:val="007E30CC"/>
    <w:rsid w:val="007E32A5"/>
    <w:rsid w:val="007E350F"/>
    <w:rsid w:val="007E36F2"/>
    <w:rsid w:val="007E379E"/>
    <w:rsid w:val="007E3A0F"/>
    <w:rsid w:val="007E3B50"/>
    <w:rsid w:val="007E3B8F"/>
    <w:rsid w:val="007E3D97"/>
    <w:rsid w:val="007E3EA1"/>
    <w:rsid w:val="007E3F54"/>
    <w:rsid w:val="007E4045"/>
    <w:rsid w:val="007E4133"/>
    <w:rsid w:val="007E4383"/>
    <w:rsid w:val="007E43E4"/>
    <w:rsid w:val="007E4441"/>
    <w:rsid w:val="007E44D6"/>
    <w:rsid w:val="007E45A9"/>
    <w:rsid w:val="007E48BF"/>
    <w:rsid w:val="007E4C29"/>
    <w:rsid w:val="007E4D4D"/>
    <w:rsid w:val="007E4DAC"/>
    <w:rsid w:val="007E4EFA"/>
    <w:rsid w:val="007E4F7A"/>
    <w:rsid w:val="007E4FE8"/>
    <w:rsid w:val="007E5078"/>
    <w:rsid w:val="007E50A7"/>
    <w:rsid w:val="007E5414"/>
    <w:rsid w:val="007E55DC"/>
    <w:rsid w:val="007E5A49"/>
    <w:rsid w:val="007E5A4B"/>
    <w:rsid w:val="007E5B9B"/>
    <w:rsid w:val="007E5CA7"/>
    <w:rsid w:val="007E5DA7"/>
    <w:rsid w:val="007E5DDB"/>
    <w:rsid w:val="007E5DFA"/>
    <w:rsid w:val="007E5E9B"/>
    <w:rsid w:val="007E5EFB"/>
    <w:rsid w:val="007E608C"/>
    <w:rsid w:val="007E61F9"/>
    <w:rsid w:val="007E6231"/>
    <w:rsid w:val="007E646C"/>
    <w:rsid w:val="007E65E7"/>
    <w:rsid w:val="007E66A6"/>
    <w:rsid w:val="007E6896"/>
    <w:rsid w:val="007E68E1"/>
    <w:rsid w:val="007E6A79"/>
    <w:rsid w:val="007E70DE"/>
    <w:rsid w:val="007E718D"/>
    <w:rsid w:val="007E7475"/>
    <w:rsid w:val="007E774E"/>
    <w:rsid w:val="007E7897"/>
    <w:rsid w:val="007E7EEF"/>
    <w:rsid w:val="007E7FF7"/>
    <w:rsid w:val="007F02B4"/>
    <w:rsid w:val="007F044F"/>
    <w:rsid w:val="007F050A"/>
    <w:rsid w:val="007F0516"/>
    <w:rsid w:val="007F069D"/>
    <w:rsid w:val="007F06EF"/>
    <w:rsid w:val="007F07F0"/>
    <w:rsid w:val="007F08A5"/>
    <w:rsid w:val="007F08A9"/>
    <w:rsid w:val="007F08B7"/>
    <w:rsid w:val="007F08E7"/>
    <w:rsid w:val="007F09B3"/>
    <w:rsid w:val="007F09E2"/>
    <w:rsid w:val="007F0DCC"/>
    <w:rsid w:val="007F0FC6"/>
    <w:rsid w:val="007F0FE8"/>
    <w:rsid w:val="007F11F2"/>
    <w:rsid w:val="007F13D2"/>
    <w:rsid w:val="007F14FE"/>
    <w:rsid w:val="007F15F2"/>
    <w:rsid w:val="007F15F6"/>
    <w:rsid w:val="007F165E"/>
    <w:rsid w:val="007F1882"/>
    <w:rsid w:val="007F1AC5"/>
    <w:rsid w:val="007F1AF8"/>
    <w:rsid w:val="007F1EF3"/>
    <w:rsid w:val="007F1FAB"/>
    <w:rsid w:val="007F21A9"/>
    <w:rsid w:val="007F2209"/>
    <w:rsid w:val="007F221D"/>
    <w:rsid w:val="007F224C"/>
    <w:rsid w:val="007F22AC"/>
    <w:rsid w:val="007F23E5"/>
    <w:rsid w:val="007F2470"/>
    <w:rsid w:val="007F2526"/>
    <w:rsid w:val="007F2B02"/>
    <w:rsid w:val="007F2E49"/>
    <w:rsid w:val="007F2EB9"/>
    <w:rsid w:val="007F2EBD"/>
    <w:rsid w:val="007F2F94"/>
    <w:rsid w:val="007F3055"/>
    <w:rsid w:val="007F334F"/>
    <w:rsid w:val="007F33B5"/>
    <w:rsid w:val="007F34CC"/>
    <w:rsid w:val="007F35C2"/>
    <w:rsid w:val="007F3619"/>
    <w:rsid w:val="007F37BC"/>
    <w:rsid w:val="007F38F0"/>
    <w:rsid w:val="007F393D"/>
    <w:rsid w:val="007F3949"/>
    <w:rsid w:val="007F3A13"/>
    <w:rsid w:val="007F3B86"/>
    <w:rsid w:val="007F3C1F"/>
    <w:rsid w:val="007F3CC7"/>
    <w:rsid w:val="007F3CF7"/>
    <w:rsid w:val="007F3F48"/>
    <w:rsid w:val="007F405A"/>
    <w:rsid w:val="007F4081"/>
    <w:rsid w:val="007F4184"/>
    <w:rsid w:val="007F423A"/>
    <w:rsid w:val="007F4618"/>
    <w:rsid w:val="007F481A"/>
    <w:rsid w:val="007F486D"/>
    <w:rsid w:val="007F4900"/>
    <w:rsid w:val="007F49FF"/>
    <w:rsid w:val="007F4BCD"/>
    <w:rsid w:val="007F4C11"/>
    <w:rsid w:val="007F4C17"/>
    <w:rsid w:val="007F4F3B"/>
    <w:rsid w:val="007F4F82"/>
    <w:rsid w:val="007F504C"/>
    <w:rsid w:val="007F509D"/>
    <w:rsid w:val="007F50AE"/>
    <w:rsid w:val="007F5145"/>
    <w:rsid w:val="007F51B1"/>
    <w:rsid w:val="007F533C"/>
    <w:rsid w:val="007F5415"/>
    <w:rsid w:val="007F58B1"/>
    <w:rsid w:val="007F5AB0"/>
    <w:rsid w:val="007F5BA9"/>
    <w:rsid w:val="007F5C6E"/>
    <w:rsid w:val="007F5E3D"/>
    <w:rsid w:val="007F5F2C"/>
    <w:rsid w:val="007F5FBD"/>
    <w:rsid w:val="007F61F0"/>
    <w:rsid w:val="007F624F"/>
    <w:rsid w:val="007F637E"/>
    <w:rsid w:val="007F637F"/>
    <w:rsid w:val="007F6411"/>
    <w:rsid w:val="007F658B"/>
    <w:rsid w:val="007F6800"/>
    <w:rsid w:val="007F68BB"/>
    <w:rsid w:val="007F6958"/>
    <w:rsid w:val="007F69A8"/>
    <w:rsid w:val="007F6A8F"/>
    <w:rsid w:val="007F6D21"/>
    <w:rsid w:val="007F6D6A"/>
    <w:rsid w:val="007F6E22"/>
    <w:rsid w:val="007F6E39"/>
    <w:rsid w:val="007F6EA4"/>
    <w:rsid w:val="007F6EC0"/>
    <w:rsid w:val="007F6F0A"/>
    <w:rsid w:val="007F7188"/>
    <w:rsid w:val="007F72BE"/>
    <w:rsid w:val="007F735F"/>
    <w:rsid w:val="007F7489"/>
    <w:rsid w:val="007F766D"/>
    <w:rsid w:val="007F7683"/>
    <w:rsid w:val="007F7BA5"/>
    <w:rsid w:val="007F7BD7"/>
    <w:rsid w:val="007F7D88"/>
    <w:rsid w:val="007F7D99"/>
    <w:rsid w:val="007F7E36"/>
    <w:rsid w:val="008000FB"/>
    <w:rsid w:val="008001E4"/>
    <w:rsid w:val="008001F8"/>
    <w:rsid w:val="0080055F"/>
    <w:rsid w:val="00800629"/>
    <w:rsid w:val="008007A5"/>
    <w:rsid w:val="0080086C"/>
    <w:rsid w:val="00800A8E"/>
    <w:rsid w:val="00800C3C"/>
    <w:rsid w:val="00800C69"/>
    <w:rsid w:val="00800C89"/>
    <w:rsid w:val="00800CCB"/>
    <w:rsid w:val="00800CEE"/>
    <w:rsid w:val="00800DC5"/>
    <w:rsid w:val="00800DE5"/>
    <w:rsid w:val="00800E06"/>
    <w:rsid w:val="00800FA9"/>
    <w:rsid w:val="00801013"/>
    <w:rsid w:val="00801031"/>
    <w:rsid w:val="00801055"/>
    <w:rsid w:val="00801193"/>
    <w:rsid w:val="008011F5"/>
    <w:rsid w:val="0080122D"/>
    <w:rsid w:val="00801263"/>
    <w:rsid w:val="008014CC"/>
    <w:rsid w:val="008014FA"/>
    <w:rsid w:val="0080152A"/>
    <w:rsid w:val="0080153F"/>
    <w:rsid w:val="008016D4"/>
    <w:rsid w:val="0080171E"/>
    <w:rsid w:val="00801787"/>
    <w:rsid w:val="0080182A"/>
    <w:rsid w:val="008018AD"/>
    <w:rsid w:val="00801920"/>
    <w:rsid w:val="00801AFE"/>
    <w:rsid w:val="00801BC3"/>
    <w:rsid w:val="00801D53"/>
    <w:rsid w:val="00801D70"/>
    <w:rsid w:val="00801DCA"/>
    <w:rsid w:val="00801EA6"/>
    <w:rsid w:val="00801F29"/>
    <w:rsid w:val="0080205B"/>
    <w:rsid w:val="008021FC"/>
    <w:rsid w:val="008022D7"/>
    <w:rsid w:val="008022D8"/>
    <w:rsid w:val="008023C1"/>
    <w:rsid w:val="008024FC"/>
    <w:rsid w:val="0080265F"/>
    <w:rsid w:val="008026FE"/>
    <w:rsid w:val="0080290F"/>
    <w:rsid w:val="00802958"/>
    <w:rsid w:val="008029C6"/>
    <w:rsid w:val="00802C31"/>
    <w:rsid w:val="00802C93"/>
    <w:rsid w:val="00802FF6"/>
    <w:rsid w:val="0080302A"/>
    <w:rsid w:val="00803143"/>
    <w:rsid w:val="008033D6"/>
    <w:rsid w:val="00803478"/>
    <w:rsid w:val="008035CA"/>
    <w:rsid w:val="00803606"/>
    <w:rsid w:val="00803745"/>
    <w:rsid w:val="00803756"/>
    <w:rsid w:val="00803786"/>
    <w:rsid w:val="008037A1"/>
    <w:rsid w:val="008038BF"/>
    <w:rsid w:val="00803924"/>
    <w:rsid w:val="0080396F"/>
    <w:rsid w:val="008039A4"/>
    <w:rsid w:val="00803BFE"/>
    <w:rsid w:val="00803CD9"/>
    <w:rsid w:val="00803D46"/>
    <w:rsid w:val="00803DDF"/>
    <w:rsid w:val="00804130"/>
    <w:rsid w:val="008041AA"/>
    <w:rsid w:val="00804539"/>
    <w:rsid w:val="00804640"/>
    <w:rsid w:val="00804875"/>
    <w:rsid w:val="0080488B"/>
    <w:rsid w:val="0080491C"/>
    <w:rsid w:val="00804C37"/>
    <w:rsid w:val="00804CD2"/>
    <w:rsid w:val="00804E4B"/>
    <w:rsid w:val="00804E75"/>
    <w:rsid w:val="00804EAD"/>
    <w:rsid w:val="00804F75"/>
    <w:rsid w:val="00805023"/>
    <w:rsid w:val="00805031"/>
    <w:rsid w:val="008050A2"/>
    <w:rsid w:val="00805119"/>
    <w:rsid w:val="008052D2"/>
    <w:rsid w:val="008053AC"/>
    <w:rsid w:val="00805427"/>
    <w:rsid w:val="0080546F"/>
    <w:rsid w:val="00805481"/>
    <w:rsid w:val="008054CB"/>
    <w:rsid w:val="008057A1"/>
    <w:rsid w:val="0080591F"/>
    <w:rsid w:val="008059D5"/>
    <w:rsid w:val="00805C7C"/>
    <w:rsid w:val="008063E1"/>
    <w:rsid w:val="00806438"/>
    <w:rsid w:val="00806655"/>
    <w:rsid w:val="00806918"/>
    <w:rsid w:val="008069CD"/>
    <w:rsid w:val="00806BFF"/>
    <w:rsid w:val="00806C3F"/>
    <w:rsid w:val="00806C56"/>
    <w:rsid w:val="00806C83"/>
    <w:rsid w:val="00806EDF"/>
    <w:rsid w:val="00806F4B"/>
    <w:rsid w:val="00806F8F"/>
    <w:rsid w:val="00807108"/>
    <w:rsid w:val="0080710A"/>
    <w:rsid w:val="0080710C"/>
    <w:rsid w:val="00807366"/>
    <w:rsid w:val="00807518"/>
    <w:rsid w:val="0080779E"/>
    <w:rsid w:val="00807BB2"/>
    <w:rsid w:val="00807F34"/>
    <w:rsid w:val="0081003D"/>
    <w:rsid w:val="008101D3"/>
    <w:rsid w:val="00810372"/>
    <w:rsid w:val="00810376"/>
    <w:rsid w:val="008103F4"/>
    <w:rsid w:val="0081047D"/>
    <w:rsid w:val="0081077A"/>
    <w:rsid w:val="008108C2"/>
    <w:rsid w:val="00810BC5"/>
    <w:rsid w:val="00810C75"/>
    <w:rsid w:val="00810D54"/>
    <w:rsid w:val="00810EFC"/>
    <w:rsid w:val="0081103B"/>
    <w:rsid w:val="008110EE"/>
    <w:rsid w:val="00811170"/>
    <w:rsid w:val="0081139C"/>
    <w:rsid w:val="00811637"/>
    <w:rsid w:val="0081187F"/>
    <w:rsid w:val="00811989"/>
    <w:rsid w:val="00811995"/>
    <w:rsid w:val="00811A1E"/>
    <w:rsid w:val="00811B69"/>
    <w:rsid w:val="00811C19"/>
    <w:rsid w:val="00811CF4"/>
    <w:rsid w:val="00811E5C"/>
    <w:rsid w:val="00811FDE"/>
    <w:rsid w:val="00811FF9"/>
    <w:rsid w:val="008120A5"/>
    <w:rsid w:val="00812111"/>
    <w:rsid w:val="008121AD"/>
    <w:rsid w:val="00812513"/>
    <w:rsid w:val="008126DB"/>
    <w:rsid w:val="00812771"/>
    <w:rsid w:val="00812918"/>
    <w:rsid w:val="0081295B"/>
    <w:rsid w:val="00812B2D"/>
    <w:rsid w:val="00812BBC"/>
    <w:rsid w:val="00812DCE"/>
    <w:rsid w:val="00812E79"/>
    <w:rsid w:val="00812EBA"/>
    <w:rsid w:val="0081329C"/>
    <w:rsid w:val="008134B8"/>
    <w:rsid w:val="00813737"/>
    <w:rsid w:val="008137AD"/>
    <w:rsid w:val="008138F3"/>
    <w:rsid w:val="008139D8"/>
    <w:rsid w:val="00813B5F"/>
    <w:rsid w:val="00813BD4"/>
    <w:rsid w:val="00813C90"/>
    <w:rsid w:val="00813D9F"/>
    <w:rsid w:val="00813DDB"/>
    <w:rsid w:val="00813F50"/>
    <w:rsid w:val="008141F4"/>
    <w:rsid w:val="00814233"/>
    <w:rsid w:val="008142B6"/>
    <w:rsid w:val="0081430C"/>
    <w:rsid w:val="0081447F"/>
    <w:rsid w:val="008148AC"/>
    <w:rsid w:val="00814A2D"/>
    <w:rsid w:val="00814A4E"/>
    <w:rsid w:val="00814C57"/>
    <w:rsid w:val="00814FF3"/>
    <w:rsid w:val="00814FFF"/>
    <w:rsid w:val="0081502A"/>
    <w:rsid w:val="008151AE"/>
    <w:rsid w:val="008151D8"/>
    <w:rsid w:val="00815214"/>
    <w:rsid w:val="00815242"/>
    <w:rsid w:val="00815252"/>
    <w:rsid w:val="008152B3"/>
    <w:rsid w:val="008153E3"/>
    <w:rsid w:val="0081552A"/>
    <w:rsid w:val="00815788"/>
    <w:rsid w:val="008159FA"/>
    <w:rsid w:val="00815A53"/>
    <w:rsid w:val="00815B79"/>
    <w:rsid w:val="00815BD8"/>
    <w:rsid w:val="00815CA8"/>
    <w:rsid w:val="008160BC"/>
    <w:rsid w:val="008162B2"/>
    <w:rsid w:val="008162F3"/>
    <w:rsid w:val="00816334"/>
    <w:rsid w:val="0081645B"/>
    <w:rsid w:val="008166F2"/>
    <w:rsid w:val="0081682A"/>
    <w:rsid w:val="00816886"/>
    <w:rsid w:val="008169F6"/>
    <w:rsid w:val="00816AE4"/>
    <w:rsid w:val="00816B03"/>
    <w:rsid w:val="00816D80"/>
    <w:rsid w:val="00816DB3"/>
    <w:rsid w:val="00816EBB"/>
    <w:rsid w:val="00816F46"/>
    <w:rsid w:val="0081704B"/>
    <w:rsid w:val="0081711B"/>
    <w:rsid w:val="00817134"/>
    <w:rsid w:val="008171BC"/>
    <w:rsid w:val="008171D5"/>
    <w:rsid w:val="00817228"/>
    <w:rsid w:val="008177A6"/>
    <w:rsid w:val="008179A5"/>
    <w:rsid w:val="00817BCE"/>
    <w:rsid w:val="00817DB3"/>
    <w:rsid w:val="00817F84"/>
    <w:rsid w:val="00817F9D"/>
    <w:rsid w:val="00820055"/>
    <w:rsid w:val="0082014F"/>
    <w:rsid w:val="0082015F"/>
    <w:rsid w:val="0082025A"/>
    <w:rsid w:val="008202B1"/>
    <w:rsid w:val="00820541"/>
    <w:rsid w:val="00820552"/>
    <w:rsid w:val="008207DA"/>
    <w:rsid w:val="008209B1"/>
    <w:rsid w:val="00820A85"/>
    <w:rsid w:val="00820CE9"/>
    <w:rsid w:val="00820D3C"/>
    <w:rsid w:val="00820E12"/>
    <w:rsid w:val="00820FB7"/>
    <w:rsid w:val="00821024"/>
    <w:rsid w:val="00821040"/>
    <w:rsid w:val="008211A6"/>
    <w:rsid w:val="0082125E"/>
    <w:rsid w:val="008212A2"/>
    <w:rsid w:val="00821306"/>
    <w:rsid w:val="008215E5"/>
    <w:rsid w:val="00821633"/>
    <w:rsid w:val="00821710"/>
    <w:rsid w:val="008217DD"/>
    <w:rsid w:val="00821AB0"/>
    <w:rsid w:val="00821B09"/>
    <w:rsid w:val="00821B46"/>
    <w:rsid w:val="00821D01"/>
    <w:rsid w:val="00821D65"/>
    <w:rsid w:val="00821D9A"/>
    <w:rsid w:val="00821DD9"/>
    <w:rsid w:val="00821EF1"/>
    <w:rsid w:val="00821F4E"/>
    <w:rsid w:val="00822168"/>
    <w:rsid w:val="008221FA"/>
    <w:rsid w:val="00822317"/>
    <w:rsid w:val="008224C5"/>
    <w:rsid w:val="008225CD"/>
    <w:rsid w:val="0082261A"/>
    <w:rsid w:val="00822638"/>
    <w:rsid w:val="00822690"/>
    <w:rsid w:val="00822C71"/>
    <w:rsid w:val="00822FEE"/>
    <w:rsid w:val="0082300D"/>
    <w:rsid w:val="008230B5"/>
    <w:rsid w:val="0082336F"/>
    <w:rsid w:val="008233C6"/>
    <w:rsid w:val="00823482"/>
    <w:rsid w:val="008234D9"/>
    <w:rsid w:val="00823612"/>
    <w:rsid w:val="008237E7"/>
    <w:rsid w:val="008237F5"/>
    <w:rsid w:val="008237FC"/>
    <w:rsid w:val="00823814"/>
    <w:rsid w:val="00823837"/>
    <w:rsid w:val="00823964"/>
    <w:rsid w:val="00823A11"/>
    <w:rsid w:val="00823A64"/>
    <w:rsid w:val="00823BFF"/>
    <w:rsid w:val="00823F3D"/>
    <w:rsid w:val="00823F81"/>
    <w:rsid w:val="00823F84"/>
    <w:rsid w:val="00824416"/>
    <w:rsid w:val="00824437"/>
    <w:rsid w:val="00824464"/>
    <w:rsid w:val="00824547"/>
    <w:rsid w:val="008245B2"/>
    <w:rsid w:val="008245EC"/>
    <w:rsid w:val="00824A75"/>
    <w:rsid w:val="00824A87"/>
    <w:rsid w:val="00824AEA"/>
    <w:rsid w:val="00824B00"/>
    <w:rsid w:val="00824CF1"/>
    <w:rsid w:val="00824E17"/>
    <w:rsid w:val="00824E35"/>
    <w:rsid w:val="00824E82"/>
    <w:rsid w:val="00825033"/>
    <w:rsid w:val="008250E0"/>
    <w:rsid w:val="008251F1"/>
    <w:rsid w:val="008252BD"/>
    <w:rsid w:val="00825667"/>
    <w:rsid w:val="00825784"/>
    <w:rsid w:val="0082583C"/>
    <w:rsid w:val="008258D9"/>
    <w:rsid w:val="00825B3E"/>
    <w:rsid w:val="00825C61"/>
    <w:rsid w:val="00825E13"/>
    <w:rsid w:val="00825E5C"/>
    <w:rsid w:val="00825EE4"/>
    <w:rsid w:val="0082619C"/>
    <w:rsid w:val="00826232"/>
    <w:rsid w:val="008262D7"/>
    <w:rsid w:val="0082652B"/>
    <w:rsid w:val="00826590"/>
    <w:rsid w:val="008265E5"/>
    <w:rsid w:val="008266A8"/>
    <w:rsid w:val="008266C3"/>
    <w:rsid w:val="0082676E"/>
    <w:rsid w:val="0082686E"/>
    <w:rsid w:val="0082695C"/>
    <w:rsid w:val="00826BDC"/>
    <w:rsid w:val="00826C1F"/>
    <w:rsid w:val="00826D02"/>
    <w:rsid w:val="00826D58"/>
    <w:rsid w:val="00826E00"/>
    <w:rsid w:val="00826FC0"/>
    <w:rsid w:val="00827418"/>
    <w:rsid w:val="008274A2"/>
    <w:rsid w:val="008274EB"/>
    <w:rsid w:val="008277C4"/>
    <w:rsid w:val="0082795B"/>
    <w:rsid w:val="00830147"/>
    <w:rsid w:val="00830311"/>
    <w:rsid w:val="00830363"/>
    <w:rsid w:val="0083038E"/>
    <w:rsid w:val="008304A5"/>
    <w:rsid w:val="00830676"/>
    <w:rsid w:val="0083073D"/>
    <w:rsid w:val="0083087F"/>
    <w:rsid w:val="00830990"/>
    <w:rsid w:val="00830B15"/>
    <w:rsid w:val="00830B87"/>
    <w:rsid w:val="00830D8A"/>
    <w:rsid w:val="0083103C"/>
    <w:rsid w:val="0083122C"/>
    <w:rsid w:val="008318CE"/>
    <w:rsid w:val="008318DC"/>
    <w:rsid w:val="0083195D"/>
    <w:rsid w:val="00831BEF"/>
    <w:rsid w:val="00831C2F"/>
    <w:rsid w:val="00831D36"/>
    <w:rsid w:val="00831D4C"/>
    <w:rsid w:val="00831E9F"/>
    <w:rsid w:val="00831EDB"/>
    <w:rsid w:val="00831F35"/>
    <w:rsid w:val="0083216F"/>
    <w:rsid w:val="00832379"/>
    <w:rsid w:val="008323EC"/>
    <w:rsid w:val="008324FD"/>
    <w:rsid w:val="00832562"/>
    <w:rsid w:val="0083258A"/>
    <w:rsid w:val="00832590"/>
    <w:rsid w:val="008325FB"/>
    <w:rsid w:val="008327CB"/>
    <w:rsid w:val="00832838"/>
    <w:rsid w:val="0083292D"/>
    <w:rsid w:val="00832970"/>
    <w:rsid w:val="00832AAD"/>
    <w:rsid w:val="00832AD2"/>
    <w:rsid w:val="00832AEA"/>
    <w:rsid w:val="00832BB2"/>
    <w:rsid w:val="00832D8E"/>
    <w:rsid w:val="00832DA4"/>
    <w:rsid w:val="00832E3A"/>
    <w:rsid w:val="00832F97"/>
    <w:rsid w:val="00832FDD"/>
    <w:rsid w:val="0083307C"/>
    <w:rsid w:val="0083317B"/>
    <w:rsid w:val="00833197"/>
    <w:rsid w:val="008332EA"/>
    <w:rsid w:val="00833349"/>
    <w:rsid w:val="00833378"/>
    <w:rsid w:val="008333DF"/>
    <w:rsid w:val="00833487"/>
    <w:rsid w:val="008336D5"/>
    <w:rsid w:val="0083378A"/>
    <w:rsid w:val="008337FD"/>
    <w:rsid w:val="008339C8"/>
    <w:rsid w:val="00833A03"/>
    <w:rsid w:val="00833A1A"/>
    <w:rsid w:val="00833A93"/>
    <w:rsid w:val="00833C01"/>
    <w:rsid w:val="00833DEE"/>
    <w:rsid w:val="00833F7A"/>
    <w:rsid w:val="00833FD7"/>
    <w:rsid w:val="00834008"/>
    <w:rsid w:val="008341A3"/>
    <w:rsid w:val="0083425A"/>
    <w:rsid w:val="008342A1"/>
    <w:rsid w:val="008342A3"/>
    <w:rsid w:val="008343FC"/>
    <w:rsid w:val="00834425"/>
    <w:rsid w:val="00834458"/>
    <w:rsid w:val="0083465A"/>
    <w:rsid w:val="008346B9"/>
    <w:rsid w:val="00834849"/>
    <w:rsid w:val="008349D8"/>
    <w:rsid w:val="00834A69"/>
    <w:rsid w:val="00834B34"/>
    <w:rsid w:val="00834B9B"/>
    <w:rsid w:val="00834E60"/>
    <w:rsid w:val="00834E71"/>
    <w:rsid w:val="00834F63"/>
    <w:rsid w:val="00834F84"/>
    <w:rsid w:val="00834FE8"/>
    <w:rsid w:val="0083501D"/>
    <w:rsid w:val="00835116"/>
    <w:rsid w:val="008352CD"/>
    <w:rsid w:val="00835584"/>
    <w:rsid w:val="00835611"/>
    <w:rsid w:val="00835619"/>
    <w:rsid w:val="0083563C"/>
    <w:rsid w:val="00835768"/>
    <w:rsid w:val="00835913"/>
    <w:rsid w:val="00835A2A"/>
    <w:rsid w:val="00835C04"/>
    <w:rsid w:val="00835C56"/>
    <w:rsid w:val="00835C83"/>
    <w:rsid w:val="00835C9A"/>
    <w:rsid w:val="00835CE1"/>
    <w:rsid w:val="00835EC2"/>
    <w:rsid w:val="00836063"/>
    <w:rsid w:val="00836167"/>
    <w:rsid w:val="0083618D"/>
    <w:rsid w:val="00836302"/>
    <w:rsid w:val="00836388"/>
    <w:rsid w:val="00836707"/>
    <w:rsid w:val="008369F1"/>
    <w:rsid w:val="00836AA0"/>
    <w:rsid w:val="00836B61"/>
    <w:rsid w:val="00836BF4"/>
    <w:rsid w:val="00836C7E"/>
    <w:rsid w:val="00836F96"/>
    <w:rsid w:val="00836F9A"/>
    <w:rsid w:val="00836FB0"/>
    <w:rsid w:val="0083705A"/>
    <w:rsid w:val="008370FB"/>
    <w:rsid w:val="0083716E"/>
    <w:rsid w:val="00837680"/>
    <w:rsid w:val="00837884"/>
    <w:rsid w:val="00837A05"/>
    <w:rsid w:val="00837BF1"/>
    <w:rsid w:val="00840039"/>
    <w:rsid w:val="008403B7"/>
    <w:rsid w:val="0084070F"/>
    <w:rsid w:val="0084079C"/>
    <w:rsid w:val="00840BCF"/>
    <w:rsid w:val="00840E7E"/>
    <w:rsid w:val="00840F03"/>
    <w:rsid w:val="0084121D"/>
    <w:rsid w:val="008413B4"/>
    <w:rsid w:val="0084141D"/>
    <w:rsid w:val="008418C0"/>
    <w:rsid w:val="00841D55"/>
    <w:rsid w:val="00841D5B"/>
    <w:rsid w:val="00841E09"/>
    <w:rsid w:val="00842392"/>
    <w:rsid w:val="008423B6"/>
    <w:rsid w:val="00842616"/>
    <w:rsid w:val="00842620"/>
    <w:rsid w:val="008427A5"/>
    <w:rsid w:val="008428B9"/>
    <w:rsid w:val="008429C7"/>
    <w:rsid w:val="00842B77"/>
    <w:rsid w:val="00842D95"/>
    <w:rsid w:val="00842FB3"/>
    <w:rsid w:val="00843085"/>
    <w:rsid w:val="008431B3"/>
    <w:rsid w:val="008432DF"/>
    <w:rsid w:val="00843451"/>
    <w:rsid w:val="0084355E"/>
    <w:rsid w:val="0084368D"/>
    <w:rsid w:val="00843772"/>
    <w:rsid w:val="008437B7"/>
    <w:rsid w:val="008437F5"/>
    <w:rsid w:val="0084391B"/>
    <w:rsid w:val="00843DAB"/>
    <w:rsid w:val="0084403C"/>
    <w:rsid w:val="00844294"/>
    <w:rsid w:val="008442E7"/>
    <w:rsid w:val="00844713"/>
    <w:rsid w:val="008447AA"/>
    <w:rsid w:val="00844A1D"/>
    <w:rsid w:val="00844C73"/>
    <w:rsid w:val="00844EDF"/>
    <w:rsid w:val="00844F53"/>
    <w:rsid w:val="0084504F"/>
    <w:rsid w:val="008450BA"/>
    <w:rsid w:val="008455DC"/>
    <w:rsid w:val="00845850"/>
    <w:rsid w:val="008458B2"/>
    <w:rsid w:val="008458BE"/>
    <w:rsid w:val="00845A5D"/>
    <w:rsid w:val="00845A84"/>
    <w:rsid w:val="00845B08"/>
    <w:rsid w:val="00845CB2"/>
    <w:rsid w:val="00845CB9"/>
    <w:rsid w:val="00845D2A"/>
    <w:rsid w:val="00845FFE"/>
    <w:rsid w:val="008460FA"/>
    <w:rsid w:val="0084620C"/>
    <w:rsid w:val="008463F0"/>
    <w:rsid w:val="008465D5"/>
    <w:rsid w:val="008466C0"/>
    <w:rsid w:val="00846893"/>
    <w:rsid w:val="0084694F"/>
    <w:rsid w:val="0084695B"/>
    <w:rsid w:val="008469E8"/>
    <w:rsid w:val="00846A4D"/>
    <w:rsid w:val="00846A5D"/>
    <w:rsid w:val="00846A86"/>
    <w:rsid w:val="00846BBF"/>
    <w:rsid w:val="00846FA5"/>
    <w:rsid w:val="00847193"/>
    <w:rsid w:val="00847439"/>
    <w:rsid w:val="0084754B"/>
    <w:rsid w:val="00847567"/>
    <w:rsid w:val="00847820"/>
    <w:rsid w:val="0084797B"/>
    <w:rsid w:val="008479B9"/>
    <w:rsid w:val="00847A33"/>
    <w:rsid w:val="00847AAF"/>
    <w:rsid w:val="00847D9E"/>
    <w:rsid w:val="00847E5D"/>
    <w:rsid w:val="00847E96"/>
    <w:rsid w:val="00850126"/>
    <w:rsid w:val="0085016C"/>
    <w:rsid w:val="008501ED"/>
    <w:rsid w:val="00850227"/>
    <w:rsid w:val="00850283"/>
    <w:rsid w:val="008502FE"/>
    <w:rsid w:val="00850301"/>
    <w:rsid w:val="008504AB"/>
    <w:rsid w:val="008505A6"/>
    <w:rsid w:val="0085074F"/>
    <w:rsid w:val="00850ABA"/>
    <w:rsid w:val="00850D6B"/>
    <w:rsid w:val="00850DC2"/>
    <w:rsid w:val="00850DDC"/>
    <w:rsid w:val="00850FFE"/>
    <w:rsid w:val="00851068"/>
    <w:rsid w:val="00851704"/>
    <w:rsid w:val="008517F5"/>
    <w:rsid w:val="008518CF"/>
    <w:rsid w:val="008519CD"/>
    <w:rsid w:val="00851A86"/>
    <w:rsid w:val="00851DD6"/>
    <w:rsid w:val="00851E6B"/>
    <w:rsid w:val="00851FE8"/>
    <w:rsid w:val="00852025"/>
    <w:rsid w:val="008520FD"/>
    <w:rsid w:val="0085210C"/>
    <w:rsid w:val="008522E1"/>
    <w:rsid w:val="0085232D"/>
    <w:rsid w:val="008526E8"/>
    <w:rsid w:val="008527A1"/>
    <w:rsid w:val="00852888"/>
    <w:rsid w:val="00852898"/>
    <w:rsid w:val="008528D5"/>
    <w:rsid w:val="00852CE0"/>
    <w:rsid w:val="00852D23"/>
    <w:rsid w:val="00852DC2"/>
    <w:rsid w:val="00852DDB"/>
    <w:rsid w:val="00852E1F"/>
    <w:rsid w:val="0085301C"/>
    <w:rsid w:val="008533C0"/>
    <w:rsid w:val="008535A8"/>
    <w:rsid w:val="00853691"/>
    <w:rsid w:val="00853AE1"/>
    <w:rsid w:val="00853B6D"/>
    <w:rsid w:val="00853BBC"/>
    <w:rsid w:val="00853BD0"/>
    <w:rsid w:val="00853C3F"/>
    <w:rsid w:val="00853CDC"/>
    <w:rsid w:val="00853ED7"/>
    <w:rsid w:val="00854335"/>
    <w:rsid w:val="008543D1"/>
    <w:rsid w:val="0085444F"/>
    <w:rsid w:val="0085482A"/>
    <w:rsid w:val="00854909"/>
    <w:rsid w:val="0085496A"/>
    <w:rsid w:val="00854983"/>
    <w:rsid w:val="00854A37"/>
    <w:rsid w:val="00854A99"/>
    <w:rsid w:val="00854C25"/>
    <w:rsid w:val="00854C5B"/>
    <w:rsid w:val="00854C7E"/>
    <w:rsid w:val="00854E1F"/>
    <w:rsid w:val="0085509C"/>
    <w:rsid w:val="00855184"/>
    <w:rsid w:val="00855371"/>
    <w:rsid w:val="00855505"/>
    <w:rsid w:val="008556BD"/>
    <w:rsid w:val="00855A18"/>
    <w:rsid w:val="00855B67"/>
    <w:rsid w:val="00855BB6"/>
    <w:rsid w:val="00855CA7"/>
    <w:rsid w:val="00855D58"/>
    <w:rsid w:val="00855E11"/>
    <w:rsid w:val="00855E6B"/>
    <w:rsid w:val="0085609C"/>
    <w:rsid w:val="00856331"/>
    <w:rsid w:val="00856601"/>
    <w:rsid w:val="0085664B"/>
    <w:rsid w:val="00856676"/>
    <w:rsid w:val="0085693D"/>
    <w:rsid w:val="008569CD"/>
    <w:rsid w:val="00856AF5"/>
    <w:rsid w:val="00856BB7"/>
    <w:rsid w:val="00856C09"/>
    <w:rsid w:val="00856DFD"/>
    <w:rsid w:val="008571A3"/>
    <w:rsid w:val="008571F5"/>
    <w:rsid w:val="00857260"/>
    <w:rsid w:val="0085766A"/>
    <w:rsid w:val="008576F8"/>
    <w:rsid w:val="00857741"/>
    <w:rsid w:val="00857782"/>
    <w:rsid w:val="00857803"/>
    <w:rsid w:val="00857829"/>
    <w:rsid w:val="00857834"/>
    <w:rsid w:val="00857997"/>
    <w:rsid w:val="00857A12"/>
    <w:rsid w:val="00857B24"/>
    <w:rsid w:val="00857B70"/>
    <w:rsid w:val="00857BEB"/>
    <w:rsid w:val="00857CA6"/>
    <w:rsid w:val="00857E19"/>
    <w:rsid w:val="0086019A"/>
    <w:rsid w:val="008601C1"/>
    <w:rsid w:val="008602D3"/>
    <w:rsid w:val="00860324"/>
    <w:rsid w:val="008606CE"/>
    <w:rsid w:val="00860790"/>
    <w:rsid w:val="00860917"/>
    <w:rsid w:val="008609D4"/>
    <w:rsid w:val="00860A5B"/>
    <w:rsid w:val="00860CED"/>
    <w:rsid w:val="00860CEE"/>
    <w:rsid w:val="00860F04"/>
    <w:rsid w:val="0086113E"/>
    <w:rsid w:val="00861183"/>
    <w:rsid w:val="008611E4"/>
    <w:rsid w:val="008611FA"/>
    <w:rsid w:val="008612D4"/>
    <w:rsid w:val="008614B4"/>
    <w:rsid w:val="008617CC"/>
    <w:rsid w:val="00861801"/>
    <w:rsid w:val="00861936"/>
    <w:rsid w:val="00861A74"/>
    <w:rsid w:val="00861ADF"/>
    <w:rsid w:val="00861EBD"/>
    <w:rsid w:val="00861FD6"/>
    <w:rsid w:val="00862108"/>
    <w:rsid w:val="0086214C"/>
    <w:rsid w:val="0086221F"/>
    <w:rsid w:val="008624A1"/>
    <w:rsid w:val="0086267F"/>
    <w:rsid w:val="008629B1"/>
    <w:rsid w:val="00862AB7"/>
    <w:rsid w:val="00862BDB"/>
    <w:rsid w:val="00862D95"/>
    <w:rsid w:val="00862FB3"/>
    <w:rsid w:val="00863694"/>
    <w:rsid w:val="008637D8"/>
    <w:rsid w:val="0086382B"/>
    <w:rsid w:val="0086388D"/>
    <w:rsid w:val="0086393E"/>
    <w:rsid w:val="00863A24"/>
    <w:rsid w:val="00863A76"/>
    <w:rsid w:val="00863AE0"/>
    <w:rsid w:val="00863B0B"/>
    <w:rsid w:val="00863C9A"/>
    <w:rsid w:val="00863D7C"/>
    <w:rsid w:val="00863E56"/>
    <w:rsid w:val="00863F34"/>
    <w:rsid w:val="00863F4C"/>
    <w:rsid w:val="00864034"/>
    <w:rsid w:val="008640CF"/>
    <w:rsid w:val="00864233"/>
    <w:rsid w:val="008643B3"/>
    <w:rsid w:val="008644BA"/>
    <w:rsid w:val="0086452A"/>
    <w:rsid w:val="00864867"/>
    <w:rsid w:val="00864893"/>
    <w:rsid w:val="00864918"/>
    <w:rsid w:val="00864A0B"/>
    <w:rsid w:val="00864A34"/>
    <w:rsid w:val="00864BA8"/>
    <w:rsid w:val="00864CF7"/>
    <w:rsid w:val="00864EF9"/>
    <w:rsid w:val="00865058"/>
    <w:rsid w:val="0086534B"/>
    <w:rsid w:val="00865357"/>
    <w:rsid w:val="008653BE"/>
    <w:rsid w:val="0086566E"/>
    <w:rsid w:val="008656C8"/>
    <w:rsid w:val="008656DF"/>
    <w:rsid w:val="0086591C"/>
    <w:rsid w:val="0086592E"/>
    <w:rsid w:val="00865A27"/>
    <w:rsid w:val="00865AA0"/>
    <w:rsid w:val="00865AD7"/>
    <w:rsid w:val="00865D58"/>
    <w:rsid w:val="00866095"/>
    <w:rsid w:val="00866104"/>
    <w:rsid w:val="00866217"/>
    <w:rsid w:val="0086635E"/>
    <w:rsid w:val="008664D7"/>
    <w:rsid w:val="008665CF"/>
    <w:rsid w:val="0086660A"/>
    <w:rsid w:val="0086669E"/>
    <w:rsid w:val="00866777"/>
    <w:rsid w:val="00866831"/>
    <w:rsid w:val="0086685C"/>
    <w:rsid w:val="0086691A"/>
    <w:rsid w:val="00866BA3"/>
    <w:rsid w:val="00866C0D"/>
    <w:rsid w:val="00866C5C"/>
    <w:rsid w:val="00866E31"/>
    <w:rsid w:val="00867009"/>
    <w:rsid w:val="00867085"/>
    <w:rsid w:val="00867160"/>
    <w:rsid w:val="008671DE"/>
    <w:rsid w:val="0086724C"/>
    <w:rsid w:val="00867350"/>
    <w:rsid w:val="00867515"/>
    <w:rsid w:val="0086772D"/>
    <w:rsid w:val="0086799F"/>
    <w:rsid w:val="008679A6"/>
    <w:rsid w:val="00867B3B"/>
    <w:rsid w:val="00867B7D"/>
    <w:rsid w:val="00867E13"/>
    <w:rsid w:val="00867F9D"/>
    <w:rsid w:val="00870093"/>
    <w:rsid w:val="008701C5"/>
    <w:rsid w:val="008701DC"/>
    <w:rsid w:val="0087023F"/>
    <w:rsid w:val="00870482"/>
    <w:rsid w:val="00870530"/>
    <w:rsid w:val="00870556"/>
    <w:rsid w:val="008705AA"/>
    <w:rsid w:val="0087061E"/>
    <w:rsid w:val="00870813"/>
    <w:rsid w:val="00870A4C"/>
    <w:rsid w:val="00870EBA"/>
    <w:rsid w:val="00871104"/>
    <w:rsid w:val="00871177"/>
    <w:rsid w:val="008711C8"/>
    <w:rsid w:val="008711D6"/>
    <w:rsid w:val="008714F3"/>
    <w:rsid w:val="0087153D"/>
    <w:rsid w:val="00871556"/>
    <w:rsid w:val="008715C4"/>
    <w:rsid w:val="00871645"/>
    <w:rsid w:val="008716D0"/>
    <w:rsid w:val="00871789"/>
    <w:rsid w:val="00871870"/>
    <w:rsid w:val="00871935"/>
    <w:rsid w:val="00871A81"/>
    <w:rsid w:val="00871C98"/>
    <w:rsid w:val="00871E28"/>
    <w:rsid w:val="00871FF2"/>
    <w:rsid w:val="00872176"/>
    <w:rsid w:val="0087248A"/>
    <w:rsid w:val="00872552"/>
    <w:rsid w:val="0087256C"/>
    <w:rsid w:val="0087263D"/>
    <w:rsid w:val="00872836"/>
    <w:rsid w:val="008728B7"/>
    <w:rsid w:val="008729FF"/>
    <w:rsid w:val="00872A36"/>
    <w:rsid w:val="00872AFA"/>
    <w:rsid w:val="00872B2E"/>
    <w:rsid w:val="00872B4E"/>
    <w:rsid w:val="00872B86"/>
    <w:rsid w:val="00872C93"/>
    <w:rsid w:val="00872EA5"/>
    <w:rsid w:val="00872F68"/>
    <w:rsid w:val="0087322B"/>
    <w:rsid w:val="00873281"/>
    <w:rsid w:val="0087333F"/>
    <w:rsid w:val="0087353F"/>
    <w:rsid w:val="00873564"/>
    <w:rsid w:val="0087363F"/>
    <w:rsid w:val="00873B3D"/>
    <w:rsid w:val="0087419D"/>
    <w:rsid w:val="00874290"/>
    <w:rsid w:val="008742BE"/>
    <w:rsid w:val="008744A0"/>
    <w:rsid w:val="00874514"/>
    <w:rsid w:val="00874547"/>
    <w:rsid w:val="008747E1"/>
    <w:rsid w:val="00874984"/>
    <w:rsid w:val="008749A8"/>
    <w:rsid w:val="00874A4E"/>
    <w:rsid w:val="00874D7A"/>
    <w:rsid w:val="00874E16"/>
    <w:rsid w:val="00874E2C"/>
    <w:rsid w:val="008750D7"/>
    <w:rsid w:val="00875108"/>
    <w:rsid w:val="008753D6"/>
    <w:rsid w:val="00875401"/>
    <w:rsid w:val="0087542A"/>
    <w:rsid w:val="0087549B"/>
    <w:rsid w:val="008755CF"/>
    <w:rsid w:val="008757B3"/>
    <w:rsid w:val="00875A8C"/>
    <w:rsid w:val="00875C22"/>
    <w:rsid w:val="00875C83"/>
    <w:rsid w:val="00875DB3"/>
    <w:rsid w:val="00875E6D"/>
    <w:rsid w:val="0087600B"/>
    <w:rsid w:val="0087602B"/>
    <w:rsid w:val="008761E2"/>
    <w:rsid w:val="00876347"/>
    <w:rsid w:val="008764CD"/>
    <w:rsid w:val="00876584"/>
    <w:rsid w:val="00876623"/>
    <w:rsid w:val="008766C7"/>
    <w:rsid w:val="008767D8"/>
    <w:rsid w:val="00876846"/>
    <w:rsid w:val="008768D0"/>
    <w:rsid w:val="008769CC"/>
    <w:rsid w:val="00876CB2"/>
    <w:rsid w:val="00876CCA"/>
    <w:rsid w:val="00876D8B"/>
    <w:rsid w:val="00877349"/>
    <w:rsid w:val="00877426"/>
    <w:rsid w:val="008774CE"/>
    <w:rsid w:val="00877814"/>
    <w:rsid w:val="0087784C"/>
    <w:rsid w:val="00877ADA"/>
    <w:rsid w:val="00877C00"/>
    <w:rsid w:val="00877D1C"/>
    <w:rsid w:val="00877EA8"/>
    <w:rsid w:val="00877EDD"/>
    <w:rsid w:val="00877FA3"/>
    <w:rsid w:val="00880392"/>
    <w:rsid w:val="008803E0"/>
    <w:rsid w:val="0088050A"/>
    <w:rsid w:val="00880571"/>
    <w:rsid w:val="008805F5"/>
    <w:rsid w:val="00880613"/>
    <w:rsid w:val="0088070F"/>
    <w:rsid w:val="00881202"/>
    <w:rsid w:val="00881204"/>
    <w:rsid w:val="00881451"/>
    <w:rsid w:val="00881514"/>
    <w:rsid w:val="0088153E"/>
    <w:rsid w:val="0088175B"/>
    <w:rsid w:val="00881804"/>
    <w:rsid w:val="0088181C"/>
    <w:rsid w:val="00881B42"/>
    <w:rsid w:val="00881E68"/>
    <w:rsid w:val="00881E6E"/>
    <w:rsid w:val="00881F4D"/>
    <w:rsid w:val="0088216F"/>
    <w:rsid w:val="008821F9"/>
    <w:rsid w:val="0088246A"/>
    <w:rsid w:val="008824C9"/>
    <w:rsid w:val="00882557"/>
    <w:rsid w:val="00882675"/>
    <w:rsid w:val="0088289E"/>
    <w:rsid w:val="00882E19"/>
    <w:rsid w:val="00882EB9"/>
    <w:rsid w:val="00882F6E"/>
    <w:rsid w:val="00883166"/>
    <w:rsid w:val="008832D3"/>
    <w:rsid w:val="00883668"/>
    <w:rsid w:val="008837BD"/>
    <w:rsid w:val="00883815"/>
    <w:rsid w:val="00883877"/>
    <w:rsid w:val="0088392F"/>
    <w:rsid w:val="00883ACE"/>
    <w:rsid w:val="00883C41"/>
    <w:rsid w:val="00883FD0"/>
    <w:rsid w:val="00884078"/>
    <w:rsid w:val="008840D3"/>
    <w:rsid w:val="008841D5"/>
    <w:rsid w:val="008841FB"/>
    <w:rsid w:val="008844F5"/>
    <w:rsid w:val="0088451F"/>
    <w:rsid w:val="008847F6"/>
    <w:rsid w:val="0088497E"/>
    <w:rsid w:val="00884C07"/>
    <w:rsid w:val="00884C31"/>
    <w:rsid w:val="00884D75"/>
    <w:rsid w:val="00884DF4"/>
    <w:rsid w:val="00884E31"/>
    <w:rsid w:val="008850B2"/>
    <w:rsid w:val="0088516D"/>
    <w:rsid w:val="00885669"/>
    <w:rsid w:val="00885B29"/>
    <w:rsid w:val="00885BB8"/>
    <w:rsid w:val="00885DCA"/>
    <w:rsid w:val="00885DED"/>
    <w:rsid w:val="00885E93"/>
    <w:rsid w:val="00885F5A"/>
    <w:rsid w:val="00886094"/>
    <w:rsid w:val="00886096"/>
    <w:rsid w:val="008862C5"/>
    <w:rsid w:val="0088646A"/>
    <w:rsid w:val="00886629"/>
    <w:rsid w:val="008867F3"/>
    <w:rsid w:val="00886854"/>
    <w:rsid w:val="008868B9"/>
    <w:rsid w:val="008869B9"/>
    <w:rsid w:val="00886ABA"/>
    <w:rsid w:val="00886D48"/>
    <w:rsid w:val="0088711B"/>
    <w:rsid w:val="0088721B"/>
    <w:rsid w:val="008872AB"/>
    <w:rsid w:val="0088745F"/>
    <w:rsid w:val="008877D2"/>
    <w:rsid w:val="00887815"/>
    <w:rsid w:val="00887882"/>
    <w:rsid w:val="00887930"/>
    <w:rsid w:val="00887938"/>
    <w:rsid w:val="00887B3C"/>
    <w:rsid w:val="00887BA1"/>
    <w:rsid w:val="00887E6A"/>
    <w:rsid w:val="00890143"/>
    <w:rsid w:val="0089018D"/>
    <w:rsid w:val="008901FA"/>
    <w:rsid w:val="008902BD"/>
    <w:rsid w:val="0089032E"/>
    <w:rsid w:val="00890429"/>
    <w:rsid w:val="00890497"/>
    <w:rsid w:val="00890528"/>
    <w:rsid w:val="0089053B"/>
    <w:rsid w:val="0089089B"/>
    <w:rsid w:val="00890BC9"/>
    <w:rsid w:val="00890C7C"/>
    <w:rsid w:val="00890C9F"/>
    <w:rsid w:val="00890E38"/>
    <w:rsid w:val="00890EA8"/>
    <w:rsid w:val="0089109C"/>
    <w:rsid w:val="008913A5"/>
    <w:rsid w:val="00891842"/>
    <w:rsid w:val="00891986"/>
    <w:rsid w:val="00891AA9"/>
    <w:rsid w:val="00891B4D"/>
    <w:rsid w:val="00891EED"/>
    <w:rsid w:val="0089201F"/>
    <w:rsid w:val="0089208F"/>
    <w:rsid w:val="00892110"/>
    <w:rsid w:val="00892610"/>
    <w:rsid w:val="00892F6B"/>
    <w:rsid w:val="008930D4"/>
    <w:rsid w:val="00893377"/>
    <w:rsid w:val="008933E9"/>
    <w:rsid w:val="008934D9"/>
    <w:rsid w:val="0089371D"/>
    <w:rsid w:val="00893757"/>
    <w:rsid w:val="0089395F"/>
    <w:rsid w:val="008939D8"/>
    <w:rsid w:val="00893A55"/>
    <w:rsid w:val="00893CC6"/>
    <w:rsid w:val="00893DBA"/>
    <w:rsid w:val="00893DCE"/>
    <w:rsid w:val="00893EB8"/>
    <w:rsid w:val="00893ED3"/>
    <w:rsid w:val="008941A3"/>
    <w:rsid w:val="00894220"/>
    <w:rsid w:val="0089492A"/>
    <w:rsid w:val="00894A43"/>
    <w:rsid w:val="00894AF6"/>
    <w:rsid w:val="00894C7D"/>
    <w:rsid w:val="00894D8D"/>
    <w:rsid w:val="00894E5B"/>
    <w:rsid w:val="00894EBA"/>
    <w:rsid w:val="00895311"/>
    <w:rsid w:val="0089541C"/>
    <w:rsid w:val="0089547E"/>
    <w:rsid w:val="00895693"/>
    <w:rsid w:val="00895855"/>
    <w:rsid w:val="00895ABE"/>
    <w:rsid w:val="00895AE4"/>
    <w:rsid w:val="00895C58"/>
    <w:rsid w:val="00896266"/>
    <w:rsid w:val="00896551"/>
    <w:rsid w:val="00896625"/>
    <w:rsid w:val="00896776"/>
    <w:rsid w:val="008968CA"/>
    <w:rsid w:val="00896956"/>
    <w:rsid w:val="008969B5"/>
    <w:rsid w:val="00896A84"/>
    <w:rsid w:val="00896ADB"/>
    <w:rsid w:val="00896BD9"/>
    <w:rsid w:val="00896C6B"/>
    <w:rsid w:val="00896C92"/>
    <w:rsid w:val="00896D2B"/>
    <w:rsid w:val="00896EC2"/>
    <w:rsid w:val="00897038"/>
    <w:rsid w:val="00897062"/>
    <w:rsid w:val="00897189"/>
    <w:rsid w:val="00897414"/>
    <w:rsid w:val="008974BB"/>
    <w:rsid w:val="008974D0"/>
    <w:rsid w:val="00897531"/>
    <w:rsid w:val="00897559"/>
    <w:rsid w:val="008977A5"/>
    <w:rsid w:val="00897974"/>
    <w:rsid w:val="00897A6E"/>
    <w:rsid w:val="00897ADE"/>
    <w:rsid w:val="00897B8B"/>
    <w:rsid w:val="00897C0A"/>
    <w:rsid w:val="00897CBF"/>
    <w:rsid w:val="00897EF2"/>
    <w:rsid w:val="00897F5F"/>
    <w:rsid w:val="008A001C"/>
    <w:rsid w:val="008A008B"/>
    <w:rsid w:val="008A01CA"/>
    <w:rsid w:val="008A01CE"/>
    <w:rsid w:val="008A02B4"/>
    <w:rsid w:val="008A03E0"/>
    <w:rsid w:val="008A04C1"/>
    <w:rsid w:val="008A0516"/>
    <w:rsid w:val="008A054B"/>
    <w:rsid w:val="008A05B6"/>
    <w:rsid w:val="008A0640"/>
    <w:rsid w:val="008A0824"/>
    <w:rsid w:val="008A0AB4"/>
    <w:rsid w:val="008A0C42"/>
    <w:rsid w:val="008A0D41"/>
    <w:rsid w:val="008A0E24"/>
    <w:rsid w:val="008A10F9"/>
    <w:rsid w:val="008A1231"/>
    <w:rsid w:val="008A13A1"/>
    <w:rsid w:val="008A15DE"/>
    <w:rsid w:val="008A1603"/>
    <w:rsid w:val="008A16AF"/>
    <w:rsid w:val="008A1980"/>
    <w:rsid w:val="008A19C3"/>
    <w:rsid w:val="008A19D5"/>
    <w:rsid w:val="008A1A69"/>
    <w:rsid w:val="008A1ACD"/>
    <w:rsid w:val="008A1C1F"/>
    <w:rsid w:val="008A2058"/>
    <w:rsid w:val="008A209B"/>
    <w:rsid w:val="008A20E1"/>
    <w:rsid w:val="008A2214"/>
    <w:rsid w:val="008A2282"/>
    <w:rsid w:val="008A2297"/>
    <w:rsid w:val="008A2476"/>
    <w:rsid w:val="008A24E8"/>
    <w:rsid w:val="008A2547"/>
    <w:rsid w:val="008A285C"/>
    <w:rsid w:val="008A28EF"/>
    <w:rsid w:val="008A2A36"/>
    <w:rsid w:val="008A2BD6"/>
    <w:rsid w:val="008A2DE9"/>
    <w:rsid w:val="008A2DFB"/>
    <w:rsid w:val="008A2F57"/>
    <w:rsid w:val="008A31DF"/>
    <w:rsid w:val="008A32E3"/>
    <w:rsid w:val="008A33DB"/>
    <w:rsid w:val="008A3449"/>
    <w:rsid w:val="008A35C5"/>
    <w:rsid w:val="008A35F9"/>
    <w:rsid w:val="008A374E"/>
    <w:rsid w:val="008A3878"/>
    <w:rsid w:val="008A3A59"/>
    <w:rsid w:val="008A3EC3"/>
    <w:rsid w:val="008A4238"/>
    <w:rsid w:val="008A4363"/>
    <w:rsid w:val="008A44B2"/>
    <w:rsid w:val="008A4DAB"/>
    <w:rsid w:val="008A4F49"/>
    <w:rsid w:val="008A4F58"/>
    <w:rsid w:val="008A4FEE"/>
    <w:rsid w:val="008A5082"/>
    <w:rsid w:val="008A51E5"/>
    <w:rsid w:val="008A5244"/>
    <w:rsid w:val="008A52DB"/>
    <w:rsid w:val="008A5354"/>
    <w:rsid w:val="008A55BD"/>
    <w:rsid w:val="008A55E8"/>
    <w:rsid w:val="008A56D1"/>
    <w:rsid w:val="008A577A"/>
    <w:rsid w:val="008A579A"/>
    <w:rsid w:val="008A5853"/>
    <w:rsid w:val="008A58AA"/>
    <w:rsid w:val="008A58B4"/>
    <w:rsid w:val="008A58BA"/>
    <w:rsid w:val="008A5951"/>
    <w:rsid w:val="008A5ABA"/>
    <w:rsid w:val="008A5AD9"/>
    <w:rsid w:val="008A5CC8"/>
    <w:rsid w:val="008A5CE4"/>
    <w:rsid w:val="008A5D27"/>
    <w:rsid w:val="008A5E9E"/>
    <w:rsid w:val="008A5F0E"/>
    <w:rsid w:val="008A5FBB"/>
    <w:rsid w:val="008A5FC6"/>
    <w:rsid w:val="008A607E"/>
    <w:rsid w:val="008A63B9"/>
    <w:rsid w:val="008A6414"/>
    <w:rsid w:val="008A6559"/>
    <w:rsid w:val="008A662B"/>
    <w:rsid w:val="008A67C1"/>
    <w:rsid w:val="008A68BF"/>
    <w:rsid w:val="008A6906"/>
    <w:rsid w:val="008A6B23"/>
    <w:rsid w:val="008A6B7A"/>
    <w:rsid w:val="008A6BBC"/>
    <w:rsid w:val="008A6C84"/>
    <w:rsid w:val="008A6D87"/>
    <w:rsid w:val="008A6E37"/>
    <w:rsid w:val="008A7168"/>
    <w:rsid w:val="008A7285"/>
    <w:rsid w:val="008A72BE"/>
    <w:rsid w:val="008A72D8"/>
    <w:rsid w:val="008A73AA"/>
    <w:rsid w:val="008A749D"/>
    <w:rsid w:val="008A7665"/>
    <w:rsid w:val="008A77DC"/>
    <w:rsid w:val="008A7CAE"/>
    <w:rsid w:val="008A7CEE"/>
    <w:rsid w:val="008A7D1B"/>
    <w:rsid w:val="008B0033"/>
    <w:rsid w:val="008B00F8"/>
    <w:rsid w:val="008B02DF"/>
    <w:rsid w:val="008B0395"/>
    <w:rsid w:val="008B05E0"/>
    <w:rsid w:val="008B06BE"/>
    <w:rsid w:val="008B0806"/>
    <w:rsid w:val="008B082E"/>
    <w:rsid w:val="008B0A00"/>
    <w:rsid w:val="008B0A3C"/>
    <w:rsid w:val="008B0A81"/>
    <w:rsid w:val="008B0CD5"/>
    <w:rsid w:val="008B0CF3"/>
    <w:rsid w:val="008B0F30"/>
    <w:rsid w:val="008B1453"/>
    <w:rsid w:val="008B1463"/>
    <w:rsid w:val="008B15AF"/>
    <w:rsid w:val="008B1636"/>
    <w:rsid w:val="008B1D94"/>
    <w:rsid w:val="008B1F01"/>
    <w:rsid w:val="008B1F50"/>
    <w:rsid w:val="008B23F4"/>
    <w:rsid w:val="008B2449"/>
    <w:rsid w:val="008B2AC5"/>
    <w:rsid w:val="008B2B9B"/>
    <w:rsid w:val="008B2C07"/>
    <w:rsid w:val="008B2CB1"/>
    <w:rsid w:val="008B2E78"/>
    <w:rsid w:val="008B2F9B"/>
    <w:rsid w:val="008B300B"/>
    <w:rsid w:val="008B312D"/>
    <w:rsid w:val="008B325E"/>
    <w:rsid w:val="008B34C0"/>
    <w:rsid w:val="008B3643"/>
    <w:rsid w:val="008B38E9"/>
    <w:rsid w:val="008B3ABF"/>
    <w:rsid w:val="008B3B8F"/>
    <w:rsid w:val="008B3D0D"/>
    <w:rsid w:val="008B3FF2"/>
    <w:rsid w:val="008B4110"/>
    <w:rsid w:val="008B420E"/>
    <w:rsid w:val="008B42A2"/>
    <w:rsid w:val="008B42E1"/>
    <w:rsid w:val="008B4393"/>
    <w:rsid w:val="008B440A"/>
    <w:rsid w:val="008B4618"/>
    <w:rsid w:val="008B47ED"/>
    <w:rsid w:val="008B4C01"/>
    <w:rsid w:val="008B4C12"/>
    <w:rsid w:val="008B4C2C"/>
    <w:rsid w:val="008B4CB6"/>
    <w:rsid w:val="008B4DD0"/>
    <w:rsid w:val="008B4E03"/>
    <w:rsid w:val="008B5188"/>
    <w:rsid w:val="008B51DB"/>
    <w:rsid w:val="008B5235"/>
    <w:rsid w:val="008B527E"/>
    <w:rsid w:val="008B5382"/>
    <w:rsid w:val="008B540B"/>
    <w:rsid w:val="008B5418"/>
    <w:rsid w:val="008B54A4"/>
    <w:rsid w:val="008B5679"/>
    <w:rsid w:val="008B56F5"/>
    <w:rsid w:val="008B5712"/>
    <w:rsid w:val="008B57E7"/>
    <w:rsid w:val="008B57F6"/>
    <w:rsid w:val="008B5ABD"/>
    <w:rsid w:val="008B5B38"/>
    <w:rsid w:val="008B5CB9"/>
    <w:rsid w:val="008B5D56"/>
    <w:rsid w:val="008B5DE4"/>
    <w:rsid w:val="008B5ED1"/>
    <w:rsid w:val="008B5F61"/>
    <w:rsid w:val="008B6136"/>
    <w:rsid w:val="008B619D"/>
    <w:rsid w:val="008B61CB"/>
    <w:rsid w:val="008B6283"/>
    <w:rsid w:val="008B62BA"/>
    <w:rsid w:val="008B6327"/>
    <w:rsid w:val="008B6479"/>
    <w:rsid w:val="008B6694"/>
    <w:rsid w:val="008B680F"/>
    <w:rsid w:val="008B6916"/>
    <w:rsid w:val="008B69D4"/>
    <w:rsid w:val="008B6ACD"/>
    <w:rsid w:val="008B6D6E"/>
    <w:rsid w:val="008B6E4A"/>
    <w:rsid w:val="008B7007"/>
    <w:rsid w:val="008B728F"/>
    <w:rsid w:val="008B72D5"/>
    <w:rsid w:val="008B7337"/>
    <w:rsid w:val="008B793A"/>
    <w:rsid w:val="008B7C63"/>
    <w:rsid w:val="008B7E85"/>
    <w:rsid w:val="008C002F"/>
    <w:rsid w:val="008C00D7"/>
    <w:rsid w:val="008C01FC"/>
    <w:rsid w:val="008C0725"/>
    <w:rsid w:val="008C09C0"/>
    <w:rsid w:val="008C0A1C"/>
    <w:rsid w:val="008C0A68"/>
    <w:rsid w:val="008C0A82"/>
    <w:rsid w:val="008C0BFD"/>
    <w:rsid w:val="008C0C0A"/>
    <w:rsid w:val="008C103B"/>
    <w:rsid w:val="008C1374"/>
    <w:rsid w:val="008C144D"/>
    <w:rsid w:val="008C14F4"/>
    <w:rsid w:val="008C15CE"/>
    <w:rsid w:val="008C1601"/>
    <w:rsid w:val="008C1642"/>
    <w:rsid w:val="008C16BA"/>
    <w:rsid w:val="008C19F4"/>
    <w:rsid w:val="008C1CFF"/>
    <w:rsid w:val="008C1E37"/>
    <w:rsid w:val="008C1EA8"/>
    <w:rsid w:val="008C2164"/>
    <w:rsid w:val="008C2174"/>
    <w:rsid w:val="008C2194"/>
    <w:rsid w:val="008C236B"/>
    <w:rsid w:val="008C23E2"/>
    <w:rsid w:val="008C24F6"/>
    <w:rsid w:val="008C24F7"/>
    <w:rsid w:val="008C2575"/>
    <w:rsid w:val="008C272E"/>
    <w:rsid w:val="008C2781"/>
    <w:rsid w:val="008C2AFF"/>
    <w:rsid w:val="008C2B1F"/>
    <w:rsid w:val="008C2CBC"/>
    <w:rsid w:val="008C2DCA"/>
    <w:rsid w:val="008C3286"/>
    <w:rsid w:val="008C32A5"/>
    <w:rsid w:val="008C371A"/>
    <w:rsid w:val="008C3891"/>
    <w:rsid w:val="008C398E"/>
    <w:rsid w:val="008C39B1"/>
    <w:rsid w:val="008C39D6"/>
    <w:rsid w:val="008C3A68"/>
    <w:rsid w:val="008C3B07"/>
    <w:rsid w:val="008C3DF3"/>
    <w:rsid w:val="008C3FB7"/>
    <w:rsid w:val="008C3FD9"/>
    <w:rsid w:val="008C402F"/>
    <w:rsid w:val="008C40F1"/>
    <w:rsid w:val="008C43F1"/>
    <w:rsid w:val="008C443D"/>
    <w:rsid w:val="008C445D"/>
    <w:rsid w:val="008C45B6"/>
    <w:rsid w:val="008C45C2"/>
    <w:rsid w:val="008C4846"/>
    <w:rsid w:val="008C4915"/>
    <w:rsid w:val="008C4B6D"/>
    <w:rsid w:val="008C4C34"/>
    <w:rsid w:val="008C4F3B"/>
    <w:rsid w:val="008C4FB9"/>
    <w:rsid w:val="008C52F4"/>
    <w:rsid w:val="008C555E"/>
    <w:rsid w:val="008C55BF"/>
    <w:rsid w:val="008C5692"/>
    <w:rsid w:val="008C5821"/>
    <w:rsid w:val="008C5888"/>
    <w:rsid w:val="008C5939"/>
    <w:rsid w:val="008C5A2C"/>
    <w:rsid w:val="008C5BD6"/>
    <w:rsid w:val="008C5F30"/>
    <w:rsid w:val="008C5FDF"/>
    <w:rsid w:val="008C603A"/>
    <w:rsid w:val="008C61DB"/>
    <w:rsid w:val="008C622A"/>
    <w:rsid w:val="008C623B"/>
    <w:rsid w:val="008C629F"/>
    <w:rsid w:val="008C62B1"/>
    <w:rsid w:val="008C6451"/>
    <w:rsid w:val="008C6474"/>
    <w:rsid w:val="008C653C"/>
    <w:rsid w:val="008C67C9"/>
    <w:rsid w:val="008C6A85"/>
    <w:rsid w:val="008C6AA0"/>
    <w:rsid w:val="008C6B11"/>
    <w:rsid w:val="008C6C47"/>
    <w:rsid w:val="008C6CB6"/>
    <w:rsid w:val="008C6DBF"/>
    <w:rsid w:val="008C6ED0"/>
    <w:rsid w:val="008C6FE9"/>
    <w:rsid w:val="008C71A3"/>
    <w:rsid w:val="008C774E"/>
    <w:rsid w:val="008C7767"/>
    <w:rsid w:val="008C7A7E"/>
    <w:rsid w:val="008C7AB1"/>
    <w:rsid w:val="008C7B29"/>
    <w:rsid w:val="008C7B3D"/>
    <w:rsid w:val="008C7CBC"/>
    <w:rsid w:val="008C7D51"/>
    <w:rsid w:val="008C7FA2"/>
    <w:rsid w:val="008D03EA"/>
    <w:rsid w:val="008D046A"/>
    <w:rsid w:val="008D0473"/>
    <w:rsid w:val="008D04F8"/>
    <w:rsid w:val="008D064C"/>
    <w:rsid w:val="008D0665"/>
    <w:rsid w:val="008D066E"/>
    <w:rsid w:val="008D095F"/>
    <w:rsid w:val="008D0A50"/>
    <w:rsid w:val="008D0A60"/>
    <w:rsid w:val="008D0AE7"/>
    <w:rsid w:val="008D0BCA"/>
    <w:rsid w:val="008D0DEB"/>
    <w:rsid w:val="008D0E7E"/>
    <w:rsid w:val="008D1054"/>
    <w:rsid w:val="008D1118"/>
    <w:rsid w:val="008D117A"/>
    <w:rsid w:val="008D1327"/>
    <w:rsid w:val="008D133B"/>
    <w:rsid w:val="008D1406"/>
    <w:rsid w:val="008D1485"/>
    <w:rsid w:val="008D1723"/>
    <w:rsid w:val="008D189C"/>
    <w:rsid w:val="008D1A0F"/>
    <w:rsid w:val="008D1B58"/>
    <w:rsid w:val="008D1E44"/>
    <w:rsid w:val="008D1F04"/>
    <w:rsid w:val="008D203E"/>
    <w:rsid w:val="008D20C8"/>
    <w:rsid w:val="008D2155"/>
    <w:rsid w:val="008D22AF"/>
    <w:rsid w:val="008D22C5"/>
    <w:rsid w:val="008D2585"/>
    <w:rsid w:val="008D25ED"/>
    <w:rsid w:val="008D2601"/>
    <w:rsid w:val="008D271D"/>
    <w:rsid w:val="008D2A56"/>
    <w:rsid w:val="008D2A7E"/>
    <w:rsid w:val="008D2F78"/>
    <w:rsid w:val="008D3127"/>
    <w:rsid w:val="008D3330"/>
    <w:rsid w:val="008D33A7"/>
    <w:rsid w:val="008D33CF"/>
    <w:rsid w:val="008D3542"/>
    <w:rsid w:val="008D35F3"/>
    <w:rsid w:val="008D3673"/>
    <w:rsid w:val="008D3825"/>
    <w:rsid w:val="008D3832"/>
    <w:rsid w:val="008D3912"/>
    <w:rsid w:val="008D39EF"/>
    <w:rsid w:val="008D3D1E"/>
    <w:rsid w:val="008D420C"/>
    <w:rsid w:val="008D43E3"/>
    <w:rsid w:val="008D4490"/>
    <w:rsid w:val="008D452C"/>
    <w:rsid w:val="008D455B"/>
    <w:rsid w:val="008D4560"/>
    <w:rsid w:val="008D45FF"/>
    <w:rsid w:val="008D47B0"/>
    <w:rsid w:val="008D4874"/>
    <w:rsid w:val="008D48D2"/>
    <w:rsid w:val="008D48E7"/>
    <w:rsid w:val="008D49D8"/>
    <w:rsid w:val="008D4A16"/>
    <w:rsid w:val="008D4B03"/>
    <w:rsid w:val="008D4EE5"/>
    <w:rsid w:val="008D55AA"/>
    <w:rsid w:val="008D5651"/>
    <w:rsid w:val="008D5711"/>
    <w:rsid w:val="008D5874"/>
    <w:rsid w:val="008D5886"/>
    <w:rsid w:val="008D5AC1"/>
    <w:rsid w:val="008D5EF8"/>
    <w:rsid w:val="008D5FA3"/>
    <w:rsid w:val="008D5FEC"/>
    <w:rsid w:val="008D603E"/>
    <w:rsid w:val="008D604A"/>
    <w:rsid w:val="008D606B"/>
    <w:rsid w:val="008D6452"/>
    <w:rsid w:val="008D651B"/>
    <w:rsid w:val="008D6697"/>
    <w:rsid w:val="008D66B1"/>
    <w:rsid w:val="008D67A4"/>
    <w:rsid w:val="008D6829"/>
    <w:rsid w:val="008D693B"/>
    <w:rsid w:val="008D6A6B"/>
    <w:rsid w:val="008D6BC6"/>
    <w:rsid w:val="008D6D42"/>
    <w:rsid w:val="008D6DF5"/>
    <w:rsid w:val="008D7100"/>
    <w:rsid w:val="008D7283"/>
    <w:rsid w:val="008D72BB"/>
    <w:rsid w:val="008D7349"/>
    <w:rsid w:val="008D7508"/>
    <w:rsid w:val="008D755C"/>
    <w:rsid w:val="008D7828"/>
    <w:rsid w:val="008D7909"/>
    <w:rsid w:val="008D7966"/>
    <w:rsid w:val="008D79CD"/>
    <w:rsid w:val="008D7D92"/>
    <w:rsid w:val="008D7DE0"/>
    <w:rsid w:val="008D7EEE"/>
    <w:rsid w:val="008E0011"/>
    <w:rsid w:val="008E00EA"/>
    <w:rsid w:val="008E01BC"/>
    <w:rsid w:val="008E0330"/>
    <w:rsid w:val="008E0368"/>
    <w:rsid w:val="008E04FC"/>
    <w:rsid w:val="008E0913"/>
    <w:rsid w:val="008E096F"/>
    <w:rsid w:val="008E0C3B"/>
    <w:rsid w:val="008E0C89"/>
    <w:rsid w:val="008E0CDB"/>
    <w:rsid w:val="008E0F1F"/>
    <w:rsid w:val="008E10A4"/>
    <w:rsid w:val="008E1247"/>
    <w:rsid w:val="008E147D"/>
    <w:rsid w:val="008E15AF"/>
    <w:rsid w:val="008E175E"/>
    <w:rsid w:val="008E199E"/>
    <w:rsid w:val="008E1A55"/>
    <w:rsid w:val="008E1FA7"/>
    <w:rsid w:val="008E2000"/>
    <w:rsid w:val="008E2029"/>
    <w:rsid w:val="008E2094"/>
    <w:rsid w:val="008E2105"/>
    <w:rsid w:val="008E22F3"/>
    <w:rsid w:val="008E236D"/>
    <w:rsid w:val="008E23BC"/>
    <w:rsid w:val="008E23EB"/>
    <w:rsid w:val="008E274B"/>
    <w:rsid w:val="008E2810"/>
    <w:rsid w:val="008E2815"/>
    <w:rsid w:val="008E2AE0"/>
    <w:rsid w:val="008E2C26"/>
    <w:rsid w:val="008E2DA1"/>
    <w:rsid w:val="008E2E90"/>
    <w:rsid w:val="008E2F1D"/>
    <w:rsid w:val="008E3044"/>
    <w:rsid w:val="008E30BD"/>
    <w:rsid w:val="008E34AB"/>
    <w:rsid w:val="008E355B"/>
    <w:rsid w:val="008E35B4"/>
    <w:rsid w:val="008E392A"/>
    <w:rsid w:val="008E3953"/>
    <w:rsid w:val="008E39F4"/>
    <w:rsid w:val="008E3A35"/>
    <w:rsid w:val="008E3A62"/>
    <w:rsid w:val="008E3D3C"/>
    <w:rsid w:val="008E4114"/>
    <w:rsid w:val="008E4191"/>
    <w:rsid w:val="008E4208"/>
    <w:rsid w:val="008E42F9"/>
    <w:rsid w:val="008E434D"/>
    <w:rsid w:val="008E436A"/>
    <w:rsid w:val="008E43A3"/>
    <w:rsid w:val="008E45A5"/>
    <w:rsid w:val="008E489A"/>
    <w:rsid w:val="008E4A46"/>
    <w:rsid w:val="008E4B1F"/>
    <w:rsid w:val="008E4BEB"/>
    <w:rsid w:val="008E4D39"/>
    <w:rsid w:val="008E4D41"/>
    <w:rsid w:val="008E4DC7"/>
    <w:rsid w:val="008E4F0E"/>
    <w:rsid w:val="008E506C"/>
    <w:rsid w:val="008E5074"/>
    <w:rsid w:val="008E51AF"/>
    <w:rsid w:val="008E52F3"/>
    <w:rsid w:val="008E554D"/>
    <w:rsid w:val="008E5632"/>
    <w:rsid w:val="008E573A"/>
    <w:rsid w:val="008E580E"/>
    <w:rsid w:val="008E5B48"/>
    <w:rsid w:val="008E5D89"/>
    <w:rsid w:val="008E5E33"/>
    <w:rsid w:val="008E5F6B"/>
    <w:rsid w:val="008E607C"/>
    <w:rsid w:val="008E607D"/>
    <w:rsid w:val="008E6305"/>
    <w:rsid w:val="008E658C"/>
    <w:rsid w:val="008E65AB"/>
    <w:rsid w:val="008E669C"/>
    <w:rsid w:val="008E6805"/>
    <w:rsid w:val="008E68EE"/>
    <w:rsid w:val="008E6906"/>
    <w:rsid w:val="008E6AF3"/>
    <w:rsid w:val="008E6C76"/>
    <w:rsid w:val="008E6F26"/>
    <w:rsid w:val="008E6F9B"/>
    <w:rsid w:val="008E7153"/>
    <w:rsid w:val="008E7213"/>
    <w:rsid w:val="008E74EA"/>
    <w:rsid w:val="008E753B"/>
    <w:rsid w:val="008E755B"/>
    <w:rsid w:val="008E7715"/>
    <w:rsid w:val="008E790A"/>
    <w:rsid w:val="008E799B"/>
    <w:rsid w:val="008E7A09"/>
    <w:rsid w:val="008E7ABA"/>
    <w:rsid w:val="008E7BAE"/>
    <w:rsid w:val="008E7D21"/>
    <w:rsid w:val="008E7F43"/>
    <w:rsid w:val="008F0182"/>
    <w:rsid w:val="008F0436"/>
    <w:rsid w:val="008F0607"/>
    <w:rsid w:val="008F0640"/>
    <w:rsid w:val="008F066F"/>
    <w:rsid w:val="008F0834"/>
    <w:rsid w:val="008F0881"/>
    <w:rsid w:val="008F089C"/>
    <w:rsid w:val="008F08B0"/>
    <w:rsid w:val="008F0914"/>
    <w:rsid w:val="008F0A64"/>
    <w:rsid w:val="008F0B9F"/>
    <w:rsid w:val="008F0C7B"/>
    <w:rsid w:val="008F0D3C"/>
    <w:rsid w:val="008F0FD2"/>
    <w:rsid w:val="008F11E9"/>
    <w:rsid w:val="008F15EC"/>
    <w:rsid w:val="008F16BF"/>
    <w:rsid w:val="008F1786"/>
    <w:rsid w:val="008F1811"/>
    <w:rsid w:val="008F18C5"/>
    <w:rsid w:val="008F1A59"/>
    <w:rsid w:val="008F1AF5"/>
    <w:rsid w:val="008F1BD0"/>
    <w:rsid w:val="008F1E63"/>
    <w:rsid w:val="008F1F0C"/>
    <w:rsid w:val="008F20CF"/>
    <w:rsid w:val="008F21F6"/>
    <w:rsid w:val="008F2209"/>
    <w:rsid w:val="008F223E"/>
    <w:rsid w:val="008F23AC"/>
    <w:rsid w:val="008F2543"/>
    <w:rsid w:val="008F25B7"/>
    <w:rsid w:val="008F2624"/>
    <w:rsid w:val="008F28CF"/>
    <w:rsid w:val="008F2926"/>
    <w:rsid w:val="008F2976"/>
    <w:rsid w:val="008F29E5"/>
    <w:rsid w:val="008F2A68"/>
    <w:rsid w:val="008F2B20"/>
    <w:rsid w:val="008F2F9C"/>
    <w:rsid w:val="008F3047"/>
    <w:rsid w:val="008F30D4"/>
    <w:rsid w:val="008F32F6"/>
    <w:rsid w:val="008F33A5"/>
    <w:rsid w:val="008F3713"/>
    <w:rsid w:val="008F3B6A"/>
    <w:rsid w:val="008F3B7C"/>
    <w:rsid w:val="008F3BD1"/>
    <w:rsid w:val="008F407C"/>
    <w:rsid w:val="008F4164"/>
    <w:rsid w:val="008F426C"/>
    <w:rsid w:val="008F42D5"/>
    <w:rsid w:val="008F433B"/>
    <w:rsid w:val="008F44B6"/>
    <w:rsid w:val="008F462C"/>
    <w:rsid w:val="008F47D7"/>
    <w:rsid w:val="008F48BF"/>
    <w:rsid w:val="008F4942"/>
    <w:rsid w:val="008F4F8B"/>
    <w:rsid w:val="008F523F"/>
    <w:rsid w:val="008F55A4"/>
    <w:rsid w:val="008F5786"/>
    <w:rsid w:val="008F58A5"/>
    <w:rsid w:val="008F5962"/>
    <w:rsid w:val="008F59BB"/>
    <w:rsid w:val="008F5A73"/>
    <w:rsid w:val="008F5AC4"/>
    <w:rsid w:val="008F5B64"/>
    <w:rsid w:val="008F5CE3"/>
    <w:rsid w:val="008F5CEC"/>
    <w:rsid w:val="008F6034"/>
    <w:rsid w:val="008F6144"/>
    <w:rsid w:val="008F614D"/>
    <w:rsid w:val="008F620C"/>
    <w:rsid w:val="008F62BF"/>
    <w:rsid w:val="008F64EB"/>
    <w:rsid w:val="008F652F"/>
    <w:rsid w:val="008F655A"/>
    <w:rsid w:val="008F6696"/>
    <w:rsid w:val="008F685A"/>
    <w:rsid w:val="008F69F4"/>
    <w:rsid w:val="008F6B86"/>
    <w:rsid w:val="008F6CDB"/>
    <w:rsid w:val="008F6DB6"/>
    <w:rsid w:val="008F6F89"/>
    <w:rsid w:val="008F70FC"/>
    <w:rsid w:val="008F7170"/>
    <w:rsid w:val="008F7196"/>
    <w:rsid w:val="008F7375"/>
    <w:rsid w:val="008F7396"/>
    <w:rsid w:val="008F74BE"/>
    <w:rsid w:val="008F752F"/>
    <w:rsid w:val="008F7569"/>
    <w:rsid w:val="008F75CD"/>
    <w:rsid w:val="008F787B"/>
    <w:rsid w:val="008F792C"/>
    <w:rsid w:val="008F7992"/>
    <w:rsid w:val="008F7A9A"/>
    <w:rsid w:val="008F7B37"/>
    <w:rsid w:val="008F7BEF"/>
    <w:rsid w:val="008F7C1B"/>
    <w:rsid w:val="008F7DAC"/>
    <w:rsid w:val="008F7F42"/>
    <w:rsid w:val="0090002C"/>
    <w:rsid w:val="00900087"/>
    <w:rsid w:val="0090012D"/>
    <w:rsid w:val="009002D6"/>
    <w:rsid w:val="0090036F"/>
    <w:rsid w:val="00900457"/>
    <w:rsid w:val="00900597"/>
    <w:rsid w:val="0090062F"/>
    <w:rsid w:val="00900812"/>
    <w:rsid w:val="0090081F"/>
    <w:rsid w:val="00900AA4"/>
    <w:rsid w:val="00900B88"/>
    <w:rsid w:val="00900CD0"/>
    <w:rsid w:val="00900E53"/>
    <w:rsid w:val="00900E66"/>
    <w:rsid w:val="00900FD0"/>
    <w:rsid w:val="00901041"/>
    <w:rsid w:val="009010FB"/>
    <w:rsid w:val="009014F1"/>
    <w:rsid w:val="009014FC"/>
    <w:rsid w:val="009016F9"/>
    <w:rsid w:val="009018E4"/>
    <w:rsid w:val="00901C4C"/>
    <w:rsid w:val="00901C93"/>
    <w:rsid w:val="00901CB9"/>
    <w:rsid w:val="00901F53"/>
    <w:rsid w:val="00902139"/>
    <w:rsid w:val="009021B5"/>
    <w:rsid w:val="009021C6"/>
    <w:rsid w:val="0090234D"/>
    <w:rsid w:val="009023C2"/>
    <w:rsid w:val="009025FB"/>
    <w:rsid w:val="009027A3"/>
    <w:rsid w:val="0090286D"/>
    <w:rsid w:val="00902888"/>
    <w:rsid w:val="00902BCF"/>
    <w:rsid w:val="00902C86"/>
    <w:rsid w:val="00902C8F"/>
    <w:rsid w:val="00902F11"/>
    <w:rsid w:val="00902FB6"/>
    <w:rsid w:val="00903005"/>
    <w:rsid w:val="009030F0"/>
    <w:rsid w:val="0090313B"/>
    <w:rsid w:val="0090316B"/>
    <w:rsid w:val="00903199"/>
    <w:rsid w:val="0090324E"/>
    <w:rsid w:val="00903351"/>
    <w:rsid w:val="00903603"/>
    <w:rsid w:val="0090368C"/>
    <w:rsid w:val="009039D6"/>
    <w:rsid w:val="00903BB1"/>
    <w:rsid w:val="00903C25"/>
    <w:rsid w:val="00903EBF"/>
    <w:rsid w:val="0090411D"/>
    <w:rsid w:val="009043B7"/>
    <w:rsid w:val="009043D0"/>
    <w:rsid w:val="009043D7"/>
    <w:rsid w:val="0090442E"/>
    <w:rsid w:val="009044E8"/>
    <w:rsid w:val="00904669"/>
    <w:rsid w:val="00904688"/>
    <w:rsid w:val="009047F3"/>
    <w:rsid w:val="00904943"/>
    <w:rsid w:val="0090498D"/>
    <w:rsid w:val="009049B2"/>
    <w:rsid w:val="00904A7F"/>
    <w:rsid w:val="00904B14"/>
    <w:rsid w:val="00904B71"/>
    <w:rsid w:val="00904D4B"/>
    <w:rsid w:val="00904EA2"/>
    <w:rsid w:val="0090502C"/>
    <w:rsid w:val="0090503E"/>
    <w:rsid w:val="00905203"/>
    <w:rsid w:val="00905336"/>
    <w:rsid w:val="00905344"/>
    <w:rsid w:val="00905373"/>
    <w:rsid w:val="009057FC"/>
    <w:rsid w:val="00905A3A"/>
    <w:rsid w:val="00905ACC"/>
    <w:rsid w:val="00905B35"/>
    <w:rsid w:val="00905BC6"/>
    <w:rsid w:val="00905F08"/>
    <w:rsid w:val="009068BC"/>
    <w:rsid w:val="009069FE"/>
    <w:rsid w:val="00906ACD"/>
    <w:rsid w:val="00906B1A"/>
    <w:rsid w:val="00906B62"/>
    <w:rsid w:val="00906E7E"/>
    <w:rsid w:val="00906E8C"/>
    <w:rsid w:val="0090703E"/>
    <w:rsid w:val="009071CE"/>
    <w:rsid w:val="00907228"/>
    <w:rsid w:val="0090776C"/>
    <w:rsid w:val="009077DF"/>
    <w:rsid w:val="00907BC5"/>
    <w:rsid w:val="00907BF2"/>
    <w:rsid w:val="00907C07"/>
    <w:rsid w:val="00907C8E"/>
    <w:rsid w:val="00907EBF"/>
    <w:rsid w:val="00907F38"/>
    <w:rsid w:val="00910228"/>
    <w:rsid w:val="00910298"/>
    <w:rsid w:val="00910505"/>
    <w:rsid w:val="00910589"/>
    <w:rsid w:val="00910591"/>
    <w:rsid w:val="00910655"/>
    <w:rsid w:val="009107D0"/>
    <w:rsid w:val="00910A41"/>
    <w:rsid w:val="00910A80"/>
    <w:rsid w:val="00910ED9"/>
    <w:rsid w:val="00910FB6"/>
    <w:rsid w:val="00911158"/>
    <w:rsid w:val="009111FC"/>
    <w:rsid w:val="009112B3"/>
    <w:rsid w:val="0091132A"/>
    <w:rsid w:val="00911431"/>
    <w:rsid w:val="0091160F"/>
    <w:rsid w:val="00911646"/>
    <w:rsid w:val="00911681"/>
    <w:rsid w:val="00911907"/>
    <w:rsid w:val="00911A46"/>
    <w:rsid w:val="00911A4C"/>
    <w:rsid w:val="00911A4E"/>
    <w:rsid w:val="00911FB5"/>
    <w:rsid w:val="009120B9"/>
    <w:rsid w:val="00912265"/>
    <w:rsid w:val="0091238A"/>
    <w:rsid w:val="009125F5"/>
    <w:rsid w:val="00912664"/>
    <w:rsid w:val="009126F7"/>
    <w:rsid w:val="0091283F"/>
    <w:rsid w:val="009129DB"/>
    <w:rsid w:val="00912A7C"/>
    <w:rsid w:val="00912B3F"/>
    <w:rsid w:val="00912BD4"/>
    <w:rsid w:val="00912D59"/>
    <w:rsid w:val="00912E4C"/>
    <w:rsid w:val="00912E5D"/>
    <w:rsid w:val="00912F1A"/>
    <w:rsid w:val="00912FAB"/>
    <w:rsid w:val="0091301B"/>
    <w:rsid w:val="0091302C"/>
    <w:rsid w:val="0091325F"/>
    <w:rsid w:val="009132B9"/>
    <w:rsid w:val="00913513"/>
    <w:rsid w:val="00913588"/>
    <w:rsid w:val="009136CB"/>
    <w:rsid w:val="00913757"/>
    <w:rsid w:val="00913847"/>
    <w:rsid w:val="009139B1"/>
    <w:rsid w:val="00913C40"/>
    <w:rsid w:val="00913F3E"/>
    <w:rsid w:val="00913F6F"/>
    <w:rsid w:val="00913FF9"/>
    <w:rsid w:val="0091431D"/>
    <w:rsid w:val="00914388"/>
    <w:rsid w:val="00914889"/>
    <w:rsid w:val="00914BBF"/>
    <w:rsid w:val="00914CA2"/>
    <w:rsid w:val="00914ECA"/>
    <w:rsid w:val="00914F79"/>
    <w:rsid w:val="00914FF9"/>
    <w:rsid w:val="00915142"/>
    <w:rsid w:val="00915269"/>
    <w:rsid w:val="009153AA"/>
    <w:rsid w:val="00915510"/>
    <w:rsid w:val="00915610"/>
    <w:rsid w:val="0091567C"/>
    <w:rsid w:val="0091568E"/>
    <w:rsid w:val="00915855"/>
    <w:rsid w:val="00915A01"/>
    <w:rsid w:val="00915AF1"/>
    <w:rsid w:val="00915C8A"/>
    <w:rsid w:val="00915FD4"/>
    <w:rsid w:val="00915FFD"/>
    <w:rsid w:val="0091613C"/>
    <w:rsid w:val="00916221"/>
    <w:rsid w:val="0091627A"/>
    <w:rsid w:val="00916580"/>
    <w:rsid w:val="009165F3"/>
    <w:rsid w:val="0091668D"/>
    <w:rsid w:val="00916801"/>
    <w:rsid w:val="00916A9B"/>
    <w:rsid w:val="00916CEA"/>
    <w:rsid w:val="00916E13"/>
    <w:rsid w:val="00916F6C"/>
    <w:rsid w:val="009170C5"/>
    <w:rsid w:val="00917131"/>
    <w:rsid w:val="00917210"/>
    <w:rsid w:val="0091721D"/>
    <w:rsid w:val="0091739C"/>
    <w:rsid w:val="0091747D"/>
    <w:rsid w:val="00917574"/>
    <w:rsid w:val="009175B3"/>
    <w:rsid w:val="00917608"/>
    <w:rsid w:val="009176E6"/>
    <w:rsid w:val="0091771B"/>
    <w:rsid w:val="00917A05"/>
    <w:rsid w:val="00917B5E"/>
    <w:rsid w:val="00917BC3"/>
    <w:rsid w:val="00917C49"/>
    <w:rsid w:val="00917C79"/>
    <w:rsid w:val="00917D70"/>
    <w:rsid w:val="00917E38"/>
    <w:rsid w:val="0092002E"/>
    <w:rsid w:val="009200CE"/>
    <w:rsid w:val="00920421"/>
    <w:rsid w:val="009204C6"/>
    <w:rsid w:val="00920633"/>
    <w:rsid w:val="00920974"/>
    <w:rsid w:val="00920A73"/>
    <w:rsid w:val="00920A78"/>
    <w:rsid w:val="00920B1E"/>
    <w:rsid w:val="00920C60"/>
    <w:rsid w:val="00920C9A"/>
    <w:rsid w:val="00920CEA"/>
    <w:rsid w:val="00920DBE"/>
    <w:rsid w:val="00920E40"/>
    <w:rsid w:val="00920E66"/>
    <w:rsid w:val="009210F3"/>
    <w:rsid w:val="009211C7"/>
    <w:rsid w:val="009215C8"/>
    <w:rsid w:val="00921616"/>
    <w:rsid w:val="00921792"/>
    <w:rsid w:val="0092179C"/>
    <w:rsid w:val="00921A1C"/>
    <w:rsid w:val="00921B38"/>
    <w:rsid w:val="00921E0C"/>
    <w:rsid w:val="00921EE6"/>
    <w:rsid w:val="00921F85"/>
    <w:rsid w:val="00922653"/>
    <w:rsid w:val="009227F1"/>
    <w:rsid w:val="009228D0"/>
    <w:rsid w:val="00922D6C"/>
    <w:rsid w:val="00922D99"/>
    <w:rsid w:val="00922E5E"/>
    <w:rsid w:val="00922FF8"/>
    <w:rsid w:val="00923082"/>
    <w:rsid w:val="009230C8"/>
    <w:rsid w:val="0092321A"/>
    <w:rsid w:val="00923230"/>
    <w:rsid w:val="00923487"/>
    <w:rsid w:val="009234B0"/>
    <w:rsid w:val="009235B9"/>
    <w:rsid w:val="00923AAD"/>
    <w:rsid w:val="00923B52"/>
    <w:rsid w:val="009240C8"/>
    <w:rsid w:val="009240E9"/>
    <w:rsid w:val="00924155"/>
    <w:rsid w:val="009241C7"/>
    <w:rsid w:val="009241F4"/>
    <w:rsid w:val="009245B6"/>
    <w:rsid w:val="00924885"/>
    <w:rsid w:val="0092492E"/>
    <w:rsid w:val="00924A09"/>
    <w:rsid w:val="00924A0A"/>
    <w:rsid w:val="00924A55"/>
    <w:rsid w:val="00924C21"/>
    <w:rsid w:val="00924C75"/>
    <w:rsid w:val="00925078"/>
    <w:rsid w:val="0092525A"/>
    <w:rsid w:val="00925289"/>
    <w:rsid w:val="00925347"/>
    <w:rsid w:val="009253B8"/>
    <w:rsid w:val="009257A4"/>
    <w:rsid w:val="0092581A"/>
    <w:rsid w:val="0092585D"/>
    <w:rsid w:val="0092598A"/>
    <w:rsid w:val="00925C0E"/>
    <w:rsid w:val="00925E47"/>
    <w:rsid w:val="00925E7D"/>
    <w:rsid w:val="0092600A"/>
    <w:rsid w:val="009260B8"/>
    <w:rsid w:val="0092610F"/>
    <w:rsid w:val="009264A2"/>
    <w:rsid w:val="00926515"/>
    <w:rsid w:val="00926572"/>
    <w:rsid w:val="00926582"/>
    <w:rsid w:val="00926748"/>
    <w:rsid w:val="00926761"/>
    <w:rsid w:val="009269D6"/>
    <w:rsid w:val="00926BDD"/>
    <w:rsid w:val="00927070"/>
    <w:rsid w:val="009270E1"/>
    <w:rsid w:val="009270ED"/>
    <w:rsid w:val="00927141"/>
    <w:rsid w:val="009275A1"/>
    <w:rsid w:val="0092767D"/>
    <w:rsid w:val="00927845"/>
    <w:rsid w:val="009279FC"/>
    <w:rsid w:val="00927AA5"/>
    <w:rsid w:val="00927AF4"/>
    <w:rsid w:val="00927E0B"/>
    <w:rsid w:val="00927F89"/>
    <w:rsid w:val="0093001A"/>
    <w:rsid w:val="00930109"/>
    <w:rsid w:val="00930380"/>
    <w:rsid w:val="00930386"/>
    <w:rsid w:val="009304DB"/>
    <w:rsid w:val="009306F9"/>
    <w:rsid w:val="00930701"/>
    <w:rsid w:val="00930A0A"/>
    <w:rsid w:val="00930BF4"/>
    <w:rsid w:val="00931129"/>
    <w:rsid w:val="00931299"/>
    <w:rsid w:val="00931335"/>
    <w:rsid w:val="0093134A"/>
    <w:rsid w:val="009316D0"/>
    <w:rsid w:val="009317F4"/>
    <w:rsid w:val="00931B54"/>
    <w:rsid w:val="00931DB1"/>
    <w:rsid w:val="00931DF3"/>
    <w:rsid w:val="00931EE0"/>
    <w:rsid w:val="00931F1D"/>
    <w:rsid w:val="00931F77"/>
    <w:rsid w:val="00932003"/>
    <w:rsid w:val="0093205A"/>
    <w:rsid w:val="0093222A"/>
    <w:rsid w:val="00932513"/>
    <w:rsid w:val="009328C0"/>
    <w:rsid w:val="0093297F"/>
    <w:rsid w:val="00932A23"/>
    <w:rsid w:val="00932C85"/>
    <w:rsid w:val="00932F18"/>
    <w:rsid w:val="00932FD1"/>
    <w:rsid w:val="009330CF"/>
    <w:rsid w:val="009332C3"/>
    <w:rsid w:val="00933820"/>
    <w:rsid w:val="009338EE"/>
    <w:rsid w:val="00933927"/>
    <w:rsid w:val="00933997"/>
    <w:rsid w:val="009339DD"/>
    <w:rsid w:val="00933A6C"/>
    <w:rsid w:val="00933B68"/>
    <w:rsid w:val="00933CD4"/>
    <w:rsid w:val="00934123"/>
    <w:rsid w:val="00934229"/>
    <w:rsid w:val="00934234"/>
    <w:rsid w:val="00934600"/>
    <w:rsid w:val="0093460E"/>
    <w:rsid w:val="00934700"/>
    <w:rsid w:val="00934725"/>
    <w:rsid w:val="00934A36"/>
    <w:rsid w:val="00934A7A"/>
    <w:rsid w:val="00934A95"/>
    <w:rsid w:val="00934CD6"/>
    <w:rsid w:val="00934D50"/>
    <w:rsid w:val="009350E6"/>
    <w:rsid w:val="009356F7"/>
    <w:rsid w:val="0093574E"/>
    <w:rsid w:val="009357A7"/>
    <w:rsid w:val="00935899"/>
    <w:rsid w:val="009358DF"/>
    <w:rsid w:val="00935953"/>
    <w:rsid w:val="00935DB7"/>
    <w:rsid w:val="00935E2E"/>
    <w:rsid w:val="0093629A"/>
    <w:rsid w:val="00936316"/>
    <w:rsid w:val="00936349"/>
    <w:rsid w:val="00936389"/>
    <w:rsid w:val="00936934"/>
    <w:rsid w:val="0093696A"/>
    <w:rsid w:val="00936BA4"/>
    <w:rsid w:val="00936D4A"/>
    <w:rsid w:val="00936D9A"/>
    <w:rsid w:val="00936F13"/>
    <w:rsid w:val="00936FF3"/>
    <w:rsid w:val="0093720F"/>
    <w:rsid w:val="00937486"/>
    <w:rsid w:val="009374A8"/>
    <w:rsid w:val="009376E9"/>
    <w:rsid w:val="00937711"/>
    <w:rsid w:val="009377D0"/>
    <w:rsid w:val="009377F3"/>
    <w:rsid w:val="0093789D"/>
    <w:rsid w:val="009378F0"/>
    <w:rsid w:val="00937DB8"/>
    <w:rsid w:val="00937EB6"/>
    <w:rsid w:val="009400BB"/>
    <w:rsid w:val="00940260"/>
    <w:rsid w:val="0094029C"/>
    <w:rsid w:val="00940356"/>
    <w:rsid w:val="0094046A"/>
    <w:rsid w:val="0094076C"/>
    <w:rsid w:val="009407AD"/>
    <w:rsid w:val="00940823"/>
    <w:rsid w:val="00940833"/>
    <w:rsid w:val="00940976"/>
    <w:rsid w:val="00940D0F"/>
    <w:rsid w:val="00940D71"/>
    <w:rsid w:val="00940D8E"/>
    <w:rsid w:val="0094100B"/>
    <w:rsid w:val="00941057"/>
    <w:rsid w:val="00941093"/>
    <w:rsid w:val="00941400"/>
    <w:rsid w:val="0094144E"/>
    <w:rsid w:val="00941461"/>
    <w:rsid w:val="009414D1"/>
    <w:rsid w:val="009415E0"/>
    <w:rsid w:val="0094182D"/>
    <w:rsid w:val="00941850"/>
    <w:rsid w:val="009419D4"/>
    <w:rsid w:val="00941B1F"/>
    <w:rsid w:val="00941EC7"/>
    <w:rsid w:val="0094220C"/>
    <w:rsid w:val="00942254"/>
    <w:rsid w:val="009422EB"/>
    <w:rsid w:val="00942459"/>
    <w:rsid w:val="00942971"/>
    <w:rsid w:val="00942D0D"/>
    <w:rsid w:val="00942E7B"/>
    <w:rsid w:val="00943010"/>
    <w:rsid w:val="00943183"/>
    <w:rsid w:val="00943223"/>
    <w:rsid w:val="009432F7"/>
    <w:rsid w:val="00943307"/>
    <w:rsid w:val="0094351F"/>
    <w:rsid w:val="00943542"/>
    <w:rsid w:val="0094378B"/>
    <w:rsid w:val="009438EF"/>
    <w:rsid w:val="00943AB1"/>
    <w:rsid w:val="00943EF8"/>
    <w:rsid w:val="00943FD4"/>
    <w:rsid w:val="0094448F"/>
    <w:rsid w:val="009444FD"/>
    <w:rsid w:val="0094451B"/>
    <w:rsid w:val="00944541"/>
    <w:rsid w:val="00944554"/>
    <w:rsid w:val="00944781"/>
    <w:rsid w:val="009447C3"/>
    <w:rsid w:val="00944E7F"/>
    <w:rsid w:val="00944FC6"/>
    <w:rsid w:val="009450F0"/>
    <w:rsid w:val="009452C3"/>
    <w:rsid w:val="0094540C"/>
    <w:rsid w:val="00945552"/>
    <w:rsid w:val="009459AA"/>
    <w:rsid w:val="00945A1C"/>
    <w:rsid w:val="00945C31"/>
    <w:rsid w:val="0094604E"/>
    <w:rsid w:val="0094635E"/>
    <w:rsid w:val="009463A4"/>
    <w:rsid w:val="0094642B"/>
    <w:rsid w:val="00946502"/>
    <w:rsid w:val="00946577"/>
    <w:rsid w:val="009465DC"/>
    <w:rsid w:val="00946902"/>
    <w:rsid w:val="009469B1"/>
    <w:rsid w:val="00946B2C"/>
    <w:rsid w:val="00946BF2"/>
    <w:rsid w:val="00946CA2"/>
    <w:rsid w:val="00946F21"/>
    <w:rsid w:val="00946F66"/>
    <w:rsid w:val="00946F8D"/>
    <w:rsid w:val="00947016"/>
    <w:rsid w:val="00947191"/>
    <w:rsid w:val="00947281"/>
    <w:rsid w:val="00947441"/>
    <w:rsid w:val="009474F8"/>
    <w:rsid w:val="0094765C"/>
    <w:rsid w:val="009476B7"/>
    <w:rsid w:val="00947C50"/>
    <w:rsid w:val="00947CA6"/>
    <w:rsid w:val="009500AD"/>
    <w:rsid w:val="009500BD"/>
    <w:rsid w:val="00950436"/>
    <w:rsid w:val="0095053D"/>
    <w:rsid w:val="00950578"/>
    <w:rsid w:val="00950664"/>
    <w:rsid w:val="009508DF"/>
    <w:rsid w:val="00950B4A"/>
    <w:rsid w:val="00950C38"/>
    <w:rsid w:val="00950C70"/>
    <w:rsid w:val="00950F56"/>
    <w:rsid w:val="00950F9D"/>
    <w:rsid w:val="00951222"/>
    <w:rsid w:val="00951445"/>
    <w:rsid w:val="0095171A"/>
    <w:rsid w:val="00951744"/>
    <w:rsid w:val="00951850"/>
    <w:rsid w:val="00951A61"/>
    <w:rsid w:val="00951CD1"/>
    <w:rsid w:val="00951FB4"/>
    <w:rsid w:val="009523E0"/>
    <w:rsid w:val="00952788"/>
    <w:rsid w:val="009527F9"/>
    <w:rsid w:val="009528AF"/>
    <w:rsid w:val="00952B6F"/>
    <w:rsid w:val="00952C14"/>
    <w:rsid w:val="00952C71"/>
    <w:rsid w:val="00952CDC"/>
    <w:rsid w:val="00952E97"/>
    <w:rsid w:val="00953041"/>
    <w:rsid w:val="00953114"/>
    <w:rsid w:val="009531AC"/>
    <w:rsid w:val="00953666"/>
    <w:rsid w:val="0095381F"/>
    <w:rsid w:val="00953AB9"/>
    <w:rsid w:val="00953B23"/>
    <w:rsid w:val="00953B3F"/>
    <w:rsid w:val="00953BED"/>
    <w:rsid w:val="00953E18"/>
    <w:rsid w:val="00953E64"/>
    <w:rsid w:val="00953F27"/>
    <w:rsid w:val="00953F4B"/>
    <w:rsid w:val="0095409D"/>
    <w:rsid w:val="009541CD"/>
    <w:rsid w:val="00954414"/>
    <w:rsid w:val="0095497C"/>
    <w:rsid w:val="00954B61"/>
    <w:rsid w:val="00954D68"/>
    <w:rsid w:val="00954F1B"/>
    <w:rsid w:val="0095516E"/>
    <w:rsid w:val="009551FE"/>
    <w:rsid w:val="009552DD"/>
    <w:rsid w:val="0095551A"/>
    <w:rsid w:val="009556FC"/>
    <w:rsid w:val="00955751"/>
    <w:rsid w:val="009557DB"/>
    <w:rsid w:val="009558BB"/>
    <w:rsid w:val="00955949"/>
    <w:rsid w:val="00955AD1"/>
    <w:rsid w:val="00955B46"/>
    <w:rsid w:val="00955B53"/>
    <w:rsid w:val="00955D14"/>
    <w:rsid w:val="00955F8D"/>
    <w:rsid w:val="00956058"/>
    <w:rsid w:val="0095610D"/>
    <w:rsid w:val="00956144"/>
    <w:rsid w:val="00956238"/>
    <w:rsid w:val="009564A1"/>
    <w:rsid w:val="00956549"/>
    <w:rsid w:val="009566BB"/>
    <w:rsid w:val="009566F8"/>
    <w:rsid w:val="00956897"/>
    <w:rsid w:val="009568BE"/>
    <w:rsid w:val="00956BFC"/>
    <w:rsid w:val="00956C9C"/>
    <w:rsid w:val="00956DBC"/>
    <w:rsid w:val="00956EA4"/>
    <w:rsid w:val="00956FF2"/>
    <w:rsid w:val="009570CF"/>
    <w:rsid w:val="00957244"/>
    <w:rsid w:val="00957AA7"/>
    <w:rsid w:val="00957AD3"/>
    <w:rsid w:val="00957B54"/>
    <w:rsid w:val="00957CF0"/>
    <w:rsid w:val="00957E4F"/>
    <w:rsid w:val="00957E74"/>
    <w:rsid w:val="00957E89"/>
    <w:rsid w:val="0096002C"/>
    <w:rsid w:val="00960034"/>
    <w:rsid w:val="00960099"/>
    <w:rsid w:val="009601C3"/>
    <w:rsid w:val="00960227"/>
    <w:rsid w:val="00960361"/>
    <w:rsid w:val="009603F8"/>
    <w:rsid w:val="0096088C"/>
    <w:rsid w:val="00960905"/>
    <w:rsid w:val="00960A8C"/>
    <w:rsid w:val="00960E13"/>
    <w:rsid w:val="00960F19"/>
    <w:rsid w:val="00960F26"/>
    <w:rsid w:val="00960F4A"/>
    <w:rsid w:val="00961233"/>
    <w:rsid w:val="009612A7"/>
    <w:rsid w:val="0096148E"/>
    <w:rsid w:val="009615E0"/>
    <w:rsid w:val="0096174A"/>
    <w:rsid w:val="00961943"/>
    <w:rsid w:val="00961A73"/>
    <w:rsid w:val="00961AB9"/>
    <w:rsid w:val="00961E66"/>
    <w:rsid w:val="00961EDB"/>
    <w:rsid w:val="00961F0D"/>
    <w:rsid w:val="00961F77"/>
    <w:rsid w:val="00961F8A"/>
    <w:rsid w:val="0096200F"/>
    <w:rsid w:val="00962098"/>
    <w:rsid w:val="00962310"/>
    <w:rsid w:val="00962332"/>
    <w:rsid w:val="009624B6"/>
    <w:rsid w:val="0096256E"/>
    <w:rsid w:val="00962741"/>
    <w:rsid w:val="00962915"/>
    <w:rsid w:val="00962B15"/>
    <w:rsid w:val="00962D75"/>
    <w:rsid w:val="00962FF2"/>
    <w:rsid w:val="00963007"/>
    <w:rsid w:val="0096300B"/>
    <w:rsid w:val="00963061"/>
    <w:rsid w:val="009630D7"/>
    <w:rsid w:val="00963394"/>
    <w:rsid w:val="009634DE"/>
    <w:rsid w:val="009636D8"/>
    <w:rsid w:val="0096371E"/>
    <w:rsid w:val="0096380D"/>
    <w:rsid w:val="00963B7B"/>
    <w:rsid w:val="00963C46"/>
    <w:rsid w:val="00963C9C"/>
    <w:rsid w:val="00963D3B"/>
    <w:rsid w:val="00963F09"/>
    <w:rsid w:val="009642CB"/>
    <w:rsid w:val="009643DD"/>
    <w:rsid w:val="00964453"/>
    <w:rsid w:val="009644D7"/>
    <w:rsid w:val="00964512"/>
    <w:rsid w:val="00964990"/>
    <w:rsid w:val="00964BFC"/>
    <w:rsid w:val="00964C9A"/>
    <w:rsid w:val="009651E9"/>
    <w:rsid w:val="009651F2"/>
    <w:rsid w:val="00965233"/>
    <w:rsid w:val="00965259"/>
    <w:rsid w:val="009652A9"/>
    <w:rsid w:val="00965449"/>
    <w:rsid w:val="0096559F"/>
    <w:rsid w:val="00965858"/>
    <w:rsid w:val="00965876"/>
    <w:rsid w:val="009659D2"/>
    <w:rsid w:val="00965CBC"/>
    <w:rsid w:val="00965D1D"/>
    <w:rsid w:val="00965F20"/>
    <w:rsid w:val="009661E4"/>
    <w:rsid w:val="00966326"/>
    <w:rsid w:val="00966376"/>
    <w:rsid w:val="0096654E"/>
    <w:rsid w:val="009665D9"/>
    <w:rsid w:val="009667DB"/>
    <w:rsid w:val="009668DF"/>
    <w:rsid w:val="0096692E"/>
    <w:rsid w:val="00966D27"/>
    <w:rsid w:val="00966DB5"/>
    <w:rsid w:val="00966F79"/>
    <w:rsid w:val="00966F7F"/>
    <w:rsid w:val="00966FEA"/>
    <w:rsid w:val="009671E0"/>
    <w:rsid w:val="00967342"/>
    <w:rsid w:val="009673DF"/>
    <w:rsid w:val="009673E9"/>
    <w:rsid w:val="009675B1"/>
    <w:rsid w:val="00967652"/>
    <w:rsid w:val="00967A96"/>
    <w:rsid w:val="00967AE2"/>
    <w:rsid w:val="00967CF2"/>
    <w:rsid w:val="00967DCE"/>
    <w:rsid w:val="00967E3E"/>
    <w:rsid w:val="009700CA"/>
    <w:rsid w:val="00970243"/>
    <w:rsid w:val="00970364"/>
    <w:rsid w:val="009704F9"/>
    <w:rsid w:val="00970537"/>
    <w:rsid w:val="0097055B"/>
    <w:rsid w:val="009705DF"/>
    <w:rsid w:val="009706A8"/>
    <w:rsid w:val="009706B0"/>
    <w:rsid w:val="00970771"/>
    <w:rsid w:val="00970ACC"/>
    <w:rsid w:val="00970AD3"/>
    <w:rsid w:val="00970F52"/>
    <w:rsid w:val="00970FB6"/>
    <w:rsid w:val="009710A2"/>
    <w:rsid w:val="0097127A"/>
    <w:rsid w:val="00971523"/>
    <w:rsid w:val="00971552"/>
    <w:rsid w:val="009717D0"/>
    <w:rsid w:val="00971BB9"/>
    <w:rsid w:val="00971C77"/>
    <w:rsid w:val="00971D2B"/>
    <w:rsid w:val="00971D8A"/>
    <w:rsid w:val="00971DA2"/>
    <w:rsid w:val="0097208B"/>
    <w:rsid w:val="009720D9"/>
    <w:rsid w:val="00972293"/>
    <w:rsid w:val="009722B4"/>
    <w:rsid w:val="0097243B"/>
    <w:rsid w:val="00972528"/>
    <w:rsid w:val="00972607"/>
    <w:rsid w:val="0097270C"/>
    <w:rsid w:val="009728CC"/>
    <w:rsid w:val="009728E2"/>
    <w:rsid w:val="00972AD7"/>
    <w:rsid w:val="00972C64"/>
    <w:rsid w:val="00972CAB"/>
    <w:rsid w:val="00972E29"/>
    <w:rsid w:val="00972EC0"/>
    <w:rsid w:val="00972FDB"/>
    <w:rsid w:val="00973169"/>
    <w:rsid w:val="00973279"/>
    <w:rsid w:val="0097343B"/>
    <w:rsid w:val="0097344F"/>
    <w:rsid w:val="00973471"/>
    <w:rsid w:val="00973692"/>
    <w:rsid w:val="0097375C"/>
    <w:rsid w:val="00973ACE"/>
    <w:rsid w:val="00973C67"/>
    <w:rsid w:val="00973DA9"/>
    <w:rsid w:val="00973EC7"/>
    <w:rsid w:val="009744D4"/>
    <w:rsid w:val="009744FC"/>
    <w:rsid w:val="00974705"/>
    <w:rsid w:val="009748E1"/>
    <w:rsid w:val="00974980"/>
    <w:rsid w:val="009749ED"/>
    <w:rsid w:val="00974CAD"/>
    <w:rsid w:val="00975436"/>
    <w:rsid w:val="009755AE"/>
    <w:rsid w:val="009755D1"/>
    <w:rsid w:val="00975B73"/>
    <w:rsid w:val="00975E4E"/>
    <w:rsid w:val="009761AD"/>
    <w:rsid w:val="009763CC"/>
    <w:rsid w:val="00976423"/>
    <w:rsid w:val="00976452"/>
    <w:rsid w:val="00976817"/>
    <w:rsid w:val="00976930"/>
    <w:rsid w:val="00976ACC"/>
    <w:rsid w:val="00976D3E"/>
    <w:rsid w:val="00976D90"/>
    <w:rsid w:val="00976DA7"/>
    <w:rsid w:val="00976DB9"/>
    <w:rsid w:val="00976DC7"/>
    <w:rsid w:val="00976FDA"/>
    <w:rsid w:val="0097704A"/>
    <w:rsid w:val="00977122"/>
    <w:rsid w:val="00977149"/>
    <w:rsid w:val="009773F0"/>
    <w:rsid w:val="0097740E"/>
    <w:rsid w:val="009776FF"/>
    <w:rsid w:val="0097794D"/>
    <w:rsid w:val="00977A1F"/>
    <w:rsid w:val="00977AE6"/>
    <w:rsid w:val="00977AFF"/>
    <w:rsid w:val="00977BCF"/>
    <w:rsid w:val="00977E2E"/>
    <w:rsid w:val="00977E44"/>
    <w:rsid w:val="00977F01"/>
    <w:rsid w:val="00977FBB"/>
    <w:rsid w:val="00980004"/>
    <w:rsid w:val="00980031"/>
    <w:rsid w:val="00980237"/>
    <w:rsid w:val="009802B4"/>
    <w:rsid w:val="009802C2"/>
    <w:rsid w:val="009802E3"/>
    <w:rsid w:val="0098089F"/>
    <w:rsid w:val="0098095B"/>
    <w:rsid w:val="009809AA"/>
    <w:rsid w:val="00980CC8"/>
    <w:rsid w:val="00980D70"/>
    <w:rsid w:val="00981090"/>
    <w:rsid w:val="0098117F"/>
    <w:rsid w:val="00981183"/>
    <w:rsid w:val="0098122D"/>
    <w:rsid w:val="00981281"/>
    <w:rsid w:val="0098155D"/>
    <w:rsid w:val="00981593"/>
    <w:rsid w:val="00981643"/>
    <w:rsid w:val="00981923"/>
    <w:rsid w:val="009819E2"/>
    <w:rsid w:val="00981D07"/>
    <w:rsid w:val="00982008"/>
    <w:rsid w:val="009820D2"/>
    <w:rsid w:val="009821ED"/>
    <w:rsid w:val="00982333"/>
    <w:rsid w:val="009823AC"/>
    <w:rsid w:val="00982446"/>
    <w:rsid w:val="0098246A"/>
    <w:rsid w:val="00982473"/>
    <w:rsid w:val="00982492"/>
    <w:rsid w:val="00982582"/>
    <w:rsid w:val="009826B4"/>
    <w:rsid w:val="00982857"/>
    <w:rsid w:val="0098287F"/>
    <w:rsid w:val="0098289C"/>
    <w:rsid w:val="00982931"/>
    <w:rsid w:val="00982D39"/>
    <w:rsid w:val="00982D7A"/>
    <w:rsid w:val="00982D9D"/>
    <w:rsid w:val="00982F33"/>
    <w:rsid w:val="0098303A"/>
    <w:rsid w:val="009831DC"/>
    <w:rsid w:val="0098330C"/>
    <w:rsid w:val="009833C0"/>
    <w:rsid w:val="009833E5"/>
    <w:rsid w:val="009834F9"/>
    <w:rsid w:val="0098379F"/>
    <w:rsid w:val="0098384C"/>
    <w:rsid w:val="0098385E"/>
    <w:rsid w:val="00983A22"/>
    <w:rsid w:val="00983E4F"/>
    <w:rsid w:val="0098404C"/>
    <w:rsid w:val="0098406C"/>
    <w:rsid w:val="0098452A"/>
    <w:rsid w:val="0098463E"/>
    <w:rsid w:val="00984728"/>
    <w:rsid w:val="00984A77"/>
    <w:rsid w:val="00984C46"/>
    <w:rsid w:val="00984E81"/>
    <w:rsid w:val="00984E8F"/>
    <w:rsid w:val="00984F29"/>
    <w:rsid w:val="00985254"/>
    <w:rsid w:val="00985484"/>
    <w:rsid w:val="009854A6"/>
    <w:rsid w:val="009857AF"/>
    <w:rsid w:val="009858C3"/>
    <w:rsid w:val="00985905"/>
    <w:rsid w:val="009859CF"/>
    <w:rsid w:val="00985B63"/>
    <w:rsid w:val="00985B8B"/>
    <w:rsid w:val="00985CD8"/>
    <w:rsid w:val="00985E84"/>
    <w:rsid w:val="00985FAA"/>
    <w:rsid w:val="009861A3"/>
    <w:rsid w:val="009861EA"/>
    <w:rsid w:val="00986281"/>
    <w:rsid w:val="0098629D"/>
    <w:rsid w:val="00986547"/>
    <w:rsid w:val="0098676A"/>
    <w:rsid w:val="00986915"/>
    <w:rsid w:val="009869A8"/>
    <w:rsid w:val="00986CDD"/>
    <w:rsid w:val="00986DB0"/>
    <w:rsid w:val="00986DF1"/>
    <w:rsid w:val="00986EDA"/>
    <w:rsid w:val="00986EDB"/>
    <w:rsid w:val="00986F25"/>
    <w:rsid w:val="00986FDE"/>
    <w:rsid w:val="0098729F"/>
    <w:rsid w:val="0098739A"/>
    <w:rsid w:val="00987430"/>
    <w:rsid w:val="009874B9"/>
    <w:rsid w:val="009875FE"/>
    <w:rsid w:val="0098762E"/>
    <w:rsid w:val="00987674"/>
    <w:rsid w:val="009879B5"/>
    <w:rsid w:val="00987B84"/>
    <w:rsid w:val="00987EB9"/>
    <w:rsid w:val="0099004F"/>
    <w:rsid w:val="0099022E"/>
    <w:rsid w:val="009904A0"/>
    <w:rsid w:val="009904EE"/>
    <w:rsid w:val="00990506"/>
    <w:rsid w:val="00990549"/>
    <w:rsid w:val="00990803"/>
    <w:rsid w:val="00990DAC"/>
    <w:rsid w:val="00990E96"/>
    <w:rsid w:val="00990EEE"/>
    <w:rsid w:val="00990F5E"/>
    <w:rsid w:val="009911DB"/>
    <w:rsid w:val="009914AB"/>
    <w:rsid w:val="009915EB"/>
    <w:rsid w:val="0099160E"/>
    <w:rsid w:val="009917E1"/>
    <w:rsid w:val="00991A28"/>
    <w:rsid w:val="00991AEC"/>
    <w:rsid w:val="00991BAA"/>
    <w:rsid w:val="00991DE3"/>
    <w:rsid w:val="00991E76"/>
    <w:rsid w:val="00991FE9"/>
    <w:rsid w:val="0099205B"/>
    <w:rsid w:val="009921CD"/>
    <w:rsid w:val="009923D8"/>
    <w:rsid w:val="009927AE"/>
    <w:rsid w:val="009927D6"/>
    <w:rsid w:val="009927F3"/>
    <w:rsid w:val="00992865"/>
    <w:rsid w:val="009928A8"/>
    <w:rsid w:val="00992968"/>
    <w:rsid w:val="00992A36"/>
    <w:rsid w:val="00992AD8"/>
    <w:rsid w:val="00992B80"/>
    <w:rsid w:val="00992C0E"/>
    <w:rsid w:val="00992DD2"/>
    <w:rsid w:val="00992EF9"/>
    <w:rsid w:val="00992F8E"/>
    <w:rsid w:val="00992FA1"/>
    <w:rsid w:val="00993211"/>
    <w:rsid w:val="00993278"/>
    <w:rsid w:val="00993328"/>
    <w:rsid w:val="00993444"/>
    <w:rsid w:val="00993594"/>
    <w:rsid w:val="00993785"/>
    <w:rsid w:val="009937E1"/>
    <w:rsid w:val="00993959"/>
    <w:rsid w:val="009939BA"/>
    <w:rsid w:val="00993C57"/>
    <w:rsid w:val="00993CAF"/>
    <w:rsid w:val="00993D09"/>
    <w:rsid w:val="00993E26"/>
    <w:rsid w:val="00993E8B"/>
    <w:rsid w:val="0099407F"/>
    <w:rsid w:val="00994213"/>
    <w:rsid w:val="0099425C"/>
    <w:rsid w:val="009943B9"/>
    <w:rsid w:val="00994529"/>
    <w:rsid w:val="009946B4"/>
    <w:rsid w:val="00994855"/>
    <w:rsid w:val="00994A25"/>
    <w:rsid w:val="00994A2B"/>
    <w:rsid w:val="00994B08"/>
    <w:rsid w:val="00994B97"/>
    <w:rsid w:val="00994CE3"/>
    <w:rsid w:val="00994E1C"/>
    <w:rsid w:val="009950DB"/>
    <w:rsid w:val="009951E4"/>
    <w:rsid w:val="009951F3"/>
    <w:rsid w:val="009954DB"/>
    <w:rsid w:val="009955C5"/>
    <w:rsid w:val="009955EA"/>
    <w:rsid w:val="00995796"/>
    <w:rsid w:val="00995867"/>
    <w:rsid w:val="0099586D"/>
    <w:rsid w:val="0099594B"/>
    <w:rsid w:val="00995A0F"/>
    <w:rsid w:val="00995C28"/>
    <w:rsid w:val="00995D0D"/>
    <w:rsid w:val="00995DC8"/>
    <w:rsid w:val="00995E21"/>
    <w:rsid w:val="0099620B"/>
    <w:rsid w:val="0099627C"/>
    <w:rsid w:val="00996906"/>
    <w:rsid w:val="009969AD"/>
    <w:rsid w:val="009969F9"/>
    <w:rsid w:val="00996BA3"/>
    <w:rsid w:val="00996BEA"/>
    <w:rsid w:val="00996C06"/>
    <w:rsid w:val="00996E76"/>
    <w:rsid w:val="00996F3F"/>
    <w:rsid w:val="00996FEE"/>
    <w:rsid w:val="00997347"/>
    <w:rsid w:val="00997409"/>
    <w:rsid w:val="00997451"/>
    <w:rsid w:val="00997786"/>
    <w:rsid w:val="0099783E"/>
    <w:rsid w:val="00997B22"/>
    <w:rsid w:val="00997B95"/>
    <w:rsid w:val="00997C58"/>
    <w:rsid w:val="009A021C"/>
    <w:rsid w:val="009A02D0"/>
    <w:rsid w:val="009A02E7"/>
    <w:rsid w:val="009A0357"/>
    <w:rsid w:val="009A0383"/>
    <w:rsid w:val="009A0406"/>
    <w:rsid w:val="009A0552"/>
    <w:rsid w:val="009A0668"/>
    <w:rsid w:val="009A06F3"/>
    <w:rsid w:val="009A072D"/>
    <w:rsid w:val="009A0851"/>
    <w:rsid w:val="009A099E"/>
    <w:rsid w:val="009A0AF5"/>
    <w:rsid w:val="009A0B28"/>
    <w:rsid w:val="009A0CAC"/>
    <w:rsid w:val="009A0D1F"/>
    <w:rsid w:val="009A0E6B"/>
    <w:rsid w:val="009A0FBE"/>
    <w:rsid w:val="009A10D7"/>
    <w:rsid w:val="009A11A9"/>
    <w:rsid w:val="009A1405"/>
    <w:rsid w:val="009A1411"/>
    <w:rsid w:val="009A170D"/>
    <w:rsid w:val="009A176D"/>
    <w:rsid w:val="009A1822"/>
    <w:rsid w:val="009A1A44"/>
    <w:rsid w:val="009A1A8B"/>
    <w:rsid w:val="009A1AF9"/>
    <w:rsid w:val="009A1BAD"/>
    <w:rsid w:val="009A1BF5"/>
    <w:rsid w:val="009A1C3D"/>
    <w:rsid w:val="009A1FDE"/>
    <w:rsid w:val="009A277F"/>
    <w:rsid w:val="009A28A9"/>
    <w:rsid w:val="009A295F"/>
    <w:rsid w:val="009A2E65"/>
    <w:rsid w:val="009A2F44"/>
    <w:rsid w:val="009A2F45"/>
    <w:rsid w:val="009A30F6"/>
    <w:rsid w:val="009A3681"/>
    <w:rsid w:val="009A371A"/>
    <w:rsid w:val="009A3721"/>
    <w:rsid w:val="009A38FF"/>
    <w:rsid w:val="009A3AAD"/>
    <w:rsid w:val="009A3AF0"/>
    <w:rsid w:val="009A3B58"/>
    <w:rsid w:val="009A3C2C"/>
    <w:rsid w:val="009A3C50"/>
    <w:rsid w:val="009A3EF7"/>
    <w:rsid w:val="009A3F01"/>
    <w:rsid w:val="009A3F13"/>
    <w:rsid w:val="009A3F7C"/>
    <w:rsid w:val="009A4083"/>
    <w:rsid w:val="009A40AC"/>
    <w:rsid w:val="009A40C7"/>
    <w:rsid w:val="009A46FA"/>
    <w:rsid w:val="009A4726"/>
    <w:rsid w:val="009A4951"/>
    <w:rsid w:val="009A49DE"/>
    <w:rsid w:val="009A49E3"/>
    <w:rsid w:val="009A4DBD"/>
    <w:rsid w:val="009A4DD2"/>
    <w:rsid w:val="009A4ED6"/>
    <w:rsid w:val="009A5180"/>
    <w:rsid w:val="009A51B0"/>
    <w:rsid w:val="009A5339"/>
    <w:rsid w:val="009A55AB"/>
    <w:rsid w:val="009A5902"/>
    <w:rsid w:val="009A5969"/>
    <w:rsid w:val="009A5AF7"/>
    <w:rsid w:val="009A5B1C"/>
    <w:rsid w:val="009A5C50"/>
    <w:rsid w:val="009A5E61"/>
    <w:rsid w:val="009A5FEC"/>
    <w:rsid w:val="009A604B"/>
    <w:rsid w:val="009A6137"/>
    <w:rsid w:val="009A62AE"/>
    <w:rsid w:val="009A64AD"/>
    <w:rsid w:val="009A64B3"/>
    <w:rsid w:val="009A66E0"/>
    <w:rsid w:val="009A672C"/>
    <w:rsid w:val="009A6842"/>
    <w:rsid w:val="009A6959"/>
    <w:rsid w:val="009A695A"/>
    <w:rsid w:val="009A6A9B"/>
    <w:rsid w:val="009A6B49"/>
    <w:rsid w:val="009A6B81"/>
    <w:rsid w:val="009A6D27"/>
    <w:rsid w:val="009A718C"/>
    <w:rsid w:val="009A71DA"/>
    <w:rsid w:val="009A720D"/>
    <w:rsid w:val="009A72EA"/>
    <w:rsid w:val="009A7343"/>
    <w:rsid w:val="009A7386"/>
    <w:rsid w:val="009A74B6"/>
    <w:rsid w:val="009A752C"/>
    <w:rsid w:val="009A755A"/>
    <w:rsid w:val="009A7798"/>
    <w:rsid w:val="009A77EA"/>
    <w:rsid w:val="009A79C3"/>
    <w:rsid w:val="009A7BD0"/>
    <w:rsid w:val="009A7C5C"/>
    <w:rsid w:val="009A7EA9"/>
    <w:rsid w:val="009B01FD"/>
    <w:rsid w:val="009B0252"/>
    <w:rsid w:val="009B03D8"/>
    <w:rsid w:val="009B05BB"/>
    <w:rsid w:val="009B06CE"/>
    <w:rsid w:val="009B0704"/>
    <w:rsid w:val="009B0799"/>
    <w:rsid w:val="009B091B"/>
    <w:rsid w:val="009B0B41"/>
    <w:rsid w:val="009B0F20"/>
    <w:rsid w:val="009B130D"/>
    <w:rsid w:val="009B153C"/>
    <w:rsid w:val="009B164F"/>
    <w:rsid w:val="009B1752"/>
    <w:rsid w:val="009B1A51"/>
    <w:rsid w:val="009B1D10"/>
    <w:rsid w:val="009B1E5A"/>
    <w:rsid w:val="009B2056"/>
    <w:rsid w:val="009B2166"/>
    <w:rsid w:val="009B22FA"/>
    <w:rsid w:val="009B2359"/>
    <w:rsid w:val="009B23A8"/>
    <w:rsid w:val="009B23CC"/>
    <w:rsid w:val="009B24F0"/>
    <w:rsid w:val="009B27CE"/>
    <w:rsid w:val="009B2B31"/>
    <w:rsid w:val="009B2B8B"/>
    <w:rsid w:val="009B2BE1"/>
    <w:rsid w:val="009B2CED"/>
    <w:rsid w:val="009B2DE2"/>
    <w:rsid w:val="009B2E26"/>
    <w:rsid w:val="009B2EAC"/>
    <w:rsid w:val="009B2ECD"/>
    <w:rsid w:val="009B2FF4"/>
    <w:rsid w:val="009B3042"/>
    <w:rsid w:val="009B330B"/>
    <w:rsid w:val="009B3440"/>
    <w:rsid w:val="009B3705"/>
    <w:rsid w:val="009B3752"/>
    <w:rsid w:val="009B37AB"/>
    <w:rsid w:val="009B37E5"/>
    <w:rsid w:val="009B398F"/>
    <w:rsid w:val="009B3A18"/>
    <w:rsid w:val="009B3B64"/>
    <w:rsid w:val="009B3C62"/>
    <w:rsid w:val="009B3DD5"/>
    <w:rsid w:val="009B3DF2"/>
    <w:rsid w:val="009B3E15"/>
    <w:rsid w:val="009B3E5A"/>
    <w:rsid w:val="009B3FED"/>
    <w:rsid w:val="009B445F"/>
    <w:rsid w:val="009B46B1"/>
    <w:rsid w:val="009B46CB"/>
    <w:rsid w:val="009B4916"/>
    <w:rsid w:val="009B49EE"/>
    <w:rsid w:val="009B4CB5"/>
    <w:rsid w:val="009B4E7B"/>
    <w:rsid w:val="009B533C"/>
    <w:rsid w:val="009B53C6"/>
    <w:rsid w:val="009B55A0"/>
    <w:rsid w:val="009B55D8"/>
    <w:rsid w:val="009B586D"/>
    <w:rsid w:val="009B5986"/>
    <w:rsid w:val="009B59A2"/>
    <w:rsid w:val="009B5A8F"/>
    <w:rsid w:val="009B5C84"/>
    <w:rsid w:val="009B5D4C"/>
    <w:rsid w:val="009B5E2D"/>
    <w:rsid w:val="009B6197"/>
    <w:rsid w:val="009B6205"/>
    <w:rsid w:val="009B6276"/>
    <w:rsid w:val="009B662C"/>
    <w:rsid w:val="009B67B2"/>
    <w:rsid w:val="009B6808"/>
    <w:rsid w:val="009B6A50"/>
    <w:rsid w:val="009B6A63"/>
    <w:rsid w:val="009B6C78"/>
    <w:rsid w:val="009B6D3D"/>
    <w:rsid w:val="009B6DD6"/>
    <w:rsid w:val="009B6E28"/>
    <w:rsid w:val="009B6F5D"/>
    <w:rsid w:val="009B6F9B"/>
    <w:rsid w:val="009B711C"/>
    <w:rsid w:val="009B718E"/>
    <w:rsid w:val="009B7245"/>
    <w:rsid w:val="009B72AF"/>
    <w:rsid w:val="009B74F6"/>
    <w:rsid w:val="009B75A3"/>
    <w:rsid w:val="009B75C1"/>
    <w:rsid w:val="009B7C11"/>
    <w:rsid w:val="009B7D33"/>
    <w:rsid w:val="009B7FE2"/>
    <w:rsid w:val="009C008D"/>
    <w:rsid w:val="009C00D6"/>
    <w:rsid w:val="009C025E"/>
    <w:rsid w:val="009C02E3"/>
    <w:rsid w:val="009C0434"/>
    <w:rsid w:val="009C04F3"/>
    <w:rsid w:val="009C04F7"/>
    <w:rsid w:val="009C0B20"/>
    <w:rsid w:val="009C0B62"/>
    <w:rsid w:val="009C0BE9"/>
    <w:rsid w:val="009C0C37"/>
    <w:rsid w:val="009C0CC6"/>
    <w:rsid w:val="009C0F07"/>
    <w:rsid w:val="009C0F9C"/>
    <w:rsid w:val="009C10DF"/>
    <w:rsid w:val="009C1128"/>
    <w:rsid w:val="009C11AC"/>
    <w:rsid w:val="009C14C8"/>
    <w:rsid w:val="009C157F"/>
    <w:rsid w:val="009C1847"/>
    <w:rsid w:val="009C1B56"/>
    <w:rsid w:val="009C1B93"/>
    <w:rsid w:val="009C1EDB"/>
    <w:rsid w:val="009C1FEB"/>
    <w:rsid w:val="009C2033"/>
    <w:rsid w:val="009C2192"/>
    <w:rsid w:val="009C2205"/>
    <w:rsid w:val="009C22F0"/>
    <w:rsid w:val="009C231B"/>
    <w:rsid w:val="009C2417"/>
    <w:rsid w:val="009C2433"/>
    <w:rsid w:val="009C2629"/>
    <w:rsid w:val="009C26D0"/>
    <w:rsid w:val="009C2952"/>
    <w:rsid w:val="009C29D1"/>
    <w:rsid w:val="009C2DED"/>
    <w:rsid w:val="009C2E5E"/>
    <w:rsid w:val="009C2FA4"/>
    <w:rsid w:val="009C3022"/>
    <w:rsid w:val="009C304A"/>
    <w:rsid w:val="009C30C6"/>
    <w:rsid w:val="009C318B"/>
    <w:rsid w:val="009C31B4"/>
    <w:rsid w:val="009C3358"/>
    <w:rsid w:val="009C3533"/>
    <w:rsid w:val="009C3594"/>
    <w:rsid w:val="009C35C0"/>
    <w:rsid w:val="009C35F1"/>
    <w:rsid w:val="009C375E"/>
    <w:rsid w:val="009C38EC"/>
    <w:rsid w:val="009C3C1D"/>
    <w:rsid w:val="009C3E84"/>
    <w:rsid w:val="009C40CA"/>
    <w:rsid w:val="009C4230"/>
    <w:rsid w:val="009C42FB"/>
    <w:rsid w:val="009C4356"/>
    <w:rsid w:val="009C4429"/>
    <w:rsid w:val="009C48C8"/>
    <w:rsid w:val="009C49DC"/>
    <w:rsid w:val="009C4D4C"/>
    <w:rsid w:val="009C4E38"/>
    <w:rsid w:val="009C519C"/>
    <w:rsid w:val="009C53D1"/>
    <w:rsid w:val="009C53F4"/>
    <w:rsid w:val="009C5428"/>
    <w:rsid w:val="009C54E9"/>
    <w:rsid w:val="009C555E"/>
    <w:rsid w:val="009C5775"/>
    <w:rsid w:val="009C5857"/>
    <w:rsid w:val="009C5936"/>
    <w:rsid w:val="009C5969"/>
    <w:rsid w:val="009C5DAA"/>
    <w:rsid w:val="009C5EB3"/>
    <w:rsid w:val="009C5F33"/>
    <w:rsid w:val="009C60CB"/>
    <w:rsid w:val="009C60E8"/>
    <w:rsid w:val="009C668D"/>
    <w:rsid w:val="009C6695"/>
    <w:rsid w:val="009C6DB2"/>
    <w:rsid w:val="009C71BA"/>
    <w:rsid w:val="009C7210"/>
    <w:rsid w:val="009C7454"/>
    <w:rsid w:val="009C74AB"/>
    <w:rsid w:val="009C773B"/>
    <w:rsid w:val="009C78A5"/>
    <w:rsid w:val="009C7A5C"/>
    <w:rsid w:val="009C7B9F"/>
    <w:rsid w:val="009C7DBF"/>
    <w:rsid w:val="009C7E38"/>
    <w:rsid w:val="009C7FAA"/>
    <w:rsid w:val="009D0179"/>
    <w:rsid w:val="009D02E2"/>
    <w:rsid w:val="009D0646"/>
    <w:rsid w:val="009D0D8B"/>
    <w:rsid w:val="009D104C"/>
    <w:rsid w:val="009D1056"/>
    <w:rsid w:val="009D10DD"/>
    <w:rsid w:val="009D1141"/>
    <w:rsid w:val="009D11FE"/>
    <w:rsid w:val="009D1347"/>
    <w:rsid w:val="009D13D0"/>
    <w:rsid w:val="009D144F"/>
    <w:rsid w:val="009D178A"/>
    <w:rsid w:val="009D1799"/>
    <w:rsid w:val="009D1AC3"/>
    <w:rsid w:val="009D1F6D"/>
    <w:rsid w:val="009D1F77"/>
    <w:rsid w:val="009D1F8D"/>
    <w:rsid w:val="009D2074"/>
    <w:rsid w:val="009D2187"/>
    <w:rsid w:val="009D222C"/>
    <w:rsid w:val="009D2452"/>
    <w:rsid w:val="009D25A0"/>
    <w:rsid w:val="009D2657"/>
    <w:rsid w:val="009D29E0"/>
    <w:rsid w:val="009D2AFD"/>
    <w:rsid w:val="009D2B6E"/>
    <w:rsid w:val="009D2D0F"/>
    <w:rsid w:val="009D2E0D"/>
    <w:rsid w:val="009D2EDC"/>
    <w:rsid w:val="009D2F10"/>
    <w:rsid w:val="009D3043"/>
    <w:rsid w:val="009D3250"/>
    <w:rsid w:val="009D3257"/>
    <w:rsid w:val="009D35B0"/>
    <w:rsid w:val="009D382A"/>
    <w:rsid w:val="009D38DE"/>
    <w:rsid w:val="009D38F8"/>
    <w:rsid w:val="009D39F6"/>
    <w:rsid w:val="009D3A30"/>
    <w:rsid w:val="009D3A51"/>
    <w:rsid w:val="009D3C15"/>
    <w:rsid w:val="009D3DA9"/>
    <w:rsid w:val="009D3EDF"/>
    <w:rsid w:val="009D404A"/>
    <w:rsid w:val="009D4176"/>
    <w:rsid w:val="009D425C"/>
    <w:rsid w:val="009D46A3"/>
    <w:rsid w:val="009D4703"/>
    <w:rsid w:val="009D4759"/>
    <w:rsid w:val="009D4797"/>
    <w:rsid w:val="009D47E9"/>
    <w:rsid w:val="009D47F7"/>
    <w:rsid w:val="009D4837"/>
    <w:rsid w:val="009D48E0"/>
    <w:rsid w:val="009D4B5F"/>
    <w:rsid w:val="009D4C67"/>
    <w:rsid w:val="009D4D1B"/>
    <w:rsid w:val="009D4DAC"/>
    <w:rsid w:val="009D4DDB"/>
    <w:rsid w:val="009D4F86"/>
    <w:rsid w:val="009D50C7"/>
    <w:rsid w:val="009D52DB"/>
    <w:rsid w:val="009D52F7"/>
    <w:rsid w:val="009D5374"/>
    <w:rsid w:val="009D5480"/>
    <w:rsid w:val="009D5486"/>
    <w:rsid w:val="009D5701"/>
    <w:rsid w:val="009D5825"/>
    <w:rsid w:val="009D58C3"/>
    <w:rsid w:val="009D5A55"/>
    <w:rsid w:val="009D5AE0"/>
    <w:rsid w:val="009D5CA5"/>
    <w:rsid w:val="009D5D38"/>
    <w:rsid w:val="009D5F34"/>
    <w:rsid w:val="009D60D3"/>
    <w:rsid w:val="009D61EF"/>
    <w:rsid w:val="009D63CA"/>
    <w:rsid w:val="009D6536"/>
    <w:rsid w:val="009D661C"/>
    <w:rsid w:val="009D668F"/>
    <w:rsid w:val="009D6822"/>
    <w:rsid w:val="009D6941"/>
    <w:rsid w:val="009D6A1D"/>
    <w:rsid w:val="009D6A27"/>
    <w:rsid w:val="009D6A2C"/>
    <w:rsid w:val="009D6A92"/>
    <w:rsid w:val="009D6B50"/>
    <w:rsid w:val="009D6BED"/>
    <w:rsid w:val="009D6FEA"/>
    <w:rsid w:val="009D70F8"/>
    <w:rsid w:val="009D7152"/>
    <w:rsid w:val="009D7207"/>
    <w:rsid w:val="009D735A"/>
    <w:rsid w:val="009D737E"/>
    <w:rsid w:val="009D762C"/>
    <w:rsid w:val="009D76CD"/>
    <w:rsid w:val="009D76D3"/>
    <w:rsid w:val="009D787C"/>
    <w:rsid w:val="009D78BA"/>
    <w:rsid w:val="009D7B5E"/>
    <w:rsid w:val="009D7C84"/>
    <w:rsid w:val="009D7D82"/>
    <w:rsid w:val="009E0216"/>
    <w:rsid w:val="009E03B1"/>
    <w:rsid w:val="009E0584"/>
    <w:rsid w:val="009E0806"/>
    <w:rsid w:val="009E0AD0"/>
    <w:rsid w:val="009E0BDF"/>
    <w:rsid w:val="009E0E4B"/>
    <w:rsid w:val="009E0FB4"/>
    <w:rsid w:val="009E11C3"/>
    <w:rsid w:val="009E1323"/>
    <w:rsid w:val="009E1497"/>
    <w:rsid w:val="009E17D2"/>
    <w:rsid w:val="009E18CF"/>
    <w:rsid w:val="009E1AA5"/>
    <w:rsid w:val="009E1B3A"/>
    <w:rsid w:val="009E1C0F"/>
    <w:rsid w:val="009E1D6E"/>
    <w:rsid w:val="009E1E71"/>
    <w:rsid w:val="009E2331"/>
    <w:rsid w:val="009E237A"/>
    <w:rsid w:val="009E23C1"/>
    <w:rsid w:val="009E251E"/>
    <w:rsid w:val="009E25D2"/>
    <w:rsid w:val="009E2671"/>
    <w:rsid w:val="009E28B4"/>
    <w:rsid w:val="009E2960"/>
    <w:rsid w:val="009E29F1"/>
    <w:rsid w:val="009E29F9"/>
    <w:rsid w:val="009E2A85"/>
    <w:rsid w:val="009E2B6B"/>
    <w:rsid w:val="009E2EBA"/>
    <w:rsid w:val="009E2ED3"/>
    <w:rsid w:val="009E2F64"/>
    <w:rsid w:val="009E2FA5"/>
    <w:rsid w:val="009E317D"/>
    <w:rsid w:val="009E3516"/>
    <w:rsid w:val="009E3989"/>
    <w:rsid w:val="009E39D2"/>
    <w:rsid w:val="009E3DA1"/>
    <w:rsid w:val="009E3F53"/>
    <w:rsid w:val="009E3FE9"/>
    <w:rsid w:val="009E4118"/>
    <w:rsid w:val="009E4355"/>
    <w:rsid w:val="009E4671"/>
    <w:rsid w:val="009E494A"/>
    <w:rsid w:val="009E4D58"/>
    <w:rsid w:val="009E4D9C"/>
    <w:rsid w:val="009E4E5D"/>
    <w:rsid w:val="009E5068"/>
    <w:rsid w:val="009E52D2"/>
    <w:rsid w:val="009E5564"/>
    <w:rsid w:val="009E57AB"/>
    <w:rsid w:val="009E5864"/>
    <w:rsid w:val="009E5CF9"/>
    <w:rsid w:val="009E5F10"/>
    <w:rsid w:val="009E60FD"/>
    <w:rsid w:val="009E617F"/>
    <w:rsid w:val="009E64F5"/>
    <w:rsid w:val="009E6743"/>
    <w:rsid w:val="009E6968"/>
    <w:rsid w:val="009E69DF"/>
    <w:rsid w:val="009E6B01"/>
    <w:rsid w:val="009E6C78"/>
    <w:rsid w:val="009E7140"/>
    <w:rsid w:val="009E714D"/>
    <w:rsid w:val="009E71BB"/>
    <w:rsid w:val="009E725D"/>
    <w:rsid w:val="009E7281"/>
    <w:rsid w:val="009E7877"/>
    <w:rsid w:val="009E7AA2"/>
    <w:rsid w:val="009E7D28"/>
    <w:rsid w:val="009E7D35"/>
    <w:rsid w:val="009E7D8E"/>
    <w:rsid w:val="009E7E7B"/>
    <w:rsid w:val="009E7E9B"/>
    <w:rsid w:val="009F0167"/>
    <w:rsid w:val="009F02E6"/>
    <w:rsid w:val="009F0492"/>
    <w:rsid w:val="009F049F"/>
    <w:rsid w:val="009F04C4"/>
    <w:rsid w:val="009F0577"/>
    <w:rsid w:val="009F070D"/>
    <w:rsid w:val="009F07DE"/>
    <w:rsid w:val="009F08FE"/>
    <w:rsid w:val="009F0987"/>
    <w:rsid w:val="009F0BED"/>
    <w:rsid w:val="009F0C78"/>
    <w:rsid w:val="009F0E72"/>
    <w:rsid w:val="009F0F13"/>
    <w:rsid w:val="009F0FF5"/>
    <w:rsid w:val="009F102B"/>
    <w:rsid w:val="009F1084"/>
    <w:rsid w:val="009F1110"/>
    <w:rsid w:val="009F12F3"/>
    <w:rsid w:val="009F131B"/>
    <w:rsid w:val="009F13B1"/>
    <w:rsid w:val="009F13D5"/>
    <w:rsid w:val="009F1499"/>
    <w:rsid w:val="009F159B"/>
    <w:rsid w:val="009F1607"/>
    <w:rsid w:val="009F1925"/>
    <w:rsid w:val="009F1A62"/>
    <w:rsid w:val="009F1CB7"/>
    <w:rsid w:val="009F1D43"/>
    <w:rsid w:val="009F1D66"/>
    <w:rsid w:val="009F1D8E"/>
    <w:rsid w:val="009F1E30"/>
    <w:rsid w:val="009F1F64"/>
    <w:rsid w:val="009F2113"/>
    <w:rsid w:val="009F21E2"/>
    <w:rsid w:val="009F2238"/>
    <w:rsid w:val="009F250D"/>
    <w:rsid w:val="009F264F"/>
    <w:rsid w:val="009F26DE"/>
    <w:rsid w:val="009F29A6"/>
    <w:rsid w:val="009F2B9A"/>
    <w:rsid w:val="009F2C49"/>
    <w:rsid w:val="009F2F17"/>
    <w:rsid w:val="009F2FB1"/>
    <w:rsid w:val="009F2FBA"/>
    <w:rsid w:val="009F3219"/>
    <w:rsid w:val="009F3492"/>
    <w:rsid w:val="009F358B"/>
    <w:rsid w:val="009F378F"/>
    <w:rsid w:val="009F3B7F"/>
    <w:rsid w:val="009F3BBC"/>
    <w:rsid w:val="009F3C12"/>
    <w:rsid w:val="009F3D07"/>
    <w:rsid w:val="009F3E25"/>
    <w:rsid w:val="009F3EAA"/>
    <w:rsid w:val="009F3EB0"/>
    <w:rsid w:val="009F3FF7"/>
    <w:rsid w:val="009F401E"/>
    <w:rsid w:val="009F41C5"/>
    <w:rsid w:val="009F43C5"/>
    <w:rsid w:val="009F48AF"/>
    <w:rsid w:val="009F49BC"/>
    <w:rsid w:val="009F4A1D"/>
    <w:rsid w:val="009F4E3B"/>
    <w:rsid w:val="009F4EC9"/>
    <w:rsid w:val="009F5056"/>
    <w:rsid w:val="009F508A"/>
    <w:rsid w:val="009F5453"/>
    <w:rsid w:val="009F56BD"/>
    <w:rsid w:val="009F5A60"/>
    <w:rsid w:val="009F5CB9"/>
    <w:rsid w:val="009F5D15"/>
    <w:rsid w:val="009F5E88"/>
    <w:rsid w:val="009F62D6"/>
    <w:rsid w:val="009F65AF"/>
    <w:rsid w:val="009F683B"/>
    <w:rsid w:val="009F69E6"/>
    <w:rsid w:val="009F6A4E"/>
    <w:rsid w:val="009F6A9E"/>
    <w:rsid w:val="009F6DA0"/>
    <w:rsid w:val="009F6EB0"/>
    <w:rsid w:val="009F708B"/>
    <w:rsid w:val="009F7131"/>
    <w:rsid w:val="009F71C2"/>
    <w:rsid w:val="009F72EC"/>
    <w:rsid w:val="009F7448"/>
    <w:rsid w:val="009F7525"/>
    <w:rsid w:val="009F756E"/>
    <w:rsid w:val="009F757B"/>
    <w:rsid w:val="009F763A"/>
    <w:rsid w:val="009F7664"/>
    <w:rsid w:val="009F789D"/>
    <w:rsid w:val="009F7A47"/>
    <w:rsid w:val="009F7BB7"/>
    <w:rsid w:val="009F7C4C"/>
    <w:rsid w:val="009F7E1D"/>
    <w:rsid w:val="009F7E46"/>
    <w:rsid w:val="009F7E4F"/>
    <w:rsid w:val="009F7F0F"/>
    <w:rsid w:val="009F7FFC"/>
    <w:rsid w:val="00A002B3"/>
    <w:rsid w:val="00A00312"/>
    <w:rsid w:val="00A003CF"/>
    <w:rsid w:val="00A00471"/>
    <w:rsid w:val="00A005B7"/>
    <w:rsid w:val="00A00719"/>
    <w:rsid w:val="00A0081F"/>
    <w:rsid w:val="00A009E5"/>
    <w:rsid w:val="00A009F4"/>
    <w:rsid w:val="00A00A3E"/>
    <w:rsid w:val="00A00B64"/>
    <w:rsid w:val="00A00CBD"/>
    <w:rsid w:val="00A00D3A"/>
    <w:rsid w:val="00A00E0A"/>
    <w:rsid w:val="00A00E13"/>
    <w:rsid w:val="00A00FEF"/>
    <w:rsid w:val="00A01195"/>
    <w:rsid w:val="00A01214"/>
    <w:rsid w:val="00A0123D"/>
    <w:rsid w:val="00A01423"/>
    <w:rsid w:val="00A01452"/>
    <w:rsid w:val="00A01710"/>
    <w:rsid w:val="00A017D2"/>
    <w:rsid w:val="00A018BB"/>
    <w:rsid w:val="00A0199F"/>
    <w:rsid w:val="00A01A51"/>
    <w:rsid w:val="00A01A83"/>
    <w:rsid w:val="00A01AE3"/>
    <w:rsid w:val="00A01C14"/>
    <w:rsid w:val="00A01C83"/>
    <w:rsid w:val="00A01D7E"/>
    <w:rsid w:val="00A01FB1"/>
    <w:rsid w:val="00A021CE"/>
    <w:rsid w:val="00A02233"/>
    <w:rsid w:val="00A0234A"/>
    <w:rsid w:val="00A0289E"/>
    <w:rsid w:val="00A02A7F"/>
    <w:rsid w:val="00A02C1F"/>
    <w:rsid w:val="00A02C91"/>
    <w:rsid w:val="00A02CDB"/>
    <w:rsid w:val="00A02E22"/>
    <w:rsid w:val="00A02E33"/>
    <w:rsid w:val="00A03087"/>
    <w:rsid w:val="00A031EA"/>
    <w:rsid w:val="00A03243"/>
    <w:rsid w:val="00A0326D"/>
    <w:rsid w:val="00A032EA"/>
    <w:rsid w:val="00A0332B"/>
    <w:rsid w:val="00A035C0"/>
    <w:rsid w:val="00A03794"/>
    <w:rsid w:val="00A03AA0"/>
    <w:rsid w:val="00A03B33"/>
    <w:rsid w:val="00A03C2E"/>
    <w:rsid w:val="00A03DAA"/>
    <w:rsid w:val="00A03EAF"/>
    <w:rsid w:val="00A03ED9"/>
    <w:rsid w:val="00A040A2"/>
    <w:rsid w:val="00A04565"/>
    <w:rsid w:val="00A045CA"/>
    <w:rsid w:val="00A049AC"/>
    <w:rsid w:val="00A049EF"/>
    <w:rsid w:val="00A04DF6"/>
    <w:rsid w:val="00A04E73"/>
    <w:rsid w:val="00A04F19"/>
    <w:rsid w:val="00A051D1"/>
    <w:rsid w:val="00A05258"/>
    <w:rsid w:val="00A052CD"/>
    <w:rsid w:val="00A05548"/>
    <w:rsid w:val="00A055B0"/>
    <w:rsid w:val="00A055BC"/>
    <w:rsid w:val="00A055F5"/>
    <w:rsid w:val="00A056C3"/>
    <w:rsid w:val="00A05749"/>
    <w:rsid w:val="00A058E5"/>
    <w:rsid w:val="00A05A1D"/>
    <w:rsid w:val="00A05AE5"/>
    <w:rsid w:val="00A05BD8"/>
    <w:rsid w:val="00A05C7C"/>
    <w:rsid w:val="00A05CB2"/>
    <w:rsid w:val="00A05F06"/>
    <w:rsid w:val="00A0609F"/>
    <w:rsid w:val="00A061B2"/>
    <w:rsid w:val="00A064C2"/>
    <w:rsid w:val="00A064CD"/>
    <w:rsid w:val="00A0650D"/>
    <w:rsid w:val="00A065E0"/>
    <w:rsid w:val="00A066F9"/>
    <w:rsid w:val="00A067E1"/>
    <w:rsid w:val="00A0689D"/>
    <w:rsid w:val="00A069B3"/>
    <w:rsid w:val="00A06ADA"/>
    <w:rsid w:val="00A06BCB"/>
    <w:rsid w:val="00A06D67"/>
    <w:rsid w:val="00A06F7D"/>
    <w:rsid w:val="00A06F8F"/>
    <w:rsid w:val="00A0730B"/>
    <w:rsid w:val="00A07608"/>
    <w:rsid w:val="00A076AC"/>
    <w:rsid w:val="00A07811"/>
    <w:rsid w:val="00A07A38"/>
    <w:rsid w:val="00A07ABE"/>
    <w:rsid w:val="00A07B85"/>
    <w:rsid w:val="00A07D0B"/>
    <w:rsid w:val="00A07F6F"/>
    <w:rsid w:val="00A10098"/>
    <w:rsid w:val="00A10187"/>
    <w:rsid w:val="00A10194"/>
    <w:rsid w:val="00A101FA"/>
    <w:rsid w:val="00A1033D"/>
    <w:rsid w:val="00A10340"/>
    <w:rsid w:val="00A10546"/>
    <w:rsid w:val="00A1092D"/>
    <w:rsid w:val="00A10A7D"/>
    <w:rsid w:val="00A10B2E"/>
    <w:rsid w:val="00A10C29"/>
    <w:rsid w:val="00A10D88"/>
    <w:rsid w:val="00A10E4D"/>
    <w:rsid w:val="00A10E7A"/>
    <w:rsid w:val="00A1101A"/>
    <w:rsid w:val="00A11021"/>
    <w:rsid w:val="00A1104B"/>
    <w:rsid w:val="00A11107"/>
    <w:rsid w:val="00A11194"/>
    <w:rsid w:val="00A111D0"/>
    <w:rsid w:val="00A112BC"/>
    <w:rsid w:val="00A1139D"/>
    <w:rsid w:val="00A11457"/>
    <w:rsid w:val="00A114F9"/>
    <w:rsid w:val="00A11849"/>
    <w:rsid w:val="00A1188D"/>
    <w:rsid w:val="00A118B5"/>
    <w:rsid w:val="00A1196F"/>
    <w:rsid w:val="00A11AA4"/>
    <w:rsid w:val="00A11D19"/>
    <w:rsid w:val="00A11EFA"/>
    <w:rsid w:val="00A11F1A"/>
    <w:rsid w:val="00A11FF3"/>
    <w:rsid w:val="00A121A4"/>
    <w:rsid w:val="00A12287"/>
    <w:rsid w:val="00A122E8"/>
    <w:rsid w:val="00A122FC"/>
    <w:rsid w:val="00A1245C"/>
    <w:rsid w:val="00A12479"/>
    <w:rsid w:val="00A124DA"/>
    <w:rsid w:val="00A12509"/>
    <w:rsid w:val="00A126E6"/>
    <w:rsid w:val="00A12733"/>
    <w:rsid w:val="00A127A0"/>
    <w:rsid w:val="00A12886"/>
    <w:rsid w:val="00A128EF"/>
    <w:rsid w:val="00A12B4F"/>
    <w:rsid w:val="00A12DD9"/>
    <w:rsid w:val="00A12EB2"/>
    <w:rsid w:val="00A12FC4"/>
    <w:rsid w:val="00A13037"/>
    <w:rsid w:val="00A133BC"/>
    <w:rsid w:val="00A1343D"/>
    <w:rsid w:val="00A1349C"/>
    <w:rsid w:val="00A13559"/>
    <w:rsid w:val="00A135A7"/>
    <w:rsid w:val="00A13897"/>
    <w:rsid w:val="00A138E3"/>
    <w:rsid w:val="00A139B3"/>
    <w:rsid w:val="00A13A6D"/>
    <w:rsid w:val="00A13B75"/>
    <w:rsid w:val="00A13CAA"/>
    <w:rsid w:val="00A14336"/>
    <w:rsid w:val="00A143C1"/>
    <w:rsid w:val="00A14544"/>
    <w:rsid w:val="00A145D6"/>
    <w:rsid w:val="00A1495F"/>
    <w:rsid w:val="00A14A3F"/>
    <w:rsid w:val="00A14A97"/>
    <w:rsid w:val="00A14D24"/>
    <w:rsid w:val="00A14D26"/>
    <w:rsid w:val="00A14EE9"/>
    <w:rsid w:val="00A14F62"/>
    <w:rsid w:val="00A1513A"/>
    <w:rsid w:val="00A15143"/>
    <w:rsid w:val="00A151CF"/>
    <w:rsid w:val="00A15342"/>
    <w:rsid w:val="00A15380"/>
    <w:rsid w:val="00A1538E"/>
    <w:rsid w:val="00A153D2"/>
    <w:rsid w:val="00A157FE"/>
    <w:rsid w:val="00A15B21"/>
    <w:rsid w:val="00A15B5B"/>
    <w:rsid w:val="00A15BCE"/>
    <w:rsid w:val="00A15BD7"/>
    <w:rsid w:val="00A15C15"/>
    <w:rsid w:val="00A160C9"/>
    <w:rsid w:val="00A16210"/>
    <w:rsid w:val="00A1638B"/>
    <w:rsid w:val="00A165C3"/>
    <w:rsid w:val="00A167EA"/>
    <w:rsid w:val="00A16814"/>
    <w:rsid w:val="00A169FE"/>
    <w:rsid w:val="00A16D42"/>
    <w:rsid w:val="00A16E79"/>
    <w:rsid w:val="00A16F42"/>
    <w:rsid w:val="00A17046"/>
    <w:rsid w:val="00A1708F"/>
    <w:rsid w:val="00A17182"/>
    <w:rsid w:val="00A174B5"/>
    <w:rsid w:val="00A175A0"/>
    <w:rsid w:val="00A17664"/>
    <w:rsid w:val="00A178F6"/>
    <w:rsid w:val="00A17DF7"/>
    <w:rsid w:val="00A17FCD"/>
    <w:rsid w:val="00A20063"/>
    <w:rsid w:val="00A200C4"/>
    <w:rsid w:val="00A20272"/>
    <w:rsid w:val="00A204A3"/>
    <w:rsid w:val="00A20571"/>
    <w:rsid w:val="00A20760"/>
    <w:rsid w:val="00A20BBA"/>
    <w:rsid w:val="00A20D1E"/>
    <w:rsid w:val="00A20E93"/>
    <w:rsid w:val="00A20F40"/>
    <w:rsid w:val="00A21056"/>
    <w:rsid w:val="00A21387"/>
    <w:rsid w:val="00A2139A"/>
    <w:rsid w:val="00A213A1"/>
    <w:rsid w:val="00A21512"/>
    <w:rsid w:val="00A21560"/>
    <w:rsid w:val="00A21909"/>
    <w:rsid w:val="00A21944"/>
    <w:rsid w:val="00A21B18"/>
    <w:rsid w:val="00A21EB8"/>
    <w:rsid w:val="00A21F3A"/>
    <w:rsid w:val="00A22457"/>
    <w:rsid w:val="00A224DE"/>
    <w:rsid w:val="00A2256B"/>
    <w:rsid w:val="00A225D2"/>
    <w:rsid w:val="00A22867"/>
    <w:rsid w:val="00A22979"/>
    <w:rsid w:val="00A22A8F"/>
    <w:rsid w:val="00A22A9D"/>
    <w:rsid w:val="00A22B89"/>
    <w:rsid w:val="00A22CD8"/>
    <w:rsid w:val="00A22DDB"/>
    <w:rsid w:val="00A22EBD"/>
    <w:rsid w:val="00A2311D"/>
    <w:rsid w:val="00A2327D"/>
    <w:rsid w:val="00A23480"/>
    <w:rsid w:val="00A235BE"/>
    <w:rsid w:val="00A238ED"/>
    <w:rsid w:val="00A239DF"/>
    <w:rsid w:val="00A23EDA"/>
    <w:rsid w:val="00A23FF4"/>
    <w:rsid w:val="00A2405A"/>
    <w:rsid w:val="00A2431A"/>
    <w:rsid w:val="00A243DE"/>
    <w:rsid w:val="00A2456D"/>
    <w:rsid w:val="00A24590"/>
    <w:rsid w:val="00A246DF"/>
    <w:rsid w:val="00A24850"/>
    <w:rsid w:val="00A2496B"/>
    <w:rsid w:val="00A24AFB"/>
    <w:rsid w:val="00A24B23"/>
    <w:rsid w:val="00A24F52"/>
    <w:rsid w:val="00A25045"/>
    <w:rsid w:val="00A25222"/>
    <w:rsid w:val="00A253D2"/>
    <w:rsid w:val="00A2549B"/>
    <w:rsid w:val="00A25640"/>
    <w:rsid w:val="00A2569F"/>
    <w:rsid w:val="00A2589C"/>
    <w:rsid w:val="00A258B8"/>
    <w:rsid w:val="00A258D4"/>
    <w:rsid w:val="00A25A21"/>
    <w:rsid w:val="00A25AC9"/>
    <w:rsid w:val="00A25CB3"/>
    <w:rsid w:val="00A25F50"/>
    <w:rsid w:val="00A25FB8"/>
    <w:rsid w:val="00A260BE"/>
    <w:rsid w:val="00A261F7"/>
    <w:rsid w:val="00A26587"/>
    <w:rsid w:val="00A26B98"/>
    <w:rsid w:val="00A26D46"/>
    <w:rsid w:val="00A26D7F"/>
    <w:rsid w:val="00A26F24"/>
    <w:rsid w:val="00A26F46"/>
    <w:rsid w:val="00A27143"/>
    <w:rsid w:val="00A27305"/>
    <w:rsid w:val="00A27353"/>
    <w:rsid w:val="00A2756A"/>
    <w:rsid w:val="00A276B9"/>
    <w:rsid w:val="00A27AB4"/>
    <w:rsid w:val="00A30333"/>
    <w:rsid w:val="00A30350"/>
    <w:rsid w:val="00A303E4"/>
    <w:rsid w:val="00A305B7"/>
    <w:rsid w:val="00A30852"/>
    <w:rsid w:val="00A30BB1"/>
    <w:rsid w:val="00A30EEA"/>
    <w:rsid w:val="00A3107D"/>
    <w:rsid w:val="00A31304"/>
    <w:rsid w:val="00A31345"/>
    <w:rsid w:val="00A314D8"/>
    <w:rsid w:val="00A317FC"/>
    <w:rsid w:val="00A3182F"/>
    <w:rsid w:val="00A3197E"/>
    <w:rsid w:val="00A319AA"/>
    <w:rsid w:val="00A31CE3"/>
    <w:rsid w:val="00A31FCA"/>
    <w:rsid w:val="00A320F5"/>
    <w:rsid w:val="00A32180"/>
    <w:rsid w:val="00A322A4"/>
    <w:rsid w:val="00A322FE"/>
    <w:rsid w:val="00A3292B"/>
    <w:rsid w:val="00A329EF"/>
    <w:rsid w:val="00A32ABB"/>
    <w:rsid w:val="00A32B95"/>
    <w:rsid w:val="00A32BF1"/>
    <w:rsid w:val="00A32C78"/>
    <w:rsid w:val="00A32C80"/>
    <w:rsid w:val="00A32F60"/>
    <w:rsid w:val="00A330D0"/>
    <w:rsid w:val="00A331D6"/>
    <w:rsid w:val="00A332AD"/>
    <w:rsid w:val="00A33306"/>
    <w:rsid w:val="00A3345D"/>
    <w:rsid w:val="00A335ED"/>
    <w:rsid w:val="00A3362A"/>
    <w:rsid w:val="00A33646"/>
    <w:rsid w:val="00A33756"/>
    <w:rsid w:val="00A33896"/>
    <w:rsid w:val="00A339A8"/>
    <w:rsid w:val="00A33B66"/>
    <w:rsid w:val="00A33C42"/>
    <w:rsid w:val="00A33E96"/>
    <w:rsid w:val="00A3428F"/>
    <w:rsid w:val="00A34351"/>
    <w:rsid w:val="00A34890"/>
    <w:rsid w:val="00A348E8"/>
    <w:rsid w:val="00A34934"/>
    <w:rsid w:val="00A349FF"/>
    <w:rsid w:val="00A34A7A"/>
    <w:rsid w:val="00A34AE1"/>
    <w:rsid w:val="00A34D8B"/>
    <w:rsid w:val="00A34F79"/>
    <w:rsid w:val="00A35258"/>
    <w:rsid w:val="00A35469"/>
    <w:rsid w:val="00A3580A"/>
    <w:rsid w:val="00A35824"/>
    <w:rsid w:val="00A359C4"/>
    <w:rsid w:val="00A35A87"/>
    <w:rsid w:val="00A35E29"/>
    <w:rsid w:val="00A35E6D"/>
    <w:rsid w:val="00A35E72"/>
    <w:rsid w:val="00A35EB0"/>
    <w:rsid w:val="00A36347"/>
    <w:rsid w:val="00A36590"/>
    <w:rsid w:val="00A36594"/>
    <w:rsid w:val="00A3663C"/>
    <w:rsid w:val="00A3671F"/>
    <w:rsid w:val="00A3683B"/>
    <w:rsid w:val="00A36880"/>
    <w:rsid w:val="00A368F0"/>
    <w:rsid w:val="00A36AD1"/>
    <w:rsid w:val="00A36AE1"/>
    <w:rsid w:val="00A36C9D"/>
    <w:rsid w:val="00A36DC0"/>
    <w:rsid w:val="00A36E09"/>
    <w:rsid w:val="00A36E9B"/>
    <w:rsid w:val="00A36EAB"/>
    <w:rsid w:val="00A36F77"/>
    <w:rsid w:val="00A36FCC"/>
    <w:rsid w:val="00A36FCE"/>
    <w:rsid w:val="00A3700F"/>
    <w:rsid w:val="00A37020"/>
    <w:rsid w:val="00A37160"/>
    <w:rsid w:val="00A37200"/>
    <w:rsid w:val="00A37332"/>
    <w:rsid w:val="00A37397"/>
    <w:rsid w:val="00A373A2"/>
    <w:rsid w:val="00A37494"/>
    <w:rsid w:val="00A378AE"/>
    <w:rsid w:val="00A37A2D"/>
    <w:rsid w:val="00A37B41"/>
    <w:rsid w:val="00A37DD0"/>
    <w:rsid w:val="00A37E74"/>
    <w:rsid w:val="00A37F79"/>
    <w:rsid w:val="00A4000E"/>
    <w:rsid w:val="00A4016F"/>
    <w:rsid w:val="00A4022D"/>
    <w:rsid w:val="00A4024D"/>
    <w:rsid w:val="00A403CD"/>
    <w:rsid w:val="00A406D1"/>
    <w:rsid w:val="00A40770"/>
    <w:rsid w:val="00A407CC"/>
    <w:rsid w:val="00A407E2"/>
    <w:rsid w:val="00A40826"/>
    <w:rsid w:val="00A40858"/>
    <w:rsid w:val="00A40A1B"/>
    <w:rsid w:val="00A40AC9"/>
    <w:rsid w:val="00A40E3E"/>
    <w:rsid w:val="00A410E6"/>
    <w:rsid w:val="00A412B7"/>
    <w:rsid w:val="00A415D1"/>
    <w:rsid w:val="00A4168E"/>
    <w:rsid w:val="00A41794"/>
    <w:rsid w:val="00A41887"/>
    <w:rsid w:val="00A41D73"/>
    <w:rsid w:val="00A41F15"/>
    <w:rsid w:val="00A42348"/>
    <w:rsid w:val="00A42421"/>
    <w:rsid w:val="00A424FE"/>
    <w:rsid w:val="00A425AF"/>
    <w:rsid w:val="00A42760"/>
    <w:rsid w:val="00A42786"/>
    <w:rsid w:val="00A42B0D"/>
    <w:rsid w:val="00A42B35"/>
    <w:rsid w:val="00A42B4D"/>
    <w:rsid w:val="00A42DEE"/>
    <w:rsid w:val="00A42E80"/>
    <w:rsid w:val="00A43025"/>
    <w:rsid w:val="00A432D6"/>
    <w:rsid w:val="00A434D5"/>
    <w:rsid w:val="00A436C8"/>
    <w:rsid w:val="00A43724"/>
    <w:rsid w:val="00A43828"/>
    <w:rsid w:val="00A438D2"/>
    <w:rsid w:val="00A43A17"/>
    <w:rsid w:val="00A43A19"/>
    <w:rsid w:val="00A43A71"/>
    <w:rsid w:val="00A43A84"/>
    <w:rsid w:val="00A43AB4"/>
    <w:rsid w:val="00A43AE8"/>
    <w:rsid w:val="00A43AF5"/>
    <w:rsid w:val="00A43C3C"/>
    <w:rsid w:val="00A43DAA"/>
    <w:rsid w:val="00A43EC0"/>
    <w:rsid w:val="00A44203"/>
    <w:rsid w:val="00A44294"/>
    <w:rsid w:val="00A44358"/>
    <w:rsid w:val="00A44389"/>
    <w:rsid w:val="00A44461"/>
    <w:rsid w:val="00A44494"/>
    <w:rsid w:val="00A44584"/>
    <w:rsid w:val="00A44618"/>
    <w:rsid w:val="00A4465E"/>
    <w:rsid w:val="00A4473D"/>
    <w:rsid w:val="00A448B7"/>
    <w:rsid w:val="00A448F2"/>
    <w:rsid w:val="00A44A39"/>
    <w:rsid w:val="00A44B21"/>
    <w:rsid w:val="00A44BB8"/>
    <w:rsid w:val="00A44CDD"/>
    <w:rsid w:val="00A44D7E"/>
    <w:rsid w:val="00A44EB9"/>
    <w:rsid w:val="00A451EE"/>
    <w:rsid w:val="00A45476"/>
    <w:rsid w:val="00A4554E"/>
    <w:rsid w:val="00A4556E"/>
    <w:rsid w:val="00A455A2"/>
    <w:rsid w:val="00A458CD"/>
    <w:rsid w:val="00A45B2F"/>
    <w:rsid w:val="00A45C06"/>
    <w:rsid w:val="00A45C1A"/>
    <w:rsid w:val="00A45E71"/>
    <w:rsid w:val="00A45F02"/>
    <w:rsid w:val="00A4611A"/>
    <w:rsid w:val="00A46241"/>
    <w:rsid w:val="00A464CC"/>
    <w:rsid w:val="00A4654B"/>
    <w:rsid w:val="00A466AF"/>
    <w:rsid w:val="00A46896"/>
    <w:rsid w:val="00A468CC"/>
    <w:rsid w:val="00A46BBA"/>
    <w:rsid w:val="00A46C50"/>
    <w:rsid w:val="00A46C5A"/>
    <w:rsid w:val="00A47107"/>
    <w:rsid w:val="00A47135"/>
    <w:rsid w:val="00A47661"/>
    <w:rsid w:val="00A476B2"/>
    <w:rsid w:val="00A47759"/>
    <w:rsid w:val="00A47A7D"/>
    <w:rsid w:val="00A47B15"/>
    <w:rsid w:val="00A47B7E"/>
    <w:rsid w:val="00A47C47"/>
    <w:rsid w:val="00A47EC6"/>
    <w:rsid w:val="00A47FD7"/>
    <w:rsid w:val="00A500D5"/>
    <w:rsid w:val="00A5021B"/>
    <w:rsid w:val="00A50374"/>
    <w:rsid w:val="00A5078E"/>
    <w:rsid w:val="00A50B8E"/>
    <w:rsid w:val="00A50B92"/>
    <w:rsid w:val="00A50CC9"/>
    <w:rsid w:val="00A50DB7"/>
    <w:rsid w:val="00A5109F"/>
    <w:rsid w:val="00A51275"/>
    <w:rsid w:val="00A5134D"/>
    <w:rsid w:val="00A513A1"/>
    <w:rsid w:val="00A515F3"/>
    <w:rsid w:val="00A51836"/>
    <w:rsid w:val="00A5199C"/>
    <w:rsid w:val="00A51EF1"/>
    <w:rsid w:val="00A520BE"/>
    <w:rsid w:val="00A52196"/>
    <w:rsid w:val="00A52329"/>
    <w:rsid w:val="00A523B0"/>
    <w:rsid w:val="00A5242B"/>
    <w:rsid w:val="00A5253B"/>
    <w:rsid w:val="00A5293C"/>
    <w:rsid w:val="00A52986"/>
    <w:rsid w:val="00A52A82"/>
    <w:rsid w:val="00A52D50"/>
    <w:rsid w:val="00A52F57"/>
    <w:rsid w:val="00A52F78"/>
    <w:rsid w:val="00A532F9"/>
    <w:rsid w:val="00A53328"/>
    <w:rsid w:val="00A53385"/>
    <w:rsid w:val="00A533A3"/>
    <w:rsid w:val="00A53483"/>
    <w:rsid w:val="00A53827"/>
    <w:rsid w:val="00A53842"/>
    <w:rsid w:val="00A538CA"/>
    <w:rsid w:val="00A53B6C"/>
    <w:rsid w:val="00A53C7E"/>
    <w:rsid w:val="00A53E82"/>
    <w:rsid w:val="00A53F0F"/>
    <w:rsid w:val="00A54122"/>
    <w:rsid w:val="00A54147"/>
    <w:rsid w:val="00A54248"/>
    <w:rsid w:val="00A542AD"/>
    <w:rsid w:val="00A542F9"/>
    <w:rsid w:val="00A542FF"/>
    <w:rsid w:val="00A54839"/>
    <w:rsid w:val="00A54894"/>
    <w:rsid w:val="00A549BD"/>
    <w:rsid w:val="00A54A3F"/>
    <w:rsid w:val="00A54C6F"/>
    <w:rsid w:val="00A54C9F"/>
    <w:rsid w:val="00A54DC9"/>
    <w:rsid w:val="00A54F2C"/>
    <w:rsid w:val="00A54FC0"/>
    <w:rsid w:val="00A55071"/>
    <w:rsid w:val="00A551F1"/>
    <w:rsid w:val="00A555FC"/>
    <w:rsid w:val="00A55620"/>
    <w:rsid w:val="00A55717"/>
    <w:rsid w:val="00A55772"/>
    <w:rsid w:val="00A55837"/>
    <w:rsid w:val="00A55948"/>
    <w:rsid w:val="00A55A86"/>
    <w:rsid w:val="00A55B2E"/>
    <w:rsid w:val="00A55BF5"/>
    <w:rsid w:val="00A55EA0"/>
    <w:rsid w:val="00A55F9F"/>
    <w:rsid w:val="00A56190"/>
    <w:rsid w:val="00A56253"/>
    <w:rsid w:val="00A5628C"/>
    <w:rsid w:val="00A56309"/>
    <w:rsid w:val="00A56392"/>
    <w:rsid w:val="00A564A3"/>
    <w:rsid w:val="00A564DF"/>
    <w:rsid w:val="00A567B8"/>
    <w:rsid w:val="00A56ABB"/>
    <w:rsid w:val="00A56C12"/>
    <w:rsid w:val="00A56CB8"/>
    <w:rsid w:val="00A56F8A"/>
    <w:rsid w:val="00A56FC3"/>
    <w:rsid w:val="00A5715E"/>
    <w:rsid w:val="00A57170"/>
    <w:rsid w:val="00A571E7"/>
    <w:rsid w:val="00A57217"/>
    <w:rsid w:val="00A572BE"/>
    <w:rsid w:val="00A5749F"/>
    <w:rsid w:val="00A5777A"/>
    <w:rsid w:val="00A57972"/>
    <w:rsid w:val="00A57CFE"/>
    <w:rsid w:val="00A57D95"/>
    <w:rsid w:val="00A57EAD"/>
    <w:rsid w:val="00A57F1C"/>
    <w:rsid w:val="00A60088"/>
    <w:rsid w:val="00A60390"/>
    <w:rsid w:val="00A605D9"/>
    <w:rsid w:val="00A6098B"/>
    <w:rsid w:val="00A60AAD"/>
    <w:rsid w:val="00A60B17"/>
    <w:rsid w:val="00A60C21"/>
    <w:rsid w:val="00A60C2E"/>
    <w:rsid w:val="00A60C5E"/>
    <w:rsid w:val="00A60D76"/>
    <w:rsid w:val="00A60DC3"/>
    <w:rsid w:val="00A60EB4"/>
    <w:rsid w:val="00A60FBA"/>
    <w:rsid w:val="00A611E8"/>
    <w:rsid w:val="00A61375"/>
    <w:rsid w:val="00A614E5"/>
    <w:rsid w:val="00A616C4"/>
    <w:rsid w:val="00A61935"/>
    <w:rsid w:val="00A61E37"/>
    <w:rsid w:val="00A61F67"/>
    <w:rsid w:val="00A61F6B"/>
    <w:rsid w:val="00A61FD6"/>
    <w:rsid w:val="00A621B2"/>
    <w:rsid w:val="00A62533"/>
    <w:rsid w:val="00A625C4"/>
    <w:rsid w:val="00A6267B"/>
    <w:rsid w:val="00A626AF"/>
    <w:rsid w:val="00A62951"/>
    <w:rsid w:val="00A62A99"/>
    <w:rsid w:val="00A62DB4"/>
    <w:rsid w:val="00A62E33"/>
    <w:rsid w:val="00A62F46"/>
    <w:rsid w:val="00A62F47"/>
    <w:rsid w:val="00A62F4B"/>
    <w:rsid w:val="00A6354A"/>
    <w:rsid w:val="00A63A7F"/>
    <w:rsid w:val="00A63AA7"/>
    <w:rsid w:val="00A63AE1"/>
    <w:rsid w:val="00A63AF6"/>
    <w:rsid w:val="00A63B02"/>
    <w:rsid w:val="00A63B74"/>
    <w:rsid w:val="00A63C07"/>
    <w:rsid w:val="00A63DAD"/>
    <w:rsid w:val="00A63DF4"/>
    <w:rsid w:val="00A63E55"/>
    <w:rsid w:val="00A63EE4"/>
    <w:rsid w:val="00A64108"/>
    <w:rsid w:val="00A641C1"/>
    <w:rsid w:val="00A6422B"/>
    <w:rsid w:val="00A64232"/>
    <w:rsid w:val="00A64324"/>
    <w:rsid w:val="00A64400"/>
    <w:rsid w:val="00A645C5"/>
    <w:rsid w:val="00A646C1"/>
    <w:rsid w:val="00A6483E"/>
    <w:rsid w:val="00A648FA"/>
    <w:rsid w:val="00A64959"/>
    <w:rsid w:val="00A64A7B"/>
    <w:rsid w:val="00A64F86"/>
    <w:rsid w:val="00A6511A"/>
    <w:rsid w:val="00A6515F"/>
    <w:rsid w:val="00A65166"/>
    <w:rsid w:val="00A65246"/>
    <w:rsid w:val="00A6548F"/>
    <w:rsid w:val="00A65563"/>
    <w:rsid w:val="00A6559B"/>
    <w:rsid w:val="00A6585B"/>
    <w:rsid w:val="00A658C8"/>
    <w:rsid w:val="00A65A4F"/>
    <w:rsid w:val="00A65C2A"/>
    <w:rsid w:val="00A65C54"/>
    <w:rsid w:val="00A65C94"/>
    <w:rsid w:val="00A65CA0"/>
    <w:rsid w:val="00A65D72"/>
    <w:rsid w:val="00A66058"/>
    <w:rsid w:val="00A6621E"/>
    <w:rsid w:val="00A66509"/>
    <w:rsid w:val="00A66607"/>
    <w:rsid w:val="00A666F4"/>
    <w:rsid w:val="00A668DE"/>
    <w:rsid w:val="00A668DF"/>
    <w:rsid w:val="00A66B56"/>
    <w:rsid w:val="00A66CE8"/>
    <w:rsid w:val="00A66D4F"/>
    <w:rsid w:val="00A670FA"/>
    <w:rsid w:val="00A67118"/>
    <w:rsid w:val="00A67173"/>
    <w:rsid w:val="00A67236"/>
    <w:rsid w:val="00A67494"/>
    <w:rsid w:val="00A67500"/>
    <w:rsid w:val="00A6756D"/>
    <w:rsid w:val="00A67684"/>
    <w:rsid w:val="00A6777B"/>
    <w:rsid w:val="00A6787D"/>
    <w:rsid w:val="00A678A2"/>
    <w:rsid w:val="00A679E1"/>
    <w:rsid w:val="00A67A4C"/>
    <w:rsid w:val="00A67D29"/>
    <w:rsid w:val="00A67D3C"/>
    <w:rsid w:val="00A67E00"/>
    <w:rsid w:val="00A700D2"/>
    <w:rsid w:val="00A70106"/>
    <w:rsid w:val="00A702DD"/>
    <w:rsid w:val="00A70445"/>
    <w:rsid w:val="00A7052D"/>
    <w:rsid w:val="00A70531"/>
    <w:rsid w:val="00A705B6"/>
    <w:rsid w:val="00A707C5"/>
    <w:rsid w:val="00A70833"/>
    <w:rsid w:val="00A7085D"/>
    <w:rsid w:val="00A7094C"/>
    <w:rsid w:val="00A70B23"/>
    <w:rsid w:val="00A70E7A"/>
    <w:rsid w:val="00A71076"/>
    <w:rsid w:val="00A71215"/>
    <w:rsid w:val="00A7122A"/>
    <w:rsid w:val="00A712D7"/>
    <w:rsid w:val="00A71367"/>
    <w:rsid w:val="00A713DD"/>
    <w:rsid w:val="00A715AB"/>
    <w:rsid w:val="00A7167B"/>
    <w:rsid w:val="00A7180B"/>
    <w:rsid w:val="00A7181C"/>
    <w:rsid w:val="00A71949"/>
    <w:rsid w:val="00A71A46"/>
    <w:rsid w:val="00A71A50"/>
    <w:rsid w:val="00A71AF2"/>
    <w:rsid w:val="00A71B08"/>
    <w:rsid w:val="00A71B52"/>
    <w:rsid w:val="00A71BF2"/>
    <w:rsid w:val="00A71D2B"/>
    <w:rsid w:val="00A71D48"/>
    <w:rsid w:val="00A71D74"/>
    <w:rsid w:val="00A71D77"/>
    <w:rsid w:val="00A71E8A"/>
    <w:rsid w:val="00A7209A"/>
    <w:rsid w:val="00A72162"/>
    <w:rsid w:val="00A722E9"/>
    <w:rsid w:val="00A72312"/>
    <w:rsid w:val="00A7257F"/>
    <w:rsid w:val="00A72598"/>
    <w:rsid w:val="00A72977"/>
    <w:rsid w:val="00A72995"/>
    <w:rsid w:val="00A729A3"/>
    <w:rsid w:val="00A72A63"/>
    <w:rsid w:val="00A72AE5"/>
    <w:rsid w:val="00A72E43"/>
    <w:rsid w:val="00A72E7C"/>
    <w:rsid w:val="00A72F77"/>
    <w:rsid w:val="00A72F7E"/>
    <w:rsid w:val="00A7311B"/>
    <w:rsid w:val="00A7319B"/>
    <w:rsid w:val="00A7330B"/>
    <w:rsid w:val="00A73340"/>
    <w:rsid w:val="00A73367"/>
    <w:rsid w:val="00A733A8"/>
    <w:rsid w:val="00A734B8"/>
    <w:rsid w:val="00A73522"/>
    <w:rsid w:val="00A73542"/>
    <w:rsid w:val="00A73890"/>
    <w:rsid w:val="00A73A2D"/>
    <w:rsid w:val="00A73BA7"/>
    <w:rsid w:val="00A73BCE"/>
    <w:rsid w:val="00A73CDC"/>
    <w:rsid w:val="00A73E59"/>
    <w:rsid w:val="00A73F78"/>
    <w:rsid w:val="00A73FC0"/>
    <w:rsid w:val="00A73FEF"/>
    <w:rsid w:val="00A741CF"/>
    <w:rsid w:val="00A744CF"/>
    <w:rsid w:val="00A7455D"/>
    <w:rsid w:val="00A745DD"/>
    <w:rsid w:val="00A7463D"/>
    <w:rsid w:val="00A746C0"/>
    <w:rsid w:val="00A746D9"/>
    <w:rsid w:val="00A7470B"/>
    <w:rsid w:val="00A7472E"/>
    <w:rsid w:val="00A74825"/>
    <w:rsid w:val="00A748F0"/>
    <w:rsid w:val="00A74AF0"/>
    <w:rsid w:val="00A74B00"/>
    <w:rsid w:val="00A74E39"/>
    <w:rsid w:val="00A74F40"/>
    <w:rsid w:val="00A74FC4"/>
    <w:rsid w:val="00A74FDD"/>
    <w:rsid w:val="00A74FFA"/>
    <w:rsid w:val="00A74FFC"/>
    <w:rsid w:val="00A752AE"/>
    <w:rsid w:val="00A75380"/>
    <w:rsid w:val="00A755A2"/>
    <w:rsid w:val="00A7573F"/>
    <w:rsid w:val="00A758CB"/>
    <w:rsid w:val="00A75BE5"/>
    <w:rsid w:val="00A75CE4"/>
    <w:rsid w:val="00A75DB3"/>
    <w:rsid w:val="00A75DC1"/>
    <w:rsid w:val="00A75DE0"/>
    <w:rsid w:val="00A75DEB"/>
    <w:rsid w:val="00A7607E"/>
    <w:rsid w:val="00A762F4"/>
    <w:rsid w:val="00A76494"/>
    <w:rsid w:val="00A76645"/>
    <w:rsid w:val="00A76672"/>
    <w:rsid w:val="00A76774"/>
    <w:rsid w:val="00A767FC"/>
    <w:rsid w:val="00A768F2"/>
    <w:rsid w:val="00A76977"/>
    <w:rsid w:val="00A76A93"/>
    <w:rsid w:val="00A76AAF"/>
    <w:rsid w:val="00A76B85"/>
    <w:rsid w:val="00A76CCA"/>
    <w:rsid w:val="00A76D02"/>
    <w:rsid w:val="00A76EDD"/>
    <w:rsid w:val="00A77168"/>
    <w:rsid w:val="00A771ED"/>
    <w:rsid w:val="00A77303"/>
    <w:rsid w:val="00A77348"/>
    <w:rsid w:val="00A773F7"/>
    <w:rsid w:val="00A774ED"/>
    <w:rsid w:val="00A77695"/>
    <w:rsid w:val="00A776CE"/>
    <w:rsid w:val="00A77BA7"/>
    <w:rsid w:val="00A77F50"/>
    <w:rsid w:val="00A8018C"/>
    <w:rsid w:val="00A802BD"/>
    <w:rsid w:val="00A804B6"/>
    <w:rsid w:val="00A80529"/>
    <w:rsid w:val="00A808E1"/>
    <w:rsid w:val="00A80AA5"/>
    <w:rsid w:val="00A80D57"/>
    <w:rsid w:val="00A80D7E"/>
    <w:rsid w:val="00A80F32"/>
    <w:rsid w:val="00A8102E"/>
    <w:rsid w:val="00A810A6"/>
    <w:rsid w:val="00A813C2"/>
    <w:rsid w:val="00A814E5"/>
    <w:rsid w:val="00A814ED"/>
    <w:rsid w:val="00A81612"/>
    <w:rsid w:val="00A817CE"/>
    <w:rsid w:val="00A81881"/>
    <w:rsid w:val="00A81A3C"/>
    <w:rsid w:val="00A81A97"/>
    <w:rsid w:val="00A81B00"/>
    <w:rsid w:val="00A81B96"/>
    <w:rsid w:val="00A81F65"/>
    <w:rsid w:val="00A81FA5"/>
    <w:rsid w:val="00A82434"/>
    <w:rsid w:val="00A824D1"/>
    <w:rsid w:val="00A82699"/>
    <w:rsid w:val="00A829F5"/>
    <w:rsid w:val="00A82B0F"/>
    <w:rsid w:val="00A82C51"/>
    <w:rsid w:val="00A82C5E"/>
    <w:rsid w:val="00A82DF2"/>
    <w:rsid w:val="00A82E4B"/>
    <w:rsid w:val="00A8328A"/>
    <w:rsid w:val="00A832BE"/>
    <w:rsid w:val="00A8344B"/>
    <w:rsid w:val="00A834BA"/>
    <w:rsid w:val="00A83655"/>
    <w:rsid w:val="00A8388A"/>
    <w:rsid w:val="00A83A2D"/>
    <w:rsid w:val="00A83A6B"/>
    <w:rsid w:val="00A83B7C"/>
    <w:rsid w:val="00A83C86"/>
    <w:rsid w:val="00A83DBD"/>
    <w:rsid w:val="00A83EEF"/>
    <w:rsid w:val="00A840F3"/>
    <w:rsid w:val="00A8448F"/>
    <w:rsid w:val="00A84610"/>
    <w:rsid w:val="00A8463C"/>
    <w:rsid w:val="00A84A27"/>
    <w:rsid w:val="00A84A32"/>
    <w:rsid w:val="00A84B28"/>
    <w:rsid w:val="00A84CE0"/>
    <w:rsid w:val="00A84E15"/>
    <w:rsid w:val="00A84E55"/>
    <w:rsid w:val="00A84EA3"/>
    <w:rsid w:val="00A85181"/>
    <w:rsid w:val="00A853AF"/>
    <w:rsid w:val="00A8562A"/>
    <w:rsid w:val="00A856BC"/>
    <w:rsid w:val="00A85794"/>
    <w:rsid w:val="00A85DF2"/>
    <w:rsid w:val="00A86284"/>
    <w:rsid w:val="00A863AC"/>
    <w:rsid w:val="00A86889"/>
    <w:rsid w:val="00A86C3B"/>
    <w:rsid w:val="00A86C9E"/>
    <w:rsid w:val="00A86D40"/>
    <w:rsid w:val="00A86DA3"/>
    <w:rsid w:val="00A86EEB"/>
    <w:rsid w:val="00A86F58"/>
    <w:rsid w:val="00A871EC"/>
    <w:rsid w:val="00A87213"/>
    <w:rsid w:val="00A87444"/>
    <w:rsid w:val="00A87532"/>
    <w:rsid w:val="00A8759A"/>
    <w:rsid w:val="00A875C1"/>
    <w:rsid w:val="00A87688"/>
    <w:rsid w:val="00A877F9"/>
    <w:rsid w:val="00A87830"/>
    <w:rsid w:val="00A87A30"/>
    <w:rsid w:val="00A87B8F"/>
    <w:rsid w:val="00A87C04"/>
    <w:rsid w:val="00A900CE"/>
    <w:rsid w:val="00A901E1"/>
    <w:rsid w:val="00A9023A"/>
    <w:rsid w:val="00A90395"/>
    <w:rsid w:val="00A903C6"/>
    <w:rsid w:val="00A90729"/>
    <w:rsid w:val="00A9074B"/>
    <w:rsid w:val="00A90761"/>
    <w:rsid w:val="00A90784"/>
    <w:rsid w:val="00A90955"/>
    <w:rsid w:val="00A90A36"/>
    <w:rsid w:val="00A90C75"/>
    <w:rsid w:val="00A90C88"/>
    <w:rsid w:val="00A90D0D"/>
    <w:rsid w:val="00A91199"/>
    <w:rsid w:val="00A91613"/>
    <w:rsid w:val="00A919A7"/>
    <w:rsid w:val="00A919AE"/>
    <w:rsid w:val="00A919D4"/>
    <w:rsid w:val="00A91A2B"/>
    <w:rsid w:val="00A91B15"/>
    <w:rsid w:val="00A91B66"/>
    <w:rsid w:val="00A91E0C"/>
    <w:rsid w:val="00A921FC"/>
    <w:rsid w:val="00A9221E"/>
    <w:rsid w:val="00A9222E"/>
    <w:rsid w:val="00A92555"/>
    <w:rsid w:val="00A927E5"/>
    <w:rsid w:val="00A927EE"/>
    <w:rsid w:val="00A928AE"/>
    <w:rsid w:val="00A928EA"/>
    <w:rsid w:val="00A9290A"/>
    <w:rsid w:val="00A9298E"/>
    <w:rsid w:val="00A92A44"/>
    <w:rsid w:val="00A92BB6"/>
    <w:rsid w:val="00A92BF0"/>
    <w:rsid w:val="00A92D26"/>
    <w:rsid w:val="00A92D78"/>
    <w:rsid w:val="00A92FF6"/>
    <w:rsid w:val="00A93449"/>
    <w:rsid w:val="00A93657"/>
    <w:rsid w:val="00A9373C"/>
    <w:rsid w:val="00A9380C"/>
    <w:rsid w:val="00A9386D"/>
    <w:rsid w:val="00A938C1"/>
    <w:rsid w:val="00A939B9"/>
    <w:rsid w:val="00A93CCF"/>
    <w:rsid w:val="00A93CE8"/>
    <w:rsid w:val="00A941E3"/>
    <w:rsid w:val="00A94536"/>
    <w:rsid w:val="00A947A9"/>
    <w:rsid w:val="00A94814"/>
    <w:rsid w:val="00A94833"/>
    <w:rsid w:val="00A948EE"/>
    <w:rsid w:val="00A949B1"/>
    <w:rsid w:val="00A94B84"/>
    <w:rsid w:val="00A94CEB"/>
    <w:rsid w:val="00A94D89"/>
    <w:rsid w:val="00A95032"/>
    <w:rsid w:val="00A95047"/>
    <w:rsid w:val="00A950A8"/>
    <w:rsid w:val="00A951B2"/>
    <w:rsid w:val="00A9530F"/>
    <w:rsid w:val="00A95556"/>
    <w:rsid w:val="00A956A3"/>
    <w:rsid w:val="00A957EB"/>
    <w:rsid w:val="00A95914"/>
    <w:rsid w:val="00A9592A"/>
    <w:rsid w:val="00A95958"/>
    <w:rsid w:val="00A9599B"/>
    <w:rsid w:val="00A95AB1"/>
    <w:rsid w:val="00A95C75"/>
    <w:rsid w:val="00A95D59"/>
    <w:rsid w:val="00A960D3"/>
    <w:rsid w:val="00A9649E"/>
    <w:rsid w:val="00A96703"/>
    <w:rsid w:val="00A968D6"/>
    <w:rsid w:val="00A96937"/>
    <w:rsid w:val="00A96C30"/>
    <w:rsid w:val="00A96CFE"/>
    <w:rsid w:val="00A96DDA"/>
    <w:rsid w:val="00A96DE6"/>
    <w:rsid w:val="00A96E47"/>
    <w:rsid w:val="00A9706D"/>
    <w:rsid w:val="00A970C8"/>
    <w:rsid w:val="00A97402"/>
    <w:rsid w:val="00A97404"/>
    <w:rsid w:val="00A974E9"/>
    <w:rsid w:val="00A97620"/>
    <w:rsid w:val="00A976FD"/>
    <w:rsid w:val="00A9777A"/>
    <w:rsid w:val="00A977A9"/>
    <w:rsid w:val="00A978EE"/>
    <w:rsid w:val="00A9793F"/>
    <w:rsid w:val="00A979C8"/>
    <w:rsid w:val="00A97C11"/>
    <w:rsid w:val="00A97C8F"/>
    <w:rsid w:val="00A97D71"/>
    <w:rsid w:val="00A97D7C"/>
    <w:rsid w:val="00A97F5A"/>
    <w:rsid w:val="00AA0039"/>
    <w:rsid w:val="00AA01A6"/>
    <w:rsid w:val="00AA020A"/>
    <w:rsid w:val="00AA0398"/>
    <w:rsid w:val="00AA05C4"/>
    <w:rsid w:val="00AA078D"/>
    <w:rsid w:val="00AA07E2"/>
    <w:rsid w:val="00AA0953"/>
    <w:rsid w:val="00AA0966"/>
    <w:rsid w:val="00AA0C7B"/>
    <w:rsid w:val="00AA10A8"/>
    <w:rsid w:val="00AA12EC"/>
    <w:rsid w:val="00AA1342"/>
    <w:rsid w:val="00AA1617"/>
    <w:rsid w:val="00AA1659"/>
    <w:rsid w:val="00AA1674"/>
    <w:rsid w:val="00AA16B2"/>
    <w:rsid w:val="00AA1726"/>
    <w:rsid w:val="00AA17CC"/>
    <w:rsid w:val="00AA17E2"/>
    <w:rsid w:val="00AA184E"/>
    <w:rsid w:val="00AA18D1"/>
    <w:rsid w:val="00AA19E0"/>
    <w:rsid w:val="00AA1B12"/>
    <w:rsid w:val="00AA1B3A"/>
    <w:rsid w:val="00AA1DD5"/>
    <w:rsid w:val="00AA2032"/>
    <w:rsid w:val="00AA203F"/>
    <w:rsid w:val="00AA2060"/>
    <w:rsid w:val="00AA2387"/>
    <w:rsid w:val="00AA2492"/>
    <w:rsid w:val="00AA253D"/>
    <w:rsid w:val="00AA25D4"/>
    <w:rsid w:val="00AA2770"/>
    <w:rsid w:val="00AA27E1"/>
    <w:rsid w:val="00AA29DE"/>
    <w:rsid w:val="00AA2B4A"/>
    <w:rsid w:val="00AA2B54"/>
    <w:rsid w:val="00AA2C06"/>
    <w:rsid w:val="00AA2EF0"/>
    <w:rsid w:val="00AA3455"/>
    <w:rsid w:val="00AA34A8"/>
    <w:rsid w:val="00AA372B"/>
    <w:rsid w:val="00AA3740"/>
    <w:rsid w:val="00AA3CBA"/>
    <w:rsid w:val="00AA3E9B"/>
    <w:rsid w:val="00AA3FAB"/>
    <w:rsid w:val="00AA41A6"/>
    <w:rsid w:val="00AA41C2"/>
    <w:rsid w:val="00AA42C3"/>
    <w:rsid w:val="00AA4617"/>
    <w:rsid w:val="00AA473D"/>
    <w:rsid w:val="00AA4845"/>
    <w:rsid w:val="00AA495E"/>
    <w:rsid w:val="00AA4A06"/>
    <w:rsid w:val="00AA4B23"/>
    <w:rsid w:val="00AA4B8B"/>
    <w:rsid w:val="00AA4C62"/>
    <w:rsid w:val="00AA4D7D"/>
    <w:rsid w:val="00AA4F12"/>
    <w:rsid w:val="00AA4FD4"/>
    <w:rsid w:val="00AA50B8"/>
    <w:rsid w:val="00AA52AB"/>
    <w:rsid w:val="00AA53AD"/>
    <w:rsid w:val="00AA545B"/>
    <w:rsid w:val="00AA5694"/>
    <w:rsid w:val="00AA57C5"/>
    <w:rsid w:val="00AA596C"/>
    <w:rsid w:val="00AA59C1"/>
    <w:rsid w:val="00AA5BCA"/>
    <w:rsid w:val="00AA5D1D"/>
    <w:rsid w:val="00AA5D9F"/>
    <w:rsid w:val="00AA5DCE"/>
    <w:rsid w:val="00AA5FD2"/>
    <w:rsid w:val="00AA60FA"/>
    <w:rsid w:val="00AA61EB"/>
    <w:rsid w:val="00AA61EC"/>
    <w:rsid w:val="00AA6209"/>
    <w:rsid w:val="00AA662E"/>
    <w:rsid w:val="00AA6677"/>
    <w:rsid w:val="00AA67A4"/>
    <w:rsid w:val="00AA67DD"/>
    <w:rsid w:val="00AA681D"/>
    <w:rsid w:val="00AA686D"/>
    <w:rsid w:val="00AA6924"/>
    <w:rsid w:val="00AA6B02"/>
    <w:rsid w:val="00AA6B93"/>
    <w:rsid w:val="00AA6EF5"/>
    <w:rsid w:val="00AA6F52"/>
    <w:rsid w:val="00AA7210"/>
    <w:rsid w:val="00AA72DE"/>
    <w:rsid w:val="00AA7348"/>
    <w:rsid w:val="00AA7360"/>
    <w:rsid w:val="00AA7476"/>
    <w:rsid w:val="00AA780E"/>
    <w:rsid w:val="00AA7A8E"/>
    <w:rsid w:val="00AA7B93"/>
    <w:rsid w:val="00AA7CCC"/>
    <w:rsid w:val="00AA7DC3"/>
    <w:rsid w:val="00AA7FA0"/>
    <w:rsid w:val="00AB0539"/>
    <w:rsid w:val="00AB0636"/>
    <w:rsid w:val="00AB06E0"/>
    <w:rsid w:val="00AB0892"/>
    <w:rsid w:val="00AB0C5B"/>
    <w:rsid w:val="00AB0D9A"/>
    <w:rsid w:val="00AB0E14"/>
    <w:rsid w:val="00AB0E5B"/>
    <w:rsid w:val="00AB0FA5"/>
    <w:rsid w:val="00AB1424"/>
    <w:rsid w:val="00AB15D7"/>
    <w:rsid w:val="00AB16CE"/>
    <w:rsid w:val="00AB177D"/>
    <w:rsid w:val="00AB1917"/>
    <w:rsid w:val="00AB1919"/>
    <w:rsid w:val="00AB1B47"/>
    <w:rsid w:val="00AB1B9C"/>
    <w:rsid w:val="00AB1D6E"/>
    <w:rsid w:val="00AB1D9E"/>
    <w:rsid w:val="00AB1FCD"/>
    <w:rsid w:val="00AB2403"/>
    <w:rsid w:val="00AB2413"/>
    <w:rsid w:val="00AB25D5"/>
    <w:rsid w:val="00AB2813"/>
    <w:rsid w:val="00AB2913"/>
    <w:rsid w:val="00AB2949"/>
    <w:rsid w:val="00AB2C9A"/>
    <w:rsid w:val="00AB2D3F"/>
    <w:rsid w:val="00AB2F15"/>
    <w:rsid w:val="00AB2F63"/>
    <w:rsid w:val="00AB2FAA"/>
    <w:rsid w:val="00AB3344"/>
    <w:rsid w:val="00AB343B"/>
    <w:rsid w:val="00AB3470"/>
    <w:rsid w:val="00AB3773"/>
    <w:rsid w:val="00AB37DB"/>
    <w:rsid w:val="00AB38D3"/>
    <w:rsid w:val="00AB38F1"/>
    <w:rsid w:val="00AB3913"/>
    <w:rsid w:val="00AB3A16"/>
    <w:rsid w:val="00AB3BD9"/>
    <w:rsid w:val="00AB3BFB"/>
    <w:rsid w:val="00AB3DA0"/>
    <w:rsid w:val="00AB3FE8"/>
    <w:rsid w:val="00AB41D2"/>
    <w:rsid w:val="00AB4463"/>
    <w:rsid w:val="00AB45D0"/>
    <w:rsid w:val="00AB46CC"/>
    <w:rsid w:val="00AB4734"/>
    <w:rsid w:val="00AB4798"/>
    <w:rsid w:val="00AB49A7"/>
    <w:rsid w:val="00AB49FA"/>
    <w:rsid w:val="00AB4AC0"/>
    <w:rsid w:val="00AB4B32"/>
    <w:rsid w:val="00AB4B95"/>
    <w:rsid w:val="00AB4C82"/>
    <w:rsid w:val="00AB4CA1"/>
    <w:rsid w:val="00AB4D6B"/>
    <w:rsid w:val="00AB4E69"/>
    <w:rsid w:val="00AB50F4"/>
    <w:rsid w:val="00AB5383"/>
    <w:rsid w:val="00AB5391"/>
    <w:rsid w:val="00AB53B0"/>
    <w:rsid w:val="00AB545F"/>
    <w:rsid w:val="00AB57DA"/>
    <w:rsid w:val="00AB580D"/>
    <w:rsid w:val="00AB5A6C"/>
    <w:rsid w:val="00AB5AFB"/>
    <w:rsid w:val="00AB5D58"/>
    <w:rsid w:val="00AB5DCB"/>
    <w:rsid w:val="00AB5DDB"/>
    <w:rsid w:val="00AB5E7F"/>
    <w:rsid w:val="00AB5EC5"/>
    <w:rsid w:val="00AB5EDD"/>
    <w:rsid w:val="00AB627C"/>
    <w:rsid w:val="00AB636A"/>
    <w:rsid w:val="00AB63DB"/>
    <w:rsid w:val="00AB66A4"/>
    <w:rsid w:val="00AB676D"/>
    <w:rsid w:val="00AB6955"/>
    <w:rsid w:val="00AB6C8F"/>
    <w:rsid w:val="00AB6D33"/>
    <w:rsid w:val="00AB6D8D"/>
    <w:rsid w:val="00AB6FFE"/>
    <w:rsid w:val="00AB71AB"/>
    <w:rsid w:val="00AB7610"/>
    <w:rsid w:val="00AB76BC"/>
    <w:rsid w:val="00AB775E"/>
    <w:rsid w:val="00AB79EB"/>
    <w:rsid w:val="00AB79F7"/>
    <w:rsid w:val="00AB7A47"/>
    <w:rsid w:val="00AB7B7A"/>
    <w:rsid w:val="00AB7C2F"/>
    <w:rsid w:val="00AB7FCB"/>
    <w:rsid w:val="00AB7FD7"/>
    <w:rsid w:val="00AB7FF3"/>
    <w:rsid w:val="00AC018F"/>
    <w:rsid w:val="00AC048C"/>
    <w:rsid w:val="00AC06F3"/>
    <w:rsid w:val="00AC0734"/>
    <w:rsid w:val="00AC07E4"/>
    <w:rsid w:val="00AC0813"/>
    <w:rsid w:val="00AC098C"/>
    <w:rsid w:val="00AC09FB"/>
    <w:rsid w:val="00AC0A1E"/>
    <w:rsid w:val="00AC0A27"/>
    <w:rsid w:val="00AC0B4D"/>
    <w:rsid w:val="00AC0C88"/>
    <w:rsid w:val="00AC0F79"/>
    <w:rsid w:val="00AC0FB3"/>
    <w:rsid w:val="00AC0FDD"/>
    <w:rsid w:val="00AC10D7"/>
    <w:rsid w:val="00AC10EC"/>
    <w:rsid w:val="00AC10EF"/>
    <w:rsid w:val="00AC1159"/>
    <w:rsid w:val="00AC1557"/>
    <w:rsid w:val="00AC177F"/>
    <w:rsid w:val="00AC17A0"/>
    <w:rsid w:val="00AC1827"/>
    <w:rsid w:val="00AC197B"/>
    <w:rsid w:val="00AC1B32"/>
    <w:rsid w:val="00AC1BED"/>
    <w:rsid w:val="00AC1DBA"/>
    <w:rsid w:val="00AC1E62"/>
    <w:rsid w:val="00AC1EFF"/>
    <w:rsid w:val="00AC1F6D"/>
    <w:rsid w:val="00AC225C"/>
    <w:rsid w:val="00AC22C7"/>
    <w:rsid w:val="00AC2513"/>
    <w:rsid w:val="00AC25AA"/>
    <w:rsid w:val="00AC2643"/>
    <w:rsid w:val="00AC27B1"/>
    <w:rsid w:val="00AC2889"/>
    <w:rsid w:val="00AC28A9"/>
    <w:rsid w:val="00AC2903"/>
    <w:rsid w:val="00AC2AAE"/>
    <w:rsid w:val="00AC2AFE"/>
    <w:rsid w:val="00AC2BD5"/>
    <w:rsid w:val="00AC2C67"/>
    <w:rsid w:val="00AC2D17"/>
    <w:rsid w:val="00AC2DB0"/>
    <w:rsid w:val="00AC2E2A"/>
    <w:rsid w:val="00AC2EC7"/>
    <w:rsid w:val="00AC2F12"/>
    <w:rsid w:val="00AC33A5"/>
    <w:rsid w:val="00AC34FA"/>
    <w:rsid w:val="00AC3523"/>
    <w:rsid w:val="00AC3644"/>
    <w:rsid w:val="00AC3696"/>
    <w:rsid w:val="00AC37A0"/>
    <w:rsid w:val="00AC389E"/>
    <w:rsid w:val="00AC39A3"/>
    <w:rsid w:val="00AC3A89"/>
    <w:rsid w:val="00AC3B05"/>
    <w:rsid w:val="00AC3BA8"/>
    <w:rsid w:val="00AC3CB2"/>
    <w:rsid w:val="00AC3DE9"/>
    <w:rsid w:val="00AC3EFF"/>
    <w:rsid w:val="00AC3F7A"/>
    <w:rsid w:val="00AC4196"/>
    <w:rsid w:val="00AC435B"/>
    <w:rsid w:val="00AC48B0"/>
    <w:rsid w:val="00AC4914"/>
    <w:rsid w:val="00AC4982"/>
    <w:rsid w:val="00AC4A16"/>
    <w:rsid w:val="00AC4CC1"/>
    <w:rsid w:val="00AC4CCB"/>
    <w:rsid w:val="00AC4E81"/>
    <w:rsid w:val="00AC4F40"/>
    <w:rsid w:val="00AC4FBA"/>
    <w:rsid w:val="00AC4FCF"/>
    <w:rsid w:val="00AC509C"/>
    <w:rsid w:val="00AC5526"/>
    <w:rsid w:val="00AC5558"/>
    <w:rsid w:val="00AC5649"/>
    <w:rsid w:val="00AC56B7"/>
    <w:rsid w:val="00AC56B9"/>
    <w:rsid w:val="00AC57DC"/>
    <w:rsid w:val="00AC59C8"/>
    <w:rsid w:val="00AC5DC4"/>
    <w:rsid w:val="00AC5EC3"/>
    <w:rsid w:val="00AC6063"/>
    <w:rsid w:val="00AC60D6"/>
    <w:rsid w:val="00AC61C9"/>
    <w:rsid w:val="00AC6446"/>
    <w:rsid w:val="00AC655F"/>
    <w:rsid w:val="00AC671A"/>
    <w:rsid w:val="00AC6881"/>
    <w:rsid w:val="00AC68E3"/>
    <w:rsid w:val="00AC69BB"/>
    <w:rsid w:val="00AC6A6C"/>
    <w:rsid w:val="00AC6B2E"/>
    <w:rsid w:val="00AC6BD6"/>
    <w:rsid w:val="00AC6BFD"/>
    <w:rsid w:val="00AC6E29"/>
    <w:rsid w:val="00AC70A8"/>
    <w:rsid w:val="00AC7306"/>
    <w:rsid w:val="00AC7471"/>
    <w:rsid w:val="00AC760A"/>
    <w:rsid w:val="00AC77BD"/>
    <w:rsid w:val="00AC783C"/>
    <w:rsid w:val="00AC7C2F"/>
    <w:rsid w:val="00AC7D6D"/>
    <w:rsid w:val="00AC7E30"/>
    <w:rsid w:val="00AC7E76"/>
    <w:rsid w:val="00AC7ED1"/>
    <w:rsid w:val="00AC7F58"/>
    <w:rsid w:val="00AD0028"/>
    <w:rsid w:val="00AD012A"/>
    <w:rsid w:val="00AD021A"/>
    <w:rsid w:val="00AD02A2"/>
    <w:rsid w:val="00AD0524"/>
    <w:rsid w:val="00AD0883"/>
    <w:rsid w:val="00AD0A9E"/>
    <w:rsid w:val="00AD0BC8"/>
    <w:rsid w:val="00AD0BF3"/>
    <w:rsid w:val="00AD0E7A"/>
    <w:rsid w:val="00AD1007"/>
    <w:rsid w:val="00AD11D3"/>
    <w:rsid w:val="00AD1224"/>
    <w:rsid w:val="00AD129C"/>
    <w:rsid w:val="00AD1468"/>
    <w:rsid w:val="00AD157D"/>
    <w:rsid w:val="00AD1865"/>
    <w:rsid w:val="00AD186B"/>
    <w:rsid w:val="00AD186D"/>
    <w:rsid w:val="00AD19F0"/>
    <w:rsid w:val="00AD1A81"/>
    <w:rsid w:val="00AD1ABC"/>
    <w:rsid w:val="00AD1E9A"/>
    <w:rsid w:val="00AD1F73"/>
    <w:rsid w:val="00AD1F85"/>
    <w:rsid w:val="00AD1FFB"/>
    <w:rsid w:val="00AD2084"/>
    <w:rsid w:val="00AD2219"/>
    <w:rsid w:val="00AD2490"/>
    <w:rsid w:val="00AD25E8"/>
    <w:rsid w:val="00AD268D"/>
    <w:rsid w:val="00AD279E"/>
    <w:rsid w:val="00AD2890"/>
    <w:rsid w:val="00AD28A1"/>
    <w:rsid w:val="00AD29A2"/>
    <w:rsid w:val="00AD2CD0"/>
    <w:rsid w:val="00AD301A"/>
    <w:rsid w:val="00AD321B"/>
    <w:rsid w:val="00AD3315"/>
    <w:rsid w:val="00AD3395"/>
    <w:rsid w:val="00AD33FA"/>
    <w:rsid w:val="00AD353B"/>
    <w:rsid w:val="00AD36F3"/>
    <w:rsid w:val="00AD375C"/>
    <w:rsid w:val="00AD37DC"/>
    <w:rsid w:val="00AD3AF0"/>
    <w:rsid w:val="00AD3BE8"/>
    <w:rsid w:val="00AD3C0E"/>
    <w:rsid w:val="00AD3CEB"/>
    <w:rsid w:val="00AD3E86"/>
    <w:rsid w:val="00AD429C"/>
    <w:rsid w:val="00AD43CF"/>
    <w:rsid w:val="00AD44D1"/>
    <w:rsid w:val="00AD45FF"/>
    <w:rsid w:val="00AD46F2"/>
    <w:rsid w:val="00AD49C8"/>
    <w:rsid w:val="00AD4BF0"/>
    <w:rsid w:val="00AD4CA8"/>
    <w:rsid w:val="00AD4DD9"/>
    <w:rsid w:val="00AD4F10"/>
    <w:rsid w:val="00AD4FD8"/>
    <w:rsid w:val="00AD500C"/>
    <w:rsid w:val="00AD50E3"/>
    <w:rsid w:val="00AD511A"/>
    <w:rsid w:val="00AD51CB"/>
    <w:rsid w:val="00AD5453"/>
    <w:rsid w:val="00AD5519"/>
    <w:rsid w:val="00AD55A8"/>
    <w:rsid w:val="00AD55B3"/>
    <w:rsid w:val="00AD5677"/>
    <w:rsid w:val="00AD569F"/>
    <w:rsid w:val="00AD5A1E"/>
    <w:rsid w:val="00AD5B9E"/>
    <w:rsid w:val="00AD5D7D"/>
    <w:rsid w:val="00AD5E1E"/>
    <w:rsid w:val="00AD5E8F"/>
    <w:rsid w:val="00AD5EC5"/>
    <w:rsid w:val="00AD5ED0"/>
    <w:rsid w:val="00AD60F3"/>
    <w:rsid w:val="00AD62FB"/>
    <w:rsid w:val="00AD630D"/>
    <w:rsid w:val="00AD632B"/>
    <w:rsid w:val="00AD63BC"/>
    <w:rsid w:val="00AD65C3"/>
    <w:rsid w:val="00AD6797"/>
    <w:rsid w:val="00AD67B3"/>
    <w:rsid w:val="00AD6A82"/>
    <w:rsid w:val="00AD6C53"/>
    <w:rsid w:val="00AD6D62"/>
    <w:rsid w:val="00AD6DA2"/>
    <w:rsid w:val="00AD6E96"/>
    <w:rsid w:val="00AD705C"/>
    <w:rsid w:val="00AD7074"/>
    <w:rsid w:val="00AD71F3"/>
    <w:rsid w:val="00AD7304"/>
    <w:rsid w:val="00AD74FE"/>
    <w:rsid w:val="00AD7586"/>
    <w:rsid w:val="00AD7603"/>
    <w:rsid w:val="00AD76E9"/>
    <w:rsid w:val="00AD79BB"/>
    <w:rsid w:val="00AD7AA6"/>
    <w:rsid w:val="00AD7B89"/>
    <w:rsid w:val="00AD7C7F"/>
    <w:rsid w:val="00AD7CC3"/>
    <w:rsid w:val="00AD7CD1"/>
    <w:rsid w:val="00AD7E12"/>
    <w:rsid w:val="00AD7E42"/>
    <w:rsid w:val="00AD7ECB"/>
    <w:rsid w:val="00AD7F0C"/>
    <w:rsid w:val="00AD7FAE"/>
    <w:rsid w:val="00AE018E"/>
    <w:rsid w:val="00AE033B"/>
    <w:rsid w:val="00AE045E"/>
    <w:rsid w:val="00AE04F8"/>
    <w:rsid w:val="00AE054F"/>
    <w:rsid w:val="00AE05B8"/>
    <w:rsid w:val="00AE0678"/>
    <w:rsid w:val="00AE0926"/>
    <w:rsid w:val="00AE0C6A"/>
    <w:rsid w:val="00AE0D6C"/>
    <w:rsid w:val="00AE0F07"/>
    <w:rsid w:val="00AE10E4"/>
    <w:rsid w:val="00AE11F9"/>
    <w:rsid w:val="00AE1219"/>
    <w:rsid w:val="00AE168A"/>
    <w:rsid w:val="00AE16F8"/>
    <w:rsid w:val="00AE17B8"/>
    <w:rsid w:val="00AE197A"/>
    <w:rsid w:val="00AE1995"/>
    <w:rsid w:val="00AE1CB6"/>
    <w:rsid w:val="00AE1D13"/>
    <w:rsid w:val="00AE1E1C"/>
    <w:rsid w:val="00AE21F2"/>
    <w:rsid w:val="00AE22A3"/>
    <w:rsid w:val="00AE23B7"/>
    <w:rsid w:val="00AE23D8"/>
    <w:rsid w:val="00AE24C3"/>
    <w:rsid w:val="00AE2664"/>
    <w:rsid w:val="00AE29BC"/>
    <w:rsid w:val="00AE2A53"/>
    <w:rsid w:val="00AE2A69"/>
    <w:rsid w:val="00AE2B69"/>
    <w:rsid w:val="00AE2D48"/>
    <w:rsid w:val="00AE30F8"/>
    <w:rsid w:val="00AE3494"/>
    <w:rsid w:val="00AE36E8"/>
    <w:rsid w:val="00AE3945"/>
    <w:rsid w:val="00AE3AA8"/>
    <w:rsid w:val="00AE3C12"/>
    <w:rsid w:val="00AE3C45"/>
    <w:rsid w:val="00AE3CB3"/>
    <w:rsid w:val="00AE3E41"/>
    <w:rsid w:val="00AE3FD3"/>
    <w:rsid w:val="00AE415A"/>
    <w:rsid w:val="00AE4228"/>
    <w:rsid w:val="00AE446E"/>
    <w:rsid w:val="00AE4763"/>
    <w:rsid w:val="00AE486A"/>
    <w:rsid w:val="00AE48AF"/>
    <w:rsid w:val="00AE48E1"/>
    <w:rsid w:val="00AE4920"/>
    <w:rsid w:val="00AE4963"/>
    <w:rsid w:val="00AE4BAF"/>
    <w:rsid w:val="00AE4C1A"/>
    <w:rsid w:val="00AE4C55"/>
    <w:rsid w:val="00AE4E7E"/>
    <w:rsid w:val="00AE4F0E"/>
    <w:rsid w:val="00AE4F16"/>
    <w:rsid w:val="00AE50CF"/>
    <w:rsid w:val="00AE51A4"/>
    <w:rsid w:val="00AE51EE"/>
    <w:rsid w:val="00AE5446"/>
    <w:rsid w:val="00AE556E"/>
    <w:rsid w:val="00AE58F9"/>
    <w:rsid w:val="00AE5C4F"/>
    <w:rsid w:val="00AE5E1C"/>
    <w:rsid w:val="00AE5E45"/>
    <w:rsid w:val="00AE5E67"/>
    <w:rsid w:val="00AE5FF9"/>
    <w:rsid w:val="00AE6018"/>
    <w:rsid w:val="00AE6151"/>
    <w:rsid w:val="00AE61E8"/>
    <w:rsid w:val="00AE641A"/>
    <w:rsid w:val="00AE6575"/>
    <w:rsid w:val="00AE6690"/>
    <w:rsid w:val="00AE6829"/>
    <w:rsid w:val="00AE696C"/>
    <w:rsid w:val="00AE6B72"/>
    <w:rsid w:val="00AE6C45"/>
    <w:rsid w:val="00AE6ED4"/>
    <w:rsid w:val="00AE6F00"/>
    <w:rsid w:val="00AE6F20"/>
    <w:rsid w:val="00AE70A7"/>
    <w:rsid w:val="00AE7196"/>
    <w:rsid w:val="00AE7808"/>
    <w:rsid w:val="00AE79ED"/>
    <w:rsid w:val="00AE7A64"/>
    <w:rsid w:val="00AE7AD9"/>
    <w:rsid w:val="00AE7C99"/>
    <w:rsid w:val="00AE7DE2"/>
    <w:rsid w:val="00AE7E29"/>
    <w:rsid w:val="00AF00FB"/>
    <w:rsid w:val="00AF0197"/>
    <w:rsid w:val="00AF04BD"/>
    <w:rsid w:val="00AF0586"/>
    <w:rsid w:val="00AF0755"/>
    <w:rsid w:val="00AF0AF6"/>
    <w:rsid w:val="00AF0C57"/>
    <w:rsid w:val="00AF0CEA"/>
    <w:rsid w:val="00AF0D97"/>
    <w:rsid w:val="00AF0EC6"/>
    <w:rsid w:val="00AF1119"/>
    <w:rsid w:val="00AF11BE"/>
    <w:rsid w:val="00AF154E"/>
    <w:rsid w:val="00AF1598"/>
    <w:rsid w:val="00AF179F"/>
    <w:rsid w:val="00AF18FA"/>
    <w:rsid w:val="00AF1A9F"/>
    <w:rsid w:val="00AF1B5C"/>
    <w:rsid w:val="00AF1C13"/>
    <w:rsid w:val="00AF1CC6"/>
    <w:rsid w:val="00AF1CE0"/>
    <w:rsid w:val="00AF1E42"/>
    <w:rsid w:val="00AF210A"/>
    <w:rsid w:val="00AF2145"/>
    <w:rsid w:val="00AF22F6"/>
    <w:rsid w:val="00AF23E1"/>
    <w:rsid w:val="00AF23E7"/>
    <w:rsid w:val="00AF2491"/>
    <w:rsid w:val="00AF2549"/>
    <w:rsid w:val="00AF26E1"/>
    <w:rsid w:val="00AF26F4"/>
    <w:rsid w:val="00AF2B40"/>
    <w:rsid w:val="00AF2D5A"/>
    <w:rsid w:val="00AF2F54"/>
    <w:rsid w:val="00AF309D"/>
    <w:rsid w:val="00AF3136"/>
    <w:rsid w:val="00AF331B"/>
    <w:rsid w:val="00AF35D5"/>
    <w:rsid w:val="00AF37CE"/>
    <w:rsid w:val="00AF37E1"/>
    <w:rsid w:val="00AF37F3"/>
    <w:rsid w:val="00AF38DF"/>
    <w:rsid w:val="00AF3983"/>
    <w:rsid w:val="00AF3A9D"/>
    <w:rsid w:val="00AF3BDF"/>
    <w:rsid w:val="00AF3ED9"/>
    <w:rsid w:val="00AF3EFB"/>
    <w:rsid w:val="00AF3F06"/>
    <w:rsid w:val="00AF43FF"/>
    <w:rsid w:val="00AF4516"/>
    <w:rsid w:val="00AF451C"/>
    <w:rsid w:val="00AF464B"/>
    <w:rsid w:val="00AF471B"/>
    <w:rsid w:val="00AF48E0"/>
    <w:rsid w:val="00AF4DC8"/>
    <w:rsid w:val="00AF4E72"/>
    <w:rsid w:val="00AF4EBE"/>
    <w:rsid w:val="00AF4F18"/>
    <w:rsid w:val="00AF4F8C"/>
    <w:rsid w:val="00AF50EC"/>
    <w:rsid w:val="00AF519F"/>
    <w:rsid w:val="00AF52A2"/>
    <w:rsid w:val="00AF546D"/>
    <w:rsid w:val="00AF55AA"/>
    <w:rsid w:val="00AF590D"/>
    <w:rsid w:val="00AF5B08"/>
    <w:rsid w:val="00AF5B82"/>
    <w:rsid w:val="00AF5BF8"/>
    <w:rsid w:val="00AF5E2F"/>
    <w:rsid w:val="00AF63DF"/>
    <w:rsid w:val="00AF661A"/>
    <w:rsid w:val="00AF66A0"/>
    <w:rsid w:val="00AF671C"/>
    <w:rsid w:val="00AF6884"/>
    <w:rsid w:val="00AF69D2"/>
    <w:rsid w:val="00AF6A9A"/>
    <w:rsid w:val="00AF6BE0"/>
    <w:rsid w:val="00AF6C82"/>
    <w:rsid w:val="00AF6D4E"/>
    <w:rsid w:val="00AF6D63"/>
    <w:rsid w:val="00AF6F40"/>
    <w:rsid w:val="00AF7147"/>
    <w:rsid w:val="00AF71A6"/>
    <w:rsid w:val="00AF749C"/>
    <w:rsid w:val="00AF7828"/>
    <w:rsid w:val="00AF797D"/>
    <w:rsid w:val="00AF79C8"/>
    <w:rsid w:val="00AF7A21"/>
    <w:rsid w:val="00AF7C17"/>
    <w:rsid w:val="00AF7CA9"/>
    <w:rsid w:val="00AF7D47"/>
    <w:rsid w:val="00AF7D94"/>
    <w:rsid w:val="00B000EA"/>
    <w:rsid w:val="00B001F2"/>
    <w:rsid w:val="00B0023F"/>
    <w:rsid w:val="00B00377"/>
    <w:rsid w:val="00B00472"/>
    <w:rsid w:val="00B00663"/>
    <w:rsid w:val="00B006E5"/>
    <w:rsid w:val="00B007BC"/>
    <w:rsid w:val="00B00876"/>
    <w:rsid w:val="00B00954"/>
    <w:rsid w:val="00B00A3D"/>
    <w:rsid w:val="00B00A6E"/>
    <w:rsid w:val="00B00B72"/>
    <w:rsid w:val="00B00BD6"/>
    <w:rsid w:val="00B00C96"/>
    <w:rsid w:val="00B00CCC"/>
    <w:rsid w:val="00B00E82"/>
    <w:rsid w:val="00B01263"/>
    <w:rsid w:val="00B012E7"/>
    <w:rsid w:val="00B012EC"/>
    <w:rsid w:val="00B012F0"/>
    <w:rsid w:val="00B01452"/>
    <w:rsid w:val="00B01802"/>
    <w:rsid w:val="00B01821"/>
    <w:rsid w:val="00B01827"/>
    <w:rsid w:val="00B01836"/>
    <w:rsid w:val="00B018BE"/>
    <w:rsid w:val="00B01950"/>
    <w:rsid w:val="00B01999"/>
    <w:rsid w:val="00B019B4"/>
    <w:rsid w:val="00B01B22"/>
    <w:rsid w:val="00B01EC6"/>
    <w:rsid w:val="00B01FA0"/>
    <w:rsid w:val="00B0214F"/>
    <w:rsid w:val="00B021B3"/>
    <w:rsid w:val="00B021D8"/>
    <w:rsid w:val="00B02334"/>
    <w:rsid w:val="00B024A1"/>
    <w:rsid w:val="00B024C1"/>
    <w:rsid w:val="00B024F4"/>
    <w:rsid w:val="00B024FD"/>
    <w:rsid w:val="00B0251A"/>
    <w:rsid w:val="00B025AD"/>
    <w:rsid w:val="00B025D2"/>
    <w:rsid w:val="00B02662"/>
    <w:rsid w:val="00B0278D"/>
    <w:rsid w:val="00B027E8"/>
    <w:rsid w:val="00B0281E"/>
    <w:rsid w:val="00B02909"/>
    <w:rsid w:val="00B0290F"/>
    <w:rsid w:val="00B02A54"/>
    <w:rsid w:val="00B02A5C"/>
    <w:rsid w:val="00B02CCB"/>
    <w:rsid w:val="00B02EFA"/>
    <w:rsid w:val="00B02FA2"/>
    <w:rsid w:val="00B03093"/>
    <w:rsid w:val="00B030B6"/>
    <w:rsid w:val="00B0314D"/>
    <w:rsid w:val="00B03191"/>
    <w:rsid w:val="00B031D9"/>
    <w:rsid w:val="00B0325C"/>
    <w:rsid w:val="00B032BD"/>
    <w:rsid w:val="00B033E4"/>
    <w:rsid w:val="00B0345F"/>
    <w:rsid w:val="00B035B9"/>
    <w:rsid w:val="00B0364F"/>
    <w:rsid w:val="00B03752"/>
    <w:rsid w:val="00B03790"/>
    <w:rsid w:val="00B03B5E"/>
    <w:rsid w:val="00B03C7C"/>
    <w:rsid w:val="00B03CDE"/>
    <w:rsid w:val="00B03E4A"/>
    <w:rsid w:val="00B040DB"/>
    <w:rsid w:val="00B0418F"/>
    <w:rsid w:val="00B041E1"/>
    <w:rsid w:val="00B044E6"/>
    <w:rsid w:val="00B0456C"/>
    <w:rsid w:val="00B046F4"/>
    <w:rsid w:val="00B048D6"/>
    <w:rsid w:val="00B048DA"/>
    <w:rsid w:val="00B049B6"/>
    <w:rsid w:val="00B04A33"/>
    <w:rsid w:val="00B04B9C"/>
    <w:rsid w:val="00B04C7B"/>
    <w:rsid w:val="00B04EBC"/>
    <w:rsid w:val="00B04EC5"/>
    <w:rsid w:val="00B05070"/>
    <w:rsid w:val="00B05101"/>
    <w:rsid w:val="00B05269"/>
    <w:rsid w:val="00B052DC"/>
    <w:rsid w:val="00B053A7"/>
    <w:rsid w:val="00B053FD"/>
    <w:rsid w:val="00B05415"/>
    <w:rsid w:val="00B05426"/>
    <w:rsid w:val="00B05792"/>
    <w:rsid w:val="00B057D4"/>
    <w:rsid w:val="00B057F6"/>
    <w:rsid w:val="00B05988"/>
    <w:rsid w:val="00B05A52"/>
    <w:rsid w:val="00B05B48"/>
    <w:rsid w:val="00B05BC7"/>
    <w:rsid w:val="00B05C2B"/>
    <w:rsid w:val="00B05C4D"/>
    <w:rsid w:val="00B05D4B"/>
    <w:rsid w:val="00B05F3C"/>
    <w:rsid w:val="00B06186"/>
    <w:rsid w:val="00B061C1"/>
    <w:rsid w:val="00B0629D"/>
    <w:rsid w:val="00B06614"/>
    <w:rsid w:val="00B06698"/>
    <w:rsid w:val="00B066F4"/>
    <w:rsid w:val="00B067DF"/>
    <w:rsid w:val="00B068D8"/>
    <w:rsid w:val="00B069AE"/>
    <w:rsid w:val="00B06C98"/>
    <w:rsid w:val="00B06E62"/>
    <w:rsid w:val="00B0702B"/>
    <w:rsid w:val="00B070A3"/>
    <w:rsid w:val="00B07183"/>
    <w:rsid w:val="00B07342"/>
    <w:rsid w:val="00B073CB"/>
    <w:rsid w:val="00B07434"/>
    <w:rsid w:val="00B07633"/>
    <w:rsid w:val="00B077EC"/>
    <w:rsid w:val="00B0781D"/>
    <w:rsid w:val="00B07CD1"/>
    <w:rsid w:val="00B07DE7"/>
    <w:rsid w:val="00B07EFE"/>
    <w:rsid w:val="00B07F3F"/>
    <w:rsid w:val="00B07FAD"/>
    <w:rsid w:val="00B10093"/>
    <w:rsid w:val="00B100C2"/>
    <w:rsid w:val="00B10135"/>
    <w:rsid w:val="00B102AC"/>
    <w:rsid w:val="00B103D3"/>
    <w:rsid w:val="00B104FA"/>
    <w:rsid w:val="00B104FC"/>
    <w:rsid w:val="00B105B6"/>
    <w:rsid w:val="00B107C2"/>
    <w:rsid w:val="00B1082C"/>
    <w:rsid w:val="00B1089D"/>
    <w:rsid w:val="00B1094D"/>
    <w:rsid w:val="00B10968"/>
    <w:rsid w:val="00B109CB"/>
    <w:rsid w:val="00B10B6D"/>
    <w:rsid w:val="00B10E60"/>
    <w:rsid w:val="00B10F34"/>
    <w:rsid w:val="00B10FDB"/>
    <w:rsid w:val="00B110E3"/>
    <w:rsid w:val="00B111ED"/>
    <w:rsid w:val="00B1181F"/>
    <w:rsid w:val="00B1186F"/>
    <w:rsid w:val="00B118E2"/>
    <w:rsid w:val="00B11C21"/>
    <w:rsid w:val="00B11C74"/>
    <w:rsid w:val="00B11DFE"/>
    <w:rsid w:val="00B11E75"/>
    <w:rsid w:val="00B11F23"/>
    <w:rsid w:val="00B12057"/>
    <w:rsid w:val="00B12086"/>
    <w:rsid w:val="00B122FA"/>
    <w:rsid w:val="00B12330"/>
    <w:rsid w:val="00B123C2"/>
    <w:rsid w:val="00B127CC"/>
    <w:rsid w:val="00B12CA5"/>
    <w:rsid w:val="00B12CE7"/>
    <w:rsid w:val="00B12E9B"/>
    <w:rsid w:val="00B12F98"/>
    <w:rsid w:val="00B130EE"/>
    <w:rsid w:val="00B13108"/>
    <w:rsid w:val="00B1346A"/>
    <w:rsid w:val="00B13623"/>
    <w:rsid w:val="00B13867"/>
    <w:rsid w:val="00B13987"/>
    <w:rsid w:val="00B13AA2"/>
    <w:rsid w:val="00B13D67"/>
    <w:rsid w:val="00B13FD8"/>
    <w:rsid w:val="00B14124"/>
    <w:rsid w:val="00B14151"/>
    <w:rsid w:val="00B14154"/>
    <w:rsid w:val="00B1420F"/>
    <w:rsid w:val="00B142BE"/>
    <w:rsid w:val="00B1455A"/>
    <w:rsid w:val="00B1457C"/>
    <w:rsid w:val="00B14769"/>
    <w:rsid w:val="00B14792"/>
    <w:rsid w:val="00B14A9D"/>
    <w:rsid w:val="00B14BE0"/>
    <w:rsid w:val="00B14EAF"/>
    <w:rsid w:val="00B14F75"/>
    <w:rsid w:val="00B15154"/>
    <w:rsid w:val="00B151A7"/>
    <w:rsid w:val="00B151B4"/>
    <w:rsid w:val="00B1522D"/>
    <w:rsid w:val="00B1535F"/>
    <w:rsid w:val="00B157FB"/>
    <w:rsid w:val="00B15901"/>
    <w:rsid w:val="00B1599C"/>
    <w:rsid w:val="00B15AAE"/>
    <w:rsid w:val="00B15AE4"/>
    <w:rsid w:val="00B15B7D"/>
    <w:rsid w:val="00B15C85"/>
    <w:rsid w:val="00B15E17"/>
    <w:rsid w:val="00B15F03"/>
    <w:rsid w:val="00B15F4F"/>
    <w:rsid w:val="00B15F5E"/>
    <w:rsid w:val="00B1605E"/>
    <w:rsid w:val="00B161A3"/>
    <w:rsid w:val="00B161F6"/>
    <w:rsid w:val="00B16352"/>
    <w:rsid w:val="00B16491"/>
    <w:rsid w:val="00B1649B"/>
    <w:rsid w:val="00B167ED"/>
    <w:rsid w:val="00B169AA"/>
    <w:rsid w:val="00B16C3C"/>
    <w:rsid w:val="00B16CE5"/>
    <w:rsid w:val="00B16DFF"/>
    <w:rsid w:val="00B16E5B"/>
    <w:rsid w:val="00B16F9A"/>
    <w:rsid w:val="00B1732C"/>
    <w:rsid w:val="00B17352"/>
    <w:rsid w:val="00B1742D"/>
    <w:rsid w:val="00B17454"/>
    <w:rsid w:val="00B17511"/>
    <w:rsid w:val="00B175A4"/>
    <w:rsid w:val="00B175AF"/>
    <w:rsid w:val="00B177E7"/>
    <w:rsid w:val="00B17850"/>
    <w:rsid w:val="00B17A5C"/>
    <w:rsid w:val="00B17B14"/>
    <w:rsid w:val="00B17B85"/>
    <w:rsid w:val="00B17BEE"/>
    <w:rsid w:val="00B17BFB"/>
    <w:rsid w:val="00B17EFB"/>
    <w:rsid w:val="00B17F66"/>
    <w:rsid w:val="00B20027"/>
    <w:rsid w:val="00B201D0"/>
    <w:rsid w:val="00B20216"/>
    <w:rsid w:val="00B20278"/>
    <w:rsid w:val="00B202DD"/>
    <w:rsid w:val="00B2055F"/>
    <w:rsid w:val="00B205E1"/>
    <w:rsid w:val="00B20826"/>
    <w:rsid w:val="00B20A7C"/>
    <w:rsid w:val="00B20ABB"/>
    <w:rsid w:val="00B20C7F"/>
    <w:rsid w:val="00B20D1B"/>
    <w:rsid w:val="00B20EB2"/>
    <w:rsid w:val="00B20ED1"/>
    <w:rsid w:val="00B20F53"/>
    <w:rsid w:val="00B20F72"/>
    <w:rsid w:val="00B20FAE"/>
    <w:rsid w:val="00B2101C"/>
    <w:rsid w:val="00B210DE"/>
    <w:rsid w:val="00B211A1"/>
    <w:rsid w:val="00B21200"/>
    <w:rsid w:val="00B21256"/>
    <w:rsid w:val="00B212C1"/>
    <w:rsid w:val="00B213F9"/>
    <w:rsid w:val="00B217F9"/>
    <w:rsid w:val="00B218FD"/>
    <w:rsid w:val="00B21903"/>
    <w:rsid w:val="00B219B0"/>
    <w:rsid w:val="00B21A47"/>
    <w:rsid w:val="00B21C57"/>
    <w:rsid w:val="00B21E12"/>
    <w:rsid w:val="00B21EC7"/>
    <w:rsid w:val="00B222A1"/>
    <w:rsid w:val="00B2239D"/>
    <w:rsid w:val="00B224C0"/>
    <w:rsid w:val="00B224DA"/>
    <w:rsid w:val="00B2271A"/>
    <w:rsid w:val="00B22740"/>
    <w:rsid w:val="00B229AB"/>
    <w:rsid w:val="00B229BD"/>
    <w:rsid w:val="00B22A55"/>
    <w:rsid w:val="00B22A7D"/>
    <w:rsid w:val="00B22AA0"/>
    <w:rsid w:val="00B22AD7"/>
    <w:rsid w:val="00B22B5F"/>
    <w:rsid w:val="00B22DA2"/>
    <w:rsid w:val="00B22DF6"/>
    <w:rsid w:val="00B22E78"/>
    <w:rsid w:val="00B22E7A"/>
    <w:rsid w:val="00B230B3"/>
    <w:rsid w:val="00B2310E"/>
    <w:rsid w:val="00B23144"/>
    <w:rsid w:val="00B232C9"/>
    <w:rsid w:val="00B23326"/>
    <w:rsid w:val="00B235BB"/>
    <w:rsid w:val="00B23681"/>
    <w:rsid w:val="00B237FC"/>
    <w:rsid w:val="00B238FB"/>
    <w:rsid w:val="00B23960"/>
    <w:rsid w:val="00B23B88"/>
    <w:rsid w:val="00B23B92"/>
    <w:rsid w:val="00B23D9E"/>
    <w:rsid w:val="00B23F13"/>
    <w:rsid w:val="00B23FA7"/>
    <w:rsid w:val="00B240E7"/>
    <w:rsid w:val="00B242A4"/>
    <w:rsid w:val="00B243C8"/>
    <w:rsid w:val="00B24456"/>
    <w:rsid w:val="00B24641"/>
    <w:rsid w:val="00B2467A"/>
    <w:rsid w:val="00B24801"/>
    <w:rsid w:val="00B248AD"/>
    <w:rsid w:val="00B24AF8"/>
    <w:rsid w:val="00B24B12"/>
    <w:rsid w:val="00B24B6F"/>
    <w:rsid w:val="00B24C04"/>
    <w:rsid w:val="00B2502A"/>
    <w:rsid w:val="00B25098"/>
    <w:rsid w:val="00B25322"/>
    <w:rsid w:val="00B254FB"/>
    <w:rsid w:val="00B2559C"/>
    <w:rsid w:val="00B257EB"/>
    <w:rsid w:val="00B257F9"/>
    <w:rsid w:val="00B258A2"/>
    <w:rsid w:val="00B2599E"/>
    <w:rsid w:val="00B25B2E"/>
    <w:rsid w:val="00B25B8F"/>
    <w:rsid w:val="00B25CF3"/>
    <w:rsid w:val="00B25EED"/>
    <w:rsid w:val="00B25F6C"/>
    <w:rsid w:val="00B2602A"/>
    <w:rsid w:val="00B26167"/>
    <w:rsid w:val="00B26170"/>
    <w:rsid w:val="00B26546"/>
    <w:rsid w:val="00B26988"/>
    <w:rsid w:val="00B26C6A"/>
    <w:rsid w:val="00B26F07"/>
    <w:rsid w:val="00B26FF7"/>
    <w:rsid w:val="00B275BD"/>
    <w:rsid w:val="00B275CB"/>
    <w:rsid w:val="00B277C8"/>
    <w:rsid w:val="00B277E4"/>
    <w:rsid w:val="00B279B4"/>
    <w:rsid w:val="00B27AE7"/>
    <w:rsid w:val="00B27AFE"/>
    <w:rsid w:val="00B27B69"/>
    <w:rsid w:val="00B27F80"/>
    <w:rsid w:val="00B27FD3"/>
    <w:rsid w:val="00B30092"/>
    <w:rsid w:val="00B306C8"/>
    <w:rsid w:val="00B30A55"/>
    <w:rsid w:val="00B30BC1"/>
    <w:rsid w:val="00B30FEA"/>
    <w:rsid w:val="00B30FEE"/>
    <w:rsid w:val="00B3102E"/>
    <w:rsid w:val="00B31043"/>
    <w:rsid w:val="00B31111"/>
    <w:rsid w:val="00B31276"/>
    <w:rsid w:val="00B313FB"/>
    <w:rsid w:val="00B31526"/>
    <w:rsid w:val="00B3165F"/>
    <w:rsid w:val="00B316B9"/>
    <w:rsid w:val="00B3182B"/>
    <w:rsid w:val="00B319BA"/>
    <w:rsid w:val="00B319ED"/>
    <w:rsid w:val="00B31D52"/>
    <w:rsid w:val="00B31E62"/>
    <w:rsid w:val="00B31F73"/>
    <w:rsid w:val="00B32076"/>
    <w:rsid w:val="00B32229"/>
    <w:rsid w:val="00B32421"/>
    <w:rsid w:val="00B3257A"/>
    <w:rsid w:val="00B32591"/>
    <w:rsid w:val="00B32593"/>
    <w:rsid w:val="00B3261F"/>
    <w:rsid w:val="00B32649"/>
    <w:rsid w:val="00B3268C"/>
    <w:rsid w:val="00B3268D"/>
    <w:rsid w:val="00B326A5"/>
    <w:rsid w:val="00B327FF"/>
    <w:rsid w:val="00B32832"/>
    <w:rsid w:val="00B3283B"/>
    <w:rsid w:val="00B32846"/>
    <w:rsid w:val="00B328AD"/>
    <w:rsid w:val="00B32957"/>
    <w:rsid w:val="00B3324B"/>
    <w:rsid w:val="00B332AB"/>
    <w:rsid w:val="00B3342B"/>
    <w:rsid w:val="00B33609"/>
    <w:rsid w:val="00B33610"/>
    <w:rsid w:val="00B33A15"/>
    <w:rsid w:val="00B33E89"/>
    <w:rsid w:val="00B33FEC"/>
    <w:rsid w:val="00B34059"/>
    <w:rsid w:val="00B34179"/>
    <w:rsid w:val="00B342AA"/>
    <w:rsid w:val="00B3439A"/>
    <w:rsid w:val="00B343CD"/>
    <w:rsid w:val="00B34521"/>
    <w:rsid w:val="00B345E4"/>
    <w:rsid w:val="00B348D8"/>
    <w:rsid w:val="00B34948"/>
    <w:rsid w:val="00B349CE"/>
    <w:rsid w:val="00B34A63"/>
    <w:rsid w:val="00B34AFC"/>
    <w:rsid w:val="00B34C18"/>
    <w:rsid w:val="00B34D9F"/>
    <w:rsid w:val="00B34FB2"/>
    <w:rsid w:val="00B350E3"/>
    <w:rsid w:val="00B35189"/>
    <w:rsid w:val="00B3519B"/>
    <w:rsid w:val="00B351A1"/>
    <w:rsid w:val="00B35429"/>
    <w:rsid w:val="00B3546F"/>
    <w:rsid w:val="00B354CC"/>
    <w:rsid w:val="00B357F7"/>
    <w:rsid w:val="00B3591D"/>
    <w:rsid w:val="00B359A3"/>
    <w:rsid w:val="00B359A5"/>
    <w:rsid w:val="00B360A7"/>
    <w:rsid w:val="00B360DB"/>
    <w:rsid w:val="00B36106"/>
    <w:rsid w:val="00B367CF"/>
    <w:rsid w:val="00B36815"/>
    <w:rsid w:val="00B3685E"/>
    <w:rsid w:val="00B3688A"/>
    <w:rsid w:val="00B36B6E"/>
    <w:rsid w:val="00B36C8D"/>
    <w:rsid w:val="00B36D01"/>
    <w:rsid w:val="00B36E5A"/>
    <w:rsid w:val="00B3720E"/>
    <w:rsid w:val="00B37263"/>
    <w:rsid w:val="00B37322"/>
    <w:rsid w:val="00B373BB"/>
    <w:rsid w:val="00B375D9"/>
    <w:rsid w:val="00B375F7"/>
    <w:rsid w:val="00B379ED"/>
    <w:rsid w:val="00B37B7B"/>
    <w:rsid w:val="00B37C81"/>
    <w:rsid w:val="00B37D38"/>
    <w:rsid w:val="00B37D80"/>
    <w:rsid w:val="00B37DFC"/>
    <w:rsid w:val="00B37FA7"/>
    <w:rsid w:val="00B400B7"/>
    <w:rsid w:val="00B40595"/>
    <w:rsid w:val="00B406C6"/>
    <w:rsid w:val="00B40769"/>
    <w:rsid w:val="00B408E3"/>
    <w:rsid w:val="00B40933"/>
    <w:rsid w:val="00B40AFF"/>
    <w:rsid w:val="00B40E9D"/>
    <w:rsid w:val="00B411A8"/>
    <w:rsid w:val="00B4122D"/>
    <w:rsid w:val="00B412B1"/>
    <w:rsid w:val="00B41589"/>
    <w:rsid w:val="00B41A7B"/>
    <w:rsid w:val="00B41CB7"/>
    <w:rsid w:val="00B41D4E"/>
    <w:rsid w:val="00B41E2A"/>
    <w:rsid w:val="00B41E55"/>
    <w:rsid w:val="00B42170"/>
    <w:rsid w:val="00B42283"/>
    <w:rsid w:val="00B42353"/>
    <w:rsid w:val="00B424C3"/>
    <w:rsid w:val="00B426AB"/>
    <w:rsid w:val="00B426BD"/>
    <w:rsid w:val="00B42888"/>
    <w:rsid w:val="00B42971"/>
    <w:rsid w:val="00B42CC1"/>
    <w:rsid w:val="00B42E9C"/>
    <w:rsid w:val="00B42EEF"/>
    <w:rsid w:val="00B42F21"/>
    <w:rsid w:val="00B42F41"/>
    <w:rsid w:val="00B42FB5"/>
    <w:rsid w:val="00B43150"/>
    <w:rsid w:val="00B432B4"/>
    <w:rsid w:val="00B4334E"/>
    <w:rsid w:val="00B43382"/>
    <w:rsid w:val="00B433BF"/>
    <w:rsid w:val="00B43404"/>
    <w:rsid w:val="00B43497"/>
    <w:rsid w:val="00B436E0"/>
    <w:rsid w:val="00B437C1"/>
    <w:rsid w:val="00B438E4"/>
    <w:rsid w:val="00B4394B"/>
    <w:rsid w:val="00B43BFB"/>
    <w:rsid w:val="00B43D25"/>
    <w:rsid w:val="00B43D9D"/>
    <w:rsid w:val="00B43ED4"/>
    <w:rsid w:val="00B44142"/>
    <w:rsid w:val="00B44198"/>
    <w:rsid w:val="00B44282"/>
    <w:rsid w:val="00B4429F"/>
    <w:rsid w:val="00B44531"/>
    <w:rsid w:val="00B4455C"/>
    <w:rsid w:val="00B4474A"/>
    <w:rsid w:val="00B449A2"/>
    <w:rsid w:val="00B44A1A"/>
    <w:rsid w:val="00B44A2C"/>
    <w:rsid w:val="00B44AE0"/>
    <w:rsid w:val="00B44BBB"/>
    <w:rsid w:val="00B44C20"/>
    <w:rsid w:val="00B44CED"/>
    <w:rsid w:val="00B44F31"/>
    <w:rsid w:val="00B44F81"/>
    <w:rsid w:val="00B44F90"/>
    <w:rsid w:val="00B45046"/>
    <w:rsid w:val="00B45106"/>
    <w:rsid w:val="00B4521C"/>
    <w:rsid w:val="00B45262"/>
    <w:rsid w:val="00B452B8"/>
    <w:rsid w:val="00B4535D"/>
    <w:rsid w:val="00B453F4"/>
    <w:rsid w:val="00B45621"/>
    <w:rsid w:val="00B459B1"/>
    <w:rsid w:val="00B45A0C"/>
    <w:rsid w:val="00B460B0"/>
    <w:rsid w:val="00B460C9"/>
    <w:rsid w:val="00B4618A"/>
    <w:rsid w:val="00B46506"/>
    <w:rsid w:val="00B46537"/>
    <w:rsid w:val="00B465D0"/>
    <w:rsid w:val="00B4677A"/>
    <w:rsid w:val="00B46993"/>
    <w:rsid w:val="00B469C8"/>
    <w:rsid w:val="00B46A37"/>
    <w:rsid w:val="00B46EB7"/>
    <w:rsid w:val="00B4701C"/>
    <w:rsid w:val="00B47349"/>
    <w:rsid w:val="00B47358"/>
    <w:rsid w:val="00B4758B"/>
    <w:rsid w:val="00B47747"/>
    <w:rsid w:val="00B4795B"/>
    <w:rsid w:val="00B47995"/>
    <w:rsid w:val="00B47A87"/>
    <w:rsid w:val="00B47ADD"/>
    <w:rsid w:val="00B47ADE"/>
    <w:rsid w:val="00B47BEB"/>
    <w:rsid w:val="00B47C00"/>
    <w:rsid w:val="00B47EA5"/>
    <w:rsid w:val="00B50035"/>
    <w:rsid w:val="00B5005C"/>
    <w:rsid w:val="00B501ED"/>
    <w:rsid w:val="00B50225"/>
    <w:rsid w:val="00B50337"/>
    <w:rsid w:val="00B503D7"/>
    <w:rsid w:val="00B50788"/>
    <w:rsid w:val="00B50AFB"/>
    <w:rsid w:val="00B50CD0"/>
    <w:rsid w:val="00B50EC5"/>
    <w:rsid w:val="00B50F49"/>
    <w:rsid w:val="00B510B9"/>
    <w:rsid w:val="00B5119A"/>
    <w:rsid w:val="00B511B1"/>
    <w:rsid w:val="00B51412"/>
    <w:rsid w:val="00B51446"/>
    <w:rsid w:val="00B51470"/>
    <w:rsid w:val="00B51A50"/>
    <w:rsid w:val="00B51BF0"/>
    <w:rsid w:val="00B51CB1"/>
    <w:rsid w:val="00B51DBB"/>
    <w:rsid w:val="00B51FCE"/>
    <w:rsid w:val="00B5203A"/>
    <w:rsid w:val="00B520C1"/>
    <w:rsid w:val="00B522DC"/>
    <w:rsid w:val="00B52367"/>
    <w:rsid w:val="00B52436"/>
    <w:rsid w:val="00B5285D"/>
    <w:rsid w:val="00B529B8"/>
    <w:rsid w:val="00B52B29"/>
    <w:rsid w:val="00B52FC8"/>
    <w:rsid w:val="00B530B6"/>
    <w:rsid w:val="00B532B4"/>
    <w:rsid w:val="00B53510"/>
    <w:rsid w:val="00B5357F"/>
    <w:rsid w:val="00B538B6"/>
    <w:rsid w:val="00B53A00"/>
    <w:rsid w:val="00B54184"/>
    <w:rsid w:val="00B5435D"/>
    <w:rsid w:val="00B5458F"/>
    <w:rsid w:val="00B54606"/>
    <w:rsid w:val="00B5486A"/>
    <w:rsid w:val="00B548C3"/>
    <w:rsid w:val="00B5491D"/>
    <w:rsid w:val="00B549D5"/>
    <w:rsid w:val="00B54AB4"/>
    <w:rsid w:val="00B54BB1"/>
    <w:rsid w:val="00B54C4C"/>
    <w:rsid w:val="00B54DFC"/>
    <w:rsid w:val="00B54FEA"/>
    <w:rsid w:val="00B5500A"/>
    <w:rsid w:val="00B55235"/>
    <w:rsid w:val="00B55350"/>
    <w:rsid w:val="00B557D8"/>
    <w:rsid w:val="00B55825"/>
    <w:rsid w:val="00B5599E"/>
    <w:rsid w:val="00B55A23"/>
    <w:rsid w:val="00B55AE0"/>
    <w:rsid w:val="00B55B3C"/>
    <w:rsid w:val="00B55C8B"/>
    <w:rsid w:val="00B55CEF"/>
    <w:rsid w:val="00B55F55"/>
    <w:rsid w:val="00B55F6A"/>
    <w:rsid w:val="00B5608E"/>
    <w:rsid w:val="00B562B4"/>
    <w:rsid w:val="00B56B7C"/>
    <w:rsid w:val="00B56D01"/>
    <w:rsid w:val="00B56F74"/>
    <w:rsid w:val="00B57068"/>
    <w:rsid w:val="00B57244"/>
    <w:rsid w:val="00B5724B"/>
    <w:rsid w:val="00B573A3"/>
    <w:rsid w:val="00B576C8"/>
    <w:rsid w:val="00B57765"/>
    <w:rsid w:val="00B57950"/>
    <w:rsid w:val="00B57A73"/>
    <w:rsid w:val="00B57A8E"/>
    <w:rsid w:val="00B57C29"/>
    <w:rsid w:val="00B57C61"/>
    <w:rsid w:val="00B57CBD"/>
    <w:rsid w:val="00B57E79"/>
    <w:rsid w:val="00B57EFF"/>
    <w:rsid w:val="00B6000B"/>
    <w:rsid w:val="00B6051F"/>
    <w:rsid w:val="00B60594"/>
    <w:rsid w:val="00B606E1"/>
    <w:rsid w:val="00B60BA6"/>
    <w:rsid w:val="00B60BB0"/>
    <w:rsid w:val="00B60C01"/>
    <w:rsid w:val="00B60F1D"/>
    <w:rsid w:val="00B6103F"/>
    <w:rsid w:val="00B61223"/>
    <w:rsid w:val="00B614CF"/>
    <w:rsid w:val="00B61669"/>
    <w:rsid w:val="00B616B3"/>
    <w:rsid w:val="00B61731"/>
    <w:rsid w:val="00B617D0"/>
    <w:rsid w:val="00B61914"/>
    <w:rsid w:val="00B619E5"/>
    <w:rsid w:val="00B61A5C"/>
    <w:rsid w:val="00B61A5F"/>
    <w:rsid w:val="00B61C51"/>
    <w:rsid w:val="00B61EA3"/>
    <w:rsid w:val="00B61F46"/>
    <w:rsid w:val="00B61FB8"/>
    <w:rsid w:val="00B6202A"/>
    <w:rsid w:val="00B620D4"/>
    <w:rsid w:val="00B6217D"/>
    <w:rsid w:val="00B6253C"/>
    <w:rsid w:val="00B626AE"/>
    <w:rsid w:val="00B627E5"/>
    <w:rsid w:val="00B6295D"/>
    <w:rsid w:val="00B62B87"/>
    <w:rsid w:val="00B62D26"/>
    <w:rsid w:val="00B62D4E"/>
    <w:rsid w:val="00B62E5F"/>
    <w:rsid w:val="00B62E77"/>
    <w:rsid w:val="00B62F49"/>
    <w:rsid w:val="00B62F5D"/>
    <w:rsid w:val="00B631D2"/>
    <w:rsid w:val="00B63550"/>
    <w:rsid w:val="00B63727"/>
    <w:rsid w:val="00B63A54"/>
    <w:rsid w:val="00B63AA6"/>
    <w:rsid w:val="00B63B39"/>
    <w:rsid w:val="00B64071"/>
    <w:rsid w:val="00B642A7"/>
    <w:rsid w:val="00B64499"/>
    <w:rsid w:val="00B645D8"/>
    <w:rsid w:val="00B646CF"/>
    <w:rsid w:val="00B64797"/>
    <w:rsid w:val="00B647B7"/>
    <w:rsid w:val="00B6488A"/>
    <w:rsid w:val="00B64957"/>
    <w:rsid w:val="00B64B2E"/>
    <w:rsid w:val="00B64B65"/>
    <w:rsid w:val="00B64B80"/>
    <w:rsid w:val="00B64BA1"/>
    <w:rsid w:val="00B64C39"/>
    <w:rsid w:val="00B64CFA"/>
    <w:rsid w:val="00B64D1C"/>
    <w:rsid w:val="00B64DF3"/>
    <w:rsid w:val="00B64EB2"/>
    <w:rsid w:val="00B64ED9"/>
    <w:rsid w:val="00B64F25"/>
    <w:rsid w:val="00B64F49"/>
    <w:rsid w:val="00B64FD8"/>
    <w:rsid w:val="00B65051"/>
    <w:rsid w:val="00B6521A"/>
    <w:rsid w:val="00B6565F"/>
    <w:rsid w:val="00B659DF"/>
    <w:rsid w:val="00B65AA5"/>
    <w:rsid w:val="00B65F22"/>
    <w:rsid w:val="00B65F27"/>
    <w:rsid w:val="00B65F47"/>
    <w:rsid w:val="00B661E0"/>
    <w:rsid w:val="00B661FE"/>
    <w:rsid w:val="00B6637D"/>
    <w:rsid w:val="00B6639A"/>
    <w:rsid w:val="00B665CF"/>
    <w:rsid w:val="00B66B4F"/>
    <w:rsid w:val="00B66DB5"/>
    <w:rsid w:val="00B66E14"/>
    <w:rsid w:val="00B6702B"/>
    <w:rsid w:val="00B67111"/>
    <w:rsid w:val="00B6711A"/>
    <w:rsid w:val="00B67146"/>
    <w:rsid w:val="00B6716C"/>
    <w:rsid w:val="00B6718F"/>
    <w:rsid w:val="00B67334"/>
    <w:rsid w:val="00B67383"/>
    <w:rsid w:val="00B673CD"/>
    <w:rsid w:val="00B673D7"/>
    <w:rsid w:val="00B67436"/>
    <w:rsid w:val="00B6762A"/>
    <w:rsid w:val="00B676BA"/>
    <w:rsid w:val="00B67970"/>
    <w:rsid w:val="00B679BB"/>
    <w:rsid w:val="00B67A43"/>
    <w:rsid w:val="00B67AE7"/>
    <w:rsid w:val="00B67B6C"/>
    <w:rsid w:val="00B67CDA"/>
    <w:rsid w:val="00B67EB8"/>
    <w:rsid w:val="00B67F8A"/>
    <w:rsid w:val="00B7040F"/>
    <w:rsid w:val="00B70420"/>
    <w:rsid w:val="00B7045B"/>
    <w:rsid w:val="00B7068A"/>
    <w:rsid w:val="00B706AD"/>
    <w:rsid w:val="00B7087A"/>
    <w:rsid w:val="00B70972"/>
    <w:rsid w:val="00B70977"/>
    <w:rsid w:val="00B70A04"/>
    <w:rsid w:val="00B70A3B"/>
    <w:rsid w:val="00B70A9C"/>
    <w:rsid w:val="00B70B77"/>
    <w:rsid w:val="00B70B85"/>
    <w:rsid w:val="00B70ED1"/>
    <w:rsid w:val="00B70FF1"/>
    <w:rsid w:val="00B71057"/>
    <w:rsid w:val="00B715D8"/>
    <w:rsid w:val="00B7162C"/>
    <w:rsid w:val="00B7183C"/>
    <w:rsid w:val="00B71840"/>
    <w:rsid w:val="00B71A1C"/>
    <w:rsid w:val="00B71D9A"/>
    <w:rsid w:val="00B71DA0"/>
    <w:rsid w:val="00B71F03"/>
    <w:rsid w:val="00B720BF"/>
    <w:rsid w:val="00B720D4"/>
    <w:rsid w:val="00B72231"/>
    <w:rsid w:val="00B722C5"/>
    <w:rsid w:val="00B7231F"/>
    <w:rsid w:val="00B7240E"/>
    <w:rsid w:val="00B72783"/>
    <w:rsid w:val="00B728D7"/>
    <w:rsid w:val="00B72A64"/>
    <w:rsid w:val="00B72A8C"/>
    <w:rsid w:val="00B72B6D"/>
    <w:rsid w:val="00B72D0B"/>
    <w:rsid w:val="00B72E38"/>
    <w:rsid w:val="00B72F3B"/>
    <w:rsid w:val="00B72F6C"/>
    <w:rsid w:val="00B72FD0"/>
    <w:rsid w:val="00B731F0"/>
    <w:rsid w:val="00B73314"/>
    <w:rsid w:val="00B73413"/>
    <w:rsid w:val="00B734AA"/>
    <w:rsid w:val="00B73588"/>
    <w:rsid w:val="00B73589"/>
    <w:rsid w:val="00B7361E"/>
    <w:rsid w:val="00B736CE"/>
    <w:rsid w:val="00B737DE"/>
    <w:rsid w:val="00B738D4"/>
    <w:rsid w:val="00B738F5"/>
    <w:rsid w:val="00B73929"/>
    <w:rsid w:val="00B7395B"/>
    <w:rsid w:val="00B73D22"/>
    <w:rsid w:val="00B73DDA"/>
    <w:rsid w:val="00B73E70"/>
    <w:rsid w:val="00B73EDB"/>
    <w:rsid w:val="00B74211"/>
    <w:rsid w:val="00B742EF"/>
    <w:rsid w:val="00B74418"/>
    <w:rsid w:val="00B744D2"/>
    <w:rsid w:val="00B74573"/>
    <w:rsid w:val="00B7460B"/>
    <w:rsid w:val="00B74641"/>
    <w:rsid w:val="00B74651"/>
    <w:rsid w:val="00B74945"/>
    <w:rsid w:val="00B74A7E"/>
    <w:rsid w:val="00B74BE2"/>
    <w:rsid w:val="00B74FB1"/>
    <w:rsid w:val="00B75018"/>
    <w:rsid w:val="00B75297"/>
    <w:rsid w:val="00B7551D"/>
    <w:rsid w:val="00B7566C"/>
    <w:rsid w:val="00B75743"/>
    <w:rsid w:val="00B75D02"/>
    <w:rsid w:val="00B75D49"/>
    <w:rsid w:val="00B761D4"/>
    <w:rsid w:val="00B76321"/>
    <w:rsid w:val="00B764DD"/>
    <w:rsid w:val="00B764F8"/>
    <w:rsid w:val="00B76B1F"/>
    <w:rsid w:val="00B76B3D"/>
    <w:rsid w:val="00B76F57"/>
    <w:rsid w:val="00B771FA"/>
    <w:rsid w:val="00B772FC"/>
    <w:rsid w:val="00B77317"/>
    <w:rsid w:val="00B7758B"/>
    <w:rsid w:val="00B77632"/>
    <w:rsid w:val="00B776F1"/>
    <w:rsid w:val="00B77755"/>
    <w:rsid w:val="00B778C4"/>
    <w:rsid w:val="00B77B9C"/>
    <w:rsid w:val="00B77BAD"/>
    <w:rsid w:val="00B77C5E"/>
    <w:rsid w:val="00B77D06"/>
    <w:rsid w:val="00B77D1E"/>
    <w:rsid w:val="00B77DEC"/>
    <w:rsid w:val="00B77F27"/>
    <w:rsid w:val="00B80155"/>
    <w:rsid w:val="00B80254"/>
    <w:rsid w:val="00B8026B"/>
    <w:rsid w:val="00B804CF"/>
    <w:rsid w:val="00B8054A"/>
    <w:rsid w:val="00B806A3"/>
    <w:rsid w:val="00B80763"/>
    <w:rsid w:val="00B807A4"/>
    <w:rsid w:val="00B808FC"/>
    <w:rsid w:val="00B80A1F"/>
    <w:rsid w:val="00B80A5B"/>
    <w:rsid w:val="00B80ACB"/>
    <w:rsid w:val="00B80DA5"/>
    <w:rsid w:val="00B80FC3"/>
    <w:rsid w:val="00B80FD2"/>
    <w:rsid w:val="00B8148A"/>
    <w:rsid w:val="00B81710"/>
    <w:rsid w:val="00B8178B"/>
    <w:rsid w:val="00B81828"/>
    <w:rsid w:val="00B819F5"/>
    <w:rsid w:val="00B81A59"/>
    <w:rsid w:val="00B81B11"/>
    <w:rsid w:val="00B81B7E"/>
    <w:rsid w:val="00B81BF5"/>
    <w:rsid w:val="00B81DA5"/>
    <w:rsid w:val="00B81FAD"/>
    <w:rsid w:val="00B820F1"/>
    <w:rsid w:val="00B82176"/>
    <w:rsid w:val="00B824AF"/>
    <w:rsid w:val="00B82544"/>
    <w:rsid w:val="00B826A2"/>
    <w:rsid w:val="00B8276D"/>
    <w:rsid w:val="00B82A86"/>
    <w:rsid w:val="00B82AA7"/>
    <w:rsid w:val="00B82AC0"/>
    <w:rsid w:val="00B82D5E"/>
    <w:rsid w:val="00B82E84"/>
    <w:rsid w:val="00B82F30"/>
    <w:rsid w:val="00B82FC3"/>
    <w:rsid w:val="00B830DB"/>
    <w:rsid w:val="00B831DC"/>
    <w:rsid w:val="00B833C3"/>
    <w:rsid w:val="00B8340E"/>
    <w:rsid w:val="00B83457"/>
    <w:rsid w:val="00B8379C"/>
    <w:rsid w:val="00B8380C"/>
    <w:rsid w:val="00B83879"/>
    <w:rsid w:val="00B839CA"/>
    <w:rsid w:val="00B83A8E"/>
    <w:rsid w:val="00B83CDB"/>
    <w:rsid w:val="00B83D35"/>
    <w:rsid w:val="00B83DFB"/>
    <w:rsid w:val="00B83F11"/>
    <w:rsid w:val="00B84117"/>
    <w:rsid w:val="00B843E4"/>
    <w:rsid w:val="00B84509"/>
    <w:rsid w:val="00B845BC"/>
    <w:rsid w:val="00B846AD"/>
    <w:rsid w:val="00B84798"/>
    <w:rsid w:val="00B847B1"/>
    <w:rsid w:val="00B8492F"/>
    <w:rsid w:val="00B84C25"/>
    <w:rsid w:val="00B84D1F"/>
    <w:rsid w:val="00B84D74"/>
    <w:rsid w:val="00B84DB3"/>
    <w:rsid w:val="00B84DD6"/>
    <w:rsid w:val="00B84E62"/>
    <w:rsid w:val="00B84FDC"/>
    <w:rsid w:val="00B85052"/>
    <w:rsid w:val="00B85070"/>
    <w:rsid w:val="00B85405"/>
    <w:rsid w:val="00B85754"/>
    <w:rsid w:val="00B85867"/>
    <w:rsid w:val="00B85BE0"/>
    <w:rsid w:val="00B85C31"/>
    <w:rsid w:val="00B85DB3"/>
    <w:rsid w:val="00B85ECB"/>
    <w:rsid w:val="00B85ED1"/>
    <w:rsid w:val="00B85FEE"/>
    <w:rsid w:val="00B86015"/>
    <w:rsid w:val="00B8606A"/>
    <w:rsid w:val="00B86070"/>
    <w:rsid w:val="00B860DC"/>
    <w:rsid w:val="00B86290"/>
    <w:rsid w:val="00B8649A"/>
    <w:rsid w:val="00B865F7"/>
    <w:rsid w:val="00B866A3"/>
    <w:rsid w:val="00B86A57"/>
    <w:rsid w:val="00B86A5D"/>
    <w:rsid w:val="00B86C2D"/>
    <w:rsid w:val="00B86C75"/>
    <w:rsid w:val="00B86D30"/>
    <w:rsid w:val="00B86F09"/>
    <w:rsid w:val="00B870A3"/>
    <w:rsid w:val="00B8719C"/>
    <w:rsid w:val="00B87229"/>
    <w:rsid w:val="00B872DE"/>
    <w:rsid w:val="00B8740A"/>
    <w:rsid w:val="00B8761D"/>
    <w:rsid w:val="00B877C5"/>
    <w:rsid w:val="00B87BBE"/>
    <w:rsid w:val="00B87FE8"/>
    <w:rsid w:val="00B90001"/>
    <w:rsid w:val="00B90005"/>
    <w:rsid w:val="00B9004B"/>
    <w:rsid w:val="00B903AA"/>
    <w:rsid w:val="00B904D7"/>
    <w:rsid w:val="00B90685"/>
    <w:rsid w:val="00B90815"/>
    <w:rsid w:val="00B908C4"/>
    <w:rsid w:val="00B90919"/>
    <w:rsid w:val="00B90B6D"/>
    <w:rsid w:val="00B90E01"/>
    <w:rsid w:val="00B90ED8"/>
    <w:rsid w:val="00B90F21"/>
    <w:rsid w:val="00B9108D"/>
    <w:rsid w:val="00B911C8"/>
    <w:rsid w:val="00B911D7"/>
    <w:rsid w:val="00B9123E"/>
    <w:rsid w:val="00B9130F"/>
    <w:rsid w:val="00B9143E"/>
    <w:rsid w:val="00B9159C"/>
    <w:rsid w:val="00B91631"/>
    <w:rsid w:val="00B91637"/>
    <w:rsid w:val="00B91823"/>
    <w:rsid w:val="00B9182C"/>
    <w:rsid w:val="00B91A2D"/>
    <w:rsid w:val="00B91A44"/>
    <w:rsid w:val="00B91AD7"/>
    <w:rsid w:val="00B91BC3"/>
    <w:rsid w:val="00B91EB2"/>
    <w:rsid w:val="00B91FAE"/>
    <w:rsid w:val="00B91FF0"/>
    <w:rsid w:val="00B9203F"/>
    <w:rsid w:val="00B92182"/>
    <w:rsid w:val="00B92358"/>
    <w:rsid w:val="00B92369"/>
    <w:rsid w:val="00B92535"/>
    <w:rsid w:val="00B92860"/>
    <w:rsid w:val="00B928FB"/>
    <w:rsid w:val="00B92AEC"/>
    <w:rsid w:val="00B92C84"/>
    <w:rsid w:val="00B92D2E"/>
    <w:rsid w:val="00B92D6B"/>
    <w:rsid w:val="00B92DD6"/>
    <w:rsid w:val="00B92E6E"/>
    <w:rsid w:val="00B9315A"/>
    <w:rsid w:val="00B93160"/>
    <w:rsid w:val="00B93280"/>
    <w:rsid w:val="00B9346D"/>
    <w:rsid w:val="00B9369D"/>
    <w:rsid w:val="00B938B0"/>
    <w:rsid w:val="00B93AE7"/>
    <w:rsid w:val="00B93BC3"/>
    <w:rsid w:val="00B93D6B"/>
    <w:rsid w:val="00B93D71"/>
    <w:rsid w:val="00B93E98"/>
    <w:rsid w:val="00B94184"/>
    <w:rsid w:val="00B9449E"/>
    <w:rsid w:val="00B9460D"/>
    <w:rsid w:val="00B94673"/>
    <w:rsid w:val="00B946B6"/>
    <w:rsid w:val="00B94883"/>
    <w:rsid w:val="00B94A5C"/>
    <w:rsid w:val="00B94AD8"/>
    <w:rsid w:val="00B94AEC"/>
    <w:rsid w:val="00B94B36"/>
    <w:rsid w:val="00B94B46"/>
    <w:rsid w:val="00B94E28"/>
    <w:rsid w:val="00B94E73"/>
    <w:rsid w:val="00B94FB9"/>
    <w:rsid w:val="00B9504D"/>
    <w:rsid w:val="00B9515F"/>
    <w:rsid w:val="00B95407"/>
    <w:rsid w:val="00B95479"/>
    <w:rsid w:val="00B954DB"/>
    <w:rsid w:val="00B95855"/>
    <w:rsid w:val="00B959F0"/>
    <w:rsid w:val="00B95BB3"/>
    <w:rsid w:val="00B95DE0"/>
    <w:rsid w:val="00B95F9F"/>
    <w:rsid w:val="00B96044"/>
    <w:rsid w:val="00B96208"/>
    <w:rsid w:val="00B962FB"/>
    <w:rsid w:val="00B9676C"/>
    <w:rsid w:val="00B96EB8"/>
    <w:rsid w:val="00B97064"/>
    <w:rsid w:val="00B9708D"/>
    <w:rsid w:val="00B970B8"/>
    <w:rsid w:val="00B9742C"/>
    <w:rsid w:val="00B9783F"/>
    <w:rsid w:val="00B97C03"/>
    <w:rsid w:val="00B97D3B"/>
    <w:rsid w:val="00B97D63"/>
    <w:rsid w:val="00B97DF8"/>
    <w:rsid w:val="00B97FB4"/>
    <w:rsid w:val="00BA02A4"/>
    <w:rsid w:val="00BA0528"/>
    <w:rsid w:val="00BA0530"/>
    <w:rsid w:val="00BA0740"/>
    <w:rsid w:val="00BA0783"/>
    <w:rsid w:val="00BA080B"/>
    <w:rsid w:val="00BA087D"/>
    <w:rsid w:val="00BA09D8"/>
    <w:rsid w:val="00BA0AE5"/>
    <w:rsid w:val="00BA0B83"/>
    <w:rsid w:val="00BA0BE1"/>
    <w:rsid w:val="00BA0CAF"/>
    <w:rsid w:val="00BA0D5A"/>
    <w:rsid w:val="00BA0F92"/>
    <w:rsid w:val="00BA100B"/>
    <w:rsid w:val="00BA1141"/>
    <w:rsid w:val="00BA11C9"/>
    <w:rsid w:val="00BA1279"/>
    <w:rsid w:val="00BA1375"/>
    <w:rsid w:val="00BA1462"/>
    <w:rsid w:val="00BA14FF"/>
    <w:rsid w:val="00BA1516"/>
    <w:rsid w:val="00BA1735"/>
    <w:rsid w:val="00BA1760"/>
    <w:rsid w:val="00BA1881"/>
    <w:rsid w:val="00BA1B2B"/>
    <w:rsid w:val="00BA1B37"/>
    <w:rsid w:val="00BA1C9E"/>
    <w:rsid w:val="00BA21AD"/>
    <w:rsid w:val="00BA21B4"/>
    <w:rsid w:val="00BA21C6"/>
    <w:rsid w:val="00BA2229"/>
    <w:rsid w:val="00BA2405"/>
    <w:rsid w:val="00BA2791"/>
    <w:rsid w:val="00BA27C0"/>
    <w:rsid w:val="00BA2B00"/>
    <w:rsid w:val="00BA2BA7"/>
    <w:rsid w:val="00BA2DD2"/>
    <w:rsid w:val="00BA2FB4"/>
    <w:rsid w:val="00BA3245"/>
    <w:rsid w:val="00BA3246"/>
    <w:rsid w:val="00BA3499"/>
    <w:rsid w:val="00BA354E"/>
    <w:rsid w:val="00BA3562"/>
    <w:rsid w:val="00BA3575"/>
    <w:rsid w:val="00BA362A"/>
    <w:rsid w:val="00BA36B5"/>
    <w:rsid w:val="00BA3822"/>
    <w:rsid w:val="00BA38E6"/>
    <w:rsid w:val="00BA3918"/>
    <w:rsid w:val="00BA39B3"/>
    <w:rsid w:val="00BA3DB6"/>
    <w:rsid w:val="00BA3DB7"/>
    <w:rsid w:val="00BA3E47"/>
    <w:rsid w:val="00BA40F4"/>
    <w:rsid w:val="00BA414A"/>
    <w:rsid w:val="00BA4177"/>
    <w:rsid w:val="00BA4284"/>
    <w:rsid w:val="00BA4495"/>
    <w:rsid w:val="00BA4646"/>
    <w:rsid w:val="00BA46B0"/>
    <w:rsid w:val="00BA49F3"/>
    <w:rsid w:val="00BA4C3E"/>
    <w:rsid w:val="00BA4F9E"/>
    <w:rsid w:val="00BA4FE6"/>
    <w:rsid w:val="00BA4FEB"/>
    <w:rsid w:val="00BA5054"/>
    <w:rsid w:val="00BA507B"/>
    <w:rsid w:val="00BA51B7"/>
    <w:rsid w:val="00BA51F3"/>
    <w:rsid w:val="00BA52EC"/>
    <w:rsid w:val="00BA5472"/>
    <w:rsid w:val="00BA56E1"/>
    <w:rsid w:val="00BA57EC"/>
    <w:rsid w:val="00BA586D"/>
    <w:rsid w:val="00BA5A22"/>
    <w:rsid w:val="00BA5AB7"/>
    <w:rsid w:val="00BA5CA2"/>
    <w:rsid w:val="00BA5D5A"/>
    <w:rsid w:val="00BA5DD3"/>
    <w:rsid w:val="00BA609A"/>
    <w:rsid w:val="00BA6214"/>
    <w:rsid w:val="00BA63A1"/>
    <w:rsid w:val="00BA6462"/>
    <w:rsid w:val="00BA64EB"/>
    <w:rsid w:val="00BA65DB"/>
    <w:rsid w:val="00BA6748"/>
    <w:rsid w:val="00BA687E"/>
    <w:rsid w:val="00BA694F"/>
    <w:rsid w:val="00BA6A27"/>
    <w:rsid w:val="00BA6F4E"/>
    <w:rsid w:val="00BA70BC"/>
    <w:rsid w:val="00BA7147"/>
    <w:rsid w:val="00BA7297"/>
    <w:rsid w:val="00BA7532"/>
    <w:rsid w:val="00BA7590"/>
    <w:rsid w:val="00BA7610"/>
    <w:rsid w:val="00BA78DE"/>
    <w:rsid w:val="00BA79E3"/>
    <w:rsid w:val="00BA7A01"/>
    <w:rsid w:val="00BA7BE3"/>
    <w:rsid w:val="00BA7D4A"/>
    <w:rsid w:val="00BA7D63"/>
    <w:rsid w:val="00BA7FD0"/>
    <w:rsid w:val="00BB0024"/>
    <w:rsid w:val="00BB010F"/>
    <w:rsid w:val="00BB0166"/>
    <w:rsid w:val="00BB02A0"/>
    <w:rsid w:val="00BB0341"/>
    <w:rsid w:val="00BB04EC"/>
    <w:rsid w:val="00BB04EF"/>
    <w:rsid w:val="00BB076C"/>
    <w:rsid w:val="00BB0817"/>
    <w:rsid w:val="00BB09EA"/>
    <w:rsid w:val="00BB0B0A"/>
    <w:rsid w:val="00BB0C21"/>
    <w:rsid w:val="00BB0C7B"/>
    <w:rsid w:val="00BB0DA1"/>
    <w:rsid w:val="00BB0E41"/>
    <w:rsid w:val="00BB0FA2"/>
    <w:rsid w:val="00BB10C9"/>
    <w:rsid w:val="00BB144D"/>
    <w:rsid w:val="00BB16F1"/>
    <w:rsid w:val="00BB1798"/>
    <w:rsid w:val="00BB1806"/>
    <w:rsid w:val="00BB1BE4"/>
    <w:rsid w:val="00BB1DC2"/>
    <w:rsid w:val="00BB1F29"/>
    <w:rsid w:val="00BB1F5C"/>
    <w:rsid w:val="00BB20FE"/>
    <w:rsid w:val="00BB21B3"/>
    <w:rsid w:val="00BB24B9"/>
    <w:rsid w:val="00BB25BD"/>
    <w:rsid w:val="00BB26CE"/>
    <w:rsid w:val="00BB28CF"/>
    <w:rsid w:val="00BB2AD3"/>
    <w:rsid w:val="00BB2C39"/>
    <w:rsid w:val="00BB30DB"/>
    <w:rsid w:val="00BB3236"/>
    <w:rsid w:val="00BB3332"/>
    <w:rsid w:val="00BB336E"/>
    <w:rsid w:val="00BB33CF"/>
    <w:rsid w:val="00BB350F"/>
    <w:rsid w:val="00BB3534"/>
    <w:rsid w:val="00BB36BE"/>
    <w:rsid w:val="00BB386C"/>
    <w:rsid w:val="00BB38FB"/>
    <w:rsid w:val="00BB4108"/>
    <w:rsid w:val="00BB4250"/>
    <w:rsid w:val="00BB4374"/>
    <w:rsid w:val="00BB4397"/>
    <w:rsid w:val="00BB439B"/>
    <w:rsid w:val="00BB4710"/>
    <w:rsid w:val="00BB498E"/>
    <w:rsid w:val="00BB4A15"/>
    <w:rsid w:val="00BB4C70"/>
    <w:rsid w:val="00BB4CC1"/>
    <w:rsid w:val="00BB4E58"/>
    <w:rsid w:val="00BB4E6A"/>
    <w:rsid w:val="00BB4F54"/>
    <w:rsid w:val="00BB509B"/>
    <w:rsid w:val="00BB5234"/>
    <w:rsid w:val="00BB52D8"/>
    <w:rsid w:val="00BB536D"/>
    <w:rsid w:val="00BB537F"/>
    <w:rsid w:val="00BB55CF"/>
    <w:rsid w:val="00BB5636"/>
    <w:rsid w:val="00BB568A"/>
    <w:rsid w:val="00BB5731"/>
    <w:rsid w:val="00BB5733"/>
    <w:rsid w:val="00BB58BE"/>
    <w:rsid w:val="00BB597D"/>
    <w:rsid w:val="00BB5B61"/>
    <w:rsid w:val="00BB5D3A"/>
    <w:rsid w:val="00BB5EA7"/>
    <w:rsid w:val="00BB617F"/>
    <w:rsid w:val="00BB61FF"/>
    <w:rsid w:val="00BB6207"/>
    <w:rsid w:val="00BB6306"/>
    <w:rsid w:val="00BB63F6"/>
    <w:rsid w:val="00BB641E"/>
    <w:rsid w:val="00BB6613"/>
    <w:rsid w:val="00BB66CD"/>
    <w:rsid w:val="00BB680B"/>
    <w:rsid w:val="00BB69AF"/>
    <w:rsid w:val="00BB6ACB"/>
    <w:rsid w:val="00BB6BB0"/>
    <w:rsid w:val="00BB6C45"/>
    <w:rsid w:val="00BB6D65"/>
    <w:rsid w:val="00BB6F27"/>
    <w:rsid w:val="00BB6F5F"/>
    <w:rsid w:val="00BB6FB3"/>
    <w:rsid w:val="00BB74B6"/>
    <w:rsid w:val="00BB76DD"/>
    <w:rsid w:val="00BB7749"/>
    <w:rsid w:val="00BB7873"/>
    <w:rsid w:val="00BB7A8B"/>
    <w:rsid w:val="00BB7FF5"/>
    <w:rsid w:val="00BC0384"/>
    <w:rsid w:val="00BC044E"/>
    <w:rsid w:val="00BC04F0"/>
    <w:rsid w:val="00BC052A"/>
    <w:rsid w:val="00BC0598"/>
    <w:rsid w:val="00BC059B"/>
    <w:rsid w:val="00BC05BE"/>
    <w:rsid w:val="00BC0623"/>
    <w:rsid w:val="00BC081F"/>
    <w:rsid w:val="00BC0824"/>
    <w:rsid w:val="00BC0A32"/>
    <w:rsid w:val="00BC0A48"/>
    <w:rsid w:val="00BC0A7E"/>
    <w:rsid w:val="00BC0C74"/>
    <w:rsid w:val="00BC0F56"/>
    <w:rsid w:val="00BC0F96"/>
    <w:rsid w:val="00BC1194"/>
    <w:rsid w:val="00BC11A8"/>
    <w:rsid w:val="00BC1376"/>
    <w:rsid w:val="00BC13BE"/>
    <w:rsid w:val="00BC1724"/>
    <w:rsid w:val="00BC1802"/>
    <w:rsid w:val="00BC1837"/>
    <w:rsid w:val="00BC1969"/>
    <w:rsid w:val="00BC1A99"/>
    <w:rsid w:val="00BC1BAE"/>
    <w:rsid w:val="00BC1BE1"/>
    <w:rsid w:val="00BC1C86"/>
    <w:rsid w:val="00BC1CA8"/>
    <w:rsid w:val="00BC1D51"/>
    <w:rsid w:val="00BC2290"/>
    <w:rsid w:val="00BC22D7"/>
    <w:rsid w:val="00BC247A"/>
    <w:rsid w:val="00BC24FF"/>
    <w:rsid w:val="00BC2568"/>
    <w:rsid w:val="00BC299C"/>
    <w:rsid w:val="00BC2B38"/>
    <w:rsid w:val="00BC2BA9"/>
    <w:rsid w:val="00BC2C72"/>
    <w:rsid w:val="00BC2E03"/>
    <w:rsid w:val="00BC2E42"/>
    <w:rsid w:val="00BC2FAE"/>
    <w:rsid w:val="00BC306E"/>
    <w:rsid w:val="00BC31A1"/>
    <w:rsid w:val="00BC31AC"/>
    <w:rsid w:val="00BC355C"/>
    <w:rsid w:val="00BC36A7"/>
    <w:rsid w:val="00BC3724"/>
    <w:rsid w:val="00BC3761"/>
    <w:rsid w:val="00BC37FA"/>
    <w:rsid w:val="00BC39CE"/>
    <w:rsid w:val="00BC3C24"/>
    <w:rsid w:val="00BC477B"/>
    <w:rsid w:val="00BC488B"/>
    <w:rsid w:val="00BC4898"/>
    <w:rsid w:val="00BC48AD"/>
    <w:rsid w:val="00BC4964"/>
    <w:rsid w:val="00BC4B19"/>
    <w:rsid w:val="00BC4EA2"/>
    <w:rsid w:val="00BC4F4D"/>
    <w:rsid w:val="00BC4F79"/>
    <w:rsid w:val="00BC52FF"/>
    <w:rsid w:val="00BC535D"/>
    <w:rsid w:val="00BC53F0"/>
    <w:rsid w:val="00BC5533"/>
    <w:rsid w:val="00BC56BF"/>
    <w:rsid w:val="00BC57BA"/>
    <w:rsid w:val="00BC5817"/>
    <w:rsid w:val="00BC5AEC"/>
    <w:rsid w:val="00BC5B59"/>
    <w:rsid w:val="00BC5BBC"/>
    <w:rsid w:val="00BC5C1B"/>
    <w:rsid w:val="00BC5F33"/>
    <w:rsid w:val="00BC6135"/>
    <w:rsid w:val="00BC635D"/>
    <w:rsid w:val="00BC6962"/>
    <w:rsid w:val="00BC699F"/>
    <w:rsid w:val="00BC6AE7"/>
    <w:rsid w:val="00BC6C66"/>
    <w:rsid w:val="00BC6D81"/>
    <w:rsid w:val="00BC6E68"/>
    <w:rsid w:val="00BC6F73"/>
    <w:rsid w:val="00BC7158"/>
    <w:rsid w:val="00BC7171"/>
    <w:rsid w:val="00BC71EE"/>
    <w:rsid w:val="00BC75A9"/>
    <w:rsid w:val="00BC773F"/>
    <w:rsid w:val="00BC7919"/>
    <w:rsid w:val="00BC7927"/>
    <w:rsid w:val="00BC7AEC"/>
    <w:rsid w:val="00BC7C05"/>
    <w:rsid w:val="00BC7C16"/>
    <w:rsid w:val="00BC7CC3"/>
    <w:rsid w:val="00BC7DF8"/>
    <w:rsid w:val="00BD0024"/>
    <w:rsid w:val="00BD04AE"/>
    <w:rsid w:val="00BD05D4"/>
    <w:rsid w:val="00BD09BD"/>
    <w:rsid w:val="00BD0BD1"/>
    <w:rsid w:val="00BD0D55"/>
    <w:rsid w:val="00BD0EDD"/>
    <w:rsid w:val="00BD1024"/>
    <w:rsid w:val="00BD11EA"/>
    <w:rsid w:val="00BD1258"/>
    <w:rsid w:val="00BD12AE"/>
    <w:rsid w:val="00BD151A"/>
    <w:rsid w:val="00BD1658"/>
    <w:rsid w:val="00BD1677"/>
    <w:rsid w:val="00BD18E2"/>
    <w:rsid w:val="00BD1CA5"/>
    <w:rsid w:val="00BD1CF1"/>
    <w:rsid w:val="00BD1EF0"/>
    <w:rsid w:val="00BD1F73"/>
    <w:rsid w:val="00BD252A"/>
    <w:rsid w:val="00BD260C"/>
    <w:rsid w:val="00BD2688"/>
    <w:rsid w:val="00BD2710"/>
    <w:rsid w:val="00BD29CB"/>
    <w:rsid w:val="00BD2D35"/>
    <w:rsid w:val="00BD2E89"/>
    <w:rsid w:val="00BD2F24"/>
    <w:rsid w:val="00BD2FB1"/>
    <w:rsid w:val="00BD2FCE"/>
    <w:rsid w:val="00BD30AE"/>
    <w:rsid w:val="00BD324A"/>
    <w:rsid w:val="00BD353B"/>
    <w:rsid w:val="00BD354D"/>
    <w:rsid w:val="00BD3582"/>
    <w:rsid w:val="00BD370E"/>
    <w:rsid w:val="00BD381E"/>
    <w:rsid w:val="00BD3BBC"/>
    <w:rsid w:val="00BD3C2E"/>
    <w:rsid w:val="00BD3D89"/>
    <w:rsid w:val="00BD3E74"/>
    <w:rsid w:val="00BD4062"/>
    <w:rsid w:val="00BD4350"/>
    <w:rsid w:val="00BD441E"/>
    <w:rsid w:val="00BD44C6"/>
    <w:rsid w:val="00BD46CC"/>
    <w:rsid w:val="00BD4D6C"/>
    <w:rsid w:val="00BD4DCE"/>
    <w:rsid w:val="00BD4E65"/>
    <w:rsid w:val="00BD5062"/>
    <w:rsid w:val="00BD5143"/>
    <w:rsid w:val="00BD5267"/>
    <w:rsid w:val="00BD52A8"/>
    <w:rsid w:val="00BD560A"/>
    <w:rsid w:val="00BD5BB9"/>
    <w:rsid w:val="00BD5CFE"/>
    <w:rsid w:val="00BD5DF4"/>
    <w:rsid w:val="00BD5E24"/>
    <w:rsid w:val="00BD5F9F"/>
    <w:rsid w:val="00BD5FE8"/>
    <w:rsid w:val="00BD60C4"/>
    <w:rsid w:val="00BD62DC"/>
    <w:rsid w:val="00BD65BB"/>
    <w:rsid w:val="00BD65DC"/>
    <w:rsid w:val="00BD67ED"/>
    <w:rsid w:val="00BD68F3"/>
    <w:rsid w:val="00BD6A44"/>
    <w:rsid w:val="00BD6EFF"/>
    <w:rsid w:val="00BD6F1A"/>
    <w:rsid w:val="00BD6FA1"/>
    <w:rsid w:val="00BD7096"/>
    <w:rsid w:val="00BD7116"/>
    <w:rsid w:val="00BD7128"/>
    <w:rsid w:val="00BD7281"/>
    <w:rsid w:val="00BD7473"/>
    <w:rsid w:val="00BD7585"/>
    <w:rsid w:val="00BD75E0"/>
    <w:rsid w:val="00BD77BB"/>
    <w:rsid w:val="00BD7961"/>
    <w:rsid w:val="00BD7B8C"/>
    <w:rsid w:val="00BD7BFF"/>
    <w:rsid w:val="00BD7D3D"/>
    <w:rsid w:val="00BE008D"/>
    <w:rsid w:val="00BE02A5"/>
    <w:rsid w:val="00BE0389"/>
    <w:rsid w:val="00BE0498"/>
    <w:rsid w:val="00BE0525"/>
    <w:rsid w:val="00BE0774"/>
    <w:rsid w:val="00BE0860"/>
    <w:rsid w:val="00BE09AA"/>
    <w:rsid w:val="00BE09B4"/>
    <w:rsid w:val="00BE09D3"/>
    <w:rsid w:val="00BE0B2D"/>
    <w:rsid w:val="00BE0CDC"/>
    <w:rsid w:val="00BE0CDF"/>
    <w:rsid w:val="00BE0D28"/>
    <w:rsid w:val="00BE0F24"/>
    <w:rsid w:val="00BE0FB7"/>
    <w:rsid w:val="00BE108B"/>
    <w:rsid w:val="00BE1282"/>
    <w:rsid w:val="00BE1390"/>
    <w:rsid w:val="00BE1436"/>
    <w:rsid w:val="00BE1870"/>
    <w:rsid w:val="00BE196F"/>
    <w:rsid w:val="00BE19FC"/>
    <w:rsid w:val="00BE1CF3"/>
    <w:rsid w:val="00BE1D48"/>
    <w:rsid w:val="00BE1D55"/>
    <w:rsid w:val="00BE1D6E"/>
    <w:rsid w:val="00BE1F3A"/>
    <w:rsid w:val="00BE2158"/>
    <w:rsid w:val="00BE21FD"/>
    <w:rsid w:val="00BE24E3"/>
    <w:rsid w:val="00BE2806"/>
    <w:rsid w:val="00BE280A"/>
    <w:rsid w:val="00BE28EC"/>
    <w:rsid w:val="00BE28F2"/>
    <w:rsid w:val="00BE2B5C"/>
    <w:rsid w:val="00BE2CB5"/>
    <w:rsid w:val="00BE2E87"/>
    <w:rsid w:val="00BE3093"/>
    <w:rsid w:val="00BE311B"/>
    <w:rsid w:val="00BE3326"/>
    <w:rsid w:val="00BE3463"/>
    <w:rsid w:val="00BE34D0"/>
    <w:rsid w:val="00BE35C1"/>
    <w:rsid w:val="00BE36FC"/>
    <w:rsid w:val="00BE3910"/>
    <w:rsid w:val="00BE3980"/>
    <w:rsid w:val="00BE3BA3"/>
    <w:rsid w:val="00BE3BAA"/>
    <w:rsid w:val="00BE4019"/>
    <w:rsid w:val="00BE40D7"/>
    <w:rsid w:val="00BE4207"/>
    <w:rsid w:val="00BE4251"/>
    <w:rsid w:val="00BE4299"/>
    <w:rsid w:val="00BE43D8"/>
    <w:rsid w:val="00BE43DE"/>
    <w:rsid w:val="00BE444F"/>
    <w:rsid w:val="00BE4487"/>
    <w:rsid w:val="00BE44F4"/>
    <w:rsid w:val="00BE485C"/>
    <w:rsid w:val="00BE4891"/>
    <w:rsid w:val="00BE4A20"/>
    <w:rsid w:val="00BE4B7A"/>
    <w:rsid w:val="00BE4BB6"/>
    <w:rsid w:val="00BE4C1C"/>
    <w:rsid w:val="00BE4CB6"/>
    <w:rsid w:val="00BE4EC4"/>
    <w:rsid w:val="00BE4EEF"/>
    <w:rsid w:val="00BE4EF0"/>
    <w:rsid w:val="00BE5027"/>
    <w:rsid w:val="00BE5029"/>
    <w:rsid w:val="00BE54DC"/>
    <w:rsid w:val="00BE568D"/>
    <w:rsid w:val="00BE5989"/>
    <w:rsid w:val="00BE5AB5"/>
    <w:rsid w:val="00BE5B2A"/>
    <w:rsid w:val="00BE5C26"/>
    <w:rsid w:val="00BE5C5A"/>
    <w:rsid w:val="00BE5F8E"/>
    <w:rsid w:val="00BE6287"/>
    <w:rsid w:val="00BE62B5"/>
    <w:rsid w:val="00BE63A9"/>
    <w:rsid w:val="00BE64F6"/>
    <w:rsid w:val="00BE6574"/>
    <w:rsid w:val="00BE65F4"/>
    <w:rsid w:val="00BE6940"/>
    <w:rsid w:val="00BE6AD3"/>
    <w:rsid w:val="00BE6B47"/>
    <w:rsid w:val="00BE6B6E"/>
    <w:rsid w:val="00BE6EC5"/>
    <w:rsid w:val="00BE6EE9"/>
    <w:rsid w:val="00BE7014"/>
    <w:rsid w:val="00BE707F"/>
    <w:rsid w:val="00BE71CD"/>
    <w:rsid w:val="00BE7478"/>
    <w:rsid w:val="00BE78A0"/>
    <w:rsid w:val="00BE78F8"/>
    <w:rsid w:val="00BE79EA"/>
    <w:rsid w:val="00BE7A8A"/>
    <w:rsid w:val="00BE7FDF"/>
    <w:rsid w:val="00BF03B1"/>
    <w:rsid w:val="00BF04C1"/>
    <w:rsid w:val="00BF05AC"/>
    <w:rsid w:val="00BF05C2"/>
    <w:rsid w:val="00BF06AD"/>
    <w:rsid w:val="00BF075D"/>
    <w:rsid w:val="00BF07EA"/>
    <w:rsid w:val="00BF08C4"/>
    <w:rsid w:val="00BF091C"/>
    <w:rsid w:val="00BF093B"/>
    <w:rsid w:val="00BF0C27"/>
    <w:rsid w:val="00BF0C55"/>
    <w:rsid w:val="00BF0E12"/>
    <w:rsid w:val="00BF0F41"/>
    <w:rsid w:val="00BF1016"/>
    <w:rsid w:val="00BF119D"/>
    <w:rsid w:val="00BF123A"/>
    <w:rsid w:val="00BF12D6"/>
    <w:rsid w:val="00BF1432"/>
    <w:rsid w:val="00BF1603"/>
    <w:rsid w:val="00BF1705"/>
    <w:rsid w:val="00BF1796"/>
    <w:rsid w:val="00BF1838"/>
    <w:rsid w:val="00BF18A2"/>
    <w:rsid w:val="00BF191B"/>
    <w:rsid w:val="00BF1CF5"/>
    <w:rsid w:val="00BF1E49"/>
    <w:rsid w:val="00BF2032"/>
    <w:rsid w:val="00BF215D"/>
    <w:rsid w:val="00BF21B6"/>
    <w:rsid w:val="00BF245D"/>
    <w:rsid w:val="00BF2509"/>
    <w:rsid w:val="00BF26DB"/>
    <w:rsid w:val="00BF26E0"/>
    <w:rsid w:val="00BF2743"/>
    <w:rsid w:val="00BF28D4"/>
    <w:rsid w:val="00BF2A50"/>
    <w:rsid w:val="00BF2A93"/>
    <w:rsid w:val="00BF2AF5"/>
    <w:rsid w:val="00BF2B55"/>
    <w:rsid w:val="00BF2B7B"/>
    <w:rsid w:val="00BF2BB9"/>
    <w:rsid w:val="00BF3083"/>
    <w:rsid w:val="00BF32BB"/>
    <w:rsid w:val="00BF3509"/>
    <w:rsid w:val="00BF35C3"/>
    <w:rsid w:val="00BF3642"/>
    <w:rsid w:val="00BF370B"/>
    <w:rsid w:val="00BF37B7"/>
    <w:rsid w:val="00BF39C3"/>
    <w:rsid w:val="00BF3AB7"/>
    <w:rsid w:val="00BF3ABE"/>
    <w:rsid w:val="00BF3AFB"/>
    <w:rsid w:val="00BF3F53"/>
    <w:rsid w:val="00BF3F5D"/>
    <w:rsid w:val="00BF3FC8"/>
    <w:rsid w:val="00BF4015"/>
    <w:rsid w:val="00BF4192"/>
    <w:rsid w:val="00BF4196"/>
    <w:rsid w:val="00BF43E1"/>
    <w:rsid w:val="00BF49DD"/>
    <w:rsid w:val="00BF4A30"/>
    <w:rsid w:val="00BF4C48"/>
    <w:rsid w:val="00BF4C77"/>
    <w:rsid w:val="00BF4DD6"/>
    <w:rsid w:val="00BF4E56"/>
    <w:rsid w:val="00BF524B"/>
    <w:rsid w:val="00BF52B4"/>
    <w:rsid w:val="00BF52C1"/>
    <w:rsid w:val="00BF55A2"/>
    <w:rsid w:val="00BF5982"/>
    <w:rsid w:val="00BF5B21"/>
    <w:rsid w:val="00BF5BFD"/>
    <w:rsid w:val="00BF5D22"/>
    <w:rsid w:val="00BF5E10"/>
    <w:rsid w:val="00BF602D"/>
    <w:rsid w:val="00BF61BF"/>
    <w:rsid w:val="00BF627E"/>
    <w:rsid w:val="00BF645D"/>
    <w:rsid w:val="00BF646B"/>
    <w:rsid w:val="00BF65D6"/>
    <w:rsid w:val="00BF664E"/>
    <w:rsid w:val="00BF692B"/>
    <w:rsid w:val="00BF69B0"/>
    <w:rsid w:val="00BF69D9"/>
    <w:rsid w:val="00BF6C2D"/>
    <w:rsid w:val="00BF6C75"/>
    <w:rsid w:val="00BF6C95"/>
    <w:rsid w:val="00BF6D4F"/>
    <w:rsid w:val="00BF6D85"/>
    <w:rsid w:val="00BF6E04"/>
    <w:rsid w:val="00BF6E23"/>
    <w:rsid w:val="00BF6FB8"/>
    <w:rsid w:val="00BF7008"/>
    <w:rsid w:val="00BF71F7"/>
    <w:rsid w:val="00BF7324"/>
    <w:rsid w:val="00BF7345"/>
    <w:rsid w:val="00BF739A"/>
    <w:rsid w:val="00BF73FA"/>
    <w:rsid w:val="00BF740F"/>
    <w:rsid w:val="00BF765C"/>
    <w:rsid w:val="00BF7756"/>
    <w:rsid w:val="00BF7784"/>
    <w:rsid w:val="00BF79EB"/>
    <w:rsid w:val="00BF7A4A"/>
    <w:rsid w:val="00BF7B10"/>
    <w:rsid w:val="00BF7B20"/>
    <w:rsid w:val="00BF7B90"/>
    <w:rsid w:val="00BF7BC3"/>
    <w:rsid w:val="00BF7C07"/>
    <w:rsid w:val="00BF7C1F"/>
    <w:rsid w:val="00BF7C27"/>
    <w:rsid w:val="00BF7CD6"/>
    <w:rsid w:val="00BF7D7D"/>
    <w:rsid w:val="00BF7E28"/>
    <w:rsid w:val="00BF7EA9"/>
    <w:rsid w:val="00C00193"/>
    <w:rsid w:val="00C002CB"/>
    <w:rsid w:val="00C004A5"/>
    <w:rsid w:val="00C004C1"/>
    <w:rsid w:val="00C00686"/>
    <w:rsid w:val="00C006CC"/>
    <w:rsid w:val="00C006D3"/>
    <w:rsid w:val="00C00A4F"/>
    <w:rsid w:val="00C00BBC"/>
    <w:rsid w:val="00C00D1C"/>
    <w:rsid w:val="00C00DD9"/>
    <w:rsid w:val="00C010C6"/>
    <w:rsid w:val="00C0127E"/>
    <w:rsid w:val="00C013B2"/>
    <w:rsid w:val="00C01743"/>
    <w:rsid w:val="00C01819"/>
    <w:rsid w:val="00C01A17"/>
    <w:rsid w:val="00C01C1F"/>
    <w:rsid w:val="00C01D90"/>
    <w:rsid w:val="00C01E4D"/>
    <w:rsid w:val="00C01EC8"/>
    <w:rsid w:val="00C01F01"/>
    <w:rsid w:val="00C02057"/>
    <w:rsid w:val="00C021F3"/>
    <w:rsid w:val="00C02587"/>
    <w:rsid w:val="00C025B6"/>
    <w:rsid w:val="00C0280B"/>
    <w:rsid w:val="00C02AF4"/>
    <w:rsid w:val="00C02B0F"/>
    <w:rsid w:val="00C02BFF"/>
    <w:rsid w:val="00C02C42"/>
    <w:rsid w:val="00C031AD"/>
    <w:rsid w:val="00C03259"/>
    <w:rsid w:val="00C033BE"/>
    <w:rsid w:val="00C03D84"/>
    <w:rsid w:val="00C03F0C"/>
    <w:rsid w:val="00C0406D"/>
    <w:rsid w:val="00C0442E"/>
    <w:rsid w:val="00C0458C"/>
    <w:rsid w:val="00C04777"/>
    <w:rsid w:val="00C0485A"/>
    <w:rsid w:val="00C04888"/>
    <w:rsid w:val="00C04938"/>
    <w:rsid w:val="00C04B15"/>
    <w:rsid w:val="00C04D28"/>
    <w:rsid w:val="00C04FD9"/>
    <w:rsid w:val="00C05047"/>
    <w:rsid w:val="00C050BA"/>
    <w:rsid w:val="00C0519C"/>
    <w:rsid w:val="00C051FD"/>
    <w:rsid w:val="00C05264"/>
    <w:rsid w:val="00C052A1"/>
    <w:rsid w:val="00C052FB"/>
    <w:rsid w:val="00C05513"/>
    <w:rsid w:val="00C05556"/>
    <w:rsid w:val="00C057B9"/>
    <w:rsid w:val="00C0589D"/>
    <w:rsid w:val="00C05A24"/>
    <w:rsid w:val="00C05A3A"/>
    <w:rsid w:val="00C05AE2"/>
    <w:rsid w:val="00C05AF9"/>
    <w:rsid w:val="00C05C86"/>
    <w:rsid w:val="00C05EC5"/>
    <w:rsid w:val="00C05F41"/>
    <w:rsid w:val="00C05F54"/>
    <w:rsid w:val="00C0628C"/>
    <w:rsid w:val="00C0631F"/>
    <w:rsid w:val="00C0644C"/>
    <w:rsid w:val="00C066A9"/>
    <w:rsid w:val="00C0674C"/>
    <w:rsid w:val="00C06980"/>
    <w:rsid w:val="00C06A79"/>
    <w:rsid w:val="00C06AF5"/>
    <w:rsid w:val="00C06B29"/>
    <w:rsid w:val="00C06BFC"/>
    <w:rsid w:val="00C06C1C"/>
    <w:rsid w:val="00C06D1A"/>
    <w:rsid w:val="00C06E49"/>
    <w:rsid w:val="00C07094"/>
    <w:rsid w:val="00C070FC"/>
    <w:rsid w:val="00C07275"/>
    <w:rsid w:val="00C0735E"/>
    <w:rsid w:val="00C07380"/>
    <w:rsid w:val="00C073CE"/>
    <w:rsid w:val="00C07539"/>
    <w:rsid w:val="00C0760E"/>
    <w:rsid w:val="00C07724"/>
    <w:rsid w:val="00C0780D"/>
    <w:rsid w:val="00C07821"/>
    <w:rsid w:val="00C07CD2"/>
    <w:rsid w:val="00C07CFC"/>
    <w:rsid w:val="00C07D2C"/>
    <w:rsid w:val="00C07FBE"/>
    <w:rsid w:val="00C10071"/>
    <w:rsid w:val="00C10206"/>
    <w:rsid w:val="00C102E7"/>
    <w:rsid w:val="00C1037C"/>
    <w:rsid w:val="00C1041A"/>
    <w:rsid w:val="00C10460"/>
    <w:rsid w:val="00C10806"/>
    <w:rsid w:val="00C10964"/>
    <w:rsid w:val="00C10AF0"/>
    <w:rsid w:val="00C10B51"/>
    <w:rsid w:val="00C10C0D"/>
    <w:rsid w:val="00C10CA9"/>
    <w:rsid w:val="00C10CC8"/>
    <w:rsid w:val="00C10DDA"/>
    <w:rsid w:val="00C11232"/>
    <w:rsid w:val="00C11492"/>
    <w:rsid w:val="00C11747"/>
    <w:rsid w:val="00C117B6"/>
    <w:rsid w:val="00C117BE"/>
    <w:rsid w:val="00C118A4"/>
    <w:rsid w:val="00C1196E"/>
    <w:rsid w:val="00C11A18"/>
    <w:rsid w:val="00C11A6B"/>
    <w:rsid w:val="00C11B69"/>
    <w:rsid w:val="00C11B7F"/>
    <w:rsid w:val="00C11D0D"/>
    <w:rsid w:val="00C11E45"/>
    <w:rsid w:val="00C1208B"/>
    <w:rsid w:val="00C12454"/>
    <w:rsid w:val="00C124E9"/>
    <w:rsid w:val="00C1268C"/>
    <w:rsid w:val="00C12760"/>
    <w:rsid w:val="00C12769"/>
    <w:rsid w:val="00C12800"/>
    <w:rsid w:val="00C12B62"/>
    <w:rsid w:val="00C12CD2"/>
    <w:rsid w:val="00C12E02"/>
    <w:rsid w:val="00C12EAD"/>
    <w:rsid w:val="00C12FD5"/>
    <w:rsid w:val="00C1309D"/>
    <w:rsid w:val="00C131BD"/>
    <w:rsid w:val="00C13228"/>
    <w:rsid w:val="00C132CC"/>
    <w:rsid w:val="00C135EF"/>
    <w:rsid w:val="00C1363A"/>
    <w:rsid w:val="00C1371C"/>
    <w:rsid w:val="00C137C0"/>
    <w:rsid w:val="00C13828"/>
    <w:rsid w:val="00C1385F"/>
    <w:rsid w:val="00C13AD9"/>
    <w:rsid w:val="00C13BAE"/>
    <w:rsid w:val="00C13C8B"/>
    <w:rsid w:val="00C13EF0"/>
    <w:rsid w:val="00C14277"/>
    <w:rsid w:val="00C14441"/>
    <w:rsid w:val="00C1472C"/>
    <w:rsid w:val="00C1481D"/>
    <w:rsid w:val="00C14A32"/>
    <w:rsid w:val="00C14C6C"/>
    <w:rsid w:val="00C1505A"/>
    <w:rsid w:val="00C1517E"/>
    <w:rsid w:val="00C151D1"/>
    <w:rsid w:val="00C15207"/>
    <w:rsid w:val="00C154B4"/>
    <w:rsid w:val="00C154BE"/>
    <w:rsid w:val="00C1578C"/>
    <w:rsid w:val="00C15879"/>
    <w:rsid w:val="00C159BB"/>
    <w:rsid w:val="00C15A41"/>
    <w:rsid w:val="00C15B3E"/>
    <w:rsid w:val="00C15C02"/>
    <w:rsid w:val="00C15C28"/>
    <w:rsid w:val="00C15CD0"/>
    <w:rsid w:val="00C15DAB"/>
    <w:rsid w:val="00C15DD1"/>
    <w:rsid w:val="00C15F32"/>
    <w:rsid w:val="00C15F95"/>
    <w:rsid w:val="00C15FD8"/>
    <w:rsid w:val="00C15FF8"/>
    <w:rsid w:val="00C162C9"/>
    <w:rsid w:val="00C16731"/>
    <w:rsid w:val="00C16773"/>
    <w:rsid w:val="00C167C6"/>
    <w:rsid w:val="00C16824"/>
    <w:rsid w:val="00C1699C"/>
    <w:rsid w:val="00C16ABC"/>
    <w:rsid w:val="00C16AD7"/>
    <w:rsid w:val="00C16B9C"/>
    <w:rsid w:val="00C16C1D"/>
    <w:rsid w:val="00C16C40"/>
    <w:rsid w:val="00C16D1F"/>
    <w:rsid w:val="00C16D2A"/>
    <w:rsid w:val="00C16EB9"/>
    <w:rsid w:val="00C1723F"/>
    <w:rsid w:val="00C17400"/>
    <w:rsid w:val="00C1772F"/>
    <w:rsid w:val="00C17931"/>
    <w:rsid w:val="00C17B5C"/>
    <w:rsid w:val="00C17CE6"/>
    <w:rsid w:val="00C17DE4"/>
    <w:rsid w:val="00C17FE4"/>
    <w:rsid w:val="00C2008C"/>
    <w:rsid w:val="00C20094"/>
    <w:rsid w:val="00C20416"/>
    <w:rsid w:val="00C20515"/>
    <w:rsid w:val="00C2066E"/>
    <w:rsid w:val="00C20672"/>
    <w:rsid w:val="00C206CC"/>
    <w:rsid w:val="00C20A2F"/>
    <w:rsid w:val="00C20A79"/>
    <w:rsid w:val="00C20AA6"/>
    <w:rsid w:val="00C20B9F"/>
    <w:rsid w:val="00C20CA1"/>
    <w:rsid w:val="00C20E3A"/>
    <w:rsid w:val="00C20FE2"/>
    <w:rsid w:val="00C21026"/>
    <w:rsid w:val="00C21141"/>
    <w:rsid w:val="00C2115E"/>
    <w:rsid w:val="00C211AC"/>
    <w:rsid w:val="00C21244"/>
    <w:rsid w:val="00C212AD"/>
    <w:rsid w:val="00C21435"/>
    <w:rsid w:val="00C21634"/>
    <w:rsid w:val="00C21641"/>
    <w:rsid w:val="00C2165C"/>
    <w:rsid w:val="00C218B0"/>
    <w:rsid w:val="00C218B1"/>
    <w:rsid w:val="00C21C80"/>
    <w:rsid w:val="00C21D2D"/>
    <w:rsid w:val="00C21F39"/>
    <w:rsid w:val="00C21FA3"/>
    <w:rsid w:val="00C21FFF"/>
    <w:rsid w:val="00C2203D"/>
    <w:rsid w:val="00C2215E"/>
    <w:rsid w:val="00C221BD"/>
    <w:rsid w:val="00C22217"/>
    <w:rsid w:val="00C223FB"/>
    <w:rsid w:val="00C224C8"/>
    <w:rsid w:val="00C22634"/>
    <w:rsid w:val="00C22646"/>
    <w:rsid w:val="00C22713"/>
    <w:rsid w:val="00C227DC"/>
    <w:rsid w:val="00C22C2B"/>
    <w:rsid w:val="00C22E14"/>
    <w:rsid w:val="00C22E4F"/>
    <w:rsid w:val="00C22E59"/>
    <w:rsid w:val="00C22F3B"/>
    <w:rsid w:val="00C22F9D"/>
    <w:rsid w:val="00C23269"/>
    <w:rsid w:val="00C23371"/>
    <w:rsid w:val="00C2337B"/>
    <w:rsid w:val="00C238AB"/>
    <w:rsid w:val="00C238AE"/>
    <w:rsid w:val="00C238D6"/>
    <w:rsid w:val="00C2395D"/>
    <w:rsid w:val="00C23ACA"/>
    <w:rsid w:val="00C23B39"/>
    <w:rsid w:val="00C23B70"/>
    <w:rsid w:val="00C23E25"/>
    <w:rsid w:val="00C23E47"/>
    <w:rsid w:val="00C23F5A"/>
    <w:rsid w:val="00C24101"/>
    <w:rsid w:val="00C24436"/>
    <w:rsid w:val="00C24A87"/>
    <w:rsid w:val="00C24B43"/>
    <w:rsid w:val="00C24E0A"/>
    <w:rsid w:val="00C24E24"/>
    <w:rsid w:val="00C24E45"/>
    <w:rsid w:val="00C24F1B"/>
    <w:rsid w:val="00C24F2C"/>
    <w:rsid w:val="00C24F77"/>
    <w:rsid w:val="00C25021"/>
    <w:rsid w:val="00C25045"/>
    <w:rsid w:val="00C25107"/>
    <w:rsid w:val="00C2519E"/>
    <w:rsid w:val="00C25207"/>
    <w:rsid w:val="00C25451"/>
    <w:rsid w:val="00C25563"/>
    <w:rsid w:val="00C255D1"/>
    <w:rsid w:val="00C2562F"/>
    <w:rsid w:val="00C25734"/>
    <w:rsid w:val="00C25744"/>
    <w:rsid w:val="00C25896"/>
    <w:rsid w:val="00C25E5A"/>
    <w:rsid w:val="00C25E9A"/>
    <w:rsid w:val="00C260F3"/>
    <w:rsid w:val="00C2617C"/>
    <w:rsid w:val="00C261FF"/>
    <w:rsid w:val="00C262CC"/>
    <w:rsid w:val="00C2635C"/>
    <w:rsid w:val="00C263BC"/>
    <w:rsid w:val="00C2657D"/>
    <w:rsid w:val="00C268C5"/>
    <w:rsid w:val="00C26B8B"/>
    <w:rsid w:val="00C26C79"/>
    <w:rsid w:val="00C26D2A"/>
    <w:rsid w:val="00C26DE0"/>
    <w:rsid w:val="00C26F82"/>
    <w:rsid w:val="00C26FDF"/>
    <w:rsid w:val="00C2710E"/>
    <w:rsid w:val="00C27331"/>
    <w:rsid w:val="00C27434"/>
    <w:rsid w:val="00C2754A"/>
    <w:rsid w:val="00C27776"/>
    <w:rsid w:val="00C27800"/>
    <w:rsid w:val="00C2781E"/>
    <w:rsid w:val="00C27956"/>
    <w:rsid w:val="00C279D3"/>
    <w:rsid w:val="00C27A8F"/>
    <w:rsid w:val="00C27DE3"/>
    <w:rsid w:val="00C27F22"/>
    <w:rsid w:val="00C27FE9"/>
    <w:rsid w:val="00C30039"/>
    <w:rsid w:val="00C30061"/>
    <w:rsid w:val="00C300F2"/>
    <w:rsid w:val="00C30250"/>
    <w:rsid w:val="00C3033F"/>
    <w:rsid w:val="00C3034D"/>
    <w:rsid w:val="00C303D8"/>
    <w:rsid w:val="00C30446"/>
    <w:rsid w:val="00C3047A"/>
    <w:rsid w:val="00C30578"/>
    <w:rsid w:val="00C3057D"/>
    <w:rsid w:val="00C305B4"/>
    <w:rsid w:val="00C306A7"/>
    <w:rsid w:val="00C309B4"/>
    <w:rsid w:val="00C30AFF"/>
    <w:rsid w:val="00C30B75"/>
    <w:rsid w:val="00C30D18"/>
    <w:rsid w:val="00C30F05"/>
    <w:rsid w:val="00C30F21"/>
    <w:rsid w:val="00C31270"/>
    <w:rsid w:val="00C3136B"/>
    <w:rsid w:val="00C3145E"/>
    <w:rsid w:val="00C3155D"/>
    <w:rsid w:val="00C315C6"/>
    <w:rsid w:val="00C31692"/>
    <w:rsid w:val="00C31740"/>
    <w:rsid w:val="00C31DBE"/>
    <w:rsid w:val="00C31ED9"/>
    <w:rsid w:val="00C321CA"/>
    <w:rsid w:val="00C32540"/>
    <w:rsid w:val="00C327ED"/>
    <w:rsid w:val="00C328EF"/>
    <w:rsid w:val="00C32A28"/>
    <w:rsid w:val="00C32BE3"/>
    <w:rsid w:val="00C32BEB"/>
    <w:rsid w:val="00C32E95"/>
    <w:rsid w:val="00C32EEB"/>
    <w:rsid w:val="00C32EFB"/>
    <w:rsid w:val="00C330CD"/>
    <w:rsid w:val="00C3332E"/>
    <w:rsid w:val="00C33581"/>
    <w:rsid w:val="00C3359B"/>
    <w:rsid w:val="00C3359D"/>
    <w:rsid w:val="00C33886"/>
    <w:rsid w:val="00C3388C"/>
    <w:rsid w:val="00C3399C"/>
    <w:rsid w:val="00C33C55"/>
    <w:rsid w:val="00C33C5A"/>
    <w:rsid w:val="00C342C4"/>
    <w:rsid w:val="00C34595"/>
    <w:rsid w:val="00C345F2"/>
    <w:rsid w:val="00C34961"/>
    <w:rsid w:val="00C349A1"/>
    <w:rsid w:val="00C349FC"/>
    <w:rsid w:val="00C34A39"/>
    <w:rsid w:val="00C35046"/>
    <w:rsid w:val="00C35049"/>
    <w:rsid w:val="00C350E6"/>
    <w:rsid w:val="00C3526C"/>
    <w:rsid w:val="00C3552A"/>
    <w:rsid w:val="00C358DB"/>
    <w:rsid w:val="00C35A16"/>
    <w:rsid w:val="00C35A88"/>
    <w:rsid w:val="00C35C05"/>
    <w:rsid w:val="00C35C94"/>
    <w:rsid w:val="00C35D94"/>
    <w:rsid w:val="00C3600E"/>
    <w:rsid w:val="00C36022"/>
    <w:rsid w:val="00C36208"/>
    <w:rsid w:val="00C36246"/>
    <w:rsid w:val="00C36340"/>
    <w:rsid w:val="00C363F0"/>
    <w:rsid w:val="00C3693E"/>
    <w:rsid w:val="00C369B8"/>
    <w:rsid w:val="00C369D4"/>
    <w:rsid w:val="00C36A3E"/>
    <w:rsid w:val="00C36AE6"/>
    <w:rsid w:val="00C36AEF"/>
    <w:rsid w:val="00C36ED0"/>
    <w:rsid w:val="00C37577"/>
    <w:rsid w:val="00C376DD"/>
    <w:rsid w:val="00C37785"/>
    <w:rsid w:val="00C377C7"/>
    <w:rsid w:val="00C3796F"/>
    <w:rsid w:val="00C3799C"/>
    <w:rsid w:val="00C379E7"/>
    <w:rsid w:val="00C37D68"/>
    <w:rsid w:val="00C37DDD"/>
    <w:rsid w:val="00C37DFC"/>
    <w:rsid w:val="00C37ECB"/>
    <w:rsid w:val="00C400B4"/>
    <w:rsid w:val="00C400D3"/>
    <w:rsid w:val="00C401E7"/>
    <w:rsid w:val="00C40234"/>
    <w:rsid w:val="00C40466"/>
    <w:rsid w:val="00C4074B"/>
    <w:rsid w:val="00C4082C"/>
    <w:rsid w:val="00C40870"/>
    <w:rsid w:val="00C40A82"/>
    <w:rsid w:val="00C40BAA"/>
    <w:rsid w:val="00C40CBB"/>
    <w:rsid w:val="00C40E85"/>
    <w:rsid w:val="00C40F11"/>
    <w:rsid w:val="00C40F8D"/>
    <w:rsid w:val="00C410A2"/>
    <w:rsid w:val="00C4118F"/>
    <w:rsid w:val="00C41215"/>
    <w:rsid w:val="00C4154C"/>
    <w:rsid w:val="00C41584"/>
    <w:rsid w:val="00C4159C"/>
    <w:rsid w:val="00C4159D"/>
    <w:rsid w:val="00C41800"/>
    <w:rsid w:val="00C41810"/>
    <w:rsid w:val="00C41CC7"/>
    <w:rsid w:val="00C41E63"/>
    <w:rsid w:val="00C41ED5"/>
    <w:rsid w:val="00C41FAF"/>
    <w:rsid w:val="00C42055"/>
    <w:rsid w:val="00C4215F"/>
    <w:rsid w:val="00C42329"/>
    <w:rsid w:val="00C4241B"/>
    <w:rsid w:val="00C42549"/>
    <w:rsid w:val="00C42A3F"/>
    <w:rsid w:val="00C42AAB"/>
    <w:rsid w:val="00C42D84"/>
    <w:rsid w:val="00C42F90"/>
    <w:rsid w:val="00C43784"/>
    <w:rsid w:val="00C43A0C"/>
    <w:rsid w:val="00C43B05"/>
    <w:rsid w:val="00C43B9C"/>
    <w:rsid w:val="00C43BDE"/>
    <w:rsid w:val="00C43D10"/>
    <w:rsid w:val="00C43D3E"/>
    <w:rsid w:val="00C43DC0"/>
    <w:rsid w:val="00C43DDF"/>
    <w:rsid w:val="00C44154"/>
    <w:rsid w:val="00C44581"/>
    <w:rsid w:val="00C44652"/>
    <w:rsid w:val="00C44693"/>
    <w:rsid w:val="00C447F5"/>
    <w:rsid w:val="00C44875"/>
    <w:rsid w:val="00C44876"/>
    <w:rsid w:val="00C44928"/>
    <w:rsid w:val="00C44E2C"/>
    <w:rsid w:val="00C44E6D"/>
    <w:rsid w:val="00C44E85"/>
    <w:rsid w:val="00C44F18"/>
    <w:rsid w:val="00C44FD0"/>
    <w:rsid w:val="00C4506D"/>
    <w:rsid w:val="00C450BC"/>
    <w:rsid w:val="00C45336"/>
    <w:rsid w:val="00C45464"/>
    <w:rsid w:val="00C454B4"/>
    <w:rsid w:val="00C454D1"/>
    <w:rsid w:val="00C457EA"/>
    <w:rsid w:val="00C45830"/>
    <w:rsid w:val="00C45846"/>
    <w:rsid w:val="00C458AF"/>
    <w:rsid w:val="00C45D63"/>
    <w:rsid w:val="00C45F0D"/>
    <w:rsid w:val="00C45FBB"/>
    <w:rsid w:val="00C46069"/>
    <w:rsid w:val="00C460A3"/>
    <w:rsid w:val="00C460E0"/>
    <w:rsid w:val="00C46198"/>
    <w:rsid w:val="00C4629E"/>
    <w:rsid w:val="00C462A4"/>
    <w:rsid w:val="00C465AD"/>
    <w:rsid w:val="00C4667A"/>
    <w:rsid w:val="00C468A7"/>
    <w:rsid w:val="00C469AD"/>
    <w:rsid w:val="00C469CA"/>
    <w:rsid w:val="00C46A0C"/>
    <w:rsid w:val="00C46C28"/>
    <w:rsid w:val="00C46CAF"/>
    <w:rsid w:val="00C46CFE"/>
    <w:rsid w:val="00C47116"/>
    <w:rsid w:val="00C47189"/>
    <w:rsid w:val="00C47190"/>
    <w:rsid w:val="00C4722B"/>
    <w:rsid w:val="00C47334"/>
    <w:rsid w:val="00C47364"/>
    <w:rsid w:val="00C47437"/>
    <w:rsid w:val="00C47476"/>
    <w:rsid w:val="00C47582"/>
    <w:rsid w:val="00C476E3"/>
    <w:rsid w:val="00C478F2"/>
    <w:rsid w:val="00C47B9B"/>
    <w:rsid w:val="00C47E69"/>
    <w:rsid w:val="00C50103"/>
    <w:rsid w:val="00C50178"/>
    <w:rsid w:val="00C50238"/>
    <w:rsid w:val="00C50298"/>
    <w:rsid w:val="00C50302"/>
    <w:rsid w:val="00C50735"/>
    <w:rsid w:val="00C50757"/>
    <w:rsid w:val="00C50795"/>
    <w:rsid w:val="00C5080D"/>
    <w:rsid w:val="00C508FF"/>
    <w:rsid w:val="00C50A06"/>
    <w:rsid w:val="00C50A89"/>
    <w:rsid w:val="00C50C90"/>
    <w:rsid w:val="00C50D21"/>
    <w:rsid w:val="00C50D89"/>
    <w:rsid w:val="00C50DA9"/>
    <w:rsid w:val="00C5109B"/>
    <w:rsid w:val="00C510EB"/>
    <w:rsid w:val="00C5145E"/>
    <w:rsid w:val="00C514D1"/>
    <w:rsid w:val="00C514DA"/>
    <w:rsid w:val="00C514F2"/>
    <w:rsid w:val="00C5156D"/>
    <w:rsid w:val="00C515B5"/>
    <w:rsid w:val="00C515BC"/>
    <w:rsid w:val="00C51622"/>
    <w:rsid w:val="00C517BC"/>
    <w:rsid w:val="00C5184B"/>
    <w:rsid w:val="00C51999"/>
    <w:rsid w:val="00C51B21"/>
    <w:rsid w:val="00C51D2D"/>
    <w:rsid w:val="00C51E84"/>
    <w:rsid w:val="00C51ED8"/>
    <w:rsid w:val="00C51FA5"/>
    <w:rsid w:val="00C52100"/>
    <w:rsid w:val="00C5216F"/>
    <w:rsid w:val="00C5221F"/>
    <w:rsid w:val="00C523E2"/>
    <w:rsid w:val="00C52416"/>
    <w:rsid w:val="00C524A9"/>
    <w:rsid w:val="00C524DF"/>
    <w:rsid w:val="00C52558"/>
    <w:rsid w:val="00C5257C"/>
    <w:rsid w:val="00C5264E"/>
    <w:rsid w:val="00C52687"/>
    <w:rsid w:val="00C526A9"/>
    <w:rsid w:val="00C5297F"/>
    <w:rsid w:val="00C52AE1"/>
    <w:rsid w:val="00C52B64"/>
    <w:rsid w:val="00C52C64"/>
    <w:rsid w:val="00C52E17"/>
    <w:rsid w:val="00C52FA5"/>
    <w:rsid w:val="00C52FBD"/>
    <w:rsid w:val="00C53000"/>
    <w:rsid w:val="00C53223"/>
    <w:rsid w:val="00C537CF"/>
    <w:rsid w:val="00C537F5"/>
    <w:rsid w:val="00C5394E"/>
    <w:rsid w:val="00C53972"/>
    <w:rsid w:val="00C539D6"/>
    <w:rsid w:val="00C53A8F"/>
    <w:rsid w:val="00C53B24"/>
    <w:rsid w:val="00C53C0C"/>
    <w:rsid w:val="00C53C60"/>
    <w:rsid w:val="00C53CAD"/>
    <w:rsid w:val="00C53CDC"/>
    <w:rsid w:val="00C53D55"/>
    <w:rsid w:val="00C53D68"/>
    <w:rsid w:val="00C53DAD"/>
    <w:rsid w:val="00C54224"/>
    <w:rsid w:val="00C542BA"/>
    <w:rsid w:val="00C54524"/>
    <w:rsid w:val="00C54619"/>
    <w:rsid w:val="00C5465B"/>
    <w:rsid w:val="00C5490B"/>
    <w:rsid w:val="00C54A24"/>
    <w:rsid w:val="00C54A74"/>
    <w:rsid w:val="00C54B37"/>
    <w:rsid w:val="00C54D57"/>
    <w:rsid w:val="00C54F9C"/>
    <w:rsid w:val="00C552B8"/>
    <w:rsid w:val="00C5538C"/>
    <w:rsid w:val="00C5552B"/>
    <w:rsid w:val="00C5553C"/>
    <w:rsid w:val="00C55635"/>
    <w:rsid w:val="00C5565D"/>
    <w:rsid w:val="00C556C2"/>
    <w:rsid w:val="00C55749"/>
    <w:rsid w:val="00C5592A"/>
    <w:rsid w:val="00C55ABA"/>
    <w:rsid w:val="00C55C27"/>
    <w:rsid w:val="00C55C84"/>
    <w:rsid w:val="00C55DA3"/>
    <w:rsid w:val="00C55E87"/>
    <w:rsid w:val="00C55EFC"/>
    <w:rsid w:val="00C55F95"/>
    <w:rsid w:val="00C560FA"/>
    <w:rsid w:val="00C560FD"/>
    <w:rsid w:val="00C56186"/>
    <w:rsid w:val="00C561DE"/>
    <w:rsid w:val="00C5627E"/>
    <w:rsid w:val="00C5659F"/>
    <w:rsid w:val="00C5661C"/>
    <w:rsid w:val="00C56644"/>
    <w:rsid w:val="00C56695"/>
    <w:rsid w:val="00C567ED"/>
    <w:rsid w:val="00C5681C"/>
    <w:rsid w:val="00C56A08"/>
    <w:rsid w:val="00C56A1E"/>
    <w:rsid w:val="00C56A23"/>
    <w:rsid w:val="00C56D3E"/>
    <w:rsid w:val="00C56D9C"/>
    <w:rsid w:val="00C56F7D"/>
    <w:rsid w:val="00C5708C"/>
    <w:rsid w:val="00C570CE"/>
    <w:rsid w:val="00C57734"/>
    <w:rsid w:val="00C57D13"/>
    <w:rsid w:val="00C57F45"/>
    <w:rsid w:val="00C6027E"/>
    <w:rsid w:val="00C602C2"/>
    <w:rsid w:val="00C60407"/>
    <w:rsid w:val="00C6041B"/>
    <w:rsid w:val="00C604E9"/>
    <w:rsid w:val="00C60766"/>
    <w:rsid w:val="00C608C3"/>
    <w:rsid w:val="00C609F4"/>
    <w:rsid w:val="00C60AC0"/>
    <w:rsid w:val="00C60F9F"/>
    <w:rsid w:val="00C60FE1"/>
    <w:rsid w:val="00C61122"/>
    <w:rsid w:val="00C6133C"/>
    <w:rsid w:val="00C6149F"/>
    <w:rsid w:val="00C61743"/>
    <w:rsid w:val="00C61786"/>
    <w:rsid w:val="00C6179D"/>
    <w:rsid w:val="00C6197F"/>
    <w:rsid w:val="00C61AC8"/>
    <w:rsid w:val="00C61B5E"/>
    <w:rsid w:val="00C61B69"/>
    <w:rsid w:val="00C61B9B"/>
    <w:rsid w:val="00C61FCF"/>
    <w:rsid w:val="00C6205B"/>
    <w:rsid w:val="00C6263E"/>
    <w:rsid w:val="00C62744"/>
    <w:rsid w:val="00C627B7"/>
    <w:rsid w:val="00C62883"/>
    <w:rsid w:val="00C62D7A"/>
    <w:rsid w:val="00C62DA1"/>
    <w:rsid w:val="00C62F2F"/>
    <w:rsid w:val="00C63144"/>
    <w:rsid w:val="00C63612"/>
    <w:rsid w:val="00C63959"/>
    <w:rsid w:val="00C63A7B"/>
    <w:rsid w:val="00C63C18"/>
    <w:rsid w:val="00C63C4E"/>
    <w:rsid w:val="00C63C9D"/>
    <w:rsid w:val="00C63E43"/>
    <w:rsid w:val="00C63EFA"/>
    <w:rsid w:val="00C63FD3"/>
    <w:rsid w:val="00C64138"/>
    <w:rsid w:val="00C6427C"/>
    <w:rsid w:val="00C643AF"/>
    <w:rsid w:val="00C644C8"/>
    <w:rsid w:val="00C6479E"/>
    <w:rsid w:val="00C6491D"/>
    <w:rsid w:val="00C64A0B"/>
    <w:rsid w:val="00C64B86"/>
    <w:rsid w:val="00C64C05"/>
    <w:rsid w:val="00C64C69"/>
    <w:rsid w:val="00C64D83"/>
    <w:rsid w:val="00C65146"/>
    <w:rsid w:val="00C653F3"/>
    <w:rsid w:val="00C65545"/>
    <w:rsid w:val="00C655F4"/>
    <w:rsid w:val="00C65603"/>
    <w:rsid w:val="00C656C3"/>
    <w:rsid w:val="00C657FB"/>
    <w:rsid w:val="00C65977"/>
    <w:rsid w:val="00C659A9"/>
    <w:rsid w:val="00C65B46"/>
    <w:rsid w:val="00C65CA8"/>
    <w:rsid w:val="00C65DFB"/>
    <w:rsid w:val="00C65F16"/>
    <w:rsid w:val="00C65F48"/>
    <w:rsid w:val="00C65F99"/>
    <w:rsid w:val="00C661C8"/>
    <w:rsid w:val="00C66210"/>
    <w:rsid w:val="00C66270"/>
    <w:rsid w:val="00C66563"/>
    <w:rsid w:val="00C66876"/>
    <w:rsid w:val="00C66891"/>
    <w:rsid w:val="00C66B8E"/>
    <w:rsid w:val="00C66BE7"/>
    <w:rsid w:val="00C66C80"/>
    <w:rsid w:val="00C66C85"/>
    <w:rsid w:val="00C66DAA"/>
    <w:rsid w:val="00C671F0"/>
    <w:rsid w:val="00C6722E"/>
    <w:rsid w:val="00C67248"/>
    <w:rsid w:val="00C673A0"/>
    <w:rsid w:val="00C67507"/>
    <w:rsid w:val="00C675C0"/>
    <w:rsid w:val="00C67A8B"/>
    <w:rsid w:val="00C67C2D"/>
    <w:rsid w:val="00C67D69"/>
    <w:rsid w:val="00C67E23"/>
    <w:rsid w:val="00C67EA5"/>
    <w:rsid w:val="00C67EF1"/>
    <w:rsid w:val="00C70004"/>
    <w:rsid w:val="00C70122"/>
    <w:rsid w:val="00C70141"/>
    <w:rsid w:val="00C7015C"/>
    <w:rsid w:val="00C7043D"/>
    <w:rsid w:val="00C705FD"/>
    <w:rsid w:val="00C7060E"/>
    <w:rsid w:val="00C70648"/>
    <w:rsid w:val="00C70795"/>
    <w:rsid w:val="00C709F7"/>
    <w:rsid w:val="00C70B65"/>
    <w:rsid w:val="00C70BA9"/>
    <w:rsid w:val="00C70DF5"/>
    <w:rsid w:val="00C71174"/>
    <w:rsid w:val="00C7139E"/>
    <w:rsid w:val="00C714DF"/>
    <w:rsid w:val="00C714E1"/>
    <w:rsid w:val="00C715CC"/>
    <w:rsid w:val="00C71691"/>
    <w:rsid w:val="00C716E6"/>
    <w:rsid w:val="00C71701"/>
    <w:rsid w:val="00C7187A"/>
    <w:rsid w:val="00C71A00"/>
    <w:rsid w:val="00C71AFF"/>
    <w:rsid w:val="00C71BC6"/>
    <w:rsid w:val="00C71CDA"/>
    <w:rsid w:val="00C71D89"/>
    <w:rsid w:val="00C71F77"/>
    <w:rsid w:val="00C72099"/>
    <w:rsid w:val="00C721F4"/>
    <w:rsid w:val="00C724DC"/>
    <w:rsid w:val="00C72539"/>
    <w:rsid w:val="00C72668"/>
    <w:rsid w:val="00C72691"/>
    <w:rsid w:val="00C726F2"/>
    <w:rsid w:val="00C727EF"/>
    <w:rsid w:val="00C72844"/>
    <w:rsid w:val="00C72927"/>
    <w:rsid w:val="00C72972"/>
    <w:rsid w:val="00C72BE7"/>
    <w:rsid w:val="00C72CB0"/>
    <w:rsid w:val="00C72DBF"/>
    <w:rsid w:val="00C72F90"/>
    <w:rsid w:val="00C731B6"/>
    <w:rsid w:val="00C735BA"/>
    <w:rsid w:val="00C73605"/>
    <w:rsid w:val="00C7389F"/>
    <w:rsid w:val="00C73927"/>
    <w:rsid w:val="00C73C44"/>
    <w:rsid w:val="00C73F4B"/>
    <w:rsid w:val="00C73FBB"/>
    <w:rsid w:val="00C7402F"/>
    <w:rsid w:val="00C74152"/>
    <w:rsid w:val="00C741E6"/>
    <w:rsid w:val="00C7424D"/>
    <w:rsid w:val="00C7437E"/>
    <w:rsid w:val="00C74638"/>
    <w:rsid w:val="00C7463A"/>
    <w:rsid w:val="00C747C8"/>
    <w:rsid w:val="00C747D9"/>
    <w:rsid w:val="00C7480D"/>
    <w:rsid w:val="00C74914"/>
    <w:rsid w:val="00C7494A"/>
    <w:rsid w:val="00C74B45"/>
    <w:rsid w:val="00C74CF1"/>
    <w:rsid w:val="00C74FC9"/>
    <w:rsid w:val="00C75293"/>
    <w:rsid w:val="00C75385"/>
    <w:rsid w:val="00C754E6"/>
    <w:rsid w:val="00C75615"/>
    <w:rsid w:val="00C75704"/>
    <w:rsid w:val="00C75764"/>
    <w:rsid w:val="00C757A3"/>
    <w:rsid w:val="00C7581A"/>
    <w:rsid w:val="00C759D1"/>
    <w:rsid w:val="00C75AD4"/>
    <w:rsid w:val="00C75B6E"/>
    <w:rsid w:val="00C75C23"/>
    <w:rsid w:val="00C75D59"/>
    <w:rsid w:val="00C75E57"/>
    <w:rsid w:val="00C75EC3"/>
    <w:rsid w:val="00C76295"/>
    <w:rsid w:val="00C763D1"/>
    <w:rsid w:val="00C76921"/>
    <w:rsid w:val="00C76B6A"/>
    <w:rsid w:val="00C76C8F"/>
    <w:rsid w:val="00C76CA7"/>
    <w:rsid w:val="00C76F4E"/>
    <w:rsid w:val="00C77030"/>
    <w:rsid w:val="00C770A4"/>
    <w:rsid w:val="00C77701"/>
    <w:rsid w:val="00C778D8"/>
    <w:rsid w:val="00C77AC0"/>
    <w:rsid w:val="00C77B2E"/>
    <w:rsid w:val="00C77D53"/>
    <w:rsid w:val="00C77DB5"/>
    <w:rsid w:val="00C77E32"/>
    <w:rsid w:val="00C800BE"/>
    <w:rsid w:val="00C80249"/>
    <w:rsid w:val="00C802B3"/>
    <w:rsid w:val="00C8035B"/>
    <w:rsid w:val="00C80393"/>
    <w:rsid w:val="00C80527"/>
    <w:rsid w:val="00C8056C"/>
    <w:rsid w:val="00C8065A"/>
    <w:rsid w:val="00C80ED9"/>
    <w:rsid w:val="00C80F22"/>
    <w:rsid w:val="00C8100F"/>
    <w:rsid w:val="00C81201"/>
    <w:rsid w:val="00C81249"/>
    <w:rsid w:val="00C81271"/>
    <w:rsid w:val="00C813C0"/>
    <w:rsid w:val="00C81472"/>
    <w:rsid w:val="00C816A0"/>
    <w:rsid w:val="00C81A06"/>
    <w:rsid w:val="00C81A81"/>
    <w:rsid w:val="00C81AC6"/>
    <w:rsid w:val="00C81EF7"/>
    <w:rsid w:val="00C81F56"/>
    <w:rsid w:val="00C81FCB"/>
    <w:rsid w:val="00C82295"/>
    <w:rsid w:val="00C822D0"/>
    <w:rsid w:val="00C822FC"/>
    <w:rsid w:val="00C82308"/>
    <w:rsid w:val="00C8258E"/>
    <w:rsid w:val="00C827DE"/>
    <w:rsid w:val="00C82C70"/>
    <w:rsid w:val="00C82CC0"/>
    <w:rsid w:val="00C82D61"/>
    <w:rsid w:val="00C82DF3"/>
    <w:rsid w:val="00C82E04"/>
    <w:rsid w:val="00C82EBD"/>
    <w:rsid w:val="00C830EC"/>
    <w:rsid w:val="00C83154"/>
    <w:rsid w:val="00C83415"/>
    <w:rsid w:val="00C83444"/>
    <w:rsid w:val="00C83777"/>
    <w:rsid w:val="00C838D6"/>
    <w:rsid w:val="00C8391B"/>
    <w:rsid w:val="00C839A9"/>
    <w:rsid w:val="00C83B2A"/>
    <w:rsid w:val="00C83B32"/>
    <w:rsid w:val="00C83B6D"/>
    <w:rsid w:val="00C83C8C"/>
    <w:rsid w:val="00C83DD7"/>
    <w:rsid w:val="00C83DDD"/>
    <w:rsid w:val="00C83FB7"/>
    <w:rsid w:val="00C84164"/>
    <w:rsid w:val="00C841F5"/>
    <w:rsid w:val="00C84897"/>
    <w:rsid w:val="00C848EC"/>
    <w:rsid w:val="00C849FD"/>
    <w:rsid w:val="00C84A65"/>
    <w:rsid w:val="00C84A75"/>
    <w:rsid w:val="00C84E70"/>
    <w:rsid w:val="00C84FCC"/>
    <w:rsid w:val="00C85065"/>
    <w:rsid w:val="00C85088"/>
    <w:rsid w:val="00C851EB"/>
    <w:rsid w:val="00C851F0"/>
    <w:rsid w:val="00C852BC"/>
    <w:rsid w:val="00C85503"/>
    <w:rsid w:val="00C855B8"/>
    <w:rsid w:val="00C85634"/>
    <w:rsid w:val="00C857FB"/>
    <w:rsid w:val="00C8586D"/>
    <w:rsid w:val="00C85A03"/>
    <w:rsid w:val="00C85A89"/>
    <w:rsid w:val="00C85BF5"/>
    <w:rsid w:val="00C85C0C"/>
    <w:rsid w:val="00C85DA4"/>
    <w:rsid w:val="00C85DFD"/>
    <w:rsid w:val="00C85EF5"/>
    <w:rsid w:val="00C86099"/>
    <w:rsid w:val="00C86247"/>
    <w:rsid w:val="00C8628A"/>
    <w:rsid w:val="00C8649C"/>
    <w:rsid w:val="00C86662"/>
    <w:rsid w:val="00C86BA4"/>
    <w:rsid w:val="00C86BDF"/>
    <w:rsid w:val="00C86BFE"/>
    <w:rsid w:val="00C86C74"/>
    <w:rsid w:val="00C86D35"/>
    <w:rsid w:val="00C86EC1"/>
    <w:rsid w:val="00C86EDF"/>
    <w:rsid w:val="00C86F57"/>
    <w:rsid w:val="00C86F6A"/>
    <w:rsid w:val="00C86F6D"/>
    <w:rsid w:val="00C87065"/>
    <w:rsid w:val="00C870C6"/>
    <w:rsid w:val="00C870E8"/>
    <w:rsid w:val="00C871B2"/>
    <w:rsid w:val="00C8725F"/>
    <w:rsid w:val="00C8727F"/>
    <w:rsid w:val="00C872FC"/>
    <w:rsid w:val="00C87343"/>
    <w:rsid w:val="00C87544"/>
    <w:rsid w:val="00C87649"/>
    <w:rsid w:val="00C87740"/>
    <w:rsid w:val="00C87858"/>
    <w:rsid w:val="00C878C6"/>
    <w:rsid w:val="00C8794E"/>
    <w:rsid w:val="00C87990"/>
    <w:rsid w:val="00C87991"/>
    <w:rsid w:val="00C87997"/>
    <w:rsid w:val="00C87BDB"/>
    <w:rsid w:val="00C87C45"/>
    <w:rsid w:val="00C87DA8"/>
    <w:rsid w:val="00C87E39"/>
    <w:rsid w:val="00C90131"/>
    <w:rsid w:val="00C901BC"/>
    <w:rsid w:val="00C9038D"/>
    <w:rsid w:val="00C9040C"/>
    <w:rsid w:val="00C9050C"/>
    <w:rsid w:val="00C90620"/>
    <w:rsid w:val="00C90738"/>
    <w:rsid w:val="00C9080A"/>
    <w:rsid w:val="00C90990"/>
    <w:rsid w:val="00C909CB"/>
    <w:rsid w:val="00C90B2F"/>
    <w:rsid w:val="00C90BEA"/>
    <w:rsid w:val="00C90CD2"/>
    <w:rsid w:val="00C90D3E"/>
    <w:rsid w:val="00C90EFA"/>
    <w:rsid w:val="00C91625"/>
    <w:rsid w:val="00C91765"/>
    <w:rsid w:val="00C917EB"/>
    <w:rsid w:val="00C9194F"/>
    <w:rsid w:val="00C91962"/>
    <w:rsid w:val="00C91C80"/>
    <w:rsid w:val="00C91DA8"/>
    <w:rsid w:val="00C91DF6"/>
    <w:rsid w:val="00C91E3E"/>
    <w:rsid w:val="00C91F12"/>
    <w:rsid w:val="00C921D7"/>
    <w:rsid w:val="00C92381"/>
    <w:rsid w:val="00C92454"/>
    <w:rsid w:val="00C92615"/>
    <w:rsid w:val="00C92633"/>
    <w:rsid w:val="00C926F4"/>
    <w:rsid w:val="00C92731"/>
    <w:rsid w:val="00C9279C"/>
    <w:rsid w:val="00C92897"/>
    <w:rsid w:val="00C929EB"/>
    <w:rsid w:val="00C92A02"/>
    <w:rsid w:val="00C92CD0"/>
    <w:rsid w:val="00C92FBD"/>
    <w:rsid w:val="00C93029"/>
    <w:rsid w:val="00C93135"/>
    <w:rsid w:val="00C9338D"/>
    <w:rsid w:val="00C93890"/>
    <w:rsid w:val="00C93957"/>
    <w:rsid w:val="00C93991"/>
    <w:rsid w:val="00C93A77"/>
    <w:rsid w:val="00C93AEA"/>
    <w:rsid w:val="00C93AF7"/>
    <w:rsid w:val="00C93AF8"/>
    <w:rsid w:val="00C93B4A"/>
    <w:rsid w:val="00C93D15"/>
    <w:rsid w:val="00C93DB9"/>
    <w:rsid w:val="00C93ECC"/>
    <w:rsid w:val="00C93ED4"/>
    <w:rsid w:val="00C93F52"/>
    <w:rsid w:val="00C93FF5"/>
    <w:rsid w:val="00C94162"/>
    <w:rsid w:val="00C94459"/>
    <w:rsid w:val="00C9447A"/>
    <w:rsid w:val="00C9449A"/>
    <w:rsid w:val="00C9461B"/>
    <w:rsid w:val="00C94771"/>
    <w:rsid w:val="00C94845"/>
    <w:rsid w:val="00C94991"/>
    <w:rsid w:val="00C94AD7"/>
    <w:rsid w:val="00C94B78"/>
    <w:rsid w:val="00C94C09"/>
    <w:rsid w:val="00C94CED"/>
    <w:rsid w:val="00C94D51"/>
    <w:rsid w:val="00C950A1"/>
    <w:rsid w:val="00C9520B"/>
    <w:rsid w:val="00C95451"/>
    <w:rsid w:val="00C95499"/>
    <w:rsid w:val="00C955A4"/>
    <w:rsid w:val="00C9561F"/>
    <w:rsid w:val="00C95785"/>
    <w:rsid w:val="00C957A5"/>
    <w:rsid w:val="00C95860"/>
    <w:rsid w:val="00C95937"/>
    <w:rsid w:val="00C959E3"/>
    <w:rsid w:val="00C95B68"/>
    <w:rsid w:val="00C96100"/>
    <w:rsid w:val="00C961C0"/>
    <w:rsid w:val="00C962BD"/>
    <w:rsid w:val="00C962C2"/>
    <w:rsid w:val="00C96387"/>
    <w:rsid w:val="00C96389"/>
    <w:rsid w:val="00C96677"/>
    <w:rsid w:val="00C96875"/>
    <w:rsid w:val="00C969B3"/>
    <w:rsid w:val="00C96D85"/>
    <w:rsid w:val="00C96F20"/>
    <w:rsid w:val="00C96F89"/>
    <w:rsid w:val="00C971C3"/>
    <w:rsid w:val="00C9726F"/>
    <w:rsid w:val="00C97346"/>
    <w:rsid w:val="00C9736C"/>
    <w:rsid w:val="00C973D0"/>
    <w:rsid w:val="00C97506"/>
    <w:rsid w:val="00C975D4"/>
    <w:rsid w:val="00C97778"/>
    <w:rsid w:val="00C9790D"/>
    <w:rsid w:val="00C97AFF"/>
    <w:rsid w:val="00C97B0D"/>
    <w:rsid w:val="00C97BD6"/>
    <w:rsid w:val="00C97BFD"/>
    <w:rsid w:val="00C97CFA"/>
    <w:rsid w:val="00C97D94"/>
    <w:rsid w:val="00C97E6A"/>
    <w:rsid w:val="00C97EE2"/>
    <w:rsid w:val="00C97FD3"/>
    <w:rsid w:val="00CA01E5"/>
    <w:rsid w:val="00CA0304"/>
    <w:rsid w:val="00CA0427"/>
    <w:rsid w:val="00CA0543"/>
    <w:rsid w:val="00CA0732"/>
    <w:rsid w:val="00CA0AD4"/>
    <w:rsid w:val="00CA0B5A"/>
    <w:rsid w:val="00CA0C49"/>
    <w:rsid w:val="00CA0D45"/>
    <w:rsid w:val="00CA0DA3"/>
    <w:rsid w:val="00CA0EF6"/>
    <w:rsid w:val="00CA0F84"/>
    <w:rsid w:val="00CA1148"/>
    <w:rsid w:val="00CA1167"/>
    <w:rsid w:val="00CA12F5"/>
    <w:rsid w:val="00CA137F"/>
    <w:rsid w:val="00CA1527"/>
    <w:rsid w:val="00CA15BE"/>
    <w:rsid w:val="00CA1733"/>
    <w:rsid w:val="00CA1751"/>
    <w:rsid w:val="00CA1772"/>
    <w:rsid w:val="00CA1C17"/>
    <w:rsid w:val="00CA1DC4"/>
    <w:rsid w:val="00CA1DDB"/>
    <w:rsid w:val="00CA1E42"/>
    <w:rsid w:val="00CA1E56"/>
    <w:rsid w:val="00CA238E"/>
    <w:rsid w:val="00CA257F"/>
    <w:rsid w:val="00CA27F1"/>
    <w:rsid w:val="00CA28A6"/>
    <w:rsid w:val="00CA2A2C"/>
    <w:rsid w:val="00CA2B41"/>
    <w:rsid w:val="00CA2F2B"/>
    <w:rsid w:val="00CA2F71"/>
    <w:rsid w:val="00CA2FB1"/>
    <w:rsid w:val="00CA2FBE"/>
    <w:rsid w:val="00CA301E"/>
    <w:rsid w:val="00CA3150"/>
    <w:rsid w:val="00CA3323"/>
    <w:rsid w:val="00CA3440"/>
    <w:rsid w:val="00CA35B7"/>
    <w:rsid w:val="00CA36A2"/>
    <w:rsid w:val="00CA36DB"/>
    <w:rsid w:val="00CA394A"/>
    <w:rsid w:val="00CA3B4B"/>
    <w:rsid w:val="00CA3CC9"/>
    <w:rsid w:val="00CA3E22"/>
    <w:rsid w:val="00CA4013"/>
    <w:rsid w:val="00CA40D4"/>
    <w:rsid w:val="00CA40EB"/>
    <w:rsid w:val="00CA4169"/>
    <w:rsid w:val="00CA4222"/>
    <w:rsid w:val="00CA44D7"/>
    <w:rsid w:val="00CA4730"/>
    <w:rsid w:val="00CA4738"/>
    <w:rsid w:val="00CA49F3"/>
    <w:rsid w:val="00CA4C47"/>
    <w:rsid w:val="00CA4C76"/>
    <w:rsid w:val="00CA4F29"/>
    <w:rsid w:val="00CA4F37"/>
    <w:rsid w:val="00CA514F"/>
    <w:rsid w:val="00CA51F2"/>
    <w:rsid w:val="00CA5366"/>
    <w:rsid w:val="00CA53CD"/>
    <w:rsid w:val="00CA5434"/>
    <w:rsid w:val="00CA54AD"/>
    <w:rsid w:val="00CA54C0"/>
    <w:rsid w:val="00CA5552"/>
    <w:rsid w:val="00CA55FE"/>
    <w:rsid w:val="00CA5704"/>
    <w:rsid w:val="00CA580B"/>
    <w:rsid w:val="00CA583F"/>
    <w:rsid w:val="00CA5BF8"/>
    <w:rsid w:val="00CA5ED7"/>
    <w:rsid w:val="00CA5FF9"/>
    <w:rsid w:val="00CA6606"/>
    <w:rsid w:val="00CA6739"/>
    <w:rsid w:val="00CA6765"/>
    <w:rsid w:val="00CA68AF"/>
    <w:rsid w:val="00CA6995"/>
    <w:rsid w:val="00CA6A56"/>
    <w:rsid w:val="00CA6A77"/>
    <w:rsid w:val="00CA6CF2"/>
    <w:rsid w:val="00CA6F3D"/>
    <w:rsid w:val="00CA7097"/>
    <w:rsid w:val="00CA7123"/>
    <w:rsid w:val="00CA7348"/>
    <w:rsid w:val="00CA7531"/>
    <w:rsid w:val="00CA78DB"/>
    <w:rsid w:val="00CA79E3"/>
    <w:rsid w:val="00CA7B66"/>
    <w:rsid w:val="00CA7C89"/>
    <w:rsid w:val="00CA7CA1"/>
    <w:rsid w:val="00CB00B7"/>
    <w:rsid w:val="00CB0339"/>
    <w:rsid w:val="00CB03F8"/>
    <w:rsid w:val="00CB063F"/>
    <w:rsid w:val="00CB07D4"/>
    <w:rsid w:val="00CB08AF"/>
    <w:rsid w:val="00CB0958"/>
    <w:rsid w:val="00CB095E"/>
    <w:rsid w:val="00CB0AA1"/>
    <w:rsid w:val="00CB0C17"/>
    <w:rsid w:val="00CB0D4E"/>
    <w:rsid w:val="00CB0DC7"/>
    <w:rsid w:val="00CB0F6F"/>
    <w:rsid w:val="00CB10A2"/>
    <w:rsid w:val="00CB1391"/>
    <w:rsid w:val="00CB1461"/>
    <w:rsid w:val="00CB149D"/>
    <w:rsid w:val="00CB1503"/>
    <w:rsid w:val="00CB16A6"/>
    <w:rsid w:val="00CB172C"/>
    <w:rsid w:val="00CB193F"/>
    <w:rsid w:val="00CB1C7D"/>
    <w:rsid w:val="00CB1D74"/>
    <w:rsid w:val="00CB1E8D"/>
    <w:rsid w:val="00CB2120"/>
    <w:rsid w:val="00CB219B"/>
    <w:rsid w:val="00CB227A"/>
    <w:rsid w:val="00CB24A2"/>
    <w:rsid w:val="00CB2615"/>
    <w:rsid w:val="00CB283E"/>
    <w:rsid w:val="00CB2889"/>
    <w:rsid w:val="00CB2976"/>
    <w:rsid w:val="00CB2A8E"/>
    <w:rsid w:val="00CB2B02"/>
    <w:rsid w:val="00CB2B84"/>
    <w:rsid w:val="00CB2B9E"/>
    <w:rsid w:val="00CB2BB3"/>
    <w:rsid w:val="00CB2BF8"/>
    <w:rsid w:val="00CB2C69"/>
    <w:rsid w:val="00CB2DAE"/>
    <w:rsid w:val="00CB3271"/>
    <w:rsid w:val="00CB33AB"/>
    <w:rsid w:val="00CB3564"/>
    <w:rsid w:val="00CB36BB"/>
    <w:rsid w:val="00CB3753"/>
    <w:rsid w:val="00CB3795"/>
    <w:rsid w:val="00CB37D4"/>
    <w:rsid w:val="00CB3824"/>
    <w:rsid w:val="00CB3845"/>
    <w:rsid w:val="00CB38E2"/>
    <w:rsid w:val="00CB39E6"/>
    <w:rsid w:val="00CB3B8D"/>
    <w:rsid w:val="00CB3C00"/>
    <w:rsid w:val="00CB3E7E"/>
    <w:rsid w:val="00CB3E90"/>
    <w:rsid w:val="00CB3FD4"/>
    <w:rsid w:val="00CB407D"/>
    <w:rsid w:val="00CB411E"/>
    <w:rsid w:val="00CB44F0"/>
    <w:rsid w:val="00CB47CF"/>
    <w:rsid w:val="00CB4849"/>
    <w:rsid w:val="00CB49E9"/>
    <w:rsid w:val="00CB4B09"/>
    <w:rsid w:val="00CB4C1F"/>
    <w:rsid w:val="00CB4CB0"/>
    <w:rsid w:val="00CB4E47"/>
    <w:rsid w:val="00CB4E61"/>
    <w:rsid w:val="00CB4EC2"/>
    <w:rsid w:val="00CB508D"/>
    <w:rsid w:val="00CB52E2"/>
    <w:rsid w:val="00CB5339"/>
    <w:rsid w:val="00CB5355"/>
    <w:rsid w:val="00CB538E"/>
    <w:rsid w:val="00CB5608"/>
    <w:rsid w:val="00CB56CB"/>
    <w:rsid w:val="00CB5786"/>
    <w:rsid w:val="00CB5911"/>
    <w:rsid w:val="00CB5D53"/>
    <w:rsid w:val="00CB5D6B"/>
    <w:rsid w:val="00CB5E7B"/>
    <w:rsid w:val="00CB616D"/>
    <w:rsid w:val="00CB619B"/>
    <w:rsid w:val="00CB6316"/>
    <w:rsid w:val="00CB6602"/>
    <w:rsid w:val="00CB667E"/>
    <w:rsid w:val="00CB6704"/>
    <w:rsid w:val="00CB6965"/>
    <w:rsid w:val="00CB6988"/>
    <w:rsid w:val="00CB6ACC"/>
    <w:rsid w:val="00CB6B82"/>
    <w:rsid w:val="00CB70F6"/>
    <w:rsid w:val="00CB7152"/>
    <w:rsid w:val="00CB7340"/>
    <w:rsid w:val="00CB7351"/>
    <w:rsid w:val="00CB735B"/>
    <w:rsid w:val="00CB747F"/>
    <w:rsid w:val="00CB79B0"/>
    <w:rsid w:val="00CB7CF9"/>
    <w:rsid w:val="00CB7E3E"/>
    <w:rsid w:val="00CB7E79"/>
    <w:rsid w:val="00CB7ED8"/>
    <w:rsid w:val="00CB7EE2"/>
    <w:rsid w:val="00CB7F37"/>
    <w:rsid w:val="00CC005D"/>
    <w:rsid w:val="00CC0184"/>
    <w:rsid w:val="00CC024D"/>
    <w:rsid w:val="00CC02EB"/>
    <w:rsid w:val="00CC05CC"/>
    <w:rsid w:val="00CC097F"/>
    <w:rsid w:val="00CC0BDD"/>
    <w:rsid w:val="00CC0D10"/>
    <w:rsid w:val="00CC0D18"/>
    <w:rsid w:val="00CC0EA1"/>
    <w:rsid w:val="00CC1141"/>
    <w:rsid w:val="00CC1688"/>
    <w:rsid w:val="00CC192A"/>
    <w:rsid w:val="00CC1966"/>
    <w:rsid w:val="00CC1A35"/>
    <w:rsid w:val="00CC1C77"/>
    <w:rsid w:val="00CC1DF6"/>
    <w:rsid w:val="00CC20ED"/>
    <w:rsid w:val="00CC2268"/>
    <w:rsid w:val="00CC22A1"/>
    <w:rsid w:val="00CC22EE"/>
    <w:rsid w:val="00CC2501"/>
    <w:rsid w:val="00CC2550"/>
    <w:rsid w:val="00CC2587"/>
    <w:rsid w:val="00CC2611"/>
    <w:rsid w:val="00CC26D3"/>
    <w:rsid w:val="00CC26FB"/>
    <w:rsid w:val="00CC27AD"/>
    <w:rsid w:val="00CC27B2"/>
    <w:rsid w:val="00CC2802"/>
    <w:rsid w:val="00CC28BA"/>
    <w:rsid w:val="00CC2954"/>
    <w:rsid w:val="00CC2C2A"/>
    <w:rsid w:val="00CC2DAD"/>
    <w:rsid w:val="00CC2E45"/>
    <w:rsid w:val="00CC3269"/>
    <w:rsid w:val="00CC336D"/>
    <w:rsid w:val="00CC3607"/>
    <w:rsid w:val="00CC38DE"/>
    <w:rsid w:val="00CC3A27"/>
    <w:rsid w:val="00CC3AED"/>
    <w:rsid w:val="00CC3B61"/>
    <w:rsid w:val="00CC3FA6"/>
    <w:rsid w:val="00CC3FCD"/>
    <w:rsid w:val="00CC439F"/>
    <w:rsid w:val="00CC45D8"/>
    <w:rsid w:val="00CC4624"/>
    <w:rsid w:val="00CC4852"/>
    <w:rsid w:val="00CC4964"/>
    <w:rsid w:val="00CC4A7E"/>
    <w:rsid w:val="00CC4C4D"/>
    <w:rsid w:val="00CC4D57"/>
    <w:rsid w:val="00CC4FAB"/>
    <w:rsid w:val="00CC50E7"/>
    <w:rsid w:val="00CC5255"/>
    <w:rsid w:val="00CC5566"/>
    <w:rsid w:val="00CC561F"/>
    <w:rsid w:val="00CC5AB4"/>
    <w:rsid w:val="00CC5AC6"/>
    <w:rsid w:val="00CC5BBC"/>
    <w:rsid w:val="00CC5C16"/>
    <w:rsid w:val="00CC5DE5"/>
    <w:rsid w:val="00CC5F81"/>
    <w:rsid w:val="00CC5FDB"/>
    <w:rsid w:val="00CC6004"/>
    <w:rsid w:val="00CC625D"/>
    <w:rsid w:val="00CC626A"/>
    <w:rsid w:val="00CC62E4"/>
    <w:rsid w:val="00CC68F3"/>
    <w:rsid w:val="00CC68F7"/>
    <w:rsid w:val="00CC6949"/>
    <w:rsid w:val="00CC696A"/>
    <w:rsid w:val="00CC699D"/>
    <w:rsid w:val="00CC6AB1"/>
    <w:rsid w:val="00CC6E90"/>
    <w:rsid w:val="00CC6F31"/>
    <w:rsid w:val="00CC7238"/>
    <w:rsid w:val="00CC7243"/>
    <w:rsid w:val="00CC735A"/>
    <w:rsid w:val="00CC7385"/>
    <w:rsid w:val="00CC743F"/>
    <w:rsid w:val="00CC75D3"/>
    <w:rsid w:val="00CC7744"/>
    <w:rsid w:val="00CC7962"/>
    <w:rsid w:val="00CC7AF8"/>
    <w:rsid w:val="00CC7B58"/>
    <w:rsid w:val="00CC7B9F"/>
    <w:rsid w:val="00CC7C35"/>
    <w:rsid w:val="00CC7DF5"/>
    <w:rsid w:val="00CD0010"/>
    <w:rsid w:val="00CD0147"/>
    <w:rsid w:val="00CD0217"/>
    <w:rsid w:val="00CD0334"/>
    <w:rsid w:val="00CD0B65"/>
    <w:rsid w:val="00CD0B69"/>
    <w:rsid w:val="00CD0CE9"/>
    <w:rsid w:val="00CD1196"/>
    <w:rsid w:val="00CD11A9"/>
    <w:rsid w:val="00CD1343"/>
    <w:rsid w:val="00CD1471"/>
    <w:rsid w:val="00CD1648"/>
    <w:rsid w:val="00CD16FC"/>
    <w:rsid w:val="00CD18AB"/>
    <w:rsid w:val="00CD18C0"/>
    <w:rsid w:val="00CD18CE"/>
    <w:rsid w:val="00CD1BEE"/>
    <w:rsid w:val="00CD1CD4"/>
    <w:rsid w:val="00CD1D9A"/>
    <w:rsid w:val="00CD1DFB"/>
    <w:rsid w:val="00CD1E6C"/>
    <w:rsid w:val="00CD1EB2"/>
    <w:rsid w:val="00CD1EB9"/>
    <w:rsid w:val="00CD1F76"/>
    <w:rsid w:val="00CD2238"/>
    <w:rsid w:val="00CD22BD"/>
    <w:rsid w:val="00CD22F1"/>
    <w:rsid w:val="00CD23C5"/>
    <w:rsid w:val="00CD26F2"/>
    <w:rsid w:val="00CD27B1"/>
    <w:rsid w:val="00CD2D8F"/>
    <w:rsid w:val="00CD303D"/>
    <w:rsid w:val="00CD363E"/>
    <w:rsid w:val="00CD375E"/>
    <w:rsid w:val="00CD3989"/>
    <w:rsid w:val="00CD3A07"/>
    <w:rsid w:val="00CD3A61"/>
    <w:rsid w:val="00CD3A7E"/>
    <w:rsid w:val="00CD3AD1"/>
    <w:rsid w:val="00CD3B96"/>
    <w:rsid w:val="00CD3C4E"/>
    <w:rsid w:val="00CD3C9E"/>
    <w:rsid w:val="00CD3F1C"/>
    <w:rsid w:val="00CD40BE"/>
    <w:rsid w:val="00CD40CC"/>
    <w:rsid w:val="00CD436A"/>
    <w:rsid w:val="00CD436C"/>
    <w:rsid w:val="00CD43AC"/>
    <w:rsid w:val="00CD4733"/>
    <w:rsid w:val="00CD4745"/>
    <w:rsid w:val="00CD48D5"/>
    <w:rsid w:val="00CD4B6E"/>
    <w:rsid w:val="00CD4BA2"/>
    <w:rsid w:val="00CD4C3D"/>
    <w:rsid w:val="00CD4CAC"/>
    <w:rsid w:val="00CD4CD9"/>
    <w:rsid w:val="00CD4D87"/>
    <w:rsid w:val="00CD4EA9"/>
    <w:rsid w:val="00CD4EC2"/>
    <w:rsid w:val="00CD50A3"/>
    <w:rsid w:val="00CD51C7"/>
    <w:rsid w:val="00CD51CF"/>
    <w:rsid w:val="00CD523F"/>
    <w:rsid w:val="00CD53CF"/>
    <w:rsid w:val="00CD54FC"/>
    <w:rsid w:val="00CD5645"/>
    <w:rsid w:val="00CD57FE"/>
    <w:rsid w:val="00CD580A"/>
    <w:rsid w:val="00CD581B"/>
    <w:rsid w:val="00CD5A30"/>
    <w:rsid w:val="00CD5A7C"/>
    <w:rsid w:val="00CD5AAB"/>
    <w:rsid w:val="00CD5BD3"/>
    <w:rsid w:val="00CD5DA0"/>
    <w:rsid w:val="00CD6128"/>
    <w:rsid w:val="00CD61F0"/>
    <w:rsid w:val="00CD6222"/>
    <w:rsid w:val="00CD62D8"/>
    <w:rsid w:val="00CD6440"/>
    <w:rsid w:val="00CD64B3"/>
    <w:rsid w:val="00CD6558"/>
    <w:rsid w:val="00CD6630"/>
    <w:rsid w:val="00CD6737"/>
    <w:rsid w:val="00CD675B"/>
    <w:rsid w:val="00CD691B"/>
    <w:rsid w:val="00CD6B48"/>
    <w:rsid w:val="00CD6D26"/>
    <w:rsid w:val="00CD6EB3"/>
    <w:rsid w:val="00CD6F08"/>
    <w:rsid w:val="00CD7055"/>
    <w:rsid w:val="00CD73EB"/>
    <w:rsid w:val="00CD740F"/>
    <w:rsid w:val="00CD7607"/>
    <w:rsid w:val="00CD77A1"/>
    <w:rsid w:val="00CD7882"/>
    <w:rsid w:val="00CD7A7D"/>
    <w:rsid w:val="00CD7EEB"/>
    <w:rsid w:val="00CD7FCB"/>
    <w:rsid w:val="00CE00C0"/>
    <w:rsid w:val="00CE00E4"/>
    <w:rsid w:val="00CE0169"/>
    <w:rsid w:val="00CE01CE"/>
    <w:rsid w:val="00CE0571"/>
    <w:rsid w:val="00CE07A3"/>
    <w:rsid w:val="00CE082F"/>
    <w:rsid w:val="00CE0892"/>
    <w:rsid w:val="00CE092D"/>
    <w:rsid w:val="00CE0999"/>
    <w:rsid w:val="00CE0A67"/>
    <w:rsid w:val="00CE0AB8"/>
    <w:rsid w:val="00CE0C6B"/>
    <w:rsid w:val="00CE0D1C"/>
    <w:rsid w:val="00CE0D9B"/>
    <w:rsid w:val="00CE0DB4"/>
    <w:rsid w:val="00CE0DEC"/>
    <w:rsid w:val="00CE0F6F"/>
    <w:rsid w:val="00CE0FF4"/>
    <w:rsid w:val="00CE1064"/>
    <w:rsid w:val="00CE1254"/>
    <w:rsid w:val="00CE13BD"/>
    <w:rsid w:val="00CE1438"/>
    <w:rsid w:val="00CE14C5"/>
    <w:rsid w:val="00CE156F"/>
    <w:rsid w:val="00CE159A"/>
    <w:rsid w:val="00CE15E1"/>
    <w:rsid w:val="00CE1990"/>
    <w:rsid w:val="00CE19AF"/>
    <w:rsid w:val="00CE1A9E"/>
    <w:rsid w:val="00CE1CC4"/>
    <w:rsid w:val="00CE1EEF"/>
    <w:rsid w:val="00CE20FD"/>
    <w:rsid w:val="00CE21AA"/>
    <w:rsid w:val="00CE21E3"/>
    <w:rsid w:val="00CE22DC"/>
    <w:rsid w:val="00CE27BB"/>
    <w:rsid w:val="00CE287B"/>
    <w:rsid w:val="00CE295D"/>
    <w:rsid w:val="00CE2A10"/>
    <w:rsid w:val="00CE2C7A"/>
    <w:rsid w:val="00CE2D8D"/>
    <w:rsid w:val="00CE2E82"/>
    <w:rsid w:val="00CE2F28"/>
    <w:rsid w:val="00CE3288"/>
    <w:rsid w:val="00CE354B"/>
    <w:rsid w:val="00CE35B6"/>
    <w:rsid w:val="00CE39A0"/>
    <w:rsid w:val="00CE3AB6"/>
    <w:rsid w:val="00CE3EFB"/>
    <w:rsid w:val="00CE401E"/>
    <w:rsid w:val="00CE402B"/>
    <w:rsid w:val="00CE408E"/>
    <w:rsid w:val="00CE430E"/>
    <w:rsid w:val="00CE444B"/>
    <w:rsid w:val="00CE458E"/>
    <w:rsid w:val="00CE4622"/>
    <w:rsid w:val="00CE4AF9"/>
    <w:rsid w:val="00CE4B9C"/>
    <w:rsid w:val="00CE4CF9"/>
    <w:rsid w:val="00CE4D2D"/>
    <w:rsid w:val="00CE4E67"/>
    <w:rsid w:val="00CE5245"/>
    <w:rsid w:val="00CE52C0"/>
    <w:rsid w:val="00CE54DE"/>
    <w:rsid w:val="00CE5699"/>
    <w:rsid w:val="00CE577A"/>
    <w:rsid w:val="00CE5B70"/>
    <w:rsid w:val="00CE5F21"/>
    <w:rsid w:val="00CE60C0"/>
    <w:rsid w:val="00CE623E"/>
    <w:rsid w:val="00CE6264"/>
    <w:rsid w:val="00CE637B"/>
    <w:rsid w:val="00CE63E5"/>
    <w:rsid w:val="00CE64BA"/>
    <w:rsid w:val="00CE6593"/>
    <w:rsid w:val="00CE6614"/>
    <w:rsid w:val="00CE662E"/>
    <w:rsid w:val="00CE68C1"/>
    <w:rsid w:val="00CE6914"/>
    <w:rsid w:val="00CE69D7"/>
    <w:rsid w:val="00CE6A8D"/>
    <w:rsid w:val="00CE6BB0"/>
    <w:rsid w:val="00CE6CC2"/>
    <w:rsid w:val="00CE71CD"/>
    <w:rsid w:val="00CE720A"/>
    <w:rsid w:val="00CE73A9"/>
    <w:rsid w:val="00CE73E4"/>
    <w:rsid w:val="00CE748E"/>
    <w:rsid w:val="00CE74AC"/>
    <w:rsid w:val="00CE762D"/>
    <w:rsid w:val="00CE7957"/>
    <w:rsid w:val="00CE7E36"/>
    <w:rsid w:val="00CE7F1D"/>
    <w:rsid w:val="00CF0480"/>
    <w:rsid w:val="00CF04DD"/>
    <w:rsid w:val="00CF0634"/>
    <w:rsid w:val="00CF0780"/>
    <w:rsid w:val="00CF0A0E"/>
    <w:rsid w:val="00CF0A1A"/>
    <w:rsid w:val="00CF0BCF"/>
    <w:rsid w:val="00CF0BE9"/>
    <w:rsid w:val="00CF0CAF"/>
    <w:rsid w:val="00CF0CFB"/>
    <w:rsid w:val="00CF11DB"/>
    <w:rsid w:val="00CF128E"/>
    <w:rsid w:val="00CF1502"/>
    <w:rsid w:val="00CF1785"/>
    <w:rsid w:val="00CF1806"/>
    <w:rsid w:val="00CF1974"/>
    <w:rsid w:val="00CF1D10"/>
    <w:rsid w:val="00CF1EEA"/>
    <w:rsid w:val="00CF1F57"/>
    <w:rsid w:val="00CF2041"/>
    <w:rsid w:val="00CF20B5"/>
    <w:rsid w:val="00CF2479"/>
    <w:rsid w:val="00CF28E3"/>
    <w:rsid w:val="00CF2A18"/>
    <w:rsid w:val="00CF2CC1"/>
    <w:rsid w:val="00CF2D18"/>
    <w:rsid w:val="00CF2F10"/>
    <w:rsid w:val="00CF308A"/>
    <w:rsid w:val="00CF3574"/>
    <w:rsid w:val="00CF36AB"/>
    <w:rsid w:val="00CF3745"/>
    <w:rsid w:val="00CF387D"/>
    <w:rsid w:val="00CF38A2"/>
    <w:rsid w:val="00CF3A53"/>
    <w:rsid w:val="00CF3A65"/>
    <w:rsid w:val="00CF3B02"/>
    <w:rsid w:val="00CF3B17"/>
    <w:rsid w:val="00CF3C40"/>
    <w:rsid w:val="00CF3DE5"/>
    <w:rsid w:val="00CF3E2C"/>
    <w:rsid w:val="00CF4017"/>
    <w:rsid w:val="00CF4617"/>
    <w:rsid w:val="00CF46C4"/>
    <w:rsid w:val="00CF4970"/>
    <w:rsid w:val="00CF4C3A"/>
    <w:rsid w:val="00CF4E2C"/>
    <w:rsid w:val="00CF4E30"/>
    <w:rsid w:val="00CF4F1C"/>
    <w:rsid w:val="00CF5127"/>
    <w:rsid w:val="00CF5177"/>
    <w:rsid w:val="00CF545B"/>
    <w:rsid w:val="00CF562C"/>
    <w:rsid w:val="00CF5697"/>
    <w:rsid w:val="00CF578A"/>
    <w:rsid w:val="00CF58D0"/>
    <w:rsid w:val="00CF5971"/>
    <w:rsid w:val="00CF5C1E"/>
    <w:rsid w:val="00CF60E0"/>
    <w:rsid w:val="00CF614D"/>
    <w:rsid w:val="00CF640C"/>
    <w:rsid w:val="00CF67B3"/>
    <w:rsid w:val="00CF690A"/>
    <w:rsid w:val="00CF6A04"/>
    <w:rsid w:val="00CF6A0A"/>
    <w:rsid w:val="00CF6BA4"/>
    <w:rsid w:val="00CF74CC"/>
    <w:rsid w:val="00CF767E"/>
    <w:rsid w:val="00CF7689"/>
    <w:rsid w:val="00CF76CC"/>
    <w:rsid w:val="00CF7943"/>
    <w:rsid w:val="00CF7AF0"/>
    <w:rsid w:val="00CF7BA0"/>
    <w:rsid w:val="00CF7D8D"/>
    <w:rsid w:val="00CF7DBB"/>
    <w:rsid w:val="00D0021D"/>
    <w:rsid w:val="00D0022D"/>
    <w:rsid w:val="00D00280"/>
    <w:rsid w:val="00D009D7"/>
    <w:rsid w:val="00D00B24"/>
    <w:rsid w:val="00D00B87"/>
    <w:rsid w:val="00D00C09"/>
    <w:rsid w:val="00D00C1A"/>
    <w:rsid w:val="00D00D09"/>
    <w:rsid w:val="00D00EAE"/>
    <w:rsid w:val="00D00F75"/>
    <w:rsid w:val="00D00F8B"/>
    <w:rsid w:val="00D011B3"/>
    <w:rsid w:val="00D01259"/>
    <w:rsid w:val="00D016F2"/>
    <w:rsid w:val="00D0191B"/>
    <w:rsid w:val="00D01992"/>
    <w:rsid w:val="00D01A8B"/>
    <w:rsid w:val="00D01C7B"/>
    <w:rsid w:val="00D01C93"/>
    <w:rsid w:val="00D01F0D"/>
    <w:rsid w:val="00D01F79"/>
    <w:rsid w:val="00D01F85"/>
    <w:rsid w:val="00D0209B"/>
    <w:rsid w:val="00D020DA"/>
    <w:rsid w:val="00D0214C"/>
    <w:rsid w:val="00D0219B"/>
    <w:rsid w:val="00D02350"/>
    <w:rsid w:val="00D02430"/>
    <w:rsid w:val="00D0256F"/>
    <w:rsid w:val="00D02781"/>
    <w:rsid w:val="00D02841"/>
    <w:rsid w:val="00D0289A"/>
    <w:rsid w:val="00D02B4B"/>
    <w:rsid w:val="00D02CA5"/>
    <w:rsid w:val="00D02F2A"/>
    <w:rsid w:val="00D02F39"/>
    <w:rsid w:val="00D031ED"/>
    <w:rsid w:val="00D036A6"/>
    <w:rsid w:val="00D036E1"/>
    <w:rsid w:val="00D0391B"/>
    <w:rsid w:val="00D03C20"/>
    <w:rsid w:val="00D03C90"/>
    <w:rsid w:val="00D03CC6"/>
    <w:rsid w:val="00D03D45"/>
    <w:rsid w:val="00D0408A"/>
    <w:rsid w:val="00D0411F"/>
    <w:rsid w:val="00D044EF"/>
    <w:rsid w:val="00D047A4"/>
    <w:rsid w:val="00D0481A"/>
    <w:rsid w:val="00D0490D"/>
    <w:rsid w:val="00D04BDD"/>
    <w:rsid w:val="00D04BEB"/>
    <w:rsid w:val="00D04C58"/>
    <w:rsid w:val="00D04CB3"/>
    <w:rsid w:val="00D04D01"/>
    <w:rsid w:val="00D04FAF"/>
    <w:rsid w:val="00D050C2"/>
    <w:rsid w:val="00D05493"/>
    <w:rsid w:val="00D054A6"/>
    <w:rsid w:val="00D055FE"/>
    <w:rsid w:val="00D0563D"/>
    <w:rsid w:val="00D0564B"/>
    <w:rsid w:val="00D058BC"/>
    <w:rsid w:val="00D058DE"/>
    <w:rsid w:val="00D05939"/>
    <w:rsid w:val="00D059F9"/>
    <w:rsid w:val="00D05AD7"/>
    <w:rsid w:val="00D05B3F"/>
    <w:rsid w:val="00D05B43"/>
    <w:rsid w:val="00D05BED"/>
    <w:rsid w:val="00D05C91"/>
    <w:rsid w:val="00D05E4E"/>
    <w:rsid w:val="00D05F6A"/>
    <w:rsid w:val="00D062B2"/>
    <w:rsid w:val="00D06327"/>
    <w:rsid w:val="00D0632C"/>
    <w:rsid w:val="00D063AC"/>
    <w:rsid w:val="00D0678C"/>
    <w:rsid w:val="00D067E4"/>
    <w:rsid w:val="00D0684A"/>
    <w:rsid w:val="00D0693B"/>
    <w:rsid w:val="00D06A3A"/>
    <w:rsid w:val="00D06A77"/>
    <w:rsid w:val="00D07130"/>
    <w:rsid w:val="00D07189"/>
    <w:rsid w:val="00D071AB"/>
    <w:rsid w:val="00D071E2"/>
    <w:rsid w:val="00D07204"/>
    <w:rsid w:val="00D0720E"/>
    <w:rsid w:val="00D073F3"/>
    <w:rsid w:val="00D07476"/>
    <w:rsid w:val="00D0752D"/>
    <w:rsid w:val="00D0791B"/>
    <w:rsid w:val="00D07A27"/>
    <w:rsid w:val="00D07C71"/>
    <w:rsid w:val="00D07EBF"/>
    <w:rsid w:val="00D07FDD"/>
    <w:rsid w:val="00D1031C"/>
    <w:rsid w:val="00D10474"/>
    <w:rsid w:val="00D106B4"/>
    <w:rsid w:val="00D10849"/>
    <w:rsid w:val="00D10B09"/>
    <w:rsid w:val="00D10CD3"/>
    <w:rsid w:val="00D10CF6"/>
    <w:rsid w:val="00D10D1A"/>
    <w:rsid w:val="00D10DF2"/>
    <w:rsid w:val="00D10E03"/>
    <w:rsid w:val="00D10E29"/>
    <w:rsid w:val="00D10F61"/>
    <w:rsid w:val="00D110E6"/>
    <w:rsid w:val="00D112C4"/>
    <w:rsid w:val="00D1133D"/>
    <w:rsid w:val="00D114FF"/>
    <w:rsid w:val="00D11661"/>
    <w:rsid w:val="00D11681"/>
    <w:rsid w:val="00D1171A"/>
    <w:rsid w:val="00D11B30"/>
    <w:rsid w:val="00D11DA1"/>
    <w:rsid w:val="00D11E88"/>
    <w:rsid w:val="00D12005"/>
    <w:rsid w:val="00D12006"/>
    <w:rsid w:val="00D120BE"/>
    <w:rsid w:val="00D1246D"/>
    <w:rsid w:val="00D124B7"/>
    <w:rsid w:val="00D126FB"/>
    <w:rsid w:val="00D127C1"/>
    <w:rsid w:val="00D128AF"/>
    <w:rsid w:val="00D12B5C"/>
    <w:rsid w:val="00D12D5A"/>
    <w:rsid w:val="00D12F1D"/>
    <w:rsid w:val="00D13504"/>
    <w:rsid w:val="00D13681"/>
    <w:rsid w:val="00D136E6"/>
    <w:rsid w:val="00D137EE"/>
    <w:rsid w:val="00D1386D"/>
    <w:rsid w:val="00D138FC"/>
    <w:rsid w:val="00D139D9"/>
    <w:rsid w:val="00D13A25"/>
    <w:rsid w:val="00D13B71"/>
    <w:rsid w:val="00D13B7D"/>
    <w:rsid w:val="00D13E69"/>
    <w:rsid w:val="00D13EB6"/>
    <w:rsid w:val="00D1416C"/>
    <w:rsid w:val="00D1432F"/>
    <w:rsid w:val="00D14331"/>
    <w:rsid w:val="00D14354"/>
    <w:rsid w:val="00D14388"/>
    <w:rsid w:val="00D147CE"/>
    <w:rsid w:val="00D14829"/>
    <w:rsid w:val="00D14837"/>
    <w:rsid w:val="00D14BFE"/>
    <w:rsid w:val="00D14C18"/>
    <w:rsid w:val="00D14C34"/>
    <w:rsid w:val="00D14EAA"/>
    <w:rsid w:val="00D14FFC"/>
    <w:rsid w:val="00D1525B"/>
    <w:rsid w:val="00D15325"/>
    <w:rsid w:val="00D153E3"/>
    <w:rsid w:val="00D15411"/>
    <w:rsid w:val="00D15601"/>
    <w:rsid w:val="00D15926"/>
    <w:rsid w:val="00D15940"/>
    <w:rsid w:val="00D159B8"/>
    <w:rsid w:val="00D16550"/>
    <w:rsid w:val="00D166F3"/>
    <w:rsid w:val="00D16740"/>
    <w:rsid w:val="00D1676D"/>
    <w:rsid w:val="00D16889"/>
    <w:rsid w:val="00D16C80"/>
    <w:rsid w:val="00D17395"/>
    <w:rsid w:val="00D17428"/>
    <w:rsid w:val="00D17697"/>
    <w:rsid w:val="00D1773F"/>
    <w:rsid w:val="00D177DF"/>
    <w:rsid w:val="00D1794D"/>
    <w:rsid w:val="00D17BF1"/>
    <w:rsid w:val="00D17C60"/>
    <w:rsid w:val="00D17C92"/>
    <w:rsid w:val="00D17D38"/>
    <w:rsid w:val="00D17E94"/>
    <w:rsid w:val="00D201AB"/>
    <w:rsid w:val="00D20336"/>
    <w:rsid w:val="00D203C6"/>
    <w:rsid w:val="00D204F2"/>
    <w:rsid w:val="00D206A5"/>
    <w:rsid w:val="00D20794"/>
    <w:rsid w:val="00D207E5"/>
    <w:rsid w:val="00D20894"/>
    <w:rsid w:val="00D20A06"/>
    <w:rsid w:val="00D20C90"/>
    <w:rsid w:val="00D20E39"/>
    <w:rsid w:val="00D20E53"/>
    <w:rsid w:val="00D21197"/>
    <w:rsid w:val="00D21213"/>
    <w:rsid w:val="00D212A5"/>
    <w:rsid w:val="00D212E4"/>
    <w:rsid w:val="00D21577"/>
    <w:rsid w:val="00D215DF"/>
    <w:rsid w:val="00D216A8"/>
    <w:rsid w:val="00D218A4"/>
    <w:rsid w:val="00D21903"/>
    <w:rsid w:val="00D2191B"/>
    <w:rsid w:val="00D21A4A"/>
    <w:rsid w:val="00D21C96"/>
    <w:rsid w:val="00D21E3C"/>
    <w:rsid w:val="00D21E8E"/>
    <w:rsid w:val="00D22102"/>
    <w:rsid w:val="00D2213F"/>
    <w:rsid w:val="00D22226"/>
    <w:rsid w:val="00D22668"/>
    <w:rsid w:val="00D2281E"/>
    <w:rsid w:val="00D22824"/>
    <w:rsid w:val="00D229A6"/>
    <w:rsid w:val="00D22B69"/>
    <w:rsid w:val="00D22CEE"/>
    <w:rsid w:val="00D22E68"/>
    <w:rsid w:val="00D23520"/>
    <w:rsid w:val="00D2353C"/>
    <w:rsid w:val="00D236A0"/>
    <w:rsid w:val="00D2370E"/>
    <w:rsid w:val="00D23783"/>
    <w:rsid w:val="00D237D9"/>
    <w:rsid w:val="00D2385E"/>
    <w:rsid w:val="00D23AAE"/>
    <w:rsid w:val="00D23AFE"/>
    <w:rsid w:val="00D23DDA"/>
    <w:rsid w:val="00D23E6A"/>
    <w:rsid w:val="00D23EB3"/>
    <w:rsid w:val="00D24134"/>
    <w:rsid w:val="00D24181"/>
    <w:rsid w:val="00D241BC"/>
    <w:rsid w:val="00D24222"/>
    <w:rsid w:val="00D24754"/>
    <w:rsid w:val="00D248F8"/>
    <w:rsid w:val="00D24BC2"/>
    <w:rsid w:val="00D251E4"/>
    <w:rsid w:val="00D25218"/>
    <w:rsid w:val="00D2522B"/>
    <w:rsid w:val="00D252AF"/>
    <w:rsid w:val="00D25528"/>
    <w:rsid w:val="00D2579B"/>
    <w:rsid w:val="00D25865"/>
    <w:rsid w:val="00D25E39"/>
    <w:rsid w:val="00D25EBB"/>
    <w:rsid w:val="00D25F0D"/>
    <w:rsid w:val="00D26022"/>
    <w:rsid w:val="00D26189"/>
    <w:rsid w:val="00D263B9"/>
    <w:rsid w:val="00D26550"/>
    <w:rsid w:val="00D26611"/>
    <w:rsid w:val="00D26821"/>
    <w:rsid w:val="00D26994"/>
    <w:rsid w:val="00D26A64"/>
    <w:rsid w:val="00D26B10"/>
    <w:rsid w:val="00D26B71"/>
    <w:rsid w:val="00D26C5F"/>
    <w:rsid w:val="00D270A8"/>
    <w:rsid w:val="00D2756A"/>
    <w:rsid w:val="00D276C6"/>
    <w:rsid w:val="00D276CD"/>
    <w:rsid w:val="00D27B60"/>
    <w:rsid w:val="00D27B79"/>
    <w:rsid w:val="00D27C84"/>
    <w:rsid w:val="00D27DFF"/>
    <w:rsid w:val="00D27E21"/>
    <w:rsid w:val="00D30019"/>
    <w:rsid w:val="00D300FF"/>
    <w:rsid w:val="00D30292"/>
    <w:rsid w:val="00D303F8"/>
    <w:rsid w:val="00D3041E"/>
    <w:rsid w:val="00D3044E"/>
    <w:rsid w:val="00D30688"/>
    <w:rsid w:val="00D30722"/>
    <w:rsid w:val="00D3078A"/>
    <w:rsid w:val="00D30997"/>
    <w:rsid w:val="00D30CFF"/>
    <w:rsid w:val="00D30DD1"/>
    <w:rsid w:val="00D30E32"/>
    <w:rsid w:val="00D31099"/>
    <w:rsid w:val="00D311AA"/>
    <w:rsid w:val="00D317AA"/>
    <w:rsid w:val="00D318A5"/>
    <w:rsid w:val="00D31D77"/>
    <w:rsid w:val="00D31DC7"/>
    <w:rsid w:val="00D31DE5"/>
    <w:rsid w:val="00D31E3C"/>
    <w:rsid w:val="00D31E7E"/>
    <w:rsid w:val="00D31F9C"/>
    <w:rsid w:val="00D32286"/>
    <w:rsid w:val="00D322A5"/>
    <w:rsid w:val="00D32885"/>
    <w:rsid w:val="00D32898"/>
    <w:rsid w:val="00D329A0"/>
    <w:rsid w:val="00D329E8"/>
    <w:rsid w:val="00D32AE5"/>
    <w:rsid w:val="00D32D1D"/>
    <w:rsid w:val="00D32DBB"/>
    <w:rsid w:val="00D32E5D"/>
    <w:rsid w:val="00D32F33"/>
    <w:rsid w:val="00D32F84"/>
    <w:rsid w:val="00D3317F"/>
    <w:rsid w:val="00D33337"/>
    <w:rsid w:val="00D33752"/>
    <w:rsid w:val="00D33900"/>
    <w:rsid w:val="00D33B19"/>
    <w:rsid w:val="00D33C9C"/>
    <w:rsid w:val="00D33CBE"/>
    <w:rsid w:val="00D33ECD"/>
    <w:rsid w:val="00D34074"/>
    <w:rsid w:val="00D34106"/>
    <w:rsid w:val="00D34171"/>
    <w:rsid w:val="00D34201"/>
    <w:rsid w:val="00D343A0"/>
    <w:rsid w:val="00D3442F"/>
    <w:rsid w:val="00D344AD"/>
    <w:rsid w:val="00D3467E"/>
    <w:rsid w:val="00D346C8"/>
    <w:rsid w:val="00D3489A"/>
    <w:rsid w:val="00D34BBC"/>
    <w:rsid w:val="00D34BF7"/>
    <w:rsid w:val="00D34FC2"/>
    <w:rsid w:val="00D34FE0"/>
    <w:rsid w:val="00D35387"/>
    <w:rsid w:val="00D356C6"/>
    <w:rsid w:val="00D35802"/>
    <w:rsid w:val="00D35950"/>
    <w:rsid w:val="00D35965"/>
    <w:rsid w:val="00D3598D"/>
    <w:rsid w:val="00D35B6A"/>
    <w:rsid w:val="00D35BFC"/>
    <w:rsid w:val="00D35C53"/>
    <w:rsid w:val="00D35CB1"/>
    <w:rsid w:val="00D35D03"/>
    <w:rsid w:val="00D35DF2"/>
    <w:rsid w:val="00D35E9B"/>
    <w:rsid w:val="00D36046"/>
    <w:rsid w:val="00D36128"/>
    <w:rsid w:val="00D361EE"/>
    <w:rsid w:val="00D36201"/>
    <w:rsid w:val="00D362B3"/>
    <w:rsid w:val="00D364EB"/>
    <w:rsid w:val="00D365EA"/>
    <w:rsid w:val="00D3660E"/>
    <w:rsid w:val="00D36889"/>
    <w:rsid w:val="00D36A0E"/>
    <w:rsid w:val="00D36B41"/>
    <w:rsid w:val="00D36B53"/>
    <w:rsid w:val="00D36B56"/>
    <w:rsid w:val="00D36BA3"/>
    <w:rsid w:val="00D36C27"/>
    <w:rsid w:val="00D37000"/>
    <w:rsid w:val="00D37036"/>
    <w:rsid w:val="00D3704A"/>
    <w:rsid w:val="00D37076"/>
    <w:rsid w:val="00D37472"/>
    <w:rsid w:val="00D3767D"/>
    <w:rsid w:val="00D37691"/>
    <w:rsid w:val="00D378B2"/>
    <w:rsid w:val="00D37A08"/>
    <w:rsid w:val="00D37A3D"/>
    <w:rsid w:val="00D37CA6"/>
    <w:rsid w:val="00D37EA2"/>
    <w:rsid w:val="00D37FDE"/>
    <w:rsid w:val="00D4008B"/>
    <w:rsid w:val="00D40314"/>
    <w:rsid w:val="00D403CA"/>
    <w:rsid w:val="00D4046C"/>
    <w:rsid w:val="00D40553"/>
    <w:rsid w:val="00D408D5"/>
    <w:rsid w:val="00D40905"/>
    <w:rsid w:val="00D40919"/>
    <w:rsid w:val="00D4092A"/>
    <w:rsid w:val="00D40974"/>
    <w:rsid w:val="00D40A1F"/>
    <w:rsid w:val="00D40C87"/>
    <w:rsid w:val="00D40D21"/>
    <w:rsid w:val="00D40E4B"/>
    <w:rsid w:val="00D41071"/>
    <w:rsid w:val="00D411D6"/>
    <w:rsid w:val="00D412EF"/>
    <w:rsid w:val="00D415CF"/>
    <w:rsid w:val="00D41602"/>
    <w:rsid w:val="00D4165B"/>
    <w:rsid w:val="00D4176E"/>
    <w:rsid w:val="00D417ED"/>
    <w:rsid w:val="00D41894"/>
    <w:rsid w:val="00D4189C"/>
    <w:rsid w:val="00D41CD2"/>
    <w:rsid w:val="00D41DCA"/>
    <w:rsid w:val="00D41F6B"/>
    <w:rsid w:val="00D41FAD"/>
    <w:rsid w:val="00D420E9"/>
    <w:rsid w:val="00D42189"/>
    <w:rsid w:val="00D4218F"/>
    <w:rsid w:val="00D421A4"/>
    <w:rsid w:val="00D421EE"/>
    <w:rsid w:val="00D42244"/>
    <w:rsid w:val="00D422F8"/>
    <w:rsid w:val="00D42556"/>
    <w:rsid w:val="00D425FB"/>
    <w:rsid w:val="00D4265F"/>
    <w:rsid w:val="00D428F2"/>
    <w:rsid w:val="00D42974"/>
    <w:rsid w:val="00D42997"/>
    <w:rsid w:val="00D42C82"/>
    <w:rsid w:val="00D42CFE"/>
    <w:rsid w:val="00D42E0F"/>
    <w:rsid w:val="00D42EB6"/>
    <w:rsid w:val="00D42EC6"/>
    <w:rsid w:val="00D4302C"/>
    <w:rsid w:val="00D43424"/>
    <w:rsid w:val="00D434B0"/>
    <w:rsid w:val="00D4360D"/>
    <w:rsid w:val="00D438AF"/>
    <w:rsid w:val="00D43B9E"/>
    <w:rsid w:val="00D43C51"/>
    <w:rsid w:val="00D43C7A"/>
    <w:rsid w:val="00D43E71"/>
    <w:rsid w:val="00D43FB4"/>
    <w:rsid w:val="00D44111"/>
    <w:rsid w:val="00D44144"/>
    <w:rsid w:val="00D4418A"/>
    <w:rsid w:val="00D446BA"/>
    <w:rsid w:val="00D446FA"/>
    <w:rsid w:val="00D447A5"/>
    <w:rsid w:val="00D4489E"/>
    <w:rsid w:val="00D448ED"/>
    <w:rsid w:val="00D44943"/>
    <w:rsid w:val="00D44981"/>
    <w:rsid w:val="00D44BEE"/>
    <w:rsid w:val="00D44C29"/>
    <w:rsid w:val="00D44D98"/>
    <w:rsid w:val="00D44EDB"/>
    <w:rsid w:val="00D45033"/>
    <w:rsid w:val="00D452C0"/>
    <w:rsid w:val="00D45498"/>
    <w:rsid w:val="00D45669"/>
    <w:rsid w:val="00D45738"/>
    <w:rsid w:val="00D45885"/>
    <w:rsid w:val="00D458D0"/>
    <w:rsid w:val="00D45972"/>
    <w:rsid w:val="00D459ED"/>
    <w:rsid w:val="00D45A86"/>
    <w:rsid w:val="00D45BBA"/>
    <w:rsid w:val="00D45BC0"/>
    <w:rsid w:val="00D45C90"/>
    <w:rsid w:val="00D45DEC"/>
    <w:rsid w:val="00D45F76"/>
    <w:rsid w:val="00D46295"/>
    <w:rsid w:val="00D462D2"/>
    <w:rsid w:val="00D46402"/>
    <w:rsid w:val="00D469FC"/>
    <w:rsid w:val="00D46A08"/>
    <w:rsid w:val="00D46A96"/>
    <w:rsid w:val="00D46BEA"/>
    <w:rsid w:val="00D46BEF"/>
    <w:rsid w:val="00D46D2B"/>
    <w:rsid w:val="00D46DA0"/>
    <w:rsid w:val="00D46DA4"/>
    <w:rsid w:val="00D46EBE"/>
    <w:rsid w:val="00D47072"/>
    <w:rsid w:val="00D471E7"/>
    <w:rsid w:val="00D47334"/>
    <w:rsid w:val="00D473D8"/>
    <w:rsid w:val="00D47828"/>
    <w:rsid w:val="00D479E5"/>
    <w:rsid w:val="00D47B88"/>
    <w:rsid w:val="00D47C46"/>
    <w:rsid w:val="00D47C94"/>
    <w:rsid w:val="00D47D44"/>
    <w:rsid w:val="00D47E3A"/>
    <w:rsid w:val="00D5019C"/>
    <w:rsid w:val="00D501C4"/>
    <w:rsid w:val="00D501F9"/>
    <w:rsid w:val="00D5037B"/>
    <w:rsid w:val="00D5047F"/>
    <w:rsid w:val="00D5052C"/>
    <w:rsid w:val="00D5063C"/>
    <w:rsid w:val="00D50667"/>
    <w:rsid w:val="00D507A3"/>
    <w:rsid w:val="00D508C9"/>
    <w:rsid w:val="00D509F0"/>
    <w:rsid w:val="00D50A68"/>
    <w:rsid w:val="00D50A74"/>
    <w:rsid w:val="00D50BC2"/>
    <w:rsid w:val="00D50C17"/>
    <w:rsid w:val="00D50D56"/>
    <w:rsid w:val="00D50F6A"/>
    <w:rsid w:val="00D50FD5"/>
    <w:rsid w:val="00D5101E"/>
    <w:rsid w:val="00D51423"/>
    <w:rsid w:val="00D5143C"/>
    <w:rsid w:val="00D514DC"/>
    <w:rsid w:val="00D51637"/>
    <w:rsid w:val="00D516DE"/>
    <w:rsid w:val="00D51746"/>
    <w:rsid w:val="00D5179D"/>
    <w:rsid w:val="00D517C5"/>
    <w:rsid w:val="00D51893"/>
    <w:rsid w:val="00D51A1C"/>
    <w:rsid w:val="00D51A40"/>
    <w:rsid w:val="00D51A41"/>
    <w:rsid w:val="00D51AE2"/>
    <w:rsid w:val="00D51C5E"/>
    <w:rsid w:val="00D51D2F"/>
    <w:rsid w:val="00D51D81"/>
    <w:rsid w:val="00D51E3F"/>
    <w:rsid w:val="00D51FFF"/>
    <w:rsid w:val="00D52090"/>
    <w:rsid w:val="00D52155"/>
    <w:rsid w:val="00D5219E"/>
    <w:rsid w:val="00D52385"/>
    <w:rsid w:val="00D524F7"/>
    <w:rsid w:val="00D529AB"/>
    <w:rsid w:val="00D52A7E"/>
    <w:rsid w:val="00D52ADC"/>
    <w:rsid w:val="00D52C47"/>
    <w:rsid w:val="00D52CC2"/>
    <w:rsid w:val="00D52E40"/>
    <w:rsid w:val="00D52FEA"/>
    <w:rsid w:val="00D52FF7"/>
    <w:rsid w:val="00D530AC"/>
    <w:rsid w:val="00D530F6"/>
    <w:rsid w:val="00D53197"/>
    <w:rsid w:val="00D53263"/>
    <w:rsid w:val="00D5344A"/>
    <w:rsid w:val="00D53480"/>
    <w:rsid w:val="00D53639"/>
    <w:rsid w:val="00D537F5"/>
    <w:rsid w:val="00D5388D"/>
    <w:rsid w:val="00D5398C"/>
    <w:rsid w:val="00D53D7C"/>
    <w:rsid w:val="00D53DC1"/>
    <w:rsid w:val="00D53E07"/>
    <w:rsid w:val="00D53E54"/>
    <w:rsid w:val="00D542BE"/>
    <w:rsid w:val="00D5433A"/>
    <w:rsid w:val="00D543D6"/>
    <w:rsid w:val="00D5448E"/>
    <w:rsid w:val="00D54655"/>
    <w:rsid w:val="00D54814"/>
    <w:rsid w:val="00D54CE3"/>
    <w:rsid w:val="00D54CE8"/>
    <w:rsid w:val="00D54D26"/>
    <w:rsid w:val="00D54DEF"/>
    <w:rsid w:val="00D55060"/>
    <w:rsid w:val="00D55106"/>
    <w:rsid w:val="00D5512C"/>
    <w:rsid w:val="00D55153"/>
    <w:rsid w:val="00D55353"/>
    <w:rsid w:val="00D5539F"/>
    <w:rsid w:val="00D55637"/>
    <w:rsid w:val="00D557FD"/>
    <w:rsid w:val="00D55855"/>
    <w:rsid w:val="00D55C79"/>
    <w:rsid w:val="00D55E9B"/>
    <w:rsid w:val="00D55F03"/>
    <w:rsid w:val="00D55F97"/>
    <w:rsid w:val="00D5608E"/>
    <w:rsid w:val="00D561F4"/>
    <w:rsid w:val="00D56346"/>
    <w:rsid w:val="00D563ED"/>
    <w:rsid w:val="00D564E9"/>
    <w:rsid w:val="00D565FF"/>
    <w:rsid w:val="00D5665B"/>
    <w:rsid w:val="00D567C6"/>
    <w:rsid w:val="00D56AA2"/>
    <w:rsid w:val="00D56B10"/>
    <w:rsid w:val="00D56E7E"/>
    <w:rsid w:val="00D56FD3"/>
    <w:rsid w:val="00D57005"/>
    <w:rsid w:val="00D57325"/>
    <w:rsid w:val="00D57494"/>
    <w:rsid w:val="00D575A5"/>
    <w:rsid w:val="00D579A7"/>
    <w:rsid w:val="00D579BD"/>
    <w:rsid w:val="00D579D9"/>
    <w:rsid w:val="00D579F8"/>
    <w:rsid w:val="00D57CFD"/>
    <w:rsid w:val="00D57D23"/>
    <w:rsid w:val="00D57D39"/>
    <w:rsid w:val="00D57DAB"/>
    <w:rsid w:val="00D6002D"/>
    <w:rsid w:val="00D6014F"/>
    <w:rsid w:val="00D601CA"/>
    <w:rsid w:val="00D601D2"/>
    <w:rsid w:val="00D602C4"/>
    <w:rsid w:val="00D6038F"/>
    <w:rsid w:val="00D603D3"/>
    <w:rsid w:val="00D60414"/>
    <w:rsid w:val="00D604A2"/>
    <w:rsid w:val="00D604A6"/>
    <w:rsid w:val="00D6054A"/>
    <w:rsid w:val="00D606BA"/>
    <w:rsid w:val="00D606C4"/>
    <w:rsid w:val="00D60730"/>
    <w:rsid w:val="00D60DEA"/>
    <w:rsid w:val="00D60EA4"/>
    <w:rsid w:val="00D60ED9"/>
    <w:rsid w:val="00D61170"/>
    <w:rsid w:val="00D61229"/>
    <w:rsid w:val="00D6124B"/>
    <w:rsid w:val="00D61388"/>
    <w:rsid w:val="00D6144C"/>
    <w:rsid w:val="00D616C7"/>
    <w:rsid w:val="00D6176D"/>
    <w:rsid w:val="00D617DC"/>
    <w:rsid w:val="00D618ED"/>
    <w:rsid w:val="00D61BED"/>
    <w:rsid w:val="00D61C17"/>
    <w:rsid w:val="00D61C2F"/>
    <w:rsid w:val="00D61C6C"/>
    <w:rsid w:val="00D61CD2"/>
    <w:rsid w:val="00D61DE8"/>
    <w:rsid w:val="00D61DF0"/>
    <w:rsid w:val="00D6204E"/>
    <w:rsid w:val="00D62108"/>
    <w:rsid w:val="00D62139"/>
    <w:rsid w:val="00D6241B"/>
    <w:rsid w:val="00D624D7"/>
    <w:rsid w:val="00D626D9"/>
    <w:rsid w:val="00D6271F"/>
    <w:rsid w:val="00D627AB"/>
    <w:rsid w:val="00D627D0"/>
    <w:rsid w:val="00D62939"/>
    <w:rsid w:val="00D6294E"/>
    <w:rsid w:val="00D6299E"/>
    <w:rsid w:val="00D62B71"/>
    <w:rsid w:val="00D62DDC"/>
    <w:rsid w:val="00D62F12"/>
    <w:rsid w:val="00D62F91"/>
    <w:rsid w:val="00D62FA2"/>
    <w:rsid w:val="00D630C7"/>
    <w:rsid w:val="00D632CD"/>
    <w:rsid w:val="00D632CF"/>
    <w:rsid w:val="00D63522"/>
    <w:rsid w:val="00D6359E"/>
    <w:rsid w:val="00D63633"/>
    <w:rsid w:val="00D636C8"/>
    <w:rsid w:val="00D637A0"/>
    <w:rsid w:val="00D637E2"/>
    <w:rsid w:val="00D6391B"/>
    <w:rsid w:val="00D63AD0"/>
    <w:rsid w:val="00D63D6E"/>
    <w:rsid w:val="00D63EF1"/>
    <w:rsid w:val="00D63F54"/>
    <w:rsid w:val="00D6420E"/>
    <w:rsid w:val="00D64620"/>
    <w:rsid w:val="00D64A0E"/>
    <w:rsid w:val="00D64B89"/>
    <w:rsid w:val="00D64BB2"/>
    <w:rsid w:val="00D64CA9"/>
    <w:rsid w:val="00D64E0B"/>
    <w:rsid w:val="00D65257"/>
    <w:rsid w:val="00D65262"/>
    <w:rsid w:val="00D65395"/>
    <w:rsid w:val="00D653AF"/>
    <w:rsid w:val="00D6564D"/>
    <w:rsid w:val="00D65757"/>
    <w:rsid w:val="00D659F1"/>
    <w:rsid w:val="00D65D62"/>
    <w:rsid w:val="00D66042"/>
    <w:rsid w:val="00D660EB"/>
    <w:rsid w:val="00D66134"/>
    <w:rsid w:val="00D66365"/>
    <w:rsid w:val="00D667CE"/>
    <w:rsid w:val="00D66806"/>
    <w:rsid w:val="00D6692A"/>
    <w:rsid w:val="00D66AA6"/>
    <w:rsid w:val="00D66B1E"/>
    <w:rsid w:val="00D66BF3"/>
    <w:rsid w:val="00D6701F"/>
    <w:rsid w:val="00D67073"/>
    <w:rsid w:val="00D670B1"/>
    <w:rsid w:val="00D670D8"/>
    <w:rsid w:val="00D672FF"/>
    <w:rsid w:val="00D6742B"/>
    <w:rsid w:val="00D67455"/>
    <w:rsid w:val="00D675A0"/>
    <w:rsid w:val="00D676B3"/>
    <w:rsid w:val="00D676FB"/>
    <w:rsid w:val="00D67D76"/>
    <w:rsid w:val="00D67D84"/>
    <w:rsid w:val="00D7009F"/>
    <w:rsid w:val="00D70179"/>
    <w:rsid w:val="00D703E7"/>
    <w:rsid w:val="00D70444"/>
    <w:rsid w:val="00D704D5"/>
    <w:rsid w:val="00D7068A"/>
    <w:rsid w:val="00D7074D"/>
    <w:rsid w:val="00D7084A"/>
    <w:rsid w:val="00D70BA5"/>
    <w:rsid w:val="00D70C84"/>
    <w:rsid w:val="00D70EBE"/>
    <w:rsid w:val="00D70F24"/>
    <w:rsid w:val="00D7100A"/>
    <w:rsid w:val="00D71126"/>
    <w:rsid w:val="00D71248"/>
    <w:rsid w:val="00D71284"/>
    <w:rsid w:val="00D7129F"/>
    <w:rsid w:val="00D71413"/>
    <w:rsid w:val="00D71678"/>
    <w:rsid w:val="00D71703"/>
    <w:rsid w:val="00D71777"/>
    <w:rsid w:val="00D71781"/>
    <w:rsid w:val="00D71A46"/>
    <w:rsid w:val="00D71CA8"/>
    <w:rsid w:val="00D71CAB"/>
    <w:rsid w:val="00D71E38"/>
    <w:rsid w:val="00D71E74"/>
    <w:rsid w:val="00D71FE7"/>
    <w:rsid w:val="00D72260"/>
    <w:rsid w:val="00D72404"/>
    <w:rsid w:val="00D72496"/>
    <w:rsid w:val="00D7257A"/>
    <w:rsid w:val="00D727B7"/>
    <w:rsid w:val="00D728DA"/>
    <w:rsid w:val="00D73516"/>
    <w:rsid w:val="00D736C8"/>
    <w:rsid w:val="00D73866"/>
    <w:rsid w:val="00D7392B"/>
    <w:rsid w:val="00D73B0E"/>
    <w:rsid w:val="00D73B29"/>
    <w:rsid w:val="00D73CB4"/>
    <w:rsid w:val="00D73D07"/>
    <w:rsid w:val="00D73D55"/>
    <w:rsid w:val="00D74012"/>
    <w:rsid w:val="00D740F1"/>
    <w:rsid w:val="00D74195"/>
    <w:rsid w:val="00D741A0"/>
    <w:rsid w:val="00D741BB"/>
    <w:rsid w:val="00D7433D"/>
    <w:rsid w:val="00D7450A"/>
    <w:rsid w:val="00D74566"/>
    <w:rsid w:val="00D75036"/>
    <w:rsid w:val="00D75146"/>
    <w:rsid w:val="00D751C5"/>
    <w:rsid w:val="00D7521D"/>
    <w:rsid w:val="00D7541C"/>
    <w:rsid w:val="00D75504"/>
    <w:rsid w:val="00D75599"/>
    <w:rsid w:val="00D7571E"/>
    <w:rsid w:val="00D757D8"/>
    <w:rsid w:val="00D75A7D"/>
    <w:rsid w:val="00D75AC7"/>
    <w:rsid w:val="00D75B1E"/>
    <w:rsid w:val="00D75BB6"/>
    <w:rsid w:val="00D75C25"/>
    <w:rsid w:val="00D75C8A"/>
    <w:rsid w:val="00D75E60"/>
    <w:rsid w:val="00D75EA8"/>
    <w:rsid w:val="00D76262"/>
    <w:rsid w:val="00D76297"/>
    <w:rsid w:val="00D764B4"/>
    <w:rsid w:val="00D76530"/>
    <w:rsid w:val="00D765F6"/>
    <w:rsid w:val="00D76636"/>
    <w:rsid w:val="00D76715"/>
    <w:rsid w:val="00D76751"/>
    <w:rsid w:val="00D767C7"/>
    <w:rsid w:val="00D76959"/>
    <w:rsid w:val="00D76A66"/>
    <w:rsid w:val="00D76B48"/>
    <w:rsid w:val="00D76BA5"/>
    <w:rsid w:val="00D76D44"/>
    <w:rsid w:val="00D76E9A"/>
    <w:rsid w:val="00D77269"/>
    <w:rsid w:val="00D77308"/>
    <w:rsid w:val="00D773EC"/>
    <w:rsid w:val="00D774F4"/>
    <w:rsid w:val="00D77601"/>
    <w:rsid w:val="00D77612"/>
    <w:rsid w:val="00D77651"/>
    <w:rsid w:val="00D777A3"/>
    <w:rsid w:val="00D778E7"/>
    <w:rsid w:val="00D77CF6"/>
    <w:rsid w:val="00D77D13"/>
    <w:rsid w:val="00D77F70"/>
    <w:rsid w:val="00D77FAC"/>
    <w:rsid w:val="00D80026"/>
    <w:rsid w:val="00D8029E"/>
    <w:rsid w:val="00D802CA"/>
    <w:rsid w:val="00D80329"/>
    <w:rsid w:val="00D804EE"/>
    <w:rsid w:val="00D805D3"/>
    <w:rsid w:val="00D80684"/>
    <w:rsid w:val="00D80867"/>
    <w:rsid w:val="00D808F5"/>
    <w:rsid w:val="00D80998"/>
    <w:rsid w:val="00D809E9"/>
    <w:rsid w:val="00D80D09"/>
    <w:rsid w:val="00D80D11"/>
    <w:rsid w:val="00D81119"/>
    <w:rsid w:val="00D81128"/>
    <w:rsid w:val="00D811A2"/>
    <w:rsid w:val="00D813C1"/>
    <w:rsid w:val="00D81481"/>
    <w:rsid w:val="00D81668"/>
    <w:rsid w:val="00D8194B"/>
    <w:rsid w:val="00D8198F"/>
    <w:rsid w:val="00D81A6C"/>
    <w:rsid w:val="00D81CC5"/>
    <w:rsid w:val="00D81E67"/>
    <w:rsid w:val="00D81F6C"/>
    <w:rsid w:val="00D8203E"/>
    <w:rsid w:val="00D820B0"/>
    <w:rsid w:val="00D820F4"/>
    <w:rsid w:val="00D82163"/>
    <w:rsid w:val="00D822D4"/>
    <w:rsid w:val="00D82417"/>
    <w:rsid w:val="00D82530"/>
    <w:rsid w:val="00D82687"/>
    <w:rsid w:val="00D826D4"/>
    <w:rsid w:val="00D82725"/>
    <w:rsid w:val="00D828EB"/>
    <w:rsid w:val="00D82A10"/>
    <w:rsid w:val="00D82B3A"/>
    <w:rsid w:val="00D82CD9"/>
    <w:rsid w:val="00D82DDF"/>
    <w:rsid w:val="00D8332E"/>
    <w:rsid w:val="00D8350C"/>
    <w:rsid w:val="00D837EE"/>
    <w:rsid w:val="00D83C1E"/>
    <w:rsid w:val="00D83C9E"/>
    <w:rsid w:val="00D83CB1"/>
    <w:rsid w:val="00D83F35"/>
    <w:rsid w:val="00D83FD2"/>
    <w:rsid w:val="00D8420A"/>
    <w:rsid w:val="00D843E2"/>
    <w:rsid w:val="00D84512"/>
    <w:rsid w:val="00D84594"/>
    <w:rsid w:val="00D8469A"/>
    <w:rsid w:val="00D84A00"/>
    <w:rsid w:val="00D84ADD"/>
    <w:rsid w:val="00D84B37"/>
    <w:rsid w:val="00D84C10"/>
    <w:rsid w:val="00D84F2A"/>
    <w:rsid w:val="00D84F4A"/>
    <w:rsid w:val="00D8508E"/>
    <w:rsid w:val="00D85182"/>
    <w:rsid w:val="00D8528A"/>
    <w:rsid w:val="00D852B3"/>
    <w:rsid w:val="00D853A8"/>
    <w:rsid w:val="00D853EE"/>
    <w:rsid w:val="00D85490"/>
    <w:rsid w:val="00D855E4"/>
    <w:rsid w:val="00D855F2"/>
    <w:rsid w:val="00D856E5"/>
    <w:rsid w:val="00D859BE"/>
    <w:rsid w:val="00D85B65"/>
    <w:rsid w:val="00D85D92"/>
    <w:rsid w:val="00D85E74"/>
    <w:rsid w:val="00D864B0"/>
    <w:rsid w:val="00D86A14"/>
    <w:rsid w:val="00D86A3A"/>
    <w:rsid w:val="00D86B52"/>
    <w:rsid w:val="00D86BE3"/>
    <w:rsid w:val="00D86C5E"/>
    <w:rsid w:val="00D86D41"/>
    <w:rsid w:val="00D86DCC"/>
    <w:rsid w:val="00D86F26"/>
    <w:rsid w:val="00D87047"/>
    <w:rsid w:val="00D87259"/>
    <w:rsid w:val="00D87574"/>
    <w:rsid w:val="00D87898"/>
    <w:rsid w:val="00D878BB"/>
    <w:rsid w:val="00D878CC"/>
    <w:rsid w:val="00D87BA5"/>
    <w:rsid w:val="00D87D54"/>
    <w:rsid w:val="00D87DAA"/>
    <w:rsid w:val="00D87E41"/>
    <w:rsid w:val="00D87EBB"/>
    <w:rsid w:val="00D87EF0"/>
    <w:rsid w:val="00D87FC7"/>
    <w:rsid w:val="00D901C6"/>
    <w:rsid w:val="00D902DD"/>
    <w:rsid w:val="00D90318"/>
    <w:rsid w:val="00D9041D"/>
    <w:rsid w:val="00D9048B"/>
    <w:rsid w:val="00D9090A"/>
    <w:rsid w:val="00D90A6F"/>
    <w:rsid w:val="00D90AA6"/>
    <w:rsid w:val="00D90BCC"/>
    <w:rsid w:val="00D90C4B"/>
    <w:rsid w:val="00D90EA8"/>
    <w:rsid w:val="00D91112"/>
    <w:rsid w:val="00D912C4"/>
    <w:rsid w:val="00D913A5"/>
    <w:rsid w:val="00D91421"/>
    <w:rsid w:val="00D9143E"/>
    <w:rsid w:val="00D9149A"/>
    <w:rsid w:val="00D91781"/>
    <w:rsid w:val="00D91853"/>
    <w:rsid w:val="00D918B3"/>
    <w:rsid w:val="00D91AB8"/>
    <w:rsid w:val="00D91D74"/>
    <w:rsid w:val="00D91E20"/>
    <w:rsid w:val="00D91F21"/>
    <w:rsid w:val="00D92040"/>
    <w:rsid w:val="00D9236E"/>
    <w:rsid w:val="00D925E0"/>
    <w:rsid w:val="00D92620"/>
    <w:rsid w:val="00D926C3"/>
    <w:rsid w:val="00D92916"/>
    <w:rsid w:val="00D92928"/>
    <w:rsid w:val="00D92AA8"/>
    <w:rsid w:val="00D92D16"/>
    <w:rsid w:val="00D92D8F"/>
    <w:rsid w:val="00D92EBB"/>
    <w:rsid w:val="00D92FCB"/>
    <w:rsid w:val="00D9313A"/>
    <w:rsid w:val="00D93621"/>
    <w:rsid w:val="00D937FD"/>
    <w:rsid w:val="00D93833"/>
    <w:rsid w:val="00D938BC"/>
    <w:rsid w:val="00D93966"/>
    <w:rsid w:val="00D93C60"/>
    <w:rsid w:val="00D93D3C"/>
    <w:rsid w:val="00D93E26"/>
    <w:rsid w:val="00D93EB5"/>
    <w:rsid w:val="00D93F5B"/>
    <w:rsid w:val="00D94351"/>
    <w:rsid w:val="00D9436C"/>
    <w:rsid w:val="00D9444A"/>
    <w:rsid w:val="00D944DD"/>
    <w:rsid w:val="00D948B4"/>
    <w:rsid w:val="00D94DC3"/>
    <w:rsid w:val="00D94E7F"/>
    <w:rsid w:val="00D95040"/>
    <w:rsid w:val="00D952E4"/>
    <w:rsid w:val="00D95417"/>
    <w:rsid w:val="00D95525"/>
    <w:rsid w:val="00D9560B"/>
    <w:rsid w:val="00D95816"/>
    <w:rsid w:val="00D95927"/>
    <w:rsid w:val="00D95A21"/>
    <w:rsid w:val="00D95D51"/>
    <w:rsid w:val="00D95DDF"/>
    <w:rsid w:val="00D960D1"/>
    <w:rsid w:val="00D96174"/>
    <w:rsid w:val="00D9631E"/>
    <w:rsid w:val="00D9633B"/>
    <w:rsid w:val="00D9647C"/>
    <w:rsid w:val="00D96882"/>
    <w:rsid w:val="00D968CD"/>
    <w:rsid w:val="00D969AD"/>
    <w:rsid w:val="00D96B34"/>
    <w:rsid w:val="00D96C5C"/>
    <w:rsid w:val="00D96C9D"/>
    <w:rsid w:val="00D96CE7"/>
    <w:rsid w:val="00D96DF7"/>
    <w:rsid w:val="00D96EA2"/>
    <w:rsid w:val="00D96ED3"/>
    <w:rsid w:val="00D96F99"/>
    <w:rsid w:val="00D96FA5"/>
    <w:rsid w:val="00D9719D"/>
    <w:rsid w:val="00D9734C"/>
    <w:rsid w:val="00D9761C"/>
    <w:rsid w:val="00D97D80"/>
    <w:rsid w:val="00D97D81"/>
    <w:rsid w:val="00D97E48"/>
    <w:rsid w:val="00D97F19"/>
    <w:rsid w:val="00D97F90"/>
    <w:rsid w:val="00DA01AF"/>
    <w:rsid w:val="00DA038A"/>
    <w:rsid w:val="00DA0504"/>
    <w:rsid w:val="00DA05E8"/>
    <w:rsid w:val="00DA05FB"/>
    <w:rsid w:val="00DA0656"/>
    <w:rsid w:val="00DA07EC"/>
    <w:rsid w:val="00DA085B"/>
    <w:rsid w:val="00DA0865"/>
    <w:rsid w:val="00DA0921"/>
    <w:rsid w:val="00DA0B47"/>
    <w:rsid w:val="00DA0C20"/>
    <w:rsid w:val="00DA11D7"/>
    <w:rsid w:val="00DA1253"/>
    <w:rsid w:val="00DA127F"/>
    <w:rsid w:val="00DA1311"/>
    <w:rsid w:val="00DA1319"/>
    <w:rsid w:val="00DA159A"/>
    <w:rsid w:val="00DA1613"/>
    <w:rsid w:val="00DA16D6"/>
    <w:rsid w:val="00DA17C7"/>
    <w:rsid w:val="00DA190B"/>
    <w:rsid w:val="00DA191F"/>
    <w:rsid w:val="00DA1998"/>
    <w:rsid w:val="00DA1B34"/>
    <w:rsid w:val="00DA1C87"/>
    <w:rsid w:val="00DA1DCA"/>
    <w:rsid w:val="00DA1EFF"/>
    <w:rsid w:val="00DA207E"/>
    <w:rsid w:val="00DA2267"/>
    <w:rsid w:val="00DA23F8"/>
    <w:rsid w:val="00DA2480"/>
    <w:rsid w:val="00DA24A6"/>
    <w:rsid w:val="00DA24E5"/>
    <w:rsid w:val="00DA2582"/>
    <w:rsid w:val="00DA2626"/>
    <w:rsid w:val="00DA2727"/>
    <w:rsid w:val="00DA2753"/>
    <w:rsid w:val="00DA292A"/>
    <w:rsid w:val="00DA29A5"/>
    <w:rsid w:val="00DA2B37"/>
    <w:rsid w:val="00DA2B93"/>
    <w:rsid w:val="00DA2EBF"/>
    <w:rsid w:val="00DA2F9D"/>
    <w:rsid w:val="00DA314A"/>
    <w:rsid w:val="00DA3175"/>
    <w:rsid w:val="00DA3616"/>
    <w:rsid w:val="00DA367E"/>
    <w:rsid w:val="00DA3724"/>
    <w:rsid w:val="00DA377E"/>
    <w:rsid w:val="00DA3784"/>
    <w:rsid w:val="00DA3927"/>
    <w:rsid w:val="00DA3972"/>
    <w:rsid w:val="00DA3A47"/>
    <w:rsid w:val="00DA3A52"/>
    <w:rsid w:val="00DA3ABE"/>
    <w:rsid w:val="00DA3AF7"/>
    <w:rsid w:val="00DA3B2D"/>
    <w:rsid w:val="00DA3B4E"/>
    <w:rsid w:val="00DA3CED"/>
    <w:rsid w:val="00DA3FA6"/>
    <w:rsid w:val="00DA3FB2"/>
    <w:rsid w:val="00DA4245"/>
    <w:rsid w:val="00DA4483"/>
    <w:rsid w:val="00DA4488"/>
    <w:rsid w:val="00DA4606"/>
    <w:rsid w:val="00DA475B"/>
    <w:rsid w:val="00DA481A"/>
    <w:rsid w:val="00DA49FB"/>
    <w:rsid w:val="00DA4A2F"/>
    <w:rsid w:val="00DA4AEB"/>
    <w:rsid w:val="00DA4BD4"/>
    <w:rsid w:val="00DA4F17"/>
    <w:rsid w:val="00DA4F83"/>
    <w:rsid w:val="00DA50D8"/>
    <w:rsid w:val="00DA52E7"/>
    <w:rsid w:val="00DA53AC"/>
    <w:rsid w:val="00DA5508"/>
    <w:rsid w:val="00DA5748"/>
    <w:rsid w:val="00DA576A"/>
    <w:rsid w:val="00DA5805"/>
    <w:rsid w:val="00DA58C2"/>
    <w:rsid w:val="00DA5908"/>
    <w:rsid w:val="00DA5BC4"/>
    <w:rsid w:val="00DA5C64"/>
    <w:rsid w:val="00DA5D51"/>
    <w:rsid w:val="00DA5E80"/>
    <w:rsid w:val="00DA61D3"/>
    <w:rsid w:val="00DA61F1"/>
    <w:rsid w:val="00DA6650"/>
    <w:rsid w:val="00DA6690"/>
    <w:rsid w:val="00DA6C5F"/>
    <w:rsid w:val="00DA6CFA"/>
    <w:rsid w:val="00DA6D4F"/>
    <w:rsid w:val="00DA6DF7"/>
    <w:rsid w:val="00DA6E7A"/>
    <w:rsid w:val="00DA7087"/>
    <w:rsid w:val="00DA7266"/>
    <w:rsid w:val="00DA741D"/>
    <w:rsid w:val="00DA77A8"/>
    <w:rsid w:val="00DA784D"/>
    <w:rsid w:val="00DA78EB"/>
    <w:rsid w:val="00DA7A98"/>
    <w:rsid w:val="00DA7AEE"/>
    <w:rsid w:val="00DA7B5E"/>
    <w:rsid w:val="00DA7DFB"/>
    <w:rsid w:val="00DA7E78"/>
    <w:rsid w:val="00DA7EB2"/>
    <w:rsid w:val="00DA7ECF"/>
    <w:rsid w:val="00DB00EB"/>
    <w:rsid w:val="00DB02BB"/>
    <w:rsid w:val="00DB0415"/>
    <w:rsid w:val="00DB05DD"/>
    <w:rsid w:val="00DB06C5"/>
    <w:rsid w:val="00DB08DC"/>
    <w:rsid w:val="00DB08E8"/>
    <w:rsid w:val="00DB0ADF"/>
    <w:rsid w:val="00DB0C21"/>
    <w:rsid w:val="00DB0C89"/>
    <w:rsid w:val="00DB0D32"/>
    <w:rsid w:val="00DB0D34"/>
    <w:rsid w:val="00DB0F2E"/>
    <w:rsid w:val="00DB0F36"/>
    <w:rsid w:val="00DB0FD1"/>
    <w:rsid w:val="00DB120C"/>
    <w:rsid w:val="00DB122C"/>
    <w:rsid w:val="00DB1297"/>
    <w:rsid w:val="00DB136F"/>
    <w:rsid w:val="00DB13E3"/>
    <w:rsid w:val="00DB1871"/>
    <w:rsid w:val="00DB1925"/>
    <w:rsid w:val="00DB19B6"/>
    <w:rsid w:val="00DB1AC5"/>
    <w:rsid w:val="00DB1BD9"/>
    <w:rsid w:val="00DB1D71"/>
    <w:rsid w:val="00DB1D87"/>
    <w:rsid w:val="00DB1E0A"/>
    <w:rsid w:val="00DB220D"/>
    <w:rsid w:val="00DB2361"/>
    <w:rsid w:val="00DB265E"/>
    <w:rsid w:val="00DB272F"/>
    <w:rsid w:val="00DB29BC"/>
    <w:rsid w:val="00DB2C0C"/>
    <w:rsid w:val="00DB322A"/>
    <w:rsid w:val="00DB341F"/>
    <w:rsid w:val="00DB345C"/>
    <w:rsid w:val="00DB34AB"/>
    <w:rsid w:val="00DB34CD"/>
    <w:rsid w:val="00DB3778"/>
    <w:rsid w:val="00DB37EC"/>
    <w:rsid w:val="00DB399B"/>
    <w:rsid w:val="00DB3AA0"/>
    <w:rsid w:val="00DB3B95"/>
    <w:rsid w:val="00DB3E93"/>
    <w:rsid w:val="00DB41C6"/>
    <w:rsid w:val="00DB45F5"/>
    <w:rsid w:val="00DB46B8"/>
    <w:rsid w:val="00DB4789"/>
    <w:rsid w:val="00DB4956"/>
    <w:rsid w:val="00DB49D2"/>
    <w:rsid w:val="00DB4A30"/>
    <w:rsid w:val="00DB4B1A"/>
    <w:rsid w:val="00DB4B96"/>
    <w:rsid w:val="00DB4CCC"/>
    <w:rsid w:val="00DB4D1C"/>
    <w:rsid w:val="00DB4DB1"/>
    <w:rsid w:val="00DB505B"/>
    <w:rsid w:val="00DB518B"/>
    <w:rsid w:val="00DB530E"/>
    <w:rsid w:val="00DB5486"/>
    <w:rsid w:val="00DB55AD"/>
    <w:rsid w:val="00DB565F"/>
    <w:rsid w:val="00DB5817"/>
    <w:rsid w:val="00DB5A42"/>
    <w:rsid w:val="00DB5CC5"/>
    <w:rsid w:val="00DB6083"/>
    <w:rsid w:val="00DB60C9"/>
    <w:rsid w:val="00DB63FC"/>
    <w:rsid w:val="00DB64CC"/>
    <w:rsid w:val="00DB6547"/>
    <w:rsid w:val="00DB675B"/>
    <w:rsid w:val="00DB67B7"/>
    <w:rsid w:val="00DB6894"/>
    <w:rsid w:val="00DB691C"/>
    <w:rsid w:val="00DB6AAF"/>
    <w:rsid w:val="00DB6C82"/>
    <w:rsid w:val="00DB6D0D"/>
    <w:rsid w:val="00DB6E72"/>
    <w:rsid w:val="00DB6E7D"/>
    <w:rsid w:val="00DB6F19"/>
    <w:rsid w:val="00DB7281"/>
    <w:rsid w:val="00DB7323"/>
    <w:rsid w:val="00DB756B"/>
    <w:rsid w:val="00DB7797"/>
    <w:rsid w:val="00DB7819"/>
    <w:rsid w:val="00DB78A4"/>
    <w:rsid w:val="00DB78C8"/>
    <w:rsid w:val="00DB79BD"/>
    <w:rsid w:val="00DB7C5E"/>
    <w:rsid w:val="00DB7CD1"/>
    <w:rsid w:val="00DB7D5F"/>
    <w:rsid w:val="00DC0233"/>
    <w:rsid w:val="00DC0250"/>
    <w:rsid w:val="00DC04B0"/>
    <w:rsid w:val="00DC0533"/>
    <w:rsid w:val="00DC056F"/>
    <w:rsid w:val="00DC0574"/>
    <w:rsid w:val="00DC05B5"/>
    <w:rsid w:val="00DC05C6"/>
    <w:rsid w:val="00DC05DA"/>
    <w:rsid w:val="00DC08D3"/>
    <w:rsid w:val="00DC0A36"/>
    <w:rsid w:val="00DC0A8E"/>
    <w:rsid w:val="00DC0A94"/>
    <w:rsid w:val="00DC0B12"/>
    <w:rsid w:val="00DC0DE4"/>
    <w:rsid w:val="00DC0ED7"/>
    <w:rsid w:val="00DC0F4E"/>
    <w:rsid w:val="00DC115F"/>
    <w:rsid w:val="00DC11B0"/>
    <w:rsid w:val="00DC12ED"/>
    <w:rsid w:val="00DC12F6"/>
    <w:rsid w:val="00DC1326"/>
    <w:rsid w:val="00DC14D5"/>
    <w:rsid w:val="00DC1636"/>
    <w:rsid w:val="00DC1A11"/>
    <w:rsid w:val="00DC1BB3"/>
    <w:rsid w:val="00DC1C69"/>
    <w:rsid w:val="00DC1C7F"/>
    <w:rsid w:val="00DC1D03"/>
    <w:rsid w:val="00DC1E80"/>
    <w:rsid w:val="00DC1FF5"/>
    <w:rsid w:val="00DC209E"/>
    <w:rsid w:val="00DC21D7"/>
    <w:rsid w:val="00DC2336"/>
    <w:rsid w:val="00DC237B"/>
    <w:rsid w:val="00DC237F"/>
    <w:rsid w:val="00DC246B"/>
    <w:rsid w:val="00DC2586"/>
    <w:rsid w:val="00DC2651"/>
    <w:rsid w:val="00DC2729"/>
    <w:rsid w:val="00DC2B15"/>
    <w:rsid w:val="00DC2B8C"/>
    <w:rsid w:val="00DC2CA4"/>
    <w:rsid w:val="00DC2E88"/>
    <w:rsid w:val="00DC2FF9"/>
    <w:rsid w:val="00DC3163"/>
    <w:rsid w:val="00DC32B3"/>
    <w:rsid w:val="00DC3465"/>
    <w:rsid w:val="00DC3547"/>
    <w:rsid w:val="00DC3549"/>
    <w:rsid w:val="00DC357E"/>
    <w:rsid w:val="00DC3732"/>
    <w:rsid w:val="00DC38B2"/>
    <w:rsid w:val="00DC392D"/>
    <w:rsid w:val="00DC3A87"/>
    <w:rsid w:val="00DC3BB5"/>
    <w:rsid w:val="00DC3CF6"/>
    <w:rsid w:val="00DC3D4A"/>
    <w:rsid w:val="00DC3D94"/>
    <w:rsid w:val="00DC3FF6"/>
    <w:rsid w:val="00DC410E"/>
    <w:rsid w:val="00DC41C4"/>
    <w:rsid w:val="00DC4271"/>
    <w:rsid w:val="00DC4872"/>
    <w:rsid w:val="00DC48BB"/>
    <w:rsid w:val="00DC4A1C"/>
    <w:rsid w:val="00DC4BD2"/>
    <w:rsid w:val="00DC4D62"/>
    <w:rsid w:val="00DC4EE6"/>
    <w:rsid w:val="00DC4F09"/>
    <w:rsid w:val="00DC518E"/>
    <w:rsid w:val="00DC5213"/>
    <w:rsid w:val="00DC534C"/>
    <w:rsid w:val="00DC562D"/>
    <w:rsid w:val="00DC5994"/>
    <w:rsid w:val="00DC5A08"/>
    <w:rsid w:val="00DC5AFE"/>
    <w:rsid w:val="00DC5B44"/>
    <w:rsid w:val="00DC5E50"/>
    <w:rsid w:val="00DC5F3F"/>
    <w:rsid w:val="00DC5F83"/>
    <w:rsid w:val="00DC5FBD"/>
    <w:rsid w:val="00DC6057"/>
    <w:rsid w:val="00DC6135"/>
    <w:rsid w:val="00DC616B"/>
    <w:rsid w:val="00DC620A"/>
    <w:rsid w:val="00DC6292"/>
    <w:rsid w:val="00DC63B0"/>
    <w:rsid w:val="00DC65E0"/>
    <w:rsid w:val="00DC6733"/>
    <w:rsid w:val="00DC6822"/>
    <w:rsid w:val="00DC6832"/>
    <w:rsid w:val="00DC689E"/>
    <w:rsid w:val="00DC693E"/>
    <w:rsid w:val="00DC69AF"/>
    <w:rsid w:val="00DC6AB7"/>
    <w:rsid w:val="00DC6AE9"/>
    <w:rsid w:val="00DC6AFF"/>
    <w:rsid w:val="00DC6C2A"/>
    <w:rsid w:val="00DC6C3F"/>
    <w:rsid w:val="00DC6D12"/>
    <w:rsid w:val="00DC6DA3"/>
    <w:rsid w:val="00DC6DA9"/>
    <w:rsid w:val="00DC6EFC"/>
    <w:rsid w:val="00DC7320"/>
    <w:rsid w:val="00DC759A"/>
    <w:rsid w:val="00DC75AB"/>
    <w:rsid w:val="00DC75BD"/>
    <w:rsid w:val="00DC7691"/>
    <w:rsid w:val="00DC775E"/>
    <w:rsid w:val="00DC7774"/>
    <w:rsid w:val="00DC7B12"/>
    <w:rsid w:val="00DC7C40"/>
    <w:rsid w:val="00DC7C47"/>
    <w:rsid w:val="00DC7D09"/>
    <w:rsid w:val="00DC7D97"/>
    <w:rsid w:val="00DC7EE1"/>
    <w:rsid w:val="00DC7FDD"/>
    <w:rsid w:val="00DD02C2"/>
    <w:rsid w:val="00DD03E1"/>
    <w:rsid w:val="00DD0716"/>
    <w:rsid w:val="00DD07BA"/>
    <w:rsid w:val="00DD08D8"/>
    <w:rsid w:val="00DD0AD7"/>
    <w:rsid w:val="00DD0B34"/>
    <w:rsid w:val="00DD0C5E"/>
    <w:rsid w:val="00DD0CB9"/>
    <w:rsid w:val="00DD0DD1"/>
    <w:rsid w:val="00DD0DFA"/>
    <w:rsid w:val="00DD0FFC"/>
    <w:rsid w:val="00DD12B4"/>
    <w:rsid w:val="00DD12C6"/>
    <w:rsid w:val="00DD13D1"/>
    <w:rsid w:val="00DD147D"/>
    <w:rsid w:val="00DD18AB"/>
    <w:rsid w:val="00DD18F5"/>
    <w:rsid w:val="00DD19FD"/>
    <w:rsid w:val="00DD1B25"/>
    <w:rsid w:val="00DD1E84"/>
    <w:rsid w:val="00DD2015"/>
    <w:rsid w:val="00DD216C"/>
    <w:rsid w:val="00DD2247"/>
    <w:rsid w:val="00DD2482"/>
    <w:rsid w:val="00DD25FB"/>
    <w:rsid w:val="00DD26F1"/>
    <w:rsid w:val="00DD285F"/>
    <w:rsid w:val="00DD2968"/>
    <w:rsid w:val="00DD2988"/>
    <w:rsid w:val="00DD2B80"/>
    <w:rsid w:val="00DD2EB4"/>
    <w:rsid w:val="00DD301A"/>
    <w:rsid w:val="00DD3022"/>
    <w:rsid w:val="00DD310E"/>
    <w:rsid w:val="00DD31F7"/>
    <w:rsid w:val="00DD33BB"/>
    <w:rsid w:val="00DD35DD"/>
    <w:rsid w:val="00DD3709"/>
    <w:rsid w:val="00DD39C2"/>
    <w:rsid w:val="00DD3A01"/>
    <w:rsid w:val="00DD3AAF"/>
    <w:rsid w:val="00DD3B73"/>
    <w:rsid w:val="00DD3B9B"/>
    <w:rsid w:val="00DD3C4C"/>
    <w:rsid w:val="00DD3C74"/>
    <w:rsid w:val="00DD3C98"/>
    <w:rsid w:val="00DD3DB9"/>
    <w:rsid w:val="00DD3DC4"/>
    <w:rsid w:val="00DD3E11"/>
    <w:rsid w:val="00DD3EFA"/>
    <w:rsid w:val="00DD3EFC"/>
    <w:rsid w:val="00DD3F33"/>
    <w:rsid w:val="00DD40D3"/>
    <w:rsid w:val="00DD41D7"/>
    <w:rsid w:val="00DD4342"/>
    <w:rsid w:val="00DD456F"/>
    <w:rsid w:val="00DD481C"/>
    <w:rsid w:val="00DD4931"/>
    <w:rsid w:val="00DD4AF1"/>
    <w:rsid w:val="00DD4E47"/>
    <w:rsid w:val="00DD4EBB"/>
    <w:rsid w:val="00DD4F18"/>
    <w:rsid w:val="00DD5002"/>
    <w:rsid w:val="00DD501E"/>
    <w:rsid w:val="00DD54CC"/>
    <w:rsid w:val="00DD561E"/>
    <w:rsid w:val="00DD5A82"/>
    <w:rsid w:val="00DD5C6F"/>
    <w:rsid w:val="00DD5F9B"/>
    <w:rsid w:val="00DD615F"/>
    <w:rsid w:val="00DD61FC"/>
    <w:rsid w:val="00DD629E"/>
    <w:rsid w:val="00DD62B7"/>
    <w:rsid w:val="00DD6430"/>
    <w:rsid w:val="00DD65C3"/>
    <w:rsid w:val="00DD65D1"/>
    <w:rsid w:val="00DD6657"/>
    <w:rsid w:val="00DD665C"/>
    <w:rsid w:val="00DD6811"/>
    <w:rsid w:val="00DD681C"/>
    <w:rsid w:val="00DD6894"/>
    <w:rsid w:val="00DD68D5"/>
    <w:rsid w:val="00DD694E"/>
    <w:rsid w:val="00DD6A37"/>
    <w:rsid w:val="00DD6AEC"/>
    <w:rsid w:val="00DD6B01"/>
    <w:rsid w:val="00DD6BF6"/>
    <w:rsid w:val="00DD6D8E"/>
    <w:rsid w:val="00DD6E57"/>
    <w:rsid w:val="00DD6FC7"/>
    <w:rsid w:val="00DD71C8"/>
    <w:rsid w:val="00DD7397"/>
    <w:rsid w:val="00DD75B5"/>
    <w:rsid w:val="00DD78B0"/>
    <w:rsid w:val="00DD7A2E"/>
    <w:rsid w:val="00DD7AC8"/>
    <w:rsid w:val="00DE0149"/>
    <w:rsid w:val="00DE018A"/>
    <w:rsid w:val="00DE01CA"/>
    <w:rsid w:val="00DE02CD"/>
    <w:rsid w:val="00DE0310"/>
    <w:rsid w:val="00DE0408"/>
    <w:rsid w:val="00DE0B1E"/>
    <w:rsid w:val="00DE0C24"/>
    <w:rsid w:val="00DE0C30"/>
    <w:rsid w:val="00DE0D67"/>
    <w:rsid w:val="00DE0E1B"/>
    <w:rsid w:val="00DE0F8F"/>
    <w:rsid w:val="00DE1088"/>
    <w:rsid w:val="00DE1908"/>
    <w:rsid w:val="00DE19D1"/>
    <w:rsid w:val="00DE1C4E"/>
    <w:rsid w:val="00DE1C6C"/>
    <w:rsid w:val="00DE1CED"/>
    <w:rsid w:val="00DE1F06"/>
    <w:rsid w:val="00DE1FF7"/>
    <w:rsid w:val="00DE2289"/>
    <w:rsid w:val="00DE22C9"/>
    <w:rsid w:val="00DE22DB"/>
    <w:rsid w:val="00DE22F8"/>
    <w:rsid w:val="00DE2338"/>
    <w:rsid w:val="00DE24D5"/>
    <w:rsid w:val="00DE293E"/>
    <w:rsid w:val="00DE29F6"/>
    <w:rsid w:val="00DE2AEC"/>
    <w:rsid w:val="00DE2C71"/>
    <w:rsid w:val="00DE2CB9"/>
    <w:rsid w:val="00DE2E0D"/>
    <w:rsid w:val="00DE2E82"/>
    <w:rsid w:val="00DE2ECF"/>
    <w:rsid w:val="00DE3339"/>
    <w:rsid w:val="00DE357C"/>
    <w:rsid w:val="00DE374C"/>
    <w:rsid w:val="00DE3991"/>
    <w:rsid w:val="00DE3A2D"/>
    <w:rsid w:val="00DE3C37"/>
    <w:rsid w:val="00DE3D87"/>
    <w:rsid w:val="00DE3E1F"/>
    <w:rsid w:val="00DE3EBB"/>
    <w:rsid w:val="00DE4031"/>
    <w:rsid w:val="00DE4036"/>
    <w:rsid w:val="00DE444B"/>
    <w:rsid w:val="00DE449C"/>
    <w:rsid w:val="00DE45DA"/>
    <w:rsid w:val="00DE4710"/>
    <w:rsid w:val="00DE4723"/>
    <w:rsid w:val="00DE477E"/>
    <w:rsid w:val="00DE4795"/>
    <w:rsid w:val="00DE4979"/>
    <w:rsid w:val="00DE4E2B"/>
    <w:rsid w:val="00DE4E71"/>
    <w:rsid w:val="00DE4EC1"/>
    <w:rsid w:val="00DE4F9A"/>
    <w:rsid w:val="00DE527C"/>
    <w:rsid w:val="00DE54A3"/>
    <w:rsid w:val="00DE5546"/>
    <w:rsid w:val="00DE5641"/>
    <w:rsid w:val="00DE56D7"/>
    <w:rsid w:val="00DE5799"/>
    <w:rsid w:val="00DE5AEF"/>
    <w:rsid w:val="00DE5B48"/>
    <w:rsid w:val="00DE5D27"/>
    <w:rsid w:val="00DE5D4D"/>
    <w:rsid w:val="00DE5DDE"/>
    <w:rsid w:val="00DE5E28"/>
    <w:rsid w:val="00DE5E55"/>
    <w:rsid w:val="00DE6242"/>
    <w:rsid w:val="00DE626C"/>
    <w:rsid w:val="00DE631D"/>
    <w:rsid w:val="00DE6467"/>
    <w:rsid w:val="00DE6519"/>
    <w:rsid w:val="00DE6814"/>
    <w:rsid w:val="00DE6827"/>
    <w:rsid w:val="00DE6968"/>
    <w:rsid w:val="00DE6ED3"/>
    <w:rsid w:val="00DE6F43"/>
    <w:rsid w:val="00DE7030"/>
    <w:rsid w:val="00DE70EF"/>
    <w:rsid w:val="00DE72A8"/>
    <w:rsid w:val="00DE7374"/>
    <w:rsid w:val="00DE74DB"/>
    <w:rsid w:val="00DE7515"/>
    <w:rsid w:val="00DE765A"/>
    <w:rsid w:val="00DE768E"/>
    <w:rsid w:val="00DE7731"/>
    <w:rsid w:val="00DE7801"/>
    <w:rsid w:val="00DE780F"/>
    <w:rsid w:val="00DE78A8"/>
    <w:rsid w:val="00DE7BF5"/>
    <w:rsid w:val="00DE7CB1"/>
    <w:rsid w:val="00DE7DCB"/>
    <w:rsid w:val="00DE7E1B"/>
    <w:rsid w:val="00DE7E35"/>
    <w:rsid w:val="00DE7F25"/>
    <w:rsid w:val="00DF0101"/>
    <w:rsid w:val="00DF025F"/>
    <w:rsid w:val="00DF0305"/>
    <w:rsid w:val="00DF0345"/>
    <w:rsid w:val="00DF04C7"/>
    <w:rsid w:val="00DF0566"/>
    <w:rsid w:val="00DF0617"/>
    <w:rsid w:val="00DF09CB"/>
    <w:rsid w:val="00DF0B4E"/>
    <w:rsid w:val="00DF0B84"/>
    <w:rsid w:val="00DF0BAF"/>
    <w:rsid w:val="00DF0CED"/>
    <w:rsid w:val="00DF0D6C"/>
    <w:rsid w:val="00DF0DE6"/>
    <w:rsid w:val="00DF0E86"/>
    <w:rsid w:val="00DF0F2A"/>
    <w:rsid w:val="00DF1065"/>
    <w:rsid w:val="00DF10E8"/>
    <w:rsid w:val="00DF1141"/>
    <w:rsid w:val="00DF131A"/>
    <w:rsid w:val="00DF137A"/>
    <w:rsid w:val="00DF165B"/>
    <w:rsid w:val="00DF1823"/>
    <w:rsid w:val="00DF1966"/>
    <w:rsid w:val="00DF1CF2"/>
    <w:rsid w:val="00DF1D2B"/>
    <w:rsid w:val="00DF1DC9"/>
    <w:rsid w:val="00DF20AA"/>
    <w:rsid w:val="00DF20CB"/>
    <w:rsid w:val="00DF2100"/>
    <w:rsid w:val="00DF2120"/>
    <w:rsid w:val="00DF21B5"/>
    <w:rsid w:val="00DF248C"/>
    <w:rsid w:val="00DF24DC"/>
    <w:rsid w:val="00DF26F4"/>
    <w:rsid w:val="00DF2742"/>
    <w:rsid w:val="00DF2857"/>
    <w:rsid w:val="00DF28A1"/>
    <w:rsid w:val="00DF28A6"/>
    <w:rsid w:val="00DF2B76"/>
    <w:rsid w:val="00DF2C7C"/>
    <w:rsid w:val="00DF2CD2"/>
    <w:rsid w:val="00DF2E1E"/>
    <w:rsid w:val="00DF3032"/>
    <w:rsid w:val="00DF3459"/>
    <w:rsid w:val="00DF3A16"/>
    <w:rsid w:val="00DF3DEC"/>
    <w:rsid w:val="00DF3FE5"/>
    <w:rsid w:val="00DF4031"/>
    <w:rsid w:val="00DF40C7"/>
    <w:rsid w:val="00DF41F0"/>
    <w:rsid w:val="00DF4295"/>
    <w:rsid w:val="00DF42E9"/>
    <w:rsid w:val="00DF43B1"/>
    <w:rsid w:val="00DF4468"/>
    <w:rsid w:val="00DF4587"/>
    <w:rsid w:val="00DF4705"/>
    <w:rsid w:val="00DF4832"/>
    <w:rsid w:val="00DF4937"/>
    <w:rsid w:val="00DF499D"/>
    <w:rsid w:val="00DF4B0E"/>
    <w:rsid w:val="00DF4B23"/>
    <w:rsid w:val="00DF4BE7"/>
    <w:rsid w:val="00DF4E03"/>
    <w:rsid w:val="00DF4E44"/>
    <w:rsid w:val="00DF4F79"/>
    <w:rsid w:val="00DF50F5"/>
    <w:rsid w:val="00DF51A6"/>
    <w:rsid w:val="00DF51BA"/>
    <w:rsid w:val="00DF550A"/>
    <w:rsid w:val="00DF57DB"/>
    <w:rsid w:val="00DF5AA7"/>
    <w:rsid w:val="00DF5C4C"/>
    <w:rsid w:val="00DF5C74"/>
    <w:rsid w:val="00DF5CF1"/>
    <w:rsid w:val="00DF5D44"/>
    <w:rsid w:val="00DF5E6C"/>
    <w:rsid w:val="00DF6127"/>
    <w:rsid w:val="00DF6203"/>
    <w:rsid w:val="00DF6537"/>
    <w:rsid w:val="00DF65E8"/>
    <w:rsid w:val="00DF67A4"/>
    <w:rsid w:val="00DF67E9"/>
    <w:rsid w:val="00DF68A1"/>
    <w:rsid w:val="00DF68F6"/>
    <w:rsid w:val="00DF69DA"/>
    <w:rsid w:val="00DF6D80"/>
    <w:rsid w:val="00DF6DD2"/>
    <w:rsid w:val="00DF6E1B"/>
    <w:rsid w:val="00DF6F37"/>
    <w:rsid w:val="00DF6F60"/>
    <w:rsid w:val="00DF6FA1"/>
    <w:rsid w:val="00DF7178"/>
    <w:rsid w:val="00DF732C"/>
    <w:rsid w:val="00DF73B2"/>
    <w:rsid w:val="00DF7768"/>
    <w:rsid w:val="00DF77AE"/>
    <w:rsid w:val="00DF7818"/>
    <w:rsid w:val="00DF7989"/>
    <w:rsid w:val="00DF7AE2"/>
    <w:rsid w:val="00DF7C74"/>
    <w:rsid w:val="00DF7EA2"/>
    <w:rsid w:val="00DF7F07"/>
    <w:rsid w:val="00E003BD"/>
    <w:rsid w:val="00E005DF"/>
    <w:rsid w:val="00E0068F"/>
    <w:rsid w:val="00E00BC6"/>
    <w:rsid w:val="00E00CB3"/>
    <w:rsid w:val="00E00D35"/>
    <w:rsid w:val="00E00E9F"/>
    <w:rsid w:val="00E00EB1"/>
    <w:rsid w:val="00E010A4"/>
    <w:rsid w:val="00E0118C"/>
    <w:rsid w:val="00E0120A"/>
    <w:rsid w:val="00E0147A"/>
    <w:rsid w:val="00E014DC"/>
    <w:rsid w:val="00E015CB"/>
    <w:rsid w:val="00E01650"/>
    <w:rsid w:val="00E01691"/>
    <w:rsid w:val="00E019C5"/>
    <w:rsid w:val="00E019FF"/>
    <w:rsid w:val="00E01A03"/>
    <w:rsid w:val="00E01AE3"/>
    <w:rsid w:val="00E01B73"/>
    <w:rsid w:val="00E01BCB"/>
    <w:rsid w:val="00E01DEB"/>
    <w:rsid w:val="00E01ED1"/>
    <w:rsid w:val="00E01F29"/>
    <w:rsid w:val="00E021F5"/>
    <w:rsid w:val="00E023CE"/>
    <w:rsid w:val="00E0296E"/>
    <w:rsid w:val="00E0296F"/>
    <w:rsid w:val="00E02991"/>
    <w:rsid w:val="00E03120"/>
    <w:rsid w:val="00E0312E"/>
    <w:rsid w:val="00E03191"/>
    <w:rsid w:val="00E03285"/>
    <w:rsid w:val="00E034F8"/>
    <w:rsid w:val="00E03558"/>
    <w:rsid w:val="00E0356F"/>
    <w:rsid w:val="00E03829"/>
    <w:rsid w:val="00E0385A"/>
    <w:rsid w:val="00E03DFF"/>
    <w:rsid w:val="00E03FE0"/>
    <w:rsid w:val="00E04085"/>
    <w:rsid w:val="00E04212"/>
    <w:rsid w:val="00E04365"/>
    <w:rsid w:val="00E043F3"/>
    <w:rsid w:val="00E04408"/>
    <w:rsid w:val="00E046B3"/>
    <w:rsid w:val="00E04AFB"/>
    <w:rsid w:val="00E04CBC"/>
    <w:rsid w:val="00E04E84"/>
    <w:rsid w:val="00E04EBE"/>
    <w:rsid w:val="00E04F87"/>
    <w:rsid w:val="00E04FA0"/>
    <w:rsid w:val="00E05033"/>
    <w:rsid w:val="00E05206"/>
    <w:rsid w:val="00E0532B"/>
    <w:rsid w:val="00E05339"/>
    <w:rsid w:val="00E05368"/>
    <w:rsid w:val="00E0538D"/>
    <w:rsid w:val="00E05421"/>
    <w:rsid w:val="00E05452"/>
    <w:rsid w:val="00E0564D"/>
    <w:rsid w:val="00E056C5"/>
    <w:rsid w:val="00E0578B"/>
    <w:rsid w:val="00E0580C"/>
    <w:rsid w:val="00E058F1"/>
    <w:rsid w:val="00E05956"/>
    <w:rsid w:val="00E059C0"/>
    <w:rsid w:val="00E05A10"/>
    <w:rsid w:val="00E05C61"/>
    <w:rsid w:val="00E05D10"/>
    <w:rsid w:val="00E05DF1"/>
    <w:rsid w:val="00E05E27"/>
    <w:rsid w:val="00E05F6C"/>
    <w:rsid w:val="00E05F85"/>
    <w:rsid w:val="00E0602D"/>
    <w:rsid w:val="00E0603F"/>
    <w:rsid w:val="00E0630B"/>
    <w:rsid w:val="00E063A5"/>
    <w:rsid w:val="00E065A6"/>
    <w:rsid w:val="00E065B5"/>
    <w:rsid w:val="00E065E1"/>
    <w:rsid w:val="00E0666D"/>
    <w:rsid w:val="00E06A43"/>
    <w:rsid w:val="00E06BF9"/>
    <w:rsid w:val="00E06C1D"/>
    <w:rsid w:val="00E06CE9"/>
    <w:rsid w:val="00E06F75"/>
    <w:rsid w:val="00E06FAD"/>
    <w:rsid w:val="00E06FE5"/>
    <w:rsid w:val="00E071F3"/>
    <w:rsid w:val="00E07449"/>
    <w:rsid w:val="00E0788C"/>
    <w:rsid w:val="00E07A6C"/>
    <w:rsid w:val="00E07AD1"/>
    <w:rsid w:val="00E07C13"/>
    <w:rsid w:val="00E07C7E"/>
    <w:rsid w:val="00E07CD7"/>
    <w:rsid w:val="00E07D3F"/>
    <w:rsid w:val="00E07E17"/>
    <w:rsid w:val="00E07E42"/>
    <w:rsid w:val="00E07E7B"/>
    <w:rsid w:val="00E07EEB"/>
    <w:rsid w:val="00E07F99"/>
    <w:rsid w:val="00E101E7"/>
    <w:rsid w:val="00E10360"/>
    <w:rsid w:val="00E10465"/>
    <w:rsid w:val="00E10C34"/>
    <w:rsid w:val="00E10CF1"/>
    <w:rsid w:val="00E10EED"/>
    <w:rsid w:val="00E11066"/>
    <w:rsid w:val="00E1127E"/>
    <w:rsid w:val="00E1128F"/>
    <w:rsid w:val="00E11483"/>
    <w:rsid w:val="00E11514"/>
    <w:rsid w:val="00E1158E"/>
    <w:rsid w:val="00E11734"/>
    <w:rsid w:val="00E117FC"/>
    <w:rsid w:val="00E118DD"/>
    <w:rsid w:val="00E11928"/>
    <w:rsid w:val="00E11B76"/>
    <w:rsid w:val="00E11D2F"/>
    <w:rsid w:val="00E11E93"/>
    <w:rsid w:val="00E12042"/>
    <w:rsid w:val="00E120B1"/>
    <w:rsid w:val="00E1210A"/>
    <w:rsid w:val="00E1216C"/>
    <w:rsid w:val="00E1217A"/>
    <w:rsid w:val="00E121B5"/>
    <w:rsid w:val="00E122F2"/>
    <w:rsid w:val="00E12344"/>
    <w:rsid w:val="00E126A1"/>
    <w:rsid w:val="00E126CB"/>
    <w:rsid w:val="00E12823"/>
    <w:rsid w:val="00E12876"/>
    <w:rsid w:val="00E128EC"/>
    <w:rsid w:val="00E128FA"/>
    <w:rsid w:val="00E12B8B"/>
    <w:rsid w:val="00E12E4D"/>
    <w:rsid w:val="00E12E66"/>
    <w:rsid w:val="00E12F17"/>
    <w:rsid w:val="00E131BB"/>
    <w:rsid w:val="00E133B2"/>
    <w:rsid w:val="00E13409"/>
    <w:rsid w:val="00E13458"/>
    <w:rsid w:val="00E134D2"/>
    <w:rsid w:val="00E13585"/>
    <w:rsid w:val="00E136EC"/>
    <w:rsid w:val="00E13778"/>
    <w:rsid w:val="00E1385B"/>
    <w:rsid w:val="00E138A3"/>
    <w:rsid w:val="00E139CA"/>
    <w:rsid w:val="00E13AC5"/>
    <w:rsid w:val="00E13C2C"/>
    <w:rsid w:val="00E13C4E"/>
    <w:rsid w:val="00E13ED1"/>
    <w:rsid w:val="00E14222"/>
    <w:rsid w:val="00E1423B"/>
    <w:rsid w:val="00E146BA"/>
    <w:rsid w:val="00E147BF"/>
    <w:rsid w:val="00E14867"/>
    <w:rsid w:val="00E148E9"/>
    <w:rsid w:val="00E14915"/>
    <w:rsid w:val="00E14999"/>
    <w:rsid w:val="00E14E25"/>
    <w:rsid w:val="00E14EAE"/>
    <w:rsid w:val="00E14F0B"/>
    <w:rsid w:val="00E150EB"/>
    <w:rsid w:val="00E151EC"/>
    <w:rsid w:val="00E1529A"/>
    <w:rsid w:val="00E1547B"/>
    <w:rsid w:val="00E15502"/>
    <w:rsid w:val="00E15908"/>
    <w:rsid w:val="00E15954"/>
    <w:rsid w:val="00E159B8"/>
    <w:rsid w:val="00E15A2A"/>
    <w:rsid w:val="00E15B81"/>
    <w:rsid w:val="00E15C29"/>
    <w:rsid w:val="00E15CE0"/>
    <w:rsid w:val="00E15DFD"/>
    <w:rsid w:val="00E160D6"/>
    <w:rsid w:val="00E16111"/>
    <w:rsid w:val="00E1628B"/>
    <w:rsid w:val="00E16319"/>
    <w:rsid w:val="00E1632C"/>
    <w:rsid w:val="00E1633C"/>
    <w:rsid w:val="00E165A5"/>
    <w:rsid w:val="00E16625"/>
    <w:rsid w:val="00E166D1"/>
    <w:rsid w:val="00E168BD"/>
    <w:rsid w:val="00E16A24"/>
    <w:rsid w:val="00E16A4C"/>
    <w:rsid w:val="00E16A67"/>
    <w:rsid w:val="00E16F5E"/>
    <w:rsid w:val="00E16FBB"/>
    <w:rsid w:val="00E16FE2"/>
    <w:rsid w:val="00E17087"/>
    <w:rsid w:val="00E170F7"/>
    <w:rsid w:val="00E17285"/>
    <w:rsid w:val="00E17301"/>
    <w:rsid w:val="00E173B4"/>
    <w:rsid w:val="00E174D2"/>
    <w:rsid w:val="00E17548"/>
    <w:rsid w:val="00E1767D"/>
    <w:rsid w:val="00E17737"/>
    <w:rsid w:val="00E177BA"/>
    <w:rsid w:val="00E177CF"/>
    <w:rsid w:val="00E17C38"/>
    <w:rsid w:val="00E17EE8"/>
    <w:rsid w:val="00E2018E"/>
    <w:rsid w:val="00E201B6"/>
    <w:rsid w:val="00E2024A"/>
    <w:rsid w:val="00E203AD"/>
    <w:rsid w:val="00E2064B"/>
    <w:rsid w:val="00E208B4"/>
    <w:rsid w:val="00E20B2B"/>
    <w:rsid w:val="00E20C92"/>
    <w:rsid w:val="00E20D0F"/>
    <w:rsid w:val="00E20D77"/>
    <w:rsid w:val="00E20D8E"/>
    <w:rsid w:val="00E20E5A"/>
    <w:rsid w:val="00E20F4F"/>
    <w:rsid w:val="00E20F7D"/>
    <w:rsid w:val="00E211FC"/>
    <w:rsid w:val="00E212AE"/>
    <w:rsid w:val="00E2146F"/>
    <w:rsid w:val="00E21481"/>
    <w:rsid w:val="00E21572"/>
    <w:rsid w:val="00E21772"/>
    <w:rsid w:val="00E218D8"/>
    <w:rsid w:val="00E21A15"/>
    <w:rsid w:val="00E21BF1"/>
    <w:rsid w:val="00E21D5E"/>
    <w:rsid w:val="00E21DFB"/>
    <w:rsid w:val="00E22142"/>
    <w:rsid w:val="00E225A6"/>
    <w:rsid w:val="00E22615"/>
    <w:rsid w:val="00E227BC"/>
    <w:rsid w:val="00E227C1"/>
    <w:rsid w:val="00E227F3"/>
    <w:rsid w:val="00E22B5E"/>
    <w:rsid w:val="00E22BEA"/>
    <w:rsid w:val="00E22CD0"/>
    <w:rsid w:val="00E22D9B"/>
    <w:rsid w:val="00E22FF5"/>
    <w:rsid w:val="00E2303E"/>
    <w:rsid w:val="00E231A8"/>
    <w:rsid w:val="00E231DB"/>
    <w:rsid w:val="00E23381"/>
    <w:rsid w:val="00E23472"/>
    <w:rsid w:val="00E234F6"/>
    <w:rsid w:val="00E23648"/>
    <w:rsid w:val="00E23658"/>
    <w:rsid w:val="00E239D1"/>
    <w:rsid w:val="00E23D8B"/>
    <w:rsid w:val="00E2403E"/>
    <w:rsid w:val="00E24353"/>
    <w:rsid w:val="00E24383"/>
    <w:rsid w:val="00E243F8"/>
    <w:rsid w:val="00E2442D"/>
    <w:rsid w:val="00E24691"/>
    <w:rsid w:val="00E2476C"/>
    <w:rsid w:val="00E24793"/>
    <w:rsid w:val="00E24BEC"/>
    <w:rsid w:val="00E24C23"/>
    <w:rsid w:val="00E24C27"/>
    <w:rsid w:val="00E24F15"/>
    <w:rsid w:val="00E25522"/>
    <w:rsid w:val="00E2557F"/>
    <w:rsid w:val="00E256D5"/>
    <w:rsid w:val="00E25866"/>
    <w:rsid w:val="00E25AA9"/>
    <w:rsid w:val="00E25AAE"/>
    <w:rsid w:val="00E25D51"/>
    <w:rsid w:val="00E25DF4"/>
    <w:rsid w:val="00E25E90"/>
    <w:rsid w:val="00E25F17"/>
    <w:rsid w:val="00E26062"/>
    <w:rsid w:val="00E261C5"/>
    <w:rsid w:val="00E26267"/>
    <w:rsid w:val="00E26393"/>
    <w:rsid w:val="00E264B9"/>
    <w:rsid w:val="00E2663D"/>
    <w:rsid w:val="00E2679D"/>
    <w:rsid w:val="00E26805"/>
    <w:rsid w:val="00E2690C"/>
    <w:rsid w:val="00E269B1"/>
    <w:rsid w:val="00E26A70"/>
    <w:rsid w:val="00E26C09"/>
    <w:rsid w:val="00E26C24"/>
    <w:rsid w:val="00E26D7B"/>
    <w:rsid w:val="00E26DA8"/>
    <w:rsid w:val="00E26F1C"/>
    <w:rsid w:val="00E27306"/>
    <w:rsid w:val="00E2757E"/>
    <w:rsid w:val="00E276E0"/>
    <w:rsid w:val="00E278F5"/>
    <w:rsid w:val="00E27A37"/>
    <w:rsid w:val="00E27C74"/>
    <w:rsid w:val="00E27DC5"/>
    <w:rsid w:val="00E27E4F"/>
    <w:rsid w:val="00E27F52"/>
    <w:rsid w:val="00E27FAA"/>
    <w:rsid w:val="00E3004F"/>
    <w:rsid w:val="00E300C3"/>
    <w:rsid w:val="00E30528"/>
    <w:rsid w:val="00E3053A"/>
    <w:rsid w:val="00E30567"/>
    <w:rsid w:val="00E3058A"/>
    <w:rsid w:val="00E30951"/>
    <w:rsid w:val="00E30975"/>
    <w:rsid w:val="00E30C2B"/>
    <w:rsid w:val="00E30F3D"/>
    <w:rsid w:val="00E31091"/>
    <w:rsid w:val="00E31211"/>
    <w:rsid w:val="00E3139E"/>
    <w:rsid w:val="00E315E7"/>
    <w:rsid w:val="00E31653"/>
    <w:rsid w:val="00E31800"/>
    <w:rsid w:val="00E31830"/>
    <w:rsid w:val="00E31866"/>
    <w:rsid w:val="00E318BB"/>
    <w:rsid w:val="00E31959"/>
    <w:rsid w:val="00E319B0"/>
    <w:rsid w:val="00E31A3B"/>
    <w:rsid w:val="00E31C11"/>
    <w:rsid w:val="00E31D04"/>
    <w:rsid w:val="00E31D6A"/>
    <w:rsid w:val="00E31D79"/>
    <w:rsid w:val="00E32108"/>
    <w:rsid w:val="00E3217F"/>
    <w:rsid w:val="00E322B1"/>
    <w:rsid w:val="00E32337"/>
    <w:rsid w:val="00E323DE"/>
    <w:rsid w:val="00E327FC"/>
    <w:rsid w:val="00E328FA"/>
    <w:rsid w:val="00E3292E"/>
    <w:rsid w:val="00E329D1"/>
    <w:rsid w:val="00E32D0B"/>
    <w:rsid w:val="00E32DDF"/>
    <w:rsid w:val="00E32F55"/>
    <w:rsid w:val="00E32F9C"/>
    <w:rsid w:val="00E3316D"/>
    <w:rsid w:val="00E3317A"/>
    <w:rsid w:val="00E3322B"/>
    <w:rsid w:val="00E33237"/>
    <w:rsid w:val="00E33391"/>
    <w:rsid w:val="00E335CE"/>
    <w:rsid w:val="00E3393E"/>
    <w:rsid w:val="00E33958"/>
    <w:rsid w:val="00E33973"/>
    <w:rsid w:val="00E33CB6"/>
    <w:rsid w:val="00E33CEF"/>
    <w:rsid w:val="00E33D10"/>
    <w:rsid w:val="00E33F26"/>
    <w:rsid w:val="00E33F7B"/>
    <w:rsid w:val="00E3403F"/>
    <w:rsid w:val="00E34058"/>
    <w:rsid w:val="00E3405F"/>
    <w:rsid w:val="00E343D6"/>
    <w:rsid w:val="00E34506"/>
    <w:rsid w:val="00E34533"/>
    <w:rsid w:val="00E346BD"/>
    <w:rsid w:val="00E347E8"/>
    <w:rsid w:val="00E349CD"/>
    <w:rsid w:val="00E34C28"/>
    <w:rsid w:val="00E34DF3"/>
    <w:rsid w:val="00E34F8F"/>
    <w:rsid w:val="00E353D2"/>
    <w:rsid w:val="00E355B9"/>
    <w:rsid w:val="00E356D8"/>
    <w:rsid w:val="00E3579F"/>
    <w:rsid w:val="00E35814"/>
    <w:rsid w:val="00E3588C"/>
    <w:rsid w:val="00E3596E"/>
    <w:rsid w:val="00E359C0"/>
    <w:rsid w:val="00E35B31"/>
    <w:rsid w:val="00E35B42"/>
    <w:rsid w:val="00E35BF9"/>
    <w:rsid w:val="00E35D1C"/>
    <w:rsid w:val="00E35E35"/>
    <w:rsid w:val="00E35FE0"/>
    <w:rsid w:val="00E36014"/>
    <w:rsid w:val="00E3608D"/>
    <w:rsid w:val="00E3608F"/>
    <w:rsid w:val="00E3612B"/>
    <w:rsid w:val="00E36174"/>
    <w:rsid w:val="00E362EE"/>
    <w:rsid w:val="00E362FC"/>
    <w:rsid w:val="00E3651A"/>
    <w:rsid w:val="00E3652B"/>
    <w:rsid w:val="00E3673E"/>
    <w:rsid w:val="00E3677B"/>
    <w:rsid w:val="00E36A11"/>
    <w:rsid w:val="00E36AE7"/>
    <w:rsid w:val="00E36C9E"/>
    <w:rsid w:val="00E36D39"/>
    <w:rsid w:val="00E36DBD"/>
    <w:rsid w:val="00E36E15"/>
    <w:rsid w:val="00E36E6E"/>
    <w:rsid w:val="00E36FC1"/>
    <w:rsid w:val="00E37047"/>
    <w:rsid w:val="00E3713A"/>
    <w:rsid w:val="00E372A5"/>
    <w:rsid w:val="00E3743A"/>
    <w:rsid w:val="00E37492"/>
    <w:rsid w:val="00E3749B"/>
    <w:rsid w:val="00E375E4"/>
    <w:rsid w:val="00E376E3"/>
    <w:rsid w:val="00E37979"/>
    <w:rsid w:val="00E37E31"/>
    <w:rsid w:val="00E37EAD"/>
    <w:rsid w:val="00E4014D"/>
    <w:rsid w:val="00E402BB"/>
    <w:rsid w:val="00E404A1"/>
    <w:rsid w:val="00E40944"/>
    <w:rsid w:val="00E40A42"/>
    <w:rsid w:val="00E40C01"/>
    <w:rsid w:val="00E40DC5"/>
    <w:rsid w:val="00E40E9F"/>
    <w:rsid w:val="00E40F25"/>
    <w:rsid w:val="00E41098"/>
    <w:rsid w:val="00E4130B"/>
    <w:rsid w:val="00E413E1"/>
    <w:rsid w:val="00E414A5"/>
    <w:rsid w:val="00E415BB"/>
    <w:rsid w:val="00E41725"/>
    <w:rsid w:val="00E4181C"/>
    <w:rsid w:val="00E41B1C"/>
    <w:rsid w:val="00E41B8E"/>
    <w:rsid w:val="00E41C69"/>
    <w:rsid w:val="00E41D3B"/>
    <w:rsid w:val="00E4200A"/>
    <w:rsid w:val="00E42109"/>
    <w:rsid w:val="00E422AE"/>
    <w:rsid w:val="00E422DF"/>
    <w:rsid w:val="00E423DB"/>
    <w:rsid w:val="00E423F3"/>
    <w:rsid w:val="00E425C3"/>
    <w:rsid w:val="00E42654"/>
    <w:rsid w:val="00E42666"/>
    <w:rsid w:val="00E42902"/>
    <w:rsid w:val="00E42A64"/>
    <w:rsid w:val="00E42C71"/>
    <w:rsid w:val="00E42DB5"/>
    <w:rsid w:val="00E431F6"/>
    <w:rsid w:val="00E4334A"/>
    <w:rsid w:val="00E43492"/>
    <w:rsid w:val="00E4351D"/>
    <w:rsid w:val="00E43531"/>
    <w:rsid w:val="00E435AA"/>
    <w:rsid w:val="00E43623"/>
    <w:rsid w:val="00E437A1"/>
    <w:rsid w:val="00E43B21"/>
    <w:rsid w:val="00E43BA3"/>
    <w:rsid w:val="00E43C4D"/>
    <w:rsid w:val="00E44255"/>
    <w:rsid w:val="00E44572"/>
    <w:rsid w:val="00E446AE"/>
    <w:rsid w:val="00E4475C"/>
    <w:rsid w:val="00E44AAF"/>
    <w:rsid w:val="00E44B10"/>
    <w:rsid w:val="00E44C56"/>
    <w:rsid w:val="00E44E5A"/>
    <w:rsid w:val="00E45218"/>
    <w:rsid w:val="00E45231"/>
    <w:rsid w:val="00E453B9"/>
    <w:rsid w:val="00E4544F"/>
    <w:rsid w:val="00E45642"/>
    <w:rsid w:val="00E4570C"/>
    <w:rsid w:val="00E45712"/>
    <w:rsid w:val="00E457E2"/>
    <w:rsid w:val="00E45A34"/>
    <w:rsid w:val="00E45BA4"/>
    <w:rsid w:val="00E45C3A"/>
    <w:rsid w:val="00E45C59"/>
    <w:rsid w:val="00E45E1D"/>
    <w:rsid w:val="00E45ECA"/>
    <w:rsid w:val="00E45F9A"/>
    <w:rsid w:val="00E45FEF"/>
    <w:rsid w:val="00E45FFA"/>
    <w:rsid w:val="00E46020"/>
    <w:rsid w:val="00E461F9"/>
    <w:rsid w:val="00E464C3"/>
    <w:rsid w:val="00E465EC"/>
    <w:rsid w:val="00E46691"/>
    <w:rsid w:val="00E4679D"/>
    <w:rsid w:val="00E4688F"/>
    <w:rsid w:val="00E469BB"/>
    <w:rsid w:val="00E46B4B"/>
    <w:rsid w:val="00E46BA0"/>
    <w:rsid w:val="00E46BD3"/>
    <w:rsid w:val="00E46C30"/>
    <w:rsid w:val="00E46C5C"/>
    <w:rsid w:val="00E46D1D"/>
    <w:rsid w:val="00E46EB3"/>
    <w:rsid w:val="00E46F1B"/>
    <w:rsid w:val="00E46FC3"/>
    <w:rsid w:val="00E4703A"/>
    <w:rsid w:val="00E471C4"/>
    <w:rsid w:val="00E4741B"/>
    <w:rsid w:val="00E4755D"/>
    <w:rsid w:val="00E47762"/>
    <w:rsid w:val="00E47863"/>
    <w:rsid w:val="00E47B44"/>
    <w:rsid w:val="00E47B6A"/>
    <w:rsid w:val="00E47E12"/>
    <w:rsid w:val="00E50192"/>
    <w:rsid w:val="00E5025E"/>
    <w:rsid w:val="00E502C0"/>
    <w:rsid w:val="00E502F7"/>
    <w:rsid w:val="00E5032C"/>
    <w:rsid w:val="00E50369"/>
    <w:rsid w:val="00E5052D"/>
    <w:rsid w:val="00E50614"/>
    <w:rsid w:val="00E506C6"/>
    <w:rsid w:val="00E506C9"/>
    <w:rsid w:val="00E50854"/>
    <w:rsid w:val="00E50A62"/>
    <w:rsid w:val="00E50CEC"/>
    <w:rsid w:val="00E50DCC"/>
    <w:rsid w:val="00E5102E"/>
    <w:rsid w:val="00E510C9"/>
    <w:rsid w:val="00E5111F"/>
    <w:rsid w:val="00E516D2"/>
    <w:rsid w:val="00E519A6"/>
    <w:rsid w:val="00E51A48"/>
    <w:rsid w:val="00E51A87"/>
    <w:rsid w:val="00E51CBA"/>
    <w:rsid w:val="00E51CCD"/>
    <w:rsid w:val="00E51CF3"/>
    <w:rsid w:val="00E51DC7"/>
    <w:rsid w:val="00E51E05"/>
    <w:rsid w:val="00E51FB1"/>
    <w:rsid w:val="00E52099"/>
    <w:rsid w:val="00E520A5"/>
    <w:rsid w:val="00E522F5"/>
    <w:rsid w:val="00E52429"/>
    <w:rsid w:val="00E5242A"/>
    <w:rsid w:val="00E5261A"/>
    <w:rsid w:val="00E52633"/>
    <w:rsid w:val="00E52739"/>
    <w:rsid w:val="00E52861"/>
    <w:rsid w:val="00E5292A"/>
    <w:rsid w:val="00E52963"/>
    <w:rsid w:val="00E529B2"/>
    <w:rsid w:val="00E529CE"/>
    <w:rsid w:val="00E52AA4"/>
    <w:rsid w:val="00E52B6B"/>
    <w:rsid w:val="00E52F7D"/>
    <w:rsid w:val="00E531AF"/>
    <w:rsid w:val="00E5322F"/>
    <w:rsid w:val="00E532F5"/>
    <w:rsid w:val="00E5336F"/>
    <w:rsid w:val="00E5342B"/>
    <w:rsid w:val="00E53742"/>
    <w:rsid w:val="00E538EC"/>
    <w:rsid w:val="00E5395E"/>
    <w:rsid w:val="00E53EFA"/>
    <w:rsid w:val="00E540FC"/>
    <w:rsid w:val="00E541D1"/>
    <w:rsid w:val="00E54418"/>
    <w:rsid w:val="00E54831"/>
    <w:rsid w:val="00E5494D"/>
    <w:rsid w:val="00E54958"/>
    <w:rsid w:val="00E54A24"/>
    <w:rsid w:val="00E54B0E"/>
    <w:rsid w:val="00E54C4F"/>
    <w:rsid w:val="00E55270"/>
    <w:rsid w:val="00E55410"/>
    <w:rsid w:val="00E55610"/>
    <w:rsid w:val="00E5563E"/>
    <w:rsid w:val="00E55806"/>
    <w:rsid w:val="00E559BB"/>
    <w:rsid w:val="00E55A29"/>
    <w:rsid w:val="00E55BFC"/>
    <w:rsid w:val="00E55C1D"/>
    <w:rsid w:val="00E55C38"/>
    <w:rsid w:val="00E55DA2"/>
    <w:rsid w:val="00E55E14"/>
    <w:rsid w:val="00E55ECA"/>
    <w:rsid w:val="00E55F89"/>
    <w:rsid w:val="00E56055"/>
    <w:rsid w:val="00E56071"/>
    <w:rsid w:val="00E56278"/>
    <w:rsid w:val="00E562BA"/>
    <w:rsid w:val="00E56481"/>
    <w:rsid w:val="00E56698"/>
    <w:rsid w:val="00E566B2"/>
    <w:rsid w:val="00E567E5"/>
    <w:rsid w:val="00E56850"/>
    <w:rsid w:val="00E56894"/>
    <w:rsid w:val="00E568CC"/>
    <w:rsid w:val="00E56A41"/>
    <w:rsid w:val="00E56B0E"/>
    <w:rsid w:val="00E56B20"/>
    <w:rsid w:val="00E56B7F"/>
    <w:rsid w:val="00E56BF0"/>
    <w:rsid w:val="00E56D14"/>
    <w:rsid w:val="00E56D25"/>
    <w:rsid w:val="00E56D60"/>
    <w:rsid w:val="00E56F2D"/>
    <w:rsid w:val="00E56FE3"/>
    <w:rsid w:val="00E57292"/>
    <w:rsid w:val="00E5756F"/>
    <w:rsid w:val="00E5761E"/>
    <w:rsid w:val="00E577ED"/>
    <w:rsid w:val="00E57998"/>
    <w:rsid w:val="00E57A89"/>
    <w:rsid w:val="00E57A9B"/>
    <w:rsid w:val="00E57AAF"/>
    <w:rsid w:val="00E57B7B"/>
    <w:rsid w:val="00E57D71"/>
    <w:rsid w:val="00E57EAD"/>
    <w:rsid w:val="00E57F4A"/>
    <w:rsid w:val="00E57FE0"/>
    <w:rsid w:val="00E6007D"/>
    <w:rsid w:val="00E601E6"/>
    <w:rsid w:val="00E602E1"/>
    <w:rsid w:val="00E60371"/>
    <w:rsid w:val="00E603BE"/>
    <w:rsid w:val="00E604DC"/>
    <w:rsid w:val="00E6060F"/>
    <w:rsid w:val="00E6088A"/>
    <w:rsid w:val="00E60B00"/>
    <w:rsid w:val="00E60B51"/>
    <w:rsid w:val="00E6136D"/>
    <w:rsid w:val="00E615A9"/>
    <w:rsid w:val="00E61679"/>
    <w:rsid w:val="00E616FF"/>
    <w:rsid w:val="00E6171F"/>
    <w:rsid w:val="00E6188D"/>
    <w:rsid w:val="00E618E1"/>
    <w:rsid w:val="00E61959"/>
    <w:rsid w:val="00E61A22"/>
    <w:rsid w:val="00E61AF2"/>
    <w:rsid w:val="00E61E39"/>
    <w:rsid w:val="00E61E7D"/>
    <w:rsid w:val="00E61F4A"/>
    <w:rsid w:val="00E61F6E"/>
    <w:rsid w:val="00E6200F"/>
    <w:rsid w:val="00E6208E"/>
    <w:rsid w:val="00E620B0"/>
    <w:rsid w:val="00E622FF"/>
    <w:rsid w:val="00E62409"/>
    <w:rsid w:val="00E624E8"/>
    <w:rsid w:val="00E62768"/>
    <w:rsid w:val="00E62795"/>
    <w:rsid w:val="00E627E5"/>
    <w:rsid w:val="00E62BDD"/>
    <w:rsid w:val="00E62CEC"/>
    <w:rsid w:val="00E62D26"/>
    <w:rsid w:val="00E62E3A"/>
    <w:rsid w:val="00E630F9"/>
    <w:rsid w:val="00E6322D"/>
    <w:rsid w:val="00E632B7"/>
    <w:rsid w:val="00E634CE"/>
    <w:rsid w:val="00E6350A"/>
    <w:rsid w:val="00E63777"/>
    <w:rsid w:val="00E637D5"/>
    <w:rsid w:val="00E6390A"/>
    <w:rsid w:val="00E63961"/>
    <w:rsid w:val="00E63998"/>
    <w:rsid w:val="00E63A4E"/>
    <w:rsid w:val="00E63A4F"/>
    <w:rsid w:val="00E63C55"/>
    <w:rsid w:val="00E6424F"/>
    <w:rsid w:val="00E642CB"/>
    <w:rsid w:val="00E643C0"/>
    <w:rsid w:val="00E6459F"/>
    <w:rsid w:val="00E6460D"/>
    <w:rsid w:val="00E647B3"/>
    <w:rsid w:val="00E648A3"/>
    <w:rsid w:val="00E64982"/>
    <w:rsid w:val="00E64B07"/>
    <w:rsid w:val="00E64B1A"/>
    <w:rsid w:val="00E64BC0"/>
    <w:rsid w:val="00E64E67"/>
    <w:rsid w:val="00E64FB2"/>
    <w:rsid w:val="00E6506E"/>
    <w:rsid w:val="00E651A1"/>
    <w:rsid w:val="00E6530E"/>
    <w:rsid w:val="00E654E2"/>
    <w:rsid w:val="00E6565E"/>
    <w:rsid w:val="00E65669"/>
    <w:rsid w:val="00E656D9"/>
    <w:rsid w:val="00E6574D"/>
    <w:rsid w:val="00E658BC"/>
    <w:rsid w:val="00E6592C"/>
    <w:rsid w:val="00E65A1F"/>
    <w:rsid w:val="00E65ABD"/>
    <w:rsid w:val="00E65B84"/>
    <w:rsid w:val="00E65C29"/>
    <w:rsid w:val="00E65C41"/>
    <w:rsid w:val="00E65CFA"/>
    <w:rsid w:val="00E65EF0"/>
    <w:rsid w:val="00E65FB4"/>
    <w:rsid w:val="00E66134"/>
    <w:rsid w:val="00E662DC"/>
    <w:rsid w:val="00E66396"/>
    <w:rsid w:val="00E664A6"/>
    <w:rsid w:val="00E6669C"/>
    <w:rsid w:val="00E666A3"/>
    <w:rsid w:val="00E666F3"/>
    <w:rsid w:val="00E66701"/>
    <w:rsid w:val="00E6676A"/>
    <w:rsid w:val="00E6676E"/>
    <w:rsid w:val="00E668DC"/>
    <w:rsid w:val="00E668E5"/>
    <w:rsid w:val="00E66A31"/>
    <w:rsid w:val="00E66A58"/>
    <w:rsid w:val="00E66B8F"/>
    <w:rsid w:val="00E66C94"/>
    <w:rsid w:val="00E66EB3"/>
    <w:rsid w:val="00E670FB"/>
    <w:rsid w:val="00E67241"/>
    <w:rsid w:val="00E67384"/>
    <w:rsid w:val="00E673B4"/>
    <w:rsid w:val="00E67472"/>
    <w:rsid w:val="00E675D5"/>
    <w:rsid w:val="00E6786E"/>
    <w:rsid w:val="00E6799A"/>
    <w:rsid w:val="00E67A75"/>
    <w:rsid w:val="00E67BC4"/>
    <w:rsid w:val="00E67DD2"/>
    <w:rsid w:val="00E67E52"/>
    <w:rsid w:val="00E67ED4"/>
    <w:rsid w:val="00E702C8"/>
    <w:rsid w:val="00E70420"/>
    <w:rsid w:val="00E7045E"/>
    <w:rsid w:val="00E70504"/>
    <w:rsid w:val="00E70610"/>
    <w:rsid w:val="00E70B0A"/>
    <w:rsid w:val="00E70B2F"/>
    <w:rsid w:val="00E70D75"/>
    <w:rsid w:val="00E70F18"/>
    <w:rsid w:val="00E70FA2"/>
    <w:rsid w:val="00E7101D"/>
    <w:rsid w:val="00E710E3"/>
    <w:rsid w:val="00E7111A"/>
    <w:rsid w:val="00E71277"/>
    <w:rsid w:val="00E71369"/>
    <w:rsid w:val="00E713C0"/>
    <w:rsid w:val="00E71548"/>
    <w:rsid w:val="00E71623"/>
    <w:rsid w:val="00E716D1"/>
    <w:rsid w:val="00E71B6F"/>
    <w:rsid w:val="00E71BA0"/>
    <w:rsid w:val="00E71E3D"/>
    <w:rsid w:val="00E72137"/>
    <w:rsid w:val="00E7222A"/>
    <w:rsid w:val="00E725DF"/>
    <w:rsid w:val="00E72727"/>
    <w:rsid w:val="00E72ADC"/>
    <w:rsid w:val="00E72B2D"/>
    <w:rsid w:val="00E72D2A"/>
    <w:rsid w:val="00E72EEE"/>
    <w:rsid w:val="00E72F47"/>
    <w:rsid w:val="00E73015"/>
    <w:rsid w:val="00E7317E"/>
    <w:rsid w:val="00E73184"/>
    <w:rsid w:val="00E73231"/>
    <w:rsid w:val="00E733AC"/>
    <w:rsid w:val="00E7358A"/>
    <w:rsid w:val="00E737CD"/>
    <w:rsid w:val="00E73DE9"/>
    <w:rsid w:val="00E740D9"/>
    <w:rsid w:val="00E740DD"/>
    <w:rsid w:val="00E743E7"/>
    <w:rsid w:val="00E74494"/>
    <w:rsid w:val="00E744CD"/>
    <w:rsid w:val="00E7453B"/>
    <w:rsid w:val="00E74570"/>
    <w:rsid w:val="00E74628"/>
    <w:rsid w:val="00E747F5"/>
    <w:rsid w:val="00E747FA"/>
    <w:rsid w:val="00E74935"/>
    <w:rsid w:val="00E74A4F"/>
    <w:rsid w:val="00E74AC3"/>
    <w:rsid w:val="00E74B06"/>
    <w:rsid w:val="00E74B9B"/>
    <w:rsid w:val="00E74D58"/>
    <w:rsid w:val="00E74D7E"/>
    <w:rsid w:val="00E74E12"/>
    <w:rsid w:val="00E74FC4"/>
    <w:rsid w:val="00E752EC"/>
    <w:rsid w:val="00E753DB"/>
    <w:rsid w:val="00E75412"/>
    <w:rsid w:val="00E756C6"/>
    <w:rsid w:val="00E756F7"/>
    <w:rsid w:val="00E75714"/>
    <w:rsid w:val="00E759BA"/>
    <w:rsid w:val="00E75C44"/>
    <w:rsid w:val="00E75C95"/>
    <w:rsid w:val="00E75CCE"/>
    <w:rsid w:val="00E75D4C"/>
    <w:rsid w:val="00E75E45"/>
    <w:rsid w:val="00E75FAB"/>
    <w:rsid w:val="00E76251"/>
    <w:rsid w:val="00E762FD"/>
    <w:rsid w:val="00E76403"/>
    <w:rsid w:val="00E7663D"/>
    <w:rsid w:val="00E767B5"/>
    <w:rsid w:val="00E76974"/>
    <w:rsid w:val="00E76981"/>
    <w:rsid w:val="00E76A5C"/>
    <w:rsid w:val="00E76BD6"/>
    <w:rsid w:val="00E76E49"/>
    <w:rsid w:val="00E76E64"/>
    <w:rsid w:val="00E76E74"/>
    <w:rsid w:val="00E76EAB"/>
    <w:rsid w:val="00E76EC2"/>
    <w:rsid w:val="00E76ECC"/>
    <w:rsid w:val="00E76FD3"/>
    <w:rsid w:val="00E76FDB"/>
    <w:rsid w:val="00E77037"/>
    <w:rsid w:val="00E7721D"/>
    <w:rsid w:val="00E7736A"/>
    <w:rsid w:val="00E77397"/>
    <w:rsid w:val="00E77474"/>
    <w:rsid w:val="00E774BD"/>
    <w:rsid w:val="00E7762E"/>
    <w:rsid w:val="00E77632"/>
    <w:rsid w:val="00E77658"/>
    <w:rsid w:val="00E778F9"/>
    <w:rsid w:val="00E77AC3"/>
    <w:rsid w:val="00E77B62"/>
    <w:rsid w:val="00E77BF2"/>
    <w:rsid w:val="00E77C3F"/>
    <w:rsid w:val="00E80043"/>
    <w:rsid w:val="00E800A6"/>
    <w:rsid w:val="00E800EC"/>
    <w:rsid w:val="00E80144"/>
    <w:rsid w:val="00E8058F"/>
    <w:rsid w:val="00E807F1"/>
    <w:rsid w:val="00E8081E"/>
    <w:rsid w:val="00E8083F"/>
    <w:rsid w:val="00E80843"/>
    <w:rsid w:val="00E80866"/>
    <w:rsid w:val="00E808AF"/>
    <w:rsid w:val="00E808DA"/>
    <w:rsid w:val="00E80953"/>
    <w:rsid w:val="00E8096F"/>
    <w:rsid w:val="00E80A8F"/>
    <w:rsid w:val="00E80B06"/>
    <w:rsid w:val="00E80B6B"/>
    <w:rsid w:val="00E80B73"/>
    <w:rsid w:val="00E80F92"/>
    <w:rsid w:val="00E80FD1"/>
    <w:rsid w:val="00E810B6"/>
    <w:rsid w:val="00E8116B"/>
    <w:rsid w:val="00E81311"/>
    <w:rsid w:val="00E81420"/>
    <w:rsid w:val="00E815D3"/>
    <w:rsid w:val="00E816FF"/>
    <w:rsid w:val="00E81743"/>
    <w:rsid w:val="00E81916"/>
    <w:rsid w:val="00E81AEA"/>
    <w:rsid w:val="00E81B1E"/>
    <w:rsid w:val="00E81B40"/>
    <w:rsid w:val="00E81B42"/>
    <w:rsid w:val="00E81B92"/>
    <w:rsid w:val="00E81CD5"/>
    <w:rsid w:val="00E81D92"/>
    <w:rsid w:val="00E82049"/>
    <w:rsid w:val="00E82080"/>
    <w:rsid w:val="00E82188"/>
    <w:rsid w:val="00E8223C"/>
    <w:rsid w:val="00E82272"/>
    <w:rsid w:val="00E8241E"/>
    <w:rsid w:val="00E824A6"/>
    <w:rsid w:val="00E8250D"/>
    <w:rsid w:val="00E8259B"/>
    <w:rsid w:val="00E825C5"/>
    <w:rsid w:val="00E825E2"/>
    <w:rsid w:val="00E82680"/>
    <w:rsid w:val="00E826B4"/>
    <w:rsid w:val="00E826F2"/>
    <w:rsid w:val="00E82774"/>
    <w:rsid w:val="00E82963"/>
    <w:rsid w:val="00E82BEA"/>
    <w:rsid w:val="00E82C2D"/>
    <w:rsid w:val="00E82D2B"/>
    <w:rsid w:val="00E82DB7"/>
    <w:rsid w:val="00E82DD1"/>
    <w:rsid w:val="00E82EFC"/>
    <w:rsid w:val="00E82F4B"/>
    <w:rsid w:val="00E82FB9"/>
    <w:rsid w:val="00E83177"/>
    <w:rsid w:val="00E83318"/>
    <w:rsid w:val="00E83A8B"/>
    <w:rsid w:val="00E83A9D"/>
    <w:rsid w:val="00E83AD5"/>
    <w:rsid w:val="00E83B13"/>
    <w:rsid w:val="00E83C2F"/>
    <w:rsid w:val="00E83D4A"/>
    <w:rsid w:val="00E83D77"/>
    <w:rsid w:val="00E83DDB"/>
    <w:rsid w:val="00E8403C"/>
    <w:rsid w:val="00E84297"/>
    <w:rsid w:val="00E843F0"/>
    <w:rsid w:val="00E8451A"/>
    <w:rsid w:val="00E84746"/>
    <w:rsid w:val="00E847FA"/>
    <w:rsid w:val="00E849C0"/>
    <w:rsid w:val="00E84B8A"/>
    <w:rsid w:val="00E84DE2"/>
    <w:rsid w:val="00E84F58"/>
    <w:rsid w:val="00E84F65"/>
    <w:rsid w:val="00E8530D"/>
    <w:rsid w:val="00E85543"/>
    <w:rsid w:val="00E85594"/>
    <w:rsid w:val="00E856ED"/>
    <w:rsid w:val="00E857C4"/>
    <w:rsid w:val="00E857DE"/>
    <w:rsid w:val="00E85800"/>
    <w:rsid w:val="00E85940"/>
    <w:rsid w:val="00E859F2"/>
    <w:rsid w:val="00E85B5C"/>
    <w:rsid w:val="00E85BC1"/>
    <w:rsid w:val="00E85D65"/>
    <w:rsid w:val="00E85DAD"/>
    <w:rsid w:val="00E85EE2"/>
    <w:rsid w:val="00E85F01"/>
    <w:rsid w:val="00E86064"/>
    <w:rsid w:val="00E86144"/>
    <w:rsid w:val="00E86275"/>
    <w:rsid w:val="00E8649A"/>
    <w:rsid w:val="00E86597"/>
    <w:rsid w:val="00E865B8"/>
    <w:rsid w:val="00E865CA"/>
    <w:rsid w:val="00E86672"/>
    <w:rsid w:val="00E866AF"/>
    <w:rsid w:val="00E8678B"/>
    <w:rsid w:val="00E86930"/>
    <w:rsid w:val="00E8695E"/>
    <w:rsid w:val="00E86978"/>
    <w:rsid w:val="00E86A74"/>
    <w:rsid w:val="00E86B0D"/>
    <w:rsid w:val="00E86BF5"/>
    <w:rsid w:val="00E86C7B"/>
    <w:rsid w:val="00E86CEB"/>
    <w:rsid w:val="00E86E1E"/>
    <w:rsid w:val="00E86E65"/>
    <w:rsid w:val="00E86E76"/>
    <w:rsid w:val="00E86E7F"/>
    <w:rsid w:val="00E86F44"/>
    <w:rsid w:val="00E86FF9"/>
    <w:rsid w:val="00E8708D"/>
    <w:rsid w:val="00E870B7"/>
    <w:rsid w:val="00E872E5"/>
    <w:rsid w:val="00E873D3"/>
    <w:rsid w:val="00E8749A"/>
    <w:rsid w:val="00E874A3"/>
    <w:rsid w:val="00E874AF"/>
    <w:rsid w:val="00E87600"/>
    <w:rsid w:val="00E87675"/>
    <w:rsid w:val="00E87783"/>
    <w:rsid w:val="00E879C6"/>
    <w:rsid w:val="00E879D9"/>
    <w:rsid w:val="00E879F0"/>
    <w:rsid w:val="00E87C3C"/>
    <w:rsid w:val="00E87C9A"/>
    <w:rsid w:val="00E87F25"/>
    <w:rsid w:val="00E87F66"/>
    <w:rsid w:val="00E87FF7"/>
    <w:rsid w:val="00E90037"/>
    <w:rsid w:val="00E9017A"/>
    <w:rsid w:val="00E90285"/>
    <w:rsid w:val="00E9033B"/>
    <w:rsid w:val="00E903DB"/>
    <w:rsid w:val="00E904D2"/>
    <w:rsid w:val="00E905EB"/>
    <w:rsid w:val="00E906B1"/>
    <w:rsid w:val="00E90931"/>
    <w:rsid w:val="00E90A3C"/>
    <w:rsid w:val="00E90A7A"/>
    <w:rsid w:val="00E90B9E"/>
    <w:rsid w:val="00E90C89"/>
    <w:rsid w:val="00E90E25"/>
    <w:rsid w:val="00E90F5A"/>
    <w:rsid w:val="00E910D6"/>
    <w:rsid w:val="00E911F6"/>
    <w:rsid w:val="00E9126A"/>
    <w:rsid w:val="00E91289"/>
    <w:rsid w:val="00E9134C"/>
    <w:rsid w:val="00E913B1"/>
    <w:rsid w:val="00E913C5"/>
    <w:rsid w:val="00E9156B"/>
    <w:rsid w:val="00E919EE"/>
    <w:rsid w:val="00E91B8F"/>
    <w:rsid w:val="00E91D49"/>
    <w:rsid w:val="00E91EC0"/>
    <w:rsid w:val="00E91F61"/>
    <w:rsid w:val="00E9212D"/>
    <w:rsid w:val="00E92237"/>
    <w:rsid w:val="00E922CA"/>
    <w:rsid w:val="00E923F1"/>
    <w:rsid w:val="00E925EE"/>
    <w:rsid w:val="00E9262B"/>
    <w:rsid w:val="00E926B8"/>
    <w:rsid w:val="00E92749"/>
    <w:rsid w:val="00E9286D"/>
    <w:rsid w:val="00E92876"/>
    <w:rsid w:val="00E92953"/>
    <w:rsid w:val="00E92A9D"/>
    <w:rsid w:val="00E92AA2"/>
    <w:rsid w:val="00E92AD0"/>
    <w:rsid w:val="00E92B69"/>
    <w:rsid w:val="00E92B75"/>
    <w:rsid w:val="00E92CF5"/>
    <w:rsid w:val="00E92D77"/>
    <w:rsid w:val="00E92D7B"/>
    <w:rsid w:val="00E92E33"/>
    <w:rsid w:val="00E92E49"/>
    <w:rsid w:val="00E92F14"/>
    <w:rsid w:val="00E92F87"/>
    <w:rsid w:val="00E92F8E"/>
    <w:rsid w:val="00E92F99"/>
    <w:rsid w:val="00E92FDD"/>
    <w:rsid w:val="00E9311A"/>
    <w:rsid w:val="00E93259"/>
    <w:rsid w:val="00E93324"/>
    <w:rsid w:val="00E9335F"/>
    <w:rsid w:val="00E934FD"/>
    <w:rsid w:val="00E93554"/>
    <w:rsid w:val="00E93588"/>
    <w:rsid w:val="00E93654"/>
    <w:rsid w:val="00E938CB"/>
    <w:rsid w:val="00E93937"/>
    <w:rsid w:val="00E93AB8"/>
    <w:rsid w:val="00E93AE3"/>
    <w:rsid w:val="00E93D6A"/>
    <w:rsid w:val="00E93F11"/>
    <w:rsid w:val="00E93FD0"/>
    <w:rsid w:val="00E93FD3"/>
    <w:rsid w:val="00E94131"/>
    <w:rsid w:val="00E9417B"/>
    <w:rsid w:val="00E942FA"/>
    <w:rsid w:val="00E94470"/>
    <w:rsid w:val="00E945E1"/>
    <w:rsid w:val="00E9463C"/>
    <w:rsid w:val="00E94754"/>
    <w:rsid w:val="00E949B4"/>
    <w:rsid w:val="00E94AFC"/>
    <w:rsid w:val="00E94D5D"/>
    <w:rsid w:val="00E94E01"/>
    <w:rsid w:val="00E94F39"/>
    <w:rsid w:val="00E94FAC"/>
    <w:rsid w:val="00E95008"/>
    <w:rsid w:val="00E9510C"/>
    <w:rsid w:val="00E9512A"/>
    <w:rsid w:val="00E95189"/>
    <w:rsid w:val="00E95507"/>
    <w:rsid w:val="00E955BF"/>
    <w:rsid w:val="00E95610"/>
    <w:rsid w:val="00E956E9"/>
    <w:rsid w:val="00E9589F"/>
    <w:rsid w:val="00E9591B"/>
    <w:rsid w:val="00E9597C"/>
    <w:rsid w:val="00E959CC"/>
    <w:rsid w:val="00E95C54"/>
    <w:rsid w:val="00E95E49"/>
    <w:rsid w:val="00E95E68"/>
    <w:rsid w:val="00E95E8E"/>
    <w:rsid w:val="00E95EDA"/>
    <w:rsid w:val="00E96016"/>
    <w:rsid w:val="00E96066"/>
    <w:rsid w:val="00E96467"/>
    <w:rsid w:val="00E9656C"/>
    <w:rsid w:val="00E9661F"/>
    <w:rsid w:val="00E96636"/>
    <w:rsid w:val="00E96735"/>
    <w:rsid w:val="00E96958"/>
    <w:rsid w:val="00E969BE"/>
    <w:rsid w:val="00E96A51"/>
    <w:rsid w:val="00E96C1D"/>
    <w:rsid w:val="00E96C52"/>
    <w:rsid w:val="00E96C7C"/>
    <w:rsid w:val="00E96DC2"/>
    <w:rsid w:val="00E96E16"/>
    <w:rsid w:val="00E96FAF"/>
    <w:rsid w:val="00E9708B"/>
    <w:rsid w:val="00E97257"/>
    <w:rsid w:val="00E97263"/>
    <w:rsid w:val="00E972AB"/>
    <w:rsid w:val="00E97390"/>
    <w:rsid w:val="00E9747A"/>
    <w:rsid w:val="00E975E7"/>
    <w:rsid w:val="00E977A9"/>
    <w:rsid w:val="00E9798B"/>
    <w:rsid w:val="00E979FE"/>
    <w:rsid w:val="00E97B35"/>
    <w:rsid w:val="00E97C3F"/>
    <w:rsid w:val="00E97C7C"/>
    <w:rsid w:val="00E97EE4"/>
    <w:rsid w:val="00E97EF0"/>
    <w:rsid w:val="00EA0343"/>
    <w:rsid w:val="00EA03E1"/>
    <w:rsid w:val="00EA061D"/>
    <w:rsid w:val="00EA06A2"/>
    <w:rsid w:val="00EA06B3"/>
    <w:rsid w:val="00EA06F8"/>
    <w:rsid w:val="00EA08D5"/>
    <w:rsid w:val="00EA0AD3"/>
    <w:rsid w:val="00EA0ADC"/>
    <w:rsid w:val="00EA0C18"/>
    <w:rsid w:val="00EA0C72"/>
    <w:rsid w:val="00EA0E15"/>
    <w:rsid w:val="00EA0EFE"/>
    <w:rsid w:val="00EA0F76"/>
    <w:rsid w:val="00EA0FDD"/>
    <w:rsid w:val="00EA1210"/>
    <w:rsid w:val="00EA140E"/>
    <w:rsid w:val="00EA148B"/>
    <w:rsid w:val="00EA173C"/>
    <w:rsid w:val="00EA176A"/>
    <w:rsid w:val="00EA1840"/>
    <w:rsid w:val="00EA1AAF"/>
    <w:rsid w:val="00EA1B6E"/>
    <w:rsid w:val="00EA2087"/>
    <w:rsid w:val="00EA2113"/>
    <w:rsid w:val="00EA217E"/>
    <w:rsid w:val="00EA2A50"/>
    <w:rsid w:val="00EA2A93"/>
    <w:rsid w:val="00EA2DE2"/>
    <w:rsid w:val="00EA2E34"/>
    <w:rsid w:val="00EA30BD"/>
    <w:rsid w:val="00EA30D4"/>
    <w:rsid w:val="00EA30F3"/>
    <w:rsid w:val="00EA3132"/>
    <w:rsid w:val="00EA321F"/>
    <w:rsid w:val="00EA3256"/>
    <w:rsid w:val="00EA326E"/>
    <w:rsid w:val="00EA352E"/>
    <w:rsid w:val="00EA35E2"/>
    <w:rsid w:val="00EA3771"/>
    <w:rsid w:val="00EA3B2C"/>
    <w:rsid w:val="00EA3CEA"/>
    <w:rsid w:val="00EA3EC3"/>
    <w:rsid w:val="00EA3EE4"/>
    <w:rsid w:val="00EA3F47"/>
    <w:rsid w:val="00EA402D"/>
    <w:rsid w:val="00EA409C"/>
    <w:rsid w:val="00EA457E"/>
    <w:rsid w:val="00EA460E"/>
    <w:rsid w:val="00EA479C"/>
    <w:rsid w:val="00EA48EF"/>
    <w:rsid w:val="00EA497A"/>
    <w:rsid w:val="00EA49AC"/>
    <w:rsid w:val="00EA49B2"/>
    <w:rsid w:val="00EA49E7"/>
    <w:rsid w:val="00EA4AAA"/>
    <w:rsid w:val="00EA4AC5"/>
    <w:rsid w:val="00EA4BFB"/>
    <w:rsid w:val="00EA4DBB"/>
    <w:rsid w:val="00EA4FB1"/>
    <w:rsid w:val="00EA51C7"/>
    <w:rsid w:val="00EA520C"/>
    <w:rsid w:val="00EA53C3"/>
    <w:rsid w:val="00EA559A"/>
    <w:rsid w:val="00EA560C"/>
    <w:rsid w:val="00EA564C"/>
    <w:rsid w:val="00EA569C"/>
    <w:rsid w:val="00EA5893"/>
    <w:rsid w:val="00EA58A5"/>
    <w:rsid w:val="00EA595F"/>
    <w:rsid w:val="00EA5C32"/>
    <w:rsid w:val="00EA5CE3"/>
    <w:rsid w:val="00EA5F10"/>
    <w:rsid w:val="00EA6024"/>
    <w:rsid w:val="00EA607E"/>
    <w:rsid w:val="00EA611F"/>
    <w:rsid w:val="00EA6128"/>
    <w:rsid w:val="00EA6580"/>
    <w:rsid w:val="00EA6AB0"/>
    <w:rsid w:val="00EA6ACF"/>
    <w:rsid w:val="00EA6B31"/>
    <w:rsid w:val="00EA6CB2"/>
    <w:rsid w:val="00EA6E6C"/>
    <w:rsid w:val="00EA6FCB"/>
    <w:rsid w:val="00EA7067"/>
    <w:rsid w:val="00EA70AA"/>
    <w:rsid w:val="00EA7151"/>
    <w:rsid w:val="00EA72A7"/>
    <w:rsid w:val="00EA72CC"/>
    <w:rsid w:val="00EA7300"/>
    <w:rsid w:val="00EA7369"/>
    <w:rsid w:val="00EA7610"/>
    <w:rsid w:val="00EA7939"/>
    <w:rsid w:val="00EA7A78"/>
    <w:rsid w:val="00EA7B33"/>
    <w:rsid w:val="00EA7B64"/>
    <w:rsid w:val="00EA7D0B"/>
    <w:rsid w:val="00EA7D28"/>
    <w:rsid w:val="00EA7D5C"/>
    <w:rsid w:val="00EA7DF9"/>
    <w:rsid w:val="00EB0016"/>
    <w:rsid w:val="00EB00F0"/>
    <w:rsid w:val="00EB02DE"/>
    <w:rsid w:val="00EB03AC"/>
    <w:rsid w:val="00EB05AD"/>
    <w:rsid w:val="00EB08AF"/>
    <w:rsid w:val="00EB09C1"/>
    <w:rsid w:val="00EB0AAB"/>
    <w:rsid w:val="00EB0AF7"/>
    <w:rsid w:val="00EB0C99"/>
    <w:rsid w:val="00EB0D53"/>
    <w:rsid w:val="00EB0D5C"/>
    <w:rsid w:val="00EB0E64"/>
    <w:rsid w:val="00EB0FF2"/>
    <w:rsid w:val="00EB107D"/>
    <w:rsid w:val="00EB1260"/>
    <w:rsid w:val="00EB1281"/>
    <w:rsid w:val="00EB12C8"/>
    <w:rsid w:val="00EB1333"/>
    <w:rsid w:val="00EB1539"/>
    <w:rsid w:val="00EB1613"/>
    <w:rsid w:val="00EB16D6"/>
    <w:rsid w:val="00EB1743"/>
    <w:rsid w:val="00EB180D"/>
    <w:rsid w:val="00EB18CA"/>
    <w:rsid w:val="00EB19CA"/>
    <w:rsid w:val="00EB1F3A"/>
    <w:rsid w:val="00EB20E5"/>
    <w:rsid w:val="00EB2273"/>
    <w:rsid w:val="00EB257B"/>
    <w:rsid w:val="00EB27DB"/>
    <w:rsid w:val="00EB281B"/>
    <w:rsid w:val="00EB2AB1"/>
    <w:rsid w:val="00EB2D78"/>
    <w:rsid w:val="00EB2E8F"/>
    <w:rsid w:val="00EB3191"/>
    <w:rsid w:val="00EB32FD"/>
    <w:rsid w:val="00EB3337"/>
    <w:rsid w:val="00EB388A"/>
    <w:rsid w:val="00EB393A"/>
    <w:rsid w:val="00EB3B27"/>
    <w:rsid w:val="00EB3BC3"/>
    <w:rsid w:val="00EB3BD1"/>
    <w:rsid w:val="00EB3C77"/>
    <w:rsid w:val="00EB3CB6"/>
    <w:rsid w:val="00EB3D9F"/>
    <w:rsid w:val="00EB3F6F"/>
    <w:rsid w:val="00EB412B"/>
    <w:rsid w:val="00EB4176"/>
    <w:rsid w:val="00EB42ED"/>
    <w:rsid w:val="00EB43D4"/>
    <w:rsid w:val="00EB4450"/>
    <w:rsid w:val="00EB448F"/>
    <w:rsid w:val="00EB45F6"/>
    <w:rsid w:val="00EB4685"/>
    <w:rsid w:val="00EB472A"/>
    <w:rsid w:val="00EB4751"/>
    <w:rsid w:val="00EB496A"/>
    <w:rsid w:val="00EB49AC"/>
    <w:rsid w:val="00EB49C0"/>
    <w:rsid w:val="00EB4A21"/>
    <w:rsid w:val="00EB4CB9"/>
    <w:rsid w:val="00EB4E19"/>
    <w:rsid w:val="00EB4E90"/>
    <w:rsid w:val="00EB5136"/>
    <w:rsid w:val="00EB52BB"/>
    <w:rsid w:val="00EB537C"/>
    <w:rsid w:val="00EB5869"/>
    <w:rsid w:val="00EB5993"/>
    <w:rsid w:val="00EB5B62"/>
    <w:rsid w:val="00EB5DFD"/>
    <w:rsid w:val="00EB5F07"/>
    <w:rsid w:val="00EB626B"/>
    <w:rsid w:val="00EB64ED"/>
    <w:rsid w:val="00EB6511"/>
    <w:rsid w:val="00EB6C20"/>
    <w:rsid w:val="00EB6C44"/>
    <w:rsid w:val="00EB6C66"/>
    <w:rsid w:val="00EB6CD8"/>
    <w:rsid w:val="00EB6DBD"/>
    <w:rsid w:val="00EB6EC8"/>
    <w:rsid w:val="00EB6F12"/>
    <w:rsid w:val="00EB6F13"/>
    <w:rsid w:val="00EB70F3"/>
    <w:rsid w:val="00EB7117"/>
    <w:rsid w:val="00EB7239"/>
    <w:rsid w:val="00EB7363"/>
    <w:rsid w:val="00EB7462"/>
    <w:rsid w:val="00EB7562"/>
    <w:rsid w:val="00EB7B06"/>
    <w:rsid w:val="00EB7BB9"/>
    <w:rsid w:val="00EC0186"/>
    <w:rsid w:val="00EC0258"/>
    <w:rsid w:val="00EC02BD"/>
    <w:rsid w:val="00EC02D3"/>
    <w:rsid w:val="00EC065A"/>
    <w:rsid w:val="00EC06E4"/>
    <w:rsid w:val="00EC07F4"/>
    <w:rsid w:val="00EC0A9B"/>
    <w:rsid w:val="00EC0B1E"/>
    <w:rsid w:val="00EC0B2D"/>
    <w:rsid w:val="00EC0B79"/>
    <w:rsid w:val="00EC0F38"/>
    <w:rsid w:val="00EC0F9C"/>
    <w:rsid w:val="00EC10D8"/>
    <w:rsid w:val="00EC11AF"/>
    <w:rsid w:val="00EC14EF"/>
    <w:rsid w:val="00EC16AE"/>
    <w:rsid w:val="00EC1810"/>
    <w:rsid w:val="00EC194B"/>
    <w:rsid w:val="00EC1A51"/>
    <w:rsid w:val="00EC1C08"/>
    <w:rsid w:val="00EC1D0F"/>
    <w:rsid w:val="00EC1E7B"/>
    <w:rsid w:val="00EC20E1"/>
    <w:rsid w:val="00EC2123"/>
    <w:rsid w:val="00EC22AB"/>
    <w:rsid w:val="00EC24D0"/>
    <w:rsid w:val="00EC2601"/>
    <w:rsid w:val="00EC2764"/>
    <w:rsid w:val="00EC2942"/>
    <w:rsid w:val="00EC2A16"/>
    <w:rsid w:val="00EC2BF3"/>
    <w:rsid w:val="00EC2F76"/>
    <w:rsid w:val="00EC2FB6"/>
    <w:rsid w:val="00EC305A"/>
    <w:rsid w:val="00EC3135"/>
    <w:rsid w:val="00EC3148"/>
    <w:rsid w:val="00EC336A"/>
    <w:rsid w:val="00EC33FB"/>
    <w:rsid w:val="00EC34B0"/>
    <w:rsid w:val="00EC3743"/>
    <w:rsid w:val="00EC3744"/>
    <w:rsid w:val="00EC37A8"/>
    <w:rsid w:val="00EC37AC"/>
    <w:rsid w:val="00EC38C0"/>
    <w:rsid w:val="00EC3918"/>
    <w:rsid w:val="00EC3BEC"/>
    <w:rsid w:val="00EC3C66"/>
    <w:rsid w:val="00EC3D35"/>
    <w:rsid w:val="00EC3D88"/>
    <w:rsid w:val="00EC3E19"/>
    <w:rsid w:val="00EC3F04"/>
    <w:rsid w:val="00EC3FE2"/>
    <w:rsid w:val="00EC407E"/>
    <w:rsid w:val="00EC4099"/>
    <w:rsid w:val="00EC4192"/>
    <w:rsid w:val="00EC419B"/>
    <w:rsid w:val="00EC4268"/>
    <w:rsid w:val="00EC4329"/>
    <w:rsid w:val="00EC471C"/>
    <w:rsid w:val="00EC4B46"/>
    <w:rsid w:val="00EC4D5E"/>
    <w:rsid w:val="00EC4D78"/>
    <w:rsid w:val="00EC4EBF"/>
    <w:rsid w:val="00EC507B"/>
    <w:rsid w:val="00EC50BC"/>
    <w:rsid w:val="00EC52B0"/>
    <w:rsid w:val="00EC5365"/>
    <w:rsid w:val="00EC5509"/>
    <w:rsid w:val="00EC566C"/>
    <w:rsid w:val="00EC5719"/>
    <w:rsid w:val="00EC5B87"/>
    <w:rsid w:val="00EC5B9D"/>
    <w:rsid w:val="00EC5DA2"/>
    <w:rsid w:val="00EC5E50"/>
    <w:rsid w:val="00EC5E8A"/>
    <w:rsid w:val="00EC6019"/>
    <w:rsid w:val="00EC614F"/>
    <w:rsid w:val="00EC61DF"/>
    <w:rsid w:val="00EC62D5"/>
    <w:rsid w:val="00EC63EC"/>
    <w:rsid w:val="00EC643F"/>
    <w:rsid w:val="00EC652F"/>
    <w:rsid w:val="00EC676B"/>
    <w:rsid w:val="00EC6994"/>
    <w:rsid w:val="00EC6ABB"/>
    <w:rsid w:val="00EC6D3A"/>
    <w:rsid w:val="00EC6EEC"/>
    <w:rsid w:val="00EC6FEA"/>
    <w:rsid w:val="00EC7016"/>
    <w:rsid w:val="00EC70F7"/>
    <w:rsid w:val="00EC719C"/>
    <w:rsid w:val="00EC741D"/>
    <w:rsid w:val="00EC7480"/>
    <w:rsid w:val="00EC74CC"/>
    <w:rsid w:val="00EC75DA"/>
    <w:rsid w:val="00EC76BF"/>
    <w:rsid w:val="00EC7B3A"/>
    <w:rsid w:val="00EC7B55"/>
    <w:rsid w:val="00EC7B66"/>
    <w:rsid w:val="00EC7D6D"/>
    <w:rsid w:val="00EC7DE2"/>
    <w:rsid w:val="00EC7FB5"/>
    <w:rsid w:val="00ED02AF"/>
    <w:rsid w:val="00ED0594"/>
    <w:rsid w:val="00ED062C"/>
    <w:rsid w:val="00ED068E"/>
    <w:rsid w:val="00ED074C"/>
    <w:rsid w:val="00ED09CC"/>
    <w:rsid w:val="00ED0A07"/>
    <w:rsid w:val="00ED0A6F"/>
    <w:rsid w:val="00ED0B25"/>
    <w:rsid w:val="00ED0C4A"/>
    <w:rsid w:val="00ED0F24"/>
    <w:rsid w:val="00ED0FBB"/>
    <w:rsid w:val="00ED111F"/>
    <w:rsid w:val="00ED16A2"/>
    <w:rsid w:val="00ED16CF"/>
    <w:rsid w:val="00ED1711"/>
    <w:rsid w:val="00ED1865"/>
    <w:rsid w:val="00ED18D5"/>
    <w:rsid w:val="00ED1954"/>
    <w:rsid w:val="00ED1AAD"/>
    <w:rsid w:val="00ED1BD5"/>
    <w:rsid w:val="00ED1CA2"/>
    <w:rsid w:val="00ED1E16"/>
    <w:rsid w:val="00ED1F18"/>
    <w:rsid w:val="00ED2399"/>
    <w:rsid w:val="00ED2405"/>
    <w:rsid w:val="00ED2433"/>
    <w:rsid w:val="00ED2471"/>
    <w:rsid w:val="00ED2539"/>
    <w:rsid w:val="00ED2B0D"/>
    <w:rsid w:val="00ED2D35"/>
    <w:rsid w:val="00ED2DE3"/>
    <w:rsid w:val="00ED2FD2"/>
    <w:rsid w:val="00ED314A"/>
    <w:rsid w:val="00ED3648"/>
    <w:rsid w:val="00ED370B"/>
    <w:rsid w:val="00ED3EE5"/>
    <w:rsid w:val="00ED3FD8"/>
    <w:rsid w:val="00ED410C"/>
    <w:rsid w:val="00ED419B"/>
    <w:rsid w:val="00ED4385"/>
    <w:rsid w:val="00ED43D5"/>
    <w:rsid w:val="00ED43F7"/>
    <w:rsid w:val="00ED45A3"/>
    <w:rsid w:val="00ED4769"/>
    <w:rsid w:val="00ED47AD"/>
    <w:rsid w:val="00ED49CC"/>
    <w:rsid w:val="00ED4A88"/>
    <w:rsid w:val="00ED4B6A"/>
    <w:rsid w:val="00ED4BBB"/>
    <w:rsid w:val="00ED4C9B"/>
    <w:rsid w:val="00ED4D29"/>
    <w:rsid w:val="00ED4F35"/>
    <w:rsid w:val="00ED4FA8"/>
    <w:rsid w:val="00ED51E1"/>
    <w:rsid w:val="00ED5224"/>
    <w:rsid w:val="00ED558E"/>
    <w:rsid w:val="00ED5755"/>
    <w:rsid w:val="00ED57B4"/>
    <w:rsid w:val="00ED5807"/>
    <w:rsid w:val="00ED59A6"/>
    <w:rsid w:val="00ED5A58"/>
    <w:rsid w:val="00ED5B4B"/>
    <w:rsid w:val="00ED618D"/>
    <w:rsid w:val="00ED6566"/>
    <w:rsid w:val="00ED6D4F"/>
    <w:rsid w:val="00ED6E99"/>
    <w:rsid w:val="00ED704B"/>
    <w:rsid w:val="00ED711B"/>
    <w:rsid w:val="00ED71B2"/>
    <w:rsid w:val="00ED7400"/>
    <w:rsid w:val="00ED7444"/>
    <w:rsid w:val="00ED74EE"/>
    <w:rsid w:val="00ED7570"/>
    <w:rsid w:val="00ED75F8"/>
    <w:rsid w:val="00ED76CF"/>
    <w:rsid w:val="00ED7848"/>
    <w:rsid w:val="00ED78DD"/>
    <w:rsid w:val="00ED7987"/>
    <w:rsid w:val="00ED7BE1"/>
    <w:rsid w:val="00ED7E32"/>
    <w:rsid w:val="00ED7E6F"/>
    <w:rsid w:val="00EE0098"/>
    <w:rsid w:val="00EE0128"/>
    <w:rsid w:val="00EE01A9"/>
    <w:rsid w:val="00EE05B2"/>
    <w:rsid w:val="00EE05F3"/>
    <w:rsid w:val="00EE0643"/>
    <w:rsid w:val="00EE0709"/>
    <w:rsid w:val="00EE080C"/>
    <w:rsid w:val="00EE08A7"/>
    <w:rsid w:val="00EE0B37"/>
    <w:rsid w:val="00EE0BC3"/>
    <w:rsid w:val="00EE0DF5"/>
    <w:rsid w:val="00EE0F06"/>
    <w:rsid w:val="00EE0F52"/>
    <w:rsid w:val="00EE10C8"/>
    <w:rsid w:val="00EE1150"/>
    <w:rsid w:val="00EE1291"/>
    <w:rsid w:val="00EE137A"/>
    <w:rsid w:val="00EE13CE"/>
    <w:rsid w:val="00EE1542"/>
    <w:rsid w:val="00EE16D0"/>
    <w:rsid w:val="00EE179B"/>
    <w:rsid w:val="00EE179F"/>
    <w:rsid w:val="00EE18BC"/>
    <w:rsid w:val="00EE19C3"/>
    <w:rsid w:val="00EE19ED"/>
    <w:rsid w:val="00EE1A78"/>
    <w:rsid w:val="00EE207A"/>
    <w:rsid w:val="00EE20D3"/>
    <w:rsid w:val="00EE210C"/>
    <w:rsid w:val="00EE2238"/>
    <w:rsid w:val="00EE223A"/>
    <w:rsid w:val="00EE228B"/>
    <w:rsid w:val="00EE2364"/>
    <w:rsid w:val="00EE237A"/>
    <w:rsid w:val="00EE23B4"/>
    <w:rsid w:val="00EE2530"/>
    <w:rsid w:val="00EE26D9"/>
    <w:rsid w:val="00EE26DE"/>
    <w:rsid w:val="00EE275B"/>
    <w:rsid w:val="00EE2B25"/>
    <w:rsid w:val="00EE2CEE"/>
    <w:rsid w:val="00EE2DF2"/>
    <w:rsid w:val="00EE2F9A"/>
    <w:rsid w:val="00EE31F4"/>
    <w:rsid w:val="00EE3273"/>
    <w:rsid w:val="00EE3436"/>
    <w:rsid w:val="00EE3439"/>
    <w:rsid w:val="00EE348C"/>
    <w:rsid w:val="00EE35BB"/>
    <w:rsid w:val="00EE3C76"/>
    <w:rsid w:val="00EE3E7E"/>
    <w:rsid w:val="00EE45D1"/>
    <w:rsid w:val="00EE4698"/>
    <w:rsid w:val="00EE46A1"/>
    <w:rsid w:val="00EE46DF"/>
    <w:rsid w:val="00EE471B"/>
    <w:rsid w:val="00EE48E1"/>
    <w:rsid w:val="00EE49B8"/>
    <w:rsid w:val="00EE4A38"/>
    <w:rsid w:val="00EE4A8E"/>
    <w:rsid w:val="00EE4CB2"/>
    <w:rsid w:val="00EE4D3E"/>
    <w:rsid w:val="00EE5260"/>
    <w:rsid w:val="00EE52FA"/>
    <w:rsid w:val="00EE5772"/>
    <w:rsid w:val="00EE5995"/>
    <w:rsid w:val="00EE59D3"/>
    <w:rsid w:val="00EE5AB7"/>
    <w:rsid w:val="00EE5B53"/>
    <w:rsid w:val="00EE5C9D"/>
    <w:rsid w:val="00EE5EC0"/>
    <w:rsid w:val="00EE5F88"/>
    <w:rsid w:val="00EE61BF"/>
    <w:rsid w:val="00EE641F"/>
    <w:rsid w:val="00EE6468"/>
    <w:rsid w:val="00EE6B2F"/>
    <w:rsid w:val="00EE6C37"/>
    <w:rsid w:val="00EE6D5B"/>
    <w:rsid w:val="00EE6EED"/>
    <w:rsid w:val="00EE71B0"/>
    <w:rsid w:val="00EE71B8"/>
    <w:rsid w:val="00EE7571"/>
    <w:rsid w:val="00EE76A1"/>
    <w:rsid w:val="00EE77A1"/>
    <w:rsid w:val="00EE78C1"/>
    <w:rsid w:val="00EE791F"/>
    <w:rsid w:val="00EE79CC"/>
    <w:rsid w:val="00EE7ADC"/>
    <w:rsid w:val="00EE7B15"/>
    <w:rsid w:val="00EE7CB8"/>
    <w:rsid w:val="00EE7F43"/>
    <w:rsid w:val="00EE7F7F"/>
    <w:rsid w:val="00EF002C"/>
    <w:rsid w:val="00EF0368"/>
    <w:rsid w:val="00EF037C"/>
    <w:rsid w:val="00EF037D"/>
    <w:rsid w:val="00EF042A"/>
    <w:rsid w:val="00EF0449"/>
    <w:rsid w:val="00EF0642"/>
    <w:rsid w:val="00EF0842"/>
    <w:rsid w:val="00EF08B2"/>
    <w:rsid w:val="00EF0A83"/>
    <w:rsid w:val="00EF0B82"/>
    <w:rsid w:val="00EF0EB5"/>
    <w:rsid w:val="00EF0F3F"/>
    <w:rsid w:val="00EF0FF5"/>
    <w:rsid w:val="00EF11B6"/>
    <w:rsid w:val="00EF1252"/>
    <w:rsid w:val="00EF1624"/>
    <w:rsid w:val="00EF1689"/>
    <w:rsid w:val="00EF1774"/>
    <w:rsid w:val="00EF18A2"/>
    <w:rsid w:val="00EF1940"/>
    <w:rsid w:val="00EF19F8"/>
    <w:rsid w:val="00EF1B54"/>
    <w:rsid w:val="00EF1C29"/>
    <w:rsid w:val="00EF1EAA"/>
    <w:rsid w:val="00EF1F94"/>
    <w:rsid w:val="00EF2118"/>
    <w:rsid w:val="00EF2494"/>
    <w:rsid w:val="00EF2719"/>
    <w:rsid w:val="00EF27D7"/>
    <w:rsid w:val="00EF28F0"/>
    <w:rsid w:val="00EF2951"/>
    <w:rsid w:val="00EF29A0"/>
    <w:rsid w:val="00EF2B37"/>
    <w:rsid w:val="00EF2BC7"/>
    <w:rsid w:val="00EF2C34"/>
    <w:rsid w:val="00EF2CD2"/>
    <w:rsid w:val="00EF2D9D"/>
    <w:rsid w:val="00EF2DD9"/>
    <w:rsid w:val="00EF2DE3"/>
    <w:rsid w:val="00EF2FFA"/>
    <w:rsid w:val="00EF3143"/>
    <w:rsid w:val="00EF321E"/>
    <w:rsid w:val="00EF3402"/>
    <w:rsid w:val="00EF3586"/>
    <w:rsid w:val="00EF36AC"/>
    <w:rsid w:val="00EF37A5"/>
    <w:rsid w:val="00EF39C0"/>
    <w:rsid w:val="00EF3A52"/>
    <w:rsid w:val="00EF3A58"/>
    <w:rsid w:val="00EF3C5A"/>
    <w:rsid w:val="00EF3D7B"/>
    <w:rsid w:val="00EF3DF0"/>
    <w:rsid w:val="00EF3E5A"/>
    <w:rsid w:val="00EF3EE1"/>
    <w:rsid w:val="00EF3F78"/>
    <w:rsid w:val="00EF4039"/>
    <w:rsid w:val="00EF40B3"/>
    <w:rsid w:val="00EF41BE"/>
    <w:rsid w:val="00EF42E4"/>
    <w:rsid w:val="00EF490C"/>
    <w:rsid w:val="00EF4979"/>
    <w:rsid w:val="00EF4AAB"/>
    <w:rsid w:val="00EF4ADF"/>
    <w:rsid w:val="00EF4C9E"/>
    <w:rsid w:val="00EF4D27"/>
    <w:rsid w:val="00EF4D3F"/>
    <w:rsid w:val="00EF4FB1"/>
    <w:rsid w:val="00EF5251"/>
    <w:rsid w:val="00EF5313"/>
    <w:rsid w:val="00EF548B"/>
    <w:rsid w:val="00EF5785"/>
    <w:rsid w:val="00EF5802"/>
    <w:rsid w:val="00EF58AF"/>
    <w:rsid w:val="00EF598C"/>
    <w:rsid w:val="00EF5BC5"/>
    <w:rsid w:val="00EF5BCC"/>
    <w:rsid w:val="00EF5D20"/>
    <w:rsid w:val="00EF5F38"/>
    <w:rsid w:val="00EF5F7C"/>
    <w:rsid w:val="00EF61A0"/>
    <w:rsid w:val="00EF635B"/>
    <w:rsid w:val="00EF636B"/>
    <w:rsid w:val="00EF66BE"/>
    <w:rsid w:val="00EF687C"/>
    <w:rsid w:val="00EF6AE1"/>
    <w:rsid w:val="00EF6BEA"/>
    <w:rsid w:val="00EF6C8E"/>
    <w:rsid w:val="00EF6CF5"/>
    <w:rsid w:val="00EF6E77"/>
    <w:rsid w:val="00EF6EC3"/>
    <w:rsid w:val="00EF70E5"/>
    <w:rsid w:val="00EF720D"/>
    <w:rsid w:val="00EF7376"/>
    <w:rsid w:val="00EF7515"/>
    <w:rsid w:val="00EF794E"/>
    <w:rsid w:val="00EF7B06"/>
    <w:rsid w:val="00F00266"/>
    <w:rsid w:val="00F002BA"/>
    <w:rsid w:val="00F003D4"/>
    <w:rsid w:val="00F0074D"/>
    <w:rsid w:val="00F0078B"/>
    <w:rsid w:val="00F007EA"/>
    <w:rsid w:val="00F00819"/>
    <w:rsid w:val="00F009B4"/>
    <w:rsid w:val="00F00B92"/>
    <w:rsid w:val="00F00CCE"/>
    <w:rsid w:val="00F00D36"/>
    <w:rsid w:val="00F00D64"/>
    <w:rsid w:val="00F00E11"/>
    <w:rsid w:val="00F00E6A"/>
    <w:rsid w:val="00F01071"/>
    <w:rsid w:val="00F010FB"/>
    <w:rsid w:val="00F0136D"/>
    <w:rsid w:val="00F013B5"/>
    <w:rsid w:val="00F01411"/>
    <w:rsid w:val="00F0141F"/>
    <w:rsid w:val="00F01449"/>
    <w:rsid w:val="00F01470"/>
    <w:rsid w:val="00F018B5"/>
    <w:rsid w:val="00F01920"/>
    <w:rsid w:val="00F01B9B"/>
    <w:rsid w:val="00F01E48"/>
    <w:rsid w:val="00F01E6C"/>
    <w:rsid w:val="00F01E7A"/>
    <w:rsid w:val="00F01EBA"/>
    <w:rsid w:val="00F01F49"/>
    <w:rsid w:val="00F021A6"/>
    <w:rsid w:val="00F02256"/>
    <w:rsid w:val="00F02441"/>
    <w:rsid w:val="00F0248D"/>
    <w:rsid w:val="00F02598"/>
    <w:rsid w:val="00F026D2"/>
    <w:rsid w:val="00F02937"/>
    <w:rsid w:val="00F029CD"/>
    <w:rsid w:val="00F02AF9"/>
    <w:rsid w:val="00F02B55"/>
    <w:rsid w:val="00F02C21"/>
    <w:rsid w:val="00F02ED9"/>
    <w:rsid w:val="00F0303A"/>
    <w:rsid w:val="00F031D7"/>
    <w:rsid w:val="00F032EB"/>
    <w:rsid w:val="00F03414"/>
    <w:rsid w:val="00F034AE"/>
    <w:rsid w:val="00F036CD"/>
    <w:rsid w:val="00F0374B"/>
    <w:rsid w:val="00F038EE"/>
    <w:rsid w:val="00F03A05"/>
    <w:rsid w:val="00F03B67"/>
    <w:rsid w:val="00F03D92"/>
    <w:rsid w:val="00F03DAC"/>
    <w:rsid w:val="00F03DB2"/>
    <w:rsid w:val="00F0431A"/>
    <w:rsid w:val="00F0435F"/>
    <w:rsid w:val="00F043CE"/>
    <w:rsid w:val="00F043D4"/>
    <w:rsid w:val="00F044FF"/>
    <w:rsid w:val="00F04A88"/>
    <w:rsid w:val="00F04A9F"/>
    <w:rsid w:val="00F04AA9"/>
    <w:rsid w:val="00F04BA2"/>
    <w:rsid w:val="00F04CD8"/>
    <w:rsid w:val="00F04DBE"/>
    <w:rsid w:val="00F04F07"/>
    <w:rsid w:val="00F052F9"/>
    <w:rsid w:val="00F05364"/>
    <w:rsid w:val="00F0536B"/>
    <w:rsid w:val="00F054AC"/>
    <w:rsid w:val="00F05544"/>
    <w:rsid w:val="00F0565E"/>
    <w:rsid w:val="00F057B1"/>
    <w:rsid w:val="00F05B39"/>
    <w:rsid w:val="00F05B97"/>
    <w:rsid w:val="00F05BAF"/>
    <w:rsid w:val="00F05D61"/>
    <w:rsid w:val="00F05FBC"/>
    <w:rsid w:val="00F063A0"/>
    <w:rsid w:val="00F06596"/>
    <w:rsid w:val="00F066ED"/>
    <w:rsid w:val="00F06741"/>
    <w:rsid w:val="00F067D6"/>
    <w:rsid w:val="00F067FB"/>
    <w:rsid w:val="00F06A55"/>
    <w:rsid w:val="00F06AFC"/>
    <w:rsid w:val="00F06E4B"/>
    <w:rsid w:val="00F071D8"/>
    <w:rsid w:val="00F07386"/>
    <w:rsid w:val="00F0754B"/>
    <w:rsid w:val="00F07703"/>
    <w:rsid w:val="00F07778"/>
    <w:rsid w:val="00F079D7"/>
    <w:rsid w:val="00F07A0B"/>
    <w:rsid w:val="00F07A4D"/>
    <w:rsid w:val="00F07E22"/>
    <w:rsid w:val="00F101AC"/>
    <w:rsid w:val="00F1026B"/>
    <w:rsid w:val="00F104A8"/>
    <w:rsid w:val="00F1063D"/>
    <w:rsid w:val="00F10654"/>
    <w:rsid w:val="00F106F6"/>
    <w:rsid w:val="00F1070A"/>
    <w:rsid w:val="00F108BE"/>
    <w:rsid w:val="00F1097D"/>
    <w:rsid w:val="00F10B13"/>
    <w:rsid w:val="00F10B2F"/>
    <w:rsid w:val="00F10C16"/>
    <w:rsid w:val="00F10E02"/>
    <w:rsid w:val="00F10FE2"/>
    <w:rsid w:val="00F11118"/>
    <w:rsid w:val="00F11255"/>
    <w:rsid w:val="00F114CE"/>
    <w:rsid w:val="00F115E6"/>
    <w:rsid w:val="00F11742"/>
    <w:rsid w:val="00F11916"/>
    <w:rsid w:val="00F11ACB"/>
    <w:rsid w:val="00F11C09"/>
    <w:rsid w:val="00F11C2B"/>
    <w:rsid w:val="00F11D33"/>
    <w:rsid w:val="00F12039"/>
    <w:rsid w:val="00F12417"/>
    <w:rsid w:val="00F12424"/>
    <w:rsid w:val="00F12655"/>
    <w:rsid w:val="00F12899"/>
    <w:rsid w:val="00F12974"/>
    <w:rsid w:val="00F129B9"/>
    <w:rsid w:val="00F129D0"/>
    <w:rsid w:val="00F12BC2"/>
    <w:rsid w:val="00F12D65"/>
    <w:rsid w:val="00F12E28"/>
    <w:rsid w:val="00F12E94"/>
    <w:rsid w:val="00F12F05"/>
    <w:rsid w:val="00F13079"/>
    <w:rsid w:val="00F13196"/>
    <w:rsid w:val="00F131A1"/>
    <w:rsid w:val="00F131B5"/>
    <w:rsid w:val="00F131C3"/>
    <w:rsid w:val="00F132A3"/>
    <w:rsid w:val="00F1366D"/>
    <w:rsid w:val="00F1382D"/>
    <w:rsid w:val="00F1383D"/>
    <w:rsid w:val="00F13B06"/>
    <w:rsid w:val="00F13B2F"/>
    <w:rsid w:val="00F13B9E"/>
    <w:rsid w:val="00F13C38"/>
    <w:rsid w:val="00F13E87"/>
    <w:rsid w:val="00F13F5A"/>
    <w:rsid w:val="00F141D0"/>
    <w:rsid w:val="00F143B3"/>
    <w:rsid w:val="00F143BC"/>
    <w:rsid w:val="00F1442E"/>
    <w:rsid w:val="00F144D2"/>
    <w:rsid w:val="00F1453F"/>
    <w:rsid w:val="00F14675"/>
    <w:rsid w:val="00F14696"/>
    <w:rsid w:val="00F1490F"/>
    <w:rsid w:val="00F14993"/>
    <w:rsid w:val="00F1499F"/>
    <w:rsid w:val="00F149FE"/>
    <w:rsid w:val="00F14BF5"/>
    <w:rsid w:val="00F14D90"/>
    <w:rsid w:val="00F150B6"/>
    <w:rsid w:val="00F15241"/>
    <w:rsid w:val="00F15284"/>
    <w:rsid w:val="00F152A1"/>
    <w:rsid w:val="00F152E0"/>
    <w:rsid w:val="00F15557"/>
    <w:rsid w:val="00F15660"/>
    <w:rsid w:val="00F15674"/>
    <w:rsid w:val="00F15AF5"/>
    <w:rsid w:val="00F15B06"/>
    <w:rsid w:val="00F15C94"/>
    <w:rsid w:val="00F15D28"/>
    <w:rsid w:val="00F15EDB"/>
    <w:rsid w:val="00F15F6A"/>
    <w:rsid w:val="00F16026"/>
    <w:rsid w:val="00F16293"/>
    <w:rsid w:val="00F1656D"/>
    <w:rsid w:val="00F1658D"/>
    <w:rsid w:val="00F1668E"/>
    <w:rsid w:val="00F166A6"/>
    <w:rsid w:val="00F16855"/>
    <w:rsid w:val="00F169A2"/>
    <w:rsid w:val="00F16ADB"/>
    <w:rsid w:val="00F16E3B"/>
    <w:rsid w:val="00F16F17"/>
    <w:rsid w:val="00F17017"/>
    <w:rsid w:val="00F170C5"/>
    <w:rsid w:val="00F1712D"/>
    <w:rsid w:val="00F172D8"/>
    <w:rsid w:val="00F17376"/>
    <w:rsid w:val="00F1764F"/>
    <w:rsid w:val="00F177EC"/>
    <w:rsid w:val="00F17A03"/>
    <w:rsid w:val="00F17AE0"/>
    <w:rsid w:val="00F17BC4"/>
    <w:rsid w:val="00F17CC9"/>
    <w:rsid w:val="00F17CFC"/>
    <w:rsid w:val="00F17EB6"/>
    <w:rsid w:val="00F17F4B"/>
    <w:rsid w:val="00F17FEB"/>
    <w:rsid w:val="00F2000A"/>
    <w:rsid w:val="00F201ED"/>
    <w:rsid w:val="00F2034D"/>
    <w:rsid w:val="00F2046E"/>
    <w:rsid w:val="00F204C4"/>
    <w:rsid w:val="00F207BA"/>
    <w:rsid w:val="00F20830"/>
    <w:rsid w:val="00F209CC"/>
    <w:rsid w:val="00F209DA"/>
    <w:rsid w:val="00F20ABB"/>
    <w:rsid w:val="00F20C9D"/>
    <w:rsid w:val="00F20CD0"/>
    <w:rsid w:val="00F20DBA"/>
    <w:rsid w:val="00F20EA6"/>
    <w:rsid w:val="00F20EB5"/>
    <w:rsid w:val="00F20F4C"/>
    <w:rsid w:val="00F20FC2"/>
    <w:rsid w:val="00F210C5"/>
    <w:rsid w:val="00F21195"/>
    <w:rsid w:val="00F212B2"/>
    <w:rsid w:val="00F21446"/>
    <w:rsid w:val="00F214D5"/>
    <w:rsid w:val="00F215A6"/>
    <w:rsid w:val="00F21770"/>
    <w:rsid w:val="00F21826"/>
    <w:rsid w:val="00F21AD0"/>
    <w:rsid w:val="00F21C24"/>
    <w:rsid w:val="00F21D52"/>
    <w:rsid w:val="00F21DAA"/>
    <w:rsid w:val="00F21DD7"/>
    <w:rsid w:val="00F21E4A"/>
    <w:rsid w:val="00F22177"/>
    <w:rsid w:val="00F2218B"/>
    <w:rsid w:val="00F221D8"/>
    <w:rsid w:val="00F221E5"/>
    <w:rsid w:val="00F223A1"/>
    <w:rsid w:val="00F225B9"/>
    <w:rsid w:val="00F227BC"/>
    <w:rsid w:val="00F22C8B"/>
    <w:rsid w:val="00F22ED1"/>
    <w:rsid w:val="00F22F55"/>
    <w:rsid w:val="00F2302D"/>
    <w:rsid w:val="00F231F5"/>
    <w:rsid w:val="00F23359"/>
    <w:rsid w:val="00F23478"/>
    <w:rsid w:val="00F2385F"/>
    <w:rsid w:val="00F23981"/>
    <w:rsid w:val="00F23A4F"/>
    <w:rsid w:val="00F23B34"/>
    <w:rsid w:val="00F23BC9"/>
    <w:rsid w:val="00F23C7A"/>
    <w:rsid w:val="00F2403B"/>
    <w:rsid w:val="00F24115"/>
    <w:rsid w:val="00F242E8"/>
    <w:rsid w:val="00F24402"/>
    <w:rsid w:val="00F2440E"/>
    <w:rsid w:val="00F24414"/>
    <w:rsid w:val="00F244F5"/>
    <w:rsid w:val="00F24637"/>
    <w:rsid w:val="00F24673"/>
    <w:rsid w:val="00F246AC"/>
    <w:rsid w:val="00F249C9"/>
    <w:rsid w:val="00F24A6E"/>
    <w:rsid w:val="00F24AB6"/>
    <w:rsid w:val="00F24DD4"/>
    <w:rsid w:val="00F24E9F"/>
    <w:rsid w:val="00F24EB5"/>
    <w:rsid w:val="00F24EDB"/>
    <w:rsid w:val="00F24EF3"/>
    <w:rsid w:val="00F25284"/>
    <w:rsid w:val="00F252AD"/>
    <w:rsid w:val="00F25347"/>
    <w:rsid w:val="00F2542A"/>
    <w:rsid w:val="00F255CA"/>
    <w:rsid w:val="00F25894"/>
    <w:rsid w:val="00F25B57"/>
    <w:rsid w:val="00F25CA2"/>
    <w:rsid w:val="00F25F66"/>
    <w:rsid w:val="00F26055"/>
    <w:rsid w:val="00F260C6"/>
    <w:rsid w:val="00F262AF"/>
    <w:rsid w:val="00F26360"/>
    <w:rsid w:val="00F26378"/>
    <w:rsid w:val="00F2651B"/>
    <w:rsid w:val="00F26744"/>
    <w:rsid w:val="00F26A19"/>
    <w:rsid w:val="00F26BA3"/>
    <w:rsid w:val="00F26D02"/>
    <w:rsid w:val="00F26D36"/>
    <w:rsid w:val="00F26E09"/>
    <w:rsid w:val="00F26F54"/>
    <w:rsid w:val="00F2772F"/>
    <w:rsid w:val="00F278C8"/>
    <w:rsid w:val="00F27BAF"/>
    <w:rsid w:val="00F27E33"/>
    <w:rsid w:val="00F30229"/>
    <w:rsid w:val="00F3029B"/>
    <w:rsid w:val="00F3046C"/>
    <w:rsid w:val="00F3046E"/>
    <w:rsid w:val="00F30628"/>
    <w:rsid w:val="00F30653"/>
    <w:rsid w:val="00F3069B"/>
    <w:rsid w:val="00F30935"/>
    <w:rsid w:val="00F30B89"/>
    <w:rsid w:val="00F30DFA"/>
    <w:rsid w:val="00F30F7F"/>
    <w:rsid w:val="00F30F96"/>
    <w:rsid w:val="00F30FE5"/>
    <w:rsid w:val="00F3114D"/>
    <w:rsid w:val="00F3138D"/>
    <w:rsid w:val="00F314DA"/>
    <w:rsid w:val="00F314EB"/>
    <w:rsid w:val="00F31624"/>
    <w:rsid w:val="00F316FA"/>
    <w:rsid w:val="00F31700"/>
    <w:rsid w:val="00F317D6"/>
    <w:rsid w:val="00F31862"/>
    <w:rsid w:val="00F318F5"/>
    <w:rsid w:val="00F31A36"/>
    <w:rsid w:val="00F31A3F"/>
    <w:rsid w:val="00F31BAC"/>
    <w:rsid w:val="00F31BD8"/>
    <w:rsid w:val="00F31C01"/>
    <w:rsid w:val="00F31EEC"/>
    <w:rsid w:val="00F31F54"/>
    <w:rsid w:val="00F31F63"/>
    <w:rsid w:val="00F31F8A"/>
    <w:rsid w:val="00F321D4"/>
    <w:rsid w:val="00F32223"/>
    <w:rsid w:val="00F322A7"/>
    <w:rsid w:val="00F32455"/>
    <w:rsid w:val="00F32525"/>
    <w:rsid w:val="00F326AA"/>
    <w:rsid w:val="00F3293B"/>
    <w:rsid w:val="00F32ACF"/>
    <w:rsid w:val="00F32C26"/>
    <w:rsid w:val="00F32CE5"/>
    <w:rsid w:val="00F32F69"/>
    <w:rsid w:val="00F33051"/>
    <w:rsid w:val="00F3307B"/>
    <w:rsid w:val="00F330B1"/>
    <w:rsid w:val="00F33122"/>
    <w:rsid w:val="00F333B7"/>
    <w:rsid w:val="00F3343F"/>
    <w:rsid w:val="00F336FF"/>
    <w:rsid w:val="00F33921"/>
    <w:rsid w:val="00F339F4"/>
    <w:rsid w:val="00F33D32"/>
    <w:rsid w:val="00F33E95"/>
    <w:rsid w:val="00F33EE5"/>
    <w:rsid w:val="00F34132"/>
    <w:rsid w:val="00F343BB"/>
    <w:rsid w:val="00F343FD"/>
    <w:rsid w:val="00F344CE"/>
    <w:rsid w:val="00F346C6"/>
    <w:rsid w:val="00F34897"/>
    <w:rsid w:val="00F3494B"/>
    <w:rsid w:val="00F34A13"/>
    <w:rsid w:val="00F34ADE"/>
    <w:rsid w:val="00F34C8E"/>
    <w:rsid w:val="00F34FC5"/>
    <w:rsid w:val="00F3512C"/>
    <w:rsid w:val="00F355D3"/>
    <w:rsid w:val="00F355EE"/>
    <w:rsid w:val="00F35843"/>
    <w:rsid w:val="00F3590E"/>
    <w:rsid w:val="00F35D43"/>
    <w:rsid w:val="00F35DE3"/>
    <w:rsid w:val="00F35F01"/>
    <w:rsid w:val="00F36241"/>
    <w:rsid w:val="00F3640D"/>
    <w:rsid w:val="00F36514"/>
    <w:rsid w:val="00F3658B"/>
    <w:rsid w:val="00F367B3"/>
    <w:rsid w:val="00F369A1"/>
    <w:rsid w:val="00F36A6B"/>
    <w:rsid w:val="00F36D21"/>
    <w:rsid w:val="00F36E97"/>
    <w:rsid w:val="00F3736C"/>
    <w:rsid w:val="00F375D1"/>
    <w:rsid w:val="00F375F2"/>
    <w:rsid w:val="00F378A9"/>
    <w:rsid w:val="00F37B89"/>
    <w:rsid w:val="00F37B8D"/>
    <w:rsid w:val="00F37C06"/>
    <w:rsid w:val="00F37E04"/>
    <w:rsid w:val="00F37F4E"/>
    <w:rsid w:val="00F4000D"/>
    <w:rsid w:val="00F4007A"/>
    <w:rsid w:val="00F40157"/>
    <w:rsid w:val="00F4030F"/>
    <w:rsid w:val="00F403FB"/>
    <w:rsid w:val="00F404AB"/>
    <w:rsid w:val="00F40572"/>
    <w:rsid w:val="00F405F0"/>
    <w:rsid w:val="00F40845"/>
    <w:rsid w:val="00F408EC"/>
    <w:rsid w:val="00F40C08"/>
    <w:rsid w:val="00F40D57"/>
    <w:rsid w:val="00F40DF1"/>
    <w:rsid w:val="00F40EAF"/>
    <w:rsid w:val="00F40F8D"/>
    <w:rsid w:val="00F40FDA"/>
    <w:rsid w:val="00F41412"/>
    <w:rsid w:val="00F41422"/>
    <w:rsid w:val="00F414A2"/>
    <w:rsid w:val="00F41692"/>
    <w:rsid w:val="00F416BB"/>
    <w:rsid w:val="00F41749"/>
    <w:rsid w:val="00F4176C"/>
    <w:rsid w:val="00F418C4"/>
    <w:rsid w:val="00F4192B"/>
    <w:rsid w:val="00F41EE7"/>
    <w:rsid w:val="00F41FEF"/>
    <w:rsid w:val="00F4206B"/>
    <w:rsid w:val="00F42187"/>
    <w:rsid w:val="00F422A8"/>
    <w:rsid w:val="00F42454"/>
    <w:rsid w:val="00F42482"/>
    <w:rsid w:val="00F424A7"/>
    <w:rsid w:val="00F424B2"/>
    <w:rsid w:val="00F424F0"/>
    <w:rsid w:val="00F425E9"/>
    <w:rsid w:val="00F425FD"/>
    <w:rsid w:val="00F42BCF"/>
    <w:rsid w:val="00F42C97"/>
    <w:rsid w:val="00F42F01"/>
    <w:rsid w:val="00F42FE0"/>
    <w:rsid w:val="00F43002"/>
    <w:rsid w:val="00F4309E"/>
    <w:rsid w:val="00F43124"/>
    <w:rsid w:val="00F435E8"/>
    <w:rsid w:val="00F4361A"/>
    <w:rsid w:val="00F4371F"/>
    <w:rsid w:val="00F438CF"/>
    <w:rsid w:val="00F438E5"/>
    <w:rsid w:val="00F43CC4"/>
    <w:rsid w:val="00F43F7B"/>
    <w:rsid w:val="00F4420A"/>
    <w:rsid w:val="00F4423B"/>
    <w:rsid w:val="00F442C4"/>
    <w:rsid w:val="00F443DF"/>
    <w:rsid w:val="00F44440"/>
    <w:rsid w:val="00F444A4"/>
    <w:rsid w:val="00F4459D"/>
    <w:rsid w:val="00F44726"/>
    <w:rsid w:val="00F44738"/>
    <w:rsid w:val="00F44755"/>
    <w:rsid w:val="00F44B0A"/>
    <w:rsid w:val="00F44C0C"/>
    <w:rsid w:val="00F44D42"/>
    <w:rsid w:val="00F44D97"/>
    <w:rsid w:val="00F44E17"/>
    <w:rsid w:val="00F44E7B"/>
    <w:rsid w:val="00F44FF4"/>
    <w:rsid w:val="00F4515D"/>
    <w:rsid w:val="00F452FA"/>
    <w:rsid w:val="00F45765"/>
    <w:rsid w:val="00F457DD"/>
    <w:rsid w:val="00F45841"/>
    <w:rsid w:val="00F45909"/>
    <w:rsid w:val="00F45A73"/>
    <w:rsid w:val="00F45B1E"/>
    <w:rsid w:val="00F45BD7"/>
    <w:rsid w:val="00F45C16"/>
    <w:rsid w:val="00F45D60"/>
    <w:rsid w:val="00F45E68"/>
    <w:rsid w:val="00F463EA"/>
    <w:rsid w:val="00F464B9"/>
    <w:rsid w:val="00F4661F"/>
    <w:rsid w:val="00F46649"/>
    <w:rsid w:val="00F46663"/>
    <w:rsid w:val="00F466DF"/>
    <w:rsid w:val="00F469FD"/>
    <w:rsid w:val="00F46B96"/>
    <w:rsid w:val="00F46E37"/>
    <w:rsid w:val="00F46E3A"/>
    <w:rsid w:val="00F46E6E"/>
    <w:rsid w:val="00F47144"/>
    <w:rsid w:val="00F472C8"/>
    <w:rsid w:val="00F473EF"/>
    <w:rsid w:val="00F475A6"/>
    <w:rsid w:val="00F4796B"/>
    <w:rsid w:val="00F47BBA"/>
    <w:rsid w:val="00F47E7A"/>
    <w:rsid w:val="00F47E9C"/>
    <w:rsid w:val="00F5017C"/>
    <w:rsid w:val="00F5023C"/>
    <w:rsid w:val="00F505D6"/>
    <w:rsid w:val="00F50959"/>
    <w:rsid w:val="00F50A93"/>
    <w:rsid w:val="00F50C40"/>
    <w:rsid w:val="00F50C8C"/>
    <w:rsid w:val="00F50CB7"/>
    <w:rsid w:val="00F50D6A"/>
    <w:rsid w:val="00F50DAC"/>
    <w:rsid w:val="00F50FF3"/>
    <w:rsid w:val="00F51067"/>
    <w:rsid w:val="00F51120"/>
    <w:rsid w:val="00F511A9"/>
    <w:rsid w:val="00F51626"/>
    <w:rsid w:val="00F51704"/>
    <w:rsid w:val="00F51A09"/>
    <w:rsid w:val="00F51C19"/>
    <w:rsid w:val="00F51C9A"/>
    <w:rsid w:val="00F51D5D"/>
    <w:rsid w:val="00F5212C"/>
    <w:rsid w:val="00F52399"/>
    <w:rsid w:val="00F523E2"/>
    <w:rsid w:val="00F52618"/>
    <w:rsid w:val="00F5268E"/>
    <w:rsid w:val="00F526D0"/>
    <w:rsid w:val="00F5290F"/>
    <w:rsid w:val="00F529EE"/>
    <w:rsid w:val="00F52D67"/>
    <w:rsid w:val="00F52E19"/>
    <w:rsid w:val="00F52EB7"/>
    <w:rsid w:val="00F53160"/>
    <w:rsid w:val="00F53262"/>
    <w:rsid w:val="00F534E0"/>
    <w:rsid w:val="00F53557"/>
    <w:rsid w:val="00F53603"/>
    <w:rsid w:val="00F537EE"/>
    <w:rsid w:val="00F5384F"/>
    <w:rsid w:val="00F53878"/>
    <w:rsid w:val="00F53899"/>
    <w:rsid w:val="00F53928"/>
    <w:rsid w:val="00F53CEB"/>
    <w:rsid w:val="00F5411B"/>
    <w:rsid w:val="00F5427C"/>
    <w:rsid w:val="00F542E5"/>
    <w:rsid w:val="00F54452"/>
    <w:rsid w:val="00F54735"/>
    <w:rsid w:val="00F54892"/>
    <w:rsid w:val="00F54968"/>
    <w:rsid w:val="00F54A7C"/>
    <w:rsid w:val="00F54D85"/>
    <w:rsid w:val="00F54DB8"/>
    <w:rsid w:val="00F54E1B"/>
    <w:rsid w:val="00F54E89"/>
    <w:rsid w:val="00F54F56"/>
    <w:rsid w:val="00F55048"/>
    <w:rsid w:val="00F55185"/>
    <w:rsid w:val="00F553D5"/>
    <w:rsid w:val="00F5541A"/>
    <w:rsid w:val="00F5556E"/>
    <w:rsid w:val="00F55744"/>
    <w:rsid w:val="00F5576B"/>
    <w:rsid w:val="00F5579C"/>
    <w:rsid w:val="00F55F45"/>
    <w:rsid w:val="00F56564"/>
    <w:rsid w:val="00F568EC"/>
    <w:rsid w:val="00F56A4A"/>
    <w:rsid w:val="00F56DA2"/>
    <w:rsid w:val="00F57144"/>
    <w:rsid w:val="00F5781D"/>
    <w:rsid w:val="00F5789B"/>
    <w:rsid w:val="00F57BD6"/>
    <w:rsid w:val="00F57C05"/>
    <w:rsid w:val="00F57CAB"/>
    <w:rsid w:val="00F60011"/>
    <w:rsid w:val="00F6015B"/>
    <w:rsid w:val="00F6038C"/>
    <w:rsid w:val="00F605DF"/>
    <w:rsid w:val="00F60759"/>
    <w:rsid w:val="00F60801"/>
    <w:rsid w:val="00F608A8"/>
    <w:rsid w:val="00F6095D"/>
    <w:rsid w:val="00F60996"/>
    <w:rsid w:val="00F60BE7"/>
    <w:rsid w:val="00F60E6A"/>
    <w:rsid w:val="00F60EAB"/>
    <w:rsid w:val="00F60FD9"/>
    <w:rsid w:val="00F6102D"/>
    <w:rsid w:val="00F61092"/>
    <w:rsid w:val="00F612F8"/>
    <w:rsid w:val="00F61311"/>
    <w:rsid w:val="00F61485"/>
    <w:rsid w:val="00F61610"/>
    <w:rsid w:val="00F61BE6"/>
    <w:rsid w:val="00F61CF1"/>
    <w:rsid w:val="00F62189"/>
    <w:rsid w:val="00F622AB"/>
    <w:rsid w:val="00F6243C"/>
    <w:rsid w:val="00F62A5C"/>
    <w:rsid w:val="00F62BC8"/>
    <w:rsid w:val="00F62DA6"/>
    <w:rsid w:val="00F6303F"/>
    <w:rsid w:val="00F63051"/>
    <w:rsid w:val="00F631A3"/>
    <w:rsid w:val="00F631B1"/>
    <w:rsid w:val="00F631D2"/>
    <w:rsid w:val="00F633E0"/>
    <w:rsid w:val="00F633FE"/>
    <w:rsid w:val="00F634CA"/>
    <w:rsid w:val="00F639DF"/>
    <w:rsid w:val="00F63A88"/>
    <w:rsid w:val="00F63BB8"/>
    <w:rsid w:val="00F63CD6"/>
    <w:rsid w:val="00F6403D"/>
    <w:rsid w:val="00F64146"/>
    <w:rsid w:val="00F6418B"/>
    <w:rsid w:val="00F641C4"/>
    <w:rsid w:val="00F642C8"/>
    <w:rsid w:val="00F64508"/>
    <w:rsid w:val="00F646D2"/>
    <w:rsid w:val="00F64745"/>
    <w:rsid w:val="00F64798"/>
    <w:rsid w:val="00F64A0E"/>
    <w:rsid w:val="00F64A73"/>
    <w:rsid w:val="00F64BF6"/>
    <w:rsid w:val="00F64CAC"/>
    <w:rsid w:val="00F64D58"/>
    <w:rsid w:val="00F64DAA"/>
    <w:rsid w:val="00F652C3"/>
    <w:rsid w:val="00F6533E"/>
    <w:rsid w:val="00F653C3"/>
    <w:rsid w:val="00F655EE"/>
    <w:rsid w:val="00F65650"/>
    <w:rsid w:val="00F656CA"/>
    <w:rsid w:val="00F6571A"/>
    <w:rsid w:val="00F65733"/>
    <w:rsid w:val="00F6573D"/>
    <w:rsid w:val="00F6587A"/>
    <w:rsid w:val="00F65AF7"/>
    <w:rsid w:val="00F65B46"/>
    <w:rsid w:val="00F65CBF"/>
    <w:rsid w:val="00F65F08"/>
    <w:rsid w:val="00F660AD"/>
    <w:rsid w:val="00F664BB"/>
    <w:rsid w:val="00F66921"/>
    <w:rsid w:val="00F66990"/>
    <w:rsid w:val="00F66B9B"/>
    <w:rsid w:val="00F66BAF"/>
    <w:rsid w:val="00F66BEF"/>
    <w:rsid w:val="00F66BF6"/>
    <w:rsid w:val="00F66CD0"/>
    <w:rsid w:val="00F66D04"/>
    <w:rsid w:val="00F66F39"/>
    <w:rsid w:val="00F6722D"/>
    <w:rsid w:val="00F672C3"/>
    <w:rsid w:val="00F67839"/>
    <w:rsid w:val="00F679EA"/>
    <w:rsid w:val="00F67AAC"/>
    <w:rsid w:val="00F67E1C"/>
    <w:rsid w:val="00F67E6C"/>
    <w:rsid w:val="00F67FB8"/>
    <w:rsid w:val="00F70080"/>
    <w:rsid w:val="00F70389"/>
    <w:rsid w:val="00F703B0"/>
    <w:rsid w:val="00F70413"/>
    <w:rsid w:val="00F705D6"/>
    <w:rsid w:val="00F7062A"/>
    <w:rsid w:val="00F707A3"/>
    <w:rsid w:val="00F70874"/>
    <w:rsid w:val="00F708BD"/>
    <w:rsid w:val="00F7098C"/>
    <w:rsid w:val="00F70A9A"/>
    <w:rsid w:val="00F70B41"/>
    <w:rsid w:val="00F70B84"/>
    <w:rsid w:val="00F70FA7"/>
    <w:rsid w:val="00F71015"/>
    <w:rsid w:val="00F7112E"/>
    <w:rsid w:val="00F712DC"/>
    <w:rsid w:val="00F71395"/>
    <w:rsid w:val="00F715B8"/>
    <w:rsid w:val="00F7160B"/>
    <w:rsid w:val="00F71863"/>
    <w:rsid w:val="00F71918"/>
    <w:rsid w:val="00F71A57"/>
    <w:rsid w:val="00F71BB4"/>
    <w:rsid w:val="00F71C39"/>
    <w:rsid w:val="00F71C81"/>
    <w:rsid w:val="00F71CCD"/>
    <w:rsid w:val="00F71E46"/>
    <w:rsid w:val="00F71EEE"/>
    <w:rsid w:val="00F72065"/>
    <w:rsid w:val="00F7219D"/>
    <w:rsid w:val="00F72397"/>
    <w:rsid w:val="00F72399"/>
    <w:rsid w:val="00F72680"/>
    <w:rsid w:val="00F7278E"/>
    <w:rsid w:val="00F728D0"/>
    <w:rsid w:val="00F72979"/>
    <w:rsid w:val="00F7298C"/>
    <w:rsid w:val="00F729CE"/>
    <w:rsid w:val="00F72A2B"/>
    <w:rsid w:val="00F72ABC"/>
    <w:rsid w:val="00F72B82"/>
    <w:rsid w:val="00F72BB9"/>
    <w:rsid w:val="00F72C59"/>
    <w:rsid w:val="00F72C5B"/>
    <w:rsid w:val="00F72CFF"/>
    <w:rsid w:val="00F72E30"/>
    <w:rsid w:val="00F7306E"/>
    <w:rsid w:val="00F7312B"/>
    <w:rsid w:val="00F734B4"/>
    <w:rsid w:val="00F73899"/>
    <w:rsid w:val="00F739BF"/>
    <w:rsid w:val="00F73B32"/>
    <w:rsid w:val="00F73B62"/>
    <w:rsid w:val="00F73B76"/>
    <w:rsid w:val="00F73B92"/>
    <w:rsid w:val="00F73C67"/>
    <w:rsid w:val="00F73D22"/>
    <w:rsid w:val="00F73F1A"/>
    <w:rsid w:val="00F73F63"/>
    <w:rsid w:val="00F73F65"/>
    <w:rsid w:val="00F741C3"/>
    <w:rsid w:val="00F74202"/>
    <w:rsid w:val="00F74222"/>
    <w:rsid w:val="00F74489"/>
    <w:rsid w:val="00F7454D"/>
    <w:rsid w:val="00F745D0"/>
    <w:rsid w:val="00F745F0"/>
    <w:rsid w:val="00F7461A"/>
    <w:rsid w:val="00F746AF"/>
    <w:rsid w:val="00F74877"/>
    <w:rsid w:val="00F74959"/>
    <w:rsid w:val="00F74BF2"/>
    <w:rsid w:val="00F74C56"/>
    <w:rsid w:val="00F74E4F"/>
    <w:rsid w:val="00F74EFB"/>
    <w:rsid w:val="00F751A9"/>
    <w:rsid w:val="00F753EC"/>
    <w:rsid w:val="00F75532"/>
    <w:rsid w:val="00F75A2E"/>
    <w:rsid w:val="00F75AB5"/>
    <w:rsid w:val="00F75B33"/>
    <w:rsid w:val="00F75DFD"/>
    <w:rsid w:val="00F75E8F"/>
    <w:rsid w:val="00F763BA"/>
    <w:rsid w:val="00F764A8"/>
    <w:rsid w:val="00F766A5"/>
    <w:rsid w:val="00F7687D"/>
    <w:rsid w:val="00F7692A"/>
    <w:rsid w:val="00F76A21"/>
    <w:rsid w:val="00F76B73"/>
    <w:rsid w:val="00F76B88"/>
    <w:rsid w:val="00F76C9A"/>
    <w:rsid w:val="00F76FF8"/>
    <w:rsid w:val="00F77382"/>
    <w:rsid w:val="00F7765B"/>
    <w:rsid w:val="00F776C1"/>
    <w:rsid w:val="00F7779F"/>
    <w:rsid w:val="00F77ECD"/>
    <w:rsid w:val="00F80018"/>
    <w:rsid w:val="00F800DE"/>
    <w:rsid w:val="00F8026C"/>
    <w:rsid w:val="00F80345"/>
    <w:rsid w:val="00F803F6"/>
    <w:rsid w:val="00F804C7"/>
    <w:rsid w:val="00F806FD"/>
    <w:rsid w:val="00F80A1F"/>
    <w:rsid w:val="00F80B2E"/>
    <w:rsid w:val="00F80E1C"/>
    <w:rsid w:val="00F80EFF"/>
    <w:rsid w:val="00F80FE9"/>
    <w:rsid w:val="00F811F9"/>
    <w:rsid w:val="00F812C6"/>
    <w:rsid w:val="00F8135D"/>
    <w:rsid w:val="00F815E3"/>
    <w:rsid w:val="00F815F6"/>
    <w:rsid w:val="00F81652"/>
    <w:rsid w:val="00F817E1"/>
    <w:rsid w:val="00F81801"/>
    <w:rsid w:val="00F81855"/>
    <w:rsid w:val="00F81859"/>
    <w:rsid w:val="00F81981"/>
    <w:rsid w:val="00F81A3B"/>
    <w:rsid w:val="00F81AEC"/>
    <w:rsid w:val="00F81AF9"/>
    <w:rsid w:val="00F81C52"/>
    <w:rsid w:val="00F81CB8"/>
    <w:rsid w:val="00F81DEE"/>
    <w:rsid w:val="00F81FB5"/>
    <w:rsid w:val="00F821FC"/>
    <w:rsid w:val="00F82459"/>
    <w:rsid w:val="00F828DA"/>
    <w:rsid w:val="00F82913"/>
    <w:rsid w:val="00F82929"/>
    <w:rsid w:val="00F82A84"/>
    <w:rsid w:val="00F82ADD"/>
    <w:rsid w:val="00F82B46"/>
    <w:rsid w:val="00F82F66"/>
    <w:rsid w:val="00F8323F"/>
    <w:rsid w:val="00F836A0"/>
    <w:rsid w:val="00F83764"/>
    <w:rsid w:val="00F83782"/>
    <w:rsid w:val="00F83816"/>
    <w:rsid w:val="00F839B0"/>
    <w:rsid w:val="00F83B4D"/>
    <w:rsid w:val="00F83B65"/>
    <w:rsid w:val="00F83C26"/>
    <w:rsid w:val="00F83C3F"/>
    <w:rsid w:val="00F83D17"/>
    <w:rsid w:val="00F83DC5"/>
    <w:rsid w:val="00F83E30"/>
    <w:rsid w:val="00F84092"/>
    <w:rsid w:val="00F8409B"/>
    <w:rsid w:val="00F840D1"/>
    <w:rsid w:val="00F842D6"/>
    <w:rsid w:val="00F8437A"/>
    <w:rsid w:val="00F845AE"/>
    <w:rsid w:val="00F84802"/>
    <w:rsid w:val="00F84803"/>
    <w:rsid w:val="00F84821"/>
    <w:rsid w:val="00F84853"/>
    <w:rsid w:val="00F84894"/>
    <w:rsid w:val="00F84A46"/>
    <w:rsid w:val="00F84AAD"/>
    <w:rsid w:val="00F84B44"/>
    <w:rsid w:val="00F84B88"/>
    <w:rsid w:val="00F84C1A"/>
    <w:rsid w:val="00F85395"/>
    <w:rsid w:val="00F856BF"/>
    <w:rsid w:val="00F8570B"/>
    <w:rsid w:val="00F857B3"/>
    <w:rsid w:val="00F859AF"/>
    <w:rsid w:val="00F85B98"/>
    <w:rsid w:val="00F85CFA"/>
    <w:rsid w:val="00F85D6E"/>
    <w:rsid w:val="00F85DF5"/>
    <w:rsid w:val="00F85E7D"/>
    <w:rsid w:val="00F85ECB"/>
    <w:rsid w:val="00F85FA0"/>
    <w:rsid w:val="00F86285"/>
    <w:rsid w:val="00F86468"/>
    <w:rsid w:val="00F864C8"/>
    <w:rsid w:val="00F86580"/>
    <w:rsid w:val="00F865DF"/>
    <w:rsid w:val="00F868AE"/>
    <w:rsid w:val="00F86A35"/>
    <w:rsid w:val="00F86A45"/>
    <w:rsid w:val="00F86AFD"/>
    <w:rsid w:val="00F86C8C"/>
    <w:rsid w:val="00F87049"/>
    <w:rsid w:val="00F87184"/>
    <w:rsid w:val="00F87541"/>
    <w:rsid w:val="00F876AC"/>
    <w:rsid w:val="00F87823"/>
    <w:rsid w:val="00F87906"/>
    <w:rsid w:val="00F87B64"/>
    <w:rsid w:val="00F87BBC"/>
    <w:rsid w:val="00F87CD9"/>
    <w:rsid w:val="00F90032"/>
    <w:rsid w:val="00F9006B"/>
    <w:rsid w:val="00F900C3"/>
    <w:rsid w:val="00F900CD"/>
    <w:rsid w:val="00F904C7"/>
    <w:rsid w:val="00F904FF"/>
    <w:rsid w:val="00F90551"/>
    <w:rsid w:val="00F9064A"/>
    <w:rsid w:val="00F9068B"/>
    <w:rsid w:val="00F90795"/>
    <w:rsid w:val="00F9092C"/>
    <w:rsid w:val="00F90AA3"/>
    <w:rsid w:val="00F90B1E"/>
    <w:rsid w:val="00F90C43"/>
    <w:rsid w:val="00F911D3"/>
    <w:rsid w:val="00F912AC"/>
    <w:rsid w:val="00F9152F"/>
    <w:rsid w:val="00F91836"/>
    <w:rsid w:val="00F91A49"/>
    <w:rsid w:val="00F91C11"/>
    <w:rsid w:val="00F91D2B"/>
    <w:rsid w:val="00F920F2"/>
    <w:rsid w:val="00F92531"/>
    <w:rsid w:val="00F92541"/>
    <w:rsid w:val="00F92592"/>
    <w:rsid w:val="00F9259A"/>
    <w:rsid w:val="00F92650"/>
    <w:rsid w:val="00F92785"/>
    <w:rsid w:val="00F9283F"/>
    <w:rsid w:val="00F92C1C"/>
    <w:rsid w:val="00F92F3F"/>
    <w:rsid w:val="00F93021"/>
    <w:rsid w:val="00F934F2"/>
    <w:rsid w:val="00F935E9"/>
    <w:rsid w:val="00F93678"/>
    <w:rsid w:val="00F93687"/>
    <w:rsid w:val="00F9383C"/>
    <w:rsid w:val="00F938D6"/>
    <w:rsid w:val="00F938DD"/>
    <w:rsid w:val="00F93A46"/>
    <w:rsid w:val="00F93ADC"/>
    <w:rsid w:val="00F93AE4"/>
    <w:rsid w:val="00F93DA9"/>
    <w:rsid w:val="00F93FE6"/>
    <w:rsid w:val="00F94058"/>
    <w:rsid w:val="00F940F8"/>
    <w:rsid w:val="00F94220"/>
    <w:rsid w:val="00F9427E"/>
    <w:rsid w:val="00F94597"/>
    <w:rsid w:val="00F948CE"/>
    <w:rsid w:val="00F94903"/>
    <w:rsid w:val="00F94933"/>
    <w:rsid w:val="00F949BB"/>
    <w:rsid w:val="00F94A3B"/>
    <w:rsid w:val="00F94A5F"/>
    <w:rsid w:val="00F94B6E"/>
    <w:rsid w:val="00F9542A"/>
    <w:rsid w:val="00F954BF"/>
    <w:rsid w:val="00F955FD"/>
    <w:rsid w:val="00F9581A"/>
    <w:rsid w:val="00F95945"/>
    <w:rsid w:val="00F95980"/>
    <w:rsid w:val="00F95A87"/>
    <w:rsid w:val="00F95B2D"/>
    <w:rsid w:val="00F95C86"/>
    <w:rsid w:val="00F95E7B"/>
    <w:rsid w:val="00F95F63"/>
    <w:rsid w:val="00F965EB"/>
    <w:rsid w:val="00F96692"/>
    <w:rsid w:val="00F96753"/>
    <w:rsid w:val="00F96946"/>
    <w:rsid w:val="00F96AB1"/>
    <w:rsid w:val="00F96B08"/>
    <w:rsid w:val="00F96B14"/>
    <w:rsid w:val="00F96C2F"/>
    <w:rsid w:val="00F97158"/>
    <w:rsid w:val="00F972BD"/>
    <w:rsid w:val="00F97369"/>
    <w:rsid w:val="00F97420"/>
    <w:rsid w:val="00F974D3"/>
    <w:rsid w:val="00F97647"/>
    <w:rsid w:val="00F97A6E"/>
    <w:rsid w:val="00F97DD3"/>
    <w:rsid w:val="00F97F36"/>
    <w:rsid w:val="00F97F88"/>
    <w:rsid w:val="00FA00D1"/>
    <w:rsid w:val="00FA00F1"/>
    <w:rsid w:val="00FA02C8"/>
    <w:rsid w:val="00FA04E7"/>
    <w:rsid w:val="00FA054E"/>
    <w:rsid w:val="00FA0658"/>
    <w:rsid w:val="00FA086F"/>
    <w:rsid w:val="00FA08E2"/>
    <w:rsid w:val="00FA08ED"/>
    <w:rsid w:val="00FA0ACB"/>
    <w:rsid w:val="00FA0B4D"/>
    <w:rsid w:val="00FA0B57"/>
    <w:rsid w:val="00FA0C11"/>
    <w:rsid w:val="00FA0C39"/>
    <w:rsid w:val="00FA1080"/>
    <w:rsid w:val="00FA1323"/>
    <w:rsid w:val="00FA1853"/>
    <w:rsid w:val="00FA185E"/>
    <w:rsid w:val="00FA1878"/>
    <w:rsid w:val="00FA1A0E"/>
    <w:rsid w:val="00FA1C6D"/>
    <w:rsid w:val="00FA1ECB"/>
    <w:rsid w:val="00FA23CC"/>
    <w:rsid w:val="00FA2501"/>
    <w:rsid w:val="00FA25DF"/>
    <w:rsid w:val="00FA286C"/>
    <w:rsid w:val="00FA29D0"/>
    <w:rsid w:val="00FA2AE3"/>
    <w:rsid w:val="00FA2BB6"/>
    <w:rsid w:val="00FA2D9B"/>
    <w:rsid w:val="00FA2EED"/>
    <w:rsid w:val="00FA2FA8"/>
    <w:rsid w:val="00FA2FF9"/>
    <w:rsid w:val="00FA318E"/>
    <w:rsid w:val="00FA32EB"/>
    <w:rsid w:val="00FA343B"/>
    <w:rsid w:val="00FA358F"/>
    <w:rsid w:val="00FA36DF"/>
    <w:rsid w:val="00FA3861"/>
    <w:rsid w:val="00FA3867"/>
    <w:rsid w:val="00FA38BD"/>
    <w:rsid w:val="00FA38D1"/>
    <w:rsid w:val="00FA3A5D"/>
    <w:rsid w:val="00FA3C4B"/>
    <w:rsid w:val="00FA41D1"/>
    <w:rsid w:val="00FA43AE"/>
    <w:rsid w:val="00FA43D9"/>
    <w:rsid w:val="00FA48CC"/>
    <w:rsid w:val="00FA48F7"/>
    <w:rsid w:val="00FA4932"/>
    <w:rsid w:val="00FA4973"/>
    <w:rsid w:val="00FA49CD"/>
    <w:rsid w:val="00FA4A89"/>
    <w:rsid w:val="00FA4C0A"/>
    <w:rsid w:val="00FA4C59"/>
    <w:rsid w:val="00FA4C75"/>
    <w:rsid w:val="00FA4D71"/>
    <w:rsid w:val="00FA50FB"/>
    <w:rsid w:val="00FA512A"/>
    <w:rsid w:val="00FA5290"/>
    <w:rsid w:val="00FA52F0"/>
    <w:rsid w:val="00FA5408"/>
    <w:rsid w:val="00FA56AD"/>
    <w:rsid w:val="00FA5865"/>
    <w:rsid w:val="00FA58F6"/>
    <w:rsid w:val="00FA591E"/>
    <w:rsid w:val="00FA5E3B"/>
    <w:rsid w:val="00FA5E59"/>
    <w:rsid w:val="00FA5E6F"/>
    <w:rsid w:val="00FA6002"/>
    <w:rsid w:val="00FA630F"/>
    <w:rsid w:val="00FA65C1"/>
    <w:rsid w:val="00FA6615"/>
    <w:rsid w:val="00FA6A20"/>
    <w:rsid w:val="00FA6A63"/>
    <w:rsid w:val="00FA6D11"/>
    <w:rsid w:val="00FA717F"/>
    <w:rsid w:val="00FA751E"/>
    <w:rsid w:val="00FA76BB"/>
    <w:rsid w:val="00FA7700"/>
    <w:rsid w:val="00FA78B5"/>
    <w:rsid w:val="00FA7968"/>
    <w:rsid w:val="00FA7A2A"/>
    <w:rsid w:val="00FA7A4D"/>
    <w:rsid w:val="00FA7DCF"/>
    <w:rsid w:val="00FB001B"/>
    <w:rsid w:val="00FB0037"/>
    <w:rsid w:val="00FB004E"/>
    <w:rsid w:val="00FB0331"/>
    <w:rsid w:val="00FB04DF"/>
    <w:rsid w:val="00FB0621"/>
    <w:rsid w:val="00FB068E"/>
    <w:rsid w:val="00FB0693"/>
    <w:rsid w:val="00FB0717"/>
    <w:rsid w:val="00FB081D"/>
    <w:rsid w:val="00FB0E54"/>
    <w:rsid w:val="00FB0F47"/>
    <w:rsid w:val="00FB1017"/>
    <w:rsid w:val="00FB1363"/>
    <w:rsid w:val="00FB1426"/>
    <w:rsid w:val="00FB17D6"/>
    <w:rsid w:val="00FB183D"/>
    <w:rsid w:val="00FB18BD"/>
    <w:rsid w:val="00FB1A3F"/>
    <w:rsid w:val="00FB1AB9"/>
    <w:rsid w:val="00FB1C23"/>
    <w:rsid w:val="00FB1D2D"/>
    <w:rsid w:val="00FB1D65"/>
    <w:rsid w:val="00FB1E7E"/>
    <w:rsid w:val="00FB1EA9"/>
    <w:rsid w:val="00FB1FAC"/>
    <w:rsid w:val="00FB20CE"/>
    <w:rsid w:val="00FB22F4"/>
    <w:rsid w:val="00FB234F"/>
    <w:rsid w:val="00FB2376"/>
    <w:rsid w:val="00FB23A6"/>
    <w:rsid w:val="00FB23BC"/>
    <w:rsid w:val="00FB276E"/>
    <w:rsid w:val="00FB277F"/>
    <w:rsid w:val="00FB27C7"/>
    <w:rsid w:val="00FB2E3F"/>
    <w:rsid w:val="00FB2E5C"/>
    <w:rsid w:val="00FB2EE8"/>
    <w:rsid w:val="00FB30D5"/>
    <w:rsid w:val="00FB34A2"/>
    <w:rsid w:val="00FB34FC"/>
    <w:rsid w:val="00FB37B6"/>
    <w:rsid w:val="00FB38C2"/>
    <w:rsid w:val="00FB3E4D"/>
    <w:rsid w:val="00FB3E76"/>
    <w:rsid w:val="00FB4007"/>
    <w:rsid w:val="00FB4010"/>
    <w:rsid w:val="00FB4077"/>
    <w:rsid w:val="00FB418C"/>
    <w:rsid w:val="00FB420C"/>
    <w:rsid w:val="00FB4274"/>
    <w:rsid w:val="00FB4290"/>
    <w:rsid w:val="00FB42BB"/>
    <w:rsid w:val="00FB4489"/>
    <w:rsid w:val="00FB4514"/>
    <w:rsid w:val="00FB455B"/>
    <w:rsid w:val="00FB4749"/>
    <w:rsid w:val="00FB499A"/>
    <w:rsid w:val="00FB4FBA"/>
    <w:rsid w:val="00FB4FC7"/>
    <w:rsid w:val="00FB5002"/>
    <w:rsid w:val="00FB5143"/>
    <w:rsid w:val="00FB54F3"/>
    <w:rsid w:val="00FB5559"/>
    <w:rsid w:val="00FB5651"/>
    <w:rsid w:val="00FB58A1"/>
    <w:rsid w:val="00FB59F1"/>
    <w:rsid w:val="00FB5BC0"/>
    <w:rsid w:val="00FB5DE3"/>
    <w:rsid w:val="00FB5E80"/>
    <w:rsid w:val="00FB5F51"/>
    <w:rsid w:val="00FB6063"/>
    <w:rsid w:val="00FB61A8"/>
    <w:rsid w:val="00FB6200"/>
    <w:rsid w:val="00FB62BB"/>
    <w:rsid w:val="00FB6410"/>
    <w:rsid w:val="00FB651E"/>
    <w:rsid w:val="00FB68E5"/>
    <w:rsid w:val="00FB6DC1"/>
    <w:rsid w:val="00FB6DC8"/>
    <w:rsid w:val="00FB6E13"/>
    <w:rsid w:val="00FB6EC7"/>
    <w:rsid w:val="00FB6FAE"/>
    <w:rsid w:val="00FB7086"/>
    <w:rsid w:val="00FB716C"/>
    <w:rsid w:val="00FB7170"/>
    <w:rsid w:val="00FB7409"/>
    <w:rsid w:val="00FB7698"/>
    <w:rsid w:val="00FB772C"/>
    <w:rsid w:val="00FB78C6"/>
    <w:rsid w:val="00FB7944"/>
    <w:rsid w:val="00FB796B"/>
    <w:rsid w:val="00FB79E2"/>
    <w:rsid w:val="00FB7AA3"/>
    <w:rsid w:val="00FB7BF5"/>
    <w:rsid w:val="00FB7C29"/>
    <w:rsid w:val="00FB7C73"/>
    <w:rsid w:val="00FB7D23"/>
    <w:rsid w:val="00FB7DE9"/>
    <w:rsid w:val="00FB7EAB"/>
    <w:rsid w:val="00FB7FB2"/>
    <w:rsid w:val="00FC0188"/>
    <w:rsid w:val="00FC01BA"/>
    <w:rsid w:val="00FC0243"/>
    <w:rsid w:val="00FC02B2"/>
    <w:rsid w:val="00FC0948"/>
    <w:rsid w:val="00FC0AFD"/>
    <w:rsid w:val="00FC0B78"/>
    <w:rsid w:val="00FC0F03"/>
    <w:rsid w:val="00FC1176"/>
    <w:rsid w:val="00FC1486"/>
    <w:rsid w:val="00FC1AD1"/>
    <w:rsid w:val="00FC1C94"/>
    <w:rsid w:val="00FC1D00"/>
    <w:rsid w:val="00FC1E86"/>
    <w:rsid w:val="00FC2044"/>
    <w:rsid w:val="00FC209C"/>
    <w:rsid w:val="00FC20AA"/>
    <w:rsid w:val="00FC21A5"/>
    <w:rsid w:val="00FC239F"/>
    <w:rsid w:val="00FC2427"/>
    <w:rsid w:val="00FC244F"/>
    <w:rsid w:val="00FC253B"/>
    <w:rsid w:val="00FC25B0"/>
    <w:rsid w:val="00FC25CA"/>
    <w:rsid w:val="00FC299C"/>
    <w:rsid w:val="00FC2AC6"/>
    <w:rsid w:val="00FC2AFE"/>
    <w:rsid w:val="00FC2B8F"/>
    <w:rsid w:val="00FC2C0F"/>
    <w:rsid w:val="00FC2DDC"/>
    <w:rsid w:val="00FC2E3C"/>
    <w:rsid w:val="00FC2F0E"/>
    <w:rsid w:val="00FC3039"/>
    <w:rsid w:val="00FC312F"/>
    <w:rsid w:val="00FC313E"/>
    <w:rsid w:val="00FC34AB"/>
    <w:rsid w:val="00FC3D39"/>
    <w:rsid w:val="00FC3D54"/>
    <w:rsid w:val="00FC3F3C"/>
    <w:rsid w:val="00FC4031"/>
    <w:rsid w:val="00FC41C7"/>
    <w:rsid w:val="00FC41CF"/>
    <w:rsid w:val="00FC4313"/>
    <w:rsid w:val="00FC476F"/>
    <w:rsid w:val="00FC4B02"/>
    <w:rsid w:val="00FC4BE0"/>
    <w:rsid w:val="00FC4C6B"/>
    <w:rsid w:val="00FC4C84"/>
    <w:rsid w:val="00FC4D20"/>
    <w:rsid w:val="00FC4E3A"/>
    <w:rsid w:val="00FC4EBD"/>
    <w:rsid w:val="00FC50BF"/>
    <w:rsid w:val="00FC511D"/>
    <w:rsid w:val="00FC529F"/>
    <w:rsid w:val="00FC5564"/>
    <w:rsid w:val="00FC55D8"/>
    <w:rsid w:val="00FC5618"/>
    <w:rsid w:val="00FC5651"/>
    <w:rsid w:val="00FC5695"/>
    <w:rsid w:val="00FC56B0"/>
    <w:rsid w:val="00FC5759"/>
    <w:rsid w:val="00FC58FA"/>
    <w:rsid w:val="00FC59D0"/>
    <w:rsid w:val="00FC5A0E"/>
    <w:rsid w:val="00FC5B4B"/>
    <w:rsid w:val="00FC5C76"/>
    <w:rsid w:val="00FC5D19"/>
    <w:rsid w:val="00FC5D95"/>
    <w:rsid w:val="00FC60D2"/>
    <w:rsid w:val="00FC618E"/>
    <w:rsid w:val="00FC61BF"/>
    <w:rsid w:val="00FC6366"/>
    <w:rsid w:val="00FC65F1"/>
    <w:rsid w:val="00FC6909"/>
    <w:rsid w:val="00FC6A08"/>
    <w:rsid w:val="00FC6A17"/>
    <w:rsid w:val="00FC6ACB"/>
    <w:rsid w:val="00FC6AFF"/>
    <w:rsid w:val="00FC6E68"/>
    <w:rsid w:val="00FC6EFD"/>
    <w:rsid w:val="00FC7107"/>
    <w:rsid w:val="00FC7D34"/>
    <w:rsid w:val="00FC7F1B"/>
    <w:rsid w:val="00FD00A1"/>
    <w:rsid w:val="00FD00CB"/>
    <w:rsid w:val="00FD020B"/>
    <w:rsid w:val="00FD03D2"/>
    <w:rsid w:val="00FD0488"/>
    <w:rsid w:val="00FD04B3"/>
    <w:rsid w:val="00FD0624"/>
    <w:rsid w:val="00FD0773"/>
    <w:rsid w:val="00FD081E"/>
    <w:rsid w:val="00FD0897"/>
    <w:rsid w:val="00FD089C"/>
    <w:rsid w:val="00FD0ACE"/>
    <w:rsid w:val="00FD0DA2"/>
    <w:rsid w:val="00FD0E39"/>
    <w:rsid w:val="00FD0F08"/>
    <w:rsid w:val="00FD104F"/>
    <w:rsid w:val="00FD10F3"/>
    <w:rsid w:val="00FD1165"/>
    <w:rsid w:val="00FD14AC"/>
    <w:rsid w:val="00FD14B0"/>
    <w:rsid w:val="00FD15B7"/>
    <w:rsid w:val="00FD15DF"/>
    <w:rsid w:val="00FD1632"/>
    <w:rsid w:val="00FD16BE"/>
    <w:rsid w:val="00FD1812"/>
    <w:rsid w:val="00FD1849"/>
    <w:rsid w:val="00FD197B"/>
    <w:rsid w:val="00FD1D59"/>
    <w:rsid w:val="00FD1E53"/>
    <w:rsid w:val="00FD1EDD"/>
    <w:rsid w:val="00FD2117"/>
    <w:rsid w:val="00FD2184"/>
    <w:rsid w:val="00FD21C9"/>
    <w:rsid w:val="00FD2246"/>
    <w:rsid w:val="00FD239F"/>
    <w:rsid w:val="00FD23B3"/>
    <w:rsid w:val="00FD2490"/>
    <w:rsid w:val="00FD2569"/>
    <w:rsid w:val="00FD25A4"/>
    <w:rsid w:val="00FD263B"/>
    <w:rsid w:val="00FD2719"/>
    <w:rsid w:val="00FD2929"/>
    <w:rsid w:val="00FD3112"/>
    <w:rsid w:val="00FD311C"/>
    <w:rsid w:val="00FD3236"/>
    <w:rsid w:val="00FD330F"/>
    <w:rsid w:val="00FD3562"/>
    <w:rsid w:val="00FD3567"/>
    <w:rsid w:val="00FD35B0"/>
    <w:rsid w:val="00FD36FB"/>
    <w:rsid w:val="00FD37B3"/>
    <w:rsid w:val="00FD3830"/>
    <w:rsid w:val="00FD3850"/>
    <w:rsid w:val="00FD3868"/>
    <w:rsid w:val="00FD398C"/>
    <w:rsid w:val="00FD3B07"/>
    <w:rsid w:val="00FD3C3D"/>
    <w:rsid w:val="00FD3CF7"/>
    <w:rsid w:val="00FD4090"/>
    <w:rsid w:val="00FD42C7"/>
    <w:rsid w:val="00FD4386"/>
    <w:rsid w:val="00FD4443"/>
    <w:rsid w:val="00FD44EC"/>
    <w:rsid w:val="00FD45A5"/>
    <w:rsid w:val="00FD474C"/>
    <w:rsid w:val="00FD47C8"/>
    <w:rsid w:val="00FD49CF"/>
    <w:rsid w:val="00FD49D5"/>
    <w:rsid w:val="00FD4AB1"/>
    <w:rsid w:val="00FD4C44"/>
    <w:rsid w:val="00FD4C4E"/>
    <w:rsid w:val="00FD4CA0"/>
    <w:rsid w:val="00FD4CE9"/>
    <w:rsid w:val="00FD4D42"/>
    <w:rsid w:val="00FD4FAB"/>
    <w:rsid w:val="00FD4FD8"/>
    <w:rsid w:val="00FD4FDE"/>
    <w:rsid w:val="00FD51A7"/>
    <w:rsid w:val="00FD52B8"/>
    <w:rsid w:val="00FD55B0"/>
    <w:rsid w:val="00FD55D8"/>
    <w:rsid w:val="00FD5663"/>
    <w:rsid w:val="00FD5AAD"/>
    <w:rsid w:val="00FD5AE4"/>
    <w:rsid w:val="00FD5C0B"/>
    <w:rsid w:val="00FD5D1F"/>
    <w:rsid w:val="00FD5DB9"/>
    <w:rsid w:val="00FD5EF5"/>
    <w:rsid w:val="00FD5FE0"/>
    <w:rsid w:val="00FD60DD"/>
    <w:rsid w:val="00FD615C"/>
    <w:rsid w:val="00FD6249"/>
    <w:rsid w:val="00FD62F3"/>
    <w:rsid w:val="00FD6339"/>
    <w:rsid w:val="00FD63BF"/>
    <w:rsid w:val="00FD63D5"/>
    <w:rsid w:val="00FD686A"/>
    <w:rsid w:val="00FD6A80"/>
    <w:rsid w:val="00FD6A94"/>
    <w:rsid w:val="00FD6D08"/>
    <w:rsid w:val="00FD6D94"/>
    <w:rsid w:val="00FD7182"/>
    <w:rsid w:val="00FD738F"/>
    <w:rsid w:val="00FD73D5"/>
    <w:rsid w:val="00FD74C7"/>
    <w:rsid w:val="00FD7913"/>
    <w:rsid w:val="00FD7B7F"/>
    <w:rsid w:val="00FD7F58"/>
    <w:rsid w:val="00FD7FFA"/>
    <w:rsid w:val="00FE011E"/>
    <w:rsid w:val="00FE0305"/>
    <w:rsid w:val="00FE06CF"/>
    <w:rsid w:val="00FE07E8"/>
    <w:rsid w:val="00FE0887"/>
    <w:rsid w:val="00FE0B57"/>
    <w:rsid w:val="00FE0E5F"/>
    <w:rsid w:val="00FE111B"/>
    <w:rsid w:val="00FE12D4"/>
    <w:rsid w:val="00FE12E0"/>
    <w:rsid w:val="00FE12E1"/>
    <w:rsid w:val="00FE139F"/>
    <w:rsid w:val="00FE1509"/>
    <w:rsid w:val="00FE15A4"/>
    <w:rsid w:val="00FE15D1"/>
    <w:rsid w:val="00FE1759"/>
    <w:rsid w:val="00FE183F"/>
    <w:rsid w:val="00FE18BF"/>
    <w:rsid w:val="00FE18ED"/>
    <w:rsid w:val="00FE1A0C"/>
    <w:rsid w:val="00FE1E24"/>
    <w:rsid w:val="00FE1FE3"/>
    <w:rsid w:val="00FE2007"/>
    <w:rsid w:val="00FE2173"/>
    <w:rsid w:val="00FE21BA"/>
    <w:rsid w:val="00FE22B9"/>
    <w:rsid w:val="00FE22E0"/>
    <w:rsid w:val="00FE244F"/>
    <w:rsid w:val="00FE2634"/>
    <w:rsid w:val="00FE26F8"/>
    <w:rsid w:val="00FE2771"/>
    <w:rsid w:val="00FE2876"/>
    <w:rsid w:val="00FE287D"/>
    <w:rsid w:val="00FE288E"/>
    <w:rsid w:val="00FE2A3B"/>
    <w:rsid w:val="00FE2A58"/>
    <w:rsid w:val="00FE2DCD"/>
    <w:rsid w:val="00FE2E1D"/>
    <w:rsid w:val="00FE2F68"/>
    <w:rsid w:val="00FE30E2"/>
    <w:rsid w:val="00FE31E8"/>
    <w:rsid w:val="00FE3328"/>
    <w:rsid w:val="00FE337F"/>
    <w:rsid w:val="00FE3667"/>
    <w:rsid w:val="00FE3ACC"/>
    <w:rsid w:val="00FE3B60"/>
    <w:rsid w:val="00FE3BB0"/>
    <w:rsid w:val="00FE3CA0"/>
    <w:rsid w:val="00FE3DF3"/>
    <w:rsid w:val="00FE3F01"/>
    <w:rsid w:val="00FE3FC6"/>
    <w:rsid w:val="00FE4093"/>
    <w:rsid w:val="00FE4388"/>
    <w:rsid w:val="00FE4476"/>
    <w:rsid w:val="00FE46D2"/>
    <w:rsid w:val="00FE470F"/>
    <w:rsid w:val="00FE4880"/>
    <w:rsid w:val="00FE4A32"/>
    <w:rsid w:val="00FE4B09"/>
    <w:rsid w:val="00FE4B30"/>
    <w:rsid w:val="00FE5076"/>
    <w:rsid w:val="00FE52AF"/>
    <w:rsid w:val="00FE5343"/>
    <w:rsid w:val="00FE5358"/>
    <w:rsid w:val="00FE545C"/>
    <w:rsid w:val="00FE5745"/>
    <w:rsid w:val="00FE5773"/>
    <w:rsid w:val="00FE584C"/>
    <w:rsid w:val="00FE5928"/>
    <w:rsid w:val="00FE5B79"/>
    <w:rsid w:val="00FE5E14"/>
    <w:rsid w:val="00FE5F2E"/>
    <w:rsid w:val="00FE6051"/>
    <w:rsid w:val="00FE61D8"/>
    <w:rsid w:val="00FE623C"/>
    <w:rsid w:val="00FE63B9"/>
    <w:rsid w:val="00FE64A4"/>
    <w:rsid w:val="00FE654C"/>
    <w:rsid w:val="00FE67AF"/>
    <w:rsid w:val="00FE684A"/>
    <w:rsid w:val="00FE6BE5"/>
    <w:rsid w:val="00FE6CBC"/>
    <w:rsid w:val="00FE6D8D"/>
    <w:rsid w:val="00FE6EF5"/>
    <w:rsid w:val="00FE7244"/>
    <w:rsid w:val="00FE7275"/>
    <w:rsid w:val="00FE72FA"/>
    <w:rsid w:val="00FE730A"/>
    <w:rsid w:val="00FE73B4"/>
    <w:rsid w:val="00FE77E8"/>
    <w:rsid w:val="00FE78C8"/>
    <w:rsid w:val="00FE79BE"/>
    <w:rsid w:val="00FE7A47"/>
    <w:rsid w:val="00FE7BDC"/>
    <w:rsid w:val="00FE7C0A"/>
    <w:rsid w:val="00FE7D25"/>
    <w:rsid w:val="00FE7E29"/>
    <w:rsid w:val="00FE7E55"/>
    <w:rsid w:val="00FE7F2C"/>
    <w:rsid w:val="00FF00D4"/>
    <w:rsid w:val="00FF02EB"/>
    <w:rsid w:val="00FF054C"/>
    <w:rsid w:val="00FF062E"/>
    <w:rsid w:val="00FF06FD"/>
    <w:rsid w:val="00FF0749"/>
    <w:rsid w:val="00FF0949"/>
    <w:rsid w:val="00FF0997"/>
    <w:rsid w:val="00FF0AF0"/>
    <w:rsid w:val="00FF0B44"/>
    <w:rsid w:val="00FF0C35"/>
    <w:rsid w:val="00FF0D18"/>
    <w:rsid w:val="00FF10A1"/>
    <w:rsid w:val="00FF117A"/>
    <w:rsid w:val="00FF12FE"/>
    <w:rsid w:val="00FF1326"/>
    <w:rsid w:val="00FF13BE"/>
    <w:rsid w:val="00FF1693"/>
    <w:rsid w:val="00FF1AE0"/>
    <w:rsid w:val="00FF1B47"/>
    <w:rsid w:val="00FF1ECB"/>
    <w:rsid w:val="00FF1ECE"/>
    <w:rsid w:val="00FF1F86"/>
    <w:rsid w:val="00FF1FA4"/>
    <w:rsid w:val="00FF1FE4"/>
    <w:rsid w:val="00FF221F"/>
    <w:rsid w:val="00FF2280"/>
    <w:rsid w:val="00FF2303"/>
    <w:rsid w:val="00FF2369"/>
    <w:rsid w:val="00FF2413"/>
    <w:rsid w:val="00FF268F"/>
    <w:rsid w:val="00FF26AB"/>
    <w:rsid w:val="00FF2776"/>
    <w:rsid w:val="00FF2782"/>
    <w:rsid w:val="00FF27A1"/>
    <w:rsid w:val="00FF2A62"/>
    <w:rsid w:val="00FF2A9D"/>
    <w:rsid w:val="00FF2B5E"/>
    <w:rsid w:val="00FF2D2A"/>
    <w:rsid w:val="00FF2DD4"/>
    <w:rsid w:val="00FF2EBB"/>
    <w:rsid w:val="00FF2F5F"/>
    <w:rsid w:val="00FF2F68"/>
    <w:rsid w:val="00FF323A"/>
    <w:rsid w:val="00FF38CB"/>
    <w:rsid w:val="00FF39BD"/>
    <w:rsid w:val="00FF3A82"/>
    <w:rsid w:val="00FF3BB7"/>
    <w:rsid w:val="00FF3E1E"/>
    <w:rsid w:val="00FF3E8E"/>
    <w:rsid w:val="00FF3F76"/>
    <w:rsid w:val="00FF40A5"/>
    <w:rsid w:val="00FF41E6"/>
    <w:rsid w:val="00FF4406"/>
    <w:rsid w:val="00FF443E"/>
    <w:rsid w:val="00FF45BC"/>
    <w:rsid w:val="00FF46FC"/>
    <w:rsid w:val="00FF47F3"/>
    <w:rsid w:val="00FF4A53"/>
    <w:rsid w:val="00FF4A87"/>
    <w:rsid w:val="00FF4AB0"/>
    <w:rsid w:val="00FF4BCF"/>
    <w:rsid w:val="00FF4CC9"/>
    <w:rsid w:val="00FF5020"/>
    <w:rsid w:val="00FF5056"/>
    <w:rsid w:val="00FF507A"/>
    <w:rsid w:val="00FF5200"/>
    <w:rsid w:val="00FF555B"/>
    <w:rsid w:val="00FF56D0"/>
    <w:rsid w:val="00FF5707"/>
    <w:rsid w:val="00FF580F"/>
    <w:rsid w:val="00FF58B5"/>
    <w:rsid w:val="00FF5979"/>
    <w:rsid w:val="00FF5C25"/>
    <w:rsid w:val="00FF5DB7"/>
    <w:rsid w:val="00FF600D"/>
    <w:rsid w:val="00FF6672"/>
    <w:rsid w:val="00FF66D4"/>
    <w:rsid w:val="00FF6770"/>
    <w:rsid w:val="00FF68AE"/>
    <w:rsid w:val="00FF6957"/>
    <w:rsid w:val="00FF6AE7"/>
    <w:rsid w:val="00FF6B1C"/>
    <w:rsid w:val="00FF6E04"/>
    <w:rsid w:val="00FF6E6C"/>
    <w:rsid w:val="00FF6F03"/>
    <w:rsid w:val="00FF6F45"/>
    <w:rsid w:val="00FF70B1"/>
    <w:rsid w:val="00FF7318"/>
    <w:rsid w:val="00FF743D"/>
    <w:rsid w:val="00FF75CF"/>
    <w:rsid w:val="00FF76FA"/>
    <w:rsid w:val="00FF776A"/>
    <w:rsid w:val="00FF778E"/>
    <w:rsid w:val="00FF786C"/>
    <w:rsid w:val="00FF794A"/>
    <w:rsid w:val="00FF7B58"/>
    <w:rsid w:val="00FF7D88"/>
    <w:rsid w:val="00FF7E9D"/>
    <w:rsid w:val="00FF7F6B"/>
    <w:rsid w:val="19034DE3"/>
    <w:rsid w:val="2265573E"/>
    <w:rsid w:val="31527905"/>
    <w:rsid w:val="34068929"/>
    <w:rsid w:val="3C78048D"/>
    <w:rsid w:val="49716E32"/>
    <w:rsid w:val="4A2DE1E3"/>
    <w:rsid w:val="50D338AC"/>
    <w:rsid w:val="558ABA67"/>
    <w:rsid w:val="567956DF"/>
    <w:rsid w:val="5DFCFD79"/>
    <w:rsid w:val="620340A9"/>
    <w:rsid w:val="6E217843"/>
    <w:rsid w:val="73FEDCD5"/>
    <w:rsid w:val="7513DA2C"/>
    <w:rsid w:val="75B13E4B"/>
    <w:rsid w:val="7CD9C5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CA3C7"/>
  <w15:docId w15:val="{D3ED1AE4-440F-48ED-9927-E9164EC55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9" w:unhideWhenUsed="1"/>
    <w:lsdException w:name="annotation text" w:semiHidden="1" w:unhideWhenUsed="1"/>
    <w:lsdException w:name="header" w:semiHidden="1" w:unhideWhenUsed="1"/>
    <w:lsdException w:name="footer" w:semiHidden="1" w:uiPriority="8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90F"/>
    <w:pPr>
      <w:spacing w:after="120" w:line="240" w:lineRule="auto"/>
    </w:pPr>
    <w:rPr>
      <w:rFonts w:ascii="Segoe UI" w:hAnsi="Segoe UI"/>
      <w:sz w:val="20"/>
    </w:rPr>
  </w:style>
  <w:style w:type="paragraph" w:styleId="Heading1">
    <w:name w:val="heading 1"/>
    <w:basedOn w:val="Normal"/>
    <w:next w:val="Normal"/>
    <w:link w:val="Heading1Char"/>
    <w:uiPriority w:val="19"/>
    <w:qFormat/>
    <w:rsid w:val="00E6136D"/>
    <w:pPr>
      <w:keepNext/>
      <w:pageBreakBefore/>
      <w:numPr>
        <w:numId w:val="1"/>
      </w:numPr>
      <w:spacing w:before="120" w:line="560" w:lineRule="exact"/>
      <w:ind w:left="357" w:hanging="357"/>
      <w:outlineLvl w:val="0"/>
    </w:pPr>
    <w:rPr>
      <w:rFonts w:eastAsia="Times New Roman" w:cs="Times New Roman"/>
      <w:b/>
      <w:color w:val="00264D"/>
      <w:sz w:val="36"/>
      <w:szCs w:val="19"/>
      <w:lang w:val="en-AU" w:eastAsia="en-AU"/>
    </w:rPr>
  </w:style>
  <w:style w:type="paragraph" w:styleId="Heading2">
    <w:name w:val="heading 2"/>
    <w:basedOn w:val="Normal"/>
    <w:next w:val="Normal"/>
    <w:link w:val="Heading2Char"/>
    <w:uiPriority w:val="19"/>
    <w:qFormat/>
    <w:rsid w:val="00162702"/>
    <w:pPr>
      <w:keepNext/>
      <w:numPr>
        <w:ilvl w:val="1"/>
        <w:numId w:val="1"/>
      </w:numPr>
      <w:spacing w:before="120" w:line="276" w:lineRule="auto"/>
      <w:ind w:left="578" w:hanging="578"/>
      <w:outlineLvl w:val="1"/>
    </w:pPr>
    <w:rPr>
      <w:rFonts w:ascii="Segoe UI Semibold" w:eastAsia="Times New Roman" w:hAnsi="Segoe UI Semibold" w:cs="Times New Roman"/>
      <w:color w:val="00264D"/>
      <w:sz w:val="30"/>
      <w:szCs w:val="19"/>
      <w:lang w:val="en-AU" w:eastAsia="en-AU"/>
    </w:rPr>
  </w:style>
  <w:style w:type="paragraph" w:styleId="Heading3">
    <w:name w:val="heading 3"/>
    <w:basedOn w:val="Normal"/>
    <w:next w:val="Normal"/>
    <w:link w:val="Heading3Char"/>
    <w:uiPriority w:val="19"/>
    <w:qFormat/>
    <w:rsid w:val="00162702"/>
    <w:pPr>
      <w:keepNext/>
      <w:numPr>
        <w:ilvl w:val="2"/>
        <w:numId w:val="1"/>
      </w:numPr>
      <w:spacing w:before="120" w:line="276" w:lineRule="auto"/>
      <w:outlineLvl w:val="2"/>
    </w:pPr>
    <w:rPr>
      <w:rFonts w:ascii="Segoe UI Semibold" w:eastAsia="Times New Roman" w:hAnsi="Segoe UI Semibold" w:cs="Times New Roman"/>
      <w:color w:val="00264D"/>
      <w:sz w:val="26"/>
      <w:szCs w:val="19"/>
      <w:lang w:val="en-AU" w:eastAsia="en-AU"/>
    </w:rPr>
  </w:style>
  <w:style w:type="paragraph" w:styleId="Heading4">
    <w:name w:val="heading 4"/>
    <w:basedOn w:val="Heading3"/>
    <w:next w:val="Normal"/>
    <w:link w:val="Heading4Char"/>
    <w:uiPriority w:val="19"/>
    <w:qFormat/>
    <w:rsid w:val="001765F4"/>
    <w:pPr>
      <w:numPr>
        <w:ilvl w:val="0"/>
        <w:numId w:val="0"/>
      </w:numPr>
      <w:spacing w:before="240"/>
      <w:outlineLvl w:val="3"/>
    </w:pPr>
    <w:rPr>
      <w:color w:val="00264D" w:themeColor="background2"/>
      <w:sz w:val="20"/>
    </w:rPr>
  </w:style>
  <w:style w:type="paragraph" w:styleId="Heading5">
    <w:name w:val="heading 5"/>
    <w:basedOn w:val="Normal"/>
    <w:next w:val="Normal"/>
    <w:link w:val="Heading5Char"/>
    <w:uiPriority w:val="19"/>
    <w:qFormat/>
    <w:rsid w:val="00812111"/>
    <w:pPr>
      <w:keepNext/>
      <w:numPr>
        <w:ilvl w:val="4"/>
        <w:numId w:val="1"/>
      </w:numPr>
      <w:spacing w:before="240" w:after="60"/>
      <w:outlineLvl w:val="4"/>
    </w:pPr>
    <w:rPr>
      <w:rFonts w:eastAsia="Times New Roman" w:cs="Times New Roman"/>
      <w:b/>
      <w:szCs w:val="24"/>
      <w:lang w:val="en-AU" w:eastAsia="en-AU"/>
    </w:rPr>
  </w:style>
  <w:style w:type="paragraph" w:styleId="Heading6">
    <w:name w:val="heading 6"/>
    <w:basedOn w:val="Heading5"/>
    <w:next w:val="Normal"/>
    <w:link w:val="Heading6Char"/>
    <w:uiPriority w:val="19"/>
    <w:qFormat/>
    <w:rsid w:val="002C290F"/>
    <w:pPr>
      <w:keepLines/>
      <w:numPr>
        <w:ilvl w:val="5"/>
      </w:numPr>
      <w:spacing w:before="200" w:line="256" w:lineRule="auto"/>
      <w:outlineLvl w:val="5"/>
    </w:pPr>
    <w:rPr>
      <w:rFonts w:eastAsiaTheme="majorEastAsia" w:cstheme="majorBidi"/>
      <w:b w:val="0"/>
      <w:iCs/>
      <w:color w:val="000000" w:themeColor="text1"/>
      <w:szCs w:val="19"/>
    </w:rPr>
  </w:style>
  <w:style w:type="paragraph" w:styleId="Heading7">
    <w:name w:val="heading 7"/>
    <w:basedOn w:val="Normal"/>
    <w:next w:val="Normal"/>
    <w:link w:val="Heading7Char"/>
    <w:uiPriority w:val="19"/>
    <w:semiHidden/>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spacing w:before="200" w:after="0"/>
      <w:outlineLvl w:val="7"/>
    </w:pPr>
    <w:rPr>
      <w:rFonts w:eastAsiaTheme="majorEastAsia" w:cstheme="majorBidi"/>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9"/>
    <w:rsid w:val="00E6136D"/>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162702"/>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162702"/>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1765F4"/>
    <w:rPr>
      <w:rFonts w:ascii="Segoe UI Semibold" w:eastAsia="Times New Roman" w:hAnsi="Segoe UI Semibold" w:cs="Times New Roman"/>
      <w:color w:val="00264D" w:themeColor="background2"/>
      <w:sz w:val="20"/>
      <w:szCs w:val="19"/>
      <w:lang w:val="en-AU" w:eastAsia="en-AU"/>
    </w:rPr>
  </w:style>
  <w:style w:type="character" w:customStyle="1" w:styleId="Heading5Char">
    <w:name w:val="Heading 5 Char"/>
    <w:basedOn w:val="DefaultParagraphFont"/>
    <w:link w:val="Heading5"/>
    <w:uiPriority w:val="19"/>
    <w:rsid w:val="008C19F4"/>
    <w:rPr>
      <w:rFonts w:ascii="Segoe UI" w:eastAsia="Times New Roman" w:hAnsi="Segoe UI" w:cs="Times New Roman"/>
      <w:b/>
      <w:sz w:val="20"/>
      <w:szCs w:val="24"/>
      <w:lang w:val="en-AU" w:eastAsia="en-AU"/>
    </w:rPr>
  </w:style>
  <w:style w:type="character" w:customStyle="1" w:styleId="Heading6Char">
    <w:name w:val="Heading 6 Char"/>
    <w:basedOn w:val="DefaultParagraphFont"/>
    <w:link w:val="Heading6"/>
    <w:uiPriority w:val="19"/>
    <w:rsid w:val="002C290F"/>
    <w:rPr>
      <w:rFonts w:ascii="Segoe UI" w:eastAsiaTheme="majorEastAsia" w:hAnsi="Segoe UI" w:cstheme="majorBidi"/>
      <w:iCs/>
      <w:color w:val="000000" w:themeColor="text1"/>
      <w:sz w:val="20"/>
      <w:szCs w:val="19"/>
      <w:lang w:val="en-AU" w:eastAsia="en-AU"/>
    </w:rPr>
  </w:style>
  <w:style w:type="paragraph" w:customStyle="1" w:styleId="TableNheader2">
    <w:name w:val="Table N header (2)"/>
    <w:basedOn w:val="TableNheader"/>
    <w:next w:val="Normal"/>
    <w:link w:val="TableNheader2Char"/>
    <w:qFormat/>
    <w:rsid w:val="00B65F27"/>
    <w:pPr>
      <w:spacing w:line="240" w:lineRule="auto"/>
    </w:pPr>
    <w:rPr>
      <w:color w:val="1887AB" w:themeColor="accent6" w:themeShade="BF"/>
      <w:sz w:val="20"/>
    </w:rPr>
  </w:style>
  <w:style w:type="paragraph" w:customStyle="1" w:styleId="TableNheader">
    <w:name w:val="Table N header"/>
    <w:link w:val="TableNheaderChar"/>
    <w:uiPriority w:val="2"/>
    <w:qFormat/>
    <w:rsid w:val="00B65F27"/>
    <w:pPr>
      <w:spacing w:before="40" w:after="40"/>
    </w:pPr>
    <w:rPr>
      <w:rFonts w:ascii="Segoe UI Semibold" w:eastAsia="Times New Roman" w:hAnsi="Segoe UI Semibold" w:cs="Times New Roman"/>
      <w:color w:val="FFFFFF" w:themeColor="background1"/>
      <w:sz w:val="18"/>
      <w:szCs w:val="24"/>
      <w:lang w:val="en-AU" w:eastAsia="en-AU"/>
    </w:rPr>
  </w:style>
  <w:style w:type="paragraph" w:customStyle="1" w:styleId="TableNText">
    <w:name w:val="Table N Text"/>
    <w:basedOn w:val="TableNheader"/>
    <w:link w:val="TableNTextChar"/>
    <w:uiPriority w:val="2"/>
    <w:qFormat/>
    <w:rsid w:val="00294C7F"/>
    <w:rPr>
      <w:rFonts w:ascii="Segoe UI" w:hAnsi="Segoe UI"/>
      <w:color w:val="auto"/>
      <w:sz w:val="17"/>
    </w:rPr>
  </w:style>
  <w:style w:type="table" w:customStyle="1" w:styleId="NousTableStyletopandsideheading">
    <w:name w:val="Nous Table Style top and side heading"/>
    <w:basedOn w:val="TableNormal"/>
    <w:uiPriority w:val="99"/>
    <w:rsid w:val="001765F4"/>
    <w:pPr>
      <w:spacing w:after="0" w:line="240" w:lineRule="auto"/>
    </w:pPr>
    <w:tblPr>
      <w:tblBorders>
        <w:top w:val="single" w:sz="4" w:space="0" w:color="E6E6E1" w:themeColor="accent5"/>
        <w:left w:val="single" w:sz="4" w:space="0" w:color="E6E6E1" w:themeColor="accent5"/>
        <w:bottom w:val="single" w:sz="4" w:space="0" w:color="E6E6E1" w:themeColor="accent5"/>
        <w:right w:val="single" w:sz="4" w:space="0" w:color="E6E6E1" w:themeColor="accent5"/>
        <w:insideH w:val="single" w:sz="4" w:space="0" w:color="E6E6E1" w:themeColor="accent5"/>
        <w:insideV w:val="single" w:sz="4" w:space="0" w:color="E6E6E1" w:themeColor="accent5"/>
      </w:tblBorders>
      <w:tblCellMar>
        <w:top w:w="57" w:type="dxa"/>
        <w:left w:w="85" w:type="dxa"/>
        <w:bottom w:w="57" w:type="dxa"/>
        <w:right w:w="85" w:type="dxa"/>
      </w:tblCellMar>
    </w:tblPr>
    <w:tblStylePr w:type="firstRow">
      <w:pPr>
        <w:jc w:val="left"/>
      </w:pPr>
      <w:rPr>
        <w:rFonts w:ascii="Bahnschrift SemiLight" w:hAnsi="Bahnschrift SemiLight"/>
        <w:b/>
        <w:color w:val="FFFFFF" w:themeColor="background1"/>
        <w:sz w:val="18"/>
      </w:rPr>
      <w:tblPr/>
      <w:tcPr>
        <w:shd w:val="clear" w:color="auto" w:fill="003A77" w:themeFill="background2" w:themeFillTint="E6"/>
      </w:tcPr>
    </w:tblStylePr>
    <w:tblStylePr w:type="firstCol">
      <w:pPr>
        <w:jc w:val="center"/>
      </w:pPr>
      <w:rPr>
        <w:rFonts w:ascii="Bahnschrift SemiLight" w:hAnsi="Bahnschrift SemiLight"/>
        <w:b/>
        <w:color w:val="FFFFFF" w:themeColor="background1"/>
        <w:sz w:val="18"/>
      </w:rPr>
      <w:tblPr/>
      <w:tcPr>
        <w:shd w:val="clear" w:color="auto" w:fill="003A77" w:themeFill="background2" w:themeFillTint="E6"/>
      </w:tcPr>
    </w:tblStylePr>
  </w:style>
  <w:style w:type="paragraph" w:styleId="Footer">
    <w:name w:val="footer"/>
    <w:aliases w:val="Foot note"/>
    <w:basedOn w:val="Normal"/>
    <w:link w:val="FooterChar"/>
    <w:uiPriority w:val="89"/>
    <w:unhideWhenUsed/>
    <w:qFormat/>
    <w:rsid w:val="00865A27"/>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865A27"/>
    <w:rPr>
      <w:rFonts w:ascii="Segoe UI" w:hAnsi="Segoe UI"/>
      <w:sz w:val="15"/>
    </w:rPr>
  </w:style>
  <w:style w:type="paragraph" w:styleId="Caption">
    <w:name w:val="caption"/>
    <w:basedOn w:val="Normal"/>
    <w:next w:val="Normal"/>
    <w:link w:val="CaptionChar"/>
    <w:uiPriority w:val="35"/>
    <w:qFormat/>
    <w:rsid w:val="00865A27"/>
    <w:pPr>
      <w:keepNext/>
      <w:spacing w:before="360" w:after="165" w:line="259" w:lineRule="auto"/>
    </w:pPr>
    <w:rPr>
      <w:rFonts w:ascii="Segoe UI Semibold" w:hAnsi="Segoe UI Semibold"/>
      <w:bCs/>
      <w:color w:val="00264D" w:themeColor="background2"/>
      <w:szCs w:val="18"/>
      <w:lang w:val="en-AU"/>
    </w:rPr>
  </w:style>
  <w:style w:type="paragraph" w:customStyle="1" w:styleId="TableNBullet">
    <w:name w:val="Table N Bullet"/>
    <w:basedOn w:val="Normal"/>
    <w:link w:val="TableNBulletChar"/>
    <w:uiPriority w:val="2"/>
    <w:qFormat/>
    <w:rsid w:val="00074556"/>
    <w:pPr>
      <w:numPr>
        <w:numId w:val="4"/>
      </w:numPr>
      <w:suppressAutoHyphens/>
      <w:spacing w:before="60" w:after="60" w:line="256" w:lineRule="auto"/>
    </w:pPr>
    <w:rPr>
      <w:rFonts w:eastAsia="Times New Roman" w:cs="Times New Roman"/>
      <w:sz w:val="17"/>
      <w:szCs w:val="19"/>
      <w:lang w:val="en-AU" w:eastAsia="en-AU"/>
    </w:rPr>
  </w:style>
  <w:style w:type="paragraph" w:customStyle="1" w:styleId="TableNListnumbered">
    <w:name w:val="Table N List (numbered)"/>
    <w:basedOn w:val="TableNBullet"/>
    <w:uiPriority w:val="2"/>
    <w:qFormat/>
    <w:rsid w:val="00865A27"/>
    <w:pPr>
      <w:numPr>
        <w:numId w:val="6"/>
      </w:numPr>
    </w:pPr>
  </w:style>
  <w:style w:type="paragraph" w:customStyle="1" w:styleId="xAppendixLevel1">
    <w:name w:val="xAppendix Level 1"/>
    <w:basedOn w:val="Heading1"/>
    <w:next w:val="Normal"/>
    <w:uiPriority w:val="98"/>
    <w:qFormat/>
    <w:rsid w:val="002D4FD8"/>
    <w:pPr>
      <w:numPr>
        <w:numId w:val="2"/>
      </w:numPr>
      <w:jc w:val="both"/>
    </w:pPr>
    <w:rPr>
      <w:rFonts w:cs="Segoe UI"/>
      <w:bCs/>
      <w:color w:val="00264D" w:themeColor="background2"/>
      <w:szCs w:val="36"/>
    </w:rPr>
  </w:style>
  <w:style w:type="paragraph" w:customStyle="1" w:styleId="xAppendixLevel2">
    <w:name w:val="xAppendix Level 2"/>
    <w:basedOn w:val="Heading2"/>
    <w:next w:val="Normal"/>
    <w:uiPriority w:val="98"/>
    <w:qFormat/>
    <w:rsid w:val="002B5822"/>
    <w:pPr>
      <w:ind w:left="993" w:hanging="851"/>
    </w:pPr>
    <w:rPr>
      <w:bCs/>
      <w:sz w:val="34"/>
    </w:rPr>
  </w:style>
  <w:style w:type="paragraph" w:customStyle="1" w:styleId="xAppendixLevel3">
    <w:name w:val="xAppendix Level 3"/>
    <w:basedOn w:val="Heading3"/>
    <w:next w:val="Normal"/>
    <w:uiPriority w:val="98"/>
    <w:qFormat/>
    <w:rsid w:val="002B5822"/>
    <w:pPr>
      <w:numPr>
        <w:numId w:val="2"/>
      </w:numPr>
    </w:pPr>
    <w:rPr>
      <w:bCs/>
    </w:rPr>
  </w:style>
  <w:style w:type="paragraph" w:customStyle="1" w:styleId="Listnumbered">
    <w:name w:val="List (numbered)"/>
    <w:basedOn w:val="Normal"/>
    <w:uiPriority w:val="1"/>
    <w:qFormat/>
    <w:rsid w:val="00294C7F"/>
    <w:pPr>
      <w:numPr>
        <w:numId w:val="5"/>
      </w:numPr>
    </w:pPr>
  </w:style>
  <w:style w:type="paragraph" w:customStyle="1" w:styleId="Source">
    <w:name w:val="Source"/>
    <w:basedOn w:val="Normal"/>
    <w:next w:val="Normal"/>
    <w:link w:val="SourceChar"/>
    <w:uiPriority w:val="39"/>
    <w:rsid w:val="0020000D"/>
    <w:pPr>
      <w:spacing w:before="120" w:after="240"/>
      <w:jc w:val="center"/>
    </w:pPr>
    <w:rPr>
      <w:rFonts w:eastAsia="Times New Roman" w:cs="Times New Roman"/>
      <w:i/>
      <w:sz w:val="17"/>
      <w:szCs w:val="19"/>
      <w:lang w:val="en-AU"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0">
    <w:name w:val="Table Exp Bullet"/>
    <w:basedOn w:val="TableNBullet"/>
    <w:uiPriority w:val="3"/>
    <w:qFormat/>
    <w:rsid w:val="00865A27"/>
  </w:style>
  <w:style w:type="paragraph" w:customStyle="1" w:styleId="Tableexpheader">
    <w:name w:val="Table exp header"/>
    <w:basedOn w:val="TableNheader"/>
    <w:uiPriority w:val="3"/>
    <w:qFormat/>
    <w:rsid w:val="0029320C"/>
    <w:rPr>
      <w:sz w:val="17"/>
    </w:rPr>
  </w:style>
  <w:style w:type="paragraph" w:customStyle="1" w:styleId="TableexpListnumbered">
    <w:name w:val="Table exp List (numbered)"/>
    <w:basedOn w:val="TableNListnumbered"/>
    <w:uiPriority w:val="3"/>
    <w:qFormat/>
    <w:rsid w:val="0029320C"/>
    <w:rPr>
      <w:sz w:val="16"/>
    </w:rPr>
  </w:style>
  <w:style w:type="paragraph" w:customStyle="1" w:styleId="TableExpText">
    <w:name w:val="Table Exp Text"/>
    <w:basedOn w:val="TableNText"/>
    <w:uiPriority w:val="3"/>
    <w:qFormat/>
    <w:rsid w:val="0029320C"/>
    <w:rPr>
      <w:sz w:val="16"/>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val="en-AU"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Recommendations">
    <w:name w:val="Recommendations"/>
    <w:basedOn w:val="Normal"/>
    <w:link w:val="RecommendationsChar"/>
    <w:qFormat/>
    <w:rsid w:val="006C2E61"/>
    <w:pPr>
      <w:outlineLvl w:val="1"/>
    </w:pPr>
    <w:rPr>
      <w:b/>
      <w:color w:val="C2400B" w:themeColor="accent2" w:themeShade="BF"/>
    </w:rPr>
  </w:style>
  <w:style w:type="paragraph" w:customStyle="1" w:styleId="Highlighttext">
    <w:name w:val="Highlight text"/>
    <w:basedOn w:val="Longformcallout"/>
    <w:link w:val="HighlighttextChar"/>
    <w:qFormat/>
    <w:rsid w:val="00F04BA2"/>
    <w:pPr>
      <w:pBdr>
        <w:left w:val="single" w:sz="12" w:space="4" w:color="F25E21" w:themeColor="accent2"/>
      </w:pBdr>
      <w:shd w:val="clear" w:color="auto" w:fill="F2F2F2" w:themeFill="background1" w:themeFillShade="F2"/>
    </w:pPr>
  </w:style>
  <w:style w:type="character" w:customStyle="1" w:styleId="TableNheaderChar">
    <w:name w:val="Table N header Char"/>
    <w:basedOn w:val="DefaultParagraphFont"/>
    <w:link w:val="TableNheader"/>
    <w:uiPriority w:val="2"/>
    <w:rsid w:val="00B65F27"/>
    <w:rPr>
      <w:rFonts w:ascii="Segoe UI Semibold" w:eastAsia="Times New Roman" w:hAnsi="Segoe UI Semibold" w:cs="Times New Roman"/>
      <w:color w:val="FFFFFF" w:themeColor="background1"/>
      <w:sz w:val="18"/>
      <w:szCs w:val="24"/>
      <w:lang w:val="en-AU" w:eastAsia="en-AU"/>
    </w:rPr>
  </w:style>
  <w:style w:type="paragraph" w:customStyle="1" w:styleId="ContentsHeading">
    <w:name w:val="Contents Heading"/>
    <w:basedOn w:val="Normal"/>
    <w:uiPriority w:val="19"/>
    <w:rsid w:val="00CF7BA0"/>
    <w:pPr>
      <w:spacing w:before="360" w:after="600"/>
    </w:pPr>
    <w:rPr>
      <w:rFonts w:eastAsia="Times New Roman" w:cs="Segoe UI"/>
      <w:b/>
      <w:color w:val="00264D"/>
      <w:sz w:val="36"/>
      <w:szCs w:val="36"/>
      <w:lang w:val="en-AU" w:eastAsia="en-AU"/>
    </w:rPr>
  </w:style>
  <w:style w:type="character" w:customStyle="1" w:styleId="TableNheader2Char">
    <w:name w:val="Table N header (2) Char"/>
    <w:basedOn w:val="TableNheaderChar"/>
    <w:link w:val="TableNheader2"/>
    <w:rsid w:val="00B65F27"/>
    <w:rPr>
      <w:rFonts w:ascii="Segoe UI Semibold" w:eastAsia="Times New Roman" w:hAnsi="Segoe UI Semibold" w:cs="Times New Roman"/>
      <w:color w:val="1887AB" w:themeColor="accent6" w:themeShade="BF"/>
      <w:sz w:val="20"/>
      <w:szCs w:val="24"/>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val="en-AU"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6546AF"/>
    <w:pPr>
      <w:tabs>
        <w:tab w:val="left" w:pos="660"/>
        <w:tab w:val="right" w:leader="dot" w:pos="8920"/>
      </w:tabs>
      <w:spacing w:after="100"/>
      <w:ind w:left="190"/>
    </w:pPr>
  </w:style>
  <w:style w:type="paragraph" w:styleId="TOC1">
    <w:name w:val="toc 1"/>
    <w:basedOn w:val="Normal"/>
    <w:next w:val="Normal"/>
    <w:autoRedefine/>
    <w:uiPriority w:val="39"/>
    <w:unhideWhenUsed/>
    <w:rsid w:val="00DC0533"/>
    <w:pPr>
      <w:tabs>
        <w:tab w:val="left" w:pos="380"/>
        <w:tab w:val="right" w:leader="dot" w:pos="8920"/>
      </w:tabs>
      <w:spacing w:after="100"/>
    </w:pPr>
  </w:style>
  <w:style w:type="character" w:styleId="Hyperlink">
    <w:name w:val="Hyperlink"/>
    <w:basedOn w:val="DefaultParagraphFont"/>
    <w:uiPriority w:val="99"/>
    <w:unhideWhenUsed/>
    <w:rsid w:val="008A4363"/>
    <w:rPr>
      <w:color w:val="0048C7" w:themeColor="hyperlink"/>
      <w:u w:val="single"/>
    </w:rPr>
  </w:style>
  <w:style w:type="table" w:styleId="TableGrid">
    <w:name w:val="Table Grid"/>
    <w:aliases w:val="Table,DPS Table Grid,AEMO,none"/>
    <w:basedOn w:val="TableNormal"/>
    <w:uiPriority w:val="9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73030E"/>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Bahnschrift SemiLight" w:hAnsi="Bahnschrift SemiLight"/>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Bahnschrift SemiLight" w:hAnsi="Bahnschrift SemiLight"/>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val="en-AU"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val="en-AU"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 w:val="24"/>
      <w:szCs w:val="19"/>
      <w:lang w:val="en-AU"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Normal"/>
    <w:uiPriority w:val="97"/>
    <w:qFormat/>
    <w:rsid w:val="00865A27"/>
    <w:pPr>
      <w:spacing w:after="165" w:line="259" w:lineRule="auto"/>
    </w:pPr>
    <w:rPr>
      <w:rFonts w:ascii="Segoe UI Semibold" w:hAnsi="Segoe UI Semibold"/>
      <w:color w:val="00264D" w:themeColor="background2"/>
      <w:sz w:val="26"/>
      <w:lang w:val="en-AU"/>
    </w:rPr>
  </w:style>
  <w:style w:type="paragraph" w:styleId="Header">
    <w:name w:val="header"/>
    <w:basedOn w:val="Normal"/>
    <w:link w:val="HeaderChar"/>
    <w:uiPriority w:val="99"/>
    <w:unhideWhenUsed/>
    <w:rsid w:val="001051E0"/>
    <w:pPr>
      <w:tabs>
        <w:tab w:val="center" w:pos="4513"/>
        <w:tab w:val="right" w:pos="9026"/>
      </w:tabs>
      <w:spacing w:after="0"/>
    </w:pPr>
  </w:style>
  <w:style w:type="character" w:customStyle="1" w:styleId="HeaderChar">
    <w:name w:val="Header Char"/>
    <w:basedOn w:val="DefaultParagraphFont"/>
    <w:link w:val="Header"/>
    <w:uiPriority w:val="99"/>
    <w:rsid w:val="001051E0"/>
    <w:rPr>
      <w:rFonts w:ascii="Segoe UI" w:hAnsi="Segoe UI"/>
      <w:sz w:val="19"/>
    </w:rPr>
  </w:style>
  <w:style w:type="paragraph" w:styleId="TOC3">
    <w:name w:val="toc 3"/>
    <w:basedOn w:val="Normal"/>
    <w:next w:val="Normal"/>
    <w:autoRedefine/>
    <w:uiPriority w:val="39"/>
    <w:unhideWhenUsed/>
    <w:rsid w:val="00466A5F"/>
    <w:pPr>
      <w:tabs>
        <w:tab w:val="left" w:pos="1100"/>
        <w:tab w:val="right" w:leader="dot" w:pos="8920"/>
      </w:tabs>
      <w:spacing w:after="100"/>
      <w:ind w:left="380"/>
    </w:pPr>
  </w:style>
  <w:style w:type="character" w:styleId="CommentReference">
    <w:name w:val="annotation reference"/>
    <w:basedOn w:val="DefaultParagraphFont"/>
    <w:uiPriority w:val="99"/>
    <w:semiHidden/>
    <w:unhideWhenUsed/>
    <w:rsid w:val="00DB1AC5"/>
    <w:rPr>
      <w:sz w:val="16"/>
      <w:szCs w:val="16"/>
    </w:rPr>
  </w:style>
  <w:style w:type="paragraph" w:styleId="CommentText">
    <w:name w:val="annotation text"/>
    <w:basedOn w:val="Normal"/>
    <w:link w:val="CommentTextChar"/>
    <w:uiPriority w:val="99"/>
    <w:unhideWhenUsed/>
    <w:rsid w:val="00DB1AC5"/>
    <w:rPr>
      <w:szCs w:val="20"/>
    </w:rPr>
  </w:style>
  <w:style w:type="character" w:customStyle="1" w:styleId="CommentTextChar">
    <w:name w:val="Comment Text Char"/>
    <w:basedOn w:val="DefaultParagraphFont"/>
    <w:link w:val="CommentText"/>
    <w:uiPriority w:val="99"/>
    <w:rsid w:val="00DB1AC5"/>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DB1AC5"/>
    <w:rPr>
      <w:b/>
      <w:bCs/>
    </w:rPr>
  </w:style>
  <w:style w:type="character" w:customStyle="1" w:styleId="CommentSubjectChar">
    <w:name w:val="Comment Subject Char"/>
    <w:basedOn w:val="CommentTextChar"/>
    <w:link w:val="CommentSubject"/>
    <w:uiPriority w:val="99"/>
    <w:semiHidden/>
    <w:rsid w:val="00DB1AC5"/>
    <w:rPr>
      <w:rFonts w:ascii="Segoe UI" w:hAnsi="Segoe UI"/>
      <w:b/>
      <w:bCs/>
      <w:sz w:val="20"/>
      <w:szCs w:val="20"/>
    </w:rPr>
  </w:style>
  <w:style w:type="paragraph" w:styleId="FootnoteText">
    <w:name w:val="footnote text"/>
    <w:basedOn w:val="Normal"/>
    <w:link w:val="FootnoteTextChar"/>
    <w:uiPriority w:val="89"/>
    <w:unhideWhenUsed/>
    <w:rsid w:val="0017054F"/>
    <w:pPr>
      <w:spacing w:after="0"/>
    </w:pPr>
    <w:rPr>
      <w:szCs w:val="20"/>
    </w:rPr>
  </w:style>
  <w:style w:type="character" w:customStyle="1" w:styleId="FootnoteTextChar">
    <w:name w:val="Footnote Text Char"/>
    <w:basedOn w:val="DefaultParagraphFont"/>
    <w:link w:val="FootnoteText"/>
    <w:uiPriority w:val="89"/>
    <w:rsid w:val="0017054F"/>
    <w:rPr>
      <w:rFonts w:ascii="Segoe UI" w:hAnsi="Segoe UI"/>
      <w:sz w:val="20"/>
      <w:szCs w:val="20"/>
    </w:rPr>
  </w:style>
  <w:style w:type="character" w:styleId="FootnoteReference">
    <w:name w:val="footnote reference"/>
    <w:basedOn w:val="DefaultParagraphFont"/>
    <w:uiPriority w:val="99"/>
    <w:unhideWhenUsed/>
    <w:rsid w:val="0017054F"/>
    <w:rPr>
      <w:vertAlign w:val="superscript"/>
    </w:rPr>
  </w:style>
  <w:style w:type="paragraph" w:styleId="ListBullet2">
    <w:name w:val="List Bullet 2"/>
    <w:basedOn w:val="Normal"/>
    <w:uiPriority w:val="99"/>
    <w:unhideWhenUsed/>
    <w:rsid w:val="00074556"/>
    <w:pPr>
      <w:numPr>
        <w:ilvl w:val="1"/>
        <w:numId w:val="3"/>
      </w:numPr>
      <w:suppressAutoHyphens/>
    </w:pPr>
    <w:rPr>
      <w:rFonts w:eastAsia="Times New Roman" w:cs="Times New Roman"/>
      <w:szCs w:val="19"/>
      <w:lang w:val="en-AU" w:eastAsia="en-AU"/>
    </w:rPr>
  </w:style>
  <w:style w:type="character" w:customStyle="1" w:styleId="CaptionChar">
    <w:name w:val="Caption Char"/>
    <w:link w:val="Caption"/>
    <w:uiPriority w:val="35"/>
    <w:rsid w:val="006D02D9"/>
    <w:rPr>
      <w:rFonts w:ascii="Segoe UI Semibold" w:hAnsi="Segoe UI Semibold"/>
      <w:bCs/>
      <w:color w:val="00264D" w:themeColor="background2"/>
      <w:sz w:val="19"/>
      <w:szCs w:val="18"/>
      <w:lang w:val="en-AU"/>
    </w:rPr>
  </w:style>
  <w:style w:type="character" w:customStyle="1" w:styleId="TableNTextChar">
    <w:name w:val="Table N Text Char"/>
    <w:basedOn w:val="DefaultParagraphFont"/>
    <w:link w:val="TableNText"/>
    <w:uiPriority w:val="2"/>
    <w:rsid w:val="006D02D9"/>
    <w:rPr>
      <w:rFonts w:ascii="Segoe UI" w:eastAsia="Times New Roman" w:hAnsi="Segoe UI" w:cs="Times New Roman"/>
      <w:sz w:val="17"/>
      <w:szCs w:val="24"/>
      <w:lang w:val="en-AU" w:eastAsia="en-AU"/>
    </w:rPr>
  </w:style>
  <w:style w:type="character" w:styleId="UnresolvedMention">
    <w:name w:val="Unresolved Mention"/>
    <w:basedOn w:val="DefaultParagraphFont"/>
    <w:uiPriority w:val="99"/>
    <w:unhideWhenUsed/>
    <w:rsid w:val="00D626D9"/>
    <w:rPr>
      <w:color w:val="605E5C"/>
      <w:shd w:val="clear" w:color="auto" w:fill="E1DFDD"/>
    </w:rPr>
  </w:style>
  <w:style w:type="character" w:styleId="Mention">
    <w:name w:val="Mention"/>
    <w:basedOn w:val="DefaultParagraphFont"/>
    <w:uiPriority w:val="99"/>
    <w:unhideWhenUsed/>
    <w:rsid w:val="00D626D9"/>
    <w:rPr>
      <w:color w:val="2B579A"/>
      <w:shd w:val="clear" w:color="auto" w:fill="E1DFDD"/>
    </w:rPr>
  </w:style>
  <w:style w:type="paragraph" w:styleId="ListParagraph">
    <w:name w:val="List Paragraph"/>
    <w:basedOn w:val="Normal"/>
    <w:uiPriority w:val="34"/>
    <w:qFormat/>
    <w:rsid w:val="002C2D97"/>
    <w:pPr>
      <w:ind w:left="720"/>
      <w:contextualSpacing/>
    </w:pPr>
  </w:style>
  <w:style w:type="paragraph" w:styleId="NormalWeb">
    <w:name w:val="Normal (Web)"/>
    <w:basedOn w:val="Normal"/>
    <w:uiPriority w:val="99"/>
    <w:semiHidden/>
    <w:unhideWhenUsed/>
    <w:rsid w:val="007A5CCF"/>
    <w:pPr>
      <w:spacing w:before="100" w:beforeAutospacing="1" w:after="100" w:afterAutospacing="1"/>
    </w:pPr>
    <w:rPr>
      <w:rFonts w:ascii="Times New Roman" w:eastAsia="Times New Roman" w:hAnsi="Times New Roman" w:cs="Times New Roman"/>
      <w:sz w:val="24"/>
      <w:szCs w:val="24"/>
      <w:lang w:val="en-AU" w:eastAsia="en-AU"/>
    </w:rPr>
  </w:style>
  <w:style w:type="paragraph" w:styleId="Revision">
    <w:name w:val="Revision"/>
    <w:hidden/>
    <w:uiPriority w:val="99"/>
    <w:semiHidden/>
    <w:rsid w:val="007A5CCF"/>
    <w:pPr>
      <w:spacing w:after="0" w:line="240" w:lineRule="auto"/>
    </w:pPr>
    <w:rPr>
      <w:rFonts w:ascii="Segoe UI" w:hAnsi="Segoe UI"/>
      <w:sz w:val="19"/>
    </w:rPr>
  </w:style>
  <w:style w:type="paragraph" w:styleId="ListBullet">
    <w:name w:val="List Bullet"/>
    <w:basedOn w:val="Normal"/>
    <w:uiPriority w:val="99"/>
    <w:unhideWhenUsed/>
    <w:qFormat/>
    <w:rsid w:val="00F344CE"/>
    <w:pPr>
      <w:numPr>
        <w:numId w:val="21"/>
      </w:numPr>
      <w:spacing w:before="60" w:after="60"/>
      <w:ind w:left="357" w:hanging="357"/>
    </w:pPr>
  </w:style>
  <w:style w:type="character" w:styleId="FollowedHyperlink">
    <w:name w:val="FollowedHyperlink"/>
    <w:basedOn w:val="DefaultParagraphFont"/>
    <w:uiPriority w:val="99"/>
    <w:semiHidden/>
    <w:unhideWhenUsed/>
    <w:rsid w:val="005222F3"/>
    <w:rPr>
      <w:color w:val="0048C7" w:themeColor="followedHyperlink"/>
      <w:u w:val="single"/>
    </w:rPr>
  </w:style>
  <w:style w:type="table" w:customStyle="1" w:styleId="NOUS1">
    <w:name w:val="NOUS1"/>
    <w:basedOn w:val="TableNormal"/>
    <w:uiPriority w:val="99"/>
    <w:rsid w:val="00D8203E"/>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Bahnschrift SemiBold SemiConden" w:hAnsi="Bahnschrift SemiBold SemiConden"/>
        <w:b/>
        <w:color w:val="00264D" w:themeColor="background2"/>
        <w:sz w:val="18"/>
      </w:rPr>
      <w:tblPr/>
      <w:tcPr>
        <w:shd w:val="clear" w:color="auto" w:fill="00264D" w:themeFill="background2"/>
      </w:tcPr>
    </w:tblStylePr>
    <w:tblStylePr w:type="firstCol">
      <w:tblPr/>
      <w:tcPr>
        <w:shd w:val="clear" w:color="auto" w:fill="E6E6E1" w:themeFill="accent5"/>
      </w:tcPr>
    </w:tblStylePr>
  </w:style>
  <w:style w:type="character" w:styleId="IntenseEmphasis">
    <w:name w:val="Intense Emphasis"/>
    <w:basedOn w:val="DefaultParagraphFont"/>
    <w:uiPriority w:val="21"/>
    <w:rsid w:val="00BE0860"/>
    <w:rPr>
      <w:i/>
      <w:iCs/>
      <w:color w:val="FF3A40" w:themeColor="accent1"/>
    </w:rPr>
  </w:style>
  <w:style w:type="paragraph" w:styleId="Quote">
    <w:name w:val="Quote"/>
    <w:basedOn w:val="Normal"/>
    <w:next w:val="Normal"/>
    <w:link w:val="QuoteChar"/>
    <w:uiPriority w:val="29"/>
    <w:qFormat/>
    <w:rsid w:val="00A96DE6"/>
    <w:pPr>
      <w:widowControl w:val="0"/>
      <w:autoSpaceDE w:val="0"/>
      <w:autoSpaceDN w:val="0"/>
      <w:adjustRightInd w:val="0"/>
      <w:spacing w:before="200" w:after="160"/>
      <w:ind w:left="864" w:right="864"/>
    </w:pPr>
    <w:rPr>
      <w:rFonts w:ascii="Calibri" w:hAnsi="Calibri" w:cs="Calibri"/>
      <w:i/>
      <w:iCs/>
      <w:color w:val="404040" w:themeColor="text1" w:themeTint="BF"/>
      <w:sz w:val="22"/>
      <w:lang w:val="en-AU"/>
    </w:rPr>
  </w:style>
  <w:style w:type="character" w:customStyle="1" w:styleId="QuoteChar">
    <w:name w:val="Quote Char"/>
    <w:basedOn w:val="DefaultParagraphFont"/>
    <w:link w:val="Quote"/>
    <w:uiPriority w:val="29"/>
    <w:rsid w:val="00A96DE6"/>
    <w:rPr>
      <w:rFonts w:ascii="Calibri" w:hAnsi="Calibri" w:cs="Calibri"/>
      <w:i/>
      <w:iCs/>
      <w:color w:val="404040" w:themeColor="text1" w:themeTint="BF"/>
      <w:lang w:val="en-AU"/>
    </w:rPr>
  </w:style>
  <w:style w:type="paragraph" w:customStyle="1" w:styleId="Callout">
    <w:name w:val="Call out"/>
    <w:link w:val="CalloutChar"/>
    <w:uiPriority w:val="98"/>
    <w:qFormat/>
    <w:rsid w:val="00E6136D"/>
    <w:pPr>
      <w:pBdr>
        <w:top w:val="single" w:sz="18" w:space="4" w:color="E6E6E1" w:themeColor="accent5"/>
        <w:left w:val="single" w:sz="18" w:space="4" w:color="25B3E0" w:themeColor="accent6"/>
      </w:pBdr>
      <w:shd w:val="clear" w:color="auto" w:fill="E6E6E1" w:themeFill="accent5"/>
    </w:pPr>
    <w:rPr>
      <w:rFonts w:ascii="Segoe UI" w:hAnsi="Segoe UI"/>
      <w:color w:val="00264D" w:themeColor="background2"/>
      <w:kern w:val="24"/>
      <w:sz w:val="20"/>
      <w:szCs w:val="19"/>
      <w:lang w:val="en-AU" w:eastAsia="en-AU"/>
    </w:rPr>
  </w:style>
  <w:style w:type="character" w:styleId="SubtleReference">
    <w:name w:val="Subtle Reference"/>
    <w:uiPriority w:val="31"/>
    <w:qFormat/>
    <w:rsid w:val="00525B44"/>
    <w:rPr>
      <w:rFonts w:asciiTheme="minorHAnsi" w:hAnsiTheme="minorHAnsi" w:cstheme="minorHAnsi" w:hint="default"/>
      <w:sz w:val="22"/>
      <w:szCs w:val="22"/>
    </w:rPr>
  </w:style>
  <w:style w:type="character" w:styleId="Strong">
    <w:name w:val="Strong"/>
    <w:basedOn w:val="DefaultParagraphFont"/>
    <w:uiPriority w:val="22"/>
    <w:qFormat/>
    <w:rsid w:val="00BD46CC"/>
    <w:rPr>
      <w:b/>
      <w:bCs/>
    </w:rPr>
  </w:style>
  <w:style w:type="table" w:customStyle="1" w:styleId="NOUS11">
    <w:name w:val="NOUS11"/>
    <w:basedOn w:val="TableNormal"/>
    <w:uiPriority w:val="99"/>
    <w:rsid w:val="009B01FD"/>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w:hAnsi="Segoe UI"/>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paragraph" w:customStyle="1" w:styleId="Longformcallout">
    <w:name w:val="Long form callout"/>
    <w:basedOn w:val="Normal"/>
    <w:link w:val="LongformcalloutChar"/>
    <w:uiPriority w:val="20"/>
    <w:qFormat/>
    <w:rsid w:val="00634A5A"/>
    <w:pPr>
      <w:spacing w:before="60" w:after="60"/>
    </w:pPr>
    <w:rPr>
      <w:color w:val="00264D" w:themeColor="background2"/>
      <w:szCs w:val="19"/>
      <w:lang w:val="en-AU" w:eastAsia="en-AU"/>
    </w:rPr>
  </w:style>
  <w:style w:type="paragraph" w:customStyle="1" w:styleId="longformcalloutbullet">
    <w:name w:val="long form call out bullet"/>
    <w:basedOn w:val="Longformcallout"/>
    <w:uiPriority w:val="20"/>
    <w:qFormat/>
    <w:rsid w:val="00634A5A"/>
    <w:pPr>
      <w:numPr>
        <w:numId w:val="7"/>
      </w:numPr>
    </w:pPr>
  </w:style>
  <w:style w:type="paragraph" w:customStyle="1" w:styleId="longformcalloutnumber">
    <w:name w:val="long form callout number"/>
    <w:basedOn w:val="longformcalloutbullet"/>
    <w:uiPriority w:val="20"/>
    <w:qFormat/>
    <w:rsid w:val="00634A5A"/>
    <w:pPr>
      <w:numPr>
        <w:numId w:val="8"/>
      </w:numPr>
    </w:pPr>
  </w:style>
  <w:style w:type="table" w:customStyle="1" w:styleId="NousLongformcallout">
    <w:name w:val="Nous_Long form call out"/>
    <w:basedOn w:val="TableNormal"/>
    <w:uiPriority w:val="99"/>
    <w:rsid w:val="00634A5A"/>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character" w:customStyle="1" w:styleId="RecommendationsChar">
    <w:name w:val="Recommendations Char"/>
    <w:basedOn w:val="DefaultParagraphFont"/>
    <w:link w:val="Recommendations"/>
    <w:rsid w:val="006C2E61"/>
    <w:rPr>
      <w:rFonts w:ascii="Segoe UI" w:hAnsi="Segoe UI"/>
      <w:b/>
      <w:color w:val="C2400B" w:themeColor="accent2" w:themeShade="BF"/>
      <w:sz w:val="20"/>
    </w:rPr>
  </w:style>
  <w:style w:type="paragraph" w:customStyle="1" w:styleId="TableExpbullet">
    <w:name w:val="Table Exp bullet"/>
    <w:basedOn w:val="Normal"/>
    <w:uiPriority w:val="3"/>
    <w:qFormat/>
    <w:rsid w:val="000A575B"/>
    <w:pPr>
      <w:numPr>
        <w:numId w:val="13"/>
      </w:numPr>
      <w:spacing w:before="60" w:after="60"/>
      <w:ind w:left="227" w:hanging="227"/>
    </w:pPr>
    <w:rPr>
      <w:sz w:val="16"/>
    </w:rPr>
  </w:style>
  <w:style w:type="paragraph" w:customStyle="1" w:styleId="BioName">
    <w:name w:val="Bio Name"/>
    <w:basedOn w:val="Normal"/>
    <w:uiPriority w:val="97"/>
    <w:qFormat/>
    <w:rsid w:val="000A575B"/>
    <w:pPr>
      <w:spacing w:before="60" w:after="60"/>
      <w:jc w:val="center"/>
    </w:pPr>
    <w:rPr>
      <w:b/>
      <w:caps/>
      <w:color w:val="00264D" w:themeColor="background2"/>
      <w:szCs w:val="19"/>
    </w:rPr>
  </w:style>
  <w:style w:type="paragraph" w:customStyle="1" w:styleId="BioPosition">
    <w:name w:val="Bio Position"/>
    <w:basedOn w:val="Normal"/>
    <w:uiPriority w:val="97"/>
    <w:qFormat/>
    <w:rsid w:val="000A575B"/>
    <w:pPr>
      <w:jc w:val="center"/>
    </w:pPr>
    <w:rPr>
      <w:color w:val="00264D" w:themeColor="background2"/>
      <w:szCs w:val="19"/>
    </w:rPr>
  </w:style>
  <w:style w:type="table" w:customStyle="1" w:styleId="NousTableSide">
    <w:name w:val="Nous Table_Side"/>
    <w:basedOn w:val="TableNormal"/>
    <w:uiPriority w:val="99"/>
    <w:rsid w:val="000A575B"/>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table" w:customStyle="1" w:styleId="NousTableTopandside">
    <w:name w:val="Nous Table_Top and side"/>
    <w:basedOn w:val="TableNormal"/>
    <w:uiPriority w:val="99"/>
    <w:rsid w:val="000A575B"/>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paragraph" w:customStyle="1" w:styleId="Sectionintroduction">
    <w:name w:val="Section introduction"/>
    <w:uiPriority w:val="21"/>
    <w:qFormat/>
    <w:rsid w:val="000A575B"/>
    <w:pPr>
      <w:spacing w:before="120" w:after="120"/>
    </w:pPr>
    <w:rPr>
      <w:rFonts w:ascii="Segoe UI Semilight" w:hAnsi="Segoe UI Semilight"/>
      <w:color w:val="00264D" w:themeColor="background2"/>
      <w:sz w:val="21"/>
      <w:szCs w:val="21"/>
      <w:lang w:val="en-AU"/>
    </w:rPr>
  </w:style>
  <w:style w:type="paragraph" w:customStyle="1" w:styleId="BioQualifications">
    <w:name w:val="Bio Qualifications"/>
    <w:basedOn w:val="Normal"/>
    <w:uiPriority w:val="97"/>
    <w:qFormat/>
    <w:rsid w:val="000A575B"/>
    <w:pPr>
      <w:spacing w:before="240" w:after="60"/>
      <w:jc w:val="center"/>
    </w:pPr>
    <w:rPr>
      <w:b/>
      <w:color w:val="00264D" w:themeColor="background2"/>
      <w:szCs w:val="17"/>
    </w:rPr>
  </w:style>
  <w:style w:type="paragraph" w:customStyle="1" w:styleId="introductionlist">
    <w:name w:val="introduction list"/>
    <w:basedOn w:val="Sectionintroduction"/>
    <w:uiPriority w:val="21"/>
    <w:qFormat/>
    <w:rsid w:val="000A575B"/>
    <w:pPr>
      <w:numPr>
        <w:numId w:val="9"/>
      </w:numPr>
      <w:spacing w:before="60"/>
    </w:pPr>
  </w:style>
  <w:style w:type="paragraph" w:customStyle="1" w:styleId="intoductionbullet">
    <w:name w:val="intoduction bullet"/>
    <w:basedOn w:val="Sectionintroduction"/>
    <w:uiPriority w:val="21"/>
    <w:qFormat/>
    <w:rsid w:val="000A575B"/>
    <w:pPr>
      <w:numPr>
        <w:numId w:val="10"/>
      </w:numPr>
    </w:pPr>
  </w:style>
  <w:style w:type="paragraph" w:customStyle="1" w:styleId="BioQualificationsText">
    <w:name w:val="Bio Qualifications Text"/>
    <w:basedOn w:val="Normal"/>
    <w:uiPriority w:val="97"/>
    <w:qFormat/>
    <w:rsid w:val="000A575B"/>
    <w:pPr>
      <w:jc w:val="center"/>
    </w:pPr>
  </w:style>
  <w:style w:type="table" w:customStyle="1" w:styleId="Sectionintroductiontable">
    <w:name w:val="Section introduction table"/>
    <w:basedOn w:val="TableNormal"/>
    <w:uiPriority w:val="99"/>
    <w:rsid w:val="000A575B"/>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0A575B"/>
    <w:pPr>
      <w:numPr>
        <w:numId w:val="16"/>
      </w:numPr>
    </w:pPr>
  </w:style>
  <w:style w:type="numbering" w:customStyle="1" w:styleId="TableexpListnumberedmultilevel">
    <w:name w:val="Table exp List (numbered) multilevel"/>
    <w:uiPriority w:val="99"/>
    <w:rsid w:val="000A575B"/>
    <w:pPr>
      <w:numPr>
        <w:numId w:val="12"/>
      </w:numPr>
    </w:pPr>
  </w:style>
  <w:style w:type="numbering" w:customStyle="1" w:styleId="TableNListnumberedmultilevel">
    <w:name w:val="Table N List (numbered) multilevel"/>
    <w:uiPriority w:val="99"/>
    <w:rsid w:val="000A575B"/>
    <w:pPr>
      <w:numPr>
        <w:numId w:val="15"/>
      </w:numPr>
    </w:pPr>
  </w:style>
  <w:style w:type="paragraph" w:customStyle="1" w:styleId="CaseStudytitle">
    <w:name w:val="Case Study title"/>
    <w:basedOn w:val="Normal"/>
    <w:uiPriority w:val="98"/>
    <w:qFormat/>
    <w:rsid w:val="000A575B"/>
    <w:rPr>
      <w:rFonts w:asciiTheme="majorHAnsi" w:hAnsiTheme="majorHAnsi"/>
      <w:caps/>
      <w:color w:val="F25E21" w:themeColor="accent2"/>
      <w:sz w:val="24"/>
    </w:rPr>
  </w:style>
  <w:style w:type="character" w:styleId="Emphasis">
    <w:name w:val="Emphasis"/>
    <w:basedOn w:val="DefaultParagraphFont"/>
    <w:uiPriority w:val="20"/>
    <w:qFormat/>
    <w:rsid w:val="007E2C66"/>
    <w:rPr>
      <w:i/>
      <w:iCs/>
    </w:rPr>
  </w:style>
  <w:style w:type="table" w:styleId="GridTable4-Accent6">
    <w:name w:val="Grid Table 4 Accent 6"/>
    <w:basedOn w:val="TableNormal"/>
    <w:uiPriority w:val="49"/>
    <w:rsid w:val="00526E50"/>
    <w:pPr>
      <w:spacing w:after="0" w:line="240" w:lineRule="auto"/>
    </w:pPr>
    <w:tblPr>
      <w:tblStyleRowBandSize w:val="1"/>
      <w:tblStyleColBandSize w:val="1"/>
      <w:tblBorders>
        <w:top w:val="single" w:sz="4" w:space="0" w:color="7BD1EC" w:themeColor="accent6" w:themeTint="99"/>
        <w:left w:val="single" w:sz="4" w:space="0" w:color="7BD1EC" w:themeColor="accent6" w:themeTint="99"/>
        <w:bottom w:val="single" w:sz="4" w:space="0" w:color="7BD1EC" w:themeColor="accent6" w:themeTint="99"/>
        <w:right w:val="single" w:sz="4" w:space="0" w:color="7BD1EC" w:themeColor="accent6" w:themeTint="99"/>
        <w:insideH w:val="single" w:sz="4" w:space="0" w:color="7BD1EC" w:themeColor="accent6" w:themeTint="99"/>
        <w:insideV w:val="single" w:sz="4" w:space="0" w:color="7BD1EC" w:themeColor="accent6" w:themeTint="99"/>
      </w:tblBorders>
    </w:tblPr>
    <w:tblStylePr w:type="firstRow">
      <w:rPr>
        <w:b/>
        <w:bCs/>
        <w:color w:val="FFFFFF" w:themeColor="background1"/>
      </w:rPr>
      <w:tblPr/>
      <w:tcPr>
        <w:tcBorders>
          <w:top w:val="single" w:sz="4" w:space="0" w:color="25B3E0" w:themeColor="accent6"/>
          <w:left w:val="single" w:sz="4" w:space="0" w:color="25B3E0" w:themeColor="accent6"/>
          <w:bottom w:val="single" w:sz="4" w:space="0" w:color="25B3E0" w:themeColor="accent6"/>
          <w:right w:val="single" w:sz="4" w:space="0" w:color="25B3E0" w:themeColor="accent6"/>
          <w:insideH w:val="nil"/>
          <w:insideV w:val="nil"/>
        </w:tcBorders>
        <w:shd w:val="clear" w:color="auto" w:fill="25B3E0" w:themeFill="accent6"/>
      </w:tcPr>
    </w:tblStylePr>
    <w:tblStylePr w:type="lastRow">
      <w:rPr>
        <w:b/>
        <w:bCs/>
      </w:rPr>
      <w:tblPr/>
      <w:tcPr>
        <w:tcBorders>
          <w:top w:val="double" w:sz="4" w:space="0" w:color="25B3E0" w:themeColor="accent6"/>
        </w:tcBorders>
      </w:tcPr>
    </w:tblStylePr>
    <w:tblStylePr w:type="firstCol">
      <w:rPr>
        <w:b/>
        <w:bCs/>
      </w:rPr>
    </w:tblStylePr>
    <w:tblStylePr w:type="lastCol">
      <w:rPr>
        <w:b/>
        <w:bCs/>
      </w:rPr>
    </w:tblStylePr>
    <w:tblStylePr w:type="band1Vert">
      <w:tblPr/>
      <w:tcPr>
        <w:shd w:val="clear" w:color="auto" w:fill="D3EFF8" w:themeFill="accent6" w:themeFillTint="33"/>
      </w:tcPr>
    </w:tblStylePr>
    <w:tblStylePr w:type="band1Horz">
      <w:tblPr/>
      <w:tcPr>
        <w:shd w:val="clear" w:color="auto" w:fill="D3EFF8" w:themeFill="accent6" w:themeFillTint="33"/>
      </w:tcPr>
    </w:tblStylePr>
  </w:style>
  <w:style w:type="character" w:customStyle="1" w:styleId="LongformcalloutChar">
    <w:name w:val="Long form callout Char"/>
    <w:basedOn w:val="DefaultParagraphFont"/>
    <w:link w:val="Longformcallout"/>
    <w:uiPriority w:val="20"/>
    <w:rsid w:val="00F04BA2"/>
    <w:rPr>
      <w:rFonts w:ascii="Segoe UI" w:hAnsi="Segoe UI"/>
      <w:color w:val="00264D" w:themeColor="background2"/>
      <w:sz w:val="19"/>
      <w:szCs w:val="19"/>
      <w:lang w:val="en-AU" w:eastAsia="en-AU"/>
    </w:rPr>
  </w:style>
  <w:style w:type="character" w:customStyle="1" w:styleId="HighlighttextChar">
    <w:name w:val="Highlight text Char"/>
    <w:basedOn w:val="LongformcalloutChar"/>
    <w:link w:val="Highlighttext"/>
    <w:rsid w:val="00F04BA2"/>
    <w:rPr>
      <w:rFonts w:ascii="Segoe UI" w:hAnsi="Segoe UI"/>
      <w:color w:val="00264D" w:themeColor="background2"/>
      <w:sz w:val="20"/>
      <w:szCs w:val="19"/>
      <w:shd w:val="clear" w:color="auto" w:fill="F2F2F2" w:themeFill="background1" w:themeFillShade="F2"/>
      <w:lang w:val="en-AU" w:eastAsia="en-AU"/>
    </w:rPr>
  </w:style>
  <w:style w:type="paragraph" w:customStyle="1" w:styleId="CalloutOrange">
    <w:name w:val="Call out (Orange)"/>
    <w:basedOn w:val="Callout"/>
    <w:link w:val="CalloutOrangeChar"/>
    <w:qFormat/>
    <w:rsid w:val="003D209E"/>
    <w:pPr>
      <w:pBdr>
        <w:left w:val="single" w:sz="18" w:space="4" w:color="F8981D" w:themeColor="accent3"/>
      </w:pBdr>
    </w:pPr>
  </w:style>
  <w:style w:type="character" w:customStyle="1" w:styleId="CalloutChar">
    <w:name w:val="Call out Char"/>
    <w:basedOn w:val="LongformcalloutChar"/>
    <w:link w:val="Callout"/>
    <w:uiPriority w:val="98"/>
    <w:rsid w:val="00E6136D"/>
    <w:rPr>
      <w:rFonts w:ascii="Segoe UI" w:hAnsi="Segoe UI"/>
      <w:color w:val="00264D" w:themeColor="background2"/>
      <w:kern w:val="24"/>
      <w:sz w:val="20"/>
      <w:szCs w:val="19"/>
      <w:shd w:val="clear" w:color="auto" w:fill="E6E6E1" w:themeFill="accent5"/>
      <w:lang w:val="en-AU" w:eastAsia="en-AU"/>
    </w:rPr>
  </w:style>
  <w:style w:type="character" w:customStyle="1" w:styleId="CalloutOrangeChar">
    <w:name w:val="Call out (Orange) Char"/>
    <w:basedOn w:val="CalloutChar"/>
    <w:link w:val="CalloutOrange"/>
    <w:rsid w:val="003D209E"/>
    <w:rPr>
      <w:rFonts w:ascii="Segoe UI" w:hAnsi="Segoe UI"/>
      <w:color w:val="00264D" w:themeColor="background2"/>
      <w:kern w:val="24"/>
      <w:sz w:val="20"/>
      <w:szCs w:val="19"/>
      <w:shd w:val="clear" w:color="auto" w:fill="E6E6E1" w:themeFill="accent5"/>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467">
      <w:bodyDiv w:val="1"/>
      <w:marLeft w:val="0"/>
      <w:marRight w:val="0"/>
      <w:marTop w:val="0"/>
      <w:marBottom w:val="0"/>
      <w:divBdr>
        <w:top w:val="none" w:sz="0" w:space="0" w:color="auto"/>
        <w:left w:val="none" w:sz="0" w:space="0" w:color="auto"/>
        <w:bottom w:val="none" w:sz="0" w:space="0" w:color="auto"/>
        <w:right w:val="none" w:sz="0" w:space="0" w:color="auto"/>
      </w:divBdr>
    </w:div>
    <w:div w:id="18357309">
      <w:bodyDiv w:val="1"/>
      <w:marLeft w:val="0"/>
      <w:marRight w:val="0"/>
      <w:marTop w:val="0"/>
      <w:marBottom w:val="0"/>
      <w:divBdr>
        <w:top w:val="none" w:sz="0" w:space="0" w:color="auto"/>
        <w:left w:val="none" w:sz="0" w:space="0" w:color="auto"/>
        <w:bottom w:val="none" w:sz="0" w:space="0" w:color="auto"/>
        <w:right w:val="none" w:sz="0" w:space="0" w:color="auto"/>
      </w:divBdr>
    </w:div>
    <w:div w:id="40251876">
      <w:bodyDiv w:val="1"/>
      <w:marLeft w:val="0"/>
      <w:marRight w:val="0"/>
      <w:marTop w:val="0"/>
      <w:marBottom w:val="0"/>
      <w:divBdr>
        <w:top w:val="none" w:sz="0" w:space="0" w:color="auto"/>
        <w:left w:val="none" w:sz="0" w:space="0" w:color="auto"/>
        <w:bottom w:val="none" w:sz="0" w:space="0" w:color="auto"/>
        <w:right w:val="none" w:sz="0" w:space="0" w:color="auto"/>
      </w:divBdr>
    </w:div>
    <w:div w:id="55787731">
      <w:bodyDiv w:val="1"/>
      <w:marLeft w:val="0"/>
      <w:marRight w:val="0"/>
      <w:marTop w:val="0"/>
      <w:marBottom w:val="0"/>
      <w:divBdr>
        <w:top w:val="none" w:sz="0" w:space="0" w:color="auto"/>
        <w:left w:val="none" w:sz="0" w:space="0" w:color="auto"/>
        <w:bottom w:val="none" w:sz="0" w:space="0" w:color="auto"/>
        <w:right w:val="none" w:sz="0" w:space="0" w:color="auto"/>
      </w:divBdr>
      <w:divsChild>
        <w:div w:id="1338923371">
          <w:marLeft w:val="0"/>
          <w:marRight w:val="0"/>
          <w:marTop w:val="0"/>
          <w:marBottom w:val="0"/>
          <w:divBdr>
            <w:top w:val="none" w:sz="0" w:space="0" w:color="auto"/>
            <w:left w:val="none" w:sz="0" w:space="0" w:color="auto"/>
            <w:bottom w:val="none" w:sz="0" w:space="0" w:color="auto"/>
            <w:right w:val="none" w:sz="0" w:space="0" w:color="auto"/>
          </w:divBdr>
        </w:div>
      </w:divsChild>
    </w:div>
    <w:div w:id="86581155">
      <w:bodyDiv w:val="1"/>
      <w:marLeft w:val="0"/>
      <w:marRight w:val="0"/>
      <w:marTop w:val="0"/>
      <w:marBottom w:val="0"/>
      <w:divBdr>
        <w:top w:val="none" w:sz="0" w:space="0" w:color="auto"/>
        <w:left w:val="none" w:sz="0" w:space="0" w:color="auto"/>
        <w:bottom w:val="none" w:sz="0" w:space="0" w:color="auto"/>
        <w:right w:val="none" w:sz="0" w:space="0" w:color="auto"/>
      </w:divBdr>
    </w:div>
    <w:div w:id="86736317">
      <w:bodyDiv w:val="1"/>
      <w:marLeft w:val="0"/>
      <w:marRight w:val="0"/>
      <w:marTop w:val="0"/>
      <w:marBottom w:val="0"/>
      <w:divBdr>
        <w:top w:val="none" w:sz="0" w:space="0" w:color="auto"/>
        <w:left w:val="none" w:sz="0" w:space="0" w:color="auto"/>
        <w:bottom w:val="none" w:sz="0" w:space="0" w:color="auto"/>
        <w:right w:val="none" w:sz="0" w:space="0" w:color="auto"/>
      </w:divBdr>
      <w:divsChild>
        <w:div w:id="84111698">
          <w:marLeft w:val="0"/>
          <w:marRight w:val="0"/>
          <w:marTop w:val="0"/>
          <w:marBottom w:val="0"/>
          <w:divBdr>
            <w:top w:val="none" w:sz="0" w:space="0" w:color="auto"/>
            <w:left w:val="none" w:sz="0" w:space="0" w:color="auto"/>
            <w:bottom w:val="none" w:sz="0" w:space="0" w:color="auto"/>
            <w:right w:val="none" w:sz="0" w:space="0" w:color="auto"/>
          </w:divBdr>
        </w:div>
      </w:divsChild>
    </w:div>
    <w:div w:id="118768582">
      <w:bodyDiv w:val="1"/>
      <w:marLeft w:val="0"/>
      <w:marRight w:val="0"/>
      <w:marTop w:val="0"/>
      <w:marBottom w:val="0"/>
      <w:divBdr>
        <w:top w:val="none" w:sz="0" w:space="0" w:color="auto"/>
        <w:left w:val="none" w:sz="0" w:space="0" w:color="auto"/>
        <w:bottom w:val="none" w:sz="0" w:space="0" w:color="auto"/>
        <w:right w:val="none" w:sz="0" w:space="0" w:color="auto"/>
      </w:divBdr>
      <w:divsChild>
        <w:div w:id="1440174142">
          <w:marLeft w:val="0"/>
          <w:marRight w:val="0"/>
          <w:marTop w:val="0"/>
          <w:marBottom w:val="0"/>
          <w:divBdr>
            <w:top w:val="none" w:sz="0" w:space="0" w:color="auto"/>
            <w:left w:val="none" w:sz="0" w:space="0" w:color="auto"/>
            <w:bottom w:val="none" w:sz="0" w:space="0" w:color="auto"/>
            <w:right w:val="none" w:sz="0" w:space="0" w:color="auto"/>
          </w:divBdr>
        </w:div>
      </w:divsChild>
    </w:div>
    <w:div w:id="122818268">
      <w:bodyDiv w:val="1"/>
      <w:marLeft w:val="0"/>
      <w:marRight w:val="0"/>
      <w:marTop w:val="0"/>
      <w:marBottom w:val="0"/>
      <w:divBdr>
        <w:top w:val="none" w:sz="0" w:space="0" w:color="auto"/>
        <w:left w:val="none" w:sz="0" w:space="0" w:color="auto"/>
        <w:bottom w:val="none" w:sz="0" w:space="0" w:color="auto"/>
        <w:right w:val="none" w:sz="0" w:space="0" w:color="auto"/>
      </w:divBdr>
    </w:div>
    <w:div w:id="140932138">
      <w:bodyDiv w:val="1"/>
      <w:marLeft w:val="0"/>
      <w:marRight w:val="0"/>
      <w:marTop w:val="0"/>
      <w:marBottom w:val="0"/>
      <w:divBdr>
        <w:top w:val="none" w:sz="0" w:space="0" w:color="auto"/>
        <w:left w:val="none" w:sz="0" w:space="0" w:color="auto"/>
        <w:bottom w:val="none" w:sz="0" w:space="0" w:color="auto"/>
        <w:right w:val="none" w:sz="0" w:space="0" w:color="auto"/>
      </w:divBdr>
    </w:div>
    <w:div w:id="196085701">
      <w:bodyDiv w:val="1"/>
      <w:marLeft w:val="0"/>
      <w:marRight w:val="0"/>
      <w:marTop w:val="0"/>
      <w:marBottom w:val="0"/>
      <w:divBdr>
        <w:top w:val="none" w:sz="0" w:space="0" w:color="auto"/>
        <w:left w:val="none" w:sz="0" w:space="0" w:color="auto"/>
        <w:bottom w:val="none" w:sz="0" w:space="0" w:color="auto"/>
        <w:right w:val="none" w:sz="0" w:space="0" w:color="auto"/>
      </w:divBdr>
    </w:div>
    <w:div w:id="198520412">
      <w:bodyDiv w:val="1"/>
      <w:marLeft w:val="0"/>
      <w:marRight w:val="0"/>
      <w:marTop w:val="0"/>
      <w:marBottom w:val="0"/>
      <w:divBdr>
        <w:top w:val="none" w:sz="0" w:space="0" w:color="auto"/>
        <w:left w:val="none" w:sz="0" w:space="0" w:color="auto"/>
        <w:bottom w:val="none" w:sz="0" w:space="0" w:color="auto"/>
        <w:right w:val="none" w:sz="0" w:space="0" w:color="auto"/>
      </w:divBdr>
    </w:div>
    <w:div w:id="206528834">
      <w:bodyDiv w:val="1"/>
      <w:marLeft w:val="0"/>
      <w:marRight w:val="0"/>
      <w:marTop w:val="0"/>
      <w:marBottom w:val="0"/>
      <w:divBdr>
        <w:top w:val="none" w:sz="0" w:space="0" w:color="auto"/>
        <w:left w:val="none" w:sz="0" w:space="0" w:color="auto"/>
        <w:bottom w:val="none" w:sz="0" w:space="0" w:color="auto"/>
        <w:right w:val="none" w:sz="0" w:space="0" w:color="auto"/>
      </w:divBdr>
    </w:div>
    <w:div w:id="221063493">
      <w:bodyDiv w:val="1"/>
      <w:marLeft w:val="0"/>
      <w:marRight w:val="0"/>
      <w:marTop w:val="0"/>
      <w:marBottom w:val="0"/>
      <w:divBdr>
        <w:top w:val="none" w:sz="0" w:space="0" w:color="auto"/>
        <w:left w:val="none" w:sz="0" w:space="0" w:color="auto"/>
        <w:bottom w:val="none" w:sz="0" w:space="0" w:color="auto"/>
        <w:right w:val="none" w:sz="0" w:space="0" w:color="auto"/>
      </w:divBdr>
    </w:div>
    <w:div w:id="226035574">
      <w:bodyDiv w:val="1"/>
      <w:marLeft w:val="0"/>
      <w:marRight w:val="0"/>
      <w:marTop w:val="0"/>
      <w:marBottom w:val="0"/>
      <w:divBdr>
        <w:top w:val="none" w:sz="0" w:space="0" w:color="auto"/>
        <w:left w:val="none" w:sz="0" w:space="0" w:color="auto"/>
        <w:bottom w:val="none" w:sz="0" w:space="0" w:color="auto"/>
        <w:right w:val="none" w:sz="0" w:space="0" w:color="auto"/>
      </w:divBdr>
    </w:div>
    <w:div w:id="234782472">
      <w:bodyDiv w:val="1"/>
      <w:marLeft w:val="0"/>
      <w:marRight w:val="0"/>
      <w:marTop w:val="0"/>
      <w:marBottom w:val="0"/>
      <w:divBdr>
        <w:top w:val="none" w:sz="0" w:space="0" w:color="auto"/>
        <w:left w:val="none" w:sz="0" w:space="0" w:color="auto"/>
        <w:bottom w:val="none" w:sz="0" w:space="0" w:color="auto"/>
        <w:right w:val="none" w:sz="0" w:space="0" w:color="auto"/>
      </w:divBdr>
    </w:div>
    <w:div w:id="241263102">
      <w:bodyDiv w:val="1"/>
      <w:marLeft w:val="0"/>
      <w:marRight w:val="0"/>
      <w:marTop w:val="0"/>
      <w:marBottom w:val="0"/>
      <w:divBdr>
        <w:top w:val="none" w:sz="0" w:space="0" w:color="auto"/>
        <w:left w:val="none" w:sz="0" w:space="0" w:color="auto"/>
        <w:bottom w:val="none" w:sz="0" w:space="0" w:color="auto"/>
        <w:right w:val="none" w:sz="0" w:space="0" w:color="auto"/>
      </w:divBdr>
    </w:div>
    <w:div w:id="281767356">
      <w:bodyDiv w:val="1"/>
      <w:marLeft w:val="0"/>
      <w:marRight w:val="0"/>
      <w:marTop w:val="0"/>
      <w:marBottom w:val="0"/>
      <w:divBdr>
        <w:top w:val="none" w:sz="0" w:space="0" w:color="auto"/>
        <w:left w:val="none" w:sz="0" w:space="0" w:color="auto"/>
        <w:bottom w:val="none" w:sz="0" w:space="0" w:color="auto"/>
        <w:right w:val="none" w:sz="0" w:space="0" w:color="auto"/>
      </w:divBdr>
    </w:div>
    <w:div w:id="305546962">
      <w:bodyDiv w:val="1"/>
      <w:marLeft w:val="0"/>
      <w:marRight w:val="0"/>
      <w:marTop w:val="0"/>
      <w:marBottom w:val="0"/>
      <w:divBdr>
        <w:top w:val="none" w:sz="0" w:space="0" w:color="auto"/>
        <w:left w:val="none" w:sz="0" w:space="0" w:color="auto"/>
        <w:bottom w:val="none" w:sz="0" w:space="0" w:color="auto"/>
        <w:right w:val="none" w:sz="0" w:space="0" w:color="auto"/>
      </w:divBdr>
      <w:divsChild>
        <w:div w:id="407924398">
          <w:marLeft w:val="274"/>
          <w:marRight w:val="0"/>
          <w:marTop w:val="120"/>
          <w:marBottom w:val="0"/>
          <w:divBdr>
            <w:top w:val="none" w:sz="0" w:space="0" w:color="auto"/>
            <w:left w:val="none" w:sz="0" w:space="0" w:color="auto"/>
            <w:bottom w:val="none" w:sz="0" w:space="0" w:color="auto"/>
            <w:right w:val="none" w:sz="0" w:space="0" w:color="auto"/>
          </w:divBdr>
        </w:div>
        <w:div w:id="949044975">
          <w:marLeft w:val="360"/>
          <w:marRight w:val="0"/>
          <w:marTop w:val="120"/>
          <w:marBottom w:val="0"/>
          <w:divBdr>
            <w:top w:val="none" w:sz="0" w:space="0" w:color="auto"/>
            <w:left w:val="none" w:sz="0" w:space="0" w:color="auto"/>
            <w:bottom w:val="none" w:sz="0" w:space="0" w:color="auto"/>
            <w:right w:val="none" w:sz="0" w:space="0" w:color="auto"/>
          </w:divBdr>
        </w:div>
        <w:div w:id="1052801811">
          <w:marLeft w:val="360"/>
          <w:marRight w:val="0"/>
          <w:marTop w:val="120"/>
          <w:marBottom w:val="0"/>
          <w:divBdr>
            <w:top w:val="none" w:sz="0" w:space="0" w:color="auto"/>
            <w:left w:val="none" w:sz="0" w:space="0" w:color="auto"/>
            <w:bottom w:val="none" w:sz="0" w:space="0" w:color="auto"/>
            <w:right w:val="none" w:sz="0" w:space="0" w:color="auto"/>
          </w:divBdr>
        </w:div>
        <w:div w:id="1106386426">
          <w:marLeft w:val="274"/>
          <w:marRight w:val="0"/>
          <w:marTop w:val="120"/>
          <w:marBottom w:val="0"/>
          <w:divBdr>
            <w:top w:val="none" w:sz="0" w:space="0" w:color="auto"/>
            <w:left w:val="none" w:sz="0" w:space="0" w:color="auto"/>
            <w:bottom w:val="none" w:sz="0" w:space="0" w:color="auto"/>
            <w:right w:val="none" w:sz="0" w:space="0" w:color="auto"/>
          </w:divBdr>
        </w:div>
        <w:div w:id="1266887270">
          <w:marLeft w:val="360"/>
          <w:marRight w:val="0"/>
          <w:marTop w:val="120"/>
          <w:marBottom w:val="0"/>
          <w:divBdr>
            <w:top w:val="none" w:sz="0" w:space="0" w:color="auto"/>
            <w:left w:val="none" w:sz="0" w:space="0" w:color="auto"/>
            <w:bottom w:val="none" w:sz="0" w:space="0" w:color="auto"/>
            <w:right w:val="none" w:sz="0" w:space="0" w:color="auto"/>
          </w:divBdr>
        </w:div>
        <w:div w:id="1597057271">
          <w:marLeft w:val="360"/>
          <w:marRight w:val="0"/>
          <w:marTop w:val="120"/>
          <w:marBottom w:val="0"/>
          <w:divBdr>
            <w:top w:val="none" w:sz="0" w:space="0" w:color="auto"/>
            <w:left w:val="none" w:sz="0" w:space="0" w:color="auto"/>
            <w:bottom w:val="none" w:sz="0" w:space="0" w:color="auto"/>
            <w:right w:val="none" w:sz="0" w:space="0" w:color="auto"/>
          </w:divBdr>
        </w:div>
      </w:divsChild>
    </w:div>
    <w:div w:id="349600896">
      <w:bodyDiv w:val="1"/>
      <w:marLeft w:val="0"/>
      <w:marRight w:val="0"/>
      <w:marTop w:val="0"/>
      <w:marBottom w:val="0"/>
      <w:divBdr>
        <w:top w:val="none" w:sz="0" w:space="0" w:color="auto"/>
        <w:left w:val="none" w:sz="0" w:space="0" w:color="auto"/>
        <w:bottom w:val="none" w:sz="0" w:space="0" w:color="auto"/>
        <w:right w:val="none" w:sz="0" w:space="0" w:color="auto"/>
      </w:divBdr>
    </w:div>
    <w:div w:id="350650047">
      <w:bodyDiv w:val="1"/>
      <w:marLeft w:val="0"/>
      <w:marRight w:val="0"/>
      <w:marTop w:val="0"/>
      <w:marBottom w:val="0"/>
      <w:divBdr>
        <w:top w:val="none" w:sz="0" w:space="0" w:color="auto"/>
        <w:left w:val="none" w:sz="0" w:space="0" w:color="auto"/>
        <w:bottom w:val="none" w:sz="0" w:space="0" w:color="auto"/>
        <w:right w:val="none" w:sz="0" w:space="0" w:color="auto"/>
      </w:divBdr>
    </w:div>
    <w:div w:id="366225706">
      <w:bodyDiv w:val="1"/>
      <w:marLeft w:val="0"/>
      <w:marRight w:val="0"/>
      <w:marTop w:val="0"/>
      <w:marBottom w:val="0"/>
      <w:divBdr>
        <w:top w:val="none" w:sz="0" w:space="0" w:color="auto"/>
        <w:left w:val="none" w:sz="0" w:space="0" w:color="auto"/>
        <w:bottom w:val="none" w:sz="0" w:space="0" w:color="auto"/>
        <w:right w:val="none" w:sz="0" w:space="0" w:color="auto"/>
      </w:divBdr>
    </w:div>
    <w:div w:id="382408030">
      <w:bodyDiv w:val="1"/>
      <w:marLeft w:val="0"/>
      <w:marRight w:val="0"/>
      <w:marTop w:val="0"/>
      <w:marBottom w:val="0"/>
      <w:divBdr>
        <w:top w:val="none" w:sz="0" w:space="0" w:color="auto"/>
        <w:left w:val="none" w:sz="0" w:space="0" w:color="auto"/>
        <w:bottom w:val="none" w:sz="0" w:space="0" w:color="auto"/>
        <w:right w:val="none" w:sz="0" w:space="0" w:color="auto"/>
      </w:divBdr>
      <w:divsChild>
        <w:div w:id="1124234732">
          <w:marLeft w:val="0"/>
          <w:marRight w:val="0"/>
          <w:marTop w:val="0"/>
          <w:marBottom w:val="0"/>
          <w:divBdr>
            <w:top w:val="none" w:sz="0" w:space="0" w:color="auto"/>
            <w:left w:val="none" w:sz="0" w:space="0" w:color="auto"/>
            <w:bottom w:val="none" w:sz="0" w:space="0" w:color="auto"/>
            <w:right w:val="none" w:sz="0" w:space="0" w:color="auto"/>
          </w:divBdr>
        </w:div>
      </w:divsChild>
    </w:div>
    <w:div w:id="399447264">
      <w:bodyDiv w:val="1"/>
      <w:marLeft w:val="0"/>
      <w:marRight w:val="0"/>
      <w:marTop w:val="0"/>
      <w:marBottom w:val="0"/>
      <w:divBdr>
        <w:top w:val="none" w:sz="0" w:space="0" w:color="auto"/>
        <w:left w:val="none" w:sz="0" w:space="0" w:color="auto"/>
        <w:bottom w:val="none" w:sz="0" w:space="0" w:color="auto"/>
        <w:right w:val="none" w:sz="0" w:space="0" w:color="auto"/>
      </w:divBdr>
    </w:div>
    <w:div w:id="421530221">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483547542">
      <w:bodyDiv w:val="1"/>
      <w:marLeft w:val="0"/>
      <w:marRight w:val="0"/>
      <w:marTop w:val="0"/>
      <w:marBottom w:val="0"/>
      <w:divBdr>
        <w:top w:val="none" w:sz="0" w:space="0" w:color="auto"/>
        <w:left w:val="none" w:sz="0" w:space="0" w:color="auto"/>
        <w:bottom w:val="none" w:sz="0" w:space="0" w:color="auto"/>
        <w:right w:val="none" w:sz="0" w:space="0" w:color="auto"/>
      </w:divBdr>
    </w:div>
    <w:div w:id="523596024">
      <w:bodyDiv w:val="1"/>
      <w:marLeft w:val="0"/>
      <w:marRight w:val="0"/>
      <w:marTop w:val="0"/>
      <w:marBottom w:val="0"/>
      <w:divBdr>
        <w:top w:val="none" w:sz="0" w:space="0" w:color="auto"/>
        <w:left w:val="none" w:sz="0" w:space="0" w:color="auto"/>
        <w:bottom w:val="none" w:sz="0" w:space="0" w:color="auto"/>
        <w:right w:val="none" w:sz="0" w:space="0" w:color="auto"/>
      </w:divBdr>
    </w:div>
    <w:div w:id="524442789">
      <w:bodyDiv w:val="1"/>
      <w:marLeft w:val="0"/>
      <w:marRight w:val="0"/>
      <w:marTop w:val="0"/>
      <w:marBottom w:val="0"/>
      <w:divBdr>
        <w:top w:val="none" w:sz="0" w:space="0" w:color="auto"/>
        <w:left w:val="none" w:sz="0" w:space="0" w:color="auto"/>
        <w:bottom w:val="none" w:sz="0" w:space="0" w:color="auto"/>
        <w:right w:val="none" w:sz="0" w:space="0" w:color="auto"/>
      </w:divBdr>
    </w:div>
    <w:div w:id="531961351">
      <w:bodyDiv w:val="1"/>
      <w:marLeft w:val="0"/>
      <w:marRight w:val="0"/>
      <w:marTop w:val="0"/>
      <w:marBottom w:val="0"/>
      <w:divBdr>
        <w:top w:val="none" w:sz="0" w:space="0" w:color="auto"/>
        <w:left w:val="none" w:sz="0" w:space="0" w:color="auto"/>
        <w:bottom w:val="none" w:sz="0" w:space="0" w:color="auto"/>
        <w:right w:val="none" w:sz="0" w:space="0" w:color="auto"/>
      </w:divBdr>
      <w:divsChild>
        <w:div w:id="463623748">
          <w:marLeft w:val="547"/>
          <w:marRight w:val="0"/>
          <w:marTop w:val="120"/>
          <w:marBottom w:val="120"/>
          <w:divBdr>
            <w:top w:val="none" w:sz="0" w:space="0" w:color="auto"/>
            <w:left w:val="none" w:sz="0" w:space="0" w:color="auto"/>
            <w:bottom w:val="none" w:sz="0" w:space="0" w:color="auto"/>
            <w:right w:val="none" w:sz="0" w:space="0" w:color="auto"/>
          </w:divBdr>
        </w:div>
        <w:div w:id="912550460">
          <w:marLeft w:val="547"/>
          <w:marRight w:val="0"/>
          <w:marTop w:val="120"/>
          <w:marBottom w:val="120"/>
          <w:divBdr>
            <w:top w:val="none" w:sz="0" w:space="0" w:color="auto"/>
            <w:left w:val="none" w:sz="0" w:space="0" w:color="auto"/>
            <w:bottom w:val="none" w:sz="0" w:space="0" w:color="auto"/>
            <w:right w:val="none" w:sz="0" w:space="0" w:color="auto"/>
          </w:divBdr>
        </w:div>
        <w:div w:id="1182163607">
          <w:marLeft w:val="1166"/>
          <w:marRight w:val="0"/>
          <w:marTop w:val="120"/>
          <w:marBottom w:val="120"/>
          <w:divBdr>
            <w:top w:val="none" w:sz="0" w:space="0" w:color="auto"/>
            <w:left w:val="none" w:sz="0" w:space="0" w:color="auto"/>
            <w:bottom w:val="none" w:sz="0" w:space="0" w:color="auto"/>
            <w:right w:val="none" w:sz="0" w:space="0" w:color="auto"/>
          </w:divBdr>
        </w:div>
        <w:div w:id="1848013808">
          <w:marLeft w:val="547"/>
          <w:marRight w:val="0"/>
          <w:marTop w:val="120"/>
          <w:marBottom w:val="120"/>
          <w:divBdr>
            <w:top w:val="none" w:sz="0" w:space="0" w:color="auto"/>
            <w:left w:val="none" w:sz="0" w:space="0" w:color="auto"/>
            <w:bottom w:val="none" w:sz="0" w:space="0" w:color="auto"/>
            <w:right w:val="none" w:sz="0" w:space="0" w:color="auto"/>
          </w:divBdr>
        </w:div>
        <w:div w:id="2035886683">
          <w:marLeft w:val="1166"/>
          <w:marRight w:val="0"/>
          <w:marTop w:val="120"/>
          <w:marBottom w:val="120"/>
          <w:divBdr>
            <w:top w:val="none" w:sz="0" w:space="0" w:color="auto"/>
            <w:left w:val="none" w:sz="0" w:space="0" w:color="auto"/>
            <w:bottom w:val="none" w:sz="0" w:space="0" w:color="auto"/>
            <w:right w:val="none" w:sz="0" w:space="0" w:color="auto"/>
          </w:divBdr>
        </w:div>
      </w:divsChild>
    </w:div>
    <w:div w:id="570307976">
      <w:bodyDiv w:val="1"/>
      <w:marLeft w:val="0"/>
      <w:marRight w:val="0"/>
      <w:marTop w:val="0"/>
      <w:marBottom w:val="0"/>
      <w:divBdr>
        <w:top w:val="none" w:sz="0" w:space="0" w:color="auto"/>
        <w:left w:val="none" w:sz="0" w:space="0" w:color="auto"/>
        <w:bottom w:val="none" w:sz="0" w:space="0" w:color="auto"/>
        <w:right w:val="none" w:sz="0" w:space="0" w:color="auto"/>
      </w:divBdr>
    </w:div>
    <w:div w:id="579951021">
      <w:bodyDiv w:val="1"/>
      <w:marLeft w:val="0"/>
      <w:marRight w:val="0"/>
      <w:marTop w:val="0"/>
      <w:marBottom w:val="0"/>
      <w:divBdr>
        <w:top w:val="none" w:sz="0" w:space="0" w:color="auto"/>
        <w:left w:val="none" w:sz="0" w:space="0" w:color="auto"/>
        <w:bottom w:val="none" w:sz="0" w:space="0" w:color="auto"/>
        <w:right w:val="none" w:sz="0" w:space="0" w:color="auto"/>
      </w:divBdr>
    </w:div>
    <w:div w:id="581836710">
      <w:bodyDiv w:val="1"/>
      <w:marLeft w:val="0"/>
      <w:marRight w:val="0"/>
      <w:marTop w:val="0"/>
      <w:marBottom w:val="0"/>
      <w:divBdr>
        <w:top w:val="none" w:sz="0" w:space="0" w:color="auto"/>
        <w:left w:val="none" w:sz="0" w:space="0" w:color="auto"/>
        <w:bottom w:val="none" w:sz="0" w:space="0" w:color="auto"/>
        <w:right w:val="none" w:sz="0" w:space="0" w:color="auto"/>
      </w:divBdr>
    </w:div>
    <w:div w:id="586110971">
      <w:bodyDiv w:val="1"/>
      <w:marLeft w:val="0"/>
      <w:marRight w:val="0"/>
      <w:marTop w:val="0"/>
      <w:marBottom w:val="0"/>
      <w:divBdr>
        <w:top w:val="none" w:sz="0" w:space="0" w:color="auto"/>
        <w:left w:val="none" w:sz="0" w:space="0" w:color="auto"/>
        <w:bottom w:val="none" w:sz="0" w:space="0" w:color="auto"/>
        <w:right w:val="none" w:sz="0" w:space="0" w:color="auto"/>
      </w:divBdr>
    </w:div>
    <w:div w:id="623851818">
      <w:bodyDiv w:val="1"/>
      <w:marLeft w:val="0"/>
      <w:marRight w:val="0"/>
      <w:marTop w:val="0"/>
      <w:marBottom w:val="0"/>
      <w:divBdr>
        <w:top w:val="none" w:sz="0" w:space="0" w:color="auto"/>
        <w:left w:val="none" w:sz="0" w:space="0" w:color="auto"/>
        <w:bottom w:val="none" w:sz="0" w:space="0" w:color="auto"/>
        <w:right w:val="none" w:sz="0" w:space="0" w:color="auto"/>
      </w:divBdr>
      <w:divsChild>
        <w:div w:id="1253514339">
          <w:marLeft w:val="0"/>
          <w:marRight w:val="0"/>
          <w:marTop w:val="0"/>
          <w:marBottom w:val="0"/>
          <w:divBdr>
            <w:top w:val="none" w:sz="0" w:space="0" w:color="auto"/>
            <w:left w:val="none" w:sz="0" w:space="0" w:color="auto"/>
            <w:bottom w:val="none" w:sz="0" w:space="0" w:color="auto"/>
            <w:right w:val="none" w:sz="0" w:space="0" w:color="auto"/>
          </w:divBdr>
        </w:div>
      </w:divsChild>
    </w:div>
    <w:div w:id="626467692">
      <w:bodyDiv w:val="1"/>
      <w:marLeft w:val="0"/>
      <w:marRight w:val="0"/>
      <w:marTop w:val="0"/>
      <w:marBottom w:val="0"/>
      <w:divBdr>
        <w:top w:val="none" w:sz="0" w:space="0" w:color="auto"/>
        <w:left w:val="none" w:sz="0" w:space="0" w:color="auto"/>
        <w:bottom w:val="none" w:sz="0" w:space="0" w:color="auto"/>
        <w:right w:val="none" w:sz="0" w:space="0" w:color="auto"/>
      </w:divBdr>
    </w:div>
    <w:div w:id="655300823">
      <w:bodyDiv w:val="1"/>
      <w:marLeft w:val="0"/>
      <w:marRight w:val="0"/>
      <w:marTop w:val="0"/>
      <w:marBottom w:val="0"/>
      <w:divBdr>
        <w:top w:val="none" w:sz="0" w:space="0" w:color="auto"/>
        <w:left w:val="none" w:sz="0" w:space="0" w:color="auto"/>
        <w:bottom w:val="none" w:sz="0" w:space="0" w:color="auto"/>
        <w:right w:val="none" w:sz="0" w:space="0" w:color="auto"/>
      </w:divBdr>
    </w:div>
    <w:div w:id="663364819">
      <w:bodyDiv w:val="1"/>
      <w:marLeft w:val="0"/>
      <w:marRight w:val="0"/>
      <w:marTop w:val="0"/>
      <w:marBottom w:val="0"/>
      <w:divBdr>
        <w:top w:val="none" w:sz="0" w:space="0" w:color="auto"/>
        <w:left w:val="none" w:sz="0" w:space="0" w:color="auto"/>
        <w:bottom w:val="none" w:sz="0" w:space="0" w:color="auto"/>
        <w:right w:val="none" w:sz="0" w:space="0" w:color="auto"/>
      </w:divBdr>
    </w:div>
    <w:div w:id="665087398">
      <w:bodyDiv w:val="1"/>
      <w:marLeft w:val="0"/>
      <w:marRight w:val="0"/>
      <w:marTop w:val="0"/>
      <w:marBottom w:val="0"/>
      <w:divBdr>
        <w:top w:val="none" w:sz="0" w:space="0" w:color="auto"/>
        <w:left w:val="none" w:sz="0" w:space="0" w:color="auto"/>
        <w:bottom w:val="none" w:sz="0" w:space="0" w:color="auto"/>
        <w:right w:val="none" w:sz="0" w:space="0" w:color="auto"/>
      </w:divBdr>
    </w:div>
    <w:div w:id="727998269">
      <w:bodyDiv w:val="1"/>
      <w:marLeft w:val="0"/>
      <w:marRight w:val="0"/>
      <w:marTop w:val="0"/>
      <w:marBottom w:val="0"/>
      <w:divBdr>
        <w:top w:val="none" w:sz="0" w:space="0" w:color="auto"/>
        <w:left w:val="none" w:sz="0" w:space="0" w:color="auto"/>
        <w:bottom w:val="none" w:sz="0" w:space="0" w:color="auto"/>
        <w:right w:val="none" w:sz="0" w:space="0" w:color="auto"/>
      </w:divBdr>
    </w:div>
    <w:div w:id="729154281">
      <w:bodyDiv w:val="1"/>
      <w:marLeft w:val="0"/>
      <w:marRight w:val="0"/>
      <w:marTop w:val="0"/>
      <w:marBottom w:val="0"/>
      <w:divBdr>
        <w:top w:val="none" w:sz="0" w:space="0" w:color="auto"/>
        <w:left w:val="none" w:sz="0" w:space="0" w:color="auto"/>
        <w:bottom w:val="none" w:sz="0" w:space="0" w:color="auto"/>
        <w:right w:val="none" w:sz="0" w:space="0" w:color="auto"/>
      </w:divBdr>
    </w:div>
    <w:div w:id="733165196">
      <w:bodyDiv w:val="1"/>
      <w:marLeft w:val="0"/>
      <w:marRight w:val="0"/>
      <w:marTop w:val="0"/>
      <w:marBottom w:val="0"/>
      <w:divBdr>
        <w:top w:val="none" w:sz="0" w:space="0" w:color="auto"/>
        <w:left w:val="none" w:sz="0" w:space="0" w:color="auto"/>
        <w:bottom w:val="none" w:sz="0" w:space="0" w:color="auto"/>
        <w:right w:val="none" w:sz="0" w:space="0" w:color="auto"/>
      </w:divBdr>
    </w:div>
    <w:div w:id="765148321">
      <w:bodyDiv w:val="1"/>
      <w:marLeft w:val="0"/>
      <w:marRight w:val="0"/>
      <w:marTop w:val="0"/>
      <w:marBottom w:val="0"/>
      <w:divBdr>
        <w:top w:val="none" w:sz="0" w:space="0" w:color="auto"/>
        <w:left w:val="none" w:sz="0" w:space="0" w:color="auto"/>
        <w:bottom w:val="none" w:sz="0" w:space="0" w:color="auto"/>
        <w:right w:val="none" w:sz="0" w:space="0" w:color="auto"/>
      </w:divBdr>
      <w:divsChild>
        <w:div w:id="1078744338">
          <w:marLeft w:val="0"/>
          <w:marRight w:val="0"/>
          <w:marTop w:val="0"/>
          <w:marBottom w:val="0"/>
          <w:divBdr>
            <w:top w:val="none" w:sz="0" w:space="0" w:color="auto"/>
            <w:left w:val="none" w:sz="0" w:space="0" w:color="auto"/>
            <w:bottom w:val="none" w:sz="0" w:space="0" w:color="auto"/>
            <w:right w:val="none" w:sz="0" w:space="0" w:color="auto"/>
          </w:divBdr>
        </w:div>
      </w:divsChild>
    </w:div>
    <w:div w:id="780106100">
      <w:bodyDiv w:val="1"/>
      <w:marLeft w:val="0"/>
      <w:marRight w:val="0"/>
      <w:marTop w:val="0"/>
      <w:marBottom w:val="0"/>
      <w:divBdr>
        <w:top w:val="none" w:sz="0" w:space="0" w:color="auto"/>
        <w:left w:val="none" w:sz="0" w:space="0" w:color="auto"/>
        <w:bottom w:val="none" w:sz="0" w:space="0" w:color="auto"/>
        <w:right w:val="none" w:sz="0" w:space="0" w:color="auto"/>
      </w:divBdr>
    </w:div>
    <w:div w:id="788209440">
      <w:bodyDiv w:val="1"/>
      <w:marLeft w:val="0"/>
      <w:marRight w:val="0"/>
      <w:marTop w:val="0"/>
      <w:marBottom w:val="0"/>
      <w:divBdr>
        <w:top w:val="none" w:sz="0" w:space="0" w:color="auto"/>
        <w:left w:val="none" w:sz="0" w:space="0" w:color="auto"/>
        <w:bottom w:val="none" w:sz="0" w:space="0" w:color="auto"/>
        <w:right w:val="none" w:sz="0" w:space="0" w:color="auto"/>
      </w:divBdr>
    </w:div>
    <w:div w:id="867763403">
      <w:bodyDiv w:val="1"/>
      <w:marLeft w:val="0"/>
      <w:marRight w:val="0"/>
      <w:marTop w:val="0"/>
      <w:marBottom w:val="0"/>
      <w:divBdr>
        <w:top w:val="none" w:sz="0" w:space="0" w:color="auto"/>
        <w:left w:val="none" w:sz="0" w:space="0" w:color="auto"/>
        <w:bottom w:val="none" w:sz="0" w:space="0" w:color="auto"/>
        <w:right w:val="none" w:sz="0" w:space="0" w:color="auto"/>
      </w:divBdr>
    </w:div>
    <w:div w:id="868878058">
      <w:bodyDiv w:val="1"/>
      <w:marLeft w:val="0"/>
      <w:marRight w:val="0"/>
      <w:marTop w:val="0"/>
      <w:marBottom w:val="0"/>
      <w:divBdr>
        <w:top w:val="none" w:sz="0" w:space="0" w:color="auto"/>
        <w:left w:val="none" w:sz="0" w:space="0" w:color="auto"/>
        <w:bottom w:val="none" w:sz="0" w:space="0" w:color="auto"/>
        <w:right w:val="none" w:sz="0" w:space="0" w:color="auto"/>
      </w:divBdr>
    </w:div>
    <w:div w:id="876896290">
      <w:bodyDiv w:val="1"/>
      <w:marLeft w:val="0"/>
      <w:marRight w:val="0"/>
      <w:marTop w:val="0"/>
      <w:marBottom w:val="0"/>
      <w:divBdr>
        <w:top w:val="none" w:sz="0" w:space="0" w:color="auto"/>
        <w:left w:val="none" w:sz="0" w:space="0" w:color="auto"/>
        <w:bottom w:val="none" w:sz="0" w:space="0" w:color="auto"/>
        <w:right w:val="none" w:sz="0" w:space="0" w:color="auto"/>
      </w:divBdr>
    </w:div>
    <w:div w:id="877469436">
      <w:bodyDiv w:val="1"/>
      <w:marLeft w:val="0"/>
      <w:marRight w:val="0"/>
      <w:marTop w:val="0"/>
      <w:marBottom w:val="0"/>
      <w:divBdr>
        <w:top w:val="none" w:sz="0" w:space="0" w:color="auto"/>
        <w:left w:val="none" w:sz="0" w:space="0" w:color="auto"/>
        <w:bottom w:val="none" w:sz="0" w:space="0" w:color="auto"/>
        <w:right w:val="none" w:sz="0" w:space="0" w:color="auto"/>
      </w:divBdr>
      <w:divsChild>
        <w:div w:id="11614553">
          <w:marLeft w:val="274"/>
          <w:marRight w:val="0"/>
          <w:marTop w:val="80"/>
          <w:marBottom w:val="0"/>
          <w:divBdr>
            <w:top w:val="none" w:sz="0" w:space="0" w:color="auto"/>
            <w:left w:val="none" w:sz="0" w:space="0" w:color="auto"/>
            <w:bottom w:val="none" w:sz="0" w:space="0" w:color="auto"/>
            <w:right w:val="none" w:sz="0" w:space="0" w:color="auto"/>
          </w:divBdr>
        </w:div>
        <w:div w:id="284316996">
          <w:marLeft w:val="274"/>
          <w:marRight w:val="0"/>
          <w:marTop w:val="80"/>
          <w:marBottom w:val="0"/>
          <w:divBdr>
            <w:top w:val="none" w:sz="0" w:space="0" w:color="auto"/>
            <w:left w:val="none" w:sz="0" w:space="0" w:color="auto"/>
            <w:bottom w:val="none" w:sz="0" w:space="0" w:color="auto"/>
            <w:right w:val="none" w:sz="0" w:space="0" w:color="auto"/>
          </w:divBdr>
        </w:div>
        <w:div w:id="974870230">
          <w:marLeft w:val="274"/>
          <w:marRight w:val="0"/>
          <w:marTop w:val="80"/>
          <w:marBottom w:val="0"/>
          <w:divBdr>
            <w:top w:val="none" w:sz="0" w:space="0" w:color="auto"/>
            <w:left w:val="none" w:sz="0" w:space="0" w:color="auto"/>
            <w:bottom w:val="none" w:sz="0" w:space="0" w:color="auto"/>
            <w:right w:val="none" w:sz="0" w:space="0" w:color="auto"/>
          </w:divBdr>
        </w:div>
        <w:div w:id="1008212115">
          <w:marLeft w:val="274"/>
          <w:marRight w:val="0"/>
          <w:marTop w:val="80"/>
          <w:marBottom w:val="0"/>
          <w:divBdr>
            <w:top w:val="none" w:sz="0" w:space="0" w:color="auto"/>
            <w:left w:val="none" w:sz="0" w:space="0" w:color="auto"/>
            <w:bottom w:val="none" w:sz="0" w:space="0" w:color="auto"/>
            <w:right w:val="none" w:sz="0" w:space="0" w:color="auto"/>
          </w:divBdr>
        </w:div>
      </w:divsChild>
    </w:div>
    <w:div w:id="894001284">
      <w:bodyDiv w:val="1"/>
      <w:marLeft w:val="0"/>
      <w:marRight w:val="0"/>
      <w:marTop w:val="0"/>
      <w:marBottom w:val="0"/>
      <w:divBdr>
        <w:top w:val="none" w:sz="0" w:space="0" w:color="auto"/>
        <w:left w:val="none" w:sz="0" w:space="0" w:color="auto"/>
        <w:bottom w:val="none" w:sz="0" w:space="0" w:color="auto"/>
        <w:right w:val="none" w:sz="0" w:space="0" w:color="auto"/>
      </w:divBdr>
    </w:div>
    <w:div w:id="904729348">
      <w:bodyDiv w:val="1"/>
      <w:marLeft w:val="0"/>
      <w:marRight w:val="0"/>
      <w:marTop w:val="0"/>
      <w:marBottom w:val="0"/>
      <w:divBdr>
        <w:top w:val="none" w:sz="0" w:space="0" w:color="auto"/>
        <w:left w:val="none" w:sz="0" w:space="0" w:color="auto"/>
        <w:bottom w:val="none" w:sz="0" w:space="0" w:color="auto"/>
        <w:right w:val="none" w:sz="0" w:space="0" w:color="auto"/>
      </w:divBdr>
    </w:div>
    <w:div w:id="913970446">
      <w:bodyDiv w:val="1"/>
      <w:marLeft w:val="0"/>
      <w:marRight w:val="0"/>
      <w:marTop w:val="0"/>
      <w:marBottom w:val="0"/>
      <w:divBdr>
        <w:top w:val="none" w:sz="0" w:space="0" w:color="auto"/>
        <w:left w:val="none" w:sz="0" w:space="0" w:color="auto"/>
        <w:bottom w:val="none" w:sz="0" w:space="0" w:color="auto"/>
        <w:right w:val="none" w:sz="0" w:space="0" w:color="auto"/>
      </w:divBdr>
    </w:div>
    <w:div w:id="929778811">
      <w:bodyDiv w:val="1"/>
      <w:marLeft w:val="0"/>
      <w:marRight w:val="0"/>
      <w:marTop w:val="0"/>
      <w:marBottom w:val="0"/>
      <w:divBdr>
        <w:top w:val="none" w:sz="0" w:space="0" w:color="auto"/>
        <w:left w:val="none" w:sz="0" w:space="0" w:color="auto"/>
        <w:bottom w:val="none" w:sz="0" w:space="0" w:color="auto"/>
        <w:right w:val="none" w:sz="0" w:space="0" w:color="auto"/>
      </w:divBdr>
      <w:divsChild>
        <w:div w:id="115146952">
          <w:marLeft w:val="1166"/>
          <w:marRight w:val="0"/>
          <w:marTop w:val="120"/>
          <w:marBottom w:val="120"/>
          <w:divBdr>
            <w:top w:val="none" w:sz="0" w:space="0" w:color="auto"/>
            <w:left w:val="none" w:sz="0" w:space="0" w:color="auto"/>
            <w:bottom w:val="none" w:sz="0" w:space="0" w:color="auto"/>
            <w:right w:val="none" w:sz="0" w:space="0" w:color="auto"/>
          </w:divBdr>
        </w:div>
        <w:div w:id="138110827">
          <w:marLeft w:val="547"/>
          <w:marRight w:val="0"/>
          <w:marTop w:val="120"/>
          <w:marBottom w:val="120"/>
          <w:divBdr>
            <w:top w:val="none" w:sz="0" w:space="0" w:color="auto"/>
            <w:left w:val="none" w:sz="0" w:space="0" w:color="auto"/>
            <w:bottom w:val="none" w:sz="0" w:space="0" w:color="auto"/>
            <w:right w:val="none" w:sz="0" w:space="0" w:color="auto"/>
          </w:divBdr>
        </w:div>
        <w:div w:id="1520192527">
          <w:marLeft w:val="547"/>
          <w:marRight w:val="0"/>
          <w:marTop w:val="120"/>
          <w:marBottom w:val="120"/>
          <w:divBdr>
            <w:top w:val="none" w:sz="0" w:space="0" w:color="auto"/>
            <w:left w:val="none" w:sz="0" w:space="0" w:color="auto"/>
            <w:bottom w:val="none" w:sz="0" w:space="0" w:color="auto"/>
            <w:right w:val="none" w:sz="0" w:space="0" w:color="auto"/>
          </w:divBdr>
        </w:div>
        <w:div w:id="1606383838">
          <w:marLeft w:val="1166"/>
          <w:marRight w:val="0"/>
          <w:marTop w:val="120"/>
          <w:marBottom w:val="120"/>
          <w:divBdr>
            <w:top w:val="none" w:sz="0" w:space="0" w:color="auto"/>
            <w:left w:val="none" w:sz="0" w:space="0" w:color="auto"/>
            <w:bottom w:val="none" w:sz="0" w:space="0" w:color="auto"/>
            <w:right w:val="none" w:sz="0" w:space="0" w:color="auto"/>
          </w:divBdr>
        </w:div>
        <w:div w:id="1707676005">
          <w:marLeft w:val="547"/>
          <w:marRight w:val="0"/>
          <w:marTop w:val="120"/>
          <w:marBottom w:val="120"/>
          <w:divBdr>
            <w:top w:val="none" w:sz="0" w:space="0" w:color="auto"/>
            <w:left w:val="none" w:sz="0" w:space="0" w:color="auto"/>
            <w:bottom w:val="none" w:sz="0" w:space="0" w:color="auto"/>
            <w:right w:val="none" w:sz="0" w:space="0" w:color="auto"/>
          </w:divBdr>
        </w:div>
      </w:divsChild>
    </w:div>
    <w:div w:id="941181020">
      <w:bodyDiv w:val="1"/>
      <w:marLeft w:val="0"/>
      <w:marRight w:val="0"/>
      <w:marTop w:val="0"/>
      <w:marBottom w:val="0"/>
      <w:divBdr>
        <w:top w:val="none" w:sz="0" w:space="0" w:color="auto"/>
        <w:left w:val="none" w:sz="0" w:space="0" w:color="auto"/>
        <w:bottom w:val="none" w:sz="0" w:space="0" w:color="auto"/>
        <w:right w:val="none" w:sz="0" w:space="0" w:color="auto"/>
      </w:divBdr>
    </w:div>
    <w:div w:id="946738603">
      <w:bodyDiv w:val="1"/>
      <w:marLeft w:val="0"/>
      <w:marRight w:val="0"/>
      <w:marTop w:val="0"/>
      <w:marBottom w:val="0"/>
      <w:divBdr>
        <w:top w:val="none" w:sz="0" w:space="0" w:color="auto"/>
        <w:left w:val="none" w:sz="0" w:space="0" w:color="auto"/>
        <w:bottom w:val="none" w:sz="0" w:space="0" w:color="auto"/>
        <w:right w:val="none" w:sz="0" w:space="0" w:color="auto"/>
      </w:divBdr>
      <w:divsChild>
        <w:div w:id="2093962140">
          <w:marLeft w:val="274"/>
          <w:marRight w:val="0"/>
          <w:marTop w:val="0"/>
          <w:marBottom w:val="200"/>
          <w:divBdr>
            <w:top w:val="none" w:sz="0" w:space="0" w:color="auto"/>
            <w:left w:val="none" w:sz="0" w:space="0" w:color="auto"/>
            <w:bottom w:val="none" w:sz="0" w:space="0" w:color="auto"/>
            <w:right w:val="none" w:sz="0" w:space="0" w:color="auto"/>
          </w:divBdr>
        </w:div>
      </w:divsChild>
    </w:div>
    <w:div w:id="950474681">
      <w:bodyDiv w:val="1"/>
      <w:marLeft w:val="0"/>
      <w:marRight w:val="0"/>
      <w:marTop w:val="0"/>
      <w:marBottom w:val="0"/>
      <w:divBdr>
        <w:top w:val="none" w:sz="0" w:space="0" w:color="auto"/>
        <w:left w:val="none" w:sz="0" w:space="0" w:color="auto"/>
        <w:bottom w:val="none" w:sz="0" w:space="0" w:color="auto"/>
        <w:right w:val="none" w:sz="0" w:space="0" w:color="auto"/>
      </w:divBdr>
    </w:div>
    <w:div w:id="955915906">
      <w:bodyDiv w:val="1"/>
      <w:marLeft w:val="0"/>
      <w:marRight w:val="0"/>
      <w:marTop w:val="0"/>
      <w:marBottom w:val="0"/>
      <w:divBdr>
        <w:top w:val="none" w:sz="0" w:space="0" w:color="auto"/>
        <w:left w:val="none" w:sz="0" w:space="0" w:color="auto"/>
        <w:bottom w:val="none" w:sz="0" w:space="0" w:color="auto"/>
        <w:right w:val="none" w:sz="0" w:space="0" w:color="auto"/>
      </w:divBdr>
    </w:div>
    <w:div w:id="993990106">
      <w:bodyDiv w:val="1"/>
      <w:marLeft w:val="0"/>
      <w:marRight w:val="0"/>
      <w:marTop w:val="0"/>
      <w:marBottom w:val="0"/>
      <w:divBdr>
        <w:top w:val="none" w:sz="0" w:space="0" w:color="auto"/>
        <w:left w:val="none" w:sz="0" w:space="0" w:color="auto"/>
        <w:bottom w:val="none" w:sz="0" w:space="0" w:color="auto"/>
        <w:right w:val="none" w:sz="0" w:space="0" w:color="auto"/>
      </w:divBdr>
    </w:div>
    <w:div w:id="1003778120">
      <w:bodyDiv w:val="1"/>
      <w:marLeft w:val="0"/>
      <w:marRight w:val="0"/>
      <w:marTop w:val="0"/>
      <w:marBottom w:val="0"/>
      <w:divBdr>
        <w:top w:val="none" w:sz="0" w:space="0" w:color="auto"/>
        <w:left w:val="none" w:sz="0" w:space="0" w:color="auto"/>
        <w:bottom w:val="none" w:sz="0" w:space="0" w:color="auto"/>
        <w:right w:val="none" w:sz="0" w:space="0" w:color="auto"/>
      </w:divBdr>
    </w:div>
    <w:div w:id="1025516581">
      <w:bodyDiv w:val="1"/>
      <w:marLeft w:val="0"/>
      <w:marRight w:val="0"/>
      <w:marTop w:val="0"/>
      <w:marBottom w:val="0"/>
      <w:divBdr>
        <w:top w:val="none" w:sz="0" w:space="0" w:color="auto"/>
        <w:left w:val="none" w:sz="0" w:space="0" w:color="auto"/>
        <w:bottom w:val="none" w:sz="0" w:space="0" w:color="auto"/>
        <w:right w:val="none" w:sz="0" w:space="0" w:color="auto"/>
      </w:divBdr>
    </w:div>
    <w:div w:id="1027296499">
      <w:bodyDiv w:val="1"/>
      <w:marLeft w:val="0"/>
      <w:marRight w:val="0"/>
      <w:marTop w:val="0"/>
      <w:marBottom w:val="0"/>
      <w:divBdr>
        <w:top w:val="none" w:sz="0" w:space="0" w:color="auto"/>
        <w:left w:val="none" w:sz="0" w:space="0" w:color="auto"/>
        <w:bottom w:val="none" w:sz="0" w:space="0" w:color="auto"/>
        <w:right w:val="none" w:sz="0" w:space="0" w:color="auto"/>
      </w:divBdr>
      <w:divsChild>
        <w:div w:id="682896325">
          <w:marLeft w:val="0"/>
          <w:marRight w:val="0"/>
          <w:marTop w:val="0"/>
          <w:marBottom w:val="0"/>
          <w:divBdr>
            <w:top w:val="none" w:sz="0" w:space="0" w:color="auto"/>
            <w:left w:val="none" w:sz="0" w:space="0" w:color="auto"/>
            <w:bottom w:val="none" w:sz="0" w:space="0" w:color="auto"/>
            <w:right w:val="none" w:sz="0" w:space="0" w:color="auto"/>
          </w:divBdr>
          <w:divsChild>
            <w:div w:id="862986133">
              <w:marLeft w:val="0"/>
              <w:marRight w:val="0"/>
              <w:marTop w:val="0"/>
              <w:marBottom w:val="0"/>
              <w:divBdr>
                <w:top w:val="none" w:sz="0" w:space="0" w:color="auto"/>
                <w:left w:val="none" w:sz="0" w:space="0" w:color="auto"/>
                <w:bottom w:val="none" w:sz="0" w:space="0" w:color="auto"/>
                <w:right w:val="none" w:sz="0" w:space="0" w:color="auto"/>
              </w:divBdr>
              <w:divsChild>
                <w:div w:id="2138060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73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11254">
      <w:bodyDiv w:val="1"/>
      <w:marLeft w:val="0"/>
      <w:marRight w:val="0"/>
      <w:marTop w:val="0"/>
      <w:marBottom w:val="0"/>
      <w:divBdr>
        <w:top w:val="none" w:sz="0" w:space="0" w:color="auto"/>
        <w:left w:val="none" w:sz="0" w:space="0" w:color="auto"/>
        <w:bottom w:val="none" w:sz="0" w:space="0" w:color="auto"/>
        <w:right w:val="none" w:sz="0" w:space="0" w:color="auto"/>
      </w:divBdr>
    </w:div>
    <w:div w:id="1052580469">
      <w:bodyDiv w:val="1"/>
      <w:marLeft w:val="0"/>
      <w:marRight w:val="0"/>
      <w:marTop w:val="0"/>
      <w:marBottom w:val="0"/>
      <w:divBdr>
        <w:top w:val="none" w:sz="0" w:space="0" w:color="auto"/>
        <w:left w:val="none" w:sz="0" w:space="0" w:color="auto"/>
        <w:bottom w:val="none" w:sz="0" w:space="0" w:color="auto"/>
        <w:right w:val="none" w:sz="0" w:space="0" w:color="auto"/>
      </w:divBdr>
    </w:div>
    <w:div w:id="1052730119">
      <w:bodyDiv w:val="1"/>
      <w:marLeft w:val="0"/>
      <w:marRight w:val="0"/>
      <w:marTop w:val="0"/>
      <w:marBottom w:val="0"/>
      <w:divBdr>
        <w:top w:val="none" w:sz="0" w:space="0" w:color="auto"/>
        <w:left w:val="none" w:sz="0" w:space="0" w:color="auto"/>
        <w:bottom w:val="none" w:sz="0" w:space="0" w:color="auto"/>
        <w:right w:val="none" w:sz="0" w:space="0" w:color="auto"/>
      </w:divBdr>
    </w:div>
    <w:div w:id="1060708756">
      <w:bodyDiv w:val="1"/>
      <w:marLeft w:val="0"/>
      <w:marRight w:val="0"/>
      <w:marTop w:val="0"/>
      <w:marBottom w:val="0"/>
      <w:divBdr>
        <w:top w:val="none" w:sz="0" w:space="0" w:color="auto"/>
        <w:left w:val="none" w:sz="0" w:space="0" w:color="auto"/>
        <w:bottom w:val="none" w:sz="0" w:space="0" w:color="auto"/>
        <w:right w:val="none" w:sz="0" w:space="0" w:color="auto"/>
      </w:divBdr>
    </w:div>
    <w:div w:id="1073889546">
      <w:bodyDiv w:val="1"/>
      <w:marLeft w:val="0"/>
      <w:marRight w:val="0"/>
      <w:marTop w:val="0"/>
      <w:marBottom w:val="0"/>
      <w:divBdr>
        <w:top w:val="none" w:sz="0" w:space="0" w:color="auto"/>
        <w:left w:val="none" w:sz="0" w:space="0" w:color="auto"/>
        <w:bottom w:val="none" w:sz="0" w:space="0" w:color="auto"/>
        <w:right w:val="none" w:sz="0" w:space="0" w:color="auto"/>
      </w:divBdr>
    </w:div>
    <w:div w:id="1088381215">
      <w:bodyDiv w:val="1"/>
      <w:marLeft w:val="0"/>
      <w:marRight w:val="0"/>
      <w:marTop w:val="0"/>
      <w:marBottom w:val="0"/>
      <w:divBdr>
        <w:top w:val="none" w:sz="0" w:space="0" w:color="auto"/>
        <w:left w:val="none" w:sz="0" w:space="0" w:color="auto"/>
        <w:bottom w:val="none" w:sz="0" w:space="0" w:color="auto"/>
        <w:right w:val="none" w:sz="0" w:space="0" w:color="auto"/>
      </w:divBdr>
    </w:div>
    <w:div w:id="1106772637">
      <w:bodyDiv w:val="1"/>
      <w:marLeft w:val="0"/>
      <w:marRight w:val="0"/>
      <w:marTop w:val="0"/>
      <w:marBottom w:val="0"/>
      <w:divBdr>
        <w:top w:val="none" w:sz="0" w:space="0" w:color="auto"/>
        <w:left w:val="none" w:sz="0" w:space="0" w:color="auto"/>
        <w:bottom w:val="none" w:sz="0" w:space="0" w:color="auto"/>
        <w:right w:val="none" w:sz="0" w:space="0" w:color="auto"/>
      </w:divBdr>
    </w:div>
    <w:div w:id="1117530915">
      <w:bodyDiv w:val="1"/>
      <w:marLeft w:val="0"/>
      <w:marRight w:val="0"/>
      <w:marTop w:val="0"/>
      <w:marBottom w:val="0"/>
      <w:divBdr>
        <w:top w:val="none" w:sz="0" w:space="0" w:color="auto"/>
        <w:left w:val="none" w:sz="0" w:space="0" w:color="auto"/>
        <w:bottom w:val="none" w:sz="0" w:space="0" w:color="auto"/>
        <w:right w:val="none" w:sz="0" w:space="0" w:color="auto"/>
      </w:divBdr>
    </w:div>
    <w:div w:id="1126122776">
      <w:bodyDiv w:val="1"/>
      <w:marLeft w:val="0"/>
      <w:marRight w:val="0"/>
      <w:marTop w:val="0"/>
      <w:marBottom w:val="0"/>
      <w:divBdr>
        <w:top w:val="none" w:sz="0" w:space="0" w:color="auto"/>
        <w:left w:val="none" w:sz="0" w:space="0" w:color="auto"/>
        <w:bottom w:val="none" w:sz="0" w:space="0" w:color="auto"/>
        <w:right w:val="none" w:sz="0" w:space="0" w:color="auto"/>
      </w:divBdr>
    </w:div>
    <w:div w:id="1132752555">
      <w:bodyDiv w:val="1"/>
      <w:marLeft w:val="0"/>
      <w:marRight w:val="0"/>
      <w:marTop w:val="0"/>
      <w:marBottom w:val="0"/>
      <w:divBdr>
        <w:top w:val="none" w:sz="0" w:space="0" w:color="auto"/>
        <w:left w:val="none" w:sz="0" w:space="0" w:color="auto"/>
        <w:bottom w:val="none" w:sz="0" w:space="0" w:color="auto"/>
        <w:right w:val="none" w:sz="0" w:space="0" w:color="auto"/>
      </w:divBdr>
    </w:div>
    <w:div w:id="1141725300">
      <w:bodyDiv w:val="1"/>
      <w:marLeft w:val="0"/>
      <w:marRight w:val="0"/>
      <w:marTop w:val="0"/>
      <w:marBottom w:val="0"/>
      <w:divBdr>
        <w:top w:val="none" w:sz="0" w:space="0" w:color="auto"/>
        <w:left w:val="none" w:sz="0" w:space="0" w:color="auto"/>
        <w:bottom w:val="none" w:sz="0" w:space="0" w:color="auto"/>
        <w:right w:val="none" w:sz="0" w:space="0" w:color="auto"/>
      </w:divBdr>
      <w:divsChild>
        <w:div w:id="178276679">
          <w:marLeft w:val="274"/>
          <w:marRight w:val="0"/>
          <w:marTop w:val="80"/>
          <w:marBottom w:val="0"/>
          <w:divBdr>
            <w:top w:val="none" w:sz="0" w:space="0" w:color="auto"/>
            <w:left w:val="none" w:sz="0" w:space="0" w:color="auto"/>
            <w:bottom w:val="none" w:sz="0" w:space="0" w:color="auto"/>
            <w:right w:val="none" w:sz="0" w:space="0" w:color="auto"/>
          </w:divBdr>
        </w:div>
        <w:div w:id="1469712638">
          <w:marLeft w:val="274"/>
          <w:marRight w:val="0"/>
          <w:marTop w:val="80"/>
          <w:marBottom w:val="0"/>
          <w:divBdr>
            <w:top w:val="none" w:sz="0" w:space="0" w:color="auto"/>
            <w:left w:val="none" w:sz="0" w:space="0" w:color="auto"/>
            <w:bottom w:val="none" w:sz="0" w:space="0" w:color="auto"/>
            <w:right w:val="none" w:sz="0" w:space="0" w:color="auto"/>
          </w:divBdr>
        </w:div>
      </w:divsChild>
    </w:div>
    <w:div w:id="1145002936">
      <w:bodyDiv w:val="1"/>
      <w:marLeft w:val="0"/>
      <w:marRight w:val="0"/>
      <w:marTop w:val="0"/>
      <w:marBottom w:val="0"/>
      <w:divBdr>
        <w:top w:val="none" w:sz="0" w:space="0" w:color="auto"/>
        <w:left w:val="none" w:sz="0" w:space="0" w:color="auto"/>
        <w:bottom w:val="none" w:sz="0" w:space="0" w:color="auto"/>
        <w:right w:val="none" w:sz="0" w:space="0" w:color="auto"/>
      </w:divBdr>
    </w:div>
    <w:div w:id="1154107211">
      <w:bodyDiv w:val="1"/>
      <w:marLeft w:val="0"/>
      <w:marRight w:val="0"/>
      <w:marTop w:val="0"/>
      <w:marBottom w:val="0"/>
      <w:divBdr>
        <w:top w:val="none" w:sz="0" w:space="0" w:color="auto"/>
        <w:left w:val="none" w:sz="0" w:space="0" w:color="auto"/>
        <w:bottom w:val="none" w:sz="0" w:space="0" w:color="auto"/>
        <w:right w:val="none" w:sz="0" w:space="0" w:color="auto"/>
      </w:divBdr>
    </w:div>
    <w:div w:id="1157846687">
      <w:bodyDiv w:val="1"/>
      <w:marLeft w:val="0"/>
      <w:marRight w:val="0"/>
      <w:marTop w:val="0"/>
      <w:marBottom w:val="0"/>
      <w:divBdr>
        <w:top w:val="none" w:sz="0" w:space="0" w:color="auto"/>
        <w:left w:val="none" w:sz="0" w:space="0" w:color="auto"/>
        <w:bottom w:val="none" w:sz="0" w:space="0" w:color="auto"/>
        <w:right w:val="none" w:sz="0" w:space="0" w:color="auto"/>
      </w:divBdr>
    </w:div>
    <w:div w:id="1161775614">
      <w:bodyDiv w:val="1"/>
      <w:marLeft w:val="0"/>
      <w:marRight w:val="0"/>
      <w:marTop w:val="0"/>
      <w:marBottom w:val="0"/>
      <w:divBdr>
        <w:top w:val="none" w:sz="0" w:space="0" w:color="auto"/>
        <w:left w:val="none" w:sz="0" w:space="0" w:color="auto"/>
        <w:bottom w:val="none" w:sz="0" w:space="0" w:color="auto"/>
        <w:right w:val="none" w:sz="0" w:space="0" w:color="auto"/>
      </w:divBdr>
    </w:div>
    <w:div w:id="1177034809">
      <w:bodyDiv w:val="1"/>
      <w:marLeft w:val="0"/>
      <w:marRight w:val="0"/>
      <w:marTop w:val="0"/>
      <w:marBottom w:val="0"/>
      <w:divBdr>
        <w:top w:val="none" w:sz="0" w:space="0" w:color="auto"/>
        <w:left w:val="none" w:sz="0" w:space="0" w:color="auto"/>
        <w:bottom w:val="none" w:sz="0" w:space="0" w:color="auto"/>
        <w:right w:val="none" w:sz="0" w:space="0" w:color="auto"/>
      </w:divBdr>
    </w:div>
    <w:div w:id="1184442417">
      <w:bodyDiv w:val="1"/>
      <w:marLeft w:val="0"/>
      <w:marRight w:val="0"/>
      <w:marTop w:val="0"/>
      <w:marBottom w:val="0"/>
      <w:divBdr>
        <w:top w:val="none" w:sz="0" w:space="0" w:color="auto"/>
        <w:left w:val="none" w:sz="0" w:space="0" w:color="auto"/>
        <w:bottom w:val="none" w:sz="0" w:space="0" w:color="auto"/>
        <w:right w:val="none" w:sz="0" w:space="0" w:color="auto"/>
      </w:divBdr>
    </w:div>
    <w:div w:id="1188257094">
      <w:bodyDiv w:val="1"/>
      <w:marLeft w:val="0"/>
      <w:marRight w:val="0"/>
      <w:marTop w:val="0"/>
      <w:marBottom w:val="0"/>
      <w:divBdr>
        <w:top w:val="none" w:sz="0" w:space="0" w:color="auto"/>
        <w:left w:val="none" w:sz="0" w:space="0" w:color="auto"/>
        <w:bottom w:val="none" w:sz="0" w:space="0" w:color="auto"/>
        <w:right w:val="none" w:sz="0" w:space="0" w:color="auto"/>
      </w:divBdr>
    </w:div>
    <w:div w:id="1196966376">
      <w:bodyDiv w:val="1"/>
      <w:marLeft w:val="0"/>
      <w:marRight w:val="0"/>
      <w:marTop w:val="0"/>
      <w:marBottom w:val="0"/>
      <w:divBdr>
        <w:top w:val="none" w:sz="0" w:space="0" w:color="auto"/>
        <w:left w:val="none" w:sz="0" w:space="0" w:color="auto"/>
        <w:bottom w:val="none" w:sz="0" w:space="0" w:color="auto"/>
        <w:right w:val="none" w:sz="0" w:space="0" w:color="auto"/>
      </w:divBdr>
    </w:div>
    <w:div w:id="1234194180">
      <w:bodyDiv w:val="1"/>
      <w:marLeft w:val="0"/>
      <w:marRight w:val="0"/>
      <w:marTop w:val="0"/>
      <w:marBottom w:val="0"/>
      <w:divBdr>
        <w:top w:val="none" w:sz="0" w:space="0" w:color="auto"/>
        <w:left w:val="none" w:sz="0" w:space="0" w:color="auto"/>
        <w:bottom w:val="none" w:sz="0" w:space="0" w:color="auto"/>
        <w:right w:val="none" w:sz="0" w:space="0" w:color="auto"/>
      </w:divBdr>
    </w:div>
    <w:div w:id="1238174791">
      <w:bodyDiv w:val="1"/>
      <w:marLeft w:val="0"/>
      <w:marRight w:val="0"/>
      <w:marTop w:val="0"/>
      <w:marBottom w:val="0"/>
      <w:divBdr>
        <w:top w:val="none" w:sz="0" w:space="0" w:color="auto"/>
        <w:left w:val="none" w:sz="0" w:space="0" w:color="auto"/>
        <w:bottom w:val="none" w:sz="0" w:space="0" w:color="auto"/>
        <w:right w:val="none" w:sz="0" w:space="0" w:color="auto"/>
      </w:divBdr>
    </w:div>
    <w:div w:id="1238708813">
      <w:bodyDiv w:val="1"/>
      <w:marLeft w:val="0"/>
      <w:marRight w:val="0"/>
      <w:marTop w:val="0"/>
      <w:marBottom w:val="0"/>
      <w:divBdr>
        <w:top w:val="none" w:sz="0" w:space="0" w:color="auto"/>
        <w:left w:val="none" w:sz="0" w:space="0" w:color="auto"/>
        <w:bottom w:val="none" w:sz="0" w:space="0" w:color="auto"/>
        <w:right w:val="none" w:sz="0" w:space="0" w:color="auto"/>
      </w:divBdr>
    </w:div>
    <w:div w:id="1244141181">
      <w:bodyDiv w:val="1"/>
      <w:marLeft w:val="0"/>
      <w:marRight w:val="0"/>
      <w:marTop w:val="0"/>
      <w:marBottom w:val="0"/>
      <w:divBdr>
        <w:top w:val="none" w:sz="0" w:space="0" w:color="auto"/>
        <w:left w:val="none" w:sz="0" w:space="0" w:color="auto"/>
        <w:bottom w:val="none" w:sz="0" w:space="0" w:color="auto"/>
        <w:right w:val="none" w:sz="0" w:space="0" w:color="auto"/>
      </w:divBdr>
    </w:div>
    <w:div w:id="1262950585">
      <w:bodyDiv w:val="1"/>
      <w:marLeft w:val="0"/>
      <w:marRight w:val="0"/>
      <w:marTop w:val="0"/>
      <w:marBottom w:val="0"/>
      <w:divBdr>
        <w:top w:val="none" w:sz="0" w:space="0" w:color="auto"/>
        <w:left w:val="none" w:sz="0" w:space="0" w:color="auto"/>
        <w:bottom w:val="none" w:sz="0" w:space="0" w:color="auto"/>
        <w:right w:val="none" w:sz="0" w:space="0" w:color="auto"/>
      </w:divBdr>
    </w:div>
    <w:div w:id="1270746206">
      <w:bodyDiv w:val="1"/>
      <w:marLeft w:val="0"/>
      <w:marRight w:val="0"/>
      <w:marTop w:val="0"/>
      <w:marBottom w:val="0"/>
      <w:divBdr>
        <w:top w:val="none" w:sz="0" w:space="0" w:color="auto"/>
        <w:left w:val="none" w:sz="0" w:space="0" w:color="auto"/>
        <w:bottom w:val="none" w:sz="0" w:space="0" w:color="auto"/>
        <w:right w:val="none" w:sz="0" w:space="0" w:color="auto"/>
      </w:divBdr>
    </w:div>
    <w:div w:id="1300497633">
      <w:bodyDiv w:val="1"/>
      <w:marLeft w:val="0"/>
      <w:marRight w:val="0"/>
      <w:marTop w:val="0"/>
      <w:marBottom w:val="0"/>
      <w:divBdr>
        <w:top w:val="none" w:sz="0" w:space="0" w:color="auto"/>
        <w:left w:val="none" w:sz="0" w:space="0" w:color="auto"/>
        <w:bottom w:val="none" w:sz="0" w:space="0" w:color="auto"/>
        <w:right w:val="none" w:sz="0" w:space="0" w:color="auto"/>
      </w:divBdr>
    </w:div>
    <w:div w:id="1304429655">
      <w:bodyDiv w:val="1"/>
      <w:marLeft w:val="0"/>
      <w:marRight w:val="0"/>
      <w:marTop w:val="0"/>
      <w:marBottom w:val="0"/>
      <w:divBdr>
        <w:top w:val="none" w:sz="0" w:space="0" w:color="auto"/>
        <w:left w:val="none" w:sz="0" w:space="0" w:color="auto"/>
        <w:bottom w:val="none" w:sz="0" w:space="0" w:color="auto"/>
        <w:right w:val="none" w:sz="0" w:space="0" w:color="auto"/>
      </w:divBdr>
    </w:div>
    <w:div w:id="1369178626">
      <w:bodyDiv w:val="1"/>
      <w:marLeft w:val="0"/>
      <w:marRight w:val="0"/>
      <w:marTop w:val="0"/>
      <w:marBottom w:val="0"/>
      <w:divBdr>
        <w:top w:val="none" w:sz="0" w:space="0" w:color="auto"/>
        <w:left w:val="none" w:sz="0" w:space="0" w:color="auto"/>
        <w:bottom w:val="none" w:sz="0" w:space="0" w:color="auto"/>
        <w:right w:val="none" w:sz="0" w:space="0" w:color="auto"/>
      </w:divBdr>
      <w:divsChild>
        <w:div w:id="347562186">
          <w:marLeft w:val="274"/>
          <w:marRight w:val="0"/>
          <w:marTop w:val="80"/>
          <w:marBottom w:val="0"/>
          <w:divBdr>
            <w:top w:val="none" w:sz="0" w:space="0" w:color="auto"/>
            <w:left w:val="none" w:sz="0" w:space="0" w:color="auto"/>
            <w:bottom w:val="none" w:sz="0" w:space="0" w:color="auto"/>
            <w:right w:val="none" w:sz="0" w:space="0" w:color="auto"/>
          </w:divBdr>
        </w:div>
        <w:div w:id="588387446">
          <w:marLeft w:val="274"/>
          <w:marRight w:val="0"/>
          <w:marTop w:val="80"/>
          <w:marBottom w:val="0"/>
          <w:divBdr>
            <w:top w:val="none" w:sz="0" w:space="0" w:color="auto"/>
            <w:left w:val="none" w:sz="0" w:space="0" w:color="auto"/>
            <w:bottom w:val="none" w:sz="0" w:space="0" w:color="auto"/>
            <w:right w:val="none" w:sz="0" w:space="0" w:color="auto"/>
          </w:divBdr>
        </w:div>
        <w:div w:id="658463219">
          <w:marLeft w:val="274"/>
          <w:marRight w:val="0"/>
          <w:marTop w:val="80"/>
          <w:marBottom w:val="0"/>
          <w:divBdr>
            <w:top w:val="none" w:sz="0" w:space="0" w:color="auto"/>
            <w:left w:val="none" w:sz="0" w:space="0" w:color="auto"/>
            <w:bottom w:val="none" w:sz="0" w:space="0" w:color="auto"/>
            <w:right w:val="none" w:sz="0" w:space="0" w:color="auto"/>
          </w:divBdr>
        </w:div>
        <w:div w:id="1591156355">
          <w:marLeft w:val="274"/>
          <w:marRight w:val="0"/>
          <w:marTop w:val="80"/>
          <w:marBottom w:val="0"/>
          <w:divBdr>
            <w:top w:val="none" w:sz="0" w:space="0" w:color="auto"/>
            <w:left w:val="none" w:sz="0" w:space="0" w:color="auto"/>
            <w:bottom w:val="none" w:sz="0" w:space="0" w:color="auto"/>
            <w:right w:val="none" w:sz="0" w:space="0" w:color="auto"/>
          </w:divBdr>
        </w:div>
        <w:div w:id="1974628300">
          <w:marLeft w:val="274"/>
          <w:marRight w:val="0"/>
          <w:marTop w:val="80"/>
          <w:marBottom w:val="0"/>
          <w:divBdr>
            <w:top w:val="none" w:sz="0" w:space="0" w:color="auto"/>
            <w:left w:val="none" w:sz="0" w:space="0" w:color="auto"/>
            <w:bottom w:val="none" w:sz="0" w:space="0" w:color="auto"/>
            <w:right w:val="none" w:sz="0" w:space="0" w:color="auto"/>
          </w:divBdr>
        </w:div>
      </w:divsChild>
    </w:div>
    <w:div w:id="1370913818">
      <w:bodyDiv w:val="1"/>
      <w:marLeft w:val="0"/>
      <w:marRight w:val="0"/>
      <w:marTop w:val="0"/>
      <w:marBottom w:val="0"/>
      <w:divBdr>
        <w:top w:val="none" w:sz="0" w:space="0" w:color="auto"/>
        <w:left w:val="none" w:sz="0" w:space="0" w:color="auto"/>
        <w:bottom w:val="none" w:sz="0" w:space="0" w:color="auto"/>
        <w:right w:val="none" w:sz="0" w:space="0" w:color="auto"/>
      </w:divBdr>
    </w:div>
    <w:div w:id="1373841317">
      <w:bodyDiv w:val="1"/>
      <w:marLeft w:val="0"/>
      <w:marRight w:val="0"/>
      <w:marTop w:val="0"/>
      <w:marBottom w:val="0"/>
      <w:divBdr>
        <w:top w:val="none" w:sz="0" w:space="0" w:color="auto"/>
        <w:left w:val="none" w:sz="0" w:space="0" w:color="auto"/>
        <w:bottom w:val="none" w:sz="0" w:space="0" w:color="auto"/>
        <w:right w:val="none" w:sz="0" w:space="0" w:color="auto"/>
      </w:divBdr>
    </w:div>
    <w:div w:id="1396052057">
      <w:bodyDiv w:val="1"/>
      <w:marLeft w:val="0"/>
      <w:marRight w:val="0"/>
      <w:marTop w:val="0"/>
      <w:marBottom w:val="0"/>
      <w:divBdr>
        <w:top w:val="none" w:sz="0" w:space="0" w:color="auto"/>
        <w:left w:val="none" w:sz="0" w:space="0" w:color="auto"/>
        <w:bottom w:val="none" w:sz="0" w:space="0" w:color="auto"/>
        <w:right w:val="none" w:sz="0" w:space="0" w:color="auto"/>
      </w:divBdr>
    </w:div>
    <w:div w:id="1446778234">
      <w:bodyDiv w:val="1"/>
      <w:marLeft w:val="0"/>
      <w:marRight w:val="0"/>
      <w:marTop w:val="0"/>
      <w:marBottom w:val="0"/>
      <w:divBdr>
        <w:top w:val="none" w:sz="0" w:space="0" w:color="auto"/>
        <w:left w:val="none" w:sz="0" w:space="0" w:color="auto"/>
        <w:bottom w:val="none" w:sz="0" w:space="0" w:color="auto"/>
        <w:right w:val="none" w:sz="0" w:space="0" w:color="auto"/>
      </w:divBdr>
    </w:div>
    <w:div w:id="1465539170">
      <w:bodyDiv w:val="1"/>
      <w:marLeft w:val="0"/>
      <w:marRight w:val="0"/>
      <w:marTop w:val="0"/>
      <w:marBottom w:val="0"/>
      <w:divBdr>
        <w:top w:val="none" w:sz="0" w:space="0" w:color="auto"/>
        <w:left w:val="none" w:sz="0" w:space="0" w:color="auto"/>
        <w:bottom w:val="none" w:sz="0" w:space="0" w:color="auto"/>
        <w:right w:val="none" w:sz="0" w:space="0" w:color="auto"/>
      </w:divBdr>
    </w:div>
    <w:div w:id="1495341133">
      <w:bodyDiv w:val="1"/>
      <w:marLeft w:val="0"/>
      <w:marRight w:val="0"/>
      <w:marTop w:val="0"/>
      <w:marBottom w:val="0"/>
      <w:divBdr>
        <w:top w:val="none" w:sz="0" w:space="0" w:color="auto"/>
        <w:left w:val="none" w:sz="0" w:space="0" w:color="auto"/>
        <w:bottom w:val="none" w:sz="0" w:space="0" w:color="auto"/>
        <w:right w:val="none" w:sz="0" w:space="0" w:color="auto"/>
      </w:divBdr>
    </w:div>
    <w:div w:id="1567494322">
      <w:bodyDiv w:val="1"/>
      <w:marLeft w:val="0"/>
      <w:marRight w:val="0"/>
      <w:marTop w:val="0"/>
      <w:marBottom w:val="0"/>
      <w:divBdr>
        <w:top w:val="none" w:sz="0" w:space="0" w:color="auto"/>
        <w:left w:val="none" w:sz="0" w:space="0" w:color="auto"/>
        <w:bottom w:val="none" w:sz="0" w:space="0" w:color="auto"/>
        <w:right w:val="none" w:sz="0" w:space="0" w:color="auto"/>
      </w:divBdr>
    </w:div>
    <w:div w:id="1583221249">
      <w:bodyDiv w:val="1"/>
      <w:marLeft w:val="0"/>
      <w:marRight w:val="0"/>
      <w:marTop w:val="0"/>
      <w:marBottom w:val="0"/>
      <w:divBdr>
        <w:top w:val="none" w:sz="0" w:space="0" w:color="auto"/>
        <w:left w:val="none" w:sz="0" w:space="0" w:color="auto"/>
        <w:bottom w:val="none" w:sz="0" w:space="0" w:color="auto"/>
        <w:right w:val="none" w:sz="0" w:space="0" w:color="auto"/>
      </w:divBdr>
      <w:divsChild>
        <w:div w:id="1823277992">
          <w:marLeft w:val="0"/>
          <w:marRight w:val="0"/>
          <w:marTop w:val="0"/>
          <w:marBottom w:val="0"/>
          <w:divBdr>
            <w:top w:val="none" w:sz="0" w:space="0" w:color="auto"/>
            <w:left w:val="none" w:sz="0" w:space="0" w:color="auto"/>
            <w:bottom w:val="none" w:sz="0" w:space="0" w:color="auto"/>
            <w:right w:val="none" w:sz="0" w:space="0" w:color="auto"/>
          </w:divBdr>
        </w:div>
      </w:divsChild>
    </w:div>
    <w:div w:id="1591893981">
      <w:bodyDiv w:val="1"/>
      <w:marLeft w:val="0"/>
      <w:marRight w:val="0"/>
      <w:marTop w:val="0"/>
      <w:marBottom w:val="0"/>
      <w:divBdr>
        <w:top w:val="none" w:sz="0" w:space="0" w:color="auto"/>
        <w:left w:val="none" w:sz="0" w:space="0" w:color="auto"/>
        <w:bottom w:val="none" w:sz="0" w:space="0" w:color="auto"/>
        <w:right w:val="none" w:sz="0" w:space="0" w:color="auto"/>
      </w:divBdr>
      <w:divsChild>
        <w:div w:id="1325859335">
          <w:marLeft w:val="0"/>
          <w:marRight w:val="0"/>
          <w:marTop w:val="0"/>
          <w:marBottom w:val="0"/>
          <w:divBdr>
            <w:top w:val="none" w:sz="0" w:space="0" w:color="auto"/>
            <w:left w:val="none" w:sz="0" w:space="0" w:color="auto"/>
            <w:bottom w:val="none" w:sz="0" w:space="0" w:color="auto"/>
            <w:right w:val="none" w:sz="0" w:space="0" w:color="auto"/>
          </w:divBdr>
          <w:divsChild>
            <w:div w:id="474376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4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46538">
          <w:marLeft w:val="0"/>
          <w:marRight w:val="0"/>
          <w:marTop w:val="0"/>
          <w:marBottom w:val="0"/>
          <w:divBdr>
            <w:top w:val="none" w:sz="0" w:space="0" w:color="auto"/>
            <w:left w:val="none" w:sz="0" w:space="0" w:color="auto"/>
            <w:bottom w:val="none" w:sz="0" w:space="0" w:color="auto"/>
            <w:right w:val="none" w:sz="0" w:space="0" w:color="auto"/>
          </w:divBdr>
        </w:div>
      </w:divsChild>
    </w:div>
    <w:div w:id="1613050040">
      <w:bodyDiv w:val="1"/>
      <w:marLeft w:val="0"/>
      <w:marRight w:val="0"/>
      <w:marTop w:val="0"/>
      <w:marBottom w:val="0"/>
      <w:divBdr>
        <w:top w:val="none" w:sz="0" w:space="0" w:color="auto"/>
        <w:left w:val="none" w:sz="0" w:space="0" w:color="auto"/>
        <w:bottom w:val="none" w:sz="0" w:space="0" w:color="auto"/>
        <w:right w:val="none" w:sz="0" w:space="0" w:color="auto"/>
      </w:divBdr>
      <w:divsChild>
        <w:div w:id="720179640">
          <w:marLeft w:val="0"/>
          <w:marRight w:val="0"/>
          <w:marTop w:val="0"/>
          <w:marBottom w:val="0"/>
          <w:divBdr>
            <w:top w:val="none" w:sz="0" w:space="0" w:color="auto"/>
            <w:left w:val="none" w:sz="0" w:space="0" w:color="auto"/>
            <w:bottom w:val="none" w:sz="0" w:space="0" w:color="auto"/>
            <w:right w:val="none" w:sz="0" w:space="0" w:color="auto"/>
          </w:divBdr>
        </w:div>
      </w:divsChild>
    </w:div>
    <w:div w:id="1613125968">
      <w:bodyDiv w:val="1"/>
      <w:marLeft w:val="0"/>
      <w:marRight w:val="0"/>
      <w:marTop w:val="0"/>
      <w:marBottom w:val="0"/>
      <w:divBdr>
        <w:top w:val="none" w:sz="0" w:space="0" w:color="auto"/>
        <w:left w:val="none" w:sz="0" w:space="0" w:color="auto"/>
        <w:bottom w:val="none" w:sz="0" w:space="0" w:color="auto"/>
        <w:right w:val="none" w:sz="0" w:space="0" w:color="auto"/>
      </w:divBdr>
    </w:div>
    <w:div w:id="1615287728">
      <w:bodyDiv w:val="1"/>
      <w:marLeft w:val="0"/>
      <w:marRight w:val="0"/>
      <w:marTop w:val="0"/>
      <w:marBottom w:val="0"/>
      <w:divBdr>
        <w:top w:val="none" w:sz="0" w:space="0" w:color="auto"/>
        <w:left w:val="none" w:sz="0" w:space="0" w:color="auto"/>
        <w:bottom w:val="none" w:sz="0" w:space="0" w:color="auto"/>
        <w:right w:val="none" w:sz="0" w:space="0" w:color="auto"/>
      </w:divBdr>
    </w:div>
    <w:div w:id="1618832865">
      <w:bodyDiv w:val="1"/>
      <w:marLeft w:val="0"/>
      <w:marRight w:val="0"/>
      <w:marTop w:val="0"/>
      <w:marBottom w:val="0"/>
      <w:divBdr>
        <w:top w:val="none" w:sz="0" w:space="0" w:color="auto"/>
        <w:left w:val="none" w:sz="0" w:space="0" w:color="auto"/>
        <w:bottom w:val="none" w:sz="0" w:space="0" w:color="auto"/>
        <w:right w:val="none" w:sz="0" w:space="0" w:color="auto"/>
      </w:divBdr>
    </w:div>
    <w:div w:id="1625190606">
      <w:bodyDiv w:val="1"/>
      <w:marLeft w:val="0"/>
      <w:marRight w:val="0"/>
      <w:marTop w:val="0"/>
      <w:marBottom w:val="0"/>
      <w:divBdr>
        <w:top w:val="none" w:sz="0" w:space="0" w:color="auto"/>
        <w:left w:val="none" w:sz="0" w:space="0" w:color="auto"/>
        <w:bottom w:val="none" w:sz="0" w:space="0" w:color="auto"/>
        <w:right w:val="none" w:sz="0" w:space="0" w:color="auto"/>
      </w:divBdr>
    </w:div>
    <w:div w:id="1625620592">
      <w:bodyDiv w:val="1"/>
      <w:marLeft w:val="0"/>
      <w:marRight w:val="0"/>
      <w:marTop w:val="0"/>
      <w:marBottom w:val="0"/>
      <w:divBdr>
        <w:top w:val="none" w:sz="0" w:space="0" w:color="auto"/>
        <w:left w:val="none" w:sz="0" w:space="0" w:color="auto"/>
        <w:bottom w:val="none" w:sz="0" w:space="0" w:color="auto"/>
        <w:right w:val="none" w:sz="0" w:space="0" w:color="auto"/>
      </w:divBdr>
    </w:div>
    <w:div w:id="1629969872">
      <w:bodyDiv w:val="1"/>
      <w:marLeft w:val="0"/>
      <w:marRight w:val="0"/>
      <w:marTop w:val="0"/>
      <w:marBottom w:val="0"/>
      <w:divBdr>
        <w:top w:val="none" w:sz="0" w:space="0" w:color="auto"/>
        <w:left w:val="none" w:sz="0" w:space="0" w:color="auto"/>
        <w:bottom w:val="none" w:sz="0" w:space="0" w:color="auto"/>
        <w:right w:val="none" w:sz="0" w:space="0" w:color="auto"/>
      </w:divBdr>
    </w:div>
    <w:div w:id="1648122556">
      <w:bodyDiv w:val="1"/>
      <w:marLeft w:val="0"/>
      <w:marRight w:val="0"/>
      <w:marTop w:val="0"/>
      <w:marBottom w:val="0"/>
      <w:divBdr>
        <w:top w:val="none" w:sz="0" w:space="0" w:color="auto"/>
        <w:left w:val="none" w:sz="0" w:space="0" w:color="auto"/>
        <w:bottom w:val="none" w:sz="0" w:space="0" w:color="auto"/>
        <w:right w:val="none" w:sz="0" w:space="0" w:color="auto"/>
      </w:divBdr>
      <w:divsChild>
        <w:div w:id="796026175">
          <w:marLeft w:val="360"/>
          <w:marRight w:val="0"/>
          <w:marTop w:val="120"/>
          <w:marBottom w:val="0"/>
          <w:divBdr>
            <w:top w:val="none" w:sz="0" w:space="0" w:color="auto"/>
            <w:left w:val="none" w:sz="0" w:space="0" w:color="auto"/>
            <w:bottom w:val="none" w:sz="0" w:space="0" w:color="auto"/>
            <w:right w:val="none" w:sz="0" w:space="0" w:color="auto"/>
          </w:divBdr>
        </w:div>
        <w:div w:id="1379551246">
          <w:marLeft w:val="360"/>
          <w:marRight w:val="0"/>
          <w:marTop w:val="120"/>
          <w:marBottom w:val="0"/>
          <w:divBdr>
            <w:top w:val="none" w:sz="0" w:space="0" w:color="auto"/>
            <w:left w:val="none" w:sz="0" w:space="0" w:color="auto"/>
            <w:bottom w:val="none" w:sz="0" w:space="0" w:color="auto"/>
            <w:right w:val="none" w:sz="0" w:space="0" w:color="auto"/>
          </w:divBdr>
        </w:div>
        <w:div w:id="1516338187">
          <w:marLeft w:val="360"/>
          <w:marRight w:val="0"/>
          <w:marTop w:val="120"/>
          <w:marBottom w:val="0"/>
          <w:divBdr>
            <w:top w:val="none" w:sz="0" w:space="0" w:color="auto"/>
            <w:left w:val="none" w:sz="0" w:space="0" w:color="auto"/>
            <w:bottom w:val="none" w:sz="0" w:space="0" w:color="auto"/>
            <w:right w:val="none" w:sz="0" w:space="0" w:color="auto"/>
          </w:divBdr>
        </w:div>
      </w:divsChild>
    </w:div>
    <w:div w:id="1718705186">
      <w:bodyDiv w:val="1"/>
      <w:marLeft w:val="0"/>
      <w:marRight w:val="0"/>
      <w:marTop w:val="0"/>
      <w:marBottom w:val="0"/>
      <w:divBdr>
        <w:top w:val="none" w:sz="0" w:space="0" w:color="auto"/>
        <w:left w:val="none" w:sz="0" w:space="0" w:color="auto"/>
        <w:bottom w:val="none" w:sz="0" w:space="0" w:color="auto"/>
        <w:right w:val="none" w:sz="0" w:space="0" w:color="auto"/>
      </w:divBdr>
    </w:div>
    <w:div w:id="1785618244">
      <w:bodyDiv w:val="1"/>
      <w:marLeft w:val="0"/>
      <w:marRight w:val="0"/>
      <w:marTop w:val="0"/>
      <w:marBottom w:val="0"/>
      <w:divBdr>
        <w:top w:val="none" w:sz="0" w:space="0" w:color="auto"/>
        <w:left w:val="none" w:sz="0" w:space="0" w:color="auto"/>
        <w:bottom w:val="none" w:sz="0" w:space="0" w:color="auto"/>
        <w:right w:val="none" w:sz="0" w:space="0" w:color="auto"/>
      </w:divBdr>
      <w:divsChild>
        <w:div w:id="1976989293">
          <w:marLeft w:val="0"/>
          <w:marRight w:val="0"/>
          <w:marTop w:val="0"/>
          <w:marBottom w:val="0"/>
          <w:divBdr>
            <w:top w:val="none" w:sz="0" w:space="0" w:color="auto"/>
            <w:left w:val="none" w:sz="0" w:space="0" w:color="auto"/>
            <w:bottom w:val="none" w:sz="0" w:space="0" w:color="auto"/>
            <w:right w:val="none" w:sz="0" w:space="0" w:color="auto"/>
          </w:divBdr>
        </w:div>
      </w:divsChild>
    </w:div>
    <w:div w:id="1791313566">
      <w:bodyDiv w:val="1"/>
      <w:marLeft w:val="0"/>
      <w:marRight w:val="0"/>
      <w:marTop w:val="0"/>
      <w:marBottom w:val="0"/>
      <w:divBdr>
        <w:top w:val="none" w:sz="0" w:space="0" w:color="auto"/>
        <w:left w:val="none" w:sz="0" w:space="0" w:color="auto"/>
        <w:bottom w:val="none" w:sz="0" w:space="0" w:color="auto"/>
        <w:right w:val="none" w:sz="0" w:space="0" w:color="auto"/>
      </w:divBdr>
      <w:divsChild>
        <w:div w:id="236401213">
          <w:marLeft w:val="0"/>
          <w:marRight w:val="0"/>
          <w:marTop w:val="0"/>
          <w:marBottom w:val="0"/>
          <w:divBdr>
            <w:top w:val="none" w:sz="0" w:space="0" w:color="auto"/>
            <w:left w:val="none" w:sz="0" w:space="0" w:color="auto"/>
            <w:bottom w:val="none" w:sz="0" w:space="0" w:color="auto"/>
            <w:right w:val="none" w:sz="0" w:space="0" w:color="auto"/>
          </w:divBdr>
          <w:divsChild>
            <w:div w:id="1388529806">
              <w:marLeft w:val="0"/>
              <w:marRight w:val="0"/>
              <w:marTop w:val="0"/>
              <w:marBottom w:val="0"/>
              <w:divBdr>
                <w:top w:val="none" w:sz="0" w:space="0" w:color="auto"/>
                <w:left w:val="none" w:sz="0" w:space="0" w:color="auto"/>
                <w:bottom w:val="none" w:sz="0" w:space="0" w:color="auto"/>
                <w:right w:val="none" w:sz="0" w:space="0" w:color="auto"/>
              </w:divBdr>
              <w:divsChild>
                <w:div w:id="1155954211">
                  <w:marLeft w:val="0"/>
                  <w:marRight w:val="0"/>
                  <w:marTop w:val="0"/>
                  <w:marBottom w:val="0"/>
                  <w:divBdr>
                    <w:top w:val="none" w:sz="0" w:space="0" w:color="auto"/>
                    <w:left w:val="none" w:sz="0" w:space="0" w:color="auto"/>
                    <w:bottom w:val="none" w:sz="0" w:space="0" w:color="auto"/>
                    <w:right w:val="none" w:sz="0" w:space="0" w:color="auto"/>
                  </w:divBdr>
                  <w:divsChild>
                    <w:div w:id="915747715">
                      <w:marLeft w:val="0"/>
                      <w:marRight w:val="0"/>
                      <w:marTop w:val="0"/>
                      <w:marBottom w:val="0"/>
                      <w:divBdr>
                        <w:top w:val="none" w:sz="0" w:space="0" w:color="auto"/>
                        <w:left w:val="none" w:sz="0" w:space="0" w:color="auto"/>
                        <w:bottom w:val="none" w:sz="0" w:space="0" w:color="auto"/>
                        <w:right w:val="none" w:sz="0" w:space="0" w:color="auto"/>
                      </w:divBdr>
                      <w:divsChild>
                        <w:div w:id="7346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866757">
      <w:bodyDiv w:val="1"/>
      <w:marLeft w:val="0"/>
      <w:marRight w:val="0"/>
      <w:marTop w:val="0"/>
      <w:marBottom w:val="0"/>
      <w:divBdr>
        <w:top w:val="none" w:sz="0" w:space="0" w:color="auto"/>
        <w:left w:val="none" w:sz="0" w:space="0" w:color="auto"/>
        <w:bottom w:val="none" w:sz="0" w:space="0" w:color="auto"/>
        <w:right w:val="none" w:sz="0" w:space="0" w:color="auto"/>
      </w:divBdr>
    </w:div>
    <w:div w:id="1804695194">
      <w:bodyDiv w:val="1"/>
      <w:marLeft w:val="0"/>
      <w:marRight w:val="0"/>
      <w:marTop w:val="0"/>
      <w:marBottom w:val="0"/>
      <w:divBdr>
        <w:top w:val="none" w:sz="0" w:space="0" w:color="auto"/>
        <w:left w:val="none" w:sz="0" w:space="0" w:color="auto"/>
        <w:bottom w:val="none" w:sz="0" w:space="0" w:color="auto"/>
        <w:right w:val="none" w:sz="0" w:space="0" w:color="auto"/>
      </w:divBdr>
    </w:div>
    <w:div w:id="1804811832">
      <w:bodyDiv w:val="1"/>
      <w:marLeft w:val="0"/>
      <w:marRight w:val="0"/>
      <w:marTop w:val="0"/>
      <w:marBottom w:val="0"/>
      <w:divBdr>
        <w:top w:val="none" w:sz="0" w:space="0" w:color="auto"/>
        <w:left w:val="none" w:sz="0" w:space="0" w:color="auto"/>
        <w:bottom w:val="none" w:sz="0" w:space="0" w:color="auto"/>
        <w:right w:val="none" w:sz="0" w:space="0" w:color="auto"/>
      </w:divBdr>
    </w:div>
    <w:div w:id="1818691897">
      <w:bodyDiv w:val="1"/>
      <w:marLeft w:val="0"/>
      <w:marRight w:val="0"/>
      <w:marTop w:val="0"/>
      <w:marBottom w:val="0"/>
      <w:divBdr>
        <w:top w:val="none" w:sz="0" w:space="0" w:color="auto"/>
        <w:left w:val="none" w:sz="0" w:space="0" w:color="auto"/>
        <w:bottom w:val="none" w:sz="0" w:space="0" w:color="auto"/>
        <w:right w:val="none" w:sz="0" w:space="0" w:color="auto"/>
      </w:divBdr>
    </w:div>
    <w:div w:id="1822036409">
      <w:bodyDiv w:val="1"/>
      <w:marLeft w:val="0"/>
      <w:marRight w:val="0"/>
      <w:marTop w:val="0"/>
      <w:marBottom w:val="0"/>
      <w:divBdr>
        <w:top w:val="none" w:sz="0" w:space="0" w:color="auto"/>
        <w:left w:val="none" w:sz="0" w:space="0" w:color="auto"/>
        <w:bottom w:val="none" w:sz="0" w:space="0" w:color="auto"/>
        <w:right w:val="none" w:sz="0" w:space="0" w:color="auto"/>
      </w:divBdr>
    </w:div>
    <w:div w:id="1858735343">
      <w:bodyDiv w:val="1"/>
      <w:marLeft w:val="0"/>
      <w:marRight w:val="0"/>
      <w:marTop w:val="0"/>
      <w:marBottom w:val="0"/>
      <w:divBdr>
        <w:top w:val="none" w:sz="0" w:space="0" w:color="auto"/>
        <w:left w:val="none" w:sz="0" w:space="0" w:color="auto"/>
        <w:bottom w:val="none" w:sz="0" w:space="0" w:color="auto"/>
        <w:right w:val="none" w:sz="0" w:space="0" w:color="auto"/>
      </w:divBdr>
    </w:div>
    <w:div w:id="1867450701">
      <w:bodyDiv w:val="1"/>
      <w:marLeft w:val="0"/>
      <w:marRight w:val="0"/>
      <w:marTop w:val="0"/>
      <w:marBottom w:val="0"/>
      <w:divBdr>
        <w:top w:val="none" w:sz="0" w:space="0" w:color="auto"/>
        <w:left w:val="none" w:sz="0" w:space="0" w:color="auto"/>
        <w:bottom w:val="none" w:sz="0" w:space="0" w:color="auto"/>
        <w:right w:val="none" w:sz="0" w:space="0" w:color="auto"/>
      </w:divBdr>
    </w:div>
    <w:div w:id="1903252436">
      <w:bodyDiv w:val="1"/>
      <w:marLeft w:val="0"/>
      <w:marRight w:val="0"/>
      <w:marTop w:val="0"/>
      <w:marBottom w:val="0"/>
      <w:divBdr>
        <w:top w:val="none" w:sz="0" w:space="0" w:color="auto"/>
        <w:left w:val="none" w:sz="0" w:space="0" w:color="auto"/>
        <w:bottom w:val="none" w:sz="0" w:space="0" w:color="auto"/>
        <w:right w:val="none" w:sz="0" w:space="0" w:color="auto"/>
      </w:divBdr>
    </w:div>
    <w:div w:id="1905530994">
      <w:bodyDiv w:val="1"/>
      <w:marLeft w:val="0"/>
      <w:marRight w:val="0"/>
      <w:marTop w:val="0"/>
      <w:marBottom w:val="0"/>
      <w:divBdr>
        <w:top w:val="none" w:sz="0" w:space="0" w:color="auto"/>
        <w:left w:val="none" w:sz="0" w:space="0" w:color="auto"/>
        <w:bottom w:val="none" w:sz="0" w:space="0" w:color="auto"/>
        <w:right w:val="none" w:sz="0" w:space="0" w:color="auto"/>
      </w:divBdr>
      <w:divsChild>
        <w:div w:id="693389337">
          <w:marLeft w:val="274"/>
          <w:marRight w:val="0"/>
          <w:marTop w:val="0"/>
          <w:marBottom w:val="240"/>
          <w:divBdr>
            <w:top w:val="none" w:sz="0" w:space="0" w:color="auto"/>
            <w:left w:val="none" w:sz="0" w:space="0" w:color="auto"/>
            <w:bottom w:val="none" w:sz="0" w:space="0" w:color="auto"/>
            <w:right w:val="none" w:sz="0" w:space="0" w:color="auto"/>
          </w:divBdr>
        </w:div>
      </w:divsChild>
    </w:div>
    <w:div w:id="1916275863">
      <w:bodyDiv w:val="1"/>
      <w:marLeft w:val="0"/>
      <w:marRight w:val="0"/>
      <w:marTop w:val="0"/>
      <w:marBottom w:val="0"/>
      <w:divBdr>
        <w:top w:val="none" w:sz="0" w:space="0" w:color="auto"/>
        <w:left w:val="none" w:sz="0" w:space="0" w:color="auto"/>
        <w:bottom w:val="none" w:sz="0" w:space="0" w:color="auto"/>
        <w:right w:val="none" w:sz="0" w:space="0" w:color="auto"/>
      </w:divBdr>
    </w:div>
    <w:div w:id="1917281038">
      <w:bodyDiv w:val="1"/>
      <w:marLeft w:val="0"/>
      <w:marRight w:val="0"/>
      <w:marTop w:val="0"/>
      <w:marBottom w:val="0"/>
      <w:divBdr>
        <w:top w:val="none" w:sz="0" w:space="0" w:color="auto"/>
        <w:left w:val="none" w:sz="0" w:space="0" w:color="auto"/>
        <w:bottom w:val="none" w:sz="0" w:space="0" w:color="auto"/>
        <w:right w:val="none" w:sz="0" w:space="0" w:color="auto"/>
      </w:divBdr>
    </w:div>
    <w:div w:id="1940288035">
      <w:bodyDiv w:val="1"/>
      <w:marLeft w:val="0"/>
      <w:marRight w:val="0"/>
      <w:marTop w:val="0"/>
      <w:marBottom w:val="0"/>
      <w:divBdr>
        <w:top w:val="none" w:sz="0" w:space="0" w:color="auto"/>
        <w:left w:val="none" w:sz="0" w:space="0" w:color="auto"/>
        <w:bottom w:val="none" w:sz="0" w:space="0" w:color="auto"/>
        <w:right w:val="none" w:sz="0" w:space="0" w:color="auto"/>
      </w:divBdr>
    </w:div>
    <w:div w:id="1945072252">
      <w:bodyDiv w:val="1"/>
      <w:marLeft w:val="0"/>
      <w:marRight w:val="0"/>
      <w:marTop w:val="0"/>
      <w:marBottom w:val="0"/>
      <w:divBdr>
        <w:top w:val="none" w:sz="0" w:space="0" w:color="auto"/>
        <w:left w:val="none" w:sz="0" w:space="0" w:color="auto"/>
        <w:bottom w:val="none" w:sz="0" w:space="0" w:color="auto"/>
        <w:right w:val="none" w:sz="0" w:space="0" w:color="auto"/>
      </w:divBdr>
    </w:div>
    <w:div w:id="1968313387">
      <w:bodyDiv w:val="1"/>
      <w:marLeft w:val="0"/>
      <w:marRight w:val="0"/>
      <w:marTop w:val="0"/>
      <w:marBottom w:val="0"/>
      <w:divBdr>
        <w:top w:val="none" w:sz="0" w:space="0" w:color="auto"/>
        <w:left w:val="none" w:sz="0" w:space="0" w:color="auto"/>
        <w:bottom w:val="none" w:sz="0" w:space="0" w:color="auto"/>
        <w:right w:val="none" w:sz="0" w:space="0" w:color="auto"/>
      </w:divBdr>
    </w:div>
    <w:div w:id="2022395153">
      <w:bodyDiv w:val="1"/>
      <w:marLeft w:val="0"/>
      <w:marRight w:val="0"/>
      <w:marTop w:val="0"/>
      <w:marBottom w:val="0"/>
      <w:divBdr>
        <w:top w:val="none" w:sz="0" w:space="0" w:color="auto"/>
        <w:left w:val="none" w:sz="0" w:space="0" w:color="auto"/>
        <w:bottom w:val="none" w:sz="0" w:space="0" w:color="auto"/>
        <w:right w:val="none" w:sz="0" w:space="0" w:color="auto"/>
      </w:divBdr>
    </w:div>
    <w:div w:id="2034500053">
      <w:bodyDiv w:val="1"/>
      <w:marLeft w:val="0"/>
      <w:marRight w:val="0"/>
      <w:marTop w:val="0"/>
      <w:marBottom w:val="0"/>
      <w:divBdr>
        <w:top w:val="none" w:sz="0" w:space="0" w:color="auto"/>
        <w:left w:val="none" w:sz="0" w:space="0" w:color="auto"/>
        <w:bottom w:val="none" w:sz="0" w:space="0" w:color="auto"/>
        <w:right w:val="none" w:sz="0" w:space="0" w:color="auto"/>
      </w:divBdr>
    </w:div>
    <w:div w:id="2054234106">
      <w:bodyDiv w:val="1"/>
      <w:marLeft w:val="0"/>
      <w:marRight w:val="0"/>
      <w:marTop w:val="0"/>
      <w:marBottom w:val="0"/>
      <w:divBdr>
        <w:top w:val="none" w:sz="0" w:space="0" w:color="auto"/>
        <w:left w:val="none" w:sz="0" w:space="0" w:color="auto"/>
        <w:bottom w:val="none" w:sz="0" w:space="0" w:color="auto"/>
        <w:right w:val="none" w:sz="0" w:space="0" w:color="auto"/>
      </w:divBdr>
    </w:div>
    <w:div w:id="2074959809">
      <w:bodyDiv w:val="1"/>
      <w:marLeft w:val="0"/>
      <w:marRight w:val="0"/>
      <w:marTop w:val="0"/>
      <w:marBottom w:val="0"/>
      <w:divBdr>
        <w:top w:val="none" w:sz="0" w:space="0" w:color="auto"/>
        <w:left w:val="none" w:sz="0" w:space="0" w:color="auto"/>
        <w:bottom w:val="none" w:sz="0" w:space="0" w:color="auto"/>
        <w:right w:val="none" w:sz="0" w:space="0" w:color="auto"/>
      </w:divBdr>
    </w:div>
    <w:div w:id="2080009390">
      <w:bodyDiv w:val="1"/>
      <w:marLeft w:val="0"/>
      <w:marRight w:val="0"/>
      <w:marTop w:val="0"/>
      <w:marBottom w:val="0"/>
      <w:divBdr>
        <w:top w:val="none" w:sz="0" w:space="0" w:color="auto"/>
        <w:left w:val="none" w:sz="0" w:space="0" w:color="auto"/>
        <w:bottom w:val="none" w:sz="0" w:space="0" w:color="auto"/>
        <w:right w:val="none" w:sz="0" w:space="0" w:color="auto"/>
      </w:divBdr>
    </w:div>
    <w:div w:id="214172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png"/><Relationship Id="rId55" Type="http://schemas.openxmlformats.org/officeDocument/2006/relationships/image" Target="media/image40.emf"/><Relationship Id="rId63" Type="http://schemas.openxmlformats.org/officeDocument/2006/relationships/image" Target="media/image48.png"/><Relationship Id="rId68" Type="http://schemas.openxmlformats.org/officeDocument/2006/relationships/footer" Target="footer3.xml"/><Relationship Id="rId7" Type="http://schemas.openxmlformats.org/officeDocument/2006/relationships/styles" Target="style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media/image51.emf"/><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61" Type="http://schemas.openxmlformats.org/officeDocument/2006/relationships/image" Target="media/image46.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png"/><Relationship Id="rId60" Type="http://schemas.openxmlformats.org/officeDocument/2006/relationships/image" Target="media/image45.emf"/><Relationship Id="rId65" Type="http://schemas.openxmlformats.org/officeDocument/2006/relationships/image" Target="media/image50.emf"/><Relationship Id="rId73"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www.gphn.org.au/wp-content/uploads/2019/02/GPHN-Needs-Assessment-Report-July-2019-June-2022.pdf" TargetMode="External"/><Relationship Id="rId13" Type="http://schemas.openxmlformats.org/officeDocument/2006/relationships/hyperlink" Target="https://www.who.int/news/item/05-10-2020-covid-19-disrupting-mental-health-services-in-most-countries-who-survey" TargetMode="External"/><Relationship Id="rId18" Type="http://schemas.openxmlformats.org/officeDocument/2006/relationships/hyperlink" Target="https://www.abs.gov.au/statistics/people/population/national-state-and-territory-population/latest-release" TargetMode="External"/><Relationship Id="rId3" Type="http://schemas.openxmlformats.org/officeDocument/2006/relationships/hyperlink" Target="https://www.theage.com.au/national/victoria/psychologists-stretched-to-limit-as-virus-drives-spike-in-referrals-20201028-p569ck.html" TargetMode="External"/><Relationship Id="rId21" Type="http://schemas.openxmlformats.org/officeDocument/2006/relationships/hyperlink" Target="https://meteor.aihw.gov.au/content/index.phtml/itemId/695858" TargetMode="External"/><Relationship Id="rId7" Type="http://schemas.openxmlformats.org/officeDocument/2006/relationships/hyperlink" Target="https://westvicphn.com.au/wp-content/uploads/2020/03/WVPHN-Needs-Assessment-2019.pdf" TargetMode="External"/><Relationship Id="rId12" Type="http://schemas.openxmlformats.org/officeDocument/2006/relationships/hyperlink" Target="https://meteor.aihw.gov.au/content/index.phtml/itemId/695858" TargetMode="External"/><Relationship Id="rId17" Type="http://schemas.openxmlformats.org/officeDocument/2006/relationships/hyperlink" Target="https://docs.pmhc-mds.com/projects/data-specification-headtohelp/en/v3/data-specification/data-model-and-specifications.html" TargetMode="External"/><Relationship Id="rId2" Type="http://schemas.openxmlformats.org/officeDocument/2006/relationships/hyperlink" Target="https://www.theguardian.com/australia-news/2021/mar/02/victoria-mental-health-royal-commission-finds-system-in-crisis-mode" TargetMode="External"/><Relationship Id="rId16" Type="http://schemas.openxmlformats.org/officeDocument/2006/relationships/hyperlink" Target="https://docs.pmhc-mds.com/projects/data-specification-headtohelp/en/v3/data-specification/data-model-and-specifications.html" TargetMode="External"/><Relationship Id="rId20" Type="http://schemas.openxmlformats.org/officeDocument/2006/relationships/hyperlink" Target="https://www.theage.com.au/national/victoria/psychologists-stretched-to-limit-as-virus-drives-spike-in-referrals-20201028-p569ck.html" TargetMode="External"/><Relationship Id="rId1" Type="http://schemas.openxmlformats.org/officeDocument/2006/relationships/hyperlink" Target="http://rcvmhs.archive.royalcommission.vic.gov.au/Anonymous_461.pdf" TargetMode="External"/><Relationship Id="rId6" Type="http://schemas.openxmlformats.org/officeDocument/2006/relationships/hyperlink" Target="https://www.who.int/teams/mental-health-and-substance-use/gender-and-women-s-mental-health" TargetMode="External"/><Relationship Id="rId11" Type="http://schemas.openxmlformats.org/officeDocument/2006/relationships/hyperlink" Target="https://www.abs.gov.au/ausstats/abs@.nsf/Lookup/by%20Subject/2071.0~2016~Main%20Features~Cultural%20Diversity%20Article~60" TargetMode="External"/><Relationship Id="rId5" Type="http://schemas.openxmlformats.org/officeDocument/2006/relationships/hyperlink" Target="https://www.premier.vic.gov.au/giving-victorians-mental-health-support-close-home" TargetMode="External"/><Relationship Id="rId15" Type="http://schemas.openxmlformats.org/officeDocument/2006/relationships/hyperlink" Target="https://docs.pmhc-mds.com/projects/data-specification/headtohelp/en/v3/introduction.html" TargetMode="External"/><Relationship Id="rId23" Type="http://schemas.openxmlformats.org/officeDocument/2006/relationships/hyperlink" Target="https://meteor.aihw.gov.au/content/index.phtml/itemId/695858" TargetMode="External"/><Relationship Id="rId10" Type="http://schemas.openxmlformats.org/officeDocument/2006/relationships/hyperlink" Target="https://www.aihw.gov.au/reports/australias-health/indigenous-health-and-wellbeing" TargetMode="External"/><Relationship Id="rId19" Type="http://schemas.openxmlformats.org/officeDocument/2006/relationships/hyperlink" Target="https://www.forbes.com/sites/oliverwyman/2020/11/11/how-covid-19-may-permanently-shrink-the-business-travel-market/" TargetMode="External"/><Relationship Id="rId4" Type="http://schemas.openxmlformats.org/officeDocument/2006/relationships/hyperlink" Target="http://rcvmhs.archive.royalcommission.vic.gov.au/Mental_Health_Victoria_and_Victorian_Healthcare_Association.pdf" TargetMode="External"/><Relationship Id="rId9" Type="http://schemas.openxmlformats.org/officeDocument/2006/relationships/hyperlink" Target="https://www.abs.gov.au/ausstats/abs@.nsf/Lookup/by%20Subject/2071.0~2016~Main%20Features~Aboriginal%20and%20Torres%20Strait%20Islander%20Population%20-%20Victoria~10002" TargetMode="External"/><Relationship Id="rId14" Type="http://schemas.openxmlformats.org/officeDocument/2006/relationships/hyperlink" Target="https://www.mja.com.au/journal/2021/214/10/symptoms-depression-and-anxiety-during-covid-19-pandemic-implications-mental" TargetMode="External"/><Relationship Id="rId22" Type="http://schemas.openxmlformats.org/officeDocument/2006/relationships/hyperlink" Target="https://pmhc-mds.com/doc/pmhc-scoring-k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ige.enright\AppData\Roaming\Microsoft\Templates\2%20Report\Report%20template%20-%20Portrait.dotm" TargetMode="External"/></Relationships>
</file>

<file path=word/documenttasks/documenttasks1.xml><?xml version="1.0" encoding="utf-8"?>
<t:Tasks xmlns:t="http://schemas.microsoft.com/office/tasks/2019/documenttasks" xmlns:oel="http://schemas.microsoft.com/office/2019/extlst">
  <t:Task id="{14F8D885-8A4F-43CB-92C5-A1365632A02D}">
    <t:Anchor>
      <t:Comment id="633812374"/>
    </t:Anchor>
    <t:History>
      <t:Event id="{CDF7D62F-6D36-4133-AFA5-D3191946C922}" time="2022-02-28T11:18:56.362Z">
        <t:Attribution userId="S::tim.marney@nousgroup.com.au::7da00cee-a719-4047-95e9-80ca2d4dbc29" userProvider="AD" userName="Tim Marney"/>
        <t:Anchor>
          <t:Comment id="1077418036"/>
        </t:Anchor>
        <t:Create/>
      </t:Event>
      <t:Event id="{134613B3-385C-41C4-9784-97A5317B010C}" time="2022-02-28T11:18:56.362Z">
        <t:Attribution userId="S::tim.marney@nousgroup.com.au::7da00cee-a719-4047-95e9-80ca2d4dbc29" userProvider="AD" userName="Tim Marney"/>
        <t:Anchor>
          <t:Comment id="1077418036"/>
        </t:Anchor>
        <t:Assign userId="S::Laura.Porter@nousgroup.com.au::736e3d00-0f3a-45d5-bd04-c3e24dbea9d1" userProvider="AD" userName="Laura Porter"/>
      </t:Event>
      <t:Event id="{8000B6E8-EC4F-41DE-9DB2-8B6D216963BB}" time="2022-02-28T11:18:56.362Z">
        <t:Attribution userId="S::tim.marney@nousgroup.com.au::7da00cee-a719-4047-95e9-80ca2d4dbc29" userProvider="AD" userName="Tim Marney"/>
        <t:Anchor>
          <t:Comment id="1077418036"/>
        </t:Anchor>
        <t:SetTitle title="@Laura Porter agreed"/>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6D0033B6494FC39CD2237172DFB835"/>
        <w:category>
          <w:name w:val="General"/>
          <w:gallery w:val="placeholder"/>
        </w:category>
        <w:types>
          <w:type w:val="bbPlcHdr"/>
        </w:types>
        <w:behaviors>
          <w:behavior w:val="content"/>
        </w:behaviors>
        <w:guid w:val="{0E41DF82-B261-4C0F-8478-618EFDE9E881}"/>
      </w:docPartPr>
      <w:docPartBody>
        <w:p w:rsidR="008C2721" w:rsidRDefault="008C272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hnschrift SemiLigh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Bahnschrift SemiBold SemiConden">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721"/>
    <w:rsid w:val="00002584"/>
    <w:rsid w:val="00051413"/>
    <w:rsid w:val="00064162"/>
    <w:rsid w:val="00077066"/>
    <w:rsid w:val="000964CC"/>
    <w:rsid w:val="000E7E76"/>
    <w:rsid w:val="0011236F"/>
    <w:rsid w:val="00116747"/>
    <w:rsid w:val="00145C6B"/>
    <w:rsid w:val="00170D2F"/>
    <w:rsid w:val="001B3D68"/>
    <w:rsid w:val="00204924"/>
    <w:rsid w:val="00257B91"/>
    <w:rsid w:val="00283508"/>
    <w:rsid w:val="00312F01"/>
    <w:rsid w:val="00325629"/>
    <w:rsid w:val="00327EC6"/>
    <w:rsid w:val="00370C65"/>
    <w:rsid w:val="00430700"/>
    <w:rsid w:val="00432242"/>
    <w:rsid w:val="004979C6"/>
    <w:rsid w:val="004C16E0"/>
    <w:rsid w:val="004D1C21"/>
    <w:rsid w:val="00513BC5"/>
    <w:rsid w:val="0053112E"/>
    <w:rsid w:val="00567E41"/>
    <w:rsid w:val="005962D7"/>
    <w:rsid w:val="005A0E7E"/>
    <w:rsid w:val="005E258B"/>
    <w:rsid w:val="005E5F5E"/>
    <w:rsid w:val="00607468"/>
    <w:rsid w:val="00617A07"/>
    <w:rsid w:val="00654F93"/>
    <w:rsid w:val="006A559D"/>
    <w:rsid w:val="006B33A8"/>
    <w:rsid w:val="006E2DEC"/>
    <w:rsid w:val="00704C55"/>
    <w:rsid w:val="007126BB"/>
    <w:rsid w:val="00745A7C"/>
    <w:rsid w:val="007B03F7"/>
    <w:rsid w:val="00813882"/>
    <w:rsid w:val="00813990"/>
    <w:rsid w:val="00830204"/>
    <w:rsid w:val="00885EBD"/>
    <w:rsid w:val="008C2721"/>
    <w:rsid w:val="0091216F"/>
    <w:rsid w:val="00935857"/>
    <w:rsid w:val="0097276D"/>
    <w:rsid w:val="00983641"/>
    <w:rsid w:val="009A4639"/>
    <w:rsid w:val="009C38D3"/>
    <w:rsid w:val="009D371C"/>
    <w:rsid w:val="009F2032"/>
    <w:rsid w:val="00A177E1"/>
    <w:rsid w:val="00A44BC9"/>
    <w:rsid w:val="00AA0D0E"/>
    <w:rsid w:val="00AB456D"/>
    <w:rsid w:val="00AE2C94"/>
    <w:rsid w:val="00B02298"/>
    <w:rsid w:val="00B44414"/>
    <w:rsid w:val="00B502D6"/>
    <w:rsid w:val="00BA75EC"/>
    <w:rsid w:val="00BD7B04"/>
    <w:rsid w:val="00BE4F2C"/>
    <w:rsid w:val="00BF72E2"/>
    <w:rsid w:val="00BF7EB2"/>
    <w:rsid w:val="00C92F30"/>
    <w:rsid w:val="00CB1824"/>
    <w:rsid w:val="00D1155E"/>
    <w:rsid w:val="00D27DEA"/>
    <w:rsid w:val="00D41A48"/>
    <w:rsid w:val="00D65FA5"/>
    <w:rsid w:val="00DC5802"/>
    <w:rsid w:val="00E0061F"/>
    <w:rsid w:val="00E12C45"/>
    <w:rsid w:val="00E703C4"/>
    <w:rsid w:val="00E74A7A"/>
    <w:rsid w:val="00ED2439"/>
    <w:rsid w:val="00EE320E"/>
    <w:rsid w:val="00F125CE"/>
    <w:rsid w:val="00F3336B"/>
    <w:rsid w:val="00F75EBB"/>
    <w:rsid w:val="00F81DBF"/>
    <w:rsid w:val="00FA755C"/>
    <w:rsid w:val="00FE59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2022-04-01T00:00:00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b:Source>
    <b:Tag>McG07</b:Tag>
    <b:SourceType>Report</b:SourceType>
    <b:Guid>{C4DFF919-D1EB-4486-A53F-B81BEB818A12}</b:Guid>
    <b:Title>headspace: Australia's National Youth Mental Health Foundation - where young minds come first</b:Title>
    <b:Year>2007</b:Year>
    <b:Publisher>Medical Journal of Australia</b:Publisher>
    <b:Author>
      <b:Author>
        <b:NameList>
          <b:Person>
            <b:Last>McGorry</b:Last>
            <b:First>Patrick</b:First>
            <b:Middle>D</b:Middle>
          </b:Person>
          <b:Person>
            <b:Last>Tanti</b:Last>
            <b:First>Chris</b:First>
          </b:Person>
          <b:Person>
            <b:Last>Hickie</b:Last>
            <b:First>Ian B</b:First>
          </b:Person>
          <b:Person>
            <b:Last>Stokes</b:Last>
            <b:First>Ryan</b:First>
          </b:Person>
          <b:Person>
            <b:Last>Carnell</b:Last>
            <b:First>Kate</b:First>
          </b:Person>
          <b:Person>
            <b:Last>Littlefield</b:Last>
            <b:First>Lyndel K</b:First>
          </b:Person>
          <b:Person>
            <b:Last>Moran</b:Last>
            <b:First>John</b:First>
          </b:Person>
        </b:NameList>
      </b:Author>
    </b:Author>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49306CF8DD5F8B448D08B3BE929EE697" ma:contentTypeVersion="13" ma:contentTypeDescription="Create a new document." ma:contentTypeScope="" ma:versionID="f0fd6718d966d6005f5e4de4ff690ba7">
  <xsd:schema xmlns:xsd="http://www.w3.org/2001/XMLSchema" xmlns:xs="http://www.w3.org/2001/XMLSchema" xmlns:p="http://schemas.microsoft.com/office/2006/metadata/properties" xmlns:ns2="ea69b1fa-f56c-4c30-9ad5-7ec1a01e4d67" xmlns:ns3="d7651ce1-f8a5-400d-95f4-b94bebb965d0" targetNamespace="http://schemas.microsoft.com/office/2006/metadata/properties" ma:root="true" ma:fieldsID="ae89264ac0bbebb9ab4c7060f899931a" ns2:_="" ns3:_="">
    <xsd:import namespace="ea69b1fa-f56c-4c30-9ad5-7ec1a01e4d67"/>
    <xsd:import namespace="d7651ce1-f8a5-400d-95f4-b94bebb965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69b1fa-f56c-4c30-9ad5-7ec1a01e4d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7651ce1-f8a5-400d-95f4-b94bebb965d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eb1a8c2-13ce-4b5b-bda0-ea4f14f788d3}" ma:internalName="TaxCatchAll" ma:showField="CatchAllData" ma:web="d7651ce1-f8a5-400d-95f4-b94bebb965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d7651ce1-f8a5-400d-95f4-b94bebb965d0">
      <UserInfo>
        <DisplayName>Gretchen Smith</DisplayName>
        <AccountId>17</AccountId>
        <AccountType/>
      </UserInfo>
    </SharedWithUsers>
    <TaxCatchAll xmlns="d7651ce1-f8a5-400d-95f4-b94bebb965d0" xsi:nil="true"/>
    <lcf76f155ced4ddcb4097134ff3c332f xmlns="ea69b1fa-f56c-4c30-9ad5-7ec1a01e4d6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3.xml><?xml version="1.0" encoding="utf-8"?>
<ds:datastoreItem xmlns:ds="http://schemas.openxmlformats.org/officeDocument/2006/customXml" ds:itemID="{A0B771BE-3A12-4372-91B3-AA8E62DD8283}">
  <ds:schemaRefs>
    <ds:schemaRef ds:uri="http://schemas.openxmlformats.org/officeDocument/2006/bibliography"/>
  </ds:schemaRefs>
</ds:datastoreItem>
</file>

<file path=customXml/itemProps4.xml><?xml version="1.0" encoding="utf-8"?>
<ds:datastoreItem xmlns:ds="http://schemas.openxmlformats.org/officeDocument/2006/customXml" ds:itemID="{BFA1730C-98F1-4FBD-B21A-43B058C63E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69b1fa-f56c-4c30-9ad5-7ec1a01e4d67"/>
    <ds:schemaRef ds:uri="d7651ce1-f8a5-400d-95f4-b94bebb965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CB462EA-10A7-4754-94DC-A6846B7C0C55}">
  <ds:schemaRefs>
    <ds:schemaRef ds:uri="http://schemas.microsoft.com/office/2006/documentManagement/types"/>
    <ds:schemaRef ds:uri="ea69b1fa-f56c-4c30-9ad5-7ec1a01e4d67"/>
    <ds:schemaRef ds:uri="d7651ce1-f8a5-400d-95f4-b94bebb965d0"/>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Report template - Portrait.dotm</Template>
  <TotalTime>409</TotalTime>
  <Pages>116</Pages>
  <Words>44336</Words>
  <Characters>252718</Characters>
  <Application>Microsoft Office Word</Application>
  <DocSecurity>0</DocSecurity>
  <Lines>2105</Lines>
  <Paragraphs>592</Paragraphs>
  <ScaleCrop>false</ScaleCrop>
  <HeadingPairs>
    <vt:vector size="2" baseType="variant">
      <vt:variant>
        <vt:lpstr>Title</vt:lpstr>
      </vt:variant>
      <vt:variant>
        <vt:i4>1</vt:i4>
      </vt:variant>
    </vt:vector>
  </HeadingPairs>
  <TitlesOfParts>
    <vt:vector size="1" baseType="lpstr">
      <vt:lpstr>Independent Evaluation of HeadtoHelp and AMHCs: Final Evaluation Report</vt:lpstr>
    </vt:vector>
  </TitlesOfParts>
  <Company/>
  <LinksUpToDate>false</LinksUpToDate>
  <CharactersWithSpaces>296462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Evaluation of HeadtoHelp and AMHCs: Final Evaluation Report</dc:title>
  <dc:subject>Mental Health</dc:subject>
  <dc:creator>Australian Government Department of Health and Aged Care</dc:creator>
  <cp:keywords>Mental Health; HeadtoHelp; </cp:keywords>
  <cp:lastModifiedBy>Department of Health and Aged Care</cp:lastModifiedBy>
  <cp:revision>23</cp:revision>
  <cp:lastPrinted>2022-09-12T06:02:00Z</cp:lastPrinted>
  <dcterms:created xsi:type="dcterms:W3CDTF">2022-10-21T04:01:00Z</dcterms:created>
  <dcterms:modified xsi:type="dcterms:W3CDTF">2022-10-24T01:28:00Z</dcterms:modified>
</cp:coreProperties>
</file>