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3124C" w14:textId="77777777" w:rsidR="00633476" w:rsidRPr="00633476" w:rsidRDefault="00633476" w:rsidP="00633476">
      <w:pPr>
        <w:keepNext/>
        <w:spacing w:after="240" w:line="240" w:lineRule="auto"/>
        <w:jc w:val="left"/>
        <w:outlineLvl w:val="0"/>
        <w:rPr>
          <w:rFonts w:ascii="Arial Bold" w:eastAsia="Times New Roman" w:hAnsi="Arial Bold"/>
          <w:b/>
          <w:kern w:val="34"/>
          <w:sz w:val="36"/>
          <w:szCs w:val="20"/>
          <w:lang w:eastAsia="en-AU"/>
        </w:rPr>
      </w:pPr>
      <w:bookmarkStart w:id="0" w:name="_Toc190766151"/>
      <w:bookmarkStart w:id="1" w:name="_Toc444523519"/>
      <w:bookmarkStart w:id="2" w:name="_Toc65243503"/>
      <w:r w:rsidRPr="00633476">
        <w:rPr>
          <w:rFonts w:ascii="Arial Bold" w:eastAsia="Times New Roman" w:hAnsi="Arial Bold"/>
          <w:b/>
          <w:kern w:val="34"/>
          <w:sz w:val="36"/>
          <w:szCs w:val="20"/>
          <w:lang w:eastAsia="en-AU"/>
        </w:rPr>
        <w:t>Portfolio glossary</w:t>
      </w:r>
      <w:bookmarkEnd w:id="0"/>
      <w:bookmarkEnd w:id="1"/>
      <w:bookmarkEnd w:id="2"/>
    </w:p>
    <w:tbl>
      <w:tblPr>
        <w:tblW w:w="7377" w:type="dxa"/>
        <w:jc w:val="center"/>
        <w:tblBorders>
          <w:top w:val="single" w:sz="2" w:space="0" w:color="808080"/>
          <w:bottom w:val="single" w:sz="2" w:space="0" w:color="808080"/>
          <w:insideH w:val="single" w:sz="2" w:space="0" w:color="808080"/>
        </w:tblBorders>
        <w:tblLayout w:type="fixed"/>
        <w:tblCellMar>
          <w:bottom w:w="57" w:type="dxa"/>
        </w:tblCellMar>
        <w:tblLook w:val="0780" w:firstRow="0" w:lastRow="0" w:firstColumn="1" w:lastColumn="1" w:noHBand="1" w:noVBand="1"/>
        <w:tblCaption w:val="Glossary"/>
        <w:tblDescription w:val="Glossary detailing key words and terms for the entirety of these Portfolio Budget Statements"/>
      </w:tblPr>
      <w:tblGrid>
        <w:gridCol w:w="1670"/>
        <w:gridCol w:w="5707"/>
      </w:tblGrid>
      <w:tr w:rsidR="000F3A33" w:rsidRPr="001F4A90" w14:paraId="72678A8D" w14:textId="77777777" w:rsidTr="000F3A33">
        <w:trPr>
          <w:cantSplit/>
          <w:jc w:val="center"/>
        </w:trPr>
        <w:tc>
          <w:tcPr>
            <w:tcW w:w="1670" w:type="dxa"/>
          </w:tcPr>
          <w:p w14:paraId="6502187E" w14:textId="77777777" w:rsidR="000F3A33" w:rsidRPr="002E7287" w:rsidRDefault="000F3A33" w:rsidP="000F3A33">
            <w:pPr>
              <w:pStyle w:val="TableHeading"/>
            </w:pPr>
            <w:r w:rsidRPr="002E7287">
              <w:t>Accrual accounting</w:t>
            </w:r>
          </w:p>
        </w:tc>
        <w:tc>
          <w:tcPr>
            <w:tcW w:w="5707" w:type="dxa"/>
          </w:tcPr>
          <w:p w14:paraId="1C729269" w14:textId="77777777" w:rsidR="000F3A33" w:rsidRPr="001F4A90" w:rsidRDefault="000F3A33" w:rsidP="000F3A33">
            <w:pPr>
              <w:pStyle w:val="TableText"/>
            </w:pPr>
            <w:r w:rsidRPr="001F4A90">
              <w:t>System of accounting where items are brought to account and included in the financial statements as they are earned or incurred, rather than as they are received or paid.</w:t>
            </w:r>
          </w:p>
        </w:tc>
      </w:tr>
      <w:tr w:rsidR="000F3A33" w:rsidRPr="001F4A90" w14:paraId="04A2A189" w14:textId="77777777" w:rsidTr="000F3A33">
        <w:trPr>
          <w:cantSplit/>
          <w:jc w:val="center"/>
        </w:trPr>
        <w:tc>
          <w:tcPr>
            <w:tcW w:w="1670" w:type="dxa"/>
          </w:tcPr>
          <w:p w14:paraId="093B3D36" w14:textId="77777777" w:rsidR="000F3A33" w:rsidRPr="002E7287" w:rsidRDefault="000F3A33" w:rsidP="000F3A33">
            <w:pPr>
              <w:pStyle w:val="TableHeading"/>
            </w:pPr>
            <w:r w:rsidRPr="002E7287">
              <w:t>Accumulated depreciation</w:t>
            </w:r>
          </w:p>
        </w:tc>
        <w:tc>
          <w:tcPr>
            <w:tcW w:w="5707" w:type="dxa"/>
          </w:tcPr>
          <w:p w14:paraId="40A7E901" w14:textId="77777777" w:rsidR="000F3A33" w:rsidRPr="001F4A90" w:rsidRDefault="000F3A33" w:rsidP="000F3A33">
            <w:pPr>
              <w:pStyle w:val="TableText"/>
            </w:pPr>
            <w:r w:rsidRPr="001F4A90">
              <w:t>The aggregate depreciation recorded for a particular depreciating asset.</w:t>
            </w:r>
          </w:p>
        </w:tc>
      </w:tr>
      <w:tr w:rsidR="000F3A33" w:rsidRPr="001F4A90" w14:paraId="76ABBBAD" w14:textId="77777777" w:rsidTr="000F3A33">
        <w:trPr>
          <w:cantSplit/>
          <w:jc w:val="center"/>
        </w:trPr>
        <w:tc>
          <w:tcPr>
            <w:tcW w:w="1670" w:type="dxa"/>
          </w:tcPr>
          <w:p w14:paraId="6E1BB3E6" w14:textId="77777777" w:rsidR="000F3A33" w:rsidRPr="002E7287" w:rsidRDefault="000F3A33" w:rsidP="000F3A33">
            <w:pPr>
              <w:pStyle w:val="TableHeading"/>
            </w:pPr>
            <w:r w:rsidRPr="002E7287">
              <w:t>Additional Estimates</w:t>
            </w:r>
          </w:p>
        </w:tc>
        <w:tc>
          <w:tcPr>
            <w:tcW w:w="5707" w:type="dxa"/>
          </w:tcPr>
          <w:p w14:paraId="37D1620F" w14:textId="77777777" w:rsidR="000F3A33" w:rsidRPr="001F4A90" w:rsidRDefault="000F3A33" w:rsidP="000F3A33">
            <w:pPr>
              <w:pStyle w:val="TableText"/>
            </w:pPr>
            <w:r w:rsidRPr="001F4A90">
              <w:t>The Additional Estimates process updates estimates from the previous Budget update.</w:t>
            </w:r>
          </w:p>
        </w:tc>
      </w:tr>
      <w:tr w:rsidR="000F3A33" w:rsidRPr="001F4A90" w14:paraId="7B00627E" w14:textId="77777777" w:rsidTr="000F3A33">
        <w:trPr>
          <w:cantSplit/>
          <w:jc w:val="center"/>
        </w:trPr>
        <w:tc>
          <w:tcPr>
            <w:tcW w:w="1670" w:type="dxa"/>
          </w:tcPr>
          <w:p w14:paraId="354BE112" w14:textId="77777777" w:rsidR="000F3A33" w:rsidRPr="002E7287" w:rsidRDefault="000F3A33" w:rsidP="000F3A33">
            <w:pPr>
              <w:pStyle w:val="TableHeading"/>
            </w:pPr>
            <w:r w:rsidRPr="002E7287">
              <w:t>Additional Estimates Bills or Acts</w:t>
            </w:r>
          </w:p>
        </w:tc>
        <w:tc>
          <w:tcPr>
            <w:tcW w:w="5707" w:type="dxa"/>
          </w:tcPr>
          <w:p w14:paraId="3B0647E1" w14:textId="77777777" w:rsidR="000F3A33" w:rsidRPr="001F4A90" w:rsidRDefault="000F3A33" w:rsidP="000F3A33">
            <w:pPr>
              <w:pStyle w:val="TableText"/>
            </w:pPr>
            <w:r w:rsidRPr="001F4A90">
              <w:t xml:space="preserve">Where amounts appropriated in the annual appropriation acts at Budget time are insufficient, Parliament may appropriate more funds to Portfolios through the Additional Estimates Acts. These are Appropriation Bills </w:t>
            </w:r>
            <w:r>
              <w:t>(</w:t>
            </w:r>
            <w:r w:rsidRPr="001F4A90">
              <w:t>No. 3</w:t>
            </w:r>
            <w:r>
              <w:t>)</w:t>
            </w:r>
            <w:r w:rsidRPr="001F4A90">
              <w:t xml:space="preserve"> and </w:t>
            </w:r>
            <w:r>
              <w:t>(</w:t>
            </w:r>
            <w:r w:rsidRPr="001F4A90">
              <w:t>No. 4</w:t>
            </w:r>
            <w:r>
              <w:t>)</w:t>
            </w:r>
            <w:r w:rsidRPr="001F4A90">
              <w:t>, and a separate Bill for Parliamentary Departments (Appropriations (Parliamentary Departments) Bill (No.2)). These Bills are introduced into the Parliament sometime after the Budget Bills.</w:t>
            </w:r>
          </w:p>
        </w:tc>
      </w:tr>
      <w:tr w:rsidR="000F3A33" w:rsidRPr="001F4A90" w14:paraId="480E4A61" w14:textId="77777777" w:rsidTr="000F3A33">
        <w:trPr>
          <w:cantSplit/>
          <w:jc w:val="center"/>
        </w:trPr>
        <w:tc>
          <w:tcPr>
            <w:tcW w:w="1670" w:type="dxa"/>
          </w:tcPr>
          <w:p w14:paraId="58CF8138" w14:textId="77777777" w:rsidR="000F3A33" w:rsidRPr="002E7287" w:rsidRDefault="000F3A33" w:rsidP="000F3A33">
            <w:pPr>
              <w:pStyle w:val="TableHeading"/>
            </w:pPr>
            <w:r w:rsidRPr="002E7287">
              <w:t>Administered items</w:t>
            </w:r>
          </w:p>
        </w:tc>
        <w:tc>
          <w:tcPr>
            <w:tcW w:w="5707" w:type="dxa"/>
          </w:tcPr>
          <w:p w14:paraId="2B9D2E84" w14:textId="77777777" w:rsidR="000F3A33" w:rsidRPr="001F4A90" w:rsidRDefault="000F3A33" w:rsidP="000F3A33">
            <w:pPr>
              <w:pStyle w:val="TableText"/>
            </w:pPr>
            <w:r w:rsidRPr="001F4A90">
              <w:t xml:space="preserve">Expenses, revenues, assets or liabilities managed by entities on behalf of the Australian Government. Entities do not control administered items. Administered items include grants, subsidies and benefits (for example, funding for the Pharmaceutical Benefits Scheme). </w:t>
            </w:r>
          </w:p>
        </w:tc>
      </w:tr>
      <w:tr w:rsidR="000F3A33" w:rsidRPr="001F4A90" w14:paraId="05007646" w14:textId="77777777" w:rsidTr="000F3A33">
        <w:trPr>
          <w:cantSplit/>
          <w:jc w:val="center"/>
        </w:trPr>
        <w:tc>
          <w:tcPr>
            <w:tcW w:w="1670" w:type="dxa"/>
          </w:tcPr>
          <w:p w14:paraId="67484F91" w14:textId="77777777" w:rsidR="000F3A33" w:rsidRPr="002E7287" w:rsidRDefault="000F3A33" w:rsidP="000F3A33">
            <w:pPr>
              <w:pStyle w:val="TableHeading"/>
            </w:pPr>
            <w:r w:rsidRPr="002E7287">
              <w:t>Annotated appropriation</w:t>
            </w:r>
          </w:p>
        </w:tc>
        <w:tc>
          <w:tcPr>
            <w:tcW w:w="5707" w:type="dxa"/>
          </w:tcPr>
          <w:p w14:paraId="5C214FD5" w14:textId="693E5930" w:rsidR="000F3A33" w:rsidRPr="001F4A90" w:rsidRDefault="000F3A33" w:rsidP="00877D14">
            <w:pPr>
              <w:pStyle w:val="TableText"/>
              <w:rPr>
                <w:b/>
                <w:bCs/>
              </w:rPr>
            </w:pPr>
            <w:r w:rsidRPr="001F4A90">
              <w:t xml:space="preserve">A form of appropriation </w:t>
            </w:r>
            <w:r>
              <w:t>that</w:t>
            </w:r>
            <w:r w:rsidRPr="001F4A90">
              <w:t xml:space="preserve"> allows an entity access to certain money it receives in payment of services. The nature and extent of the amount to be appropriated are specified in Rules under s</w:t>
            </w:r>
            <w:r w:rsidR="00DC7B53">
              <w:t>ection</w:t>
            </w:r>
            <w:r w:rsidR="00877D14">
              <w:t> </w:t>
            </w:r>
            <w:r w:rsidRPr="001F4A90">
              <w:t>74 of the</w:t>
            </w:r>
            <w:r w:rsidRPr="001F4A90">
              <w:rPr>
                <w:i/>
              </w:rPr>
              <w:t xml:space="preserve"> Public Governance, Per</w:t>
            </w:r>
            <w:r w:rsidR="00A90DC3">
              <w:rPr>
                <w:i/>
              </w:rPr>
              <w:t>formance and Accountability Act </w:t>
            </w:r>
            <w:r w:rsidRPr="00A90DC3">
              <w:rPr>
                <w:i/>
              </w:rPr>
              <w:t>2013</w:t>
            </w:r>
            <w:r w:rsidR="00EF6A47" w:rsidRPr="00DC7B53">
              <w:t xml:space="preserve"> (PGPA Act)</w:t>
            </w:r>
            <w:r w:rsidRPr="00DC7B53">
              <w:t>.</w:t>
            </w:r>
          </w:p>
        </w:tc>
      </w:tr>
      <w:tr w:rsidR="000F3A33" w:rsidRPr="001F4A90" w14:paraId="2D832F80" w14:textId="77777777" w:rsidTr="000F3A33">
        <w:trPr>
          <w:cantSplit/>
          <w:jc w:val="center"/>
        </w:trPr>
        <w:tc>
          <w:tcPr>
            <w:tcW w:w="1670" w:type="dxa"/>
          </w:tcPr>
          <w:p w14:paraId="7DC61160" w14:textId="77777777" w:rsidR="000F3A33" w:rsidRPr="002E7287" w:rsidRDefault="000F3A33" w:rsidP="000F3A33">
            <w:pPr>
              <w:pStyle w:val="TableHeading"/>
            </w:pPr>
            <w:r w:rsidRPr="002E7287">
              <w:t>Annual appropriation</w:t>
            </w:r>
          </w:p>
        </w:tc>
        <w:tc>
          <w:tcPr>
            <w:tcW w:w="5707" w:type="dxa"/>
          </w:tcPr>
          <w:p w14:paraId="329587B0" w14:textId="5C445CBE" w:rsidR="000F3A33" w:rsidRPr="001F4A90" w:rsidRDefault="000F3A33" w:rsidP="000F3A33">
            <w:pPr>
              <w:pStyle w:val="TableText"/>
            </w:pPr>
            <w:r w:rsidRPr="008029AF">
              <w:t xml:space="preserve">Two </w:t>
            </w:r>
            <w:r w:rsidR="00877D14">
              <w:t>A</w:t>
            </w:r>
            <w:r w:rsidRPr="008029AF">
              <w:t>ppropriation Bills are introduced into Parliament in May</w:t>
            </w:r>
            <w:r w:rsidRPr="001F4A90">
              <w:t xml:space="preserve"> and comprise the Budget. Further Bills are introduced later in the financial year as part of the Additional Estimates process. Parliamentary Departments have their own appropriations.</w:t>
            </w:r>
          </w:p>
        </w:tc>
      </w:tr>
      <w:tr w:rsidR="000F3A33" w:rsidRPr="001F4A90" w14:paraId="22D511E7" w14:textId="77777777" w:rsidTr="000F3A33">
        <w:trPr>
          <w:cantSplit/>
          <w:jc w:val="center"/>
        </w:trPr>
        <w:tc>
          <w:tcPr>
            <w:tcW w:w="1670" w:type="dxa"/>
          </w:tcPr>
          <w:p w14:paraId="1CC1FCB2" w14:textId="77777777" w:rsidR="000F3A33" w:rsidRPr="002E7287" w:rsidRDefault="000F3A33" w:rsidP="000F3A33">
            <w:pPr>
              <w:pStyle w:val="TableHeading"/>
            </w:pPr>
            <w:r w:rsidRPr="002E7287">
              <w:t>Appropriation</w:t>
            </w:r>
          </w:p>
        </w:tc>
        <w:tc>
          <w:tcPr>
            <w:tcW w:w="5707" w:type="dxa"/>
          </w:tcPr>
          <w:p w14:paraId="5907FF2C" w14:textId="45A6D7E3" w:rsidR="000F3A33" w:rsidRPr="001F4A90" w:rsidRDefault="000F3A33" w:rsidP="000F3A33">
            <w:pPr>
              <w:pStyle w:val="TableText"/>
            </w:pPr>
            <w:r w:rsidRPr="001F4A90">
              <w:t xml:space="preserve">The amount of public moneys authorised by Parliament for expenditure from </w:t>
            </w:r>
            <w:r w:rsidR="009C5D68">
              <w:t xml:space="preserve">the </w:t>
            </w:r>
            <w:r w:rsidRPr="001F4A90">
              <w:t>Consolidated Revenue Fund. Appropriations authorise expenditure by the Australian Government for particular purposes.</w:t>
            </w:r>
          </w:p>
        </w:tc>
      </w:tr>
      <w:tr w:rsidR="000F3A33" w:rsidRPr="001F4A90" w14:paraId="09E443D1" w14:textId="77777777" w:rsidTr="000F3A33">
        <w:trPr>
          <w:cantSplit/>
          <w:jc w:val="center"/>
        </w:trPr>
        <w:tc>
          <w:tcPr>
            <w:tcW w:w="1670" w:type="dxa"/>
          </w:tcPr>
          <w:p w14:paraId="631C995E" w14:textId="77777777" w:rsidR="000F3A33" w:rsidRPr="002E7287" w:rsidRDefault="000F3A33" w:rsidP="000F3A33">
            <w:pPr>
              <w:pStyle w:val="TableHeading"/>
            </w:pPr>
            <w:r>
              <w:t xml:space="preserve">ASL </w:t>
            </w:r>
            <w:r w:rsidRPr="002E7287">
              <w:t>(Average Staffing Levels)</w:t>
            </w:r>
          </w:p>
        </w:tc>
        <w:tc>
          <w:tcPr>
            <w:tcW w:w="5707" w:type="dxa"/>
          </w:tcPr>
          <w:p w14:paraId="6449D7E0" w14:textId="714EEA8A" w:rsidR="000F3A33" w:rsidRPr="00633476" w:rsidRDefault="000F3A33" w:rsidP="00FA79D4">
            <w:pPr>
              <w:pStyle w:val="TableText"/>
            </w:pPr>
            <w:r w:rsidRPr="001F4A90">
              <w:t>The average number of emplo</w:t>
            </w:r>
            <w:r w:rsidR="00F721C2">
              <w:t>yees receiving salary/wages (or </w:t>
            </w:r>
            <w:r w:rsidRPr="001F4A90">
              <w:t>compensation in lieu of salary/wages) over a financial year, with adjustme</w:t>
            </w:r>
            <w:bookmarkStart w:id="3" w:name="_GoBack"/>
            <w:bookmarkEnd w:id="3"/>
            <w:r w:rsidRPr="001F4A90">
              <w:t>nts for casual and part-time employees to show the full</w:t>
            </w:r>
            <w:r w:rsidRPr="001F4A90">
              <w:noBreakHyphen/>
              <w:t>time equivalent.</w:t>
            </w:r>
          </w:p>
        </w:tc>
      </w:tr>
      <w:tr w:rsidR="000F3A33" w:rsidRPr="001F4A90" w14:paraId="69033AD3" w14:textId="77777777" w:rsidTr="000F3A33">
        <w:trPr>
          <w:cantSplit/>
          <w:jc w:val="center"/>
        </w:trPr>
        <w:tc>
          <w:tcPr>
            <w:tcW w:w="1670" w:type="dxa"/>
          </w:tcPr>
          <w:p w14:paraId="150A6492" w14:textId="77777777" w:rsidR="000F3A33" w:rsidRPr="002E7287" w:rsidRDefault="000F3A33" w:rsidP="000F3A33">
            <w:pPr>
              <w:pStyle w:val="TableHeading"/>
            </w:pPr>
            <w:r w:rsidRPr="002E7287">
              <w:t>Assets</w:t>
            </w:r>
          </w:p>
        </w:tc>
        <w:tc>
          <w:tcPr>
            <w:tcW w:w="5707" w:type="dxa"/>
          </w:tcPr>
          <w:p w14:paraId="67F4C7A1" w14:textId="7E0E516A" w:rsidR="000F3A33" w:rsidRPr="00633476" w:rsidRDefault="000F3A33" w:rsidP="006A6584">
            <w:pPr>
              <w:pStyle w:val="TableText"/>
            </w:pPr>
            <w:r w:rsidRPr="001F4A90">
              <w:t>Future economic benefits controlled by an entity as a result of past transactions or past events.</w:t>
            </w:r>
          </w:p>
        </w:tc>
      </w:tr>
      <w:tr w:rsidR="000F3A33" w:rsidRPr="001F4A90" w14:paraId="3C5BA12A" w14:textId="77777777" w:rsidTr="000F3A33">
        <w:trPr>
          <w:cantSplit/>
          <w:jc w:val="center"/>
        </w:trPr>
        <w:tc>
          <w:tcPr>
            <w:tcW w:w="1670" w:type="dxa"/>
          </w:tcPr>
          <w:p w14:paraId="3BF4A7B7" w14:textId="77777777" w:rsidR="000F3A33" w:rsidRPr="002E7287" w:rsidRDefault="000F3A33" w:rsidP="000F3A33">
            <w:pPr>
              <w:pStyle w:val="TableHeading"/>
            </w:pPr>
            <w:r w:rsidRPr="002E7287">
              <w:lastRenderedPageBreak/>
              <w:br w:type="page"/>
              <w:t>Available appropriation</w:t>
            </w:r>
          </w:p>
        </w:tc>
        <w:tc>
          <w:tcPr>
            <w:tcW w:w="5707" w:type="dxa"/>
          </w:tcPr>
          <w:p w14:paraId="33D2E302" w14:textId="2CB50AC3" w:rsidR="000F3A33" w:rsidRPr="001F4A90" w:rsidRDefault="000F3A33" w:rsidP="00877D14">
            <w:pPr>
              <w:pStyle w:val="TableText"/>
            </w:pPr>
            <w:r w:rsidRPr="001F4A90">
              <w:t xml:space="preserve">Available appropriation is used to allow a comparison of the current year’s appropriation with what was made available for use in the previous year. Available appropriation is the amount available to be drawn down, and is equal to: Budget appropriation + Additional Estimates appropriation + Advance to the Finance Minister (AFM) -Savings - </w:t>
            </w:r>
            <w:proofErr w:type="spellStart"/>
            <w:r w:rsidRPr="001F4A90">
              <w:t>Rephasings</w:t>
            </w:r>
            <w:proofErr w:type="spellEnd"/>
            <w:r w:rsidRPr="001F4A90">
              <w:t xml:space="preserve"> - Other Reductions +/- </w:t>
            </w:r>
            <w:r w:rsidR="00EF6A47">
              <w:t xml:space="preserve">receipts under </w:t>
            </w:r>
            <w:r>
              <w:t>s</w:t>
            </w:r>
            <w:r w:rsidR="00DC7B53">
              <w:t>ection</w:t>
            </w:r>
            <w:r w:rsidR="00877D14">
              <w:t> </w:t>
            </w:r>
            <w:r w:rsidRPr="001F4A90">
              <w:t>74</w:t>
            </w:r>
            <w:r w:rsidR="00EF6A47">
              <w:t xml:space="preserve"> </w:t>
            </w:r>
            <w:r w:rsidR="00EF6A47" w:rsidRPr="001F4A90">
              <w:t>of the</w:t>
            </w:r>
            <w:r w:rsidR="00DC7B53">
              <w:t xml:space="preserve"> PGPA Act.</w:t>
            </w:r>
          </w:p>
        </w:tc>
      </w:tr>
      <w:tr w:rsidR="000F3A33" w:rsidRPr="001F4A90" w14:paraId="5FE2A12A" w14:textId="77777777" w:rsidTr="000F3A33">
        <w:trPr>
          <w:cantSplit/>
          <w:jc w:val="center"/>
        </w:trPr>
        <w:tc>
          <w:tcPr>
            <w:tcW w:w="1670" w:type="dxa"/>
          </w:tcPr>
          <w:p w14:paraId="22428F24" w14:textId="77777777" w:rsidR="000F3A33" w:rsidRPr="002E7287" w:rsidRDefault="000F3A33" w:rsidP="000F3A33">
            <w:pPr>
              <w:pStyle w:val="TableHeading"/>
            </w:pPr>
            <w:r w:rsidRPr="002E7287">
              <w:t>Budget measure</w:t>
            </w:r>
          </w:p>
        </w:tc>
        <w:tc>
          <w:tcPr>
            <w:tcW w:w="5707" w:type="dxa"/>
          </w:tcPr>
          <w:p w14:paraId="6E7A2B79" w14:textId="77777777" w:rsidR="000F3A33" w:rsidRPr="001F4A90" w:rsidRDefault="000F3A33" w:rsidP="000F3A33">
            <w:pPr>
              <w:pStyle w:val="TableText"/>
            </w:pPr>
            <w:r w:rsidRPr="001F4A90">
              <w:t xml:space="preserve">A decision by Cabinet or Ministers in the Budget process that has resulted in a change in expenditure in the current year and/or the forward years. </w:t>
            </w:r>
            <w:r w:rsidRPr="00A51F76">
              <w:t>See also cross-Portfolio Budget measure</w:t>
            </w:r>
            <w:r w:rsidRPr="00877D14">
              <w:t>.</w:t>
            </w:r>
          </w:p>
        </w:tc>
      </w:tr>
      <w:tr w:rsidR="000F3A33" w:rsidRPr="001F4A90" w14:paraId="7D0442D1" w14:textId="77777777" w:rsidTr="000F3A33">
        <w:trPr>
          <w:cantSplit/>
          <w:jc w:val="center"/>
        </w:trPr>
        <w:tc>
          <w:tcPr>
            <w:tcW w:w="1670" w:type="dxa"/>
          </w:tcPr>
          <w:p w14:paraId="144DAACB" w14:textId="77777777" w:rsidR="000F3A33" w:rsidRPr="002E7287" w:rsidRDefault="000F3A33" w:rsidP="000F3A33">
            <w:pPr>
              <w:pStyle w:val="TableHeading"/>
            </w:pPr>
            <w:r w:rsidRPr="002E7287">
              <w:t>Budget Paper 1</w:t>
            </w:r>
          </w:p>
        </w:tc>
        <w:tc>
          <w:tcPr>
            <w:tcW w:w="5707" w:type="dxa"/>
          </w:tcPr>
          <w:p w14:paraId="029DDBC2" w14:textId="3111FFC8" w:rsidR="000F3A33" w:rsidRPr="001F4A90" w:rsidRDefault="000F3A33" w:rsidP="000F3A33">
            <w:pPr>
              <w:pStyle w:val="TableText"/>
            </w:pPr>
            <w:r>
              <w:t>Budget Strategy and Outlook. Provides in</w:t>
            </w:r>
            <w:r w:rsidR="009B0895">
              <w:t xml:space="preserve">formation and analysis on whole of </w:t>
            </w:r>
            <w:r>
              <w:t>government expenditure and revenue.</w:t>
            </w:r>
          </w:p>
        </w:tc>
      </w:tr>
      <w:tr w:rsidR="000F3A33" w:rsidRPr="001F4A90" w14:paraId="040F0B78" w14:textId="77777777" w:rsidTr="000F3A33">
        <w:trPr>
          <w:cantSplit/>
          <w:jc w:val="center"/>
        </w:trPr>
        <w:tc>
          <w:tcPr>
            <w:tcW w:w="1670" w:type="dxa"/>
          </w:tcPr>
          <w:p w14:paraId="2784459D" w14:textId="77777777" w:rsidR="000F3A33" w:rsidRPr="002E7287" w:rsidRDefault="000F3A33" w:rsidP="000F3A33">
            <w:pPr>
              <w:pStyle w:val="TableHeading"/>
            </w:pPr>
            <w:r w:rsidRPr="002E7287">
              <w:t>Budget Paper 2</w:t>
            </w:r>
          </w:p>
        </w:tc>
        <w:tc>
          <w:tcPr>
            <w:tcW w:w="5707" w:type="dxa"/>
          </w:tcPr>
          <w:p w14:paraId="186F61FE" w14:textId="77777777" w:rsidR="000F3A33" w:rsidRPr="001F4A90" w:rsidRDefault="000F3A33" w:rsidP="000F3A33">
            <w:pPr>
              <w:pStyle w:val="TableText"/>
            </w:pPr>
            <w:r>
              <w:t>Budget Measures. Provides a description of each Budget measure by Portfolio.</w:t>
            </w:r>
          </w:p>
        </w:tc>
      </w:tr>
      <w:tr w:rsidR="000F3A33" w:rsidRPr="001F4A90" w14:paraId="18EF0C59" w14:textId="77777777" w:rsidTr="000F3A33">
        <w:trPr>
          <w:cantSplit/>
          <w:jc w:val="center"/>
        </w:trPr>
        <w:tc>
          <w:tcPr>
            <w:tcW w:w="1670" w:type="dxa"/>
          </w:tcPr>
          <w:p w14:paraId="5037A4ED" w14:textId="77777777" w:rsidR="000F3A33" w:rsidRPr="002E7287" w:rsidRDefault="000F3A33" w:rsidP="000F3A33">
            <w:pPr>
              <w:pStyle w:val="TableHeading"/>
            </w:pPr>
            <w:r w:rsidRPr="002E7287">
              <w:t>Budget Paper 3</w:t>
            </w:r>
          </w:p>
        </w:tc>
        <w:tc>
          <w:tcPr>
            <w:tcW w:w="5707" w:type="dxa"/>
          </w:tcPr>
          <w:p w14:paraId="01BF09FE" w14:textId="77777777" w:rsidR="000F3A33" w:rsidRPr="001F4A90" w:rsidRDefault="000F3A33" w:rsidP="000F3A33">
            <w:pPr>
              <w:pStyle w:val="TableText"/>
            </w:pPr>
            <w:r>
              <w:t>Australia’s Federal Relations. Provides information and analysis on federal funding provided to the states and territories.</w:t>
            </w:r>
          </w:p>
        </w:tc>
      </w:tr>
      <w:tr w:rsidR="000F3A33" w:rsidRPr="001F4A90" w14:paraId="69AFE961" w14:textId="77777777" w:rsidTr="000F3A33">
        <w:trPr>
          <w:cantSplit/>
          <w:jc w:val="center"/>
        </w:trPr>
        <w:tc>
          <w:tcPr>
            <w:tcW w:w="1670" w:type="dxa"/>
          </w:tcPr>
          <w:p w14:paraId="25B97938" w14:textId="77777777" w:rsidR="000F3A33" w:rsidRPr="002E7287" w:rsidRDefault="000F3A33" w:rsidP="000F3A33">
            <w:pPr>
              <w:pStyle w:val="TableHeading"/>
            </w:pPr>
            <w:r w:rsidRPr="002E7287">
              <w:t>Budget Paper 4</w:t>
            </w:r>
          </w:p>
        </w:tc>
        <w:tc>
          <w:tcPr>
            <w:tcW w:w="5707" w:type="dxa"/>
          </w:tcPr>
          <w:p w14:paraId="576C1D61" w14:textId="77777777" w:rsidR="000F3A33" w:rsidRPr="001F4A90" w:rsidRDefault="000F3A33" w:rsidP="000F3A33">
            <w:pPr>
              <w:pStyle w:val="TableText"/>
            </w:pPr>
            <w:r>
              <w:t>Entity Resourcing. Details total resourcing available to agencies.</w:t>
            </w:r>
          </w:p>
        </w:tc>
      </w:tr>
      <w:tr w:rsidR="000F3A33" w:rsidRPr="001F4A90" w14:paraId="64CD30B0" w14:textId="77777777" w:rsidTr="000F3A33">
        <w:trPr>
          <w:cantSplit/>
          <w:jc w:val="center"/>
        </w:trPr>
        <w:tc>
          <w:tcPr>
            <w:tcW w:w="1670" w:type="dxa"/>
          </w:tcPr>
          <w:p w14:paraId="1C991198" w14:textId="77777777" w:rsidR="000F3A33" w:rsidRPr="002E7287" w:rsidRDefault="000F3A33" w:rsidP="000F3A33">
            <w:pPr>
              <w:pStyle w:val="TableHeading"/>
            </w:pPr>
            <w:r w:rsidRPr="002E7287">
              <w:t>Capital Budget Statement</w:t>
            </w:r>
          </w:p>
        </w:tc>
        <w:tc>
          <w:tcPr>
            <w:tcW w:w="5707" w:type="dxa"/>
          </w:tcPr>
          <w:p w14:paraId="3744C884" w14:textId="34D0DE81" w:rsidR="000F3A33" w:rsidRPr="001F4A90" w:rsidRDefault="000F3A33" w:rsidP="000F3A33">
            <w:pPr>
              <w:pStyle w:val="TableText"/>
            </w:pPr>
            <w:r w:rsidRPr="001F4A90">
              <w:t>A statement of the ent</w:t>
            </w:r>
            <w:r w:rsidR="00A90DC3">
              <w:t>ity’s estimated capital funding</w:t>
            </w:r>
            <w:r w:rsidRPr="001F4A90">
              <w:t xml:space="preserve"> through </w:t>
            </w:r>
            <w:r w:rsidRPr="001664C9">
              <w:rPr>
                <w:i/>
              </w:rPr>
              <w:t>Appropriation Act (No. 1)</w:t>
            </w:r>
            <w:r w:rsidRPr="001F4A90">
              <w:t xml:space="preserve"> Departmental Capital Budget funding or </w:t>
            </w:r>
            <w:r w:rsidRPr="001664C9">
              <w:rPr>
                <w:i/>
              </w:rPr>
              <w:t>Appropriation Act (No. 2)</w:t>
            </w:r>
            <w:r w:rsidRPr="001F4A90">
              <w:t xml:space="preserve"> equity injection funding and the entity’s estimated expenditures on non-financial assets.</w:t>
            </w:r>
          </w:p>
        </w:tc>
      </w:tr>
      <w:tr w:rsidR="000F3A33" w:rsidRPr="001F4A90" w14:paraId="354A50A4" w14:textId="77777777" w:rsidTr="000F3A33">
        <w:trPr>
          <w:cantSplit/>
          <w:jc w:val="center"/>
        </w:trPr>
        <w:tc>
          <w:tcPr>
            <w:tcW w:w="1670" w:type="dxa"/>
          </w:tcPr>
          <w:p w14:paraId="2ED1CDBE" w14:textId="77777777" w:rsidR="000F3A33" w:rsidRPr="002E7287" w:rsidRDefault="000F3A33" w:rsidP="000F3A33">
            <w:pPr>
              <w:pStyle w:val="TableHeading"/>
            </w:pPr>
            <w:r w:rsidRPr="002E7287">
              <w:t>Capital expenditure</w:t>
            </w:r>
          </w:p>
        </w:tc>
        <w:tc>
          <w:tcPr>
            <w:tcW w:w="5707" w:type="dxa"/>
          </w:tcPr>
          <w:p w14:paraId="41CECAE3" w14:textId="77777777" w:rsidR="000F3A33" w:rsidRPr="001F4A90" w:rsidRDefault="000F3A33" w:rsidP="000F3A33">
            <w:pPr>
              <w:pStyle w:val="TableText"/>
            </w:pPr>
            <w:r w:rsidRPr="001F4A90">
              <w:t>Expenditure by an entity on non-financial assets, for example purchasing a building.</w:t>
            </w:r>
          </w:p>
        </w:tc>
      </w:tr>
      <w:tr w:rsidR="000F3A33" w:rsidRPr="001F4A90" w14:paraId="5A23B966" w14:textId="77777777" w:rsidTr="000F3A33">
        <w:trPr>
          <w:cantSplit/>
          <w:jc w:val="center"/>
        </w:trPr>
        <w:tc>
          <w:tcPr>
            <w:tcW w:w="1670" w:type="dxa"/>
          </w:tcPr>
          <w:p w14:paraId="7F0465D0" w14:textId="77777777" w:rsidR="000F3A33" w:rsidRPr="002E7287" w:rsidRDefault="000F3A33" w:rsidP="000F3A33">
            <w:pPr>
              <w:pStyle w:val="TableHeading"/>
            </w:pPr>
            <w:r w:rsidRPr="008029AF">
              <w:t>COVID-19</w:t>
            </w:r>
          </w:p>
        </w:tc>
        <w:tc>
          <w:tcPr>
            <w:tcW w:w="5707" w:type="dxa"/>
          </w:tcPr>
          <w:p w14:paraId="66C2CC47" w14:textId="77777777" w:rsidR="000F3A33" w:rsidRPr="001F4A90" w:rsidRDefault="000F3A33" w:rsidP="000F3A33">
            <w:pPr>
              <w:pStyle w:val="TableText"/>
            </w:pPr>
            <w:r w:rsidRPr="008029AF">
              <w:t>Coronavirus disease 2019. An illness caused by the SARS-CoV-2 virus that was first identified in December 2019. Formerly known as 2019-nCoV.</w:t>
            </w:r>
          </w:p>
        </w:tc>
      </w:tr>
      <w:tr w:rsidR="000F3A33" w:rsidRPr="001F4A90" w14:paraId="17D0A1BD" w14:textId="77777777" w:rsidTr="000F3A33">
        <w:trPr>
          <w:cantSplit/>
          <w:jc w:val="center"/>
        </w:trPr>
        <w:tc>
          <w:tcPr>
            <w:tcW w:w="1670" w:type="dxa"/>
          </w:tcPr>
          <w:p w14:paraId="278C76B1" w14:textId="77777777" w:rsidR="000F3A33" w:rsidRPr="002E7287" w:rsidRDefault="000F3A33" w:rsidP="000F3A33">
            <w:pPr>
              <w:pStyle w:val="TableHeading"/>
            </w:pPr>
            <w:r w:rsidRPr="002E7287">
              <w:t>Cross-Portfolio Budget measure</w:t>
            </w:r>
          </w:p>
        </w:tc>
        <w:tc>
          <w:tcPr>
            <w:tcW w:w="5707" w:type="dxa"/>
          </w:tcPr>
          <w:p w14:paraId="52B228B6" w14:textId="77777777" w:rsidR="000F3A33" w:rsidRPr="001F4A90" w:rsidRDefault="000F3A33" w:rsidP="000F3A33">
            <w:pPr>
              <w:pStyle w:val="TableText"/>
            </w:pPr>
            <w:r w:rsidRPr="001F4A90">
              <w:t xml:space="preserve">This is a </w:t>
            </w:r>
            <w:r w:rsidRPr="00A51F76">
              <w:t>Budget measure</w:t>
            </w:r>
            <w:r w:rsidRPr="001F4A90">
              <w:t xml:space="preserve"> which affects outcomes administered in a number of Portfolios.</w:t>
            </w:r>
          </w:p>
        </w:tc>
      </w:tr>
      <w:tr w:rsidR="000F3A33" w:rsidRPr="001F4A90" w14:paraId="29A8EA8F" w14:textId="77777777" w:rsidTr="000F3A33">
        <w:trPr>
          <w:cantSplit/>
          <w:jc w:val="center"/>
        </w:trPr>
        <w:tc>
          <w:tcPr>
            <w:tcW w:w="1670" w:type="dxa"/>
          </w:tcPr>
          <w:p w14:paraId="39D99E69" w14:textId="77777777" w:rsidR="000F3A33" w:rsidRPr="002E7287" w:rsidRDefault="000F3A33" w:rsidP="000F3A33">
            <w:pPr>
              <w:pStyle w:val="TableHeading"/>
            </w:pPr>
            <w:r w:rsidRPr="002E7287">
              <w:t>Departmental Capital Budget (DCB)</w:t>
            </w:r>
          </w:p>
        </w:tc>
        <w:tc>
          <w:tcPr>
            <w:tcW w:w="5707" w:type="dxa"/>
          </w:tcPr>
          <w:p w14:paraId="6C9EF84F" w14:textId="3494C606" w:rsidR="000F3A33" w:rsidRPr="001F4A90" w:rsidRDefault="000F3A33" w:rsidP="000F3A33">
            <w:pPr>
              <w:pStyle w:val="TableText"/>
            </w:pPr>
            <w:r w:rsidRPr="001F4A90">
              <w:t>Departmental Capital Budget funding appropriated to non</w:t>
            </w:r>
            <w:r w:rsidRPr="001F4A90">
              <w:noBreakHyphen/>
              <w:t xml:space="preserve">corporate PGPA Act entities through their </w:t>
            </w:r>
            <w:r w:rsidRPr="001664C9">
              <w:rPr>
                <w:i/>
              </w:rPr>
              <w:t xml:space="preserve">Appropriation Act </w:t>
            </w:r>
            <w:r w:rsidR="00DC7B53">
              <w:rPr>
                <w:i/>
              </w:rPr>
              <w:t>(No.</w:t>
            </w:r>
            <w:r w:rsidR="00877D14">
              <w:rPr>
                <w:i/>
              </w:rPr>
              <w:t> </w:t>
            </w:r>
            <w:r w:rsidRPr="001664C9">
              <w:rPr>
                <w:i/>
              </w:rPr>
              <w:t>1</w:t>
            </w:r>
            <w:r w:rsidR="00DC7B53">
              <w:rPr>
                <w:i/>
              </w:rPr>
              <w:t>)</w:t>
            </w:r>
            <w:r w:rsidR="00A90DC3">
              <w:t xml:space="preserve"> d</w:t>
            </w:r>
            <w:r w:rsidRPr="001F4A90">
              <w:t>epartmental appropriation, for t</w:t>
            </w:r>
            <w:r w:rsidR="00A90DC3">
              <w:t>he ongoing replacement of d</w:t>
            </w:r>
            <w:r w:rsidRPr="001F4A90">
              <w:t xml:space="preserve">epartmental assets which cost less than $10 million. </w:t>
            </w:r>
          </w:p>
        </w:tc>
      </w:tr>
      <w:tr w:rsidR="000F3A33" w:rsidRPr="001F4A90" w14:paraId="0C7F9C3F" w14:textId="77777777" w:rsidTr="000F3A33">
        <w:trPr>
          <w:cantSplit/>
          <w:jc w:val="center"/>
        </w:trPr>
        <w:tc>
          <w:tcPr>
            <w:tcW w:w="1670" w:type="dxa"/>
          </w:tcPr>
          <w:p w14:paraId="503B2D2A" w14:textId="12BA1C98" w:rsidR="000F3A33" w:rsidRPr="002E7287" w:rsidRDefault="00C92940" w:rsidP="000F3A33">
            <w:pPr>
              <w:pStyle w:val="TableHeading"/>
            </w:pPr>
            <w:r>
              <w:t>Departmental items</w:t>
            </w:r>
          </w:p>
        </w:tc>
        <w:tc>
          <w:tcPr>
            <w:tcW w:w="5707" w:type="dxa"/>
          </w:tcPr>
          <w:p w14:paraId="09408D76" w14:textId="77777777" w:rsidR="000F3A33" w:rsidRPr="000F3A33" w:rsidRDefault="000F3A33" w:rsidP="000F3A33">
            <w:pPr>
              <w:pStyle w:val="TableText"/>
            </w:pPr>
            <w:r w:rsidRPr="001F4A90">
              <w:t xml:space="preserve">Assets, liabilities, revenues and expenses </w:t>
            </w:r>
            <w:r>
              <w:t>that</w:t>
            </w:r>
            <w:r w:rsidRPr="001F4A90">
              <w:t xml:space="preserve"> are controlled by the entity in providing its outputs. Departmental items would generally include computers, plant and equipment assets used by entities in providing goods and services and most employee expenses, supplier costs and other administrative expenses incurred.</w:t>
            </w:r>
          </w:p>
        </w:tc>
      </w:tr>
      <w:tr w:rsidR="000F3A33" w:rsidRPr="001F4A90" w14:paraId="1723C6C1" w14:textId="77777777" w:rsidTr="000F3A33">
        <w:trPr>
          <w:cantSplit/>
          <w:jc w:val="center"/>
        </w:trPr>
        <w:tc>
          <w:tcPr>
            <w:tcW w:w="1670" w:type="dxa"/>
          </w:tcPr>
          <w:p w14:paraId="1699CF17" w14:textId="77777777" w:rsidR="000F3A33" w:rsidRPr="002E7287" w:rsidRDefault="000F3A33" w:rsidP="000F3A33">
            <w:pPr>
              <w:pStyle w:val="TableHeading"/>
            </w:pPr>
            <w:r w:rsidRPr="002E7287">
              <w:t>Depreciation and Amortisation</w:t>
            </w:r>
          </w:p>
        </w:tc>
        <w:tc>
          <w:tcPr>
            <w:tcW w:w="5707" w:type="dxa"/>
          </w:tcPr>
          <w:p w14:paraId="25AA73A8" w14:textId="77777777" w:rsidR="000F3A33" w:rsidRPr="000F3A33" w:rsidRDefault="000F3A33" w:rsidP="000F3A33">
            <w:pPr>
              <w:pStyle w:val="TableText"/>
            </w:pPr>
            <w:r>
              <w:t>Apportionment of an asset’s capital value as an expense over its estimated useful life to take account of normal usage, obsolescence, or the passage of time.</w:t>
            </w:r>
          </w:p>
        </w:tc>
      </w:tr>
      <w:tr w:rsidR="000F3A33" w:rsidRPr="001F4A90" w14:paraId="2C31B5B2" w14:textId="77777777" w:rsidTr="000F3A33">
        <w:trPr>
          <w:cantSplit/>
          <w:jc w:val="center"/>
        </w:trPr>
        <w:tc>
          <w:tcPr>
            <w:tcW w:w="1670" w:type="dxa"/>
          </w:tcPr>
          <w:p w14:paraId="528CA1F8" w14:textId="77777777" w:rsidR="000F3A33" w:rsidRPr="002E7287" w:rsidRDefault="000F3A33" w:rsidP="000F3A33">
            <w:pPr>
              <w:pStyle w:val="TableHeading"/>
            </w:pPr>
            <w:r w:rsidRPr="002E7287">
              <w:t>Efficiency dividend</w:t>
            </w:r>
          </w:p>
        </w:tc>
        <w:tc>
          <w:tcPr>
            <w:tcW w:w="5707" w:type="dxa"/>
          </w:tcPr>
          <w:p w14:paraId="782E8859" w14:textId="77777777" w:rsidR="000F3A33" w:rsidRPr="000F3A33" w:rsidRDefault="000F3A33" w:rsidP="000F3A33">
            <w:pPr>
              <w:spacing w:before="40" w:after="40"/>
              <w:jc w:val="left"/>
              <w:rPr>
                <w:rFonts w:ascii="Book Antiqua" w:eastAsia="Times New Roman" w:hAnsi="Book Antiqua"/>
                <w:color w:val="000000" w:themeColor="text1"/>
                <w:szCs w:val="18"/>
              </w:rPr>
            </w:pPr>
            <w:r w:rsidRPr="000F3A33">
              <w:rPr>
                <w:rFonts w:ascii="Book Antiqua" w:eastAsia="Times New Roman" w:hAnsi="Book Antiqua"/>
                <w:color w:val="000000" w:themeColor="text1"/>
                <w:szCs w:val="18"/>
              </w:rPr>
              <w:t>An annual deduction of a percentage of running costs from an entity's budget, which acts as both an incentive to efficiency and a quantification of some of the efficiency gains made by an entity in the previous year.</w:t>
            </w:r>
          </w:p>
        </w:tc>
      </w:tr>
      <w:tr w:rsidR="000F3A33" w:rsidRPr="001F4A90" w14:paraId="70056E3D" w14:textId="77777777" w:rsidTr="000F3A33">
        <w:trPr>
          <w:cantSplit/>
          <w:jc w:val="center"/>
        </w:trPr>
        <w:tc>
          <w:tcPr>
            <w:tcW w:w="1670" w:type="dxa"/>
          </w:tcPr>
          <w:p w14:paraId="0A142EC8" w14:textId="77777777" w:rsidR="000F3A33" w:rsidRPr="002E7287" w:rsidRDefault="000F3A33" w:rsidP="000F3A33">
            <w:pPr>
              <w:pStyle w:val="TableHeading"/>
            </w:pPr>
            <w:r w:rsidRPr="002E7287">
              <w:lastRenderedPageBreak/>
              <w:t>Equity or net assets</w:t>
            </w:r>
          </w:p>
        </w:tc>
        <w:tc>
          <w:tcPr>
            <w:tcW w:w="5707" w:type="dxa"/>
          </w:tcPr>
          <w:p w14:paraId="43535C36" w14:textId="77777777" w:rsidR="000F3A33" w:rsidRPr="001F4A90" w:rsidRDefault="000F3A33" w:rsidP="000F3A33">
            <w:pPr>
              <w:pStyle w:val="TableText"/>
            </w:pPr>
            <w:r w:rsidRPr="001F4A90">
              <w:t>Residual interest in the assets of an entity after deduction of its liabilities.</w:t>
            </w:r>
          </w:p>
        </w:tc>
      </w:tr>
      <w:tr w:rsidR="000F3A33" w:rsidRPr="001F4A90" w14:paraId="1D86640C" w14:textId="77777777" w:rsidTr="000F3A33">
        <w:trPr>
          <w:cantSplit/>
          <w:jc w:val="center"/>
        </w:trPr>
        <w:tc>
          <w:tcPr>
            <w:tcW w:w="1670" w:type="dxa"/>
          </w:tcPr>
          <w:p w14:paraId="1B630636" w14:textId="77777777" w:rsidR="000F3A33" w:rsidRPr="002E7287" w:rsidRDefault="000F3A33" w:rsidP="000F3A33">
            <w:pPr>
              <w:pStyle w:val="TableHeading"/>
            </w:pPr>
            <w:r w:rsidRPr="002E7287">
              <w:t>Expense</w:t>
            </w:r>
          </w:p>
        </w:tc>
        <w:tc>
          <w:tcPr>
            <w:tcW w:w="5707" w:type="dxa"/>
          </w:tcPr>
          <w:p w14:paraId="40F1F665" w14:textId="77777777" w:rsidR="000F3A33" w:rsidRPr="001F4A90" w:rsidRDefault="000F3A33" w:rsidP="000F3A33">
            <w:pPr>
              <w:pStyle w:val="TableText"/>
            </w:pPr>
            <w:r w:rsidRPr="001F4A90">
              <w:t>The value of resources consumed or lost during the reporting period.</w:t>
            </w:r>
          </w:p>
        </w:tc>
      </w:tr>
      <w:tr w:rsidR="000F3A33" w:rsidRPr="001F4A90" w14:paraId="017B0A03" w14:textId="77777777" w:rsidTr="000F3A33">
        <w:trPr>
          <w:cantSplit/>
          <w:jc w:val="center"/>
        </w:trPr>
        <w:tc>
          <w:tcPr>
            <w:tcW w:w="1670" w:type="dxa"/>
          </w:tcPr>
          <w:p w14:paraId="47B8F4A7" w14:textId="77777777" w:rsidR="000F3A33" w:rsidRPr="002E7287" w:rsidRDefault="000F3A33" w:rsidP="000F3A33">
            <w:pPr>
              <w:pStyle w:val="TableHeading"/>
            </w:pPr>
            <w:r w:rsidRPr="002E7287">
              <w:t>Fair value</w:t>
            </w:r>
          </w:p>
        </w:tc>
        <w:tc>
          <w:tcPr>
            <w:tcW w:w="5707" w:type="dxa"/>
          </w:tcPr>
          <w:p w14:paraId="1D8E91C6" w14:textId="0407A6AB" w:rsidR="000F3A33" w:rsidRPr="001F4A90" w:rsidRDefault="00A90DC3" w:rsidP="000F3A33">
            <w:pPr>
              <w:pStyle w:val="TableText"/>
            </w:pPr>
            <w:r>
              <w:t>Fair values are prices in arm’</w:t>
            </w:r>
            <w:r w:rsidR="000F3A33" w:rsidRPr="001F4A90">
              <w:t>s length transactions between willing buyers and sellers in an active market.</w:t>
            </w:r>
          </w:p>
        </w:tc>
      </w:tr>
      <w:tr w:rsidR="000F3A33" w:rsidRPr="001F4A90" w14:paraId="2F73BE9C" w14:textId="77777777" w:rsidTr="000F3A33">
        <w:trPr>
          <w:cantSplit/>
          <w:jc w:val="center"/>
        </w:trPr>
        <w:tc>
          <w:tcPr>
            <w:tcW w:w="1670" w:type="dxa"/>
          </w:tcPr>
          <w:p w14:paraId="683BC797" w14:textId="77777777" w:rsidR="000F3A33" w:rsidRPr="002E7287" w:rsidRDefault="000F3A33" w:rsidP="000F3A33">
            <w:pPr>
              <w:pStyle w:val="TableHeading"/>
            </w:pPr>
            <w:r w:rsidRPr="002E7287">
              <w:t>Forward estimates</w:t>
            </w:r>
          </w:p>
        </w:tc>
        <w:tc>
          <w:tcPr>
            <w:tcW w:w="5707" w:type="dxa"/>
          </w:tcPr>
          <w:p w14:paraId="5864D607" w14:textId="1493861F" w:rsidR="000F3A33" w:rsidRPr="001F4A90" w:rsidRDefault="00A90DC3" w:rsidP="000F3A33">
            <w:pPr>
              <w:pStyle w:val="TableText"/>
            </w:pPr>
            <w:r>
              <w:t>A system of rolling 3</w:t>
            </w:r>
            <w:r w:rsidR="000F3A33" w:rsidRPr="001F4A90">
              <w:t xml:space="preserve"> year financial estimates. After the Budget is passed, the first year of the forward estimates becomes the base for next year's Budget bid, and another out year is added to the forward estimates.</w:t>
            </w:r>
          </w:p>
        </w:tc>
      </w:tr>
      <w:tr w:rsidR="000F3A33" w:rsidRPr="001F4A90" w14:paraId="32F7A87C" w14:textId="77777777" w:rsidTr="000F3A33">
        <w:trPr>
          <w:cantSplit/>
          <w:jc w:val="center"/>
        </w:trPr>
        <w:tc>
          <w:tcPr>
            <w:tcW w:w="1670" w:type="dxa"/>
          </w:tcPr>
          <w:p w14:paraId="06642803" w14:textId="77777777" w:rsidR="000F3A33" w:rsidRPr="002E7287" w:rsidRDefault="000F3A33" w:rsidP="000F3A33">
            <w:pPr>
              <w:pStyle w:val="TableHeading"/>
            </w:pPr>
            <w:r w:rsidRPr="002E7287">
              <w:t>Historical cost</w:t>
            </w:r>
          </w:p>
        </w:tc>
        <w:tc>
          <w:tcPr>
            <w:tcW w:w="5707" w:type="dxa"/>
          </w:tcPr>
          <w:p w14:paraId="4B5FBD8D" w14:textId="140484DB" w:rsidR="000F3A33" w:rsidRPr="001F4A90" w:rsidRDefault="000F3A33" w:rsidP="000F3A33">
            <w:pPr>
              <w:pStyle w:val="TableText"/>
            </w:pPr>
            <w:r w:rsidRPr="001F4A90">
              <w:t xml:space="preserve">The original cost of acquisition of an asset, including any costs associated with acquisition. Under AASB </w:t>
            </w:r>
            <w:r w:rsidRPr="00877D14">
              <w:t>116</w:t>
            </w:r>
            <w:r w:rsidR="00A90DC3">
              <w:t>,</w:t>
            </w:r>
            <w:r w:rsidRPr="00877D14">
              <w:t xml:space="preserve"> </w:t>
            </w:r>
            <w:r w:rsidRPr="00A51F76">
              <w:t>Property, Plant and Equipment</w:t>
            </w:r>
            <w:r w:rsidRPr="00BC6F41">
              <w:rPr>
                <w:i/>
              </w:rPr>
              <w:t xml:space="preserve"> </w:t>
            </w:r>
            <w:r w:rsidRPr="001F4A90">
              <w:t>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w:t>
            </w:r>
          </w:p>
        </w:tc>
      </w:tr>
      <w:tr w:rsidR="000F3A33" w:rsidRPr="001F4A90" w14:paraId="08F66BE1" w14:textId="77777777" w:rsidTr="000F3A33">
        <w:trPr>
          <w:cantSplit/>
          <w:jc w:val="center"/>
        </w:trPr>
        <w:tc>
          <w:tcPr>
            <w:tcW w:w="1670" w:type="dxa"/>
          </w:tcPr>
          <w:p w14:paraId="620763DA" w14:textId="77777777" w:rsidR="000F3A33" w:rsidRPr="002E7287" w:rsidRDefault="000F3A33" w:rsidP="000F3A33">
            <w:pPr>
              <w:pStyle w:val="TableHeading"/>
            </w:pPr>
            <w:r w:rsidRPr="002E7287">
              <w:t>Liabilities</w:t>
            </w:r>
          </w:p>
        </w:tc>
        <w:tc>
          <w:tcPr>
            <w:tcW w:w="5707" w:type="dxa"/>
          </w:tcPr>
          <w:p w14:paraId="508E94FC" w14:textId="77777777" w:rsidR="000F3A33" w:rsidRPr="001F4A90" w:rsidRDefault="000F3A33" w:rsidP="000F3A33">
            <w:pPr>
              <w:pStyle w:val="TableText"/>
            </w:pPr>
            <w:r w:rsidRPr="001F4A90">
              <w:t>Future sacrifices of economic benefits that an entity is presently obliged to make to other entities as a result of past transactions or other past events.</w:t>
            </w:r>
          </w:p>
        </w:tc>
      </w:tr>
      <w:tr w:rsidR="000F3A33" w:rsidRPr="001F4A90" w14:paraId="356756FF" w14:textId="77777777" w:rsidTr="000F3A33">
        <w:trPr>
          <w:cantSplit/>
          <w:jc w:val="center"/>
        </w:trPr>
        <w:tc>
          <w:tcPr>
            <w:tcW w:w="1670" w:type="dxa"/>
          </w:tcPr>
          <w:p w14:paraId="70955287" w14:textId="77777777" w:rsidR="000F3A33" w:rsidRPr="002E7287" w:rsidRDefault="000F3A33" w:rsidP="000F3A33">
            <w:pPr>
              <w:pStyle w:val="TableHeading"/>
            </w:pPr>
            <w:r w:rsidRPr="002E7287">
              <w:t>Mid-Year Economic and Fiscal Outlook (MYEFO)</w:t>
            </w:r>
          </w:p>
        </w:tc>
        <w:tc>
          <w:tcPr>
            <w:tcW w:w="5707" w:type="dxa"/>
          </w:tcPr>
          <w:p w14:paraId="2B8C034C" w14:textId="19863E6E" w:rsidR="000F3A33" w:rsidRPr="001F4A90" w:rsidRDefault="000F3A33" w:rsidP="000F3A33">
            <w:pPr>
              <w:pStyle w:val="TableText"/>
            </w:pPr>
            <w:r>
              <w:t>The MYEFO</w:t>
            </w:r>
            <w:r w:rsidRPr="00EC02CE">
              <w:t xml:space="preserve"> updates the economic and fiscal o</w:t>
            </w:r>
            <w:r>
              <w:t xml:space="preserve">utlook from the previous </w:t>
            </w:r>
            <w:r w:rsidR="00877D14">
              <w:t>B</w:t>
            </w:r>
            <w:r>
              <w:t xml:space="preserve">udget, and </w:t>
            </w:r>
            <w:r w:rsidRPr="00EC02CE">
              <w:t xml:space="preserve">takes account of all decisions made since the release of the </w:t>
            </w:r>
            <w:r w:rsidR="00877D14">
              <w:t>B</w:t>
            </w:r>
            <w:r w:rsidRPr="00EC02CE">
              <w:t xml:space="preserve">udget </w:t>
            </w:r>
            <w:r>
              <w:t>that</w:t>
            </w:r>
            <w:r w:rsidRPr="00EC02CE">
              <w:t xml:space="preserve"> affect expenses and revenue</w:t>
            </w:r>
            <w:r>
              <w:t>,</w:t>
            </w:r>
            <w:r w:rsidRPr="00EC02CE">
              <w:t xml:space="preserve"> and hence revises the </w:t>
            </w:r>
            <w:r w:rsidR="00877D14">
              <w:t>B</w:t>
            </w:r>
            <w:r w:rsidRPr="00EC02CE">
              <w:t xml:space="preserve">udget aggregates. </w:t>
            </w:r>
          </w:p>
        </w:tc>
      </w:tr>
      <w:tr w:rsidR="000F3A33" w:rsidRPr="001F4A90" w14:paraId="0A1760BE" w14:textId="77777777" w:rsidTr="000F3A33">
        <w:trPr>
          <w:cantSplit/>
          <w:jc w:val="center"/>
        </w:trPr>
        <w:tc>
          <w:tcPr>
            <w:tcW w:w="1670" w:type="dxa"/>
          </w:tcPr>
          <w:p w14:paraId="58814D0D" w14:textId="77777777" w:rsidR="000F3A33" w:rsidRPr="002E7287" w:rsidRDefault="000F3A33" w:rsidP="000F3A33">
            <w:pPr>
              <w:pStyle w:val="TableHeading"/>
            </w:pPr>
            <w:r w:rsidRPr="002E7287">
              <w:t>Operating result</w:t>
            </w:r>
          </w:p>
        </w:tc>
        <w:tc>
          <w:tcPr>
            <w:tcW w:w="5707" w:type="dxa"/>
          </w:tcPr>
          <w:p w14:paraId="7375D272" w14:textId="77777777" w:rsidR="000F3A33" w:rsidRPr="001F4A90" w:rsidRDefault="000F3A33" w:rsidP="000F3A33">
            <w:pPr>
              <w:pStyle w:val="TableText"/>
            </w:pPr>
            <w:r w:rsidRPr="001F4A90">
              <w:t>Equals income less expenses.</w:t>
            </w:r>
          </w:p>
        </w:tc>
      </w:tr>
      <w:tr w:rsidR="000F3A33" w:rsidRPr="001F4A90" w14:paraId="10951083" w14:textId="77777777" w:rsidTr="000F3A33">
        <w:trPr>
          <w:cantSplit/>
          <w:jc w:val="center"/>
        </w:trPr>
        <w:tc>
          <w:tcPr>
            <w:tcW w:w="1670" w:type="dxa"/>
          </w:tcPr>
          <w:p w14:paraId="3DE72048" w14:textId="77777777" w:rsidR="000F3A33" w:rsidRPr="002E7287" w:rsidRDefault="000F3A33" w:rsidP="000F3A33">
            <w:pPr>
              <w:pStyle w:val="TableHeading"/>
            </w:pPr>
            <w:r w:rsidRPr="002E7287">
              <w:br w:type="page"/>
            </w:r>
            <w:r w:rsidRPr="002E7287">
              <w:br w:type="page"/>
              <w:t>Outcomes</w:t>
            </w:r>
          </w:p>
        </w:tc>
        <w:tc>
          <w:tcPr>
            <w:tcW w:w="5707" w:type="dxa"/>
          </w:tcPr>
          <w:p w14:paraId="66CE3A07" w14:textId="236B1882" w:rsidR="000F3A33" w:rsidRPr="001F4A90" w:rsidRDefault="000F3A33" w:rsidP="000F3A33">
            <w:pPr>
              <w:pStyle w:val="TableText"/>
            </w:pPr>
            <w:r w:rsidRPr="001F4A90">
              <w:t>Outcomes are the results of events, actions or circumstances</w:t>
            </w:r>
            <w:r w:rsidR="00DC7B53">
              <w:t>,</w:t>
            </w:r>
            <w:r w:rsidRPr="001F4A90">
              <w:t xml:space="preserve"> including</w:t>
            </w:r>
            <w:r w:rsidR="00A90DC3">
              <w:t>,</w:t>
            </w:r>
            <w:r w:rsidRPr="001F4A90">
              <w:t xml:space="preserve"> in particular, the impact of the Australian Government on the Australian community. Outcomes may be linked with both the outputs of entities using the departmental expenses under their control, and with the administered expenses which entities manage on behalf of the Australian Government. Planned outcomes represent the chang</w:t>
            </w:r>
            <w:r w:rsidR="00A90DC3">
              <w:t>es desired by g</w:t>
            </w:r>
            <w:r w:rsidRPr="001F4A90">
              <w:t>overnment. The achievement of actual outcomes is assessed and reported in the Annual Report.</w:t>
            </w:r>
          </w:p>
        </w:tc>
      </w:tr>
      <w:tr w:rsidR="000F3A33" w:rsidRPr="001F4A90" w14:paraId="01E586CF" w14:textId="77777777" w:rsidTr="000F3A33">
        <w:trPr>
          <w:cantSplit/>
          <w:jc w:val="center"/>
        </w:trPr>
        <w:tc>
          <w:tcPr>
            <w:tcW w:w="1670" w:type="dxa"/>
          </w:tcPr>
          <w:p w14:paraId="41A72FA1" w14:textId="77777777" w:rsidR="000F3A33" w:rsidRPr="002E7287" w:rsidRDefault="000F3A33" w:rsidP="001D74B7">
            <w:pPr>
              <w:pStyle w:val="TableHeading"/>
            </w:pPr>
            <w:r w:rsidRPr="002E7287">
              <w:t xml:space="preserve">Performance </w:t>
            </w:r>
            <w:r w:rsidR="001D74B7">
              <w:t>measure</w:t>
            </w:r>
          </w:p>
        </w:tc>
        <w:tc>
          <w:tcPr>
            <w:tcW w:w="5707" w:type="dxa"/>
          </w:tcPr>
          <w:p w14:paraId="45DB1C9D" w14:textId="18BC2307" w:rsidR="000F3A33" w:rsidRPr="001F4A90" w:rsidRDefault="001D74B7" w:rsidP="001D74B7">
            <w:pPr>
              <w:pStyle w:val="TableText"/>
            </w:pPr>
            <w:r>
              <w:t>U</w:t>
            </w:r>
            <w:r w:rsidR="000F3A33" w:rsidRPr="001F4A90">
              <w:t xml:space="preserve">sed to measure entity effectiveness in achieving the Government’s outcomes. </w:t>
            </w:r>
            <w:r>
              <w:t>Performance measures</w:t>
            </w:r>
            <w:r w:rsidRPr="001F4A90">
              <w:t xml:space="preserve"> </w:t>
            </w:r>
            <w:r w:rsidR="000F3A33" w:rsidRPr="001F4A90">
              <w:t xml:space="preserve">must be measurable, </w:t>
            </w:r>
            <w:r>
              <w:t>and</w:t>
            </w:r>
            <w:r w:rsidRPr="001F4A90">
              <w:t xml:space="preserve"> </w:t>
            </w:r>
            <w:r w:rsidR="000F3A33" w:rsidRPr="001F4A90">
              <w:t xml:space="preserve">may be qualitative or quantitative. </w:t>
            </w:r>
            <w:r>
              <w:t>Performance measures</w:t>
            </w:r>
            <w:r w:rsidRPr="001F4A90">
              <w:t xml:space="preserve"> </w:t>
            </w:r>
            <w:r w:rsidR="000F3A33" w:rsidRPr="001F4A90">
              <w:t xml:space="preserve">in the Portfolio Budget Statements are reported in the </w:t>
            </w:r>
            <w:r w:rsidR="000F3A33">
              <w:t>A</w:t>
            </w:r>
            <w:r w:rsidR="000F3A33" w:rsidRPr="001F4A90">
              <w:t xml:space="preserve">nnual </w:t>
            </w:r>
            <w:r w:rsidR="000F3A33">
              <w:t>P</w:t>
            </w:r>
            <w:r w:rsidR="000F3A33" w:rsidRPr="001F4A90">
              <w:t xml:space="preserve">erformance </w:t>
            </w:r>
            <w:r w:rsidR="000F3A33">
              <w:t>S</w:t>
            </w:r>
            <w:r w:rsidR="000F3A33" w:rsidRPr="001F4A90">
              <w:t xml:space="preserve">tatements, </w:t>
            </w:r>
            <w:r w:rsidR="00A90DC3">
              <w:t xml:space="preserve">published </w:t>
            </w:r>
            <w:r w:rsidR="000F3A33" w:rsidRPr="001F4A90">
              <w:t xml:space="preserve">in the Annual Report, for the same year. </w:t>
            </w:r>
          </w:p>
        </w:tc>
      </w:tr>
      <w:tr w:rsidR="000F3A33" w:rsidRPr="001F4A90" w14:paraId="7EF8C4FA" w14:textId="77777777" w:rsidTr="000F3A33">
        <w:trPr>
          <w:cantSplit/>
          <w:jc w:val="center"/>
        </w:trPr>
        <w:tc>
          <w:tcPr>
            <w:tcW w:w="1670" w:type="dxa"/>
          </w:tcPr>
          <w:p w14:paraId="5D716985" w14:textId="77777777" w:rsidR="000F3A33" w:rsidRPr="002E7287" w:rsidRDefault="000F3A33" w:rsidP="000F3A33">
            <w:pPr>
              <w:pStyle w:val="TableHeading"/>
            </w:pPr>
            <w:r w:rsidRPr="002E7287">
              <w:t>PGPA Act</w:t>
            </w:r>
          </w:p>
        </w:tc>
        <w:tc>
          <w:tcPr>
            <w:tcW w:w="5707" w:type="dxa"/>
          </w:tcPr>
          <w:p w14:paraId="62EA079B" w14:textId="063518A9" w:rsidR="000F3A33" w:rsidRPr="000F3A33" w:rsidRDefault="000F3A33" w:rsidP="000F3A33">
            <w:pPr>
              <w:spacing w:before="40" w:after="40"/>
              <w:jc w:val="left"/>
              <w:rPr>
                <w:rFonts w:ascii="Book Antiqua" w:hAnsi="Book Antiqua"/>
                <w:i/>
                <w:color w:val="000000" w:themeColor="text1"/>
                <w:szCs w:val="18"/>
              </w:rPr>
            </w:pPr>
            <w:r w:rsidRPr="000F3A33">
              <w:rPr>
                <w:rFonts w:ascii="Book Antiqua" w:hAnsi="Book Antiqua"/>
                <w:i/>
                <w:color w:val="000000" w:themeColor="text1"/>
                <w:szCs w:val="18"/>
              </w:rPr>
              <w:t>Public Governance, Performa</w:t>
            </w:r>
            <w:r w:rsidR="00A90DC3">
              <w:rPr>
                <w:rFonts w:ascii="Book Antiqua" w:hAnsi="Book Antiqua"/>
                <w:i/>
                <w:color w:val="000000" w:themeColor="text1"/>
                <w:szCs w:val="18"/>
              </w:rPr>
              <w:t>nce and Accountability Act 2013.</w:t>
            </w:r>
          </w:p>
          <w:p w14:paraId="4732B28E" w14:textId="06E2F451" w:rsidR="000F3A33" w:rsidRPr="00CA66B1" w:rsidRDefault="000F3A33" w:rsidP="000F3A33">
            <w:pPr>
              <w:pStyle w:val="TableText"/>
            </w:pPr>
            <w:r w:rsidRPr="00CA66B1">
              <w:t>An Act about the governance, performance and accountability of, and the use and management of</w:t>
            </w:r>
            <w:r w:rsidR="00A90DC3">
              <w:t>,</w:t>
            </w:r>
            <w:r w:rsidRPr="00CA66B1">
              <w:t xml:space="preserve"> public resources by the Commonwealth, Commonwealth entities and Commonwealth companies, and for related purposes.</w:t>
            </w:r>
          </w:p>
        </w:tc>
      </w:tr>
      <w:tr w:rsidR="000F3A33" w:rsidRPr="001F4A90" w14:paraId="5B2A6B4A" w14:textId="77777777" w:rsidTr="000F3A33">
        <w:trPr>
          <w:cantSplit/>
          <w:jc w:val="center"/>
        </w:trPr>
        <w:tc>
          <w:tcPr>
            <w:tcW w:w="1670" w:type="dxa"/>
          </w:tcPr>
          <w:p w14:paraId="28A9B165" w14:textId="77777777" w:rsidR="000F3A33" w:rsidRPr="002E7287" w:rsidRDefault="000F3A33" w:rsidP="000F3A33">
            <w:pPr>
              <w:pStyle w:val="TableHeading"/>
            </w:pPr>
            <w:r w:rsidRPr="002E7287">
              <w:lastRenderedPageBreak/>
              <w:t>Portfolio Budget Statements</w:t>
            </w:r>
          </w:p>
        </w:tc>
        <w:tc>
          <w:tcPr>
            <w:tcW w:w="5707" w:type="dxa"/>
          </w:tcPr>
          <w:p w14:paraId="11072BDD" w14:textId="77777777" w:rsidR="000F3A33" w:rsidRPr="001F4A90" w:rsidRDefault="000F3A33" w:rsidP="000F3A33">
            <w:pPr>
              <w:pStyle w:val="TableText"/>
            </w:pPr>
            <w:r>
              <w:t xml:space="preserve">Budget Related Paper </w:t>
            </w:r>
            <w:r w:rsidRPr="001F4A90">
              <w:t xml:space="preserve">prepared by Portfolios </w:t>
            </w:r>
            <w:r>
              <w:t>detailing Budget initiatives and explanations of</w:t>
            </w:r>
            <w:r w:rsidRPr="001F4A90">
              <w:t xml:space="preserve"> appropriations in terms of outcomes and programs.</w:t>
            </w:r>
          </w:p>
        </w:tc>
      </w:tr>
      <w:tr w:rsidR="000F3A33" w:rsidRPr="001F4A90" w14:paraId="6A0FE89B" w14:textId="77777777" w:rsidTr="000F3A33">
        <w:trPr>
          <w:cantSplit/>
          <w:jc w:val="center"/>
        </w:trPr>
        <w:tc>
          <w:tcPr>
            <w:tcW w:w="1670" w:type="dxa"/>
          </w:tcPr>
          <w:p w14:paraId="0562E3F5" w14:textId="77777777" w:rsidR="000F3A33" w:rsidRPr="002E7287" w:rsidRDefault="000F3A33" w:rsidP="000F3A33">
            <w:pPr>
              <w:pStyle w:val="TableHeading"/>
            </w:pPr>
            <w:r w:rsidRPr="002E7287">
              <w:t>Price parameter adjustment</w:t>
            </w:r>
          </w:p>
        </w:tc>
        <w:tc>
          <w:tcPr>
            <w:tcW w:w="5707" w:type="dxa"/>
          </w:tcPr>
          <w:p w14:paraId="3DCFDAF6" w14:textId="77777777" w:rsidR="000F3A33" w:rsidRPr="001F4A90" w:rsidRDefault="000F3A33" w:rsidP="000F3A33">
            <w:pPr>
              <w:pStyle w:val="TableText"/>
            </w:pPr>
            <w:r w:rsidRPr="001F4A90">
              <w:t>Expenses are indexed by a price parameter for anticipated increases in costs over the estimates period. Changes in indexation are annotated to each outcome as ‘Price parameter adjustment’ or ‘Application of indexation parameters’.</w:t>
            </w:r>
          </w:p>
        </w:tc>
      </w:tr>
      <w:tr w:rsidR="000F3A33" w:rsidRPr="001F4A90" w14:paraId="6EFAB016" w14:textId="77777777" w:rsidTr="000F3A33">
        <w:trPr>
          <w:cantSplit/>
          <w:jc w:val="center"/>
        </w:trPr>
        <w:tc>
          <w:tcPr>
            <w:tcW w:w="1670" w:type="dxa"/>
          </w:tcPr>
          <w:p w14:paraId="7F5B68F5" w14:textId="77777777" w:rsidR="000F3A33" w:rsidRPr="002E7287" w:rsidRDefault="000F3A33" w:rsidP="000F3A33">
            <w:pPr>
              <w:pStyle w:val="TableHeading"/>
            </w:pPr>
            <w:r w:rsidRPr="002E7287">
              <w:t>Program/ Programme</w:t>
            </w:r>
          </w:p>
        </w:tc>
        <w:tc>
          <w:tcPr>
            <w:tcW w:w="5707" w:type="dxa"/>
          </w:tcPr>
          <w:p w14:paraId="70D6795C" w14:textId="5EBAF443" w:rsidR="000F3A33" w:rsidRPr="001F4A90" w:rsidRDefault="000F3A33" w:rsidP="000F3A33">
            <w:pPr>
              <w:pStyle w:val="TableText"/>
            </w:pPr>
            <w:r w:rsidRPr="001F4A90">
              <w:t>Commonwealth programs deliver benefits, services or transfer payments to individuals, industry/business or the community as a whole, an</w:t>
            </w:r>
            <w:r w:rsidR="00185A2D">
              <w:t>d are the primary vehicles for g</w:t>
            </w:r>
            <w:r w:rsidRPr="001F4A90">
              <w:t xml:space="preserve">overnment entities to achieve </w:t>
            </w:r>
            <w:r w:rsidRPr="001F4A90">
              <w:rPr>
                <w:snapToGrid w:val="0"/>
              </w:rPr>
              <w:t>the</w:t>
            </w:r>
            <w:r w:rsidRPr="001F4A90">
              <w:t xml:space="preserve"> intended results of their outcome state</w:t>
            </w:r>
            <w:r w:rsidR="00185A2D">
              <w:t>ments. Commencing from the 2009–</w:t>
            </w:r>
            <w:r w:rsidRPr="001F4A90">
              <w:t>10 Budget, entities are required to report to Parliament by program.</w:t>
            </w:r>
          </w:p>
        </w:tc>
      </w:tr>
      <w:tr w:rsidR="000F3A33" w:rsidRPr="001F4A90" w14:paraId="72547726" w14:textId="77777777" w:rsidTr="000F3A33">
        <w:trPr>
          <w:cantSplit/>
          <w:jc w:val="center"/>
        </w:trPr>
        <w:tc>
          <w:tcPr>
            <w:tcW w:w="1670" w:type="dxa"/>
          </w:tcPr>
          <w:p w14:paraId="22422AF7" w14:textId="77777777" w:rsidR="000F3A33" w:rsidRPr="002E7287" w:rsidRDefault="000F3A33" w:rsidP="000F3A33">
            <w:pPr>
              <w:pStyle w:val="TableHeading"/>
            </w:pPr>
            <w:r w:rsidRPr="002E7287">
              <w:t>Revenue</w:t>
            </w:r>
          </w:p>
        </w:tc>
        <w:tc>
          <w:tcPr>
            <w:tcW w:w="5707" w:type="dxa"/>
          </w:tcPr>
          <w:p w14:paraId="5F76F9A7" w14:textId="77777777" w:rsidR="000F3A33" w:rsidRPr="001F4A90" w:rsidRDefault="000F3A33" w:rsidP="000F3A33">
            <w:pPr>
              <w:pStyle w:val="TableText"/>
            </w:pPr>
            <w:r w:rsidRPr="001F4A90">
              <w:t xml:space="preserve">Total </w:t>
            </w:r>
            <w:r w:rsidRPr="001F4A90">
              <w:rPr>
                <w:snapToGrid w:val="0"/>
              </w:rPr>
              <w:t>value</w:t>
            </w:r>
            <w:r w:rsidRPr="001F4A90">
              <w:t xml:space="preserve"> of resources earned or received during the reporting period.</w:t>
            </w:r>
          </w:p>
        </w:tc>
      </w:tr>
      <w:tr w:rsidR="000F3A33" w:rsidRPr="001F4A90" w14:paraId="4FA2020D" w14:textId="77777777" w:rsidTr="000F3A33">
        <w:trPr>
          <w:cantSplit/>
          <w:jc w:val="center"/>
        </w:trPr>
        <w:tc>
          <w:tcPr>
            <w:tcW w:w="1670" w:type="dxa"/>
          </w:tcPr>
          <w:p w14:paraId="2D6BD3D5" w14:textId="77777777" w:rsidR="000F3A33" w:rsidRPr="002E7287" w:rsidRDefault="000F3A33" w:rsidP="000F3A33">
            <w:pPr>
              <w:pStyle w:val="TableHeading"/>
            </w:pPr>
            <w:r>
              <w:t>Right-of-Use Asset</w:t>
            </w:r>
          </w:p>
        </w:tc>
        <w:tc>
          <w:tcPr>
            <w:tcW w:w="5707" w:type="dxa"/>
          </w:tcPr>
          <w:p w14:paraId="1CAA62EE" w14:textId="77777777" w:rsidR="000F3A33" w:rsidRPr="001F4A90" w:rsidRDefault="000F3A33" w:rsidP="000F3A33">
            <w:pPr>
              <w:pStyle w:val="TableText"/>
            </w:pPr>
            <w:r w:rsidRPr="004479D5">
              <w:rPr>
                <w:rFonts w:cs="Book Antiqua"/>
              </w:rPr>
              <w:t>An asset that represents a lessee’s right to use an underlying asset for the lease term.</w:t>
            </w:r>
          </w:p>
        </w:tc>
      </w:tr>
      <w:tr w:rsidR="000F3A33" w:rsidRPr="001F4A90" w14:paraId="4618DEA9" w14:textId="77777777" w:rsidTr="000F3A33">
        <w:trPr>
          <w:cantSplit/>
          <w:jc w:val="center"/>
        </w:trPr>
        <w:tc>
          <w:tcPr>
            <w:tcW w:w="1670" w:type="dxa"/>
          </w:tcPr>
          <w:p w14:paraId="15359267" w14:textId="77777777" w:rsidR="000F3A33" w:rsidRPr="002E7287" w:rsidRDefault="000F3A33" w:rsidP="000F3A33">
            <w:pPr>
              <w:pStyle w:val="TableHeading"/>
            </w:pPr>
            <w:r w:rsidRPr="002E7287">
              <w:t>Special account</w:t>
            </w:r>
          </w:p>
        </w:tc>
        <w:tc>
          <w:tcPr>
            <w:tcW w:w="5707" w:type="dxa"/>
          </w:tcPr>
          <w:p w14:paraId="433E3F8D" w14:textId="77777777" w:rsidR="000F3A33" w:rsidRPr="001F4A90" w:rsidRDefault="000F3A33" w:rsidP="000F3A33">
            <w:pPr>
              <w:pStyle w:val="TableText"/>
            </w:pPr>
            <w:r w:rsidRPr="001F4A90">
              <w:t>A special account is an appropriation mechanism that notionally sets aside an amount within the Consolidated Revenue Fund (CRF) to be expended for specific purposes. The amount of appropriation that may be drawn from the CRF by means of a special account is limited to the balance of each special account. Special accounts are not bank accounts. However, amounts forming the balance of a special account may be held in the Official Public Account, an entity official bank account</w:t>
            </w:r>
            <w:r w:rsidR="00DC7B53">
              <w:t>,</w:t>
            </w:r>
            <w:r w:rsidRPr="001F4A90">
              <w:t xml:space="preserve"> or by an outsider authorised in a manner consistent with the PGPA Act.</w:t>
            </w:r>
          </w:p>
        </w:tc>
      </w:tr>
      <w:tr w:rsidR="000F3A33" w:rsidRPr="001F4A90" w14:paraId="03B8938A" w14:textId="77777777" w:rsidTr="000F3A33">
        <w:trPr>
          <w:cantSplit/>
          <w:jc w:val="center"/>
        </w:trPr>
        <w:tc>
          <w:tcPr>
            <w:tcW w:w="1670" w:type="dxa"/>
          </w:tcPr>
          <w:p w14:paraId="4322DC73" w14:textId="77777777" w:rsidR="000F3A33" w:rsidRPr="002E7287" w:rsidRDefault="000F3A33" w:rsidP="000F3A33">
            <w:pPr>
              <w:pStyle w:val="TableHeading"/>
            </w:pPr>
            <w:r w:rsidRPr="002E7287">
              <w:t>Special appropriation</w:t>
            </w:r>
          </w:p>
        </w:tc>
        <w:tc>
          <w:tcPr>
            <w:tcW w:w="5707" w:type="dxa"/>
          </w:tcPr>
          <w:p w14:paraId="2B700690" w14:textId="09CA5CF3" w:rsidR="000F3A33" w:rsidRPr="001F4A90" w:rsidRDefault="000F3A33" w:rsidP="000F3A33">
            <w:pPr>
              <w:pStyle w:val="TableText"/>
            </w:pPr>
            <w:r w:rsidRPr="001F4A90">
              <w:t xml:space="preserve">Special appropriations are provisions within an Act, other than the annual appropriation Acts, which authorise expenditure for particular purposes. Special appropriations may state a maximum amount that is </w:t>
            </w:r>
            <w:r w:rsidRPr="001F4A90">
              <w:rPr>
                <w:snapToGrid w:val="0"/>
              </w:rPr>
              <w:t>appropriated</w:t>
            </w:r>
            <w:r w:rsidRPr="001F4A90">
              <w:t xml:space="preserve"> for the particular purpose</w:t>
            </w:r>
            <w:r w:rsidR="00185A2D">
              <w:t>,</w:t>
            </w:r>
            <w:r w:rsidRPr="001F4A90">
              <w:t xml:space="preserve"> or may specify the legislative criteria that will determine the amount to be paid.</w:t>
            </w:r>
          </w:p>
        </w:tc>
      </w:tr>
      <w:tr w:rsidR="000F3A33" w:rsidRPr="001F4A90" w14:paraId="2FA3B90C" w14:textId="77777777" w:rsidTr="000F3A33">
        <w:trPr>
          <w:cantSplit/>
          <w:jc w:val="center"/>
        </w:trPr>
        <w:tc>
          <w:tcPr>
            <w:tcW w:w="1670" w:type="dxa"/>
          </w:tcPr>
          <w:p w14:paraId="5B00C4B6" w14:textId="77777777" w:rsidR="000F3A33" w:rsidRPr="002E7287" w:rsidRDefault="000F3A33" w:rsidP="000F3A33">
            <w:pPr>
              <w:pStyle w:val="TableHeading"/>
            </w:pPr>
            <w:r w:rsidRPr="002E7287">
              <w:t>Strategic Direction Statement</w:t>
            </w:r>
          </w:p>
        </w:tc>
        <w:tc>
          <w:tcPr>
            <w:tcW w:w="5707" w:type="dxa"/>
          </w:tcPr>
          <w:p w14:paraId="47876112" w14:textId="77777777" w:rsidR="000F3A33" w:rsidRPr="002E7287" w:rsidRDefault="000F3A33" w:rsidP="000F3A33">
            <w:pPr>
              <w:pStyle w:val="TableText"/>
            </w:pPr>
            <w:r w:rsidRPr="002E7287">
              <w:t>The Strategic Direction Statement explains the year ahead for the entity, focusing on the items of most importance, recognising the major Budget decisions affecting the entity, the major ongoing functions, new function</w:t>
            </w:r>
            <w:r w:rsidR="00DC7B53">
              <w:t>s</w:t>
            </w:r>
            <w:r w:rsidRPr="002E7287">
              <w:t xml:space="preserve"> and significant partnership arrangements, as well as upcoming challenges in the years ahead.</w:t>
            </w:r>
          </w:p>
        </w:tc>
      </w:tr>
    </w:tbl>
    <w:p w14:paraId="36FEBC1B" w14:textId="77777777" w:rsidR="00280050" w:rsidRDefault="00280050" w:rsidP="000F3A33">
      <w:pPr>
        <w:jc w:val="left"/>
      </w:pPr>
    </w:p>
    <w:sectPr w:rsidR="00280050" w:rsidSect="001F6383">
      <w:footerReference w:type="even" r:id="rId6"/>
      <w:footerReference w:type="default" r:id="rId7"/>
      <w:pgSz w:w="11906" w:h="16838"/>
      <w:pgMar w:top="2466" w:right="2268" w:bottom="2126" w:left="2268" w:header="1899" w:footer="1899" w:gutter="0"/>
      <w:pgNumType w:start="4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D3528" w14:textId="77777777" w:rsidR="000F3A33" w:rsidRDefault="000F3A33" w:rsidP="000F3A33">
      <w:pPr>
        <w:spacing w:after="0" w:line="240" w:lineRule="auto"/>
      </w:pPr>
      <w:r>
        <w:separator/>
      </w:r>
    </w:p>
  </w:endnote>
  <w:endnote w:type="continuationSeparator" w:id="0">
    <w:p w14:paraId="260A59F7" w14:textId="77777777" w:rsidR="000F3A33" w:rsidRDefault="000F3A33" w:rsidP="000F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84B8" w14:textId="37AD65E2" w:rsidR="00633476" w:rsidRPr="00633476" w:rsidRDefault="00633476" w:rsidP="006A6584">
    <w:pPr>
      <w:pStyle w:val="NoSpacing"/>
      <w:pBdr>
        <w:top w:val="single" w:sz="4" w:space="10" w:color="auto"/>
      </w:pBdr>
      <w:jc w:val="left"/>
    </w:pPr>
    <w:r w:rsidRPr="00633476">
      <w:rPr>
        <w:b/>
      </w:rPr>
      <w:t xml:space="preserve">Page </w:t>
    </w:r>
    <w:r w:rsidRPr="00633476">
      <w:rPr>
        <w:b/>
        <w:bCs/>
      </w:rPr>
      <w:fldChar w:fldCharType="begin"/>
    </w:r>
    <w:r w:rsidRPr="00633476">
      <w:rPr>
        <w:b/>
      </w:rPr>
      <w:instrText xml:space="preserve"> PAGE </w:instrText>
    </w:r>
    <w:r w:rsidRPr="00633476">
      <w:rPr>
        <w:b/>
        <w:bCs/>
      </w:rPr>
      <w:fldChar w:fldCharType="separate"/>
    </w:r>
    <w:r w:rsidR="001F6383">
      <w:rPr>
        <w:b/>
        <w:noProof/>
      </w:rPr>
      <w:t>446</w:t>
    </w:r>
    <w:r w:rsidRPr="00633476">
      <w:fldChar w:fldCharType="end"/>
    </w:r>
    <w:r w:rsidRPr="00633476">
      <w:t xml:space="preserve">  | </w:t>
    </w:r>
    <w:r>
      <w:t>Portfolio glossary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97F0" w14:textId="152908C2" w:rsidR="00633476" w:rsidRPr="00633476" w:rsidRDefault="00633476" w:rsidP="006A6584">
    <w:pPr>
      <w:pStyle w:val="Subtitle"/>
      <w:pBdr>
        <w:top w:val="single" w:sz="4" w:space="10" w:color="auto"/>
      </w:pBdr>
      <w:jc w:val="right"/>
    </w:pPr>
    <w:r w:rsidRPr="00633476">
      <w:t xml:space="preserve">Portfolio glossary  |  </w:t>
    </w:r>
    <w:r w:rsidRPr="00633476">
      <w:rPr>
        <w:b/>
        <w:bCs/>
      </w:rPr>
      <w:t xml:space="preserve">Page </w:t>
    </w:r>
    <w:r w:rsidRPr="00633476">
      <w:rPr>
        <w:b/>
        <w:bCs/>
      </w:rPr>
      <w:fldChar w:fldCharType="begin"/>
    </w:r>
    <w:r w:rsidRPr="00633476">
      <w:rPr>
        <w:b/>
        <w:bCs/>
      </w:rPr>
      <w:instrText xml:space="preserve"> PAGE  \* Arabic </w:instrText>
    </w:r>
    <w:r w:rsidRPr="00633476">
      <w:rPr>
        <w:b/>
        <w:bCs/>
      </w:rPr>
      <w:fldChar w:fldCharType="separate"/>
    </w:r>
    <w:r w:rsidR="001F6383">
      <w:rPr>
        <w:b/>
        <w:bCs/>
      </w:rPr>
      <w:t>445</w:t>
    </w:r>
    <w:r w:rsidRPr="0063347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E0A64" w14:textId="77777777" w:rsidR="000F3A33" w:rsidRDefault="000F3A33" w:rsidP="000F3A33">
      <w:pPr>
        <w:spacing w:after="0" w:line="240" w:lineRule="auto"/>
      </w:pPr>
      <w:r>
        <w:separator/>
      </w:r>
    </w:p>
  </w:footnote>
  <w:footnote w:type="continuationSeparator" w:id="0">
    <w:p w14:paraId="54A0C7B6" w14:textId="77777777" w:rsidR="000F3A33" w:rsidRDefault="000F3A33" w:rsidP="000F3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ocumentProtection w:edit="trackedChanges" w:enforcement="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33"/>
    <w:rsid w:val="000F3A33"/>
    <w:rsid w:val="0014290F"/>
    <w:rsid w:val="00185A2D"/>
    <w:rsid w:val="001D74B7"/>
    <w:rsid w:val="001F6383"/>
    <w:rsid w:val="00280050"/>
    <w:rsid w:val="002B13C5"/>
    <w:rsid w:val="002E1D93"/>
    <w:rsid w:val="0037037F"/>
    <w:rsid w:val="004469F3"/>
    <w:rsid w:val="004901C2"/>
    <w:rsid w:val="00596E19"/>
    <w:rsid w:val="005D52B5"/>
    <w:rsid w:val="00633476"/>
    <w:rsid w:val="006A6584"/>
    <w:rsid w:val="00877D14"/>
    <w:rsid w:val="009B0895"/>
    <w:rsid w:val="009C5D68"/>
    <w:rsid w:val="00A51F76"/>
    <w:rsid w:val="00A668BF"/>
    <w:rsid w:val="00A90DC3"/>
    <w:rsid w:val="00BC6F41"/>
    <w:rsid w:val="00C92940"/>
    <w:rsid w:val="00CE2F67"/>
    <w:rsid w:val="00D60992"/>
    <w:rsid w:val="00DC7B53"/>
    <w:rsid w:val="00EF6A47"/>
    <w:rsid w:val="00F14D6C"/>
    <w:rsid w:val="00F721C2"/>
    <w:rsid w:val="00FA06C5"/>
    <w:rsid w:val="00FA79D4"/>
    <w:rsid w:val="00FC4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E04F91"/>
  <w15:chartTrackingRefBased/>
  <w15:docId w15:val="{6C0749C2-9F62-4843-B834-4C53AFC4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ight Header"/>
    <w:qFormat/>
    <w:rsid w:val="000F3A33"/>
    <w:pPr>
      <w:spacing w:after="120"/>
      <w:jc w:val="right"/>
    </w:pPr>
    <w:rPr>
      <w:rFonts w:ascii="Arial" w:hAnsi="Arial"/>
      <w:sz w:val="18"/>
    </w:rPr>
  </w:style>
  <w:style w:type="paragraph" w:styleId="Heading1">
    <w:name w:val="heading 1"/>
    <w:basedOn w:val="Normal"/>
    <w:next w:val="Normal"/>
    <w:link w:val="Heading1Char"/>
    <w:qFormat/>
    <w:rsid w:val="000F3A33"/>
    <w:pPr>
      <w:keepNext/>
      <w:spacing w:after="360" w:line="240" w:lineRule="auto"/>
      <w:jc w:val="center"/>
      <w:outlineLvl w:val="0"/>
    </w:pPr>
    <w:rPr>
      <w:rFonts w:ascii="Arial Bold" w:eastAsia="Times New Roman" w:hAnsi="Arial Bold" w:cs="Arial"/>
      <w:b/>
      <w:bCs/>
      <w:smallCaps/>
      <w:kern w:val="32"/>
      <w:sz w:val="5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A33"/>
    <w:rPr>
      <w:rFonts w:ascii="Arial Bold" w:eastAsia="Times New Roman" w:hAnsi="Arial Bold" w:cs="Arial"/>
      <w:b/>
      <w:bCs/>
      <w:smallCaps/>
      <w:kern w:val="32"/>
      <w:sz w:val="52"/>
      <w:szCs w:val="32"/>
      <w:lang w:eastAsia="en-AU"/>
    </w:rPr>
  </w:style>
  <w:style w:type="paragraph" w:styleId="Header">
    <w:name w:val="header"/>
    <w:basedOn w:val="Normal"/>
    <w:link w:val="HeaderChar"/>
    <w:uiPriority w:val="99"/>
    <w:unhideWhenUsed/>
    <w:rsid w:val="000F3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A33"/>
  </w:style>
  <w:style w:type="paragraph" w:styleId="Footer">
    <w:name w:val="footer"/>
    <w:basedOn w:val="Normal"/>
    <w:link w:val="FooterChar"/>
    <w:uiPriority w:val="99"/>
    <w:unhideWhenUsed/>
    <w:rsid w:val="000F3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A33"/>
  </w:style>
  <w:style w:type="paragraph" w:customStyle="1" w:styleId="TableHeading">
    <w:name w:val="Table Heading"/>
    <w:basedOn w:val="Normal"/>
    <w:next w:val="Normal"/>
    <w:link w:val="TableHeadingChar"/>
    <w:qFormat/>
    <w:rsid w:val="000F3A33"/>
    <w:pPr>
      <w:spacing w:before="40" w:after="40" w:line="240" w:lineRule="auto"/>
      <w:jc w:val="left"/>
    </w:pPr>
    <w:rPr>
      <w:rFonts w:eastAsia="Times New Roman"/>
      <w:b/>
      <w:snapToGrid w:val="0"/>
      <w:szCs w:val="20"/>
      <w:lang w:eastAsia="en-AU"/>
    </w:rPr>
  </w:style>
  <w:style w:type="character" w:customStyle="1" w:styleId="TableHeadingChar">
    <w:name w:val="Table Heading Char"/>
    <w:basedOn w:val="DefaultParagraphFont"/>
    <w:link w:val="TableHeading"/>
    <w:rsid w:val="000F3A33"/>
    <w:rPr>
      <w:rFonts w:ascii="Arial" w:eastAsia="Times New Roman" w:hAnsi="Arial"/>
      <w:b/>
      <w:snapToGrid w:val="0"/>
      <w:sz w:val="18"/>
      <w:szCs w:val="20"/>
      <w:lang w:eastAsia="en-AU"/>
    </w:rPr>
  </w:style>
  <w:style w:type="paragraph" w:customStyle="1" w:styleId="TableText">
    <w:name w:val="Table Text"/>
    <w:basedOn w:val="Normal"/>
    <w:rsid w:val="000F3A33"/>
    <w:pPr>
      <w:keepNext/>
      <w:spacing w:before="40" w:after="40" w:line="240" w:lineRule="auto"/>
      <w:jc w:val="left"/>
    </w:pPr>
    <w:rPr>
      <w:rFonts w:ascii="Book Antiqua" w:eastAsia="Times New Roman" w:hAnsi="Book Antiqua"/>
      <w:color w:val="000000" w:themeColor="text1"/>
      <w:szCs w:val="18"/>
    </w:rPr>
  </w:style>
  <w:style w:type="paragraph" w:styleId="NoSpacing">
    <w:name w:val="No Spacing"/>
    <w:aliases w:val="Even pg footer"/>
    <w:basedOn w:val="Footer"/>
    <w:uiPriority w:val="1"/>
    <w:qFormat/>
    <w:rsid w:val="000F3A33"/>
    <w:pPr>
      <w:pBdr>
        <w:top w:val="single" w:sz="4" w:space="1" w:color="auto"/>
      </w:pBdr>
      <w:spacing w:before="40"/>
      <w:jc w:val="center"/>
    </w:pPr>
  </w:style>
  <w:style w:type="paragraph" w:styleId="Subtitle">
    <w:name w:val="Subtitle"/>
    <w:aliases w:val="Odd page footer"/>
    <w:basedOn w:val="Footer"/>
    <w:next w:val="Normal"/>
    <w:link w:val="SubtitleChar"/>
    <w:uiPriority w:val="11"/>
    <w:qFormat/>
    <w:rsid w:val="000F3A33"/>
    <w:pPr>
      <w:pBdr>
        <w:top w:val="single" w:sz="4" w:space="1" w:color="auto"/>
      </w:pBdr>
      <w:spacing w:before="40"/>
      <w:jc w:val="center"/>
    </w:pPr>
    <w:rPr>
      <w:rFonts w:eastAsia="Times New Roman" w:cs="Arial"/>
      <w:noProof/>
      <w:color w:val="000000"/>
      <w:szCs w:val="20"/>
    </w:rPr>
  </w:style>
  <w:style w:type="character" w:customStyle="1" w:styleId="SubtitleChar">
    <w:name w:val="Subtitle Char"/>
    <w:aliases w:val="Odd page footer Char"/>
    <w:basedOn w:val="DefaultParagraphFont"/>
    <w:link w:val="Subtitle"/>
    <w:uiPriority w:val="11"/>
    <w:rsid w:val="000F3A33"/>
    <w:rPr>
      <w:rFonts w:ascii="Arial" w:eastAsia="Times New Roman" w:hAnsi="Arial" w:cs="Arial"/>
      <w:noProof/>
      <w:color w:val="000000"/>
      <w:sz w:val="18"/>
      <w:szCs w:val="20"/>
    </w:rPr>
  </w:style>
  <w:style w:type="character" w:styleId="SubtleEmphasis">
    <w:name w:val="Subtle Emphasis"/>
    <w:aliases w:val="Odd pg header"/>
    <w:uiPriority w:val="19"/>
    <w:qFormat/>
    <w:rsid w:val="000F3A33"/>
  </w:style>
  <w:style w:type="paragraph" w:styleId="BalloonText">
    <w:name w:val="Balloon Text"/>
    <w:basedOn w:val="Normal"/>
    <w:link w:val="BalloonTextChar"/>
    <w:uiPriority w:val="99"/>
    <w:semiHidden/>
    <w:unhideWhenUsed/>
    <w:rsid w:val="001D74B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74B7"/>
    <w:rPr>
      <w:rFonts w:ascii="Segoe UI" w:hAnsi="Segoe UI" w:cs="Segoe UI"/>
      <w:sz w:val="18"/>
      <w:szCs w:val="18"/>
    </w:rPr>
  </w:style>
  <w:style w:type="character" w:styleId="CommentReference">
    <w:name w:val="annotation reference"/>
    <w:basedOn w:val="DefaultParagraphFont"/>
    <w:uiPriority w:val="99"/>
    <w:semiHidden/>
    <w:unhideWhenUsed/>
    <w:rsid w:val="00BC6F41"/>
    <w:rPr>
      <w:sz w:val="16"/>
      <w:szCs w:val="16"/>
    </w:rPr>
  </w:style>
  <w:style w:type="paragraph" w:styleId="CommentText">
    <w:name w:val="annotation text"/>
    <w:basedOn w:val="Normal"/>
    <w:link w:val="CommentTextChar"/>
    <w:uiPriority w:val="99"/>
    <w:semiHidden/>
    <w:unhideWhenUsed/>
    <w:rsid w:val="00BC6F41"/>
    <w:pPr>
      <w:spacing w:line="240" w:lineRule="auto"/>
    </w:pPr>
    <w:rPr>
      <w:sz w:val="20"/>
      <w:szCs w:val="20"/>
    </w:rPr>
  </w:style>
  <w:style w:type="character" w:customStyle="1" w:styleId="CommentTextChar">
    <w:name w:val="Comment Text Char"/>
    <w:basedOn w:val="DefaultParagraphFont"/>
    <w:link w:val="CommentText"/>
    <w:uiPriority w:val="99"/>
    <w:semiHidden/>
    <w:rsid w:val="00BC6F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F41"/>
    <w:rPr>
      <w:b/>
      <w:bCs/>
    </w:rPr>
  </w:style>
  <w:style w:type="character" w:customStyle="1" w:styleId="CommentSubjectChar">
    <w:name w:val="Comment Subject Char"/>
    <w:basedOn w:val="CommentTextChar"/>
    <w:link w:val="CommentSubject"/>
    <w:uiPriority w:val="99"/>
    <w:semiHidden/>
    <w:rsid w:val="00BC6F4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21</cp:revision>
  <cp:lastPrinted>2022-09-28T00:37:00Z</cp:lastPrinted>
  <dcterms:created xsi:type="dcterms:W3CDTF">2021-02-01T05:47:00Z</dcterms:created>
  <dcterms:modified xsi:type="dcterms:W3CDTF">2022-10-22T22:00:00Z</dcterms:modified>
</cp:coreProperties>
</file>