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F829C" w14:textId="77777777" w:rsidR="00CF2E99" w:rsidRPr="00B85230" w:rsidRDefault="00CF2E99" w:rsidP="00B85230">
      <w:pPr>
        <w:pStyle w:val="PartHeading-TOC"/>
      </w:pPr>
      <w:r w:rsidRPr="00B85230">
        <w:t>Organ and Tissue Authority</w:t>
      </w:r>
    </w:p>
    <w:p w14:paraId="2F4E71B2" w14:textId="77777777" w:rsidR="00B85230" w:rsidRDefault="00B85230" w:rsidP="00B85230">
      <w:pPr>
        <w:pStyle w:val="PartHeading-TOC"/>
      </w:pPr>
      <w:bookmarkStart w:id="0" w:name="_Toc65243501"/>
      <w:r>
        <w:t>Entity resources and planned performance</w:t>
      </w:r>
      <w:bookmarkEnd w:id="0"/>
    </w:p>
    <w:p w14:paraId="09FBFFDD" w14:textId="77777777" w:rsidR="00913388" w:rsidRPr="00EE76CA" w:rsidRDefault="00913388" w:rsidP="00913388">
      <w:pPr>
        <w:rPr>
          <w:color w:val="000000" w:themeColor="text1"/>
        </w:rPr>
      </w:pPr>
      <w:r w:rsidRPr="00EE76CA">
        <w:rPr>
          <w:color w:val="000000" w:themeColor="text1"/>
        </w:rPr>
        <w:br w:type="page"/>
      </w:r>
    </w:p>
    <w:p w14:paraId="4C4D0007" w14:textId="6B588F0D" w:rsidR="002D6C1C" w:rsidRPr="00EE76CA" w:rsidRDefault="002D6C1C" w:rsidP="00C51804">
      <w:pPr>
        <w:tabs>
          <w:tab w:val="left" w:pos="4400"/>
        </w:tabs>
        <w:rPr>
          <w:color w:val="000000" w:themeColor="text1"/>
        </w:rPr>
      </w:pPr>
    </w:p>
    <w:p w14:paraId="3F74E939" w14:textId="77777777" w:rsidR="002D6C1C" w:rsidRPr="00EE76CA" w:rsidRDefault="002D6C1C" w:rsidP="00C51804">
      <w:pPr>
        <w:tabs>
          <w:tab w:val="left" w:pos="4400"/>
        </w:tabs>
        <w:rPr>
          <w:color w:val="000000" w:themeColor="text1"/>
        </w:rPr>
        <w:sectPr w:rsidR="002D6C1C" w:rsidRPr="00EE76CA" w:rsidSect="001D665A">
          <w:headerReference w:type="even" r:id="rId8"/>
          <w:headerReference w:type="default" r:id="rId9"/>
          <w:footerReference w:type="even" r:id="rId10"/>
          <w:footerReference w:type="default" r:id="rId11"/>
          <w:headerReference w:type="first" r:id="rId12"/>
          <w:footerReference w:type="first" r:id="rId13"/>
          <w:pgSz w:w="11906" w:h="16838"/>
          <w:pgMar w:top="7053" w:right="2268" w:bottom="2126" w:left="2268" w:header="1899" w:footer="1899" w:gutter="0"/>
          <w:pgNumType w:start="385"/>
          <w:cols w:space="708"/>
          <w:docGrid w:linePitch="360"/>
        </w:sectPr>
      </w:pPr>
    </w:p>
    <w:p w14:paraId="27DF918F" w14:textId="650919A4" w:rsidR="00CF2E99" w:rsidRDefault="00CF2E99" w:rsidP="005918E7">
      <w:pPr>
        <w:pStyle w:val="Heading1"/>
      </w:pPr>
      <w:r w:rsidRPr="00EE76CA">
        <w:lastRenderedPageBreak/>
        <w:t>Organ and Tissue Authority</w:t>
      </w:r>
    </w:p>
    <w:p w14:paraId="47ACF9CD" w14:textId="4A591E1A" w:rsidR="001D665A" w:rsidRDefault="00F820ED">
      <w:pPr>
        <w:pStyle w:val="TOC1"/>
        <w:rPr>
          <w:rFonts w:asciiTheme="minorHAnsi" w:eastAsiaTheme="minorEastAsia" w:hAnsiTheme="minorHAnsi" w:cstheme="minorBidi"/>
          <w:b w:val="0"/>
          <w:color w:val="auto"/>
          <w:sz w:val="22"/>
          <w:szCs w:val="22"/>
        </w:rPr>
      </w:pPr>
      <w:r w:rsidRPr="00EE76CA">
        <w:rPr>
          <w:rFonts w:ascii="Arial" w:hAnsi="Arial" w:cs="Arial"/>
          <w:color w:val="000000" w:themeColor="text1"/>
        </w:rPr>
        <w:fldChar w:fldCharType="begin"/>
      </w:r>
      <w:r w:rsidRPr="00EE76CA">
        <w:rPr>
          <w:rFonts w:ascii="Arial" w:hAnsi="Arial" w:cs="Arial"/>
          <w:color w:val="000000" w:themeColor="text1"/>
        </w:rPr>
        <w:instrText xml:space="preserve"> TOC \h \z \t "Heading 2,1,Heading 3,2" </w:instrText>
      </w:r>
      <w:r w:rsidRPr="00EE76CA">
        <w:rPr>
          <w:rFonts w:ascii="Arial" w:hAnsi="Arial" w:cs="Arial"/>
          <w:color w:val="000000" w:themeColor="text1"/>
        </w:rPr>
        <w:fldChar w:fldCharType="separate"/>
      </w:r>
      <w:hyperlink w:anchor="_Toc117407764" w:history="1">
        <w:r w:rsidR="001D665A" w:rsidRPr="004C2948">
          <w:rPr>
            <w:rStyle w:val="Hyperlink"/>
          </w:rPr>
          <w:t>Section 1: Entity overview and resources</w:t>
        </w:r>
        <w:r w:rsidR="001D665A">
          <w:rPr>
            <w:webHidden/>
          </w:rPr>
          <w:tab/>
        </w:r>
        <w:r w:rsidR="001D665A">
          <w:rPr>
            <w:webHidden/>
          </w:rPr>
          <w:fldChar w:fldCharType="begin"/>
        </w:r>
        <w:r w:rsidR="001D665A">
          <w:rPr>
            <w:webHidden/>
          </w:rPr>
          <w:instrText xml:space="preserve"> PAGEREF _Toc117407764 \h </w:instrText>
        </w:r>
        <w:r w:rsidR="001D665A">
          <w:rPr>
            <w:webHidden/>
          </w:rPr>
        </w:r>
        <w:r w:rsidR="001D665A">
          <w:rPr>
            <w:webHidden/>
          </w:rPr>
          <w:fldChar w:fldCharType="separate"/>
        </w:r>
        <w:r w:rsidR="001D665A">
          <w:rPr>
            <w:webHidden/>
          </w:rPr>
          <w:t>388</w:t>
        </w:r>
        <w:r w:rsidR="001D665A">
          <w:rPr>
            <w:webHidden/>
          </w:rPr>
          <w:fldChar w:fldCharType="end"/>
        </w:r>
      </w:hyperlink>
    </w:p>
    <w:p w14:paraId="51F80450" w14:textId="7242D7ED" w:rsidR="001D665A" w:rsidRDefault="0074587F">
      <w:pPr>
        <w:pStyle w:val="TOC2"/>
        <w:rPr>
          <w:rFonts w:asciiTheme="minorHAnsi" w:eastAsiaTheme="minorEastAsia" w:hAnsiTheme="minorHAnsi" w:cstheme="minorBidi"/>
          <w:noProof/>
          <w:color w:val="auto"/>
          <w:sz w:val="22"/>
          <w:szCs w:val="22"/>
        </w:rPr>
      </w:pPr>
      <w:hyperlink w:anchor="_Toc117407765" w:history="1">
        <w:r w:rsidR="001D665A" w:rsidRPr="004C2948">
          <w:rPr>
            <w:rStyle w:val="Hyperlink"/>
            <w:noProof/>
          </w:rPr>
          <w:t>1.1</w:t>
        </w:r>
        <w:r w:rsidR="001D665A">
          <w:rPr>
            <w:rFonts w:asciiTheme="minorHAnsi" w:eastAsiaTheme="minorEastAsia" w:hAnsiTheme="minorHAnsi" w:cstheme="minorBidi"/>
            <w:noProof/>
            <w:color w:val="auto"/>
            <w:sz w:val="22"/>
            <w:szCs w:val="22"/>
          </w:rPr>
          <w:tab/>
        </w:r>
        <w:r w:rsidR="001D665A" w:rsidRPr="004C2948">
          <w:rPr>
            <w:rStyle w:val="Hyperlink"/>
            <w:noProof/>
          </w:rPr>
          <w:t>Strategic direction statement</w:t>
        </w:r>
        <w:r w:rsidR="001D665A">
          <w:rPr>
            <w:noProof/>
            <w:webHidden/>
          </w:rPr>
          <w:tab/>
        </w:r>
        <w:r w:rsidR="001D665A">
          <w:rPr>
            <w:noProof/>
            <w:webHidden/>
          </w:rPr>
          <w:fldChar w:fldCharType="begin"/>
        </w:r>
        <w:r w:rsidR="001D665A">
          <w:rPr>
            <w:noProof/>
            <w:webHidden/>
          </w:rPr>
          <w:instrText xml:space="preserve"> PAGEREF _Toc117407765 \h </w:instrText>
        </w:r>
        <w:r w:rsidR="001D665A">
          <w:rPr>
            <w:noProof/>
            <w:webHidden/>
          </w:rPr>
        </w:r>
        <w:r w:rsidR="001D665A">
          <w:rPr>
            <w:noProof/>
            <w:webHidden/>
          </w:rPr>
          <w:fldChar w:fldCharType="separate"/>
        </w:r>
        <w:r w:rsidR="001D665A">
          <w:rPr>
            <w:noProof/>
            <w:webHidden/>
          </w:rPr>
          <w:t>388</w:t>
        </w:r>
        <w:r w:rsidR="001D665A">
          <w:rPr>
            <w:noProof/>
            <w:webHidden/>
          </w:rPr>
          <w:fldChar w:fldCharType="end"/>
        </w:r>
      </w:hyperlink>
    </w:p>
    <w:p w14:paraId="32CA5EE9" w14:textId="3AABCC68" w:rsidR="001D665A" w:rsidRDefault="0074587F">
      <w:pPr>
        <w:pStyle w:val="TOC2"/>
        <w:rPr>
          <w:rFonts w:asciiTheme="minorHAnsi" w:eastAsiaTheme="minorEastAsia" w:hAnsiTheme="minorHAnsi" w:cstheme="minorBidi"/>
          <w:noProof/>
          <w:color w:val="auto"/>
          <w:sz w:val="22"/>
          <w:szCs w:val="22"/>
        </w:rPr>
      </w:pPr>
      <w:hyperlink w:anchor="_Toc117407766" w:history="1">
        <w:r w:rsidR="001D665A" w:rsidRPr="004C2948">
          <w:rPr>
            <w:rStyle w:val="Hyperlink"/>
            <w:noProof/>
          </w:rPr>
          <w:t>1.2</w:t>
        </w:r>
        <w:r w:rsidR="001D665A">
          <w:rPr>
            <w:rFonts w:asciiTheme="minorHAnsi" w:eastAsiaTheme="minorEastAsia" w:hAnsiTheme="minorHAnsi" w:cstheme="minorBidi"/>
            <w:noProof/>
            <w:color w:val="auto"/>
            <w:sz w:val="22"/>
            <w:szCs w:val="22"/>
          </w:rPr>
          <w:tab/>
        </w:r>
        <w:r w:rsidR="001D665A" w:rsidRPr="004C2948">
          <w:rPr>
            <w:rStyle w:val="Hyperlink"/>
            <w:noProof/>
          </w:rPr>
          <w:t>Entity resource statement</w:t>
        </w:r>
        <w:r w:rsidR="001D665A">
          <w:rPr>
            <w:noProof/>
            <w:webHidden/>
          </w:rPr>
          <w:tab/>
        </w:r>
        <w:r w:rsidR="001D665A">
          <w:rPr>
            <w:noProof/>
            <w:webHidden/>
          </w:rPr>
          <w:fldChar w:fldCharType="begin"/>
        </w:r>
        <w:r w:rsidR="001D665A">
          <w:rPr>
            <w:noProof/>
            <w:webHidden/>
          </w:rPr>
          <w:instrText xml:space="preserve"> PAGEREF _Toc117407766 \h </w:instrText>
        </w:r>
        <w:r w:rsidR="001D665A">
          <w:rPr>
            <w:noProof/>
            <w:webHidden/>
          </w:rPr>
        </w:r>
        <w:r w:rsidR="001D665A">
          <w:rPr>
            <w:noProof/>
            <w:webHidden/>
          </w:rPr>
          <w:fldChar w:fldCharType="separate"/>
        </w:r>
        <w:r w:rsidR="001D665A">
          <w:rPr>
            <w:noProof/>
            <w:webHidden/>
          </w:rPr>
          <w:t>389</w:t>
        </w:r>
        <w:r w:rsidR="001D665A">
          <w:rPr>
            <w:noProof/>
            <w:webHidden/>
          </w:rPr>
          <w:fldChar w:fldCharType="end"/>
        </w:r>
      </w:hyperlink>
    </w:p>
    <w:p w14:paraId="18A7CF10" w14:textId="66BC1BA0" w:rsidR="001D665A" w:rsidRDefault="0074587F">
      <w:pPr>
        <w:pStyle w:val="TOC2"/>
        <w:rPr>
          <w:rFonts w:asciiTheme="minorHAnsi" w:eastAsiaTheme="minorEastAsia" w:hAnsiTheme="minorHAnsi" w:cstheme="minorBidi"/>
          <w:noProof/>
          <w:color w:val="auto"/>
          <w:sz w:val="22"/>
          <w:szCs w:val="22"/>
        </w:rPr>
      </w:pPr>
      <w:hyperlink w:anchor="_Toc117407767" w:history="1">
        <w:r w:rsidR="001D665A" w:rsidRPr="004C2948">
          <w:rPr>
            <w:rStyle w:val="Hyperlink"/>
            <w:noProof/>
          </w:rPr>
          <w:t>1.3</w:t>
        </w:r>
        <w:r w:rsidR="001D665A">
          <w:rPr>
            <w:rFonts w:asciiTheme="minorHAnsi" w:eastAsiaTheme="minorEastAsia" w:hAnsiTheme="minorHAnsi" w:cstheme="minorBidi"/>
            <w:noProof/>
            <w:color w:val="auto"/>
            <w:sz w:val="22"/>
            <w:szCs w:val="22"/>
          </w:rPr>
          <w:tab/>
        </w:r>
        <w:r w:rsidR="001D665A" w:rsidRPr="004C2948">
          <w:rPr>
            <w:rStyle w:val="Hyperlink"/>
            <w:noProof/>
          </w:rPr>
          <w:t>Budget measures</w:t>
        </w:r>
        <w:r w:rsidR="001D665A">
          <w:rPr>
            <w:noProof/>
            <w:webHidden/>
          </w:rPr>
          <w:tab/>
        </w:r>
        <w:r w:rsidR="001D665A">
          <w:rPr>
            <w:noProof/>
            <w:webHidden/>
          </w:rPr>
          <w:fldChar w:fldCharType="begin"/>
        </w:r>
        <w:r w:rsidR="001D665A">
          <w:rPr>
            <w:noProof/>
            <w:webHidden/>
          </w:rPr>
          <w:instrText xml:space="preserve"> PAGEREF _Toc117407767 \h </w:instrText>
        </w:r>
        <w:r w:rsidR="001D665A">
          <w:rPr>
            <w:noProof/>
            <w:webHidden/>
          </w:rPr>
        </w:r>
        <w:r w:rsidR="001D665A">
          <w:rPr>
            <w:noProof/>
            <w:webHidden/>
          </w:rPr>
          <w:fldChar w:fldCharType="separate"/>
        </w:r>
        <w:r w:rsidR="001D665A">
          <w:rPr>
            <w:noProof/>
            <w:webHidden/>
          </w:rPr>
          <w:t>390</w:t>
        </w:r>
        <w:r w:rsidR="001D665A">
          <w:rPr>
            <w:noProof/>
            <w:webHidden/>
          </w:rPr>
          <w:fldChar w:fldCharType="end"/>
        </w:r>
      </w:hyperlink>
    </w:p>
    <w:p w14:paraId="78BF580D" w14:textId="4B3B63D6" w:rsidR="001D665A" w:rsidRDefault="0074587F">
      <w:pPr>
        <w:pStyle w:val="TOC1"/>
        <w:rPr>
          <w:rFonts w:asciiTheme="minorHAnsi" w:eastAsiaTheme="minorEastAsia" w:hAnsiTheme="minorHAnsi" w:cstheme="minorBidi"/>
          <w:b w:val="0"/>
          <w:color w:val="auto"/>
          <w:sz w:val="22"/>
          <w:szCs w:val="22"/>
        </w:rPr>
      </w:pPr>
      <w:hyperlink w:anchor="_Toc117407768" w:history="1">
        <w:r w:rsidR="001D665A" w:rsidRPr="004C2948">
          <w:rPr>
            <w:rStyle w:val="Hyperlink"/>
          </w:rPr>
          <w:t>Section 2: Outcomes and planned performance</w:t>
        </w:r>
        <w:r w:rsidR="001D665A">
          <w:rPr>
            <w:webHidden/>
          </w:rPr>
          <w:tab/>
        </w:r>
        <w:r w:rsidR="001D665A">
          <w:rPr>
            <w:webHidden/>
          </w:rPr>
          <w:fldChar w:fldCharType="begin"/>
        </w:r>
        <w:r w:rsidR="001D665A">
          <w:rPr>
            <w:webHidden/>
          </w:rPr>
          <w:instrText xml:space="preserve"> PAGEREF _Toc117407768 \h </w:instrText>
        </w:r>
        <w:r w:rsidR="001D665A">
          <w:rPr>
            <w:webHidden/>
          </w:rPr>
        </w:r>
        <w:r w:rsidR="001D665A">
          <w:rPr>
            <w:webHidden/>
          </w:rPr>
          <w:fldChar w:fldCharType="separate"/>
        </w:r>
        <w:r w:rsidR="001D665A">
          <w:rPr>
            <w:webHidden/>
          </w:rPr>
          <w:t>391</w:t>
        </w:r>
        <w:r w:rsidR="001D665A">
          <w:rPr>
            <w:webHidden/>
          </w:rPr>
          <w:fldChar w:fldCharType="end"/>
        </w:r>
      </w:hyperlink>
    </w:p>
    <w:p w14:paraId="5FA1D040" w14:textId="79979FD2" w:rsidR="001D665A" w:rsidRDefault="0074587F">
      <w:pPr>
        <w:pStyle w:val="TOC2"/>
        <w:rPr>
          <w:rFonts w:asciiTheme="minorHAnsi" w:eastAsiaTheme="minorEastAsia" w:hAnsiTheme="minorHAnsi" w:cstheme="minorBidi"/>
          <w:noProof/>
          <w:color w:val="auto"/>
          <w:sz w:val="22"/>
          <w:szCs w:val="22"/>
        </w:rPr>
      </w:pPr>
      <w:hyperlink w:anchor="_Toc117407769" w:history="1">
        <w:r w:rsidR="001D665A" w:rsidRPr="004C2948">
          <w:rPr>
            <w:rStyle w:val="Hyperlink"/>
            <w:noProof/>
          </w:rPr>
          <w:t>2.1</w:t>
        </w:r>
        <w:r w:rsidR="001D665A">
          <w:rPr>
            <w:rFonts w:asciiTheme="minorHAnsi" w:eastAsiaTheme="minorEastAsia" w:hAnsiTheme="minorHAnsi" w:cstheme="minorBidi"/>
            <w:noProof/>
            <w:color w:val="auto"/>
            <w:sz w:val="22"/>
            <w:szCs w:val="22"/>
          </w:rPr>
          <w:tab/>
        </w:r>
        <w:r w:rsidR="001D665A" w:rsidRPr="004C2948">
          <w:rPr>
            <w:rStyle w:val="Hyperlink"/>
            <w:noProof/>
          </w:rPr>
          <w:t>Budgeted expenses and performance</w:t>
        </w:r>
        <w:r w:rsidR="001D665A">
          <w:rPr>
            <w:noProof/>
            <w:webHidden/>
          </w:rPr>
          <w:tab/>
        </w:r>
        <w:r w:rsidR="001D665A">
          <w:rPr>
            <w:noProof/>
            <w:webHidden/>
          </w:rPr>
          <w:fldChar w:fldCharType="begin"/>
        </w:r>
        <w:r w:rsidR="001D665A">
          <w:rPr>
            <w:noProof/>
            <w:webHidden/>
          </w:rPr>
          <w:instrText xml:space="preserve"> PAGEREF _Toc117407769 \h </w:instrText>
        </w:r>
        <w:r w:rsidR="001D665A">
          <w:rPr>
            <w:noProof/>
            <w:webHidden/>
          </w:rPr>
        </w:r>
        <w:r w:rsidR="001D665A">
          <w:rPr>
            <w:noProof/>
            <w:webHidden/>
          </w:rPr>
          <w:fldChar w:fldCharType="separate"/>
        </w:r>
        <w:r w:rsidR="001D665A">
          <w:rPr>
            <w:noProof/>
            <w:webHidden/>
          </w:rPr>
          <w:t>391</w:t>
        </w:r>
        <w:r w:rsidR="001D665A">
          <w:rPr>
            <w:noProof/>
            <w:webHidden/>
          </w:rPr>
          <w:fldChar w:fldCharType="end"/>
        </w:r>
      </w:hyperlink>
    </w:p>
    <w:p w14:paraId="5DBF05E2" w14:textId="56DCB626" w:rsidR="001D665A" w:rsidRDefault="0074587F">
      <w:pPr>
        <w:pStyle w:val="TOC1"/>
        <w:rPr>
          <w:rFonts w:asciiTheme="minorHAnsi" w:eastAsiaTheme="minorEastAsia" w:hAnsiTheme="minorHAnsi" w:cstheme="minorBidi"/>
          <w:b w:val="0"/>
          <w:color w:val="auto"/>
          <w:sz w:val="22"/>
          <w:szCs w:val="22"/>
        </w:rPr>
      </w:pPr>
      <w:hyperlink w:anchor="_Toc117407770" w:history="1">
        <w:r w:rsidR="001D665A" w:rsidRPr="004C2948">
          <w:rPr>
            <w:rStyle w:val="Hyperlink"/>
          </w:rPr>
          <w:t>Section 3: Budgeted financial statements</w:t>
        </w:r>
        <w:r w:rsidR="001D665A">
          <w:rPr>
            <w:webHidden/>
          </w:rPr>
          <w:tab/>
        </w:r>
        <w:r w:rsidR="001D665A">
          <w:rPr>
            <w:webHidden/>
          </w:rPr>
          <w:fldChar w:fldCharType="begin"/>
        </w:r>
        <w:r w:rsidR="001D665A">
          <w:rPr>
            <w:webHidden/>
          </w:rPr>
          <w:instrText xml:space="preserve"> PAGEREF _Toc117407770 \h </w:instrText>
        </w:r>
        <w:r w:rsidR="001D665A">
          <w:rPr>
            <w:webHidden/>
          </w:rPr>
        </w:r>
        <w:r w:rsidR="001D665A">
          <w:rPr>
            <w:webHidden/>
          </w:rPr>
          <w:fldChar w:fldCharType="separate"/>
        </w:r>
        <w:r w:rsidR="001D665A">
          <w:rPr>
            <w:webHidden/>
          </w:rPr>
          <w:t>396</w:t>
        </w:r>
        <w:r w:rsidR="001D665A">
          <w:rPr>
            <w:webHidden/>
          </w:rPr>
          <w:fldChar w:fldCharType="end"/>
        </w:r>
      </w:hyperlink>
    </w:p>
    <w:p w14:paraId="045198C1" w14:textId="697CE449" w:rsidR="001D665A" w:rsidRDefault="0074587F">
      <w:pPr>
        <w:pStyle w:val="TOC2"/>
        <w:rPr>
          <w:rFonts w:asciiTheme="minorHAnsi" w:eastAsiaTheme="minorEastAsia" w:hAnsiTheme="minorHAnsi" w:cstheme="minorBidi"/>
          <w:noProof/>
          <w:color w:val="auto"/>
          <w:sz w:val="22"/>
          <w:szCs w:val="22"/>
        </w:rPr>
      </w:pPr>
      <w:hyperlink w:anchor="_Toc117407771" w:history="1">
        <w:r w:rsidR="001D665A" w:rsidRPr="004C2948">
          <w:rPr>
            <w:rStyle w:val="Hyperlink"/>
            <w:noProof/>
          </w:rPr>
          <w:t>3.1</w:t>
        </w:r>
        <w:r w:rsidR="001D665A">
          <w:rPr>
            <w:rFonts w:asciiTheme="minorHAnsi" w:eastAsiaTheme="minorEastAsia" w:hAnsiTheme="minorHAnsi" w:cstheme="minorBidi"/>
            <w:noProof/>
            <w:color w:val="auto"/>
            <w:sz w:val="22"/>
            <w:szCs w:val="22"/>
          </w:rPr>
          <w:tab/>
        </w:r>
        <w:r w:rsidR="001D665A" w:rsidRPr="004C2948">
          <w:rPr>
            <w:rStyle w:val="Hyperlink"/>
            <w:noProof/>
          </w:rPr>
          <w:t>Budgeted financial statements</w:t>
        </w:r>
        <w:r w:rsidR="001D665A">
          <w:rPr>
            <w:noProof/>
            <w:webHidden/>
          </w:rPr>
          <w:tab/>
        </w:r>
        <w:r w:rsidR="001D665A">
          <w:rPr>
            <w:noProof/>
            <w:webHidden/>
          </w:rPr>
          <w:fldChar w:fldCharType="begin"/>
        </w:r>
        <w:r w:rsidR="001D665A">
          <w:rPr>
            <w:noProof/>
            <w:webHidden/>
          </w:rPr>
          <w:instrText xml:space="preserve"> PAGEREF _Toc117407771 \h </w:instrText>
        </w:r>
        <w:r w:rsidR="001D665A">
          <w:rPr>
            <w:noProof/>
            <w:webHidden/>
          </w:rPr>
        </w:r>
        <w:r w:rsidR="001D665A">
          <w:rPr>
            <w:noProof/>
            <w:webHidden/>
          </w:rPr>
          <w:fldChar w:fldCharType="separate"/>
        </w:r>
        <w:r w:rsidR="001D665A">
          <w:rPr>
            <w:noProof/>
            <w:webHidden/>
          </w:rPr>
          <w:t>396</w:t>
        </w:r>
        <w:r w:rsidR="001D665A">
          <w:rPr>
            <w:noProof/>
            <w:webHidden/>
          </w:rPr>
          <w:fldChar w:fldCharType="end"/>
        </w:r>
      </w:hyperlink>
    </w:p>
    <w:p w14:paraId="495DDBEF" w14:textId="15C00671" w:rsidR="001D665A" w:rsidRDefault="0074587F">
      <w:pPr>
        <w:pStyle w:val="TOC2"/>
        <w:rPr>
          <w:rFonts w:asciiTheme="minorHAnsi" w:eastAsiaTheme="minorEastAsia" w:hAnsiTheme="minorHAnsi" w:cstheme="minorBidi"/>
          <w:noProof/>
          <w:color w:val="auto"/>
          <w:sz w:val="22"/>
          <w:szCs w:val="22"/>
        </w:rPr>
      </w:pPr>
      <w:hyperlink w:anchor="_Toc117407772" w:history="1">
        <w:r w:rsidR="001D665A" w:rsidRPr="004C2948">
          <w:rPr>
            <w:rStyle w:val="Hyperlink"/>
            <w:noProof/>
          </w:rPr>
          <w:t>3.2</w:t>
        </w:r>
        <w:r w:rsidR="001D665A">
          <w:rPr>
            <w:rFonts w:asciiTheme="minorHAnsi" w:eastAsiaTheme="minorEastAsia" w:hAnsiTheme="minorHAnsi" w:cstheme="minorBidi"/>
            <w:noProof/>
            <w:color w:val="auto"/>
            <w:sz w:val="22"/>
            <w:szCs w:val="22"/>
          </w:rPr>
          <w:tab/>
        </w:r>
        <w:r w:rsidR="001D665A" w:rsidRPr="004C2948">
          <w:rPr>
            <w:rStyle w:val="Hyperlink"/>
            <w:noProof/>
          </w:rPr>
          <w:t>Budgeted financial statements tables</w:t>
        </w:r>
        <w:r w:rsidR="001D665A">
          <w:rPr>
            <w:noProof/>
            <w:webHidden/>
          </w:rPr>
          <w:tab/>
        </w:r>
        <w:r w:rsidR="001D665A">
          <w:rPr>
            <w:noProof/>
            <w:webHidden/>
          </w:rPr>
          <w:fldChar w:fldCharType="begin"/>
        </w:r>
        <w:r w:rsidR="001D665A">
          <w:rPr>
            <w:noProof/>
            <w:webHidden/>
          </w:rPr>
          <w:instrText xml:space="preserve"> PAGEREF _Toc117407772 \h </w:instrText>
        </w:r>
        <w:r w:rsidR="001D665A">
          <w:rPr>
            <w:noProof/>
            <w:webHidden/>
          </w:rPr>
        </w:r>
        <w:r w:rsidR="001D665A">
          <w:rPr>
            <w:noProof/>
            <w:webHidden/>
          </w:rPr>
          <w:fldChar w:fldCharType="separate"/>
        </w:r>
        <w:r w:rsidR="001D665A">
          <w:rPr>
            <w:noProof/>
            <w:webHidden/>
          </w:rPr>
          <w:t>397</w:t>
        </w:r>
        <w:r w:rsidR="001D665A">
          <w:rPr>
            <w:noProof/>
            <w:webHidden/>
          </w:rPr>
          <w:fldChar w:fldCharType="end"/>
        </w:r>
      </w:hyperlink>
    </w:p>
    <w:p w14:paraId="501C42DD" w14:textId="7E0602F9" w:rsidR="00F820ED" w:rsidRPr="00EE76CA" w:rsidRDefault="00F820ED" w:rsidP="00F820ED">
      <w:pPr>
        <w:rPr>
          <w:rFonts w:ascii="Arial" w:hAnsi="Arial" w:cs="Arial"/>
          <w:b/>
          <w:color w:val="000000" w:themeColor="text1"/>
        </w:rPr>
        <w:sectPr w:rsidR="00F820ED" w:rsidRPr="00EE76CA" w:rsidSect="00357948">
          <w:headerReference w:type="even" r:id="rId14"/>
          <w:headerReference w:type="default" r:id="rId15"/>
          <w:footerReference w:type="default" r:id="rId16"/>
          <w:headerReference w:type="first" r:id="rId17"/>
          <w:pgSz w:w="11906" w:h="16838"/>
          <w:pgMar w:top="2466" w:right="2268" w:bottom="2126" w:left="2268" w:header="1899" w:footer="1899" w:gutter="0"/>
          <w:cols w:space="708"/>
          <w:docGrid w:linePitch="360"/>
        </w:sectPr>
      </w:pPr>
      <w:r w:rsidRPr="00EE76CA">
        <w:rPr>
          <w:rFonts w:ascii="Arial" w:hAnsi="Arial" w:cs="Arial"/>
          <w:b/>
          <w:color w:val="000000" w:themeColor="text1"/>
        </w:rPr>
        <w:fldChar w:fldCharType="end"/>
      </w:r>
    </w:p>
    <w:p w14:paraId="22019EA1" w14:textId="2B86508F" w:rsidR="0024539A" w:rsidRDefault="0024539A" w:rsidP="00664A49">
      <w:pPr>
        <w:pStyle w:val="Heading2"/>
      </w:pPr>
      <w:bookmarkStart w:id="1" w:name="_Toc117407764"/>
      <w:r w:rsidRPr="00EE76CA">
        <w:lastRenderedPageBreak/>
        <w:t xml:space="preserve">Section 1: Entity </w:t>
      </w:r>
      <w:r w:rsidR="00664A49">
        <w:t>o</w:t>
      </w:r>
      <w:r w:rsidRPr="00EE76CA">
        <w:t xml:space="preserve">verview and </w:t>
      </w:r>
      <w:r w:rsidR="00664A49">
        <w:t>r</w:t>
      </w:r>
      <w:r w:rsidRPr="00EE76CA">
        <w:t>esources</w:t>
      </w:r>
      <w:bookmarkEnd w:id="1"/>
    </w:p>
    <w:p w14:paraId="332F4774" w14:textId="36B7264D" w:rsidR="0024539A" w:rsidRDefault="0024539A" w:rsidP="00F4050F">
      <w:pPr>
        <w:pStyle w:val="Heading3"/>
        <w:numPr>
          <w:ilvl w:val="1"/>
          <w:numId w:val="35"/>
        </w:numPr>
      </w:pPr>
      <w:bookmarkStart w:id="2" w:name="_Toc117407765"/>
      <w:r w:rsidRPr="00EE76CA">
        <w:t xml:space="preserve">Strategic </w:t>
      </w:r>
      <w:r w:rsidR="00F4050F">
        <w:t>d</w:t>
      </w:r>
      <w:r w:rsidRPr="00EE76CA">
        <w:t xml:space="preserve">irection </w:t>
      </w:r>
      <w:r w:rsidR="00F4050F">
        <w:t>s</w:t>
      </w:r>
      <w:r w:rsidRPr="00EE76CA">
        <w:t>tatement</w:t>
      </w:r>
      <w:r w:rsidRPr="00EE76CA">
        <w:rPr>
          <w:vertAlign w:val="superscript"/>
        </w:rPr>
        <w:footnoteReference w:id="1"/>
      </w:r>
      <w:bookmarkEnd w:id="2"/>
    </w:p>
    <w:p w14:paraId="2521DC2A" w14:textId="1FE00F0F" w:rsidR="0071631F" w:rsidRDefault="0071631F" w:rsidP="0071631F">
      <w:pPr>
        <w:rPr>
          <w:snapToGrid w:val="0"/>
          <w:color w:val="000000" w:themeColor="text1"/>
        </w:rPr>
      </w:pPr>
      <w:r w:rsidRPr="00EE76CA">
        <w:rPr>
          <w:snapToGrid w:val="0"/>
          <w:color w:val="000000" w:themeColor="text1"/>
        </w:rPr>
        <w:t xml:space="preserve">The Australian Government’s Organ and Tissue Donation and Transplantation Authority, also known as the Organ and Tissue Authority (OTA), leads </w:t>
      </w:r>
      <w:r>
        <w:rPr>
          <w:snapToGrid w:val="0"/>
          <w:color w:val="000000" w:themeColor="text1"/>
        </w:rPr>
        <w:t>the national program to increase</w:t>
      </w:r>
      <w:r w:rsidRPr="00EE76CA">
        <w:rPr>
          <w:snapToGrid w:val="0"/>
          <w:color w:val="000000" w:themeColor="text1"/>
        </w:rPr>
        <w:t xml:space="preserve"> organ and tissue donation </w:t>
      </w:r>
      <w:r w:rsidR="00695676">
        <w:rPr>
          <w:snapToGrid w:val="0"/>
          <w:color w:val="000000" w:themeColor="text1"/>
        </w:rPr>
        <w:t>and</w:t>
      </w:r>
      <w:r w:rsidRPr="00EE76CA">
        <w:rPr>
          <w:snapToGrid w:val="0"/>
          <w:color w:val="000000" w:themeColor="text1"/>
        </w:rPr>
        <w:t xml:space="preserve"> transplantation in partnership with the national DonateLife Network</w:t>
      </w:r>
      <w:r>
        <w:rPr>
          <w:snapToGrid w:val="0"/>
          <w:color w:val="000000" w:themeColor="text1"/>
        </w:rPr>
        <w:t xml:space="preserve">, </w:t>
      </w:r>
      <w:r w:rsidRPr="00EE76CA">
        <w:rPr>
          <w:snapToGrid w:val="0"/>
          <w:color w:val="000000" w:themeColor="text1"/>
        </w:rPr>
        <w:t xml:space="preserve">states and territories, donation and transplantation clinical sectors, eye and tissue </w:t>
      </w:r>
      <w:r>
        <w:rPr>
          <w:snapToGrid w:val="0"/>
          <w:color w:val="000000" w:themeColor="text1"/>
        </w:rPr>
        <w:t>sectors</w:t>
      </w:r>
      <w:r w:rsidRPr="00EE76CA">
        <w:rPr>
          <w:snapToGrid w:val="0"/>
          <w:color w:val="000000" w:themeColor="text1"/>
        </w:rPr>
        <w:t>, and</w:t>
      </w:r>
      <w:r>
        <w:rPr>
          <w:snapToGrid w:val="0"/>
          <w:color w:val="000000" w:themeColor="text1"/>
        </w:rPr>
        <w:t xml:space="preserve"> </w:t>
      </w:r>
      <w:r w:rsidRPr="00EE76CA">
        <w:rPr>
          <w:snapToGrid w:val="0"/>
          <w:color w:val="000000" w:themeColor="text1"/>
        </w:rPr>
        <w:t>the community.</w:t>
      </w:r>
      <w:r>
        <w:rPr>
          <w:snapToGrid w:val="0"/>
          <w:color w:val="000000" w:themeColor="text1"/>
        </w:rPr>
        <w:t xml:space="preserve"> The OTA’s purpose is to save and improve the lives of more Australians through organ and tissue donation and transplantation.</w:t>
      </w:r>
    </w:p>
    <w:p w14:paraId="1F07F35A" w14:textId="3F4A2386" w:rsidR="0071631F" w:rsidRDefault="0071631F" w:rsidP="0071631F">
      <w:pPr>
        <w:rPr>
          <w:snapToGrid w:val="0"/>
          <w:color w:val="000000" w:themeColor="text1"/>
        </w:rPr>
      </w:pPr>
      <w:r>
        <w:rPr>
          <w:snapToGrid w:val="0"/>
          <w:color w:val="000000" w:themeColor="text1"/>
        </w:rPr>
        <w:t>The national program to increase organ and tissue don</w:t>
      </w:r>
      <w:r w:rsidR="00953F5F">
        <w:rPr>
          <w:snapToGrid w:val="0"/>
          <w:color w:val="000000" w:themeColor="text1"/>
        </w:rPr>
        <w:t>ation in Australia commenced in </w:t>
      </w:r>
      <w:r>
        <w:rPr>
          <w:snapToGrid w:val="0"/>
          <w:color w:val="000000" w:themeColor="text1"/>
        </w:rPr>
        <w:t>2009 – resulting in Australia’s organ donation rate more than doubling in the first decade (122% increase by 2019), with around 16,000 Australians receiving a life enhancing transplant since the program started.</w:t>
      </w:r>
    </w:p>
    <w:p w14:paraId="505824FC" w14:textId="77777777" w:rsidR="00901522" w:rsidRPr="00901522" w:rsidRDefault="00901522" w:rsidP="00901522">
      <w:pPr>
        <w:rPr>
          <w:snapToGrid w:val="0"/>
          <w:color w:val="000000" w:themeColor="text1"/>
        </w:rPr>
      </w:pPr>
      <w:r w:rsidRPr="00901522">
        <w:rPr>
          <w:snapToGrid w:val="0"/>
          <w:color w:val="000000" w:themeColor="text1"/>
        </w:rPr>
        <w:t>The operating environment for donation and transplantation remains complex and challenging. The COVID-19 pandemic continues to significantly impact the health system, the health workforce, and the community causing a decrease in donation and transplantation activity over the last 2 years.</w:t>
      </w:r>
    </w:p>
    <w:p w14:paraId="633E37E8" w14:textId="7E71ECD5" w:rsidR="0071631F" w:rsidRPr="00EE76CA" w:rsidRDefault="0071631F" w:rsidP="0071631F">
      <w:pPr>
        <w:rPr>
          <w:snapToGrid w:val="0"/>
          <w:color w:val="000000" w:themeColor="text1"/>
        </w:rPr>
      </w:pPr>
      <w:r>
        <w:rPr>
          <w:snapToGrid w:val="0"/>
          <w:color w:val="000000" w:themeColor="text1"/>
        </w:rPr>
        <w:t>In 2022</w:t>
      </w:r>
      <w:r w:rsidR="0070001C">
        <w:t>–</w:t>
      </w:r>
      <w:r>
        <w:rPr>
          <w:snapToGrid w:val="0"/>
          <w:color w:val="000000" w:themeColor="text1"/>
        </w:rPr>
        <w:t>23 and future years, the OTA aims to return donation and transplantation activity to pre-pandemic levels and to drive further improvements. To achieve this, we will prioritise building support across the community, optimising opportunities in the clinical sector, and enhancing systems to enable quality outcomes.</w:t>
      </w:r>
    </w:p>
    <w:p w14:paraId="64F3B897" w14:textId="7C6601F3" w:rsidR="0071631F" w:rsidRPr="000459A6" w:rsidRDefault="0071631F" w:rsidP="0071631F">
      <w:pPr>
        <w:rPr>
          <w:snapToGrid w:val="0"/>
          <w:color w:val="000000" w:themeColor="text1"/>
        </w:rPr>
      </w:pPr>
      <w:r>
        <w:rPr>
          <w:snapToGrid w:val="0"/>
          <w:color w:val="000000" w:themeColor="text1"/>
        </w:rPr>
        <w:t xml:space="preserve">In addition, </w:t>
      </w:r>
      <w:r>
        <w:rPr>
          <w:color w:val="000000" w:themeColor="text1"/>
        </w:rPr>
        <w:t xml:space="preserve">the OTA, the Commonwealth Department of Health and Aged Care, and state and territory governments will </w:t>
      </w:r>
      <w:r>
        <w:rPr>
          <w:snapToGrid w:val="0"/>
          <w:color w:val="000000" w:themeColor="text1"/>
        </w:rPr>
        <w:t>finalise the National Strategy for Organ Donation, Retrieval and Transplantation in Australia</w:t>
      </w:r>
      <w:r w:rsidR="0006479D" w:rsidRPr="0006479D">
        <w:rPr>
          <w:snapToGrid w:val="0"/>
          <w:color w:val="000000" w:themeColor="text1"/>
        </w:rPr>
        <w:t xml:space="preserve"> </w:t>
      </w:r>
      <w:r w:rsidR="0006479D">
        <w:rPr>
          <w:snapToGrid w:val="0"/>
          <w:color w:val="000000" w:themeColor="text1"/>
        </w:rPr>
        <w:t>and the National Policy Framework for the Australian Eye and Tissue Sector</w:t>
      </w:r>
      <w:r>
        <w:rPr>
          <w:snapToGrid w:val="0"/>
          <w:color w:val="000000" w:themeColor="text1"/>
        </w:rPr>
        <w:t>. The delivery on agreed priorities across the sectors will build on the success and learnings of the national program.</w:t>
      </w:r>
    </w:p>
    <w:p w14:paraId="74FD559D" w14:textId="77777777" w:rsidR="0071631F" w:rsidRDefault="0071631F" w:rsidP="0071631F">
      <w:pPr>
        <w:rPr>
          <w:i/>
          <w:snapToGrid w:val="0"/>
          <w:color w:val="000000" w:themeColor="text1"/>
        </w:rPr>
      </w:pPr>
      <w:r w:rsidRPr="00EE76CA" w:rsidDel="00C35267">
        <w:rPr>
          <w:snapToGrid w:val="0"/>
          <w:color w:val="000000" w:themeColor="text1"/>
        </w:rPr>
        <w:t xml:space="preserve">The OTA is a statutory authority established by the </w:t>
      </w:r>
      <w:r w:rsidRPr="00EE76CA" w:rsidDel="00C35267">
        <w:rPr>
          <w:i/>
          <w:snapToGrid w:val="0"/>
          <w:color w:val="000000" w:themeColor="text1"/>
        </w:rPr>
        <w:t xml:space="preserve">Australian Organ and Tissue Donation and Transplantation Authority Act 2008 </w:t>
      </w:r>
      <w:r w:rsidRPr="00EE76CA" w:rsidDel="00C35267">
        <w:rPr>
          <w:snapToGrid w:val="0"/>
          <w:color w:val="000000" w:themeColor="text1"/>
        </w:rPr>
        <w:t xml:space="preserve">and a non-corporate Commonwealth entity under the </w:t>
      </w:r>
      <w:r w:rsidRPr="00EE76CA" w:rsidDel="00C35267">
        <w:rPr>
          <w:i/>
          <w:snapToGrid w:val="0"/>
          <w:color w:val="000000" w:themeColor="text1"/>
        </w:rPr>
        <w:t>Public Governance, Performance and Accountability Act 2</w:t>
      </w:r>
      <w:r w:rsidRPr="00EE76CA" w:rsidDel="00097814">
        <w:rPr>
          <w:i/>
          <w:snapToGrid w:val="0"/>
          <w:color w:val="000000" w:themeColor="text1"/>
        </w:rPr>
        <w:t>013.</w:t>
      </w:r>
    </w:p>
    <w:p w14:paraId="15F6E191" w14:textId="15E7C6D9" w:rsidR="0071631F" w:rsidRDefault="0071631F">
      <w:pPr>
        <w:spacing w:after="160" w:line="259" w:lineRule="auto"/>
        <w:rPr>
          <w:snapToGrid w:val="0"/>
          <w:color w:val="000000" w:themeColor="text1"/>
        </w:rPr>
      </w:pPr>
      <w:r>
        <w:rPr>
          <w:snapToGrid w:val="0"/>
          <w:color w:val="000000" w:themeColor="text1"/>
        </w:rPr>
        <w:br w:type="page"/>
      </w:r>
    </w:p>
    <w:p w14:paraId="10ACBD2D" w14:textId="239AC2EF" w:rsidR="0024539A" w:rsidRPr="00EE76CA" w:rsidRDefault="0024539A" w:rsidP="00F4050F">
      <w:pPr>
        <w:pStyle w:val="Heading3"/>
      </w:pPr>
      <w:bookmarkStart w:id="3" w:name="_Toc117407766"/>
      <w:r w:rsidRPr="00EE76CA">
        <w:lastRenderedPageBreak/>
        <w:t>1.2</w:t>
      </w:r>
      <w:r w:rsidRPr="00EE76CA">
        <w:tab/>
        <w:t xml:space="preserve">Entity </w:t>
      </w:r>
      <w:r w:rsidR="00185581">
        <w:t>r</w:t>
      </w:r>
      <w:r w:rsidRPr="00EE76CA">
        <w:t xml:space="preserve">esource </w:t>
      </w:r>
      <w:r w:rsidR="00185581">
        <w:t>s</w:t>
      </w:r>
      <w:r w:rsidRPr="00EE76CA">
        <w:t>tatement</w:t>
      </w:r>
      <w:bookmarkEnd w:id="3"/>
    </w:p>
    <w:p w14:paraId="4DE223D0" w14:textId="77777777" w:rsidR="0024539A" w:rsidRPr="00EE76CA" w:rsidRDefault="0024539A" w:rsidP="0024539A">
      <w:pPr>
        <w:rPr>
          <w:color w:val="000000" w:themeColor="text1"/>
        </w:rPr>
      </w:pPr>
      <w:r w:rsidRPr="00EE76CA">
        <w:rPr>
          <w:color w:val="000000" w:themeColor="text1"/>
        </w:rPr>
        <w:t>Table 1.1 shows the total funding from all sources available to the entity for its operations and to deliver programs and services on behalf of the Government.</w:t>
      </w:r>
    </w:p>
    <w:p w14:paraId="7784D2CD" w14:textId="20BBEF69" w:rsidR="0024539A" w:rsidRPr="00EE76CA" w:rsidRDefault="0024539A" w:rsidP="0024539A">
      <w:pPr>
        <w:rPr>
          <w:color w:val="000000" w:themeColor="text1"/>
        </w:rPr>
      </w:pPr>
      <w:r w:rsidRPr="00EE76CA">
        <w:rPr>
          <w:color w:val="000000" w:themeColor="text1"/>
        </w:rPr>
        <w:t>The table summarises how resourc</w:t>
      </w:r>
      <w:r w:rsidR="009144D3">
        <w:rPr>
          <w:color w:val="000000" w:themeColor="text1"/>
        </w:rPr>
        <w:t>es will be applied by outcome (g</w:t>
      </w:r>
      <w:r w:rsidRPr="00EE76CA">
        <w:rPr>
          <w:color w:val="000000" w:themeColor="text1"/>
        </w:rPr>
        <w:t>overnment strategic policy objectives) and by administered (on behalf of the Government or the public) and departmental (for the entity’s operations) classification.</w:t>
      </w:r>
    </w:p>
    <w:p w14:paraId="3D98066C" w14:textId="77777777" w:rsidR="0024539A" w:rsidRPr="00EE76CA" w:rsidRDefault="0024539A" w:rsidP="0024539A">
      <w:pPr>
        <w:rPr>
          <w:color w:val="000000" w:themeColor="text1"/>
        </w:rPr>
      </w:pPr>
      <w:r w:rsidRPr="00EE76CA">
        <w:rPr>
          <w:color w:val="000000" w:themeColor="text1"/>
        </w:rPr>
        <w:t xml:space="preserve">For more detailed information on special accounts and special appropriations, refer to </w:t>
      </w:r>
      <w:r w:rsidRPr="00EE76CA">
        <w:rPr>
          <w:i/>
          <w:color w:val="000000" w:themeColor="text1"/>
        </w:rPr>
        <w:t>Budget Paper No. 4 – Agency Resourcing</w:t>
      </w:r>
      <w:r w:rsidRPr="00EE76CA">
        <w:rPr>
          <w:color w:val="000000" w:themeColor="text1"/>
        </w:rPr>
        <w:t>.</w:t>
      </w:r>
    </w:p>
    <w:p w14:paraId="0C3B3222" w14:textId="77777777" w:rsidR="0024539A" w:rsidRPr="00EE76CA" w:rsidRDefault="0024539A" w:rsidP="0024539A">
      <w:pPr>
        <w:rPr>
          <w:color w:val="000000" w:themeColor="text1"/>
        </w:rPr>
      </w:pPr>
      <w:r w:rsidRPr="00EE76CA">
        <w:rPr>
          <w:color w:val="000000" w:themeColor="text1"/>
        </w:rPr>
        <w:t>Information in this table is presented on a resourcing (that is, appropriations/cash available) basis, whilst the ‛Budgeted expenses by outcome’ tables in Section 2 and the financial statements in Section 3 are presented on an accrual basis.</w:t>
      </w:r>
    </w:p>
    <w:p w14:paraId="60844D41" w14:textId="77777777" w:rsidR="00A379E3" w:rsidRPr="00EE76CA" w:rsidRDefault="0024539A" w:rsidP="0024539A">
      <w:pPr>
        <w:pStyle w:val="Tablenumberandreference"/>
        <w:rPr>
          <w:color w:val="000000" w:themeColor="text1"/>
        </w:rPr>
      </w:pPr>
      <w:r w:rsidRPr="00EE76CA">
        <w:rPr>
          <w:color w:val="000000" w:themeColor="text1"/>
        </w:rPr>
        <w:t xml:space="preserve">Table 1.1: </w:t>
      </w:r>
      <w:r w:rsidR="00CF2E99" w:rsidRPr="00EE76CA">
        <w:rPr>
          <w:color w:val="000000" w:themeColor="text1"/>
        </w:rPr>
        <w:t>OTA</w:t>
      </w:r>
      <w:r w:rsidRPr="00EE76CA">
        <w:rPr>
          <w:color w:val="000000" w:themeColor="text1"/>
        </w:rPr>
        <w:t xml:space="preserve"> </w:t>
      </w:r>
      <w:r w:rsidR="00185581">
        <w:t>r</w:t>
      </w:r>
      <w:r w:rsidR="00185581" w:rsidRPr="003322E9">
        <w:t xml:space="preserve">esource </w:t>
      </w:r>
      <w:r w:rsidR="00185581">
        <w:t>s</w:t>
      </w:r>
      <w:r w:rsidR="00185581" w:rsidRPr="003322E9">
        <w:t xml:space="preserve">tatement – Budget </w:t>
      </w:r>
      <w:r w:rsidR="00185581">
        <w:t>e</w:t>
      </w:r>
      <w:r w:rsidR="00185581" w:rsidRPr="003322E9">
        <w:t xml:space="preserve">stimates </w:t>
      </w:r>
      <w:r w:rsidR="00185581" w:rsidRPr="00626350">
        <w:t>for 2022</w:t>
      </w:r>
      <w:r w:rsidR="00185581">
        <w:t>–</w:t>
      </w:r>
      <w:r w:rsidR="00185581" w:rsidRPr="00626350">
        <w:t xml:space="preserve">23 as at </w:t>
      </w:r>
      <w:r w:rsidR="00185581">
        <w:t xml:space="preserve">October </w:t>
      </w:r>
      <w:r w:rsidR="00185581" w:rsidRPr="00626350">
        <w:t>Budget 2022</w:t>
      </w:r>
    </w:p>
    <w:tbl>
      <w:tblPr>
        <w:tblW w:w="7380" w:type="dxa"/>
        <w:tblLayout w:type="fixed"/>
        <w:tblLook w:val="04A0" w:firstRow="1" w:lastRow="0" w:firstColumn="1" w:lastColumn="0" w:noHBand="0" w:noVBand="1"/>
      </w:tblPr>
      <w:tblGrid>
        <w:gridCol w:w="4660"/>
        <w:gridCol w:w="1360"/>
        <w:gridCol w:w="1360"/>
      </w:tblGrid>
      <w:tr w:rsidR="00471932" w:rsidRPr="00471932" w14:paraId="6BD85E0A" w14:textId="77777777" w:rsidTr="00471932">
        <w:trPr>
          <w:trHeight w:val="765"/>
        </w:trPr>
        <w:tc>
          <w:tcPr>
            <w:tcW w:w="4660" w:type="dxa"/>
            <w:tcBorders>
              <w:top w:val="single" w:sz="4" w:space="0" w:color="auto"/>
              <w:left w:val="nil"/>
              <w:bottom w:val="nil"/>
              <w:right w:val="nil"/>
            </w:tcBorders>
            <w:shd w:val="clear" w:color="auto" w:fill="auto"/>
            <w:tcMar>
              <w:left w:w="0" w:type="dxa"/>
            </w:tcMar>
            <w:hideMark/>
          </w:tcPr>
          <w:p w14:paraId="51369C6C" w14:textId="77777777" w:rsidR="00471932" w:rsidRPr="00471932" w:rsidRDefault="00471932" w:rsidP="00471932">
            <w:pPr>
              <w:spacing w:before="40" w:after="0"/>
              <w:jc w:val="right"/>
              <w:rPr>
                <w:rFonts w:ascii="Arial" w:hAnsi="Arial" w:cs="Arial"/>
                <w:b/>
                <w:bCs/>
                <w:color w:val="auto"/>
                <w:sz w:val="16"/>
                <w:szCs w:val="16"/>
              </w:rPr>
            </w:pPr>
            <w:r w:rsidRPr="00471932">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tcMar>
              <w:left w:w="0" w:type="dxa"/>
            </w:tcMar>
            <w:hideMark/>
          </w:tcPr>
          <w:p w14:paraId="371BB646" w14:textId="77777777" w:rsidR="00471932" w:rsidRPr="00471932" w:rsidRDefault="00471932" w:rsidP="00471932">
            <w:pPr>
              <w:spacing w:before="40" w:after="0"/>
              <w:jc w:val="right"/>
              <w:rPr>
                <w:rFonts w:ascii="Arial" w:hAnsi="Arial" w:cs="Arial"/>
                <w:b/>
                <w:bCs/>
                <w:color w:val="auto"/>
                <w:sz w:val="16"/>
                <w:szCs w:val="16"/>
              </w:rPr>
            </w:pPr>
            <w:r w:rsidRPr="00471932">
              <w:rPr>
                <w:rFonts w:ascii="Arial" w:hAnsi="Arial" w:cs="Arial"/>
                <w:b/>
                <w:bCs/>
                <w:color w:val="auto"/>
                <w:sz w:val="16"/>
                <w:szCs w:val="16"/>
              </w:rPr>
              <w:t>2021–22</w:t>
            </w:r>
            <w:r w:rsidRPr="00471932">
              <w:rPr>
                <w:rFonts w:ascii="Arial" w:hAnsi="Arial" w:cs="Arial"/>
                <w:b/>
                <w:bCs/>
                <w:color w:val="auto"/>
                <w:sz w:val="16"/>
                <w:szCs w:val="16"/>
              </w:rPr>
              <w:br/>
              <w:t>Estimated</w:t>
            </w:r>
            <w:r w:rsidRPr="00471932">
              <w:rPr>
                <w:rFonts w:ascii="Arial" w:hAnsi="Arial" w:cs="Arial"/>
                <w:b/>
                <w:bCs/>
                <w:color w:val="auto"/>
                <w:sz w:val="16"/>
                <w:szCs w:val="16"/>
              </w:rPr>
              <w:br/>
              <w:t>actual</w:t>
            </w:r>
            <w:r w:rsidRPr="00471932">
              <w:rPr>
                <w:rFonts w:ascii="Arial" w:hAnsi="Arial" w:cs="Arial"/>
                <w:b/>
                <w:bCs/>
                <w:color w:val="auto"/>
                <w:sz w:val="16"/>
                <w:szCs w:val="16"/>
              </w:rPr>
              <w:br/>
            </w:r>
            <w:r w:rsidRPr="00471932">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tcMar>
              <w:left w:w="0" w:type="dxa"/>
            </w:tcMar>
            <w:hideMark/>
          </w:tcPr>
          <w:p w14:paraId="3D2C6981" w14:textId="77777777" w:rsidR="00471932" w:rsidRPr="00471932" w:rsidRDefault="00471932" w:rsidP="00471932">
            <w:pPr>
              <w:spacing w:before="40" w:after="0"/>
              <w:jc w:val="right"/>
              <w:rPr>
                <w:rFonts w:ascii="Arial" w:hAnsi="Arial" w:cs="Arial"/>
                <w:b/>
                <w:bCs/>
                <w:color w:val="auto"/>
                <w:sz w:val="16"/>
                <w:szCs w:val="16"/>
              </w:rPr>
            </w:pPr>
            <w:r w:rsidRPr="00471932">
              <w:rPr>
                <w:rFonts w:ascii="Arial" w:hAnsi="Arial" w:cs="Arial"/>
                <w:b/>
                <w:bCs/>
                <w:color w:val="auto"/>
                <w:sz w:val="16"/>
                <w:szCs w:val="16"/>
              </w:rPr>
              <w:t>2022–23</w:t>
            </w:r>
            <w:r w:rsidRPr="00471932">
              <w:rPr>
                <w:rFonts w:ascii="Arial" w:hAnsi="Arial" w:cs="Arial"/>
                <w:b/>
                <w:bCs/>
                <w:color w:val="auto"/>
                <w:sz w:val="16"/>
                <w:szCs w:val="16"/>
              </w:rPr>
              <w:br/>
              <w:t>Estimate</w:t>
            </w:r>
            <w:r w:rsidRPr="00471932">
              <w:rPr>
                <w:rFonts w:ascii="Arial" w:hAnsi="Arial" w:cs="Arial"/>
                <w:b/>
                <w:bCs/>
                <w:color w:val="auto"/>
                <w:sz w:val="16"/>
                <w:szCs w:val="16"/>
              </w:rPr>
              <w:br/>
            </w:r>
            <w:r w:rsidRPr="00471932">
              <w:rPr>
                <w:rFonts w:ascii="Arial" w:hAnsi="Arial" w:cs="Arial"/>
                <w:b/>
                <w:bCs/>
                <w:color w:val="auto"/>
                <w:sz w:val="16"/>
                <w:szCs w:val="16"/>
              </w:rPr>
              <w:br/>
            </w:r>
            <w:r w:rsidRPr="00471932">
              <w:rPr>
                <w:rFonts w:ascii="Arial" w:hAnsi="Arial" w:cs="Arial"/>
                <w:color w:val="auto"/>
                <w:sz w:val="16"/>
                <w:szCs w:val="16"/>
              </w:rPr>
              <w:t>$'000</w:t>
            </w:r>
          </w:p>
        </w:tc>
      </w:tr>
      <w:tr w:rsidR="00471932" w:rsidRPr="00471932" w14:paraId="78D22992" w14:textId="77777777" w:rsidTr="00471932">
        <w:trPr>
          <w:trHeight w:val="225"/>
        </w:trPr>
        <w:tc>
          <w:tcPr>
            <w:tcW w:w="4660" w:type="dxa"/>
            <w:tcBorders>
              <w:top w:val="nil"/>
              <w:left w:val="nil"/>
              <w:bottom w:val="nil"/>
              <w:right w:val="nil"/>
            </w:tcBorders>
            <w:shd w:val="clear" w:color="auto" w:fill="auto"/>
            <w:noWrap/>
            <w:vAlign w:val="bottom"/>
            <w:hideMark/>
          </w:tcPr>
          <w:p w14:paraId="669CA037" w14:textId="77777777" w:rsidR="00471932" w:rsidRPr="00471932" w:rsidRDefault="00471932" w:rsidP="00471932">
            <w:pPr>
              <w:spacing w:after="0"/>
              <w:rPr>
                <w:rFonts w:ascii="Arial" w:hAnsi="Arial" w:cs="Arial"/>
                <w:b/>
                <w:bCs/>
                <w:color w:val="auto"/>
                <w:sz w:val="16"/>
                <w:szCs w:val="16"/>
              </w:rPr>
            </w:pPr>
            <w:r w:rsidRPr="00471932">
              <w:rPr>
                <w:rFonts w:ascii="Arial" w:hAnsi="Arial" w:cs="Arial"/>
                <w:b/>
                <w:bCs/>
                <w:color w:val="auto"/>
                <w:sz w:val="16"/>
                <w:szCs w:val="16"/>
              </w:rPr>
              <w:t>DEPARTMENTAL</w:t>
            </w:r>
          </w:p>
        </w:tc>
        <w:tc>
          <w:tcPr>
            <w:tcW w:w="1360" w:type="dxa"/>
            <w:tcBorders>
              <w:top w:val="nil"/>
              <w:left w:val="nil"/>
              <w:bottom w:val="nil"/>
              <w:right w:val="nil"/>
            </w:tcBorders>
            <w:shd w:val="clear" w:color="auto" w:fill="auto"/>
            <w:vAlign w:val="bottom"/>
            <w:hideMark/>
          </w:tcPr>
          <w:p w14:paraId="21BB3E1E" w14:textId="77777777" w:rsidR="00471932" w:rsidRPr="00471932" w:rsidRDefault="00471932" w:rsidP="00471932">
            <w:pPr>
              <w:spacing w:after="0"/>
              <w:jc w:val="right"/>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274ABA19"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 </w:t>
            </w:r>
          </w:p>
        </w:tc>
      </w:tr>
      <w:tr w:rsidR="00471932" w:rsidRPr="00471932" w14:paraId="4F5F28BA" w14:textId="77777777" w:rsidTr="00471932">
        <w:trPr>
          <w:trHeight w:val="225"/>
        </w:trPr>
        <w:tc>
          <w:tcPr>
            <w:tcW w:w="4660" w:type="dxa"/>
            <w:tcBorders>
              <w:top w:val="nil"/>
              <w:left w:val="nil"/>
              <w:bottom w:val="nil"/>
              <w:right w:val="nil"/>
            </w:tcBorders>
            <w:shd w:val="clear" w:color="auto" w:fill="auto"/>
            <w:noWrap/>
            <w:vAlign w:val="bottom"/>
            <w:hideMark/>
          </w:tcPr>
          <w:p w14:paraId="3191B3BC" w14:textId="77777777" w:rsidR="00471932" w:rsidRPr="00471932" w:rsidRDefault="00471932" w:rsidP="00471932">
            <w:pPr>
              <w:spacing w:after="0"/>
              <w:ind w:firstLineChars="100" w:firstLine="160"/>
              <w:rPr>
                <w:rFonts w:ascii="Arial" w:hAnsi="Arial" w:cs="Arial"/>
                <w:color w:val="auto"/>
                <w:sz w:val="16"/>
                <w:szCs w:val="16"/>
              </w:rPr>
            </w:pPr>
            <w:r w:rsidRPr="00471932">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3DA90A24"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2,589</w:t>
            </w:r>
          </w:p>
        </w:tc>
        <w:tc>
          <w:tcPr>
            <w:tcW w:w="1360" w:type="dxa"/>
            <w:tcBorders>
              <w:top w:val="nil"/>
              <w:left w:val="nil"/>
              <w:bottom w:val="nil"/>
              <w:right w:val="nil"/>
            </w:tcBorders>
            <w:shd w:val="clear" w:color="000000" w:fill="D9D9D9"/>
            <w:noWrap/>
            <w:vAlign w:val="bottom"/>
            <w:hideMark/>
          </w:tcPr>
          <w:p w14:paraId="18F6CE90"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3,467</w:t>
            </w:r>
          </w:p>
        </w:tc>
      </w:tr>
      <w:tr w:rsidR="00471932" w:rsidRPr="00471932" w14:paraId="07F2BAA4" w14:textId="77777777" w:rsidTr="00471932">
        <w:trPr>
          <w:trHeight w:val="300"/>
        </w:trPr>
        <w:tc>
          <w:tcPr>
            <w:tcW w:w="4660" w:type="dxa"/>
            <w:tcBorders>
              <w:top w:val="nil"/>
              <w:left w:val="nil"/>
              <w:bottom w:val="nil"/>
              <w:right w:val="nil"/>
            </w:tcBorders>
            <w:shd w:val="clear" w:color="auto" w:fill="auto"/>
            <w:noWrap/>
            <w:vAlign w:val="bottom"/>
            <w:hideMark/>
          </w:tcPr>
          <w:p w14:paraId="10AA4D2D" w14:textId="77777777" w:rsidR="00471932" w:rsidRPr="00471932" w:rsidRDefault="00471932" w:rsidP="00471932">
            <w:pPr>
              <w:spacing w:after="0"/>
              <w:ind w:firstLineChars="100" w:firstLine="160"/>
              <w:rPr>
                <w:rFonts w:ascii="Arial" w:hAnsi="Arial" w:cs="Arial"/>
                <w:b/>
                <w:bCs/>
                <w:color w:val="auto"/>
                <w:sz w:val="16"/>
                <w:szCs w:val="16"/>
              </w:rPr>
            </w:pPr>
            <w:r w:rsidRPr="00471932">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705F7682" w14:textId="77777777" w:rsidR="00471932" w:rsidRPr="00471932" w:rsidRDefault="00471932" w:rsidP="00471932">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noWrap/>
            <w:vAlign w:val="bottom"/>
            <w:hideMark/>
          </w:tcPr>
          <w:p w14:paraId="19525E27"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 </w:t>
            </w:r>
          </w:p>
        </w:tc>
      </w:tr>
      <w:tr w:rsidR="00471932" w:rsidRPr="00471932" w14:paraId="5D75ADAF" w14:textId="77777777" w:rsidTr="00471932">
        <w:trPr>
          <w:trHeight w:val="225"/>
        </w:trPr>
        <w:tc>
          <w:tcPr>
            <w:tcW w:w="4660" w:type="dxa"/>
            <w:tcBorders>
              <w:top w:val="nil"/>
              <w:left w:val="nil"/>
              <w:bottom w:val="nil"/>
              <w:right w:val="nil"/>
            </w:tcBorders>
            <w:shd w:val="clear" w:color="auto" w:fill="auto"/>
            <w:noWrap/>
            <w:vAlign w:val="bottom"/>
            <w:hideMark/>
          </w:tcPr>
          <w:p w14:paraId="05EEC919" w14:textId="77777777" w:rsidR="00471932" w:rsidRPr="00471932" w:rsidRDefault="00471932" w:rsidP="00471932">
            <w:pPr>
              <w:spacing w:after="0"/>
              <w:ind w:firstLineChars="200" w:firstLine="320"/>
              <w:rPr>
                <w:rFonts w:ascii="Arial" w:hAnsi="Arial" w:cs="Arial"/>
                <w:color w:val="auto"/>
                <w:sz w:val="16"/>
                <w:szCs w:val="16"/>
              </w:rPr>
            </w:pPr>
            <w:r w:rsidRPr="00471932">
              <w:rPr>
                <w:rFonts w:ascii="Arial" w:hAnsi="Arial" w:cs="Arial"/>
                <w:color w:val="auto"/>
                <w:sz w:val="16"/>
                <w:szCs w:val="16"/>
              </w:rPr>
              <w:t>Ordinary annual services</w:t>
            </w:r>
            <w:r w:rsidRPr="00471932">
              <w:rPr>
                <w:rFonts w:ascii="Arial" w:hAnsi="Arial" w:cs="Arial"/>
                <w:color w:val="auto"/>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14:paraId="34A57B4E" w14:textId="77777777" w:rsidR="00471932" w:rsidRPr="00471932" w:rsidRDefault="00471932" w:rsidP="00471932">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4B783428"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 </w:t>
            </w:r>
          </w:p>
        </w:tc>
      </w:tr>
      <w:tr w:rsidR="00471932" w:rsidRPr="00471932" w14:paraId="5C786CEF" w14:textId="77777777" w:rsidTr="00471932">
        <w:trPr>
          <w:trHeight w:val="225"/>
        </w:trPr>
        <w:tc>
          <w:tcPr>
            <w:tcW w:w="4660" w:type="dxa"/>
            <w:tcBorders>
              <w:top w:val="nil"/>
              <w:left w:val="nil"/>
              <w:bottom w:val="nil"/>
              <w:right w:val="nil"/>
            </w:tcBorders>
            <w:shd w:val="clear" w:color="auto" w:fill="auto"/>
            <w:noWrap/>
            <w:vAlign w:val="bottom"/>
            <w:hideMark/>
          </w:tcPr>
          <w:p w14:paraId="0694F389" w14:textId="77777777" w:rsidR="00471932" w:rsidRPr="00471932" w:rsidRDefault="00471932" w:rsidP="00471932">
            <w:pPr>
              <w:spacing w:after="0"/>
              <w:ind w:firstLineChars="300" w:firstLine="480"/>
              <w:rPr>
                <w:rFonts w:ascii="Arial" w:hAnsi="Arial" w:cs="Arial"/>
                <w:color w:val="auto"/>
                <w:sz w:val="16"/>
                <w:szCs w:val="16"/>
              </w:rPr>
            </w:pPr>
            <w:r w:rsidRPr="00471932">
              <w:rPr>
                <w:rFonts w:ascii="Arial" w:hAnsi="Arial" w:cs="Arial"/>
                <w:color w:val="auto"/>
                <w:sz w:val="16"/>
                <w:szCs w:val="16"/>
              </w:rPr>
              <w:t>Departmental appropriation</w:t>
            </w:r>
          </w:p>
        </w:tc>
        <w:tc>
          <w:tcPr>
            <w:tcW w:w="1360" w:type="dxa"/>
            <w:tcBorders>
              <w:top w:val="nil"/>
              <w:left w:val="nil"/>
              <w:bottom w:val="nil"/>
              <w:right w:val="nil"/>
            </w:tcBorders>
            <w:shd w:val="clear" w:color="auto" w:fill="auto"/>
            <w:noWrap/>
            <w:vAlign w:val="bottom"/>
            <w:hideMark/>
          </w:tcPr>
          <w:p w14:paraId="1B4F83E5"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5,978</w:t>
            </w:r>
          </w:p>
        </w:tc>
        <w:tc>
          <w:tcPr>
            <w:tcW w:w="1360" w:type="dxa"/>
            <w:tcBorders>
              <w:top w:val="nil"/>
              <w:left w:val="nil"/>
              <w:bottom w:val="nil"/>
              <w:right w:val="nil"/>
            </w:tcBorders>
            <w:shd w:val="clear" w:color="000000" w:fill="D9D9D9"/>
            <w:noWrap/>
            <w:vAlign w:val="bottom"/>
            <w:hideMark/>
          </w:tcPr>
          <w:p w14:paraId="5483B9B6"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6,089</w:t>
            </w:r>
          </w:p>
        </w:tc>
      </w:tr>
      <w:tr w:rsidR="00471932" w:rsidRPr="00471932" w14:paraId="62ED73CB" w14:textId="77777777" w:rsidTr="00471932">
        <w:trPr>
          <w:trHeight w:val="225"/>
        </w:trPr>
        <w:tc>
          <w:tcPr>
            <w:tcW w:w="4660" w:type="dxa"/>
            <w:tcBorders>
              <w:top w:val="nil"/>
              <w:left w:val="nil"/>
              <w:bottom w:val="nil"/>
              <w:right w:val="nil"/>
            </w:tcBorders>
            <w:shd w:val="clear" w:color="auto" w:fill="auto"/>
            <w:noWrap/>
            <w:vAlign w:val="bottom"/>
            <w:hideMark/>
          </w:tcPr>
          <w:p w14:paraId="12F7E34B" w14:textId="77777777" w:rsidR="00471932" w:rsidRPr="00471932" w:rsidRDefault="00471932" w:rsidP="00471932">
            <w:pPr>
              <w:spacing w:after="0"/>
              <w:ind w:firstLineChars="300" w:firstLine="480"/>
              <w:rPr>
                <w:rFonts w:ascii="Arial" w:hAnsi="Arial" w:cs="Arial"/>
                <w:color w:val="auto"/>
                <w:sz w:val="16"/>
                <w:szCs w:val="16"/>
              </w:rPr>
            </w:pPr>
            <w:r w:rsidRPr="00471932">
              <w:rPr>
                <w:rFonts w:ascii="Arial" w:hAnsi="Arial" w:cs="Arial"/>
                <w:color w:val="auto"/>
                <w:sz w:val="16"/>
                <w:szCs w:val="16"/>
              </w:rPr>
              <w:t>s74 retained revenue receipts</w:t>
            </w:r>
            <w:r w:rsidRPr="00471932">
              <w:rPr>
                <w:rFonts w:ascii="Arial" w:hAnsi="Arial" w:cs="Arial"/>
                <w:color w:val="auto"/>
                <w:sz w:val="16"/>
                <w:szCs w:val="16"/>
                <w:vertAlign w:val="superscript"/>
              </w:rPr>
              <w:t xml:space="preserve"> (b)</w:t>
            </w:r>
          </w:p>
        </w:tc>
        <w:tc>
          <w:tcPr>
            <w:tcW w:w="1360" w:type="dxa"/>
            <w:tcBorders>
              <w:top w:val="nil"/>
              <w:left w:val="nil"/>
              <w:bottom w:val="nil"/>
              <w:right w:val="nil"/>
            </w:tcBorders>
            <w:shd w:val="clear" w:color="auto" w:fill="auto"/>
            <w:noWrap/>
            <w:vAlign w:val="bottom"/>
            <w:hideMark/>
          </w:tcPr>
          <w:p w14:paraId="4AD77F40"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330</w:t>
            </w:r>
          </w:p>
        </w:tc>
        <w:tc>
          <w:tcPr>
            <w:tcW w:w="1360" w:type="dxa"/>
            <w:tcBorders>
              <w:top w:val="nil"/>
              <w:left w:val="nil"/>
              <w:bottom w:val="nil"/>
              <w:right w:val="nil"/>
            </w:tcBorders>
            <w:shd w:val="clear" w:color="000000" w:fill="D9D9D9"/>
            <w:noWrap/>
            <w:vAlign w:val="bottom"/>
            <w:hideMark/>
          </w:tcPr>
          <w:p w14:paraId="48398D45"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w:t>
            </w:r>
          </w:p>
        </w:tc>
      </w:tr>
      <w:tr w:rsidR="00471932" w:rsidRPr="00471932" w14:paraId="45B329D0" w14:textId="77777777" w:rsidTr="00471932">
        <w:trPr>
          <w:trHeight w:val="225"/>
        </w:trPr>
        <w:tc>
          <w:tcPr>
            <w:tcW w:w="4660" w:type="dxa"/>
            <w:tcBorders>
              <w:top w:val="nil"/>
              <w:left w:val="nil"/>
              <w:bottom w:val="nil"/>
              <w:right w:val="nil"/>
            </w:tcBorders>
            <w:shd w:val="clear" w:color="auto" w:fill="auto"/>
            <w:noWrap/>
            <w:vAlign w:val="bottom"/>
            <w:hideMark/>
          </w:tcPr>
          <w:p w14:paraId="4A8029E2" w14:textId="77777777" w:rsidR="00471932" w:rsidRPr="00471932" w:rsidRDefault="00471932" w:rsidP="00471932">
            <w:pPr>
              <w:spacing w:after="0"/>
              <w:ind w:firstLineChars="300" w:firstLine="480"/>
              <w:rPr>
                <w:rFonts w:ascii="Arial" w:hAnsi="Arial" w:cs="Arial"/>
                <w:color w:val="auto"/>
                <w:sz w:val="16"/>
                <w:szCs w:val="16"/>
              </w:rPr>
            </w:pPr>
            <w:r w:rsidRPr="00471932">
              <w:rPr>
                <w:rFonts w:ascii="Arial" w:hAnsi="Arial" w:cs="Arial"/>
                <w:color w:val="auto"/>
                <w:sz w:val="16"/>
                <w:szCs w:val="16"/>
              </w:rPr>
              <w:t>Departmental Capital Budget</w:t>
            </w:r>
            <w:r w:rsidRPr="00471932">
              <w:rPr>
                <w:rFonts w:ascii="Arial" w:hAnsi="Arial" w:cs="Arial"/>
                <w:color w:val="auto"/>
                <w:sz w:val="16"/>
                <w:szCs w:val="16"/>
                <w:vertAlign w:val="superscript"/>
              </w:rPr>
              <w:t xml:space="preserve"> (c)</w:t>
            </w:r>
          </w:p>
        </w:tc>
        <w:tc>
          <w:tcPr>
            <w:tcW w:w="1360" w:type="dxa"/>
            <w:tcBorders>
              <w:top w:val="nil"/>
              <w:left w:val="nil"/>
              <w:bottom w:val="nil"/>
              <w:right w:val="nil"/>
            </w:tcBorders>
            <w:shd w:val="clear" w:color="auto" w:fill="auto"/>
            <w:noWrap/>
            <w:vAlign w:val="bottom"/>
            <w:hideMark/>
          </w:tcPr>
          <w:p w14:paraId="31D39599"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261</w:t>
            </w:r>
          </w:p>
        </w:tc>
        <w:tc>
          <w:tcPr>
            <w:tcW w:w="1360" w:type="dxa"/>
            <w:tcBorders>
              <w:top w:val="nil"/>
              <w:left w:val="nil"/>
              <w:bottom w:val="nil"/>
              <w:right w:val="nil"/>
            </w:tcBorders>
            <w:shd w:val="clear" w:color="000000" w:fill="D9D9D9"/>
            <w:noWrap/>
            <w:vAlign w:val="bottom"/>
            <w:hideMark/>
          </w:tcPr>
          <w:p w14:paraId="1D1EE7E6"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264</w:t>
            </w:r>
          </w:p>
        </w:tc>
      </w:tr>
      <w:tr w:rsidR="00471932" w:rsidRPr="00471932" w14:paraId="70449CA4" w14:textId="77777777" w:rsidTr="00471932">
        <w:trPr>
          <w:trHeight w:val="300"/>
        </w:trPr>
        <w:tc>
          <w:tcPr>
            <w:tcW w:w="4660" w:type="dxa"/>
            <w:tcBorders>
              <w:top w:val="nil"/>
              <w:left w:val="nil"/>
              <w:bottom w:val="nil"/>
              <w:right w:val="nil"/>
            </w:tcBorders>
            <w:shd w:val="clear" w:color="auto" w:fill="auto"/>
            <w:noWrap/>
            <w:vAlign w:val="bottom"/>
            <w:hideMark/>
          </w:tcPr>
          <w:p w14:paraId="0557E071" w14:textId="77777777" w:rsidR="00471932" w:rsidRPr="00471932" w:rsidRDefault="00471932" w:rsidP="00471932">
            <w:pPr>
              <w:spacing w:after="0"/>
              <w:ind w:firstLineChars="200" w:firstLine="320"/>
              <w:rPr>
                <w:rFonts w:ascii="Arial" w:hAnsi="Arial" w:cs="Arial"/>
                <w:color w:val="auto"/>
                <w:sz w:val="16"/>
                <w:szCs w:val="16"/>
              </w:rPr>
            </w:pPr>
            <w:r w:rsidRPr="00471932">
              <w:rPr>
                <w:rFonts w:ascii="Arial" w:hAnsi="Arial" w:cs="Arial"/>
                <w:color w:val="auto"/>
                <w:sz w:val="16"/>
                <w:szCs w:val="16"/>
              </w:rPr>
              <w:t>Other services</w:t>
            </w:r>
            <w:r w:rsidRPr="00471932">
              <w:rPr>
                <w:rFonts w:ascii="Arial" w:hAnsi="Arial" w:cs="Arial"/>
                <w:color w:val="auto"/>
                <w:sz w:val="16"/>
                <w:szCs w:val="16"/>
                <w:vertAlign w:val="superscript"/>
              </w:rPr>
              <w:t xml:space="preserve"> (d)</w:t>
            </w:r>
          </w:p>
        </w:tc>
        <w:tc>
          <w:tcPr>
            <w:tcW w:w="1360" w:type="dxa"/>
            <w:tcBorders>
              <w:top w:val="nil"/>
              <w:left w:val="nil"/>
              <w:bottom w:val="nil"/>
              <w:right w:val="nil"/>
            </w:tcBorders>
            <w:shd w:val="clear" w:color="auto" w:fill="auto"/>
            <w:noWrap/>
            <w:vAlign w:val="bottom"/>
            <w:hideMark/>
          </w:tcPr>
          <w:p w14:paraId="1749F44B" w14:textId="77777777" w:rsidR="00471932" w:rsidRPr="00471932" w:rsidRDefault="00471932" w:rsidP="00471932">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noWrap/>
            <w:vAlign w:val="bottom"/>
            <w:hideMark/>
          </w:tcPr>
          <w:p w14:paraId="0B2D9F4A"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 </w:t>
            </w:r>
          </w:p>
        </w:tc>
      </w:tr>
      <w:tr w:rsidR="00471932" w:rsidRPr="00471932" w14:paraId="7B642DDC" w14:textId="77777777" w:rsidTr="00471932">
        <w:trPr>
          <w:trHeight w:val="225"/>
        </w:trPr>
        <w:tc>
          <w:tcPr>
            <w:tcW w:w="4660" w:type="dxa"/>
            <w:tcBorders>
              <w:top w:val="nil"/>
              <w:left w:val="nil"/>
              <w:bottom w:val="nil"/>
              <w:right w:val="nil"/>
            </w:tcBorders>
            <w:shd w:val="clear" w:color="auto" w:fill="auto"/>
            <w:noWrap/>
            <w:vAlign w:val="bottom"/>
            <w:hideMark/>
          </w:tcPr>
          <w:p w14:paraId="133A39B7" w14:textId="77777777" w:rsidR="00471932" w:rsidRPr="00471932" w:rsidRDefault="00471932" w:rsidP="00471932">
            <w:pPr>
              <w:spacing w:after="0"/>
              <w:ind w:firstLineChars="300" w:firstLine="480"/>
              <w:rPr>
                <w:rFonts w:ascii="Arial" w:hAnsi="Arial" w:cs="Arial"/>
                <w:color w:val="auto"/>
                <w:sz w:val="16"/>
                <w:szCs w:val="16"/>
              </w:rPr>
            </w:pPr>
            <w:r w:rsidRPr="00471932">
              <w:rPr>
                <w:rFonts w:ascii="Arial" w:hAnsi="Arial" w:cs="Arial"/>
                <w:color w:val="auto"/>
                <w:sz w:val="16"/>
                <w:szCs w:val="16"/>
              </w:rPr>
              <w:t>Equity injection</w:t>
            </w:r>
          </w:p>
        </w:tc>
        <w:tc>
          <w:tcPr>
            <w:tcW w:w="1360" w:type="dxa"/>
            <w:tcBorders>
              <w:top w:val="nil"/>
              <w:left w:val="nil"/>
              <w:bottom w:val="nil"/>
              <w:right w:val="nil"/>
            </w:tcBorders>
            <w:shd w:val="clear" w:color="auto" w:fill="auto"/>
            <w:noWrap/>
            <w:vAlign w:val="bottom"/>
            <w:hideMark/>
          </w:tcPr>
          <w:p w14:paraId="3BC4D7F4"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w:t>
            </w:r>
          </w:p>
        </w:tc>
        <w:tc>
          <w:tcPr>
            <w:tcW w:w="1360" w:type="dxa"/>
            <w:tcBorders>
              <w:top w:val="nil"/>
              <w:left w:val="nil"/>
              <w:bottom w:val="nil"/>
              <w:right w:val="nil"/>
            </w:tcBorders>
            <w:shd w:val="clear" w:color="000000" w:fill="D9D9D9"/>
            <w:noWrap/>
            <w:vAlign w:val="bottom"/>
            <w:hideMark/>
          </w:tcPr>
          <w:p w14:paraId="099D8782"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w:t>
            </w:r>
          </w:p>
        </w:tc>
      </w:tr>
      <w:tr w:rsidR="00471932" w:rsidRPr="00471932" w14:paraId="0999EA5A" w14:textId="77777777" w:rsidTr="00471932">
        <w:trPr>
          <w:trHeight w:val="225"/>
        </w:trPr>
        <w:tc>
          <w:tcPr>
            <w:tcW w:w="4660" w:type="dxa"/>
            <w:tcBorders>
              <w:top w:val="nil"/>
              <w:left w:val="nil"/>
              <w:bottom w:val="nil"/>
              <w:right w:val="nil"/>
            </w:tcBorders>
            <w:shd w:val="clear" w:color="auto" w:fill="auto"/>
            <w:noWrap/>
            <w:vAlign w:val="bottom"/>
            <w:hideMark/>
          </w:tcPr>
          <w:p w14:paraId="4D40547F" w14:textId="77777777" w:rsidR="00471932" w:rsidRPr="00471932" w:rsidRDefault="00471932" w:rsidP="00471932">
            <w:pPr>
              <w:spacing w:after="0"/>
              <w:ind w:firstLineChars="200" w:firstLine="320"/>
              <w:rPr>
                <w:rFonts w:ascii="Arial" w:hAnsi="Arial" w:cs="Arial"/>
                <w:b/>
                <w:bCs/>
                <w:color w:val="auto"/>
                <w:sz w:val="16"/>
                <w:szCs w:val="16"/>
              </w:rPr>
            </w:pPr>
            <w:r w:rsidRPr="00471932">
              <w:rPr>
                <w:rFonts w:ascii="Arial" w:hAnsi="Arial" w:cs="Arial"/>
                <w:b/>
                <w:bCs/>
                <w:color w:val="auto"/>
                <w:sz w:val="16"/>
                <w:szCs w:val="16"/>
              </w:rPr>
              <w:t>Total departmental annual appropriations</w:t>
            </w:r>
          </w:p>
        </w:tc>
        <w:tc>
          <w:tcPr>
            <w:tcW w:w="1360" w:type="dxa"/>
            <w:tcBorders>
              <w:top w:val="nil"/>
              <w:left w:val="nil"/>
              <w:bottom w:val="single" w:sz="4" w:space="0" w:color="auto"/>
              <w:right w:val="nil"/>
            </w:tcBorders>
            <w:shd w:val="clear" w:color="auto" w:fill="auto"/>
            <w:noWrap/>
            <w:vAlign w:val="bottom"/>
            <w:hideMark/>
          </w:tcPr>
          <w:p w14:paraId="37F6647A"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6,569</w:t>
            </w:r>
          </w:p>
        </w:tc>
        <w:tc>
          <w:tcPr>
            <w:tcW w:w="1360" w:type="dxa"/>
            <w:tcBorders>
              <w:top w:val="nil"/>
              <w:left w:val="nil"/>
              <w:bottom w:val="single" w:sz="4" w:space="0" w:color="auto"/>
              <w:right w:val="nil"/>
            </w:tcBorders>
            <w:shd w:val="clear" w:color="000000" w:fill="D9D9D9"/>
            <w:noWrap/>
            <w:vAlign w:val="bottom"/>
            <w:hideMark/>
          </w:tcPr>
          <w:p w14:paraId="02797C15"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6,353</w:t>
            </w:r>
          </w:p>
        </w:tc>
      </w:tr>
      <w:tr w:rsidR="00471932" w:rsidRPr="00471932" w14:paraId="1BADF58F" w14:textId="77777777" w:rsidTr="00471932">
        <w:trPr>
          <w:trHeight w:val="300"/>
        </w:trPr>
        <w:tc>
          <w:tcPr>
            <w:tcW w:w="4660" w:type="dxa"/>
            <w:tcBorders>
              <w:top w:val="nil"/>
              <w:left w:val="nil"/>
              <w:bottom w:val="nil"/>
              <w:right w:val="nil"/>
            </w:tcBorders>
            <w:shd w:val="clear" w:color="auto" w:fill="auto"/>
            <w:noWrap/>
            <w:vAlign w:val="bottom"/>
            <w:hideMark/>
          </w:tcPr>
          <w:p w14:paraId="70C0456D" w14:textId="77777777" w:rsidR="00471932" w:rsidRPr="00471932" w:rsidRDefault="00471932" w:rsidP="00471932">
            <w:pPr>
              <w:spacing w:after="0"/>
              <w:ind w:firstLineChars="100" w:firstLine="160"/>
              <w:rPr>
                <w:rFonts w:ascii="Arial" w:hAnsi="Arial" w:cs="Arial"/>
                <w:b/>
                <w:bCs/>
                <w:color w:val="auto"/>
                <w:sz w:val="16"/>
                <w:szCs w:val="16"/>
              </w:rPr>
            </w:pPr>
            <w:r w:rsidRPr="00471932">
              <w:rPr>
                <w:rFonts w:ascii="Arial" w:hAnsi="Arial" w:cs="Arial"/>
                <w:b/>
                <w:bCs/>
                <w:color w:val="auto"/>
                <w:sz w:val="16"/>
                <w:szCs w:val="16"/>
              </w:rPr>
              <w:t>Total departmental resourcing</w:t>
            </w:r>
          </w:p>
        </w:tc>
        <w:tc>
          <w:tcPr>
            <w:tcW w:w="1360" w:type="dxa"/>
            <w:tcBorders>
              <w:top w:val="nil"/>
              <w:left w:val="nil"/>
              <w:bottom w:val="single" w:sz="4" w:space="0" w:color="auto"/>
              <w:right w:val="nil"/>
            </w:tcBorders>
            <w:shd w:val="clear" w:color="auto" w:fill="auto"/>
            <w:noWrap/>
            <w:vAlign w:val="bottom"/>
            <w:hideMark/>
          </w:tcPr>
          <w:p w14:paraId="1B34696A"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9,158</w:t>
            </w:r>
          </w:p>
        </w:tc>
        <w:tc>
          <w:tcPr>
            <w:tcW w:w="1360" w:type="dxa"/>
            <w:tcBorders>
              <w:top w:val="nil"/>
              <w:left w:val="nil"/>
              <w:bottom w:val="single" w:sz="4" w:space="0" w:color="auto"/>
              <w:right w:val="nil"/>
            </w:tcBorders>
            <w:shd w:val="clear" w:color="000000" w:fill="D9D9D9"/>
            <w:noWrap/>
            <w:vAlign w:val="bottom"/>
            <w:hideMark/>
          </w:tcPr>
          <w:p w14:paraId="44BCD7C2"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9,820</w:t>
            </w:r>
          </w:p>
        </w:tc>
      </w:tr>
    </w:tbl>
    <w:p w14:paraId="1BB0320F" w14:textId="3FC7D7F6" w:rsidR="00A379E3" w:rsidRDefault="00A379E3">
      <w:r>
        <w:br w:type="page"/>
      </w:r>
    </w:p>
    <w:p w14:paraId="4A47742C" w14:textId="6DF0F501" w:rsidR="00A379E3" w:rsidRDefault="00A379E3" w:rsidP="00A379E3">
      <w:pPr>
        <w:pStyle w:val="Tablenumberandreference"/>
      </w:pPr>
      <w:r w:rsidRPr="00EE76CA">
        <w:rPr>
          <w:color w:val="000000" w:themeColor="text1"/>
        </w:rPr>
        <w:lastRenderedPageBreak/>
        <w:t xml:space="preserve">Table 1.1: OTA </w:t>
      </w:r>
      <w:r>
        <w:t>r</w:t>
      </w:r>
      <w:r w:rsidRPr="003322E9">
        <w:t xml:space="preserve">esource </w:t>
      </w:r>
      <w:r>
        <w:t>s</w:t>
      </w:r>
      <w:r w:rsidRPr="003322E9">
        <w:t xml:space="preserve">tatement – Budget </w:t>
      </w:r>
      <w:r>
        <w:t>e</w:t>
      </w:r>
      <w:r w:rsidRPr="003322E9">
        <w:t xml:space="preserve">stimates </w:t>
      </w:r>
      <w:r w:rsidRPr="00626350">
        <w:t>for 2022</w:t>
      </w:r>
      <w:r>
        <w:t>–</w:t>
      </w:r>
      <w:r w:rsidRPr="00626350">
        <w:t xml:space="preserve">23 as at </w:t>
      </w:r>
      <w:r>
        <w:t xml:space="preserve">October </w:t>
      </w:r>
      <w:r w:rsidRPr="00626350">
        <w:t>Budget 2022</w:t>
      </w:r>
      <w:r>
        <w:t xml:space="preserve"> (continued)</w:t>
      </w:r>
    </w:p>
    <w:tbl>
      <w:tblPr>
        <w:tblW w:w="7380" w:type="dxa"/>
        <w:tblLayout w:type="fixed"/>
        <w:tblLook w:val="04A0" w:firstRow="1" w:lastRow="0" w:firstColumn="1" w:lastColumn="0" w:noHBand="0" w:noVBand="1"/>
      </w:tblPr>
      <w:tblGrid>
        <w:gridCol w:w="4660"/>
        <w:gridCol w:w="1360"/>
        <w:gridCol w:w="1360"/>
      </w:tblGrid>
      <w:tr w:rsidR="00471932" w:rsidRPr="00471932" w14:paraId="72BC2B39" w14:textId="77777777" w:rsidTr="00471932">
        <w:trPr>
          <w:trHeight w:val="765"/>
        </w:trPr>
        <w:tc>
          <w:tcPr>
            <w:tcW w:w="4660" w:type="dxa"/>
            <w:tcBorders>
              <w:top w:val="single" w:sz="4" w:space="0" w:color="auto"/>
              <w:left w:val="nil"/>
              <w:bottom w:val="nil"/>
              <w:right w:val="nil"/>
            </w:tcBorders>
            <w:shd w:val="clear" w:color="auto" w:fill="auto"/>
            <w:hideMark/>
          </w:tcPr>
          <w:p w14:paraId="0516839E" w14:textId="77777777" w:rsidR="00471932" w:rsidRPr="00471932" w:rsidRDefault="00471932" w:rsidP="00471932">
            <w:pPr>
              <w:spacing w:before="40" w:after="0"/>
              <w:jc w:val="right"/>
              <w:rPr>
                <w:rFonts w:ascii="Arial" w:hAnsi="Arial" w:cs="Arial"/>
                <w:b/>
                <w:bCs/>
                <w:color w:val="auto"/>
                <w:sz w:val="16"/>
                <w:szCs w:val="16"/>
              </w:rPr>
            </w:pPr>
            <w:r w:rsidRPr="00471932">
              <w:rPr>
                <w:rFonts w:ascii="Arial" w:hAnsi="Arial" w:cs="Arial"/>
                <w:b/>
                <w:bCs/>
                <w:color w:val="auto"/>
                <w:sz w:val="16"/>
                <w:szCs w:val="16"/>
              </w:rPr>
              <w:t> </w:t>
            </w:r>
          </w:p>
        </w:tc>
        <w:tc>
          <w:tcPr>
            <w:tcW w:w="1360" w:type="dxa"/>
            <w:tcBorders>
              <w:top w:val="single" w:sz="4" w:space="0" w:color="auto"/>
              <w:left w:val="nil"/>
              <w:bottom w:val="single" w:sz="4" w:space="0" w:color="auto"/>
              <w:right w:val="nil"/>
            </w:tcBorders>
            <w:shd w:val="clear" w:color="auto" w:fill="auto"/>
            <w:hideMark/>
          </w:tcPr>
          <w:p w14:paraId="4BC3E66A" w14:textId="77777777" w:rsidR="00471932" w:rsidRPr="00471932" w:rsidRDefault="00471932" w:rsidP="00471932">
            <w:pPr>
              <w:spacing w:before="40" w:after="0"/>
              <w:jc w:val="right"/>
              <w:rPr>
                <w:rFonts w:ascii="Arial" w:hAnsi="Arial" w:cs="Arial"/>
                <w:b/>
                <w:bCs/>
                <w:color w:val="auto"/>
                <w:sz w:val="16"/>
                <w:szCs w:val="16"/>
              </w:rPr>
            </w:pPr>
            <w:r w:rsidRPr="00471932">
              <w:rPr>
                <w:rFonts w:ascii="Arial" w:hAnsi="Arial" w:cs="Arial"/>
                <w:b/>
                <w:bCs/>
                <w:color w:val="auto"/>
                <w:sz w:val="16"/>
                <w:szCs w:val="16"/>
              </w:rPr>
              <w:t>2021–22</w:t>
            </w:r>
            <w:r w:rsidRPr="00471932">
              <w:rPr>
                <w:rFonts w:ascii="Arial" w:hAnsi="Arial" w:cs="Arial"/>
                <w:b/>
                <w:bCs/>
                <w:color w:val="auto"/>
                <w:sz w:val="16"/>
                <w:szCs w:val="16"/>
              </w:rPr>
              <w:br/>
              <w:t>Estimated</w:t>
            </w:r>
            <w:r w:rsidRPr="00471932">
              <w:rPr>
                <w:rFonts w:ascii="Arial" w:hAnsi="Arial" w:cs="Arial"/>
                <w:b/>
                <w:bCs/>
                <w:color w:val="auto"/>
                <w:sz w:val="16"/>
                <w:szCs w:val="16"/>
              </w:rPr>
              <w:br/>
              <w:t>actual</w:t>
            </w:r>
            <w:r w:rsidRPr="00471932">
              <w:rPr>
                <w:rFonts w:ascii="Arial" w:hAnsi="Arial" w:cs="Arial"/>
                <w:b/>
                <w:bCs/>
                <w:color w:val="auto"/>
                <w:sz w:val="16"/>
                <w:szCs w:val="16"/>
              </w:rPr>
              <w:br/>
            </w:r>
            <w:r w:rsidRPr="00471932">
              <w:rPr>
                <w:rFonts w:ascii="Arial" w:hAnsi="Arial" w:cs="Arial"/>
                <w:color w:val="auto"/>
                <w:sz w:val="16"/>
                <w:szCs w:val="16"/>
              </w:rPr>
              <w:t>$'000</w:t>
            </w:r>
          </w:p>
        </w:tc>
        <w:tc>
          <w:tcPr>
            <w:tcW w:w="1360" w:type="dxa"/>
            <w:tcBorders>
              <w:top w:val="single" w:sz="4" w:space="0" w:color="auto"/>
              <w:left w:val="nil"/>
              <w:bottom w:val="single" w:sz="4" w:space="0" w:color="auto"/>
              <w:right w:val="nil"/>
            </w:tcBorders>
            <w:shd w:val="clear" w:color="000000" w:fill="D9D9D9"/>
            <w:hideMark/>
          </w:tcPr>
          <w:p w14:paraId="356B5C2E" w14:textId="77777777" w:rsidR="00471932" w:rsidRPr="00471932" w:rsidRDefault="00471932" w:rsidP="00471932">
            <w:pPr>
              <w:spacing w:before="40" w:after="0"/>
              <w:jc w:val="right"/>
              <w:rPr>
                <w:rFonts w:ascii="Arial" w:hAnsi="Arial" w:cs="Arial"/>
                <w:b/>
                <w:bCs/>
                <w:color w:val="auto"/>
                <w:sz w:val="16"/>
                <w:szCs w:val="16"/>
              </w:rPr>
            </w:pPr>
            <w:r w:rsidRPr="00471932">
              <w:rPr>
                <w:rFonts w:ascii="Arial" w:hAnsi="Arial" w:cs="Arial"/>
                <w:b/>
                <w:bCs/>
                <w:color w:val="auto"/>
                <w:sz w:val="16"/>
                <w:szCs w:val="16"/>
              </w:rPr>
              <w:t>2022–23</w:t>
            </w:r>
            <w:r w:rsidRPr="00471932">
              <w:rPr>
                <w:rFonts w:ascii="Arial" w:hAnsi="Arial" w:cs="Arial"/>
                <w:b/>
                <w:bCs/>
                <w:color w:val="auto"/>
                <w:sz w:val="16"/>
                <w:szCs w:val="16"/>
              </w:rPr>
              <w:br/>
              <w:t>Estimate</w:t>
            </w:r>
            <w:r w:rsidRPr="00471932">
              <w:rPr>
                <w:rFonts w:ascii="Arial" w:hAnsi="Arial" w:cs="Arial"/>
                <w:b/>
                <w:bCs/>
                <w:color w:val="auto"/>
                <w:sz w:val="16"/>
                <w:szCs w:val="16"/>
              </w:rPr>
              <w:br/>
            </w:r>
            <w:r w:rsidRPr="00471932">
              <w:rPr>
                <w:rFonts w:ascii="Arial" w:hAnsi="Arial" w:cs="Arial"/>
                <w:b/>
                <w:bCs/>
                <w:color w:val="auto"/>
                <w:sz w:val="16"/>
                <w:szCs w:val="16"/>
              </w:rPr>
              <w:br/>
            </w:r>
            <w:r w:rsidRPr="00471932">
              <w:rPr>
                <w:rFonts w:ascii="Arial" w:hAnsi="Arial" w:cs="Arial"/>
                <w:color w:val="auto"/>
                <w:sz w:val="16"/>
                <w:szCs w:val="16"/>
              </w:rPr>
              <w:t>$'000</w:t>
            </w:r>
          </w:p>
        </w:tc>
      </w:tr>
      <w:tr w:rsidR="00471932" w:rsidRPr="00471932" w14:paraId="7B1FC305" w14:textId="77777777" w:rsidTr="00471932">
        <w:trPr>
          <w:trHeight w:val="225"/>
        </w:trPr>
        <w:tc>
          <w:tcPr>
            <w:tcW w:w="4660" w:type="dxa"/>
            <w:tcBorders>
              <w:top w:val="nil"/>
              <w:left w:val="nil"/>
              <w:bottom w:val="nil"/>
              <w:right w:val="nil"/>
            </w:tcBorders>
            <w:shd w:val="clear" w:color="auto" w:fill="auto"/>
            <w:noWrap/>
            <w:vAlign w:val="bottom"/>
            <w:hideMark/>
          </w:tcPr>
          <w:p w14:paraId="37D313BB" w14:textId="77777777" w:rsidR="00471932" w:rsidRPr="00471932" w:rsidRDefault="00471932" w:rsidP="00471932">
            <w:pPr>
              <w:spacing w:after="0"/>
              <w:rPr>
                <w:rFonts w:ascii="Arial" w:hAnsi="Arial" w:cs="Arial"/>
                <w:b/>
                <w:bCs/>
                <w:color w:val="auto"/>
                <w:sz w:val="16"/>
                <w:szCs w:val="16"/>
              </w:rPr>
            </w:pPr>
            <w:r w:rsidRPr="00471932">
              <w:rPr>
                <w:rFonts w:ascii="Arial" w:hAnsi="Arial" w:cs="Arial"/>
                <w:b/>
                <w:bCs/>
                <w:color w:val="auto"/>
                <w:sz w:val="16"/>
                <w:szCs w:val="16"/>
              </w:rPr>
              <w:t>ADMINISTERED</w:t>
            </w:r>
          </w:p>
        </w:tc>
        <w:tc>
          <w:tcPr>
            <w:tcW w:w="1360" w:type="dxa"/>
            <w:tcBorders>
              <w:top w:val="nil"/>
              <w:left w:val="nil"/>
              <w:bottom w:val="nil"/>
              <w:right w:val="nil"/>
            </w:tcBorders>
            <w:shd w:val="clear" w:color="auto" w:fill="auto"/>
            <w:noWrap/>
            <w:vAlign w:val="bottom"/>
            <w:hideMark/>
          </w:tcPr>
          <w:p w14:paraId="37A8C7AC" w14:textId="77777777" w:rsidR="00471932" w:rsidRPr="00471932" w:rsidRDefault="00471932" w:rsidP="00471932">
            <w:pPr>
              <w:spacing w:after="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6100EA0C"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 </w:t>
            </w:r>
          </w:p>
        </w:tc>
      </w:tr>
      <w:tr w:rsidR="00471932" w:rsidRPr="00471932" w14:paraId="0EA65370" w14:textId="77777777" w:rsidTr="00471932">
        <w:trPr>
          <w:trHeight w:val="225"/>
        </w:trPr>
        <w:tc>
          <w:tcPr>
            <w:tcW w:w="4660" w:type="dxa"/>
            <w:tcBorders>
              <w:top w:val="nil"/>
              <w:left w:val="nil"/>
              <w:bottom w:val="nil"/>
              <w:right w:val="nil"/>
            </w:tcBorders>
            <w:shd w:val="clear" w:color="auto" w:fill="auto"/>
            <w:noWrap/>
            <w:vAlign w:val="bottom"/>
            <w:hideMark/>
          </w:tcPr>
          <w:p w14:paraId="0C898FE7" w14:textId="77777777" w:rsidR="00471932" w:rsidRPr="00471932" w:rsidRDefault="00471932" w:rsidP="00471932">
            <w:pPr>
              <w:spacing w:after="0"/>
              <w:ind w:firstLineChars="100" w:firstLine="160"/>
              <w:rPr>
                <w:rFonts w:ascii="Arial" w:hAnsi="Arial" w:cs="Arial"/>
                <w:color w:val="auto"/>
                <w:sz w:val="16"/>
                <w:szCs w:val="16"/>
              </w:rPr>
            </w:pPr>
            <w:r w:rsidRPr="00471932">
              <w:rPr>
                <w:rFonts w:ascii="Arial" w:hAnsi="Arial" w:cs="Arial"/>
                <w:color w:val="auto"/>
                <w:sz w:val="16"/>
                <w:szCs w:val="16"/>
              </w:rPr>
              <w:t>Prior year appropriation available</w:t>
            </w:r>
          </w:p>
        </w:tc>
        <w:tc>
          <w:tcPr>
            <w:tcW w:w="1360" w:type="dxa"/>
            <w:tcBorders>
              <w:top w:val="nil"/>
              <w:left w:val="nil"/>
              <w:bottom w:val="nil"/>
              <w:right w:val="nil"/>
            </w:tcBorders>
            <w:shd w:val="clear" w:color="auto" w:fill="auto"/>
            <w:noWrap/>
            <w:vAlign w:val="bottom"/>
            <w:hideMark/>
          </w:tcPr>
          <w:p w14:paraId="146258C7"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65</w:t>
            </w:r>
          </w:p>
        </w:tc>
        <w:tc>
          <w:tcPr>
            <w:tcW w:w="1360" w:type="dxa"/>
            <w:tcBorders>
              <w:top w:val="nil"/>
              <w:left w:val="nil"/>
              <w:bottom w:val="nil"/>
              <w:right w:val="nil"/>
            </w:tcBorders>
            <w:shd w:val="clear" w:color="000000" w:fill="D9D9D9"/>
            <w:vAlign w:val="bottom"/>
            <w:hideMark/>
          </w:tcPr>
          <w:p w14:paraId="1BF48530"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143</w:t>
            </w:r>
          </w:p>
        </w:tc>
      </w:tr>
      <w:tr w:rsidR="00471932" w:rsidRPr="00471932" w14:paraId="4B82F01F" w14:textId="77777777" w:rsidTr="00471932">
        <w:trPr>
          <w:trHeight w:val="300"/>
        </w:trPr>
        <w:tc>
          <w:tcPr>
            <w:tcW w:w="4660" w:type="dxa"/>
            <w:tcBorders>
              <w:top w:val="nil"/>
              <w:left w:val="nil"/>
              <w:bottom w:val="nil"/>
              <w:right w:val="nil"/>
            </w:tcBorders>
            <w:shd w:val="clear" w:color="auto" w:fill="auto"/>
            <w:noWrap/>
            <w:vAlign w:val="bottom"/>
            <w:hideMark/>
          </w:tcPr>
          <w:p w14:paraId="1DDBB0BA" w14:textId="77777777" w:rsidR="00471932" w:rsidRPr="00471932" w:rsidRDefault="00471932" w:rsidP="00471932">
            <w:pPr>
              <w:spacing w:after="0"/>
              <w:ind w:firstLineChars="100" w:firstLine="160"/>
              <w:rPr>
                <w:rFonts w:ascii="Arial" w:hAnsi="Arial" w:cs="Arial"/>
                <w:b/>
                <w:bCs/>
                <w:color w:val="auto"/>
                <w:sz w:val="16"/>
                <w:szCs w:val="16"/>
              </w:rPr>
            </w:pPr>
            <w:r w:rsidRPr="00471932">
              <w:rPr>
                <w:rFonts w:ascii="Arial" w:hAnsi="Arial" w:cs="Arial"/>
                <w:b/>
                <w:bCs/>
                <w:color w:val="auto"/>
                <w:sz w:val="16"/>
                <w:szCs w:val="16"/>
              </w:rPr>
              <w:t>Annual appropriations</w:t>
            </w:r>
          </w:p>
        </w:tc>
        <w:tc>
          <w:tcPr>
            <w:tcW w:w="1360" w:type="dxa"/>
            <w:tcBorders>
              <w:top w:val="nil"/>
              <w:left w:val="nil"/>
              <w:bottom w:val="nil"/>
              <w:right w:val="nil"/>
            </w:tcBorders>
            <w:shd w:val="clear" w:color="auto" w:fill="auto"/>
            <w:noWrap/>
            <w:vAlign w:val="bottom"/>
            <w:hideMark/>
          </w:tcPr>
          <w:p w14:paraId="10179C86" w14:textId="77777777" w:rsidR="00471932" w:rsidRPr="00471932" w:rsidRDefault="00471932" w:rsidP="00471932">
            <w:pPr>
              <w:spacing w:after="0"/>
              <w:ind w:firstLineChars="100" w:firstLine="160"/>
              <w:rPr>
                <w:rFonts w:ascii="Arial" w:hAnsi="Arial" w:cs="Arial"/>
                <w:b/>
                <w:bCs/>
                <w:color w:val="auto"/>
                <w:sz w:val="16"/>
                <w:szCs w:val="16"/>
              </w:rPr>
            </w:pPr>
          </w:p>
        </w:tc>
        <w:tc>
          <w:tcPr>
            <w:tcW w:w="1360" w:type="dxa"/>
            <w:tcBorders>
              <w:top w:val="nil"/>
              <w:left w:val="nil"/>
              <w:bottom w:val="nil"/>
              <w:right w:val="nil"/>
            </w:tcBorders>
            <w:shd w:val="clear" w:color="000000" w:fill="D9D9D9"/>
            <w:vAlign w:val="bottom"/>
            <w:hideMark/>
          </w:tcPr>
          <w:p w14:paraId="74DC890F"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 </w:t>
            </w:r>
          </w:p>
        </w:tc>
      </w:tr>
      <w:tr w:rsidR="00471932" w:rsidRPr="00471932" w14:paraId="78B01922" w14:textId="77777777" w:rsidTr="00471932">
        <w:trPr>
          <w:trHeight w:val="225"/>
        </w:trPr>
        <w:tc>
          <w:tcPr>
            <w:tcW w:w="4660" w:type="dxa"/>
            <w:tcBorders>
              <w:top w:val="nil"/>
              <w:left w:val="nil"/>
              <w:bottom w:val="nil"/>
              <w:right w:val="nil"/>
            </w:tcBorders>
            <w:shd w:val="clear" w:color="auto" w:fill="auto"/>
            <w:noWrap/>
            <w:vAlign w:val="bottom"/>
            <w:hideMark/>
          </w:tcPr>
          <w:p w14:paraId="7942AFD9" w14:textId="77777777" w:rsidR="00471932" w:rsidRPr="00471932" w:rsidRDefault="00471932" w:rsidP="00471932">
            <w:pPr>
              <w:spacing w:after="0"/>
              <w:ind w:firstLineChars="200" w:firstLine="320"/>
              <w:rPr>
                <w:rFonts w:ascii="Arial" w:hAnsi="Arial" w:cs="Arial"/>
                <w:color w:val="auto"/>
                <w:sz w:val="16"/>
                <w:szCs w:val="16"/>
              </w:rPr>
            </w:pPr>
            <w:r w:rsidRPr="00471932">
              <w:rPr>
                <w:rFonts w:ascii="Arial" w:hAnsi="Arial" w:cs="Arial"/>
                <w:color w:val="auto"/>
                <w:sz w:val="16"/>
                <w:szCs w:val="16"/>
              </w:rPr>
              <w:t>Ordinary annual services</w:t>
            </w:r>
            <w:r w:rsidRPr="00471932">
              <w:rPr>
                <w:rFonts w:ascii="Arial" w:hAnsi="Arial" w:cs="Arial"/>
                <w:color w:val="auto"/>
                <w:sz w:val="16"/>
                <w:szCs w:val="16"/>
                <w:vertAlign w:val="superscript"/>
              </w:rPr>
              <w:t xml:space="preserve"> (a)</w:t>
            </w:r>
          </w:p>
        </w:tc>
        <w:tc>
          <w:tcPr>
            <w:tcW w:w="1360" w:type="dxa"/>
            <w:tcBorders>
              <w:top w:val="nil"/>
              <w:left w:val="nil"/>
              <w:bottom w:val="nil"/>
              <w:right w:val="nil"/>
            </w:tcBorders>
            <w:shd w:val="clear" w:color="auto" w:fill="auto"/>
            <w:noWrap/>
            <w:vAlign w:val="bottom"/>
            <w:hideMark/>
          </w:tcPr>
          <w:p w14:paraId="0E6108D4" w14:textId="77777777" w:rsidR="00471932" w:rsidRPr="00471932" w:rsidRDefault="00471932" w:rsidP="00471932">
            <w:pPr>
              <w:spacing w:after="0"/>
              <w:ind w:firstLineChars="200" w:firstLine="320"/>
              <w:rPr>
                <w:rFonts w:ascii="Arial" w:hAnsi="Arial" w:cs="Arial"/>
                <w:color w:val="auto"/>
                <w:sz w:val="16"/>
                <w:szCs w:val="16"/>
              </w:rPr>
            </w:pPr>
          </w:p>
        </w:tc>
        <w:tc>
          <w:tcPr>
            <w:tcW w:w="1360" w:type="dxa"/>
            <w:tcBorders>
              <w:top w:val="nil"/>
              <w:left w:val="nil"/>
              <w:bottom w:val="nil"/>
              <w:right w:val="nil"/>
            </w:tcBorders>
            <w:shd w:val="clear" w:color="000000" w:fill="D9D9D9"/>
            <w:vAlign w:val="bottom"/>
            <w:hideMark/>
          </w:tcPr>
          <w:p w14:paraId="3B9C5D32"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 </w:t>
            </w:r>
          </w:p>
        </w:tc>
      </w:tr>
      <w:tr w:rsidR="00471932" w:rsidRPr="00471932" w14:paraId="7454BBA8" w14:textId="77777777" w:rsidTr="00471932">
        <w:trPr>
          <w:trHeight w:val="225"/>
        </w:trPr>
        <w:tc>
          <w:tcPr>
            <w:tcW w:w="4660" w:type="dxa"/>
            <w:tcBorders>
              <w:top w:val="nil"/>
              <w:left w:val="nil"/>
              <w:bottom w:val="nil"/>
              <w:right w:val="nil"/>
            </w:tcBorders>
            <w:shd w:val="clear" w:color="auto" w:fill="auto"/>
            <w:noWrap/>
            <w:vAlign w:val="bottom"/>
            <w:hideMark/>
          </w:tcPr>
          <w:p w14:paraId="16C1229E" w14:textId="77777777" w:rsidR="00471932" w:rsidRPr="00471932" w:rsidRDefault="00471932" w:rsidP="00471932">
            <w:pPr>
              <w:spacing w:after="0"/>
              <w:ind w:firstLineChars="300" w:firstLine="480"/>
              <w:rPr>
                <w:rFonts w:ascii="Arial" w:hAnsi="Arial" w:cs="Arial"/>
                <w:color w:val="auto"/>
                <w:sz w:val="16"/>
                <w:szCs w:val="16"/>
              </w:rPr>
            </w:pPr>
            <w:r w:rsidRPr="00471932">
              <w:rPr>
                <w:rFonts w:ascii="Arial" w:hAnsi="Arial" w:cs="Arial"/>
                <w:color w:val="auto"/>
                <w:sz w:val="16"/>
                <w:szCs w:val="16"/>
              </w:rPr>
              <w:t>Outcome 1</w:t>
            </w:r>
          </w:p>
        </w:tc>
        <w:tc>
          <w:tcPr>
            <w:tcW w:w="1360" w:type="dxa"/>
            <w:tcBorders>
              <w:top w:val="nil"/>
              <w:left w:val="nil"/>
              <w:bottom w:val="nil"/>
              <w:right w:val="nil"/>
            </w:tcBorders>
            <w:shd w:val="clear" w:color="auto" w:fill="auto"/>
            <w:vAlign w:val="bottom"/>
            <w:hideMark/>
          </w:tcPr>
          <w:p w14:paraId="0A59C538"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48,281</w:t>
            </w:r>
          </w:p>
        </w:tc>
        <w:tc>
          <w:tcPr>
            <w:tcW w:w="1360" w:type="dxa"/>
            <w:tcBorders>
              <w:top w:val="nil"/>
              <w:left w:val="nil"/>
              <w:bottom w:val="nil"/>
              <w:right w:val="nil"/>
            </w:tcBorders>
            <w:shd w:val="clear" w:color="000000" w:fill="D9D9D9"/>
            <w:vAlign w:val="bottom"/>
            <w:hideMark/>
          </w:tcPr>
          <w:p w14:paraId="30EFA333" w14:textId="77777777" w:rsidR="00471932" w:rsidRPr="00471932" w:rsidRDefault="00471932" w:rsidP="00471932">
            <w:pPr>
              <w:spacing w:after="0"/>
              <w:jc w:val="right"/>
              <w:rPr>
                <w:rFonts w:ascii="Arial" w:hAnsi="Arial" w:cs="Arial"/>
                <w:color w:val="auto"/>
                <w:sz w:val="16"/>
                <w:szCs w:val="16"/>
              </w:rPr>
            </w:pPr>
            <w:r w:rsidRPr="00471932">
              <w:rPr>
                <w:rFonts w:ascii="Arial" w:hAnsi="Arial" w:cs="Arial"/>
                <w:color w:val="auto"/>
                <w:sz w:val="16"/>
                <w:szCs w:val="16"/>
              </w:rPr>
              <w:t>49,131</w:t>
            </w:r>
          </w:p>
        </w:tc>
      </w:tr>
      <w:tr w:rsidR="00471932" w:rsidRPr="00471932" w14:paraId="628B9116" w14:textId="77777777" w:rsidTr="00471932">
        <w:trPr>
          <w:trHeight w:val="300"/>
        </w:trPr>
        <w:tc>
          <w:tcPr>
            <w:tcW w:w="4660" w:type="dxa"/>
            <w:tcBorders>
              <w:top w:val="nil"/>
              <w:left w:val="nil"/>
              <w:bottom w:val="nil"/>
              <w:right w:val="nil"/>
            </w:tcBorders>
            <w:shd w:val="clear" w:color="auto" w:fill="auto"/>
            <w:noWrap/>
            <w:vAlign w:val="bottom"/>
            <w:hideMark/>
          </w:tcPr>
          <w:p w14:paraId="71B01DF4" w14:textId="77777777" w:rsidR="00471932" w:rsidRPr="00471932" w:rsidRDefault="00471932" w:rsidP="00471932">
            <w:pPr>
              <w:spacing w:after="0"/>
              <w:ind w:firstLineChars="200" w:firstLine="320"/>
              <w:rPr>
                <w:rFonts w:ascii="Arial" w:hAnsi="Arial" w:cs="Arial"/>
                <w:b/>
                <w:bCs/>
                <w:color w:val="auto"/>
                <w:sz w:val="16"/>
                <w:szCs w:val="16"/>
              </w:rPr>
            </w:pPr>
            <w:r w:rsidRPr="00471932">
              <w:rPr>
                <w:rFonts w:ascii="Arial" w:hAnsi="Arial" w:cs="Arial"/>
                <w:b/>
                <w:bCs/>
                <w:color w:val="auto"/>
                <w:sz w:val="16"/>
                <w:szCs w:val="16"/>
              </w:rPr>
              <w:t>Total administered annual appropriations</w:t>
            </w:r>
          </w:p>
        </w:tc>
        <w:tc>
          <w:tcPr>
            <w:tcW w:w="1360" w:type="dxa"/>
            <w:tcBorders>
              <w:top w:val="single" w:sz="4" w:space="0" w:color="auto"/>
              <w:left w:val="nil"/>
              <w:bottom w:val="single" w:sz="4" w:space="0" w:color="auto"/>
              <w:right w:val="nil"/>
            </w:tcBorders>
            <w:shd w:val="clear" w:color="auto" w:fill="auto"/>
            <w:noWrap/>
            <w:vAlign w:val="bottom"/>
            <w:hideMark/>
          </w:tcPr>
          <w:p w14:paraId="0C7A18A6"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48,281</w:t>
            </w:r>
          </w:p>
        </w:tc>
        <w:tc>
          <w:tcPr>
            <w:tcW w:w="1360" w:type="dxa"/>
            <w:tcBorders>
              <w:top w:val="single" w:sz="4" w:space="0" w:color="auto"/>
              <w:left w:val="nil"/>
              <w:bottom w:val="single" w:sz="4" w:space="0" w:color="auto"/>
              <w:right w:val="nil"/>
            </w:tcBorders>
            <w:shd w:val="clear" w:color="000000" w:fill="D9D9D9"/>
            <w:noWrap/>
            <w:vAlign w:val="bottom"/>
            <w:hideMark/>
          </w:tcPr>
          <w:p w14:paraId="43104749"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49,131</w:t>
            </w:r>
          </w:p>
        </w:tc>
      </w:tr>
      <w:tr w:rsidR="00471932" w:rsidRPr="00471932" w14:paraId="3D114EDA" w14:textId="77777777" w:rsidTr="00471932">
        <w:trPr>
          <w:trHeight w:val="300"/>
        </w:trPr>
        <w:tc>
          <w:tcPr>
            <w:tcW w:w="4660" w:type="dxa"/>
            <w:tcBorders>
              <w:top w:val="nil"/>
              <w:left w:val="nil"/>
              <w:bottom w:val="nil"/>
              <w:right w:val="nil"/>
            </w:tcBorders>
            <w:shd w:val="clear" w:color="auto" w:fill="auto"/>
            <w:noWrap/>
            <w:vAlign w:val="bottom"/>
            <w:hideMark/>
          </w:tcPr>
          <w:p w14:paraId="1F49E378" w14:textId="77777777" w:rsidR="00471932" w:rsidRPr="00471932" w:rsidRDefault="00471932" w:rsidP="00471932">
            <w:pPr>
              <w:spacing w:after="0"/>
              <w:ind w:firstLineChars="100" w:firstLine="160"/>
              <w:rPr>
                <w:rFonts w:ascii="Arial" w:hAnsi="Arial" w:cs="Arial"/>
                <w:b/>
                <w:bCs/>
                <w:color w:val="auto"/>
                <w:sz w:val="16"/>
                <w:szCs w:val="16"/>
              </w:rPr>
            </w:pPr>
            <w:r w:rsidRPr="00471932">
              <w:rPr>
                <w:rFonts w:ascii="Arial" w:hAnsi="Arial" w:cs="Arial"/>
                <w:b/>
                <w:bCs/>
                <w:color w:val="auto"/>
                <w:sz w:val="16"/>
                <w:szCs w:val="16"/>
              </w:rPr>
              <w:t xml:space="preserve">Total administered resourcing </w:t>
            </w:r>
          </w:p>
        </w:tc>
        <w:tc>
          <w:tcPr>
            <w:tcW w:w="1360" w:type="dxa"/>
            <w:tcBorders>
              <w:top w:val="nil"/>
              <w:left w:val="nil"/>
              <w:bottom w:val="single" w:sz="4" w:space="0" w:color="auto"/>
              <w:right w:val="nil"/>
            </w:tcBorders>
            <w:shd w:val="clear" w:color="auto" w:fill="auto"/>
            <w:noWrap/>
            <w:vAlign w:val="bottom"/>
            <w:hideMark/>
          </w:tcPr>
          <w:p w14:paraId="70A82A56"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48,346</w:t>
            </w:r>
          </w:p>
        </w:tc>
        <w:tc>
          <w:tcPr>
            <w:tcW w:w="1360" w:type="dxa"/>
            <w:tcBorders>
              <w:top w:val="nil"/>
              <w:left w:val="nil"/>
              <w:bottom w:val="single" w:sz="4" w:space="0" w:color="auto"/>
              <w:right w:val="nil"/>
            </w:tcBorders>
            <w:shd w:val="clear" w:color="000000" w:fill="D9D9D9"/>
            <w:noWrap/>
            <w:vAlign w:val="bottom"/>
            <w:hideMark/>
          </w:tcPr>
          <w:p w14:paraId="7E6D2AD6"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49,274</w:t>
            </w:r>
          </w:p>
        </w:tc>
      </w:tr>
      <w:tr w:rsidR="00471932" w:rsidRPr="00471932" w14:paraId="5C135061" w14:textId="77777777" w:rsidTr="00471932">
        <w:trPr>
          <w:trHeight w:val="300"/>
        </w:trPr>
        <w:tc>
          <w:tcPr>
            <w:tcW w:w="4660" w:type="dxa"/>
            <w:tcBorders>
              <w:top w:val="nil"/>
              <w:left w:val="nil"/>
              <w:bottom w:val="single" w:sz="4" w:space="0" w:color="auto"/>
              <w:right w:val="nil"/>
            </w:tcBorders>
            <w:shd w:val="clear" w:color="auto" w:fill="auto"/>
            <w:noWrap/>
            <w:vAlign w:val="bottom"/>
            <w:hideMark/>
          </w:tcPr>
          <w:p w14:paraId="5C0AC574" w14:textId="77777777" w:rsidR="00471932" w:rsidRPr="00471932" w:rsidRDefault="00471932" w:rsidP="00471932">
            <w:pPr>
              <w:spacing w:after="0"/>
              <w:rPr>
                <w:rFonts w:ascii="Arial" w:hAnsi="Arial" w:cs="Arial"/>
                <w:b/>
                <w:bCs/>
                <w:color w:val="auto"/>
                <w:sz w:val="16"/>
                <w:szCs w:val="16"/>
              </w:rPr>
            </w:pPr>
            <w:r w:rsidRPr="00471932">
              <w:rPr>
                <w:rFonts w:ascii="Arial" w:hAnsi="Arial" w:cs="Arial"/>
                <w:b/>
                <w:bCs/>
                <w:color w:val="auto"/>
                <w:sz w:val="16"/>
                <w:szCs w:val="16"/>
              </w:rPr>
              <w:t>Total resourcing for OTA</w:t>
            </w:r>
          </w:p>
        </w:tc>
        <w:tc>
          <w:tcPr>
            <w:tcW w:w="1360" w:type="dxa"/>
            <w:tcBorders>
              <w:top w:val="nil"/>
              <w:left w:val="nil"/>
              <w:bottom w:val="single" w:sz="4" w:space="0" w:color="auto"/>
              <w:right w:val="nil"/>
            </w:tcBorders>
            <w:shd w:val="clear" w:color="auto" w:fill="auto"/>
            <w:noWrap/>
            <w:vAlign w:val="bottom"/>
            <w:hideMark/>
          </w:tcPr>
          <w:p w14:paraId="2445DF30"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57,504</w:t>
            </w:r>
          </w:p>
        </w:tc>
        <w:tc>
          <w:tcPr>
            <w:tcW w:w="1360" w:type="dxa"/>
            <w:tcBorders>
              <w:top w:val="nil"/>
              <w:left w:val="nil"/>
              <w:bottom w:val="single" w:sz="4" w:space="0" w:color="auto"/>
              <w:right w:val="nil"/>
            </w:tcBorders>
            <w:shd w:val="clear" w:color="000000" w:fill="D9D9D9"/>
            <w:noWrap/>
            <w:vAlign w:val="bottom"/>
            <w:hideMark/>
          </w:tcPr>
          <w:p w14:paraId="27900B6E"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59,094</w:t>
            </w:r>
          </w:p>
        </w:tc>
      </w:tr>
      <w:tr w:rsidR="00471932" w:rsidRPr="00471932" w14:paraId="444F2208" w14:textId="77777777" w:rsidTr="00F42247">
        <w:trPr>
          <w:trHeight w:val="225"/>
        </w:trPr>
        <w:tc>
          <w:tcPr>
            <w:tcW w:w="4660" w:type="dxa"/>
            <w:tcBorders>
              <w:top w:val="nil"/>
              <w:left w:val="nil"/>
              <w:bottom w:val="single" w:sz="4" w:space="0" w:color="auto"/>
              <w:right w:val="nil"/>
            </w:tcBorders>
            <w:shd w:val="clear" w:color="auto" w:fill="auto"/>
            <w:noWrap/>
            <w:vAlign w:val="bottom"/>
            <w:hideMark/>
          </w:tcPr>
          <w:p w14:paraId="6BFF75C6" w14:textId="77777777" w:rsidR="00471932" w:rsidRPr="00471932" w:rsidRDefault="00471932" w:rsidP="00471932">
            <w:pPr>
              <w:spacing w:after="0"/>
              <w:jc w:val="right"/>
              <w:rPr>
                <w:rFonts w:ascii="Arial" w:hAnsi="Arial" w:cs="Arial"/>
                <w:b/>
                <w:bCs/>
                <w:color w:val="auto"/>
                <w:sz w:val="16"/>
                <w:szCs w:val="16"/>
              </w:rPr>
            </w:pPr>
          </w:p>
        </w:tc>
        <w:tc>
          <w:tcPr>
            <w:tcW w:w="1360" w:type="dxa"/>
            <w:tcBorders>
              <w:top w:val="nil"/>
              <w:left w:val="nil"/>
              <w:bottom w:val="nil"/>
              <w:right w:val="nil"/>
            </w:tcBorders>
            <w:shd w:val="clear" w:color="auto" w:fill="auto"/>
            <w:noWrap/>
            <w:vAlign w:val="bottom"/>
            <w:hideMark/>
          </w:tcPr>
          <w:p w14:paraId="42561348" w14:textId="77777777" w:rsidR="00471932" w:rsidRPr="00471932" w:rsidRDefault="00471932" w:rsidP="00471932">
            <w:pPr>
              <w:spacing w:after="0"/>
              <w:rPr>
                <w:rFonts w:ascii="Times New Roman" w:hAnsi="Times New Roman"/>
                <w:color w:val="auto"/>
                <w:sz w:val="20"/>
              </w:rPr>
            </w:pPr>
          </w:p>
        </w:tc>
        <w:tc>
          <w:tcPr>
            <w:tcW w:w="1360" w:type="dxa"/>
            <w:tcBorders>
              <w:top w:val="nil"/>
              <w:left w:val="nil"/>
              <w:bottom w:val="nil"/>
              <w:right w:val="nil"/>
            </w:tcBorders>
            <w:shd w:val="clear" w:color="auto" w:fill="auto"/>
            <w:noWrap/>
            <w:vAlign w:val="bottom"/>
            <w:hideMark/>
          </w:tcPr>
          <w:p w14:paraId="7B2E8FCA" w14:textId="77777777" w:rsidR="00471932" w:rsidRPr="00471932" w:rsidRDefault="00471932" w:rsidP="00471932">
            <w:pPr>
              <w:spacing w:after="0"/>
              <w:rPr>
                <w:rFonts w:ascii="Times New Roman" w:hAnsi="Times New Roman"/>
                <w:color w:val="auto"/>
                <w:sz w:val="20"/>
              </w:rPr>
            </w:pPr>
          </w:p>
        </w:tc>
      </w:tr>
      <w:tr w:rsidR="00471932" w:rsidRPr="00471932" w14:paraId="6E014192" w14:textId="77777777" w:rsidTr="00F42247">
        <w:trPr>
          <w:trHeight w:val="225"/>
        </w:trPr>
        <w:tc>
          <w:tcPr>
            <w:tcW w:w="4660" w:type="dxa"/>
            <w:tcBorders>
              <w:top w:val="single" w:sz="4" w:space="0" w:color="auto"/>
              <w:left w:val="nil"/>
              <w:bottom w:val="nil"/>
              <w:right w:val="nil"/>
            </w:tcBorders>
            <w:shd w:val="clear" w:color="auto" w:fill="auto"/>
            <w:noWrap/>
            <w:vAlign w:val="bottom"/>
            <w:hideMark/>
          </w:tcPr>
          <w:p w14:paraId="2AD96B3E" w14:textId="77777777" w:rsidR="00471932" w:rsidRPr="00471932" w:rsidRDefault="00471932" w:rsidP="00471932">
            <w:pPr>
              <w:spacing w:after="0"/>
              <w:jc w:val="right"/>
              <w:rPr>
                <w:rFonts w:ascii="Times New Roman" w:hAnsi="Times New Roman"/>
                <w:color w:val="auto"/>
                <w:sz w:val="20"/>
              </w:rPr>
            </w:pPr>
          </w:p>
        </w:tc>
        <w:tc>
          <w:tcPr>
            <w:tcW w:w="1360" w:type="dxa"/>
            <w:tcBorders>
              <w:top w:val="single" w:sz="4" w:space="0" w:color="auto"/>
              <w:left w:val="nil"/>
              <w:bottom w:val="nil"/>
              <w:right w:val="nil"/>
            </w:tcBorders>
            <w:shd w:val="clear" w:color="auto" w:fill="auto"/>
            <w:noWrap/>
            <w:vAlign w:val="bottom"/>
            <w:hideMark/>
          </w:tcPr>
          <w:p w14:paraId="71F3F74C"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2021–22</w:t>
            </w:r>
          </w:p>
        </w:tc>
        <w:tc>
          <w:tcPr>
            <w:tcW w:w="1360" w:type="dxa"/>
            <w:tcBorders>
              <w:top w:val="single" w:sz="4" w:space="0" w:color="auto"/>
              <w:left w:val="nil"/>
              <w:bottom w:val="nil"/>
              <w:right w:val="nil"/>
            </w:tcBorders>
            <w:shd w:val="clear" w:color="000000" w:fill="D9D9D9"/>
            <w:noWrap/>
            <w:vAlign w:val="bottom"/>
            <w:hideMark/>
          </w:tcPr>
          <w:p w14:paraId="37630D48" w14:textId="77777777" w:rsidR="00471932" w:rsidRPr="00471932" w:rsidRDefault="00471932" w:rsidP="00471932">
            <w:pPr>
              <w:spacing w:after="0"/>
              <w:jc w:val="right"/>
              <w:rPr>
                <w:rFonts w:ascii="Arial" w:hAnsi="Arial" w:cs="Arial"/>
                <w:b/>
                <w:bCs/>
                <w:color w:val="auto"/>
                <w:sz w:val="16"/>
                <w:szCs w:val="16"/>
              </w:rPr>
            </w:pPr>
            <w:r w:rsidRPr="00471932">
              <w:rPr>
                <w:rFonts w:ascii="Arial" w:hAnsi="Arial" w:cs="Arial"/>
                <w:b/>
                <w:bCs/>
                <w:color w:val="auto"/>
                <w:sz w:val="16"/>
                <w:szCs w:val="16"/>
              </w:rPr>
              <w:t>2022–23</w:t>
            </w:r>
          </w:p>
        </w:tc>
      </w:tr>
      <w:tr w:rsidR="00471932" w:rsidRPr="00471932" w14:paraId="0947EAFC" w14:textId="77777777" w:rsidTr="00471932">
        <w:trPr>
          <w:trHeight w:val="225"/>
        </w:trPr>
        <w:tc>
          <w:tcPr>
            <w:tcW w:w="4660" w:type="dxa"/>
            <w:tcBorders>
              <w:top w:val="nil"/>
              <w:left w:val="nil"/>
              <w:bottom w:val="single" w:sz="4" w:space="0" w:color="auto"/>
              <w:right w:val="nil"/>
            </w:tcBorders>
            <w:shd w:val="clear" w:color="auto" w:fill="auto"/>
            <w:noWrap/>
            <w:vAlign w:val="bottom"/>
            <w:hideMark/>
          </w:tcPr>
          <w:p w14:paraId="413D63A4" w14:textId="77777777" w:rsidR="00471932" w:rsidRPr="00471932" w:rsidRDefault="00471932" w:rsidP="00471932">
            <w:pPr>
              <w:spacing w:after="0"/>
              <w:rPr>
                <w:rFonts w:ascii="Arial" w:hAnsi="Arial" w:cs="Arial"/>
                <w:b/>
                <w:bCs/>
                <w:sz w:val="16"/>
                <w:szCs w:val="16"/>
              </w:rPr>
            </w:pPr>
            <w:r w:rsidRPr="00471932">
              <w:rPr>
                <w:rFonts w:ascii="Arial" w:hAnsi="Arial" w:cs="Arial"/>
                <w:b/>
                <w:bCs/>
                <w:sz w:val="16"/>
                <w:szCs w:val="16"/>
              </w:rPr>
              <w:t xml:space="preserve">Average </w:t>
            </w:r>
            <w:r w:rsidRPr="00471932">
              <w:rPr>
                <w:rFonts w:ascii="Arial" w:hAnsi="Arial" w:cs="Arial"/>
                <w:b/>
                <w:bCs/>
                <w:color w:val="auto"/>
                <w:sz w:val="16"/>
                <w:szCs w:val="16"/>
              </w:rPr>
              <w:t>s</w:t>
            </w:r>
            <w:r w:rsidRPr="00471932">
              <w:rPr>
                <w:rFonts w:ascii="Arial" w:hAnsi="Arial" w:cs="Arial"/>
                <w:b/>
                <w:bCs/>
                <w:sz w:val="16"/>
                <w:szCs w:val="16"/>
              </w:rPr>
              <w:t xml:space="preserve">taffing </w:t>
            </w:r>
            <w:r w:rsidRPr="00471932">
              <w:rPr>
                <w:rFonts w:ascii="Arial" w:hAnsi="Arial" w:cs="Arial"/>
                <w:b/>
                <w:bCs/>
                <w:color w:val="auto"/>
                <w:sz w:val="16"/>
                <w:szCs w:val="16"/>
              </w:rPr>
              <w:t>l</w:t>
            </w:r>
            <w:r w:rsidRPr="00471932">
              <w:rPr>
                <w:rFonts w:ascii="Arial" w:hAnsi="Arial" w:cs="Arial"/>
                <w:b/>
                <w:bCs/>
                <w:sz w:val="16"/>
                <w:szCs w:val="16"/>
              </w:rPr>
              <w:t>evel (number)</w:t>
            </w:r>
          </w:p>
        </w:tc>
        <w:tc>
          <w:tcPr>
            <w:tcW w:w="1360" w:type="dxa"/>
            <w:tcBorders>
              <w:top w:val="single" w:sz="4" w:space="0" w:color="auto"/>
              <w:left w:val="nil"/>
              <w:bottom w:val="single" w:sz="4" w:space="0" w:color="auto"/>
              <w:right w:val="nil"/>
            </w:tcBorders>
            <w:shd w:val="clear" w:color="auto" w:fill="auto"/>
            <w:noWrap/>
            <w:vAlign w:val="bottom"/>
            <w:hideMark/>
          </w:tcPr>
          <w:p w14:paraId="6B24701B" w14:textId="77777777" w:rsidR="00471932" w:rsidRPr="00471932" w:rsidRDefault="00471932" w:rsidP="00471932">
            <w:pPr>
              <w:spacing w:after="0"/>
              <w:jc w:val="right"/>
              <w:rPr>
                <w:rFonts w:ascii="Arial" w:hAnsi="Arial" w:cs="Arial"/>
                <w:sz w:val="16"/>
                <w:szCs w:val="16"/>
              </w:rPr>
            </w:pPr>
            <w:r w:rsidRPr="00471932">
              <w:rPr>
                <w:rFonts w:ascii="Arial" w:hAnsi="Arial" w:cs="Arial"/>
                <w:sz w:val="16"/>
                <w:szCs w:val="16"/>
              </w:rPr>
              <w:t>23</w:t>
            </w:r>
          </w:p>
        </w:tc>
        <w:tc>
          <w:tcPr>
            <w:tcW w:w="1360" w:type="dxa"/>
            <w:tcBorders>
              <w:top w:val="single" w:sz="4" w:space="0" w:color="auto"/>
              <w:left w:val="nil"/>
              <w:bottom w:val="single" w:sz="4" w:space="0" w:color="auto"/>
              <w:right w:val="nil"/>
            </w:tcBorders>
            <w:shd w:val="clear" w:color="000000" w:fill="D9D9D9"/>
            <w:noWrap/>
            <w:vAlign w:val="bottom"/>
            <w:hideMark/>
          </w:tcPr>
          <w:p w14:paraId="6FED9A5E" w14:textId="77777777" w:rsidR="00471932" w:rsidRPr="00471932" w:rsidRDefault="00471932" w:rsidP="00471932">
            <w:pPr>
              <w:spacing w:after="0"/>
              <w:jc w:val="right"/>
              <w:rPr>
                <w:rFonts w:ascii="Arial" w:hAnsi="Arial" w:cs="Arial"/>
                <w:sz w:val="16"/>
                <w:szCs w:val="16"/>
              </w:rPr>
            </w:pPr>
            <w:r w:rsidRPr="00471932">
              <w:rPr>
                <w:rFonts w:ascii="Arial" w:hAnsi="Arial" w:cs="Arial"/>
                <w:sz w:val="16"/>
                <w:szCs w:val="16"/>
              </w:rPr>
              <w:t>30</w:t>
            </w:r>
          </w:p>
        </w:tc>
      </w:tr>
    </w:tbl>
    <w:p w14:paraId="22FE52CB" w14:textId="53F5DD47" w:rsidR="00A379E3" w:rsidRPr="00A379E3" w:rsidRDefault="00A379E3" w:rsidP="00A379E3">
      <w:pPr>
        <w:pStyle w:val="FootnoteText"/>
        <w:spacing w:before="120"/>
      </w:pPr>
      <w:r w:rsidRPr="00A379E3">
        <w:t>All figures are GST exclusive.</w:t>
      </w:r>
    </w:p>
    <w:p w14:paraId="11BAF703" w14:textId="2B6E4D6A" w:rsidR="00A379E3" w:rsidRPr="00A379E3" w:rsidRDefault="00A379E3" w:rsidP="00A379E3">
      <w:pPr>
        <w:pStyle w:val="FootnoteText"/>
      </w:pPr>
      <w:r w:rsidRPr="00A379E3">
        <w:rPr>
          <w:vertAlign w:val="superscript"/>
        </w:rPr>
        <w:t>(a)</w:t>
      </w:r>
      <w:r>
        <w:rPr>
          <w:vertAlign w:val="superscript"/>
        </w:rPr>
        <w:tab/>
      </w:r>
      <w:r w:rsidRPr="00A379E3">
        <w:t xml:space="preserve">Appropriation Bill (No. 1) 2022–23, Supply Bill (No.3) 2022–23 </w:t>
      </w:r>
      <w:r>
        <w:t xml:space="preserve">and </w:t>
      </w:r>
      <w:r w:rsidRPr="008F283C">
        <w:rPr>
          <w:i/>
        </w:rPr>
        <w:t>Supply Act (No.1) 2022–23.</w:t>
      </w:r>
    </w:p>
    <w:p w14:paraId="4CA2E995" w14:textId="7C25E4E0" w:rsidR="00A379E3" w:rsidRPr="00A379E3" w:rsidRDefault="00A379E3" w:rsidP="00A379E3">
      <w:pPr>
        <w:pStyle w:val="FootnoteText"/>
      </w:pPr>
      <w:r w:rsidRPr="00A379E3">
        <w:rPr>
          <w:vertAlign w:val="superscript"/>
        </w:rPr>
        <w:t>(b)</w:t>
      </w:r>
      <w:r>
        <w:tab/>
      </w:r>
      <w:r w:rsidRPr="00A379E3">
        <w:t xml:space="preserve">Estimated retained revenue receipts under section 74 of the </w:t>
      </w:r>
      <w:r w:rsidRPr="008F283C">
        <w:rPr>
          <w:i/>
        </w:rPr>
        <w:t>Public Governance, Performance and Accountability Act</w:t>
      </w:r>
      <w:r w:rsidRPr="00A379E3">
        <w:t xml:space="preserve"> 2013 (PGPA Act).</w:t>
      </w:r>
    </w:p>
    <w:p w14:paraId="20E7DB83" w14:textId="2BE4D23D" w:rsidR="00A379E3" w:rsidRPr="00A379E3" w:rsidRDefault="00A379E3" w:rsidP="00A379E3">
      <w:pPr>
        <w:pStyle w:val="FootnoteText"/>
      </w:pPr>
      <w:r w:rsidRPr="00A379E3">
        <w:rPr>
          <w:vertAlign w:val="superscript"/>
        </w:rPr>
        <w:t>(c)</w:t>
      </w:r>
      <w:r>
        <w:rPr>
          <w:vertAlign w:val="superscript"/>
        </w:rPr>
        <w:tab/>
      </w:r>
      <w:r w:rsidRPr="00A379E3">
        <w:t xml:space="preserve">Departmental Capital Budgets are not separately identified in Appropriation Bill (No. 1) including </w:t>
      </w:r>
      <w:r w:rsidR="008F283C">
        <w:br/>
      </w:r>
      <w:r w:rsidRPr="008F283C">
        <w:rPr>
          <w:i/>
        </w:rPr>
        <w:t>Supply Act (No. 1)</w:t>
      </w:r>
      <w:r w:rsidRPr="00A379E3">
        <w:t xml:space="preserve"> form part of ordinary annual services items. Please refer to Table 3.5 within this chapter for further details. For accounting purposes, this amount has been designated</w:t>
      </w:r>
      <w:r>
        <w:t xml:space="preserve"> as a 'contribution by owner'.</w:t>
      </w:r>
    </w:p>
    <w:p w14:paraId="55FEEE1C" w14:textId="28348374" w:rsidR="0024539A" w:rsidRPr="00EE76CA" w:rsidRDefault="00A379E3" w:rsidP="00A379E3">
      <w:pPr>
        <w:pStyle w:val="FootnoteText"/>
      </w:pPr>
      <w:r w:rsidRPr="00A379E3">
        <w:rPr>
          <w:vertAlign w:val="superscript"/>
        </w:rPr>
        <w:t>(d)</w:t>
      </w:r>
      <w:r>
        <w:tab/>
      </w:r>
      <w:r w:rsidRPr="00A379E3">
        <w:t>Appropriation Bill (No. 2) 2022–23.</w:t>
      </w:r>
    </w:p>
    <w:p w14:paraId="45587997" w14:textId="6E5C7137" w:rsidR="0024539A" w:rsidRDefault="0024539A" w:rsidP="007556D7">
      <w:pPr>
        <w:pStyle w:val="Heading3"/>
        <w:spacing w:before="240"/>
      </w:pPr>
      <w:bookmarkStart w:id="4" w:name="_Toc117407767"/>
      <w:r w:rsidRPr="00EE76CA">
        <w:t>1.3</w:t>
      </w:r>
      <w:r w:rsidRPr="00EE76CA">
        <w:tab/>
        <w:t xml:space="preserve">Budget </w:t>
      </w:r>
      <w:r w:rsidR="0034555A">
        <w:t>m</w:t>
      </w:r>
      <w:r w:rsidRPr="00EE76CA">
        <w:t>easures</w:t>
      </w:r>
      <w:bookmarkEnd w:id="4"/>
    </w:p>
    <w:p w14:paraId="37A961A1" w14:textId="4530E9F8" w:rsidR="009060EF" w:rsidRPr="00B92555" w:rsidRDefault="009060EF" w:rsidP="009060EF">
      <w:pPr>
        <w:rPr>
          <w:color w:val="auto"/>
        </w:rPr>
      </w:pPr>
      <w:r w:rsidRPr="00B92555">
        <w:rPr>
          <w:color w:val="auto"/>
        </w:rPr>
        <w:t xml:space="preserve">Budget measures in Part 1 relating to the </w:t>
      </w:r>
      <w:r>
        <w:rPr>
          <w:color w:val="auto"/>
        </w:rPr>
        <w:t>OTA</w:t>
      </w:r>
      <w:r w:rsidRPr="00B92555">
        <w:rPr>
          <w:color w:val="auto"/>
        </w:rPr>
        <w:t xml:space="preserve"> are detailed in </w:t>
      </w:r>
      <w:r w:rsidRPr="00F81858">
        <w:rPr>
          <w:i/>
          <w:color w:val="auto"/>
        </w:rPr>
        <w:t xml:space="preserve">Budget Paper No. 2 </w:t>
      </w:r>
      <w:r w:rsidRPr="00B92555">
        <w:rPr>
          <w:color w:val="auto"/>
        </w:rPr>
        <w:t>and are summarised below.</w:t>
      </w:r>
    </w:p>
    <w:p w14:paraId="7813408A" w14:textId="53055E0A" w:rsidR="009060EF" w:rsidRDefault="009060EF" w:rsidP="009060EF">
      <w:pPr>
        <w:pStyle w:val="Tablenumberandreference"/>
        <w:rPr>
          <w:color w:val="auto"/>
        </w:rPr>
      </w:pPr>
      <w:r>
        <w:rPr>
          <w:color w:val="auto"/>
        </w:rPr>
        <w:t>Table 1.2: OTA October 20</w:t>
      </w:r>
      <w:r w:rsidRPr="00B92555">
        <w:rPr>
          <w:color w:val="auto"/>
        </w:rPr>
        <w:t>22</w:t>
      </w:r>
      <w:r>
        <w:rPr>
          <w:color w:val="auto"/>
        </w:rPr>
        <w:t>–23</w:t>
      </w:r>
      <w:r w:rsidRPr="00B92555">
        <w:rPr>
          <w:color w:val="auto"/>
        </w:rPr>
        <w:t xml:space="preserve"> Budget </w:t>
      </w:r>
      <w:r>
        <w:rPr>
          <w:color w:val="auto"/>
        </w:rPr>
        <w:t>m</w:t>
      </w:r>
      <w:r w:rsidRPr="00B92555">
        <w:rPr>
          <w:color w:val="auto"/>
        </w:rPr>
        <w:t>easures</w:t>
      </w:r>
    </w:p>
    <w:p w14:paraId="6810BE03" w14:textId="77777777" w:rsidR="00C7781B" w:rsidRPr="000751B6" w:rsidRDefault="009060EF" w:rsidP="009060EF">
      <w:pPr>
        <w:pStyle w:val="Tablenumberandreference"/>
        <w:rPr>
          <w:color w:val="auto"/>
          <w:sz w:val="19"/>
          <w:szCs w:val="19"/>
        </w:rPr>
      </w:pPr>
      <w:r w:rsidRPr="000751B6">
        <w:rPr>
          <w:color w:val="auto"/>
          <w:sz w:val="19"/>
          <w:szCs w:val="19"/>
        </w:rPr>
        <w:t>Part 1. Measures announced since the March 2022–23 Budget</w:t>
      </w:r>
    </w:p>
    <w:tbl>
      <w:tblPr>
        <w:tblW w:w="7420" w:type="dxa"/>
        <w:tblLook w:val="04A0" w:firstRow="1" w:lastRow="0" w:firstColumn="1" w:lastColumn="0" w:noHBand="0" w:noVBand="1"/>
      </w:tblPr>
      <w:tblGrid>
        <w:gridCol w:w="2148"/>
        <w:gridCol w:w="880"/>
        <w:gridCol w:w="880"/>
        <w:gridCol w:w="880"/>
        <w:gridCol w:w="880"/>
        <w:gridCol w:w="880"/>
        <w:gridCol w:w="880"/>
      </w:tblGrid>
      <w:tr w:rsidR="00C7781B" w:rsidRPr="00C7781B" w14:paraId="60D18804" w14:textId="77777777" w:rsidTr="00C7781B">
        <w:trPr>
          <w:trHeight w:val="283"/>
        </w:trPr>
        <w:tc>
          <w:tcPr>
            <w:tcW w:w="2140" w:type="dxa"/>
            <w:tcBorders>
              <w:top w:val="single" w:sz="4" w:space="0" w:color="auto"/>
              <w:left w:val="nil"/>
              <w:bottom w:val="nil"/>
              <w:right w:val="nil"/>
            </w:tcBorders>
            <w:shd w:val="clear" w:color="auto" w:fill="auto"/>
            <w:noWrap/>
            <w:vAlign w:val="bottom"/>
            <w:hideMark/>
          </w:tcPr>
          <w:p w14:paraId="655672FF" w14:textId="77777777" w:rsidR="00C7781B" w:rsidRPr="00C7781B" w:rsidRDefault="00C7781B" w:rsidP="00C7781B">
            <w:pPr>
              <w:spacing w:before="40" w:after="0"/>
              <w:jc w:val="right"/>
              <w:rPr>
                <w:rFonts w:ascii="Arial" w:hAnsi="Arial" w:cs="Arial"/>
                <w:color w:val="auto"/>
                <w:sz w:val="16"/>
                <w:szCs w:val="16"/>
              </w:rPr>
            </w:pPr>
            <w:r w:rsidRPr="00C7781B">
              <w:rPr>
                <w:rFonts w:ascii="Arial" w:hAnsi="Arial" w:cs="Arial"/>
                <w:color w:val="auto"/>
                <w:sz w:val="16"/>
                <w:szCs w:val="16"/>
              </w:rPr>
              <w:t> </w:t>
            </w:r>
          </w:p>
        </w:tc>
        <w:tc>
          <w:tcPr>
            <w:tcW w:w="880" w:type="dxa"/>
            <w:tcBorders>
              <w:top w:val="single" w:sz="4" w:space="0" w:color="auto"/>
              <w:left w:val="nil"/>
              <w:bottom w:val="nil"/>
              <w:right w:val="nil"/>
            </w:tcBorders>
            <w:shd w:val="clear" w:color="auto" w:fill="auto"/>
            <w:noWrap/>
            <w:vAlign w:val="bottom"/>
            <w:hideMark/>
          </w:tcPr>
          <w:p w14:paraId="40868EC8" w14:textId="77777777" w:rsidR="00C7781B" w:rsidRPr="00C7781B" w:rsidRDefault="00C7781B" w:rsidP="00C7781B">
            <w:pPr>
              <w:spacing w:before="40" w:after="0"/>
              <w:jc w:val="right"/>
              <w:rPr>
                <w:rFonts w:ascii="Arial" w:hAnsi="Arial" w:cs="Arial"/>
                <w:b/>
                <w:bCs/>
                <w:color w:val="auto"/>
                <w:sz w:val="16"/>
                <w:szCs w:val="16"/>
              </w:rPr>
            </w:pPr>
            <w:r w:rsidRPr="00C7781B">
              <w:rPr>
                <w:rFonts w:ascii="Arial" w:hAnsi="Arial" w:cs="Arial"/>
                <w:b/>
                <w:bCs/>
                <w:color w:val="auto"/>
                <w:sz w:val="16"/>
                <w:szCs w:val="16"/>
              </w:rPr>
              <w:t>Program</w:t>
            </w:r>
          </w:p>
        </w:tc>
        <w:tc>
          <w:tcPr>
            <w:tcW w:w="880" w:type="dxa"/>
            <w:tcBorders>
              <w:top w:val="single" w:sz="4" w:space="0" w:color="000000"/>
              <w:left w:val="nil"/>
              <w:bottom w:val="single" w:sz="4" w:space="0" w:color="000000"/>
              <w:right w:val="nil"/>
            </w:tcBorders>
            <w:shd w:val="clear" w:color="auto" w:fill="auto"/>
            <w:vAlign w:val="bottom"/>
            <w:hideMark/>
          </w:tcPr>
          <w:p w14:paraId="052068F3" w14:textId="77777777" w:rsidR="00C7781B" w:rsidRPr="00C7781B" w:rsidRDefault="00C7781B" w:rsidP="00C7781B">
            <w:pPr>
              <w:spacing w:before="40" w:after="0"/>
              <w:jc w:val="right"/>
              <w:rPr>
                <w:rFonts w:ascii="Arial" w:hAnsi="Arial" w:cs="Arial"/>
                <w:b/>
                <w:bCs/>
                <w:color w:val="auto"/>
                <w:sz w:val="16"/>
                <w:szCs w:val="16"/>
              </w:rPr>
            </w:pPr>
            <w:r w:rsidRPr="00C7781B">
              <w:rPr>
                <w:rFonts w:ascii="Arial" w:hAnsi="Arial" w:cs="Arial"/>
                <w:b/>
                <w:bCs/>
                <w:color w:val="auto"/>
                <w:sz w:val="16"/>
                <w:szCs w:val="16"/>
              </w:rPr>
              <w:t xml:space="preserve">2021–22 </w:t>
            </w:r>
            <w:r w:rsidRPr="00C7781B">
              <w:rPr>
                <w:rFonts w:ascii="Arial" w:hAnsi="Arial" w:cs="Arial"/>
                <w:b/>
                <w:bCs/>
                <w:color w:val="auto"/>
                <w:sz w:val="16"/>
                <w:szCs w:val="16"/>
              </w:rPr>
              <w:br/>
            </w:r>
            <w:r w:rsidRPr="00C7781B">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000000" w:fill="D9D9D9"/>
            <w:vAlign w:val="bottom"/>
            <w:hideMark/>
          </w:tcPr>
          <w:p w14:paraId="4766E108" w14:textId="77777777" w:rsidR="00C7781B" w:rsidRPr="00C7781B" w:rsidRDefault="00C7781B" w:rsidP="00C7781B">
            <w:pPr>
              <w:spacing w:before="40" w:after="0"/>
              <w:jc w:val="right"/>
              <w:rPr>
                <w:rFonts w:ascii="Arial" w:hAnsi="Arial" w:cs="Arial"/>
                <w:b/>
                <w:bCs/>
                <w:color w:val="auto"/>
                <w:sz w:val="16"/>
                <w:szCs w:val="16"/>
              </w:rPr>
            </w:pPr>
            <w:r w:rsidRPr="00C7781B">
              <w:rPr>
                <w:rFonts w:ascii="Arial" w:hAnsi="Arial" w:cs="Arial"/>
                <w:b/>
                <w:bCs/>
                <w:color w:val="auto"/>
                <w:sz w:val="16"/>
                <w:szCs w:val="16"/>
              </w:rPr>
              <w:t xml:space="preserve">2022–23 </w:t>
            </w:r>
            <w:r w:rsidRPr="00C7781B">
              <w:rPr>
                <w:rFonts w:ascii="Arial" w:hAnsi="Arial" w:cs="Arial"/>
                <w:b/>
                <w:bCs/>
                <w:color w:val="auto"/>
                <w:sz w:val="16"/>
                <w:szCs w:val="16"/>
              </w:rPr>
              <w:br/>
            </w:r>
            <w:r w:rsidRPr="00C7781B">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50D3D6EF" w14:textId="77777777" w:rsidR="00C7781B" w:rsidRPr="00C7781B" w:rsidRDefault="00C7781B" w:rsidP="00C7781B">
            <w:pPr>
              <w:spacing w:before="40" w:after="0"/>
              <w:jc w:val="right"/>
              <w:rPr>
                <w:rFonts w:ascii="Arial" w:hAnsi="Arial" w:cs="Arial"/>
                <w:b/>
                <w:bCs/>
                <w:color w:val="auto"/>
                <w:sz w:val="16"/>
                <w:szCs w:val="16"/>
              </w:rPr>
            </w:pPr>
            <w:r w:rsidRPr="00C7781B">
              <w:rPr>
                <w:rFonts w:ascii="Arial" w:hAnsi="Arial" w:cs="Arial"/>
                <w:b/>
                <w:bCs/>
                <w:color w:val="auto"/>
                <w:sz w:val="16"/>
                <w:szCs w:val="16"/>
              </w:rPr>
              <w:t xml:space="preserve">2023–24 </w:t>
            </w:r>
            <w:r w:rsidRPr="00C7781B">
              <w:rPr>
                <w:rFonts w:ascii="Arial" w:hAnsi="Arial" w:cs="Arial"/>
                <w:b/>
                <w:bCs/>
                <w:color w:val="auto"/>
                <w:sz w:val="16"/>
                <w:szCs w:val="16"/>
              </w:rPr>
              <w:br/>
            </w:r>
            <w:r w:rsidRPr="00C7781B">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69E95F4C" w14:textId="77777777" w:rsidR="00C7781B" w:rsidRPr="00C7781B" w:rsidRDefault="00C7781B" w:rsidP="00C7781B">
            <w:pPr>
              <w:spacing w:before="40" w:after="0"/>
              <w:jc w:val="right"/>
              <w:rPr>
                <w:rFonts w:ascii="Arial" w:hAnsi="Arial" w:cs="Arial"/>
                <w:b/>
                <w:bCs/>
                <w:color w:val="auto"/>
                <w:sz w:val="16"/>
                <w:szCs w:val="16"/>
              </w:rPr>
            </w:pPr>
            <w:r w:rsidRPr="00C7781B">
              <w:rPr>
                <w:rFonts w:ascii="Arial" w:hAnsi="Arial" w:cs="Arial"/>
                <w:b/>
                <w:bCs/>
                <w:color w:val="auto"/>
                <w:sz w:val="16"/>
                <w:szCs w:val="16"/>
              </w:rPr>
              <w:t xml:space="preserve">2024–25 </w:t>
            </w:r>
            <w:r w:rsidRPr="00C7781B">
              <w:rPr>
                <w:rFonts w:ascii="Arial" w:hAnsi="Arial" w:cs="Arial"/>
                <w:b/>
                <w:bCs/>
                <w:color w:val="auto"/>
                <w:sz w:val="16"/>
                <w:szCs w:val="16"/>
              </w:rPr>
              <w:br/>
            </w:r>
            <w:r w:rsidRPr="00C7781B">
              <w:rPr>
                <w:rFonts w:ascii="Arial" w:hAnsi="Arial" w:cs="Arial"/>
                <w:color w:val="auto"/>
                <w:sz w:val="16"/>
                <w:szCs w:val="16"/>
              </w:rPr>
              <w:t>$'000</w:t>
            </w:r>
          </w:p>
        </w:tc>
        <w:tc>
          <w:tcPr>
            <w:tcW w:w="880" w:type="dxa"/>
            <w:tcBorders>
              <w:top w:val="single" w:sz="4" w:space="0" w:color="000000"/>
              <w:left w:val="nil"/>
              <w:bottom w:val="single" w:sz="4" w:space="0" w:color="000000"/>
              <w:right w:val="nil"/>
            </w:tcBorders>
            <w:shd w:val="clear" w:color="auto" w:fill="auto"/>
            <w:vAlign w:val="bottom"/>
            <w:hideMark/>
          </w:tcPr>
          <w:p w14:paraId="38F9C399" w14:textId="77777777" w:rsidR="00C7781B" w:rsidRPr="00C7781B" w:rsidRDefault="00C7781B" w:rsidP="00C7781B">
            <w:pPr>
              <w:spacing w:before="40" w:after="0"/>
              <w:jc w:val="right"/>
              <w:rPr>
                <w:rFonts w:ascii="Arial" w:hAnsi="Arial" w:cs="Arial"/>
                <w:b/>
                <w:bCs/>
                <w:color w:val="auto"/>
                <w:sz w:val="16"/>
                <w:szCs w:val="16"/>
              </w:rPr>
            </w:pPr>
            <w:r w:rsidRPr="00C7781B">
              <w:rPr>
                <w:rFonts w:ascii="Arial" w:hAnsi="Arial" w:cs="Arial"/>
                <w:b/>
                <w:bCs/>
                <w:color w:val="auto"/>
                <w:sz w:val="16"/>
                <w:szCs w:val="16"/>
              </w:rPr>
              <w:t xml:space="preserve">2025–26 </w:t>
            </w:r>
            <w:r w:rsidRPr="00C7781B">
              <w:rPr>
                <w:rFonts w:ascii="Arial" w:hAnsi="Arial" w:cs="Arial"/>
                <w:b/>
                <w:bCs/>
                <w:color w:val="auto"/>
                <w:sz w:val="16"/>
                <w:szCs w:val="16"/>
              </w:rPr>
              <w:br/>
            </w:r>
            <w:r w:rsidRPr="00C7781B">
              <w:rPr>
                <w:rFonts w:ascii="Arial" w:hAnsi="Arial" w:cs="Arial"/>
                <w:color w:val="auto"/>
                <w:sz w:val="16"/>
                <w:szCs w:val="16"/>
              </w:rPr>
              <w:t>$'000</w:t>
            </w:r>
          </w:p>
        </w:tc>
      </w:tr>
      <w:tr w:rsidR="00C7781B" w:rsidRPr="00C7781B" w14:paraId="79BAC9F6" w14:textId="77777777" w:rsidTr="00C7781B">
        <w:trPr>
          <w:trHeight w:val="300"/>
        </w:trPr>
        <w:tc>
          <w:tcPr>
            <w:tcW w:w="4780" w:type="dxa"/>
            <w:gridSpan w:val="4"/>
            <w:tcBorders>
              <w:top w:val="nil"/>
              <w:left w:val="nil"/>
              <w:bottom w:val="nil"/>
              <w:right w:val="nil"/>
            </w:tcBorders>
            <w:shd w:val="clear" w:color="auto" w:fill="auto"/>
            <w:noWrap/>
            <w:vAlign w:val="bottom"/>
            <w:hideMark/>
          </w:tcPr>
          <w:p w14:paraId="615BED93" w14:textId="77777777" w:rsidR="00C7781B" w:rsidRPr="00C7781B" w:rsidRDefault="00C7781B" w:rsidP="00C7781B">
            <w:pPr>
              <w:spacing w:after="0"/>
              <w:rPr>
                <w:rFonts w:ascii="Arial" w:hAnsi="Arial" w:cs="Arial"/>
                <w:b/>
                <w:bCs/>
                <w:color w:val="auto"/>
                <w:sz w:val="16"/>
                <w:szCs w:val="16"/>
              </w:rPr>
            </w:pPr>
            <w:r w:rsidRPr="00C7781B">
              <w:rPr>
                <w:rFonts w:ascii="Arial" w:hAnsi="Arial" w:cs="Arial"/>
                <w:b/>
                <w:bCs/>
                <w:color w:val="auto"/>
                <w:sz w:val="16"/>
                <w:szCs w:val="16"/>
              </w:rPr>
              <w:t xml:space="preserve">An Ambitious and Enduring APS Reform Plan </w:t>
            </w:r>
            <w:r w:rsidRPr="00C7781B">
              <w:rPr>
                <w:rFonts w:ascii="Arial" w:hAnsi="Arial" w:cs="Arial"/>
                <w:b/>
                <w:bCs/>
                <w:color w:val="auto"/>
                <w:sz w:val="16"/>
                <w:szCs w:val="16"/>
                <w:vertAlign w:val="superscript"/>
              </w:rPr>
              <w:t>(a)</w:t>
            </w:r>
          </w:p>
        </w:tc>
        <w:tc>
          <w:tcPr>
            <w:tcW w:w="880" w:type="dxa"/>
            <w:tcBorders>
              <w:top w:val="nil"/>
              <w:left w:val="nil"/>
              <w:bottom w:val="nil"/>
              <w:right w:val="nil"/>
            </w:tcBorders>
            <w:shd w:val="clear" w:color="auto" w:fill="auto"/>
            <w:noWrap/>
            <w:vAlign w:val="bottom"/>
            <w:hideMark/>
          </w:tcPr>
          <w:p w14:paraId="1EB5FE5D" w14:textId="77777777" w:rsidR="00C7781B" w:rsidRPr="00C7781B" w:rsidRDefault="00C7781B" w:rsidP="00C7781B">
            <w:pPr>
              <w:spacing w:after="0"/>
              <w:rPr>
                <w:rFonts w:ascii="Arial" w:hAnsi="Arial" w:cs="Arial"/>
                <w:b/>
                <w:bCs/>
                <w:color w:val="auto"/>
                <w:sz w:val="16"/>
                <w:szCs w:val="16"/>
              </w:rPr>
            </w:pPr>
          </w:p>
        </w:tc>
        <w:tc>
          <w:tcPr>
            <w:tcW w:w="880" w:type="dxa"/>
            <w:tcBorders>
              <w:top w:val="nil"/>
              <w:left w:val="nil"/>
              <w:bottom w:val="nil"/>
              <w:right w:val="nil"/>
            </w:tcBorders>
            <w:shd w:val="clear" w:color="auto" w:fill="auto"/>
            <w:noWrap/>
            <w:vAlign w:val="bottom"/>
            <w:hideMark/>
          </w:tcPr>
          <w:p w14:paraId="46EC0715" w14:textId="77777777" w:rsidR="00C7781B" w:rsidRPr="00C7781B" w:rsidRDefault="00C7781B" w:rsidP="00C7781B">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67D88D8A" w14:textId="77777777" w:rsidR="00C7781B" w:rsidRPr="00C7781B" w:rsidRDefault="00C7781B" w:rsidP="00C7781B">
            <w:pPr>
              <w:spacing w:after="0"/>
              <w:rPr>
                <w:rFonts w:ascii="Times New Roman" w:hAnsi="Times New Roman"/>
                <w:color w:val="auto"/>
                <w:sz w:val="20"/>
              </w:rPr>
            </w:pPr>
          </w:p>
        </w:tc>
      </w:tr>
      <w:tr w:rsidR="00C7781B" w:rsidRPr="00C7781B" w14:paraId="2E967112" w14:textId="77777777" w:rsidTr="005E0CBE">
        <w:trPr>
          <w:trHeight w:val="225"/>
        </w:trPr>
        <w:tc>
          <w:tcPr>
            <w:tcW w:w="2140" w:type="dxa"/>
            <w:tcBorders>
              <w:top w:val="nil"/>
              <w:left w:val="nil"/>
              <w:bottom w:val="nil"/>
              <w:right w:val="nil"/>
            </w:tcBorders>
            <w:shd w:val="clear" w:color="auto" w:fill="auto"/>
            <w:noWrap/>
            <w:tcMar>
              <w:right w:w="0" w:type="dxa"/>
            </w:tcMar>
            <w:vAlign w:val="bottom"/>
            <w:hideMark/>
          </w:tcPr>
          <w:p w14:paraId="0DE2D29D" w14:textId="77777777" w:rsidR="00C7781B" w:rsidRPr="00C7781B" w:rsidRDefault="00C7781B" w:rsidP="00C7781B">
            <w:pPr>
              <w:spacing w:after="0"/>
              <w:rPr>
                <w:rFonts w:ascii="Arial" w:hAnsi="Arial" w:cs="Arial"/>
                <w:color w:val="auto"/>
                <w:sz w:val="16"/>
                <w:szCs w:val="16"/>
              </w:rPr>
            </w:pPr>
            <w:r w:rsidRPr="00C7781B">
              <w:rPr>
                <w:rFonts w:ascii="Arial" w:hAnsi="Arial" w:cs="Arial"/>
                <w:color w:val="auto"/>
                <w:sz w:val="16"/>
                <w:szCs w:val="16"/>
              </w:rPr>
              <w:t>Organ and Tissue Authority</w:t>
            </w:r>
          </w:p>
        </w:tc>
        <w:tc>
          <w:tcPr>
            <w:tcW w:w="880" w:type="dxa"/>
            <w:tcBorders>
              <w:top w:val="nil"/>
              <w:left w:val="nil"/>
              <w:bottom w:val="nil"/>
              <w:right w:val="nil"/>
            </w:tcBorders>
            <w:shd w:val="clear" w:color="auto" w:fill="auto"/>
            <w:noWrap/>
            <w:vAlign w:val="bottom"/>
            <w:hideMark/>
          </w:tcPr>
          <w:p w14:paraId="51B68868" w14:textId="77777777" w:rsidR="00C7781B" w:rsidRPr="00C7781B" w:rsidRDefault="00C7781B" w:rsidP="00C7781B">
            <w:pPr>
              <w:spacing w:after="0"/>
              <w:jc w:val="right"/>
              <w:rPr>
                <w:rFonts w:ascii="Arial" w:hAnsi="Arial" w:cs="Arial"/>
                <w:color w:val="auto"/>
                <w:sz w:val="16"/>
                <w:szCs w:val="16"/>
              </w:rPr>
            </w:pPr>
            <w:r w:rsidRPr="00C7781B">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629BE089" w14:textId="77777777" w:rsidR="00C7781B" w:rsidRPr="00C7781B" w:rsidRDefault="00C7781B" w:rsidP="00C7781B">
            <w:pPr>
              <w:spacing w:after="0"/>
              <w:jc w:val="right"/>
              <w:rPr>
                <w:rFonts w:ascii="Arial" w:hAnsi="Arial" w:cs="Arial"/>
                <w:color w:val="auto"/>
                <w:sz w:val="16"/>
                <w:szCs w:val="16"/>
              </w:rPr>
            </w:pPr>
          </w:p>
        </w:tc>
        <w:tc>
          <w:tcPr>
            <w:tcW w:w="880" w:type="dxa"/>
            <w:tcBorders>
              <w:top w:val="nil"/>
              <w:left w:val="nil"/>
              <w:bottom w:val="nil"/>
              <w:right w:val="nil"/>
            </w:tcBorders>
            <w:shd w:val="clear" w:color="000000" w:fill="D9D9D9"/>
            <w:noWrap/>
            <w:vAlign w:val="bottom"/>
            <w:hideMark/>
          </w:tcPr>
          <w:p w14:paraId="1101D10C" w14:textId="77777777" w:rsidR="00C7781B" w:rsidRPr="00C7781B" w:rsidRDefault="00C7781B" w:rsidP="00C7781B">
            <w:pPr>
              <w:spacing w:after="0"/>
              <w:rPr>
                <w:rFonts w:ascii="Arial" w:hAnsi="Arial" w:cs="Arial"/>
                <w:b/>
                <w:bCs/>
                <w:color w:val="auto"/>
                <w:sz w:val="16"/>
                <w:szCs w:val="16"/>
              </w:rPr>
            </w:pPr>
            <w:r w:rsidRPr="00C7781B">
              <w:rPr>
                <w:rFonts w:ascii="Arial" w:hAnsi="Arial" w:cs="Arial"/>
                <w:b/>
                <w:bCs/>
                <w:color w:val="auto"/>
                <w:sz w:val="16"/>
                <w:szCs w:val="16"/>
              </w:rPr>
              <w:t> </w:t>
            </w:r>
          </w:p>
        </w:tc>
        <w:tc>
          <w:tcPr>
            <w:tcW w:w="880" w:type="dxa"/>
            <w:tcBorders>
              <w:top w:val="nil"/>
              <w:left w:val="nil"/>
              <w:bottom w:val="nil"/>
              <w:right w:val="nil"/>
            </w:tcBorders>
            <w:shd w:val="clear" w:color="auto" w:fill="auto"/>
            <w:noWrap/>
            <w:vAlign w:val="bottom"/>
            <w:hideMark/>
          </w:tcPr>
          <w:p w14:paraId="0DBD74B5" w14:textId="77777777" w:rsidR="00C7781B" w:rsidRPr="00C7781B" w:rsidRDefault="00C7781B" w:rsidP="00C7781B">
            <w:pPr>
              <w:spacing w:after="0"/>
              <w:rPr>
                <w:rFonts w:ascii="Arial" w:hAnsi="Arial" w:cs="Arial"/>
                <w:b/>
                <w:bCs/>
                <w:color w:val="auto"/>
                <w:sz w:val="16"/>
                <w:szCs w:val="16"/>
              </w:rPr>
            </w:pPr>
          </w:p>
        </w:tc>
        <w:tc>
          <w:tcPr>
            <w:tcW w:w="880" w:type="dxa"/>
            <w:tcBorders>
              <w:top w:val="nil"/>
              <w:left w:val="nil"/>
              <w:bottom w:val="nil"/>
              <w:right w:val="nil"/>
            </w:tcBorders>
            <w:shd w:val="clear" w:color="auto" w:fill="auto"/>
            <w:noWrap/>
            <w:vAlign w:val="bottom"/>
            <w:hideMark/>
          </w:tcPr>
          <w:p w14:paraId="3832F1D6" w14:textId="77777777" w:rsidR="00C7781B" w:rsidRPr="00C7781B" w:rsidRDefault="00C7781B" w:rsidP="00C7781B">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15746D6B" w14:textId="77777777" w:rsidR="00C7781B" w:rsidRPr="00C7781B" w:rsidRDefault="00C7781B" w:rsidP="00C7781B">
            <w:pPr>
              <w:spacing w:after="0"/>
              <w:rPr>
                <w:rFonts w:ascii="Times New Roman" w:hAnsi="Times New Roman"/>
                <w:color w:val="auto"/>
                <w:sz w:val="20"/>
              </w:rPr>
            </w:pPr>
          </w:p>
        </w:tc>
      </w:tr>
      <w:tr w:rsidR="00C7781B" w:rsidRPr="00C7781B" w14:paraId="3F1AFACC" w14:textId="77777777" w:rsidTr="00C7781B">
        <w:trPr>
          <w:trHeight w:val="225"/>
        </w:trPr>
        <w:tc>
          <w:tcPr>
            <w:tcW w:w="2140" w:type="dxa"/>
            <w:tcBorders>
              <w:top w:val="nil"/>
              <w:left w:val="nil"/>
              <w:bottom w:val="nil"/>
              <w:right w:val="nil"/>
            </w:tcBorders>
            <w:shd w:val="clear" w:color="auto" w:fill="auto"/>
            <w:noWrap/>
            <w:vAlign w:val="bottom"/>
            <w:hideMark/>
          </w:tcPr>
          <w:p w14:paraId="5C7C9927" w14:textId="77777777" w:rsidR="00C7781B" w:rsidRPr="00C7781B" w:rsidRDefault="00C7781B" w:rsidP="00C7781B">
            <w:pPr>
              <w:spacing w:after="0"/>
              <w:ind w:firstLineChars="100" w:firstLine="160"/>
              <w:rPr>
                <w:rFonts w:ascii="Arial" w:hAnsi="Arial" w:cs="Arial"/>
                <w:color w:val="auto"/>
                <w:sz w:val="16"/>
                <w:szCs w:val="16"/>
              </w:rPr>
            </w:pPr>
            <w:r w:rsidRPr="00C7781B">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330C504D" w14:textId="77777777" w:rsidR="00C7781B" w:rsidRPr="00C7781B" w:rsidRDefault="00C7781B" w:rsidP="00C7781B">
            <w:pPr>
              <w:spacing w:after="0"/>
              <w:ind w:firstLineChars="100" w:firstLine="16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7A71595C" w14:textId="77777777" w:rsidR="00C7781B" w:rsidRPr="00C7781B" w:rsidRDefault="00C7781B" w:rsidP="00C7781B">
            <w:pPr>
              <w:spacing w:after="0"/>
              <w:jc w:val="right"/>
              <w:rPr>
                <w:rFonts w:ascii="Arial" w:hAnsi="Arial" w:cs="Arial"/>
                <w:color w:val="auto"/>
                <w:sz w:val="16"/>
                <w:szCs w:val="16"/>
              </w:rPr>
            </w:pPr>
            <w:r w:rsidRPr="00C7781B">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697E11E2" w14:textId="77777777" w:rsidR="00C7781B" w:rsidRPr="00C7781B" w:rsidRDefault="00C7781B" w:rsidP="00C7781B">
            <w:pPr>
              <w:spacing w:after="0"/>
              <w:jc w:val="right"/>
              <w:rPr>
                <w:rFonts w:ascii="Arial" w:hAnsi="Arial" w:cs="Arial"/>
                <w:color w:val="auto"/>
                <w:sz w:val="16"/>
                <w:szCs w:val="16"/>
              </w:rPr>
            </w:pPr>
            <w:r w:rsidRPr="00C7781B">
              <w:rPr>
                <w:rFonts w:ascii="Arial" w:hAnsi="Arial" w:cs="Arial"/>
                <w:color w:val="auto"/>
                <w:sz w:val="16"/>
                <w:szCs w:val="16"/>
              </w:rPr>
              <w:t>(2)</w:t>
            </w:r>
          </w:p>
        </w:tc>
        <w:tc>
          <w:tcPr>
            <w:tcW w:w="880" w:type="dxa"/>
            <w:tcBorders>
              <w:top w:val="nil"/>
              <w:left w:val="nil"/>
              <w:bottom w:val="nil"/>
              <w:right w:val="nil"/>
            </w:tcBorders>
            <w:shd w:val="clear" w:color="auto" w:fill="auto"/>
            <w:noWrap/>
            <w:vAlign w:val="bottom"/>
            <w:hideMark/>
          </w:tcPr>
          <w:p w14:paraId="248107DC" w14:textId="77777777" w:rsidR="00C7781B" w:rsidRPr="00C7781B" w:rsidRDefault="00C7781B" w:rsidP="00C7781B">
            <w:pPr>
              <w:spacing w:after="0"/>
              <w:jc w:val="right"/>
              <w:rPr>
                <w:rFonts w:ascii="Arial" w:hAnsi="Arial" w:cs="Arial"/>
                <w:color w:val="auto"/>
                <w:sz w:val="16"/>
                <w:szCs w:val="16"/>
              </w:rPr>
            </w:pPr>
            <w:r w:rsidRPr="00C7781B">
              <w:rPr>
                <w:rFonts w:ascii="Arial" w:hAnsi="Arial" w:cs="Arial"/>
                <w:color w:val="auto"/>
                <w:sz w:val="16"/>
                <w:szCs w:val="16"/>
              </w:rPr>
              <w:t>(6)</w:t>
            </w:r>
          </w:p>
        </w:tc>
        <w:tc>
          <w:tcPr>
            <w:tcW w:w="880" w:type="dxa"/>
            <w:tcBorders>
              <w:top w:val="nil"/>
              <w:left w:val="nil"/>
              <w:bottom w:val="nil"/>
              <w:right w:val="nil"/>
            </w:tcBorders>
            <w:shd w:val="clear" w:color="auto" w:fill="auto"/>
            <w:noWrap/>
            <w:vAlign w:val="bottom"/>
            <w:hideMark/>
          </w:tcPr>
          <w:p w14:paraId="051746F6" w14:textId="77777777" w:rsidR="00C7781B" w:rsidRPr="00C7781B" w:rsidRDefault="00C7781B" w:rsidP="00C7781B">
            <w:pPr>
              <w:spacing w:after="0"/>
              <w:jc w:val="right"/>
              <w:rPr>
                <w:rFonts w:ascii="Arial" w:hAnsi="Arial" w:cs="Arial"/>
                <w:color w:val="auto"/>
                <w:sz w:val="16"/>
                <w:szCs w:val="16"/>
              </w:rPr>
            </w:pPr>
            <w:r w:rsidRPr="00C7781B">
              <w:rPr>
                <w:rFonts w:ascii="Arial" w:hAnsi="Arial" w:cs="Arial"/>
                <w:color w:val="auto"/>
                <w:sz w:val="16"/>
                <w:szCs w:val="16"/>
              </w:rPr>
              <w:t>(8)</w:t>
            </w:r>
          </w:p>
        </w:tc>
        <w:tc>
          <w:tcPr>
            <w:tcW w:w="880" w:type="dxa"/>
            <w:tcBorders>
              <w:top w:val="nil"/>
              <w:left w:val="nil"/>
              <w:bottom w:val="nil"/>
              <w:right w:val="nil"/>
            </w:tcBorders>
            <w:shd w:val="clear" w:color="auto" w:fill="auto"/>
            <w:noWrap/>
            <w:vAlign w:val="bottom"/>
            <w:hideMark/>
          </w:tcPr>
          <w:p w14:paraId="6909FC25" w14:textId="77777777" w:rsidR="00C7781B" w:rsidRPr="00C7781B" w:rsidRDefault="00C7781B" w:rsidP="00C7781B">
            <w:pPr>
              <w:spacing w:after="0"/>
              <w:jc w:val="right"/>
              <w:rPr>
                <w:rFonts w:ascii="Arial" w:hAnsi="Arial" w:cs="Arial"/>
                <w:color w:val="auto"/>
                <w:sz w:val="16"/>
                <w:szCs w:val="16"/>
              </w:rPr>
            </w:pPr>
            <w:r w:rsidRPr="00C7781B">
              <w:rPr>
                <w:rFonts w:ascii="Arial" w:hAnsi="Arial" w:cs="Arial"/>
                <w:color w:val="auto"/>
                <w:sz w:val="16"/>
                <w:szCs w:val="16"/>
              </w:rPr>
              <w:t>-</w:t>
            </w:r>
          </w:p>
        </w:tc>
      </w:tr>
      <w:tr w:rsidR="00C7781B" w:rsidRPr="00C7781B" w14:paraId="1047E371" w14:textId="77777777" w:rsidTr="00C7781B">
        <w:trPr>
          <w:trHeight w:val="225"/>
        </w:trPr>
        <w:tc>
          <w:tcPr>
            <w:tcW w:w="2140" w:type="dxa"/>
            <w:tcBorders>
              <w:top w:val="nil"/>
              <w:left w:val="nil"/>
              <w:bottom w:val="nil"/>
              <w:right w:val="nil"/>
            </w:tcBorders>
            <w:shd w:val="clear" w:color="auto" w:fill="auto"/>
            <w:noWrap/>
            <w:vAlign w:val="bottom"/>
            <w:hideMark/>
          </w:tcPr>
          <w:p w14:paraId="09143868" w14:textId="77777777" w:rsidR="00C7781B" w:rsidRPr="00C7781B" w:rsidRDefault="00C7781B" w:rsidP="00C7781B">
            <w:pPr>
              <w:spacing w:after="0"/>
              <w:rPr>
                <w:rFonts w:ascii="Arial" w:hAnsi="Arial" w:cs="Arial"/>
                <w:b/>
                <w:bCs/>
                <w:color w:val="auto"/>
                <w:sz w:val="16"/>
                <w:szCs w:val="16"/>
              </w:rPr>
            </w:pPr>
            <w:r w:rsidRPr="00C7781B">
              <w:rPr>
                <w:rFonts w:ascii="Arial" w:hAnsi="Arial" w:cs="Arial"/>
                <w:b/>
                <w:bCs/>
                <w:color w:val="auto"/>
                <w:sz w:val="16"/>
                <w:szCs w:val="16"/>
              </w:rPr>
              <w:t xml:space="preserve">Total </w:t>
            </w:r>
          </w:p>
        </w:tc>
        <w:tc>
          <w:tcPr>
            <w:tcW w:w="880" w:type="dxa"/>
            <w:tcBorders>
              <w:top w:val="nil"/>
              <w:left w:val="nil"/>
              <w:bottom w:val="nil"/>
              <w:right w:val="nil"/>
            </w:tcBorders>
            <w:shd w:val="clear" w:color="auto" w:fill="auto"/>
            <w:noWrap/>
            <w:vAlign w:val="bottom"/>
            <w:hideMark/>
          </w:tcPr>
          <w:p w14:paraId="67C4AE84" w14:textId="77777777" w:rsidR="00C7781B" w:rsidRPr="00C7781B" w:rsidRDefault="00C7781B" w:rsidP="00C7781B">
            <w:pPr>
              <w:spacing w:after="0"/>
              <w:rPr>
                <w:rFonts w:ascii="Arial" w:hAnsi="Arial" w:cs="Arial"/>
                <w:b/>
                <w:bCs/>
                <w:color w:val="auto"/>
                <w:sz w:val="16"/>
                <w:szCs w:val="16"/>
              </w:rPr>
            </w:pPr>
          </w:p>
        </w:tc>
        <w:tc>
          <w:tcPr>
            <w:tcW w:w="880" w:type="dxa"/>
            <w:tcBorders>
              <w:top w:val="single" w:sz="4" w:space="0" w:color="auto"/>
              <w:left w:val="nil"/>
              <w:bottom w:val="single" w:sz="4" w:space="0" w:color="auto"/>
              <w:right w:val="nil"/>
            </w:tcBorders>
            <w:shd w:val="clear" w:color="auto" w:fill="auto"/>
            <w:noWrap/>
            <w:vAlign w:val="bottom"/>
            <w:hideMark/>
          </w:tcPr>
          <w:p w14:paraId="7F67FBC1" w14:textId="77777777" w:rsidR="00C7781B" w:rsidRPr="00C7781B" w:rsidRDefault="00C7781B" w:rsidP="00C7781B">
            <w:pPr>
              <w:spacing w:after="0"/>
              <w:jc w:val="right"/>
              <w:rPr>
                <w:rFonts w:ascii="Arial" w:hAnsi="Arial" w:cs="Arial"/>
                <w:b/>
                <w:bCs/>
                <w:color w:val="auto"/>
                <w:sz w:val="16"/>
                <w:szCs w:val="16"/>
              </w:rPr>
            </w:pPr>
            <w:r w:rsidRPr="00C7781B">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53321A57" w14:textId="77777777" w:rsidR="00C7781B" w:rsidRPr="00C7781B" w:rsidRDefault="00C7781B" w:rsidP="00C7781B">
            <w:pPr>
              <w:spacing w:after="0"/>
              <w:jc w:val="right"/>
              <w:rPr>
                <w:rFonts w:ascii="Arial" w:hAnsi="Arial" w:cs="Arial"/>
                <w:b/>
                <w:bCs/>
                <w:color w:val="auto"/>
                <w:sz w:val="16"/>
                <w:szCs w:val="16"/>
              </w:rPr>
            </w:pPr>
            <w:r w:rsidRPr="00C7781B">
              <w:rPr>
                <w:rFonts w:ascii="Arial" w:hAnsi="Arial" w:cs="Arial"/>
                <w:b/>
                <w:bCs/>
                <w:color w:val="auto"/>
                <w:sz w:val="16"/>
                <w:szCs w:val="16"/>
              </w:rPr>
              <w:t>(2)</w:t>
            </w:r>
          </w:p>
        </w:tc>
        <w:tc>
          <w:tcPr>
            <w:tcW w:w="880" w:type="dxa"/>
            <w:tcBorders>
              <w:top w:val="single" w:sz="4" w:space="0" w:color="auto"/>
              <w:left w:val="nil"/>
              <w:bottom w:val="single" w:sz="4" w:space="0" w:color="auto"/>
              <w:right w:val="nil"/>
            </w:tcBorders>
            <w:shd w:val="clear" w:color="auto" w:fill="auto"/>
            <w:noWrap/>
            <w:vAlign w:val="bottom"/>
            <w:hideMark/>
          </w:tcPr>
          <w:p w14:paraId="442965EE" w14:textId="77777777" w:rsidR="00C7781B" w:rsidRPr="00C7781B" w:rsidRDefault="00C7781B" w:rsidP="00C7781B">
            <w:pPr>
              <w:spacing w:after="0"/>
              <w:jc w:val="right"/>
              <w:rPr>
                <w:rFonts w:ascii="Arial" w:hAnsi="Arial" w:cs="Arial"/>
                <w:b/>
                <w:bCs/>
                <w:color w:val="auto"/>
                <w:sz w:val="16"/>
                <w:szCs w:val="16"/>
              </w:rPr>
            </w:pPr>
            <w:r w:rsidRPr="00C7781B">
              <w:rPr>
                <w:rFonts w:ascii="Arial" w:hAnsi="Arial" w:cs="Arial"/>
                <w:b/>
                <w:bCs/>
                <w:color w:val="auto"/>
                <w:sz w:val="16"/>
                <w:szCs w:val="16"/>
              </w:rPr>
              <w:t>(6)</w:t>
            </w:r>
          </w:p>
        </w:tc>
        <w:tc>
          <w:tcPr>
            <w:tcW w:w="880" w:type="dxa"/>
            <w:tcBorders>
              <w:top w:val="single" w:sz="4" w:space="0" w:color="auto"/>
              <w:left w:val="nil"/>
              <w:bottom w:val="single" w:sz="4" w:space="0" w:color="auto"/>
              <w:right w:val="nil"/>
            </w:tcBorders>
            <w:shd w:val="clear" w:color="auto" w:fill="auto"/>
            <w:noWrap/>
            <w:vAlign w:val="bottom"/>
            <w:hideMark/>
          </w:tcPr>
          <w:p w14:paraId="03382BA3" w14:textId="77777777" w:rsidR="00C7781B" w:rsidRPr="00C7781B" w:rsidRDefault="00C7781B" w:rsidP="00C7781B">
            <w:pPr>
              <w:spacing w:after="0"/>
              <w:jc w:val="right"/>
              <w:rPr>
                <w:rFonts w:ascii="Arial" w:hAnsi="Arial" w:cs="Arial"/>
                <w:b/>
                <w:bCs/>
                <w:color w:val="auto"/>
                <w:sz w:val="16"/>
                <w:szCs w:val="16"/>
              </w:rPr>
            </w:pPr>
            <w:r w:rsidRPr="00C7781B">
              <w:rPr>
                <w:rFonts w:ascii="Arial" w:hAnsi="Arial" w:cs="Arial"/>
                <w:b/>
                <w:bCs/>
                <w:color w:val="auto"/>
                <w:sz w:val="16"/>
                <w:szCs w:val="16"/>
              </w:rPr>
              <w:t>(8)</w:t>
            </w:r>
          </w:p>
        </w:tc>
        <w:tc>
          <w:tcPr>
            <w:tcW w:w="880" w:type="dxa"/>
            <w:tcBorders>
              <w:top w:val="single" w:sz="4" w:space="0" w:color="auto"/>
              <w:left w:val="nil"/>
              <w:bottom w:val="single" w:sz="4" w:space="0" w:color="auto"/>
              <w:right w:val="nil"/>
            </w:tcBorders>
            <w:shd w:val="clear" w:color="auto" w:fill="auto"/>
            <w:noWrap/>
            <w:vAlign w:val="bottom"/>
            <w:hideMark/>
          </w:tcPr>
          <w:p w14:paraId="1CEECD54" w14:textId="77777777" w:rsidR="00C7781B" w:rsidRPr="00C7781B" w:rsidRDefault="00C7781B" w:rsidP="00C7781B">
            <w:pPr>
              <w:spacing w:after="0"/>
              <w:jc w:val="right"/>
              <w:rPr>
                <w:rFonts w:ascii="Arial" w:hAnsi="Arial" w:cs="Arial"/>
                <w:b/>
                <w:bCs/>
                <w:color w:val="auto"/>
                <w:sz w:val="16"/>
                <w:szCs w:val="16"/>
              </w:rPr>
            </w:pPr>
            <w:r w:rsidRPr="00C7781B">
              <w:rPr>
                <w:rFonts w:ascii="Arial" w:hAnsi="Arial" w:cs="Arial"/>
                <w:b/>
                <w:bCs/>
                <w:color w:val="auto"/>
                <w:sz w:val="16"/>
                <w:szCs w:val="16"/>
              </w:rPr>
              <w:t>-</w:t>
            </w:r>
          </w:p>
        </w:tc>
      </w:tr>
      <w:tr w:rsidR="00C7781B" w:rsidRPr="00C7781B" w14:paraId="132FBF43" w14:textId="77777777" w:rsidTr="00C7781B">
        <w:trPr>
          <w:trHeight w:val="529"/>
        </w:trPr>
        <w:tc>
          <w:tcPr>
            <w:tcW w:w="7420" w:type="dxa"/>
            <w:gridSpan w:val="7"/>
            <w:tcBorders>
              <w:top w:val="nil"/>
              <w:left w:val="nil"/>
              <w:bottom w:val="nil"/>
              <w:right w:val="nil"/>
            </w:tcBorders>
            <w:shd w:val="clear" w:color="auto" w:fill="auto"/>
            <w:vAlign w:val="bottom"/>
            <w:hideMark/>
          </w:tcPr>
          <w:p w14:paraId="30ED1AF4" w14:textId="77777777" w:rsidR="00C7781B" w:rsidRPr="00C7781B" w:rsidRDefault="00C7781B" w:rsidP="00C7781B">
            <w:pPr>
              <w:spacing w:after="0"/>
              <w:rPr>
                <w:rFonts w:ascii="Arial" w:hAnsi="Arial" w:cs="Arial"/>
                <w:b/>
                <w:bCs/>
                <w:color w:val="auto"/>
                <w:sz w:val="16"/>
                <w:szCs w:val="16"/>
              </w:rPr>
            </w:pPr>
            <w:r w:rsidRPr="00C7781B">
              <w:rPr>
                <w:rFonts w:ascii="Arial" w:hAnsi="Arial" w:cs="Arial"/>
                <w:b/>
                <w:bCs/>
                <w:color w:val="auto"/>
                <w:sz w:val="16"/>
                <w:szCs w:val="16"/>
              </w:rPr>
              <w:t xml:space="preserve">Savings from External Labour, and Savings from Advertising, Travel and Legal </w:t>
            </w:r>
            <w:r w:rsidRPr="00C7781B">
              <w:rPr>
                <w:rFonts w:ascii="Arial" w:hAnsi="Arial" w:cs="Arial"/>
                <w:b/>
                <w:bCs/>
                <w:color w:val="auto"/>
                <w:sz w:val="16"/>
                <w:szCs w:val="16"/>
              </w:rPr>
              <w:br/>
              <w:t xml:space="preserve">Expenses </w:t>
            </w:r>
            <w:r w:rsidRPr="00C7781B">
              <w:rPr>
                <w:rFonts w:ascii="Arial" w:hAnsi="Arial" w:cs="Arial"/>
                <w:b/>
                <w:bCs/>
                <w:color w:val="auto"/>
                <w:sz w:val="16"/>
                <w:szCs w:val="16"/>
                <w:vertAlign w:val="superscript"/>
              </w:rPr>
              <w:t>(a)</w:t>
            </w:r>
          </w:p>
        </w:tc>
      </w:tr>
      <w:tr w:rsidR="00C7781B" w:rsidRPr="00C7781B" w14:paraId="4F6920C7" w14:textId="77777777" w:rsidTr="005E0CBE">
        <w:trPr>
          <w:trHeight w:val="225"/>
        </w:trPr>
        <w:tc>
          <w:tcPr>
            <w:tcW w:w="2140" w:type="dxa"/>
            <w:tcBorders>
              <w:top w:val="nil"/>
              <w:left w:val="nil"/>
              <w:bottom w:val="nil"/>
              <w:right w:val="nil"/>
            </w:tcBorders>
            <w:shd w:val="clear" w:color="auto" w:fill="auto"/>
            <w:noWrap/>
            <w:tcMar>
              <w:right w:w="0" w:type="dxa"/>
            </w:tcMar>
            <w:vAlign w:val="bottom"/>
            <w:hideMark/>
          </w:tcPr>
          <w:p w14:paraId="29C91ECB" w14:textId="77777777" w:rsidR="00C7781B" w:rsidRPr="00C7781B" w:rsidRDefault="00C7781B" w:rsidP="00C7781B">
            <w:pPr>
              <w:spacing w:after="0"/>
              <w:rPr>
                <w:rFonts w:ascii="Arial" w:hAnsi="Arial" w:cs="Arial"/>
                <w:color w:val="auto"/>
                <w:sz w:val="16"/>
                <w:szCs w:val="16"/>
              </w:rPr>
            </w:pPr>
            <w:r w:rsidRPr="00C7781B">
              <w:rPr>
                <w:rFonts w:ascii="Arial" w:hAnsi="Arial" w:cs="Arial"/>
                <w:color w:val="auto"/>
                <w:sz w:val="16"/>
                <w:szCs w:val="16"/>
              </w:rPr>
              <w:t>Organ and Tissue Authority</w:t>
            </w:r>
          </w:p>
        </w:tc>
        <w:tc>
          <w:tcPr>
            <w:tcW w:w="880" w:type="dxa"/>
            <w:tcBorders>
              <w:top w:val="nil"/>
              <w:left w:val="nil"/>
              <w:bottom w:val="nil"/>
              <w:right w:val="nil"/>
            </w:tcBorders>
            <w:shd w:val="clear" w:color="auto" w:fill="auto"/>
            <w:noWrap/>
            <w:vAlign w:val="bottom"/>
            <w:hideMark/>
          </w:tcPr>
          <w:p w14:paraId="23AF2717" w14:textId="77777777" w:rsidR="00C7781B" w:rsidRPr="00C7781B" w:rsidRDefault="00C7781B" w:rsidP="00C7781B">
            <w:pPr>
              <w:spacing w:after="0"/>
              <w:jc w:val="right"/>
              <w:rPr>
                <w:rFonts w:ascii="Arial" w:hAnsi="Arial" w:cs="Arial"/>
                <w:color w:val="auto"/>
                <w:sz w:val="16"/>
                <w:szCs w:val="16"/>
              </w:rPr>
            </w:pPr>
            <w:r w:rsidRPr="00C7781B">
              <w:rPr>
                <w:rFonts w:ascii="Arial" w:hAnsi="Arial" w:cs="Arial"/>
                <w:color w:val="auto"/>
                <w:sz w:val="16"/>
                <w:szCs w:val="16"/>
              </w:rPr>
              <w:t>1.1</w:t>
            </w:r>
          </w:p>
        </w:tc>
        <w:tc>
          <w:tcPr>
            <w:tcW w:w="880" w:type="dxa"/>
            <w:tcBorders>
              <w:top w:val="nil"/>
              <w:left w:val="nil"/>
              <w:bottom w:val="nil"/>
              <w:right w:val="nil"/>
            </w:tcBorders>
            <w:shd w:val="clear" w:color="auto" w:fill="auto"/>
            <w:noWrap/>
            <w:vAlign w:val="bottom"/>
            <w:hideMark/>
          </w:tcPr>
          <w:p w14:paraId="117B72ED" w14:textId="77777777" w:rsidR="00C7781B" w:rsidRPr="00C7781B" w:rsidRDefault="00C7781B" w:rsidP="00C7781B">
            <w:pPr>
              <w:spacing w:after="0"/>
              <w:jc w:val="right"/>
              <w:rPr>
                <w:rFonts w:ascii="Arial" w:hAnsi="Arial" w:cs="Arial"/>
                <w:color w:val="auto"/>
                <w:sz w:val="16"/>
                <w:szCs w:val="16"/>
              </w:rPr>
            </w:pPr>
          </w:p>
        </w:tc>
        <w:tc>
          <w:tcPr>
            <w:tcW w:w="880" w:type="dxa"/>
            <w:tcBorders>
              <w:top w:val="nil"/>
              <w:left w:val="nil"/>
              <w:bottom w:val="nil"/>
              <w:right w:val="nil"/>
            </w:tcBorders>
            <w:shd w:val="clear" w:color="000000" w:fill="D9D9D9"/>
            <w:noWrap/>
            <w:vAlign w:val="bottom"/>
            <w:hideMark/>
          </w:tcPr>
          <w:p w14:paraId="47F4B235" w14:textId="77777777" w:rsidR="00C7781B" w:rsidRPr="00C7781B" w:rsidRDefault="00C7781B" w:rsidP="00C7781B">
            <w:pPr>
              <w:spacing w:after="0"/>
              <w:rPr>
                <w:rFonts w:ascii="Arial" w:hAnsi="Arial" w:cs="Arial"/>
                <w:b/>
                <w:bCs/>
                <w:color w:val="auto"/>
                <w:sz w:val="16"/>
                <w:szCs w:val="16"/>
              </w:rPr>
            </w:pPr>
            <w:r w:rsidRPr="00C7781B">
              <w:rPr>
                <w:rFonts w:ascii="Arial" w:hAnsi="Arial" w:cs="Arial"/>
                <w:b/>
                <w:bCs/>
                <w:color w:val="auto"/>
                <w:sz w:val="16"/>
                <w:szCs w:val="16"/>
              </w:rPr>
              <w:t> </w:t>
            </w:r>
          </w:p>
        </w:tc>
        <w:tc>
          <w:tcPr>
            <w:tcW w:w="880" w:type="dxa"/>
            <w:tcBorders>
              <w:top w:val="nil"/>
              <w:left w:val="nil"/>
              <w:bottom w:val="nil"/>
              <w:right w:val="nil"/>
            </w:tcBorders>
            <w:shd w:val="clear" w:color="auto" w:fill="auto"/>
            <w:noWrap/>
            <w:vAlign w:val="bottom"/>
            <w:hideMark/>
          </w:tcPr>
          <w:p w14:paraId="1165795E" w14:textId="77777777" w:rsidR="00C7781B" w:rsidRPr="00C7781B" w:rsidRDefault="00C7781B" w:rsidP="00C7781B">
            <w:pPr>
              <w:spacing w:after="0"/>
              <w:rPr>
                <w:rFonts w:ascii="Arial" w:hAnsi="Arial" w:cs="Arial"/>
                <w:b/>
                <w:bCs/>
                <w:color w:val="auto"/>
                <w:sz w:val="16"/>
                <w:szCs w:val="16"/>
              </w:rPr>
            </w:pPr>
          </w:p>
        </w:tc>
        <w:tc>
          <w:tcPr>
            <w:tcW w:w="880" w:type="dxa"/>
            <w:tcBorders>
              <w:top w:val="nil"/>
              <w:left w:val="nil"/>
              <w:bottom w:val="nil"/>
              <w:right w:val="nil"/>
            </w:tcBorders>
            <w:shd w:val="clear" w:color="auto" w:fill="auto"/>
            <w:noWrap/>
            <w:vAlign w:val="bottom"/>
            <w:hideMark/>
          </w:tcPr>
          <w:p w14:paraId="7CEDC404" w14:textId="77777777" w:rsidR="00C7781B" w:rsidRPr="00C7781B" w:rsidRDefault="00C7781B" w:rsidP="00C7781B">
            <w:pPr>
              <w:spacing w:after="0"/>
              <w:rPr>
                <w:rFonts w:ascii="Times New Roman" w:hAnsi="Times New Roman"/>
                <w:color w:val="auto"/>
                <w:sz w:val="20"/>
              </w:rPr>
            </w:pPr>
          </w:p>
        </w:tc>
        <w:tc>
          <w:tcPr>
            <w:tcW w:w="880" w:type="dxa"/>
            <w:tcBorders>
              <w:top w:val="nil"/>
              <w:left w:val="nil"/>
              <w:bottom w:val="nil"/>
              <w:right w:val="nil"/>
            </w:tcBorders>
            <w:shd w:val="clear" w:color="auto" w:fill="auto"/>
            <w:noWrap/>
            <w:vAlign w:val="bottom"/>
            <w:hideMark/>
          </w:tcPr>
          <w:p w14:paraId="4885C87C" w14:textId="77777777" w:rsidR="00C7781B" w:rsidRPr="00C7781B" w:rsidRDefault="00C7781B" w:rsidP="00C7781B">
            <w:pPr>
              <w:spacing w:after="0"/>
              <w:rPr>
                <w:rFonts w:ascii="Times New Roman" w:hAnsi="Times New Roman"/>
                <w:color w:val="auto"/>
                <w:sz w:val="20"/>
              </w:rPr>
            </w:pPr>
          </w:p>
        </w:tc>
      </w:tr>
      <w:tr w:rsidR="00C7781B" w:rsidRPr="00C7781B" w14:paraId="0C432E81" w14:textId="77777777" w:rsidTr="00C7781B">
        <w:trPr>
          <w:trHeight w:val="225"/>
        </w:trPr>
        <w:tc>
          <w:tcPr>
            <w:tcW w:w="2140" w:type="dxa"/>
            <w:tcBorders>
              <w:top w:val="nil"/>
              <w:left w:val="nil"/>
              <w:bottom w:val="nil"/>
              <w:right w:val="nil"/>
            </w:tcBorders>
            <w:shd w:val="clear" w:color="auto" w:fill="auto"/>
            <w:noWrap/>
            <w:vAlign w:val="bottom"/>
            <w:hideMark/>
          </w:tcPr>
          <w:p w14:paraId="0F1B4312" w14:textId="77777777" w:rsidR="00C7781B" w:rsidRPr="00C7781B" w:rsidRDefault="00C7781B" w:rsidP="00C7781B">
            <w:pPr>
              <w:spacing w:after="0"/>
              <w:ind w:firstLineChars="100" w:firstLine="160"/>
              <w:rPr>
                <w:rFonts w:ascii="Arial" w:hAnsi="Arial" w:cs="Arial"/>
                <w:color w:val="auto"/>
                <w:sz w:val="16"/>
                <w:szCs w:val="16"/>
              </w:rPr>
            </w:pPr>
            <w:r w:rsidRPr="00C7781B">
              <w:rPr>
                <w:rFonts w:ascii="Arial" w:hAnsi="Arial" w:cs="Arial"/>
                <w:color w:val="auto"/>
                <w:sz w:val="16"/>
                <w:szCs w:val="16"/>
              </w:rPr>
              <w:t>Departmental payments</w:t>
            </w:r>
          </w:p>
        </w:tc>
        <w:tc>
          <w:tcPr>
            <w:tcW w:w="880" w:type="dxa"/>
            <w:tcBorders>
              <w:top w:val="nil"/>
              <w:left w:val="nil"/>
              <w:bottom w:val="nil"/>
              <w:right w:val="nil"/>
            </w:tcBorders>
            <w:shd w:val="clear" w:color="auto" w:fill="auto"/>
            <w:noWrap/>
            <w:vAlign w:val="bottom"/>
            <w:hideMark/>
          </w:tcPr>
          <w:p w14:paraId="23E8B5AD" w14:textId="77777777" w:rsidR="00C7781B" w:rsidRPr="00C7781B" w:rsidRDefault="00C7781B" w:rsidP="00C7781B">
            <w:pPr>
              <w:spacing w:after="0"/>
              <w:ind w:firstLineChars="100" w:firstLine="160"/>
              <w:rPr>
                <w:rFonts w:ascii="Arial" w:hAnsi="Arial" w:cs="Arial"/>
                <w:color w:val="auto"/>
                <w:sz w:val="16"/>
                <w:szCs w:val="16"/>
              </w:rPr>
            </w:pPr>
          </w:p>
        </w:tc>
        <w:tc>
          <w:tcPr>
            <w:tcW w:w="880" w:type="dxa"/>
            <w:tcBorders>
              <w:top w:val="nil"/>
              <w:left w:val="nil"/>
              <w:bottom w:val="nil"/>
              <w:right w:val="nil"/>
            </w:tcBorders>
            <w:shd w:val="clear" w:color="auto" w:fill="auto"/>
            <w:noWrap/>
            <w:vAlign w:val="bottom"/>
            <w:hideMark/>
          </w:tcPr>
          <w:p w14:paraId="318E60CD" w14:textId="77777777" w:rsidR="00C7781B" w:rsidRPr="00C7781B" w:rsidRDefault="00C7781B" w:rsidP="00C7781B">
            <w:pPr>
              <w:spacing w:after="0"/>
              <w:jc w:val="right"/>
              <w:rPr>
                <w:rFonts w:ascii="Arial" w:hAnsi="Arial" w:cs="Arial"/>
                <w:color w:val="auto"/>
                <w:sz w:val="16"/>
                <w:szCs w:val="16"/>
              </w:rPr>
            </w:pPr>
            <w:r w:rsidRPr="00C7781B">
              <w:rPr>
                <w:rFonts w:ascii="Arial" w:hAnsi="Arial" w:cs="Arial"/>
                <w:color w:val="auto"/>
                <w:sz w:val="16"/>
                <w:szCs w:val="16"/>
              </w:rPr>
              <w:t>-</w:t>
            </w:r>
          </w:p>
        </w:tc>
        <w:tc>
          <w:tcPr>
            <w:tcW w:w="880" w:type="dxa"/>
            <w:tcBorders>
              <w:top w:val="nil"/>
              <w:left w:val="nil"/>
              <w:bottom w:val="nil"/>
              <w:right w:val="nil"/>
            </w:tcBorders>
            <w:shd w:val="clear" w:color="000000" w:fill="D9D9D9"/>
            <w:noWrap/>
            <w:vAlign w:val="bottom"/>
            <w:hideMark/>
          </w:tcPr>
          <w:p w14:paraId="3E245FBB" w14:textId="77777777" w:rsidR="00C7781B" w:rsidRPr="00C7781B" w:rsidRDefault="00C7781B" w:rsidP="00C7781B">
            <w:pPr>
              <w:spacing w:after="0"/>
              <w:jc w:val="right"/>
              <w:rPr>
                <w:rFonts w:ascii="Arial" w:hAnsi="Arial" w:cs="Arial"/>
                <w:color w:val="auto"/>
                <w:sz w:val="16"/>
                <w:szCs w:val="16"/>
              </w:rPr>
            </w:pPr>
            <w:r w:rsidRPr="00C7781B">
              <w:rPr>
                <w:rFonts w:ascii="Arial" w:hAnsi="Arial" w:cs="Arial"/>
                <w:color w:val="auto"/>
                <w:sz w:val="16"/>
                <w:szCs w:val="16"/>
              </w:rPr>
              <w:t>(103)</w:t>
            </w:r>
          </w:p>
        </w:tc>
        <w:tc>
          <w:tcPr>
            <w:tcW w:w="880" w:type="dxa"/>
            <w:tcBorders>
              <w:top w:val="nil"/>
              <w:left w:val="nil"/>
              <w:bottom w:val="nil"/>
              <w:right w:val="nil"/>
            </w:tcBorders>
            <w:shd w:val="clear" w:color="auto" w:fill="auto"/>
            <w:noWrap/>
            <w:vAlign w:val="bottom"/>
            <w:hideMark/>
          </w:tcPr>
          <w:p w14:paraId="147958CF" w14:textId="77777777" w:rsidR="00C7781B" w:rsidRPr="00C7781B" w:rsidRDefault="00C7781B" w:rsidP="00C7781B">
            <w:pPr>
              <w:spacing w:after="0"/>
              <w:jc w:val="right"/>
              <w:rPr>
                <w:rFonts w:ascii="Arial" w:hAnsi="Arial" w:cs="Arial"/>
                <w:color w:val="auto"/>
                <w:sz w:val="16"/>
                <w:szCs w:val="16"/>
              </w:rPr>
            </w:pPr>
            <w:r w:rsidRPr="00C7781B">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0E50C8CE" w14:textId="77777777" w:rsidR="00C7781B" w:rsidRPr="00C7781B" w:rsidRDefault="00C7781B" w:rsidP="00C7781B">
            <w:pPr>
              <w:spacing w:after="0"/>
              <w:jc w:val="right"/>
              <w:rPr>
                <w:rFonts w:ascii="Arial" w:hAnsi="Arial" w:cs="Arial"/>
                <w:color w:val="auto"/>
                <w:sz w:val="16"/>
                <w:szCs w:val="16"/>
              </w:rPr>
            </w:pPr>
            <w:r w:rsidRPr="00C7781B">
              <w:rPr>
                <w:rFonts w:ascii="Arial" w:hAnsi="Arial" w:cs="Arial"/>
                <w:color w:val="auto"/>
                <w:sz w:val="16"/>
                <w:szCs w:val="16"/>
              </w:rPr>
              <w:t>-</w:t>
            </w:r>
          </w:p>
        </w:tc>
        <w:tc>
          <w:tcPr>
            <w:tcW w:w="880" w:type="dxa"/>
            <w:tcBorders>
              <w:top w:val="nil"/>
              <w:left w:val="nil"/>
              <w:bottom w:val="nil"/>
              <w:right w:val="nil"/>
            </w:tcBorders>
            <w:shd w:val="clear" w:color="auto" w:fill="auto"/>
            <w:noWrap/>
            <w:vAlign w:val="bottom"/>
            <w:hideMark/>
          </w:tcPr>
          <w:p w14:paraId="4C3444E0" w14:textId="77777777" w:rsidR="00C7781B" w:rsidRPr="00C7781B" w:rsidRDefault="00C7781B" w:rsidP="00C7781B">
            <w:pPr>
              <w:spacing w:after="0"/>
              <w:jc w:val="right"/>
              <w:rPr>
                <w:rFonts w:ascii="Arial" w:hAnsi="Arial" w:cs="Arial"/>
                <w:color w:val="auto"/>
                <w:sz w:val="16"/>
                <w:szCs w:val="16"/>
              </w:rPr>
            </w:pPr>
            <w:r w:rsidRPr="00C7781B">
              <w:rPr>
                <w:rFonts w:ascii="Arial" w:hAnsi="Arial" w:cs="Arial"/>
                <w:color w:val="auto"/>
                <w:sz w:val="16"/>
                <w:szCs w:val="16"/>
              </w:rPr>
              <w:t>-</w:t>
            </w:r>
          </w:p>
        </w:tc>
      </w:tr>
      <w:tr w:rsidR="00C7781B" w:rsidRPr="00C7781B" w14:paraId="370A3CFA" w14:textId="77777777" w:rsidTr="00C7781B">
        <w:trPr>
          <w:trHeight w:val="225"/>
        </w:trPr>
        <w:tc>
          <w:tcPr>
            <w:tcW w:w="2140" w:type="dxa"/>
            <w:tcBorders>
              <w:top w:val="nil"/>
              <w:left w:val="nil"/>
              <w:bottom w:val="single" w:sz="4" w:space="0" w:color="auto"/>
              <w:right w:val="nil"/>
            </w:tcBorders>
            <w:shd w:val="clear" w:color="auto" w:fill="auto"/>
            <w:noWrap/>
            <w:vAlign w:val="bottom"/>
            <w:hideMark/>
          </w:tcPr>
          <w:p w14:paraId="085BB846" w14:textId="77777777" w:rsidR="00C7781B" w:rsidRPr="00C7781B" w:rsidRDefault="00C7781B" w:rsidP="00C7781B">
            <w:pPr>
              <w:spacing w:after="0"/>
              <w:ind w:firstLineChars="100" w:firstLine="160"/>
              <w:rPr>
                <w:rFonts w:ascii="Arial" w:hAnsi="Arial" w:cs="Arial"/>
                <w:color w:val="auto"/>
                <w:sz w:val="16"/>
                <w:szCs w:val="16"/>
              </w:rPr>
            </w:pPr>
            <w:r w:rsidRPr="00C7781B">
              <w:rPr>
                <w:rFonts w:ascii="Arial" w:hAnsi="Arial" w:cs="Arial"/>
                <w:color w:val="auto"/>
                <w:sz w:val="16"/>
                <w:szCs w:val="16"/>
              </w:rPr>
              <w:t> </w:t>
            </w:r>
          </w:p>
        </w:tc>
        <w:tc>
          <w:tcPr>
            <w:tcW w:w="880" w:type="dxa"/>
            <w:tcBorders>
              <w:top w:val="nil"/>
              <w:left w:val="nil"/>
              <w:bottom w:val="single" w:sz="4" w:space="0" w:color="auto"/>
              <w:right w:val="nil"/>
            </w:tcBorders>
            <w:shd w:val="clear" w:color="auto" w:fill="auto"/>
            <w:noWrap/>
            <w:vAlign w:val="bottom"/>
            <w:hideMark/>
          </w:tcPr>
          <w:p w14:paraId="41B90BC1" w14:textId="77777777" w:rsidR="00C7781B" w:rsidRPr="00C7781B" w:rsidRDefault="00C7781B" w:rsidP="00C7781B">
            <w:pPr>
              <w:spacing w:after="0"/>
              <w:jc w:val="right"/>
              <w:rPr>
                <w:rFonts w:ascii="Arial" w:hAnsi="Arial" w:cs="Arial"/>
                <w:color w:val="auto"/>
                <w:sz w:val="16"/>
                <w:szCs w:val="16"/>
              </w:rPr>
            </w:pPr>
            <w:r w:rsidRPr="00C7781B">
              <w:rPr>
                <w:rFonts w:ascii="Arial" w:hAnsi="Arial" w:cs="Arial"/>
                <w:color w:val="auto"/>
                <w:sz w:val="16"/>
                <w:szCs w:val="16"/>
              </w:rPr>
              <w:t> </w:t>
            </w:r>
          </w:p>
        </w:tc>
        <w:tc>
          <w:tcPr>
            <w:tcW w:w="880" w:type="dxa"/>
            <w:tcBorders>
              <w:top w:val="single" w:sz="4" w:space="0" w:color="auto"/>
              <w:left w:val="nil"/>
              <w:bottom w:val="single" w:sz="4" w:space="0" w:color="auto"/>
              <w:right w:val="nil"/>
            </w:tcBorders>
            <w:shd w:val="clear" w:color="auto" w:fill="auto"/>
            <w:noWrap/>
            <w:vAlign w:val="bottom"/>
            <w:hideMark/>
          </w:tcPr>
          <w:p w14:paraId="7304B909" w14:textId="77777777" w:rsidR="00C7781B" w:rsidRPr="00C7781B" w:rsidRDefault="00C7781B" w:rsidP="00C7781B">
            <w:pPr>
              <w:spacing w:after="0"/>
              <w:jc w:val="right"/>
              <w:rPr>
                <w:rFonts w:ascii="Arial" w:hAnsi="Arial" w:cs="Arial"/>
                <w:b/>
                <w:bCs/>
                <w:color w:val="auto"/>
                <w:sz w:val="16"/>
                <w:szCs w:val="16"/>
              </w:rPr>
            </w:pPr>
            <w:r w:rsidRPr="00C7781B">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000000" w:fill="D9D9D9"/>
            <w:noWrap/>
            <w:vAlign w:val="bottom"/>
            <w:hideMark/>
          </w:tcPr>
          <w:p w14:paraId="173B8AE1" w14:textId="77777777" w:rsidR="00C7781B" w:rsidRPr="00C7781B" w:rsidRDefault="00C7781B" w:rsidP="00C7781B">
            <w:pPr>
              <w:spacing w:after="0"/>
              <w:jc w:val="right"/>
              <w:rPr>
                <w:rFonts w:ascii="Arial" w:hAnsi="Arial" w:cs="Arial"/>
                <w:b/>
                <w:bCs/>
                <w:color w:val="auto"/>
                <w:sz w:val="16"/>
                <w:szCs w:val="16"/>
              </w:rPr>
            </w:pPr>
            <w:r w:rsidRPr="00C7781B">
              <w:rPr>
                <w:rFonts w:ascii="Arial" w:hAnsi="Arial" w:cs="Arial"/>
                <w:b/>
                <w:bCs/>
                <w:color w:val="auto"/>
                <w:sz w:val="16"/>
                <w:szCs w:val="16"/>
              </w:rPr>
              <w:t>(103)</w:t>
            </w:r>
          </w:p>
        </w:tc>
        <w:tc>
          <w:tcPr>
            <w:tcW w:w="880" w:type="dxa"/>
            <w:tcBorders>
              <w:top w:val="single" w:sz="4" w:space="0" w:color="auto"/>
              <w:left w:val="nil"/>
              <w:bottom w:val="single" w:sz="4" w:space="0" w:color="auto"/>
              <w:right w:val="nil"/>
            </w:tcBorders>
            <w:shd w:val="clear" w:color="auto" w:fill="auto"/>
            <w:noWrap/>
            <w:vAlign w:val="bottom"/>
            <w:hideMark/>
          </w:tcPr>
          <w:p w14:paraId="624B8FE9" w14:textId="77777777" w:rsidR="00C7781B" w:rsidRPr="00C7781B" w:rsidRDefault="00C7781B" w:rsidP="00C7781B">
            <w:pPr>
              <w:spacing w:after="0"/>
              <w:jc w:val="right"/>
              <w:rPr>
                <w:rFonts w:ascii="Arial" w:hAnsi="Arial" w:cs="Arial"/>
                <w:b/>
                <w:bCs/>
                <w:color w:val="auto"/>
                <w:sz w:val="16"/>
                <w:szCs w:val="16"/>
              </w:rPr>
            </w:pPr>
            <w:r w:rsidRPr="00C7781B">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07DCC400" w14:textId="77777777" w:rsidR="00C7781B" w:rsidRPr="00C7781B" w:rsidRDefault="00C7781B" w:rsidP="00C7781B">
            <w:pPr>
              <w:spacing w:after="0"/>
              <w:jc w:val="right"/>
              <w:rPr>
                <w:rFonts w:ascii="Arial" w:hAnsi="Arial" w:cs="Arial"/>
                <w:b/>
                <w:bCs/>
                <w:color w:val="auto"/>
                <w:sz w:val="16"/>
                <w:szCs w:val="16"/>
              </w:rPr>
            </w:pPr>
            <w:r w:rsidRPr="00C7781B">
              <w:rPr>
                <w:rFonts w:ascii="Arial" w:hAnsi="Arial" w:cs="Arial"/>
                <w:b/>
                <w:bCs/>
                <w:color w:val="auto"/>
                <w:sz w:val="16"/>
                <w:szCs w:val="16"/>
              </w:rPr>
              <w:t>-</w:t>
            </w:r>
          </w:p>
        </w:tc>
        <w:tc>
          <w:tcPr>
            <w:tcW w:w="880" w:type="dxa"/>
            <w:tcBorders>
              <w:top w:val="single" w:sz="4" w:space="0" w:color="auto"/>
              <w:left w:val="nil"/>
              <w:bottom w:val="single" w:sz="4" w:space="0" w:color="auto"/>
              <w:right w:val="nil"/>
            </w:tcBorders>
            <w:shd w:val="clear" w:color="auto" w:fill="auto"/>
            <w:noWrap/>
            <w:vAlign w:val="bottom"/>
            <w:hideMark/>
          </w:tcPr>
          <w:p w14:paraId="3B57EC1F" w14:textId="77777777" w:rsidR="00C7781B" w:rsidRPr="00C7781B" w:rsidRDefault="00C7781B" w:rsidP="00C7781B">
            <w:pPr>
              <w:spacing w:after="0"/>
              <w:jc w:val="right"/>
              <w:rPr>
                <w:rFonts w:ascii="Arial" w:hAnsi="Arial" w:cs="Arial"/>
                <w:b/>
                <w:bCs/>
                <w:color w:val="auto"/>
                <w:sz w:val="16"/>
                <w:szCs w:val="16"/>
              </w:rPr>
            </w:pPr>
            <w:r w:rsidRPr="00C7781B">
              <w:rPr>
                <w:rFonts w:ascii="Arial" w:hAnsi="Arial" w:cs="Arial"/>
                <w:b/>
                <w:bCs/>
                <w:color w:val="auto"/>
                <w:sz w:val="16"/>
                <w:szCs w:val="16"/>
              </w:rPr>
              <w:t>-</w:t>
            </w:r>
          </w:p>
        </w:tc>
      </w:tr>
    </w:tbl>
    <w:p w14:paraId="42CC4195" w14:textId="46D2CA92" w:rsidR="00FA2DBB" w:rsidRPr="00471932" w:rsidRDefault="00471932" w:rsidP="00471932">
      <w:pPr>
        <w:pStyle w:val="FootnoteText"/>
        <w:spacing w:before="120"/>
      </w:pPr>
      <w:r w:rsidRPr="00471932">
        <w:rPr>
          <w:vertAlign w:val="superscript"/>
        </w:rPr>
        <w:t>(a)</w:t>
      </w:r>
      <w:r w:rsidRPr="00471932">
        <w:t xml:space="preserve"> </w:t>
      </w:r>
      <w:r>
        <w:tab/>
      </w:r>
      <w:r w:rsidRPr="00471932">
        <w:t>OTA is not the lead entity for these measures. OTA impacts only are shown in this table.</w:t>
      </w:r>
    </w:p>
    <w:p w14:paraId="317F3E2A" w14:textId="77777777" w:rsidR="00F06C31" w:rsidRPr="00EE76CA" w:rsidRDefault="00F06C31" w:rsidP="009A3D76">
      <w:pPr>
        <w:pStyle w:val="FootnoteText"/>
        <w:spacing w:before="120"/>
        <w:sectPr w:rsidR="00F06C31" w:rsidRPr="00EE76CA" w:rsidSect="00357948">
          <w:headerReference w:type="even" r:id="rId18"/>
          <w:headerReference w:type="default" r:id="rId19"/>
          <w:headerReference w:type="first" r:id="rId20"/>
          <w:pgSz w:w="11906" w:h="16838"/>
          <w:pgMar w:top="2466" w:right="2268" w:bottom="2126" w:left="2268" w:header="1899" w:footer="1899" w:gutter="0"/>
          <w:cols w:space="708"/>
          <w:docGrid w:linePitch="360"/>
        </w:sectPr>
      </w:pPr>
    </w:p>
    <w:p w14:paraId="1FCBCC02" w14:textId="391F2952" w:rsidR="0024539A" w:rsidRPr="00EE76CA" w:rsidRDefault="0024539A" w:rsidP="00664A49">
      <w:pPr>
        <w:pStyle w:val="Heading2"/>
      </w:pPr>
      <w:bookmarkStart w:id="5" w:name="_Toc117407768"/>
      <w:r w:rsidRPr="00EE76CA">
        <w:lastRenderedPageBreak/>
        <w:t xml:space="preserve">Section 2: Outcomes and </w:t>
      </w:r>
      <w:r w:rsidR="0034555A">
        <w:t>p</w:t>
      </w:r>
      <w:r w:rsidRPr="00EE76CA">
        <w:t xml:space="preserve">lanned </w:t>
      </w:r>
      <w:r w:rsidR="0034555A">
        <w:t>p</w:t>
      </w:r>
      <w:r w:rsidRPr="00EE76CA">
        <w:t>erformance</w:t>
      </w:r>
      <w:bookmarkEnd w:id="5"/>
    </w:p>
    <w:p w14:paraId="7B269FCD" w14:textId="77777777" w:rsidR="0034555A" w:rsidRPr="0034555A" w:rsidRDefault="0034555A" w:rsidP="0034555A">
      <w:pPr>
        <w:spacing w:before="240" w:after="240" w:line="240" w:lineRule="exact"/>
        <w:rPr>
          <w:color w:val="auto"/>
        </w:rPr>
      </w:pPr>
      <w:r w:rsidRPr="0034555A">
        <w:rPr>
          <w:color w:val="auto"/>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13CD6D38" w14:textId="77777777" w:rsidR="0034555A" w:rsidRPr="0034555A" w:rsidRDefault="0034555A" w:rsidP="0034555A">
      <w:pPr>
        <w:rPr>
          <w:sz w:val="20"/>
        </w:rPr>
      </w:pPr>
      <w:r w:rsidRPr="0034555A">
        <w:rPr>
          <w:color w:val="auto"/>
        </w:rPr>
        <w:t>Each outcome is described below together with its related programs. The following provides detailed information on expenses for each outcome and program, further broken down by funding source.</w:t>
      </w:r>
    </w:p>
    <w:p w14:paraId="681D37E7" w14:textId="77777777" w:rsidR="0034555A" w:rsidRPr="0034555A" w:rsidRDefault="0034555A" w:rsidP="0034555A">
      <w:pPr>
        <w:pBdr>
          <w:top w:val="single" w:sz="4" w:space="2" w:color="auto"/>
          <w:left w:val="single" w:sz="4" w:space="4" w:color="auto"/>
          <w:bottom w:val="single" w:sz="4" w:space="2" w:color="auto"/>
          <w:right w:val="single" w:sz="4" w:space="4" w:color="auto"/>
        </w:pBdr>
        <w:rPr>
          <w:rFonts w:cs="Arial"/>
          <w:b/>
          <w:szCs w:val="19"/>
        </w:rPr>
      </w:pPr>
      <w:r w:rsidRPr="0034555A">
        <w:rPr>
          <w:rFonts w:cs="Arial"/>
          <w:b/>
          <w:szCs w:val="19"/>
        </w:rPr>
        <w:t>Note:</w:t>
      </w:r>
    </w:p>
    <w:p w14:paraId="43F6827E" w14:textId="77777777" w:rsidR="0034555A" w:rsidRPr="0034555A" w:rsidRDefault="0034555A" w:rsidP="0034555A">
      <w:pPr>
        <w:pBdr>
          <w:top w:val="single" w:sz="4" w:space="2" w:color="auto"/>
          <w:left w:val="single" w:sz="4" w:space="4" w:color="auto"/>
          <w:bottom w:val="single" w:sz="4" w:space="2" w:color="auto"/>
          <w:right w:val="single" w:sz="4" w:space="4" w:color="auto"/>
        </w:pBdr>
        <w:rPr>
          <w:szCs w:val="19"/>
        </w:rPr>
      </w:pPr>
      <w:r w:rsidRPr="0034555A">
        <w:rPr>
          <w:szCs w:val="19"/>
        </w:rPr>
        <w:t xml:space="preserve">Performance reporting requirements in the Portfolio Budget Statements are part of the Commonwealth Performance Framework established by </w:t>
      </w:r>
      <w:r w:rsidRPr="0034555A">
        <w:rPr>
          <w:i/>
          <w:szCs w:val="19"/>
        </w:rPr>
        <w:t>the Public Governance, Performance and Accountability Act 2013</w:t>
      </w:r>
      <w:r w:rsidRPr="0034555A">
        <w:rPr>
          <w:szCs w:val="19"/>
        </w:rPr>
        <w:t>. It is anticipated that the performance measures described in Portfolio Budget Statements will be read with broader information provided in an entity’s Corporate Plan and Annual Performance Statement – included in Annual Reports – to provide an entity’s complete performance story.</w:t>
      </w:r>
    </w:p>
    <w:p w14:paraId="08726F0A" w14:textId="0C78642B" w:rsidR="00871062" w:rsidRPr="00EE76CA" w:rsidRDefault="00871062" w:rsidP="008C5D8B">
      <w:pPr>
        <w:pBdr>
          <w:top w:val="single" w:sz="4" w:space="2" w:color="auto"/>
          <w:left w:val="single" w:sz="4" w:space="4" w:color="auto"/>
          <w:bottom w:val="single" w:sz="4" w:space="2" w:color="auto"/>
          <w:right w:val="single" w:sz="4" w:space="4" w:color="auto"/>
        </w:pBdr>
        <w:rPr>
          <w:color w:val="000000" w:themeColor="text1"/>
        </w:rPr>
      </w:pPr>
      <w:r w:rsidRPr="00EE76CA">
        <w:rPr>
          <w:color w:val="000000" w:themeColor="text1"/>
        </w:rPr>
        <w:t>The OT</w:t>
      </w:r>
      <w:r w:rsidR="0032224D" w:rsidRPr="00EE76CA">
        <w:rPr>
          <w:color w:val="000000" w:themeColor="text1"/>
        </w:rPr>
        <w:t>A</w:t>
      </w:r>
      <w:r w:rsidRPr="00EE76CA">
        <w:rPr>
          <w:color w:val="000000" w:themeColor="text1"/>
        </w:rPr>
        <w:t xml:space="preserve">’s most recent Corporate Plan </w:t>
      </w:r>
      <w:r w:rsidR="0032224D" w:rsidRPr="00EE76CA">
        <w:rPr>
          <w:color w:val="000000" w:themeColor="text1"/>
        </w:rPr>
        <w:t xml:space="preserve">and Annual Performance </w:t>
      </w:r>
      <w:r w:rsidR="007E5B8B" w:rsidRPr="00EE76CA">
        <w:rPr>
          <w:color w:val="000000" w:themeColor="text1"/>
        </w:rPr>
        <w:t xml:space="preserve">Statement are </w:t>
      </w:r>
      <w:r w:rsidRPr="00EE76CA">
        <w:rPr>
          <w:color w:val="000000" w:themeColor="text1"/>
        </w:rPr>
        <w:t>available at: www.donatelife.gov.au/about-us/strategy-and-performance</w:t>
      </w:r>
      <w:r w:rsidR="00295539" w:rsidRPr="00295539">
        <w:t xml:space="preserve"> </w:t>
      </w:r>
    </w:p>
    <w:p w14:paraId="78F0F957" w14:textId="4F3F33F9" w:rsidR="00BC0659" w:rsidRPr="00EE76CA" w:rsidRDefault="00BC0659" w:rsidP="00F4050F">
      <w:pPr>
        <w:pStyle w:val="Heading3"/>
      </w:pPr>
      <w:bookmarkStart w:id="6" w:name="_Toc117407769"/>
      <w:r w:rsidRPr="00EE76CA">
        <w:t>2.1</w:t>
      </w:r>
      <w:r w:rsidRPr="00EE76CA">
        <w:tab/>
        <w:t xml:space="preserve">Budgeted </w:t>
      </w:r>
      <w:r w:rsidR="0034555A">
        <w:t>e</w:t>
      </w:r>
      <w:r w:rsidRPr="00EE76CA">
        <w:t xml:space="preserve">xpenses and </w:t>
      </w:r>
      <w:r w:rsidR="0034555A">
        <w:t>p</w:t>
      </w:r>
      <w:r w:rsidRPr="00EE76CA">
        <w:t>erformance</w:t>
      </w:r>
      <w:bookmarkEnd w:id="6"/>
    </w:p>
    <w:p w14:paraId="3E7B3AA7" w14:textId="77777777" w:rsidR="00CF3C53" w:rsidRPr="00D2378E" w:rsidRDefault="00BC0659" w:rsidP="00CF3C53">
      <w:pPr>
        <w:pStyle w:val="OutcomeStatement"/>
        <w:spacing w:before="120" w:after="120"/>
        <w:rPr>
          <w:b/>
          <w:color w:val="000000" w:themeColor="text1"/>
          <w:szCs w:val="20"/>
        </w:rPr>
      </w:pPr>
      <w:r w:rsidRPr="00905A13">
        <w:rPr>
          <w:b/>
          <w:color w:val="000000" w:themeColor="text1"/>
          <w:sz w:val="20"/>
          <w:szCs w:val="20"/>
        </w:rPr>
        <w:t>O</w:t>
      </w:r>
      <w:r w:rsidRPr="00D2378E">
        <w:rPr>
          <w:b/>
          <w:color w:val="000000" w:themeColor="text1"/>
          <w:szCs w:val="20"/>
        </w:rPr>
        <w:t>utcome 1</w:t>
      </w:r>
    </w:p>
    <w:p w14:paraId="46D23659" w14:textId="3AC4D859" w:rsidR="0012685B" w:rsidRPr="00D2378E" w:rsidRDefault="00CF2E99" w:rsidP="0071631F">
      <w:pPr>
        <w:pStyle w:val="OutcomeStatement"/>
        <w:spacing w:before="120" w:after="120"/>
        <w:rPr>
          <w:b/>
          <w:color w:val="000000" w:themeColor="text1"/>
          <w:szCs w:val="20"/>
        </w:rPr>
      </w:pPr>
      <w:r w:rsidRPr="00D2378E">
        <w:rPr>
          <w:color w:val="000000" w:themeColor="text1"/>
          <w:szCs w:val="20"/>
        </w:rPr>
        <w:t>Improved access to organ and tissue transplants, including through a nationally coordinated and consistent approach and system</w:t>
      </w:r>
      <w:r w:rsidR="003B64FF">
        <w:rPr>
          <w:color w:val="000000" w:themeColor="text1"/>
          <w:szCs w:val="20"/>
        </w:rPr>
        <w:t>.</w:t>
      </w:r>
    </w:p>
    <w:p w14:paraId="4C032407" w14:textId="793DA0D3" w:rsidR="00BC0659" w:rsidRPr="00EE76CA" w:rsidRDefault="00BC0659" w:rsidP="00BC0659">
      <w:pPr>
        <w:pStyle w:val="Heading4"/>
        <w:rPr>
          <w:color w:val="000000" w:themeColor="text1"/>
        </w:rPr>
      </w:pPr>
      <w:r w:rsidRPr="00EE76CA">
        <w:rPr>
          <w:color w:val="000000" w:themeColor="text1"/>
        </w:rPr>
        <w:t xml:space="preserve">Program </w:t>
      </w:r>
      <w:r w:rsidR="0034555A">
        <w:rPr>
          <w:color w:val="000000" w:themeColor="text1"/>
        </w:rPr>
        <w:t>c</w:t>
      </w:r>
      <w:r w:rsidRPr="00EE76CA">
        <w:rPr>
          <w:color w:val="000000" w:themeColor="text1"/>
        </w:rPr>
        <w:t>ontributing to Outcome 1</w:t>
      </w:r>
    </w:p>
    <w:p w14:paraId="2F89EE65" w14:textId="6062BC90" w:rsidR="00CF2E99" w:rsidRDefault="00BC0659" w:rsidP="00DC4CA3">
      <w:pPr>
        <w:widowControl w:val="0"/>
        <w:pBdr>
          <w:top w:val="single" w:sz="4" w:space="2" w:color="auto"/>
          <w:left w:val="single" w:sz="4" w:space="4" w:color="auto"/>
          <w:bottom w:val="single" w:sz="4" w:space="2" w:color="auto"/>
          <w:right w:val="single" w:sz="4" w:space="4" w:color="auto"/>
        </w:pBdr>
        <w:tabs>
          <w:tab w:val="left" w:pos="0"/>
        </w:tabs>
        <w:spacing w:after="0"/>
        <w:ind w:left="1440" w:hanging="1440"/>
        <w:rPr>
          <w:rFonts w:ascii="Arial" w:hAnsi="Arial" w:cs="Arial"/>
          <w:b/>
          <w:sz w:val="18"/>
          <w:szCs w:val="18"/>
        </w:rPr>
      </w:pPr>
      <w:r w:rsidRPr="00EE76CA">
        <w:rPr>
          <w:rFonts w:ascii="Arial" w:hAnsi="Arial" w:cs="Arial"/>
          <w:b/>
          <w:color w:val="000000" w:themeColor="text1"/>
          <w:sz w:val="18"/>
          <w:szCs w:val="18"/>
        </w:rPr>
        <w:t>Program 1.1:</w:t>
      </w:r>
      <w:r w:rsidRPr="00EE76CA">
        <w:rPr>
          <w:rFonts w:ascii="Arial" w:hAnsi="Arial" w:cs="Arial"/>
          <w:b/>
          <w:color w:val="000000" w:themeColor="text1"/>
          <w:sz w:val="18"/>
          <w:szCs w:val="18"/>
        </w:rPr>
        <w:tab/>
      </w:r>
      <w:r w:rsidR="00CF2E99" w:rsidRPr="00EE76CA">
        <w:rPr>
          <w:rFonts w:ascii="Arial" w:hAnsi="Arial" w:cs="Arial"/>
          <w:b/>
          <w:color w:val="000000" w:themeColor="text1"/>
          <w:sz w:val="18"/>
          <w:szCs w:val="18"/>
        </w:rPr>
        <w:t>A Nationally Coordinated System for Organ and Tissue Donation for Transplantation</w:t>
      </w:r>
      <w:r w:rsidR="00295539" w:rsidRPr="00295539">
        <w:rPr>
          <w:rFonts w:ascii="Arial" w:hAnsi="Arial" w:cs="Arial"/>
          <w:b/>
          <w:sz w:val="18"/>
          <w:szCs w:val="18"/>
        </w:rPr>
        <w:t xml:space="preserve"> </w:t>
      </w:r>
    </w:p>
    <w:p w14:paraId="44C51222" w14:textId="77777777" w:rsidR="008F283C" w:rsidRDefault="008F283C">
      <w:pPr>
        <w:spacing w:after="160" w:line="259" w:lineRule="auto"/>
        <w:rPr>
          <w:rFonts w:ascii="Arial" w:hAnsi="Arial"/>
          <w:b/>
          <w:color w:val="000000" w:themeColor="text1"/>
          <w:sz w:val="22"/>
        </w:rPr>
      </w:pPr>
      <w:r>
        <w:rPr>
          <w:color w:val="000000" w:themeColor="text1"/>
          <w:sz w:val="22"/>
        </w:rPr>
        <w:br w:type="page"/>
      </w:r>
    </w:p>
    <w:p w14:paraId="598B67F7" w14:textId="152843FE" w:rsidR="00B87B5E" w:rsidRPr="00D2378E" w:rsidRDefault="00BC0659" w:rsidP="0071631F">
      <w:pPr>
        <w:pStyle w:val="Heading4"/>
        <w:rPr>
          <w:color w:val="000000" w:themeColor="text1"/>
          <w:sz w:val="22"/>
        </w:rPr>
      </w:pPr>
      <w:r w:rsidRPr="00D2378E">
        <w:rPr>
          <w:color w:val="000000" w:themeColor="text1"/>
          <w:sz w:val="22"/>
        </w:rPr>
        <w:lastRenderedPageBreak/>
        <w:t xml:space="preserve">Linked </w:t>
      </w:r>
      <w:r w:rsidR="0034555A" w:rsidRPr="00D2378E">
        <w:rPr>
          <w:color w:val="000000" w:themeColor="text1"/>
          <w:sz w:val="22"/>
        </w:rPr>
        <w:t>p</w:t>
      </w:r>
      <w:r w:rsidRPr="00D2378E">
        <w:rPr>
          <w:color w:val="000000" w:themeColor="text1"/>
          <w:sz w:val="22"/>
        </w:rPr>
        <w:t>rograms</w:t>
      </w:r>
    </w:p>
    <w:tbl>
      <w:tblPr>
        <w:tblStyle w:val="TableGrid"/>
        <w:tblW w:w="5198" w:type="pct"/>
        <w:jc w:val="center"/>
        <w:tblLook w:val="04A0" w:firstRow="1" w:lastRow="0" w:firstColumn="1" w:lastColumn="0" w:noHBand="0" w:noVBand="1"/>
        <w:tblCaption w:val="Linked Programs: OTA"/>
        <w:tblDescription w:val="This table outlines linked programs for the OTA's Outcome 1, including how other Commonwealth entities contribute to Outcome 1&#10;"/>
      </w:tblPr>
      <w:tblGrid>
        <w:gridCol w:w="7651"/>
      </w:tblGrid>
      <w:tr w:rsidR="00EE76CA" w:rsidRPr="00EE76CA" w14:paraId="768F8F12" w14:textId="77777777" w:rsidTr="0052128F">
        <w:trPr>
          <w:tblHeader/>
          <w:jc w:val="center"/>
        </w:trPr>
        <w:tc>
          <w:tcPr>
            <w:tcW w:w="5000" w:type="pct"/>
            <w:shd w:val="clear" w:color="auto" w:fill="D9D9D9" w:themeFill="background1" w:themeFillShade="D9"/>
          </w:tcPr>
          <w:p w14:paraId="54204F50" w14:textId="77777777" w:rsidR="00BC0659" w:rsidRPr="00905A13" w:rsidRDefault="00BC0659" w:rsidP="0052128F">
            <w:pPr>
              <w:pStyle w:val="Tableheadingrow9pt"/>
              <w:rPr>
                <w:color w:val="000000" w:themeColor="text1"/>
                <w:sz w:val="20"/>
                <w:szCs w:val="20"/>
              </w:rPr>
            </w:pPr>
            <w:r w:rsidRPr="00905A13">
              <w:rPr>
                <w:color w:val="000000" w:themeColor="text1"/>
                <w:sz w:val="20"/>
                <w:szCs w:val="20"/>
              </w:rPr>
              <w:t>Other Commonwealth entities that contribute to Outcome 1</w:t>
            </w:r>
          </w:p>
        </w:tc>
      </w:tr>
      <w:tr w:rsidR="004F3E3A" w:rsidRPr="00EE76CA" w14:paraId="56D0AB0A" w14:textId="77777777" w:rsidTr="0052128F">
        <w:trPr>
          <w:jc w:val="center"/>
        </w:trPr>
        <w:tc>
          <w:tcPr>
            <w:tcW w:w="5000" w:type="pct"/>
          </w:tcPr>
          <w:p w14:paraId="4D51D121" w14:textId="06538331" w:rsidR="004F3E3A" w:rsidRPr="00D2378E" w:rsidRDefault="004F3E3A" w:rsidP="004F3E3A">
            <w:pPr>
              <w:pStyle w:val="Tableheadingrow9pt"/>
              <w:rPr>
                <w:color w:val="000000" w:themeColor="text1"/>
                <w:sz w:val="19"/>
                <w:szCs w:val="19"/>
              </w:rPr>
            </w:pPr>
            <w:r w:rsidRPr="00D2378E">
              <w:rPr>
                <w:color w:val="000000" w:themeColor="text1"/>
                <w:sz w:val="19"/>
                <w:szCs w:val="19"/>
              </w:rPr>
              <w:t>Department of Health and Aged Care</w:t>
            </w:r>
          </w:p>
        </w:tc>
      </w:tr>
      <w:tr w:rsidR="00EE76CA" w:rsidRPr="00EE76CA" w14:paraId="3C032B83" w14:textId="77777777" w:rsidTr="0052128F">
        <w:trPr>
          <w:jc w:val="center"/>
        </w:trPr>
        <w:tc>
          <w:tcPr>
            <w:tcW w:w="5000" w:type="pct"/>
          </w:tcPr>
          <w:p w14:paraId="04AAE8C8" w14:textId="03669F1D" w:rsidR="00CF2E99" w:rsidRPr="00D2378E" w:rsidRDefault="00CF2E99" w:rsidP="00CF2E99">
            <w:pPr>
              <w:pStyle w:val="Tableheadingrow9pt"/>
              <w:rPr>
                <w:rFonts w:ascii="Book Antiqua" w:hAnsi="Book Antiqua"/>
                <w:color w:val="000000" w:themeColor="text1"/>
                <w:sz w:val="19"/>
                <w:szCs w:val="19"/>
              </w:rPr>
            </w:pPr>
            <w:r w:rsidRPr="00D2378E">
              <w:rPr>
                <w:rFonts w:ascii="Book Antiqua" w:hAnsi="Book Antiqua"/>
                <w:color w:val="000000" w:themeColor="text1"/>
                <w:sz w:val="19"/>
                <w:szCs w:val="19"/>
              </w:rPr>
              <w:t xml:space="preserve">Program 1.1: Health </w:t>
            </w:r>
            <w:r w:rsidR="006D6502" w:rsidRPr="00D2378E">
              <w:rPr>
                <w:rFonts w:ascii="Book Antiqua" w:hAnsi="Book Antiqua"/>
                <w:color w:val="000000" w:themeColor="text1"/>
                <w:sz w:val="19"/>
                <w:szCs w:val="19"/>
              </w:rPr>
              <w:t>Research, Coordination and Access</w:t>
            </w:r>
          </w:p>
          <w:p w14:paraId="2BB0E30D" w14:textId="39E7C40D" w:rsidR="00334111" w:rsidRPr="00D2378E" w:rsidRDefault="00113BD7" w:rsidP="00CF2E99">
            <w:pPr>
              <w:pStyle w:val="Tabletextnormal9pt"/>
              <w:rPr>
                <w:color w:val="000000" w:themeColor="text1"/>
                <w:sz w:val="19"/>
                <w:szCs w:val="19"/>
              </w:rPr>
            </w:pPr>
            <w:r w:rsidRPr="00D2378E">
              <w:rPr>
                <w:rFonts w:ascii="Book Antiqua" w:hAnsi="Book Antiqua"/>
                <w:color w:val="000000" w:themeColor="text1"/>
                <w:sz w:val="19"/>
                <w:szCs w:val="19"/>
              </w:rPr>
              <w:t xml:space="preserve">Department of </w:t>
            </w:r>
            <w:r w:rsidR="00CF2E99" w:rsidRPr="00D2378E">
              <w:rPr>
                <w:rFonts w:ascii="Book Antiqua" w:hAnsi="Book Antiqua"/>
                <w:color w:val="000000" w:themeColor="text1"/>
                <w:sz w:val="19"/>
                <w:szCs w:val="19"/>
              </w:rPr>
              <w:t xml:space="preserve">Health </w:t>
            </w:r>
            <w:r w:rsidRPr="00D2378E">
              <w:rPr>
                <w:rFonts w:ascii="Book Antiqua" w:hAnsi="Book Antiqua"/>
                <w:color w:val="000000" w:themeColor="text1"/>
                <w:sz w:val="19"/>
                <w:szCs w:val="19"/>
              </w:rPr>
              <w:t xml:space="preserve">and Aged Care </w:t>
            </w:r>
            <w:r w:rsidR="00CF2E99" w:rsidRPr="00D2378E">
              <w:rPr>
                <w:rFonts w:ascii="Book Antiqua" w:hAnsi="Book Antiqua"/>
                <w:color w:val="000000" w:themeColor="text1"/>
                <w:sz w:val="19"/>
                <w:szCs w:val="19"/>
              </w:rPr>
              <w:t>has policy responsibility for organ and tissue donation for transplantation, including the Australian Organ Donor Register</w:t>
            </w:r>
            <w:r w:rsidR="00E26AB1" w:rsidRPr="00D2378E">
              <w:rPr>
                <w:rFonts w:ascii="Book Antiqua" w:hAnsi="Book Antiqua"/>
                <w:color w:val="000000" w:themeColor="text1"/>
                <w:sz w:val="19"/>
                <w:szCs w:val="19"/>
              </w:rPr>
              <w:t>,</w:t>
            </w:r>
            <w:r w:rsidR="00CF2E99" w:rsidRPr="00D2378E">
              <w:rPr>
                <w:rFonts w:ascii="Book Antiqua" w:hAnsi="Book Antiqua"/>
                <w:color w:val="000000" w:themeColor="text1"/>
                <w:sz w:val="19"/>
                <w:szCs w:val="19"/>
              </w:rPr>
              <w:t xml:space="preserve"> administration of the Supporting Living Organ Donors Program</w:t>
            </w:r>
            <w:r w:rsidR="00773FAE" w:rsidRPr="00D2378E">
              <w:rPr>
                <w:rFonts w:ascii="Book Antiqua" w:hAnsi="Book Antiqua"/>
                <w:color w:val="000000" w:themeColor="text1"/>
                <w:sz w:val="19"/>
                <w:szCs w:val="19"/>
              </w:rPr>
              <w:t>,</w:t>
            </w:r>
            <w:r w:rsidR="00CF2E99" w:rsidRPr="00D2378E">
              <w:rPr>
                <w:rFonts w:ascii="Book Antiqua" w:hAnsi="Book Antiqua"/>
                <w:color w:val="000000" w:themeColor="text1"/>
                <w:sz w:val="19"/>
                <w:szCs w:val="19"/>
              </w:rPr>
              <w:t xml:space="preserve"> </w:t>
            </w:r>
            <w:r w:rsidR="00A956F7" w:rsidRPr="00D2378E">
              <w:rPr>
                <w:rFonts w:ascii="Book Antiqua" w:hAnsi="Book Antiqua"/>
                <w:color w:val="000000" w:themeColor="text1"/>
                <w:sz w:val="19"/>
                <w:szCs w:val="19"/>
              </w:rPr>
              <w:t xml:space="preserve">and </w:t>
            </w:r>
            <w:r w:rsidR="00CF2E99" w:rsidRPr="00D2378E">
              <w:rPr>
                <w:rFonts w:ascii="Book Antiqua" w:hAnsi="Book Antiqua"/>
                <w:color w:val="000000" w:themeColor="text1"/>
                <w:sz w:val="19"/>
                <w:szCs w:val="19"/>
              </w:rPr>
              <w:t>national approaches around access to organ donation and transplantation servi</w:t>
            </w:r>
            <w:r w:rsidR="00A956F7" w:rsidRPr="00D2378E">
              <w:rPr>
                <w:rFonts w:ascii="Book Antiqua" w:hAnsi="Book Antiqua"/>
                <w:color w:val="000000" w:themeColor="text1"/>
                <w:sz w:val="19"/>
                <w:szCs w:val="19"/>
              </w:rPr>
              <w:t>ces</w:t>
            </w:r>
            <w:r w:rsidR="00CF2E99" w:rsidRPr="00D2378E">
              <w:rPr>
                <w:rFonts w:ascii="Book Antiqua" w:hAnsi="Book Antiqua"/>
                <w:color w:val="000000" w:themeColor="text1"/>
                <w:sz w:val="19"/>
                <w:szCs w:val="19"/>
              </w:rPr>
              <w:t>.</w:t>
            </w:r>
          </w:p>
        </w:tc>
      </w:tr>
      <w:tr w:rsidR="004F3E3A" w:rsidRPr="00EE76CA" w14:paraId="4A40DF47" w14:textId="77777777" w:rsidTr="0052128F">
        <w:trPr>
          <w:jc w:val="center"/>
        </w:trPr>
        <w:tc>
          <w:tcPr>
            <w:tcW w:w="5000" w:type="pct"/>
          </w:tcPr>
          <w:p w14:paraId="4FE61F05" w14:textId="37CC978E" w:rsidR="004F3E3A" w:rsidRPr="00D2378E" w:rsidRDefault="004F3E3A" w:rsidP="004F3E3A">
            <w:pPr>
              <w:pStyle w:val="Tableheadingrow9pt"/>
              <w:rPr>
                <w:color w:val="000000" w:themeColor="text1"/>
                <w:sz w:val="19"/>
                <w:szCs w:val="19"/>
              </w:rPr>
            </w:pPr>
            <w:r w:rsidRPr="00D2378E">
              <w:rPr>
                <w:color w:val="000000" w:themeColor="text1"/>
                <w:sz w:val="19"/>
                <w:szCs w:val="19"/>
              </w:rPr>
              <w:t>Services Australia</w:t>
            </w:r>
          </w:p>
        </w:tc>
      </w:tr>
      <w:tr w:rsidR="00EE76CA" w:rsidRPr="00EE76CA" w14:paraId="597F59D0" w14:textId="77777777" w:rsidTr="0052128F">
        <w:trPr>
          <w:jc w:val="center"/>
        </w:trPr>
        <w:tc>
          <w:tcPr>
            <w:tcW w:w="5000" w:type="pct"/>
          </w:tcPr>
          <w:p w14:paraId="4F6B2208" w14:textId="77777777" w:rsidR="00CF2E99" w:rsidRPr="00D2378E" w:rsidRDefault="00CF2E99" w:rsidP="00CF2E99">
            <w:pPr>
              <w:pStyle w:val="Tableheadingrow9pt"/>
              <w:rPr>
                <w:rFonts w:ascii="Book Antiqua" w:hAnsi="Book Antiqua"/>
                <w:color w:val="000000" w:themeColor="text1"/>
                <w:sz w:val="19"/>
                <w:szCs w:val="19"/>
              </w:rPr>
            </w:pPr>
            <w:r w:rsidRPr="00D2378E">
              <w:rPr>
                <w:rFonts w:ascii="Book Antiqua" w:hAnsi="Book Antiqua"/>
                <w:color w:val="000000" w:themeColor="text1"/>
                <w:sz w:val="19"/>
                <w:szCs w:val="19"/>
              </w:rPr>
              <w:t>Program 1.2: Services to the Community – Health</w:t>
            </w:r>
          </w:p>
          <w:p w14:paraId="5C057C53" w14:textId="77777777" w:rsidR="00CF2E99" w:rsidRPr="00D2378E" w:rsidRDefault="00CF2E99" w:rsidP="00CF2E99">
            <w:pPr>
              <w:pStyle w:val="Tableheadingrow9pt"/>
              <w:rPr>
                <w:b w:val="0"/>
                <w:color w:val="000000" w:themeColor="text1"/>
                <w:sz w:val="19"/>
                <w:szCs w:val="19"/>
                <w:highlight w:val="yellow"/>
              </w:rPr>
            </w:pPr>
            <w:r w:rsidRPr="00D2378E">
              <w:rPr>
                <w:rFonts w:ascii="Book Antiqua" w:hAnsi="Book Antiqua"/>
                <w:b w:val="0"/>
                <w:color w:val="000000" w:themeColor="text1"/>
                <w:sz w:val="19"/>
                <w:szCs w:val="19"/>
              </w:rPr>
              <w:t>Services Australia administers the Australian Organ Donor Register on behalf of Health</w:t>
            </w:r>
            <w:r w:rsidRPr="00D2378E">
              <w:rPr>
                <w:b w:val="0"/>
                <w:color w:val="000000" w:themeColor="text1"/>
                <w:sz w:val="19"/>
                <w:szCs w:val="19"/>
              </w:rPr>
              <w:t>.</w:t>
            </w:r>
          </w:p>
        </w:tc>
      </w:tr>
    </w:tbl>
    <w:p w14:paraId="42E948B3" w14:textId="77777777" w:rsidR="00F84E44" w:rsidRPr="00F84E44" w:rsidRDefault="00F84E44" w:rsidP="00F84E44">
      <w:pPr>
        <w:keepNext/>
        <w:spacing w:before="240"/>
        <w:outlineLvl w:val="4"/>
        <w:rPr>
          <w:rFonts w:ascii="Arial" w:hAnsi="Arial"/>
          <w:bCs/>
          <w:i/>
          <w:iCs/>
          <w:color w:val="auto"/>
          <w:sz w:val="20"/>
          <w:szCs w:val="26"/>
        </w:rPr>
      </w:pPr>
      <w:r w:rsidRPr="00F84E44">
        <w:rPr>
          <w:rFonts w:ascii="Arial" w:hAnsi="Arial"/>
          <w:bCs/>
          <w:i/>
          <w:iCs/>
          <w:color w:val="auto"/>
          <w:sz w:val="20"/>
          <w:szCs w:val="26"/>
        </w:rPr>
        <w:t>Budgeted expenses for Outcome 1</w:t>
      </w:r>
    </w:p>
    <w:p w14:paraId="0A96E31B" w14:textId="77777777" w:rsidR="00F84E44" w:rsidRPr="00F84E44" w:rsidRDefault="00F84E44" w:rsidP="00F84E44">
      <w:pPr>
        <w:spacing w:before="240" w:after="240" w:line="240" w:lineRule="exact"/>
        <w:rPr>
          <w:color w:val="auto"/>
        </w:rPr>
      </w:pPr>
      <w:r w:rsidRPr="00F84E44">
        <w:rPr>
          <w:color w:val="auto"/>
        </w:rPr>
        <w:t>This table shows how much the entity intends to spend (on an accrual basis) on achieving the outcome, broken down by program, as well as by Administered and Departmental funding sources.</w:t>
      </w:r>
    </w:p>
    <w:p w14:paraId="72245727" w14:textId="0C26BD31" w:rsidR="008F283C" w:rsidRDefault="00BC0659" w:rsidP="00BC0659">
      <w:pPr>
        <w:pStyle w:val="Tablenumberandreference"/>
        <w:rPr>
          <w:color w:val="000000" w:themeColor="text1"/>
        </w:rPr>
      </w:pPr>
      <w:r w:rsidRPr="00EE76CA">
        <w:rPr>
          <w:color w:val="000000" w:themeColor="text1"/>
        </w:rPr>
        <w:t xml:space="preserve">Table 2.1.1: Budgeted </w:t>
      </w:r>
      <w:r w:rsidR="00F84E44">
        <w:rPr>
          <w:color w:val="000000" w:themeColor="text1"/>
        </w:rPr>
        <w:t>e</w:t>
      </w:r>
      <w:r w:rsidRPr="00EE76CA">
        <w:rPr>
          <w:color w:val="000000" w:themeColor="text1"/>
        </w:rPr>
        <w:t xml:space="preserve">xpenses </w:t>
      </w:r>
      <w:r w:rsidR="00F84E44">
        <w:rPr>
          <w:color w:val="000000" w:themeColor="text1"/>
        </w:rPr>
        <w:t>for Outcome 1</w:t>
      </w:r>
    </w:p>
    <w:tbl>
      <w:tblPr>
        <w:tblW w:w="7360" w:type="dxa"/>
        <w:tblLayout w:type="fixed"/>
        <w:tblCellMar>
          <w:left w:w="0" w:type="dxa"/>
          <w:right w:w="0" w:type="dxa"/>
        </w:tblCellMar>
        <w:tblLook w:val="04A0" w:firstRow="1" w:lastRow="0" w:firstColumn="1" w:lastColumn="0" w:noHBand="0" w:noVBand="1"/>
      </w:tblPr>
      <w:tblGrid>
        <w:gridCol w:w="2860"/>
        <w:gridCol w:w="900"/>
        <w:gridCol w:w="900"/>
        <w:gridCol w:w="900"/>
        <w:gridCol w:w="900"/>
        <w:gridCol w:w="900"/>
      </w:tblGrid>
      <w:tr w:rsidR="0061017A" w14:paraId="59628015" w14:textId="77777777" w:rsidTr="0061017A">
        <w:trPr>
          <w:trHeight w:val="765"/>
        </w:trPr>
        <w:tc>
          <w:tcPr>
            <w:tcW w:w="2860" w:type="dxa"/>
            <w:tcBorders>
              <w:top w:val="single" w:sz="4" w:space="0" w:color="auto"/>
              <w:left w:val="nil"/>
              <w:bottom w:val="nil"/>
              <w:right w:val="nil"/>
            </w:tcBorders>
            <w:shd w:val="clear" w:color="auto" w:fill="auto"/>
            <w:tcMar>
              <w:top w:w="15" w:type="dxa"/>
              <w:left w:w="15" w:type="dxa"/>
              <w:bottom w:w="0" w:type="dxa"/>
              <w:right w:w="15" w:type="dxa"/>
            </w:tcMar>
            <w:vAlign w:val="bottom"/>
            <w:hideMark/>
          </w:tcPr>
          <w:p w14:paraId="4A332740" w14:textId="77777777" w:rsidR="0061017A" w:rsidRDefault="0061017A" w:rsidP="0061017A">
            <w:pPr>
              <w:spacing w:before="40" w:after="0"/>
              <w:jc w:val="right"/>
              <w:rPr>
                <w:rFonts w:ascii="Arial" w:hAnsi="Arial" w:cs="Arial"/>
                <w:b/>
                <w:bCs/>
                <w:color w:val="auto"/>
                <w:sz w:val="16"/>
                <w:szCs w:val="16"/>
              </w:rPr>
            </w:pPr>
            <w:r>
              <w:rPr>
                <w:rFonts w:ascii="Arial" w:hAnsi="Arial" w:cs="Arial"/>
                <w:b/>
                <w:bCs/>
                <w:sz w:val="16"/>
                <w:szCs w:val="16"/>
              </w:rPr>
              <w:t> </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2775A23C" w14:textId="77777777" w:rsidR="0061017A" w:rsidRDefault="0061017A" w:rsidP="0061017A">
            <w:pPr>
              <w:spacing w:before="40" w:after="0"/>
              <w:jc w:val="right"/>
              <w:rPr>
                <w:rFonts w:ascii="Arial" w:hAnsi="Arial" w:cs="Arial"/>
                <w:b/>
                <w:bCs/>
                <w:sz w:val="16"/>
                <w:szCs w:val="16"/>
              </w:rPr>
            </w:pPr>
            <w:r>
              <w:rPr>
                <w:rFonts w:ascii="Arial" w:hAnsi="Arial" w:cs="Arial"/>
                <w:b/>
                <w:bCs/>
                <w:sz w:val="16"/>
                <w:szCs w:val="16"/>
              </w:rPr>
              <w:t>2021–22 Estimated actual</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000000" w:fill="D9D9D9"/>
            <w:tcMar>
              <w:top w:w="15" w:type="dxa"/>
              <w:left w:w="15" w:type="dxa"/>
              <w:bottom w:w="0" w:type="dxa"/>
              <w:right w:w="15" w:type="dxa"/>
            </w:tcMar>
            <w:vAlign w:val="bottom"/>
            <w:hideMark/>
          </w:tcPr>
          <w:p w14:paraId="66DDB0E2" w14:textId="77777777" w:rsidR="0061017A" w:rsidRDefault="0061017A" w:rsidP="0061017A">
            <w:pPr>
              <w:spacing w:before="40" w:after="0"/>
              <w:jc w:val="right"/>
              <w:rPr>
                <w:rFonts w:ascii="Arial" w:hAnsi="Arial" w:cs="Arial"/>
                <w:b/>
                <w:bCs/>
                <w:sz w:val="16"/>
                <w:szCs w:val="16"/>
              </w:rPr>
            </w:pPr>
            <w:r>
              <w:rPr>
                <w:rFonts w:ascii="Arial" w:hAnsi="Arial" w:cs="Arial"/>
                <w:b/>
                <w:bCs/>
                <w:sz w:val="16"/>
                <w:szCs w:val="16"/>
              </w:rPr>
              <w:t xml:space="preserve">2022–23 Budget </w:t>
            </w:r>
            <w:r>
              <w:rPr>
                <w:rFonts w:ascii="Arial" w:hAnsi="Arial" w:cs="Arial"/>
                <w:b/>
                <w:bCs/>
                <w:sz w:val="16"/>
                <w:szCs w:val="16"/>
              </w:rPr>
              <w:br/>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61D7CD2E" w14:textId="77777777" w:rsidR="0061017A" w:rsidRDefault="0061017A" w:rsidP="0061017A">
            <w:pPr>
              <w:spacing w:before="40" w:after="0"/>
              <w:jc w:val="right"/>
              <w:rPr>
                <w:rFonts w:ascii="Arial" w:hAnsi="Arial" w:cs="Arial"/>
                <w:b/>
                <w:bCs/>
                <w:sz w:val="16"/>
                <w:szCs w:val="16"/>
              </w:rPr>
            </w:pPr>
            <w:r>
              <w:rPr>
                <w:rFonts w:ascii="Arial" w:hAnsi="Arial" w:cs="Arial"/>
                <w:b/>
                <w:bCs/>
                <w:sz w:val="16"/>
                <w:szCs w:val="16"/>
              </w:rPr>
              <w:t>2023–24 Forward estimate</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2EE739F3" w14:textId="77777777" w:rsidR="0061017A" w:rsidRDefault="0061017A" w:rsidP="0061017A">
            <w:pPr>
              <w:spacing w:before="40" w:after="0"/>
              <w:jc w:val="right"/>
              <w:rPr>
                <w:rFonts w:ascii="Arial" w:hAnsi="Arial" w:cs="Arial"/>
                <w:b/>
                <w:bCs/>
                <w:sz w:val="16"/>
                <w:szCs w:val="16"/>
              </w:rPr>
            </w:pPr>
            <w:r>
              <w:rPr>
                <w:rFonts w:ascii="Arial" w:hAnsi="Arial" w:cs="Arial"/>
                <w:b/>
                <w:bCs/>
                <w:sz w:val="16"/>
                <w:szCs w:val="16"/>
              </w:rPr>
              <w:t>2024–25 Forward estimate</w:t>
            </w:r>
            <w:r>
              <w:rPr>
                <w:rFonts w:ascii="Arial" w:hAnsi="Arial" w:cs="Arial"/>
                <w:b/>
                <w:bCs/>
                <w:sz w:val="16"/>
                <w:szCs w:val="16"/>
              </w:rPr>
              <w:br/>
            </w:r>
            <w:r>
              <w:rPr>
                <w:rFonts w:ascii="Arial" w:hAnsi="Arial" w:cs="Arial"/>
                <w:sz w:val="16"/>
                <w:szCs w:val="16"/>
              </w:rPr>
              <w:t>$'000</w:t>
            </w:r>
          </w:p>
        </w:tc>
        <w:tc>
          <w:tcPr>
            <w:tcW w:w="90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bottom"/>
            <w:hideMark/>
          </w:tcPr>
          <w:p w14:paraId="77A6E9C1" w14:textId="77777777" w:rsidR="0061017A" w:rsidRDefault="0061017A" w:rsidP="0061017A">
            <w:pPr>
              <w:spacing w:before="40" w:after="0"/>
              <w:jc w:val="right"/>
              <w:rPr>
                <w:rFonts w:ascii="Arial" w:hAnsi="Arial" w:cs="Arial"/>
                <w:b/>
                <w:bCs/>
                <w:sz w:val="16"/>
                <w:szCs w:val="16"/>
              </w:rPr>
            </w:pPr>
            <w:r>
              <w:rPr>
                <w:rFonts w:ascii="Arial" w:hAnsi="Arial" w:cs="Arial"/>
                <w:b/>
                <w:bCs/>
                <w:sz w:val="16"/>
                <w:szCs w:val="16"/>
              </w:rPr>
              <w:t>2025–26 Forward estimate</w:t>
            </w:r>
            <w:r>
              <w:rPr>
                <w:rFonts w:ascii="Arial" w:hAnsi="Arial" w:cs="Arial"/>
                <w:b/>
                <w:bCs/>
                <w:sz w:val="16"/>
                <w:szCs w:val="16"/>
              </w:rPr>
              <w:br/>
            </w:r>
            <w:r>
              <w:rPr>
                <w:rFonts w:ascii="Arial" w:hAnsi="Arial" w:cs="Arial"/>
                <w:sz w:val="16"/>
                <w:szCs w:val="16"/>
              </w:rPr>
              <w:t>$'000</w:t>
            </w:r>
          </w:p>
        </w:tc>
      </w:tr>
      <w:tr w:rsidR="0061017A" w14:paraId="36B02F7E" w14:textId="77777777" w:rsidTr="003B64FF">
        <w:trPr>
          <w:trHeight w:val="454"/>
        </w:trPr>
        <w:tc>
          <w:tcPr>
            <w:tcW w:w="7360" w:type="dxa"/>
            <w:gridSpan w:val="6"/>
            <w:tcBorders>
              <w:top w:val="nil"/>
              <w:left w:val="nil"/>
              <w:bottom w:val="nil"/>
              <w:right w:val="nil"/>
            </w:tcBorders>
            <w:shd w:val="clear" w:color="auto" w:fill="auto"/>
            <w:tcMar>
              <w:top w:w="15" w:type="dxa"/>
              <w:left w:w="15" w:type="dxa"/>
              <w:bottom w:w="0" w:type="dxa"/>
              <w:right w:w="15" w:type="dxa"/>
            </w:tcMar>
            <w:vAlign w:val="bottom"/>
            <w:hideMark/>
          </w:tcPr>
          <w:p w14:paraId="32D87FEB" w14:textId="77777777" w:rsidR="0061017A" w:rsidRDefault="0061017A" w:rsidP="0061017A">
            <w:pPr>
              <w:spacing w:after="0"/>
              <w:rPr>
                <w:rFonts w:ascii="Arial" w:hAnsi="Arial" w:cs="Arial"/>
                <w:b/>
                <w:bCs/>
                <w:sz w:val="16"/>
                <w:szCs w:val="16"/>
              </w:rPr>
            </w:pPr>
            <w:r>
              <w:rPr>
                <w:rFonts w:ascii="Arial" w:hAnsi="Arial" w:cs="Arial"/>
                <w:b/>
                <w:bCs/>
                <w:sz w:val="16"/>
                <w:szCs w:val="16"/>
              </w:rPr>
              <w:t>Program 1.1: A Nationally Coordinated System for Organ and Tissue Donation for Transplantation</w:t>
            </w:r>
          </w:p>
        </w:tc>
      </w:tr>
      <w:tr w:rsidR="0061017A" w14:paraId="7EA591AD" w14:textId="77777777" w:rsidTr="003B64FF">
        <w:trPr>
          <w:trHeight w:val="283"/>
        </w:trPr>
        <w:tc>
          <w:tcPr>
            <w:tcW w:w="2860" w:type="dxa"/>
            <w:tcBorders>
              <w:top w:val="nil"/>
              <w:left w:val="nil"/>
              <w:bottom w:val="nil"/>
              <w:right w:val="nil"/>
            </w:tcBorders>
            <w:shd w:val="clear" w:color="auto" w:fill="auto"/>
            <w:noWrap/>
            <w:tcMar>
              <w:top w:w="15" w:type="dxa"/>
              <w:left w:w="135" w:type="dxa"/>
              <w:bottom w:w="0" w:type="dxa"/>
              <w:right w:w="15" w:type="dxa"/>
            </w:tcMar>
            <w:vAlign w:val="bottom"/>
            <w:hideMark/>
          </w:tcPr>
          <w:p w14:paraId="201AB570" w14:textId="77777777" w:rsidR="0061017A" w:rsidRDefault="0061017A" w:rsidP="0061017A">
            <w:pPr>
              <w:spacing w:after="0"/>
              <w:ind w:firstLineChars="100" w:firstLine="160"/>
              <w:rPr>
                <w:rFonts w:ascii="Arial" w:hAnsi="Arial" w:cs="Arial"/>
                <w:sz w:val="16"/>
                <w:szCs w:val="16"/>
              </w:rPr>
            </w:pPr>
            <w:r>
              <w:rPr>
                <w:rFonts w:ascii="Arial" w:hAnsi="Arial" w:cs="Arial"/>
                <w:sz w:val="16"/>
                <w:szCs w:val="16"/>
              </w:rPr>
              <w:t>Administered expenses</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BAF5A29" w14:textId="77777777" w:rsidR="0061017A" w:rsidRDefault="0061017A" w:rsidP="0061017A">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5122B3E1" w14:textId="77777777" w:rsidR="0061017A" w:rsidRDefault="0061017A" w:rsidP="0061017A">
            <w:pPr>
              <w:spacing w:after="0"/>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B5BA88A" w14:textId="77777777" w:rsidR="0061017A" w:rsidRDefault="0061017A" w:rsidP="0061017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65D7BE4" w14:textId="77777777" w:rsidR="0061017A" w:rsidRDefault="0061017A" w:rsidP="0061017A">
            <w:pPr>
              <w:spacing w:after="0"/>
              <w:jc w:val="right"/>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0B66B7CB" w14:textId="77777777" w:rsidR="0061017A" w:rsidRDefault="0061017A" w:rsidP="0061017A">
            <w:pPr>
              <w:spacing w:after="0"/>
              <w:jc w:val="right"/>
              <w:rPr>
                <w:sz w:val="20"/>
              </w:rPr>
            </w:pPr>
          </w:p>
        </w:tc>
      </w:tr>
      <w:tr w:rsidR="0061017A" w14:paraId="2A5D15EF" w14:textId="77777777" w:rsidTr="0061017A">
        <w:trPr>
          <w:trHeight w:val="225"/>
        </w:trPr>
        <w:tc>
          <w:tcPr>
            <w:tcW w:w="2860" w:type="dxa"/>
            <w:tcBorders>
              <w:top w:val="nil"/>
              <w:left w:val="nil"/>
              <w:bottom w:val="nil"/>
              <w:right w:val="nil"/>
            </w:tcBorders>
            <w:shd w:val="clear" w:color="auto" w:fill="auto"/>
            <w:noWrap/>
            <w:tcMar>
              <w:top w:w="15" w:type="dxa"/>
              <w:left w:w="270" w:type="dxa"/>
              <w:bottom w:w="0" w:type="dxa"/>
              <w:right w:w="15" w:type="dxa"/>
            </w:tcMar>
            <w:vAlign w:val="bottom"/>
            <w:hideMark/>
          </w:tcPr>
          <w:p w14:paraId="30D29D20" w14:textId="77777777" w:rsidR="0061017A" w:rsidRDefault="0061017A" w:rsidP="0061017A">
            <w:pPr>
              <w:spacing w:after="0"/>
              <w:ind w:leftChars="80" w:left="152"/>
              <w:rPr>
                <w:rFonts w:ascii="Arial" w:hAnsi="Arial" w:cs="Arial"/>
                <w:sz w:val="16"/>
                <w:szCs w:val="16"/>
              </w:rPr>
            </w:pPr>
            <w:r>
              <w:rPr>
                <w:rFonts w:ascii="Arial" w:hAnsi="Arial" w:cs="Arial"/>
                <w:sz w:val="16"/>
                <w:szCs w:val="16"/>
              </w:rPr>
              <w:t>Ordinary annual services</w:t>
            </w:r>
            <w:r>
              <w:rPr>
                <w:rFonts w:ascii="Arial" w:hAnsi="Arial" w:cs="Arial"/>
                <w:sz w:val="16"/>
                <w:szCs w:val="16"/>
                <w:vertAlign w:val="superscript"/>
              </w:rPr>
              <w:t xml:space="preserve"> (a)</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1AE29118" w14:textId="77777777" w:rsidR="0061017A" w:rsidRDefault="0061017A" w:rsidP="0061017A">
            <w:pPr>
              <w:spacing w:after="0"/>
              <w:jc w:val="right"/>
              <w:rPr>
                <w:rFonts w:ascii="Arial" w:hAnsi="Arial" w:cs="Arial"/>
                <w:sz w:val="16"/>
                <w:szCs w:val="16"/>
              </w:rPr>
            </w:pPr>
            <w:r>
              <w:rPr>
                <w:rFonts w:ascii="Arial" w:hAnsi="Arial" w:cs="Arial"/>
                <w:sz w:val="16"/>
                <w:szCs w:val="16"/>
              </w:rPr>
              <w:t>48,240</w:t>
            </w: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00E50F9A" w14:textId="77777777" w:rsidR="0061017A" w:rsidRDefault="0061017A" w:rsidP="0061017A">
            <w:pPr>
              <w:spacing w:after="0"/>
              <w:jc w:val="right"/>
              <w:rPr>
                <w:rFonts w:ascii="Arial" w:hAnsi="Arial" w:cs="Arial"/>
                <w:sz w:val="16"/>
                <w:szCs w:val="16"/>
              </w:rPr>
            </w:pPr>
            <w:r>
              <w:rPr>
                <w:rFonts w:ascii="Arial" w:hAnsi="Arial" w:cs="Arial"/>
                <w:sz w:val="16"/>
                <w:szCs w:val="16"/>
              </w:rPr>
              <w:t>49,131</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6E943E2A" w14:textId="77777777" w:rsidR="0061017A" w:rsidRDefault="0061017A" w:rsidP="0061017A">
            <w:pPr>
              <w:spacing w:after="0"/>
              <w:jc w:val="right"/>
              <w:rPr>
                <w:rFonts w:ascii="Arial" w:hAnsi="Arial" w:cs="Arial"/>
                <w:sz w:val="16"/>
                <w:szCs w:val="16"/>
              </w:rPr>
            </w:pPr>
            <w:r>
              <w:rPr>
                <w:rFonts w:ascii="Arial" w:hAnsi="Arial" w:cs="Arial"/>
                <w:sz w:val="16"/>
                <w:szCs w:val="16"/>
              </w:rPr>
              <w:t>51,857</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821CC71" w14:textId="77777777" w:rsidR="0061017A" w:rsidRDefault="0061017A" w:rsidP="0061017A">
            <w:pPr>
              <w:spacing w:after="0"/>
              <w:jc w:val="right"/>
              <w:rPr>
                <w:rFonts w:ascii="Arial" w:hAnsi="Arial" w:cs="Arial"/>
                <w:sz w:val="16"/>
                <w:szCs w:val="16"/>
              </w:rPr>
            </w:pPr>
            <w:r>
              <w:rPr>
                <w:rFonts w:ascii="Arial" w:hAnsi="Arial" w:cs="Arial"/>
                <w:sz w:val="16"/>
                <w:szCs w:val="16"/>
              </w:rPr>
              <w:t>53,076</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53ACE1BE" w14:textId="77777777" w:rsidR="0061017A" w:rsidRDefault="0061017A" w:rsidP="0061017A">
            <w:pPr>
              <w:spacing w:after="0"/>
              <w:jc w:val="right"/>
              <w:rPr>
                <w:rFonts w:ascii="Arial" w:hAnsi="Arial" w:cs="Arial"/>
                <w:sz w:val="16"/>
                <w:szCs w:val="16"/>
              </w:rPr>
            </w:pPr>
            <w:r>
              <w:rPr>
                <w:rFonts w:ascii="Arial" w:hAnsi="Arial" w:cs="Arial"/>
                <w:sz w:val="16"/>
                <w:szCs w:val="16"/>
              </w:rPr>
              <w:t>53,888</w:t>
            </w:r>
          </w:p>
        </w:tc>
      </w:tr>
      <w:tr w:rsidR="0061017A" w14:paraId="1EED644F" w14:textId="77777777" w:rsidTr="003B64FF">
        <w:trPr>
          <w:trHeight w:val="283"/>
        </w:trPr>
        <w:tc>
          <w:tcPr>
            <w:tcW w:w="2860" w:type="dxa"/>
            <w:tcBorders>
              <w:top w:val="nil"/>
              <w:left w:val="nil"/>
              <w:bottom w:val="nil"/>
              <w:right w:val="nil"/>
            </w:tcBorders>
            <w:shd w:val="clear" w:color="auto" w:fill="auto"/>
            <w:noWrap/>
            <w:tcMar>
              <w:top w:w="15" w:type="dxa"/>
              <w:left w:w="135" w:type="dxa"/>
              <w:bottom w:w="0" w:type="dxa"/>
              <w:right w:w="15" w:type="dxa"/>
            </w:tcMar>
            <w:vAlign w:val="bottom"/>
            <w:hideMark/>
          </w:tcPr>
          <w:p w14:paraId="501F387B" w14:textId="77777777" w:rsidR="0061017A" w:rsidRDefault="0061017A" w:rsidP="0061017A">
            <w:pPr>
              <w:spacing w:after="0"/>
              <w:ind w:firstLineChars="100" w:firstLine="160"/>
              <w:rPr>
                <w:rFonts w:ascii="Arial" w:hAnsi="Arial" w:cs="Arial"/>
                <w:sz w:val="16"/>
                <w:szCs w:val="16"/>
              </w:rPr>
            </w:pPr>
            <w:r>
              <w:rPr>
                <w:rFonts w:ascii="Arial" w:hAnsi="Arial" w:cs="Arial"/>
                <w:sz w:val="16"/>
                <w:szCs w:val="16"/>
              </w:rPr>
              <w:t>Departmental expenses</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58C6AB89" w14:textId="77777777" w:rsidR="0061017A" w:rsidRDefault="0061017A" w:rsidP="0061017A">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58AF9357" w14:textId="77777777" w:rsidR="0061017A" w:rsidRDefault="0061017A" w:rsidP="0061017A">
            <w:pPr>
              <w:spacing w:after="0"/>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62B45203" w14:textId="77777777" w:rsidR="0061017A" w:rsidRDefault="0061017A" w:rsidP="0061017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ABB1C06" w14:textId="77777777" w:rsidR="0061017A" w:rsidRDefault="0061017A" w:rsidP="0061017A">
            <w:pPr>
              <w:spacing w:after="0"/>
              <w:jc w:val="right"/>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72EF157" w14:textId="77777777" w:rsidR="0061017A" w:rsidRDefault="0061017A" w:rsidP="0061017A">
            <w:pPr>
              <w:spacing w:after="0"/>
              <w:jc w:val="right"/>
              <w:rPr>
                <w:sz w:val="20"/>
              </w:rPr>
            </w:pPr>
          </w:p>
        </w:tc>
      </w:tr>
      <w:tr w:rsidR="0061017A" w14:paraId="2432274B" w14:textId="77777777" w:rsidTr="0061017A">
        <w:trPr>
          <w:trHeight w:val="225"/>
        </w:trPr>
        <w:tc>
          <w:tcPr>
            <w:tcW w:w="2860" w:type="dxa"/>
            <w:tcBorders>
              <w:top w:val="nil"/>
              <w:left w:val="nil"/>
              <w:bottom w:val="nil"/>
              <w:right w:val="nil"/>
            </w:tcBorders>
            <w:shd w:val="clear" w:color="auto" w:fill="auto"/>
            <w:noWrap/>
            <w:tcMar>
              <w:top w:w="15" w:type="dxa"/>
              <w:left w:w="270" w:type="dxa"/>
              <w:bottom w:w="0" w:type="dxa"/>
              <w:right w:w="15" w:type="dxa"/>
            </w:tcMar>
            <w:vAlign w:val="bottom"/>
            <w:hideMark/>
          </w:tcPr>
          <w:p w14:paraId="142DEC0A" w14:textId="77777777" w:rsidR="0061017A" w:rsidRDefault="0061017A" w:rsidP="0061017A">
            <w:pPr>
              <w:spacing w:after="0"/>
              <w:ind w:leftChars="80" w:left="152"/>
              <w:rPr>
                <w:rFonts w:ascii="Arial" w:hAnsi="Arial" w:cs="Arial"/>
                <w:sz w:val="16"/>
                <w:szCs w:val="16"/>
              </w:rPr>
            </w:pPr>
            <w:r>
              <w:rPr>
                <w:rFonts w:ascii="Arial" w:hAnsi="Arial" w:cs="Arial"/>
                <w:sz w:val="16"/>
                <w:szCs w:val="16"/>
              </w:rPr>
              <w:t xml:space="preserve">Departmental appropriation </w:t>
            </w:r>
            <w:r>
              <w:rPr>
                <w:rFonts w:ascii="Arial" w:hAnsi="Arial" w:cs="Arial"/>
                <w:sz w:val="16"/>
                <w:szCs w:val="16"/>
                <w:vertAlign w:val="superscript"/>
              </w:rPr>
              <w:t>(b)</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0C4FE18" w14:textId="77777777" w:rsidR="0061017A" w:rsidRDefault="0061017A" w:rsidP="0061017A">
            <w:pPr>
              <w:spacing w:after="0"/>
              <w:jc w:val="right"/>
              <w:rPr>
                <w:rFonts w:ascii="Arial" w:hAnsi="Arial" w:cs="Arial"/>
                <w:sz w:val="16"/>
                <w:szCs w:val="16"/>
              </w:rPr>
            </w:pPr>
            <w:r>
              <w:rPr>
                <w:rFonts w:ascii="Arial" w:hAnsi="Arial" w:cs="Arial"/>
                <w:sz w:val="16"/>
                <w:szCs w:val="16"/>
              </w:rPr>
              <w:t>5,647</w:t>
            </w: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6054BCFA" w14:textId="77777777" w:rsidR="0061017A" w:rsidRDefault="0061017A" w:rsidP="0061017A">
            <w:pPr>
              <w:spacing w:after="0"/>
              <w:jc w:val="right"/>
              <w:rPr>
                <w:rFonts w:ascii="Arial" w:hAnsi="Arial" w:cs="Arial"/>
                <w:sz w:val="16"/>
                <w:szCs w:val="16"/>
              </w:rPr>
            </w:pPr>
            <w:r>
              <w:rPr>
                <w:rFonts w:ascii="Arial" w:hAnsi="Arial" w:cs="Arial"/>
                <w:sz w:val="16"/>
                <w:szCs w:val="16"/>
              </w:rPr>
              <w:t>5,774</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2DE2AFFE" w14:textId="77777777" w:rsidR="0061017A" w:rsidRDefault="0061017A" w:rsidP="0061017A">
            <w:pPr>
              <w:spacing w:after="0"/>
              <w:jc w:val="right"/>
              <w:rPr>
                <w:rFonts w:ascii="Arial" w:hAnsi="Arial" w:cs="Arial"/>
                <w:sz w:val="16"/>
                <w:szCs w:val="16"/>
              </w:rPr>
            </w:pPr>
            <w:r>
              <w:rPr>
                <w:rFonts w:ascii="Arial" w:hAnsi="Arial" w:cs="Arial"/>
                <w:sz w:val="16"/>
                <w:szCs w:val="16"/>
              </w:rPr>
              <w:t>5,896</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6C866FB3" w14:textId="77777777" w:rsidR="0061017A" w:rsidRDefault="0061017A" w:rsidP="0061017A">
            <w:pPr>
              <w:spacing w:after="0"/>
              <w:jc w:val="right"/>
              <w:rPr>
                <w:rFonts w:ascii="Arial" w:hAnsi="Arial" w:cs="Arial"/>
                <w:sz w:val="16"/>
                <w:szCs w:val="16"/>
              </w:rPr>
            </w:pPr>
            <w:r>
              <w:rPr>
                <w:rFonts w:ascii="Arial" w:hAnsi="Arial" w:cs="Arial"/>
                <w:sz w:val="16"/>
                <w:szCs w:val="16"/>
              </w:rPr>
              <w:t>5,985</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7C780A5A" w14:textId="77777777" w:rsidR="0061017A" w:rsidRDefault="0061017A" w:rsidP="0061017A">
            <w:pPr>
              <w:spacing w:after="0"/>
              <w:jc w:val="right"/>
              <w:rPr>
                <w:rFonts w:ascii="Arial" w:hAnsi="Arial" w:cs="Arial"/>
                <w:sz w:val="16"/>
                <w:szCs w:val="16"/>
              </w:rPr>
            </w:pPr>
            <w:r>
              <w:rPr>
                <w:rFonts w:ascii="Arial" w:hAnsi="Arial" w:cs="Arial"/>
                <w:sz w:val="16"/>
                <w:szCs w:val="16"/>
              </w:rPr>
              <w:t>6,028</w:t>
            </w:r>
          </w:p>
        </w:tc>
      </w:tr>
      <w:tr w:rsidR="0061017A" w14:paraId="648617D0" w14:textId="77777777" w:rsidTr="003B64FF">
        <w:trPr>
          <w:trHeight w:val="397"/>
        </w:trPr>
        <w:tc>
          <w:tcPr>
            <w:tcW w:w="2860" w:type="dxa"/>
            <w:tcBorders>
              <w:top w:val="nil"/>
              <w:left w:val="nil"/>
              <w:bottom w:val="nil"/>
              <w:right w:val="nil"/>
            </w:tcBorders>
            <w:shd w:val="clear" w:color="auto" w:fill="auto"/>
            <w:tcMar>
              <w:top w:w="15" w:type="dxa"/>
              <w:left w:w="270" w:type="dxa"/>
              <w:bottom w:w="0" w:type="dxa"/>
              <w:right w:w="15" w:type="dxa"/>
            </w:tcMar>
            <w:vAlign w:val="bottom"/>
            <w:hideMark/>
          </w:tcPr>
          <w:p w14:paraId="331A20D1" w14:textId="77777777" w:rsidR="0061017A" w:rsidRDefault="0061017A" w:rsidP="0061017A">
            <w:pPr>
              <w:spacing w:after="0"/>
              <w:ind w:leftChars="80" w:left="152"/>
              <w:rPr>
                <w:rFonts w:ascii="Arial" w:hAnsi="Arial" w:cs="Arial"/>
                <w:sz w:val="16"/>
                <w:szCs w:val="16"/>
              </w:rPr>
            </w:pPr>
            <w:r>
              <w:rPr>
                <w:rFonts w:ascii="Arial" w:hAnsi="Arial" w:cs="Arial"/>
                <w:sz w:val="16"/>
                <w:szCs w:val="16"/>
              </w:rPr>
              <w:t>Expenses not requiring appropriation in the Budget year</w:t>
            </w:r>
            <w:r>
              <w:rPr>
                <w:rFonts w:ascii="Arial" w:hAnsi="Arial" w:cs="Arial"/>
                <w:sz w:val="16"/>
                <w:szCs w:val="16"/>
                <w:vertAlign w:val="superscript"/>
              </w:rPr>
              <w:t xml:space="preserve"> (c)</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0C69D117" w14:textId="77777777" w:rsidR="0061017A" w:rsidRDefault="0061017A" w:rsidP="0061017A">
            <w:pPr>
              <w:spacing w:after="0"/>
              <w:jc w:val="right"/>
              <w:rPr>
                <w:rFonts w:ascii="Arial" w:hAnsi="Arial" w:cs="Arial"/>
                <w:sz w:val="16"/>
                <w:szCs w:val="16"/>
              </w:rPr>
            </w:pPr>
            <w:r>
              <w:rPr>
                <w:rFonts w:ascii="Arial" w:hAnsi="Arial" w:cs="Arial"/>
                <w:sz w:val="16"/>
                <w:szCs w:val="16"/>
              </w:rPr>
              <w:t>601</w:t>
            </w: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528706B1" w14:textId="77777777" w:rsidR="0061017A" w:rsidRDefault="0061017A" w:rsidP="0061017A">
            <w:pPr>
              <w:spacing w:after="0"/>
              <w:jc w:val="right"/>
              <w:rPr>
                <w:rFonts w:ascii="Arial" w:hAnsi="Arial" w:cs="Arial"/>
                <w:sz w:val="16"/>
                <w:szCs w:val="16"/>
              </w:rPr>
            </w:pPr>
            <w:r>
              <w:rPr>
                <w:rFonts w:ascii="Arial" w:hAnsi="Arial" w:cs="Arial"/>
                <w:sz w:val="16"/>
                <w:szCs w:val="16"/>
              </w:rPr>
              <w:t>779</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21189C01" w14:textId="77777777" w:rsidR="0061017A" w:rsidRDefault="0061017A" w:rsidP="0061017A">
            <w:pPr>
              <w:spacing w:after="0"/>
              <w:jc w:val="right"/>
              <w:rPr>
                <w:rFonts w:ascii="Arial" w:hAnsi="Arial" w:cs="Arial"/>
                <w:sz w:val="16"/>
                <w:szCs w:val="16"/>
              </w:rPr>
            </w:pPr>
            <w:r>
              <w:rPr>
                <w:rFonts w:ascii="Arial" w:hAnsi="Arial" w:cs="Arial"/>
                <w:sz w:val="16"/>
                <w:szCs w:val="16"/>
              </w:rPr>
              <w:t>819</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482594D3" w14:textId="77777777" w:rsidR="0061017A" w:rsidRDefault="0061017A" w:rsidP="0061017A">
            <w:pPr>
              <w:spacing w:after="0"/>
              <w:jc w:val="right"/>
              <w:rPr>
                <w:rFonts w:ascii="Arial" w:hAnsi="Arial" w:cs="Arial"/>
                <w:sz w:val="16"/>
                <w:szCs w:val="16"/>
              </w:rPr>
            </w:pPr>
            <w:r>
              <w:rPr>
                <w:rFonts w:ascii="Arial" w:hAnsi="Arial" w:cs="Arial"/>
                <w:sz w:val="16"/>
                <w:szCs w:val="16"/>
              </w:rPr>
              <w:t>757</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64CB40E9" w14:textId="77777777" w:rsidR="0061017A" w:rsidRDefault="0061017A" w:rsidP="0061017A">
            <w:pPr>
              <w:spacing w:after="0"/>
              <w:jc w:val="right"/>
              <w:rPr>
                <w:rFonts w:ascii="Arial" w:hAnsi="Arial" w:cs="Arial"/>
                <w:sz w:val="16"/>
                <w:szCs w:val="16"/>
              </w:rPr>
            </w:pPr>
            <w:r>
              <w:rPr>
                <w:rFonts w:ascii="Arial" w:hAnsi="Arial" w:cs="Arial"/>
                <w:sz w:val="16"/>
                <w:szCs w:val="16"/>
              </w:rPr>
              <w:t>760</w:t>
            </w:r>
          </w:p>
        </w:tc>
      </w:tr>
      <w:tr w:rsidR="0061017A" w14:paraId="341D15BD" w14:textId="77777777" w:rsidTr="003B64FF">
        <w:trPr>
          <w:trHeight w:val="227"/>
        </w:trPr>
        <w:tc>
          <w:tcPr>
            <w:tcW w:w="2860" w:type="dxa"/>
            <w:tcBorders>
              <w:top w:val="nil"/>
              <w:left w:val="nil"/>
              <w:bottom w:val="nil"/>
              <w:right w:val="nil"/>
            </w:tcBorders>
            <w:shd w:val="clear" w:color="auto" w:fill="auto"/>
            <w:noWrap/>
            <w:tcMar>
              <w:top w:w="15" w:type="dxa"/>
              <w:left w:w="270" w:type="dxa"/>
              <w:bottom w:w="0" w:type="dxa"/>
              <w:right w:w="15" w:type="dxa"/>
            </w:tcMar>
            <w:vAlign w:val="bottom"/>
            <w:hideMark/>
          </w:tcPr>
          <w:p w14:paraId="074C795B" w14:textId="77777777" w:rsidR="0061017A" w:rsidRDefault="0061017A" w:rsidP="0061017A">
            <w:pPr>
              <w:spacing w:after="0"/>
              <w:ind w:leftChars="80" w:left="152"/>
              <w:rPr>
                <w:rFonts w:ascii="Arial" w:hAnsi="Arial" w:cs="Arial"/>
                <w:sz w:val="16"/>
                <w:szCs w:val="16"/>
              </w:rPr>
            </w:pPr>
            <w:r>
              <w:rPr>
                <w:rFonts w:ascii="Arial" w:hAnsi="Arial" w:cs="Arial"/>
                <w:sz w:val="16"/>
                <w:szCs w:val="16"/>
              </w:rPr>
              <w:t>Operating loss</w:t>
            </w: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1BD85607" w14:textId="77777777" w:rsidR="0061017A" w:rsidRDefault="0061017A" w:rsidP="0061017A">
            <w:pPr>
              <w:spacing w:after="0"/>
              <w:jc w:val="right"/>
              <w:rPr>
                <w:rFonts w:ascii="Arial" w:hAnsi="Arial" w:cs="Arial"/>
                <w:sz w:val="16"/>
                <w:szCs w:val="16"/>
              </w:rPr>
            </w:pPr>
            <w:r>
              <w:rPr>
                <w:rFonts w:ascii="Arial" w:hAnsi="Arial" w:cs="Arial"/>
                <w:sz w:val="16"/>
                <w:szCs w:val="16"/>
              </w:rPr>
              <w:t>(651)</w:t>
            </w:r>
          </w:p>
        </w:tc>
        <w:tc>
          <w:tcPr>
            <w:tcW w:w="900" w:type="dxa"/>
            <w:tcBorders>
              <w:top w:val="nil"/>
              <w:left w:val="nil"/>
              <w:bottom w:val="nil"/>
              <w:right w:val="nil"/>
            </w:tcBorders>
            <w:shd w:val="clear" w:color="000000" w:fill="D9D9D9"/>
            <w:noWrap/>
            <w:tcMar>
              <w:top w:w="15" w:type="dxa"/>
              <w:left w:w="15" w:type="dxa"/>
              <w:bottom w:w="0" w:type="dxa"/>
              <w:right w:w="15" w:type="dxa"/>
            </w:tcMar>
            <w:vAlign w:val="bottom"/>
            <w:hideMark/>
          </w:tcPr>
          <w:p w14:paraId="55690656" w14:textId="77777777" w:rsidR="0061017A" w:rsidRDefault="0061017A" w:rsidP="0061017A">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924E922" w14:textId="77777777" w:rsidR="0061017A" w:rsidRDefault="0061017A" w:rsidP="0061017A">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81099A9" w14:textId="77777777" w:rsidR="0061017A" w:rsidRDefault="0061017A" w:rsidP="0061017A">
            <w:pPr>
              <w:spacing w:after="0"/>
              <w:jc w:val="right"/>
              <w:rPr>
                <w:rFonts w:ascii="Arial" w:hAnsi="Arial" w:cs="Arial"/>
                <w:sz w:val="16"/>
                <w:szCs w:val="16"/>
              </w:rPr>
            </w:pPr>
            <w:r>
              <w:rPr>
                <w:rFonts w:ascii="Arial" w:hAnsi="Arial" w:cs="Arial"/>
                <w:sz w:val="16"/>
                <w:szCs w:val="16"/>
              </w:rPr>
              <w:t>-</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FE3E035" w14:textId="77777777" w:rsidR="0061017A" w:rsidRDefault="0061017A" w:rsidP="0061017A">
            <w:pPr>
              <w:spacing w:after="0"/>
              <w:jc w:val="right"/>
              <w:rPr>
                <w:rFonts w:ascii="Arial" w:hAnsi="Arial" w:cs="Arial"/>
                <w:sz w:val="16"/>
                <w:szCs w:val="16"/>
              </w:rPr>
            </w:pPr>
            <w:r>
              <w:rPr>
                <w:rFonts w:ascii="Arial" w:hAnsi="Arial" w:cs="Arial"/>
                <w:sz w:val="16"/>
                <w:szCs w:val="16"/>
              </w:rPr>
              <w:t>-</w:t>
            </w:r>
          </w:p>
        </w:tc>
      </w:tr>
      <w:tr w:rsidR="0061017A" w14:paraId="742D9B4A" w14:textId="77777777" w:rsidTr="003B64FF">
        <w:trPr>
          <w:trHeight w:val="283"/>
        </w:trPr>
        <w:tc>
          <w:tcPr>
            <w:tcW w:w="2860" w:type="dxa"/>
            <w:tcBorders>
              <w:top w:val="nil"/>
              <w:left w:val="nil"/>
              <w:bottom w:val="nil"/>
              <w:right w:val="nil"/>
            </w:tcBorders>
            <w:shd w:val="clear" w:color="auto" w:fill="auto"/>
            <w:noWrap/>
            <w:tcMar>
              <w:top w:w="15" w:type="dxa"/>
              <w:left w:w="135" w:type="dxa"/>
              <w:bottom w:w="0" w:type="dxa"/>
              <w:right w:w="15" w:type="dxa"/>
            </w:tcMar>
            <w:vAlign w:val="bottom"/>
            <w:hideMark/>
          </w:tcPr>
          <w:p w14:paraId="5AD7CE3F" w14:textId="77777777" w:rsidR="0061017A" w:rsidRDefault="0061017A" w:rsidP="0061017A">
            <w:pPr>
              <w:spacing w:after="0"/>
              <w:ind w:firstLineChars="100" w:firstLine="160"/>
              <w:rPr>
                <w:rFonts w:ascii="Arial" w:hAnsi="Arial" w:cs="Arial"/>
                <w:b/>
                <w:bCs/>
                <w:sz w:val="16"/>
                <w:szCs w:val="16"/>
              </w:rPr>
            </w:pPr>
            <w:r>
              <w:rPr>
                <w:rFonts w:ascii="Arial" w:hAnsi="Arial" w:cs="Arial"/>
                <w:b/>
                <w:bCs/>
                <w:sz w:val="16"/>
                <w:szCs w:val="16"/>
              </w:rPr>
              <w:t>Total for Program 1.1</w:t>
            </w:r>
          </w:p>
        </w:tc>
        <w:tc>
          <w:tcPr>
            <w:tcW w:w="900"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241037E1" w14:textId="77777777" w:rsidR="0061017A" w:rsidRDefault="0061017A" w:rsidP="0061017A">
            <w:pPr>
              <w:spacing w:after="0"/>
              <w:jc w:val="right"/>
              <w:rPr>
                <w:rFonts w:ascii="Arial" w:hAnsi="Arial" w:cs="Arial"/>
                <w:b/>
                <w:bCs/>
                <w:sz w:val="16"/>
                <w:szCs w:val="16"/>
              </w:rPr>
            </w:pPr>
            <w:r>
              <w:rPr>
                <w:rFonts w:ascii="Arial" w:hAnsi="Arial" w:cs="Arial"/>
                <w:b/>
                <w:bCs/>
                <w:sz w:val="16"/>
                <w:szCs w:val="16"/>
              </w:rPr>
              <w:t>53,837</w:t>
            </w:r>
          </w:p>
        </w:tc>
        <w:tc>
          <w:tcPr>
            <w:tcW w:w="900" w:type="dxa"/>
            <w:tcBorders>
              <w:top w:val="single" w:sz="4" w:space="0" w:color="auto"/>
              <w:left w:val="nil"/>
              <w:bottom w:val="single" w:sz="4" w:space="0" w:color="auto"/>
              <w:right w:val="nil"/>
            </w:tcBorders>
            <w:shd w:val="clear" w:color="000000" w:fill="D9D9D9"/>
            <w:noWrap/>
            <w:tcMar>
              <w:top w:w="15" w:type="dxa"/>
              <w:left w:w="15" w:type="dxa"/>
              <w:bottom w:w="0" w:type="dxa"/>
              <w:right w:w="15" w:type="dxa"/>
            </w:tcMar>
            <w:vAlign w:val="bottom"/>
            <w:hideMark/>
          </w:tcPr>
          <w:p w14:paraId="1D3C8948" w14:textId="77777777" w:rsidR="0061017A" w:rsidRDefault="0061017A" w:rsidP="0061017A">
            <w:pPr>
              <w:spacing w:after="0"/>
              <w:jc w:val="right"/>
              <w:rPr>
                <w:rFonts w:ascii="Arial" w:hAnsi="Arial" w:cs="Arial"/>
                <w:b/>
                <w:bCs/>
                <w:sz w:val="16"/>
                <w:szCs w:val="16"/>
              </w:rPr>
            </w:pPr>
            <w:r>
              <w:rPr>
                <w:rFonts w:ascii="Arial" w:hAnsi="Arial" w:cs="Arial"/>
                <w:b/>
                <w:bCs/>
                <w:sz w:val="16"/>
                <w:szCs w:val="16"/>
              </w:rPr>
              <w:t>55,684</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66B6121" w14:textId="77777777" w:rsidR="0061017A" w:rsidRDefault="0061017A" w:rsidP="0061017A">
            <w:pPr>
              <w:spacing w:after="0"/>
              <w:jc w:val="right"/>
              <w:rPr>
                <w:rFonts w:ascii="Arial" w:hAnsi="Arial" w:cs="Arial"/>
                <w:b/>
                <w:bCs/>
                <w:sz w:val="16"/>
                <w:szCs w:val="16"/>
              </w:rPr>
            </w:pPr>
            <w:r>
              <w:rPr>
                <w:rFonts w:ascii="Arial" w:hAnsi="Arial" w:cs="Arial"/>
                <w:b/>
                <w:bCs/>
                <w:sz w:val="16"/>
                <w:szCs w:val="16"/>
              </w:rPr>
              <w:t>58,572</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079FDE3" w14:textId="77777777" w:rsidR="0061017A" w:rsidRDefault="0061017A" w:rsidP="0061017A">
            <w:pPr>
              <w:spacing w:after="0"/>
              <w:jc w:val="right"/>
              <w:rPr>
                <w:rFonts w:ascii="Arial" w:hAnsi="Arial" w:cs="Arial"/>
                <w:b/>
                <w:bCs/>
                <w:sz w:val="16"/>
                <w:szCs w:val="16"/>
              </w:rPr>
            </w:pPr>
            <w:r>
              <w:rPr>
                <w:rFonts w:ascii="Arial" w:hAnsi="Arial" w:cs="Arial"/>
                <w:b/>
                <w:bCs/>
                <w:sz w:val="16"/>
                <w:szCs w:val="16"/>
              </w:rPr>
              <w:t>59,818</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30DD191" w14:textId="77777777" w:rsidR="0061017A" w:rsidRDefault="0061017A" w:rsidP="0061017A">
            <w:pPr>
              <w:spacing w:after="0"/>
              <w:jc w:val="right"/>
              <w:rPr>
                <w:rFonts w:ascii="Arial" w:hAnsi="Arial" w:cs="Arial"/>
                <w:b/>
                <w:bCs/>
                <w:sz w:val="16"/>
                <w:szCs w:val="16"/>
              </w:rPr>
            </w:pPr>
            <w:r>
              <w:rPr>
                <w:rFonts w:ascii="Arial" w:hAnsi="Arial" w:cs="Arial"/>
                <w:b/>
                <w:bCs/>
                <w:sz w:val="16"/>
                <w:szCs w:val="16"/>
              </w:rPr>
              <w:t>60,676</w:t>
            </w:r>
          </w:p>
        </w:tc>
      </w:tr>
      <w:tr w:rsidR="0061017A" w14:paraId="6178339A" w14:textId="77777777" w:rsidTr="003B64FF">
        <w:trPr>
          <w:trHeight w:val="283"/>
        </w:trPr>
        <w:tc>
          <w:tcPr>
            <w:tcW w:w="28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14AB4A37" w14:textId="77777777" w:rsidR="0061017A" w:rsidRDefault="0061017A" w:rsidP="0061017A">
            <w:pPr>
              <w:spacing w:after="0"/>
              <w:rPr>
                <w:rFonts w:ascii="Arial" w:hAnsi="Arial" w:cs="Arial"/>
                <w:b/>
                <w:bCs/>
                <w:sz w:val="16"/>
                <w:szCs w:val="16"/>
              </w:rPr>
            </w:pPr>
            <w:r>
              <w:rPr>
                <w:rFonts w:ascii="Arial" w:hAnsi="Arial" w:cs="Arial"/>
                <w:b/>
                <w:bCs/>
                <w:sz w:val="16"/>
                <w:szCs w:val="16"/>
              </w:rPr>
              <w:t>Total expenses for Outcome 1</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A4ADBDA" w14:textId="77777777" w:rsidR="0061017A" w:rsidRDefault="0061017A" w:rsidP="0061017A">
            <w:pPr>
              <w:spacing w:after="0"/>
              <w:jc w:val="right"/>
              <w:rPr>
                <w:rFonts w:ascii="Arial" w:hAnsi="Arial" w:cs="Arial"/>
                <w:b/>
                <w:bCs/>
                <w:color w:val="auto"/>
                <w:sz w:val="16"/>
                <w:szCs w:val="16"/>
              </w:rPr>
            </w:pPr>
            <w:r>
              <w:rPr>
                <w:rFonts w:ascii="Arial" w:hAnsi="Arial" w:cs="Arial"/>
                <w:b/>
                <w:bCs/>
                <w:sz w:val="16"/>
                <w:szCs w:val="16"/>
              </w:rPr>
              <w:t>53,837</w:t>
            </w:r>
          </w:p>
        </w:tc>
        <w:tc>
          <w:tcPr>
            <w:tcW w:w="90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74E0F2B0" w14:textId="77777777" w:rsidR="0061017A" w:rsidRDefault="0061017A" w:rsidP="0061017A">
            <w:pPr>
              <w:spacing w:after="0"/>
              <w:jc w:val="right"/>
              <w:rPr>
                <w:rFonts w:ascii="Arial" w:hAnsi="Arial" w:cs="Arial"/>
                <w:b/>
                <w:bCs/>
                <w:sz w:val="16"/>
                <w:szCs w:val="16"/>
              </w:rPr>
            </w:pPr>
            <w:r>
              <w:rPr>
                <w:rFonts w:ascii="Arial" w:hAnsi="Arial" w:cs="Arial"/>
                <w:b/>
                <w:bCs/>
                <w:sz w:val="16"/>
                <w:szCs w:val="16"/>
              </w:rPr>
              <w:t>55,684</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4CB487D" w14:textId="77777777" w:rsidR="0061017A" w:rsidRDefault="0061017A" w:rsidP="0061017A">
            <w:pPr>
              <w:spacing w:after="0"/>
              <w:jc w:val="right"/>
              <w:rPr>
                <w:rFonts w:ascii="Arial" w:hAnsi="Arial" w:cs="Arial"/>
                <w:b/>
                <w:bCs/>
                <w:sz w:val="16"/>
                <w:szCs w:val="16"/>
              </w:rPr>
            </w:pPr>
            <w:r>
              <w:rPr>
                <w:rFonts w:ascii="Arial" w:hAnsi="Arial" w:cs="Arial"/>
                <w:b/>
                <w:bCs/>
                <w:sz w:val="16"/>
                <w:szCs w:val="16"/>
              </w:rPr>
              <w:t>58,572</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35A8DBAC" w14:textId="77777777" w:rsidR="0061017A" w:rsidRDefault="0061017A" w:rsidP="0061017A">
            <w:pPr>
              <w:spacing w:after="0"/>
              <w:jc w:val="right"/>
              <w:rPr>
                <w:rFonts w:ascii="Arial" w:hAnsi="Arial" w:cs="Arial"/>
                <w:b/>
                <w:bCs/>
                <w:sz w:val="16"/>
                <w:szCs w:val="16"/>
              </w:rPr>
            </w:pPr>
            <w:r>
              <w:rPr>
                <w:rFonts w:ascii="Arial" w:hAnsi="Arial" w:cs="Arial"/>
                <w:b/>
                <w:bCs/>
                <w:sz w:val="16"/>
                <w:szCs w:val="16"/>
              </w:rPr>
              <w:t>59,818</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A001D7E" w14:textId="77777777" w:rsidR="0061017A" w:rsidRDefault="0061017A" w:rsidP="0061017A">
            <w:pPr>
              <w:spacing w:after="0"/>
              <w:jc w:val="right"/>
              <w:rPr>
                <w:rFonts w:ascii="Arial" w:hAnsi="Arial" w:cs="Arial"/>
                <w:b/>
                <w:bCs/>
                <w:sz w:val="16"/>
                <w:szCs w:val="16"/>
              </w:rPr>
            </w:pPr>
            <w:r>
              <w:rPr>
                <w:rFonts w:ascii="Arial" w:hAnsi="Arial" w:cs="Arial"/>
                <w:b/>
                <w:bCs/>
                <w:sz w:val="16"/>
                <w:szCs w:val="16"/>
              </w:rPr>
              <w:t>60,676</w:t>
            </w:r>
          </w:p>
        </w:tc>
      </w:tr>
      <w:tr w:rsidR="0061017A" w14:paraId="5A93EBBD" w14:textId="77777777" w:rsidTr="0061017A">
        <w:trPr>
          <w:trHeight w:val="225"/>
        </w:trPr>
        <w:tc>
          <w:tcPr>
            <w:tcW w:w="2860" w:type="dxa"/>
            <w:tcBorders>
              <w:top w:val="nil"/>
              <w:left w:val="nil"/>
              <w:bottom w:val="nil"/>
              <w:right w:val="nil"/>
            </w:tcBorders>
            <w:shd w:val="clear" w:color="auto" w:fill="auto"/>
            <w:noWrap/>
            <w:tcMar>
              <w:top w:w="15" w:type="dxa"/>
              <w:left w:w="135" w:type="dxa"/>
              <w:bottom w:w="0" w:type="dxa"/>
              <w:right w:w="15" w:type="dxa"/>
            </w:tcMar>
            <w:vAlign w:val="bottom"/>
            <w:hideMark/>
          </w:tcPr>
          <w:p w14:paraId="5B608A10" w14:textId="77777777" w:rsidR="0061017A" w:rsidRDefault="0061017A" w:rsidP="0061017A">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bottom"/>
            <w:hideMark/>
          </w:tcPr>
          <w:p w14:paraId="219D6FF7" w14:textId="77777777" w:rsidR="0061017A" w:rsidRDefault="0061017A" w:rsidP="0061017A">
            <w:pPr>
              <w:spacing w:after="0"/>
              <w:ind w:firstLineChars="100" w:firstLine="200"/>
              <w:rPr>
                <w:sz w:val="20"/>
              </w:rPr>
            </w:pPr>
          </w:p>
        </w:tc>
        <w:tc>
          <w:tcPr>
            <w:tcW w:w="90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FDD1CA4" w14:textId="77777777" w:rsidR="0061017A" w:rsidRDefault="0061017A" w:rsidP="0061017A">
            <w:pPr>
              <w:spacing w:after="0"/>
              <w:jc w:val="right"/>
              <w:rPr>
                <w:rFonts w:ascii="Arial" w:hAnsi="Arial" w:cs="Arial"/>
                <w:sz w:val="16"/>
                <w:szCs w:val="16"/>
              </w:rPr>
            </w:pPr>
            <w:r>
              <w:rPr>
                <w:rFonts w:ascii="Arial" w:hAnsi="Arial" w:cs="Arial"/>
                <w:sz w:val="16"/>
                <w:szCs w:val="16"/>
              </w:rPr>
              <w:t> </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50A0851C" w14:textId="77777777" w:rsidR="0061017A" w:rsidRDefault="0061017A" w:rsidP="0061017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391F7297" w14:textId="77777777" w:rsidR="0061017A" w:rsidRDefault="0061017A" w:rsidP="0061017A">
            <w:pPr>
              <w:spacing w:after="0"/>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067BE885" w14:textId="77777777" w:rsidR="0061017A" w:rsidRDefault="0061017A" w:rsidP="0061017A">
            <w:pPr>
              <w:spacing w:after="0"/>
              <w:rPr>
                <w:sz w:val="20"/>
              </w:rPr>
            </w:pPr>
          </w:p>
        </w:tc>
      </w:tr>
      <w:tr w:rsidR="0061017A" w14:paraId="7BF0676D" w14:textId="77777777" w:rsidTr="0061017A">
        <w:trPr>
          <w:trHeight w:val="225"/>
        </w:trPr>
        <w:tc>
          <w:tcPr>
            <w:tcW w:w="286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77C79F0D" w14:textId="77777777" w:rsidR="0061017A" w:rsidRDefault="0061017A" w:rsidP="0061017A">
            <w:pPr>
              <w:spacing w:after="0"/>
              <w:rPr>
                <w:rFonts w:ascii="Arial" w:hAnsi="Arial" w:cs="Arial"/>
                <w:sz w:val="16"/>
                <w:szCs w:val="16"/>
              </w:rPr>
            </w:pPr>
            <w:r>
              <w:rPr>
                <w:rFonts w:ascii="Arial" w:hAnsi="Arial" w:cs="Arial"/>
                <w:sz w:val="16"/>
                <w:szCs w:val="16"/>
              </w:rPr>
              <w:t> </w:t>
            </w:r>
          </w:p>
        </w:tc>
        <w:tc>
          <w:tcPr>
            <w:tcW w:w="900" w:type="dxa"/>
            <w:tcBorders>
              <w:top w:val="single" w:sz="4" w:space="0" w:color="000000"/>
              <w:left w:val="nil"/>
              <w:bottom w:val="single" w:sz="4" w:space="0" w:color="000000"/>
              <w:right w:val="nil"/>
            </w:tcBorders>
            <w:shd w:val="clear" w:color="auto" w:fill="auto"/>
            <w:noWrap/>
            <w:tcMar>
              <w:top w:w="15" w:type="dxa"/>
              <w:left w:w="15" w:type="dxa"/>
              <w:bottom w:w="0" w:type="dxa"/>
              <w:right w:w="15" w:type="dxa"/>
            </w:tcMar>
            <w:vAlign w:val="bottom"/>
            <w:hideMark/>
          </w:tcPr>
          <w:p w14:paraId="402DBD6B" w14:textId="77777777" w:rsidR="0061017A" w:rsidRDefault="0061017A" w:rsidP="0061017A">
            <w:pPr>
              <w:spacing w:after="0"/>
              <w:jc w:val="right"/>
              <w:rPr>
                <w:rFonts w:ascii="Arial" w:hAnsi="Arial" w:cs="Arial"/>
                <w:b/>
                <w:bCs/>
                <w:color w:val="auto"/>
                <w:sz w:val="16"/>
                <w:szCs w:val="16"/>
              </w:rPr>
            </w:pPr>
            <w:r>
              <w:rPr>
                <w:rFonts w:ascii="Arial" w:hAnsi="Arial" w:cs="Arial"/>
                <w:b/>
                <w:bCs/>
                <w:sz w:val="16"/>
                <w:szCs w:val="16"/>
              </w:rPr>
              <w:t>2021–22</w:t>
            </w:r>
          </w:p>
        </w:tc>
        <w:tc>
          <w:tcPr>
            <w:tcW w:w="900" w:type="dxa"/>
            <w:tcBorders>
              <w:top w:val="single" w:sz="4" w:space="0" w:color="000000"/>
              <w:left w:val="nil"/>
              <w:bottom w:val="single" w:sz="4" w:space="0" w:color="000000"/>
              <w:right w:val="nil"/>
            </w:tcBorders>
            <w:shd w:val="clear" w:color="000000" w:fill="D9D9D9"/>
            <w:noWrap/>
            <w:tcMar>
              <w:top w:w="15" w:type="dxa"/>
              <w:left w:w="15" w:type="dxa"/>
              <w:bottom w:w="0" w:type="dxa"/>
              <w:right w:w="15" w:type="dxa"/>
            </w:tcMar>
            <w:vAlign w:val="bottom"/>
            <w:hideMark/>
          </w:tcPr>
          <w:p w14:paraId="35C889EA" w14:textId="77777777" w:rsidR="0061017A" w:rsidRDefault="0061017A" w:rsidP="0061017A">
            <w:pPr>
              <w:spacing w:after="0"/>
              <w:jc w:val="right"/>
              <w:rPr>
                <w:rFonts w:ascii="Arial" w:hAnsi="Arial" w:cs="Arial"/>
                <w:b/>
                <w:bCs/>
                <w:sz w:val="16"/>
                <w:szCs w:val="16"/>
              </w:rPr>
            </w:pPr>
            <w:r>
              <w:rPr>
                <w:rFonts w:ascii="Arial" w:hAnsi="Arial" w:cs="Arial"/>
                <w:b/>
                <w:bCs/>
                <w:sz w:val="16"/>
                <w:szCs w:val="16"/>
              </w:rPr>
              <w:t>2022–23</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695F99E4" w14:textId="77777777" w:rsidR="0061017A" w:rsidRDefault="0061017A" w:rsidP="0061017A">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139FAF66" w14:textId="77777777" w:rsidR="0061017A" w:rsidRDefault="0061017A" w:rsidP="0061017A">
            <w:pPr>
              <w:spacing w:after="0"/>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7018A149" w14:textId="77777777" w:rsidR="0061017A" w:rsidRDefault="0061017A" w:rsidP="0061017A">
            <w:pPr>
              <w:spacing w:after="0"/>
              <w:rPr>
                <w:sz w:val="20"/>
              </w:rPr>
            </w:pPr>
          </w:p>
        </w:tc>
      </w:tr>
      <w:tr w:rsidR="0061017A" w14:paraId="5CF42A82" w14:textId="77777777" w:rsidTr="0061017A">
        <w:trPr>
          <w:trHeight w:val="225"/>
        </w:trPr>
        <w:tc>
          <w:tcPr>
            <w:tcW w:w="28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50BCAED1" w14:textId="77777777" w:rsidR="0061017A" w:rsidRDefault="0061017A" w:rsidP="0061017A">
            <w:pPr>
              <w:spacing w:after="0"/>
              <w:rPr>
                <w:rFonts w:ascii="Arial" w:hAnsi="Arial" w:cs="Arial"/>
                <w:b/>
                <w:bCs/>
                <w:sz w:val="16"/>
                <w:szCs w:val="16"/>
              </w:rPr>
            </w:pPr>
            <w:r>
              <w:rPr>
                <w:rFonts w:ascii="Arial" w:hAnsi="Arial" w:cs="Arial"/>
                <w:b/>
                <w:bCs/>
                <w:sz w:val="16"/>
                <w:szCs w:val="16"/>
              </w:rPr>
              <w:t>Average staffing level (number)</w:t>
            </w:r>
          </w:p>
        </w:tc>
        <w:tc>
          <w:tcPr>
            <w:tcW w:w="9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18B6941" w14:textId="77777777" w:rsidR="0061017A" w:rsidRDefault="0061017A" w:rsidP="0061017A">
            <w:pPr>
              <w:spacing w:after="0"/>
              <w:jc w:val="right"/>
              <w:rPr>
                <w:rFonts w:ascii="Arial" w:hAnsi="Arial" w:cs="Arial"/>
                <w:sz w:val="16"/>
                <w:szCs w:val="16"/>
              </w:rPr>
            </w:pPr>
            <w:r>
              <w:rPr>
                <w:rFonts w:ascii="Arial" w:hAnsi="Arial" w:cs="Arial"/>
                <w:sz w:val="16"/>
                <w:szCs w:val="16"/>
              </w:rPr>
              <w:t>23</w:t>
            </w:r>
          </w:p>
        </w:tc>
        <w:tc>
          <w:tcPr>
            <w:tcW w:w="900" w:type="dxa"/>
            <w:tcBorders>
              <w:top w:val="nil"/>
              <w:left w:val="nil"/>
              <w:bottom w:val="single" w:sz="4" w:space="0" w:color="auto"/>
              <w:right w:val="nil"/>
            </w:tcBorders>
            <w:shd w:val="clear" w:color="000000" w:fill="D9D9D9"/>
            <w:noWrap/>
            <w:tcMar>
              <w:top w:w="15" w:type="dxa"/>
              <w:left w:w="15" w:type="dxa"/>
              <w:bottom w:w="0" w:type="dxa"/>
              <w:right w:w="15" w:type="dxa"/>
            </w:tcMar>
            <w:vAlign w:val="bottom"/>
            <w:hideMark/>
          </w:tcPr>
          <w:p w14:paraId="0C51E0F2" w14:textId="77777777" w:rsidR="0061017A" w:rsidRDefault="0061017A" w:rsidP="0061017A">
            <w:pPr>
              <w:spacing w:after="0"/>
              <w:jc w:val="right"/>
              <w:rPr>
                <w:rFonts w:ascii="Arial" w:hAnsi="Arial" w:cs="Arial"/>
                <w:sz w:val="16"/>
                <w:szCs w:val="16"/>
              </w:rPr>
            </w:pPr>
            <w:r>
              <w:rPr>
                <w:rFonts w:ascii="Arial" w:hAnsi="Arial" w:cs="Arial"/>
                <w:sz w:val="16"/>
                <w:szCs w:val="16"/>
              </w:rPr>
              <w:t>30</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3C2F60FB" w14:textId="77777777" w:rsidR="0061017A" w:rsidRDefault="0061017A" w:rsidP="0061017A">
            <w:pPr>
              <w:spacing w:after="0"/>
              <w:jc w:val="right"/>
              <w:rPr>
                <w:rFonts w:ascii="Arial" w:hAnsi="Arial" w:cs="Arial"/>
                <w:sz w:val="16"/>
                <w:szCs w:val="16"/>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00A85873" w14:textId="77777777" w:rsidR="0061017A" w:rsidRDefault="0061017A" w:rsidP="0061017A">
            <w:pPr>
              <w:spacing w:after="0"/>
              <w:rPr>
                <w:sz w:val="20"/>
              </w:rPr>
            </w:pP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14:paraId="5555F065" w14:textId="77777777" w:rsidR="0061017A" w:rsidRDefault="0061017A" w:rsidP="0061017A">
            <w:pPr>
              <w:spacing w:after="0"/>
              <w:rPr>
                <w:sz w:val="20"/>
              </w:rPr>
            </w:pPr>
          </w:p>
        </w:tc>
      </w:tr>
    </w:tbl>
    <w:p w14:paraId="5A3777DC" w14:textId="01D9ECF8" w:rsidR="00432E1C" w:rsidRPr="00432E1C" w:rsidRDefault="00432E1C" w:rsidP="00432E1C">
      <w:pPr>
        <w:pStyle w:val="FootnoteText"/>
        <w:spacing w:before="120"/>
      </w:pPr>
      <w:r w:rsidRPr="00432E1C">
        <w:rPr>
          <w:vertAlign w:val="superscript"/>
        </w:rPr>
        <w:t>(a)</w:t>
      </w:r>
      <w:r>
        <w:rPr>
          <w:vertAlign w:val="superscript"/>
        </w:rPr>
        <w:tab/>
      </w:r>
      <w:r w:rsidRPr="00432E1C">
        <w:t>Appropriation Bill (No. 1) 2022–23.</w:t>
      </w:r>
    </w:p>
    <w:p w14:paraId="1CFE2C29" w14:textId="0D589C63" w:rsidR="00432E1C" w:rsidRPr="00432E1C" w:rsidRDefault="00432E1C" w:rsidP="00432E1C">
      <w:pPr>
        <w:pStyle w:val="FootnoteText"/>
      </w:pPr>
      <w:r w:rsidRPr="00432E1C">
        <w:rPr>
          <w:vertAlign w:val="superscript"/>
        </w:rPr>
        <w:t>(b)</w:t>
      </w:r>
      <w:r>
        <w:rPr>
          <w:vertAlign w:val="superscript"/>
        </w:rPr>
        <w:tab/>
      </w:r>
      <w:r w:rsidRPr="00432E1C">
        <w:t>Departmental appropriation combines 'Ordinary annual services Appropriation Bill (No. 1)' and 'Revenue from independent sources (s74)'.</w:t>
      </w:r>
    </w:p>
    <w:p w14:paraId="016653E8" w14:textId="77AE1830" w:rsidR="00BC0659" w:rsidRDefault="00432E1C" w:rsidP="00F451D3">
      <w:pPr>
        <w:pStyle w:val="FootnoteText"/>
      </w:pPr>
      <w:r w:rsidRPr="00432E1C">
        <w:rPr>
          <w:vertAlign w:val="superscript"/>
        </w:rPr>
        <w:t>(c)</w:t>
      </w:r>
      <w:r>
        <w:rPr>
          <w:vertAlign w:val="superscript"/>
        </w:rPr>
        <w:tab/>
      </w:r>
      <w:r w:rsidRPr="00432E1C">
        <w:t>Expenses not requiring appropriation in the Budget year are ma</w:t>
      </w:r>
      <w:r w:rsidR="00F451D3">
        <w:t xml:space="preserve">de up of depreciation expense, </w:t>
      </w:r>
      <w:r w:rsidRPr="00432E1C">
        <w:t xml:space="preserve">amortisation expense, </w:t>
      </w:r>
      <w:proofErr w:type="spellStart"/>
      <w:r w:rsidRPr="00432E1C">
        <w:t>makegood</w:t>
      </w:r>
      <w:proofErr w:type="spellEnd"/>
      <w:r w:rsidRPr="00432E1C">
        <w:t xml:space="preserve"> expense and audit fees.</w:t>
      </w:r>
    </w:p>
    <w:p w14:paraId="79392163" w14:textId="035EE499" w:rsidR="00BC0659" w:rsidRPr="00113191" w:rsidRDefault="00BC0659" w:rsidP="00CE2D18">
      <w:pPr>
        <w:pStyle w:val="FootnoteText"/>
        <w:rPr>
          <w:rFonts w:ascii="Book Antiqua" w:hAnsi="Book Antiqua"/>
        </w:rPr>
      </w:pPr>
      <w:r w:rsidRPr="00113191">
        <w:rPr>
          <w:rFonts w:ascii="Book Antiqua" w:hAnsi="Book Antiqua"/>
        </w:rPr>
        <w:br w:type="page"/>
      </w:r>
    </w:p>
    <w:p w14:paraId="1FC2DC89" w14:textId="02AB06E3" w:rsidR="00BC0659" w:rsidRPr="00D2378E" w:rsidRDefault="00BC0659" w:rsidP="00BC0659">
      <w:pPr>
        <w:pStyle w:val="Heading4"/>
        <w:rPr>
          <w:color w:val="000000" w:themeColor="text1"/>
          <w:sz w:val="22"/>
        </w:rPr>
      </w:pPr>
      <w:r w:rsidRPr="00D2378E">
        <w:rPr>
          <w:color w:val="000000" w:themeColor="text1"/>
          <w:sz w:val="22"/>
        </w:rPr>
        <w:lastRenderedPageBreak/>
        <w:t xml:space="preserve">Performance </w:t>
      </w:r>
      <w:r w:rsidR="0070001C">
        <w:rPr>
          <w:color w:val="000000" w:themeColor="text1"/>
          <w:sz w:val="22"/>
        </w:rPr>
        <w:t>measures for</w:t>
      </w:r>
      <w:r w:rsidR="0046604A" w:rsidRPr="00D2378E">
        <w:rPr>
          <w:color w:val="000000" w:themeColor="text1"/>
          <w:sz w:val="22"/>
        </w:rPr>
        <w:t xml:space="preserve"> Outcome 1</w:t>
      </w:r>
    </w:p>
    <w:p w14:paraId="6C223EE6" w14:textId="77777777" w:rsidR="0046604A" w:rsidRPr="0046604A" w:rsidRDefault="0046604A" w:rsidP="0046604A">
      <w:pPr>
        <w:rPr>
          <w:color w:val="auto"/>
          <w:szCs w:val="19"/>
        </w:rPr>
      </w:pPr>
      <w:r w:rsidRPr="0046604A">
        <w:rPr>
          <w:szCs w:val="19"/>
        </w:rPr>
        <w:t>Table 2.1.2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p w14:paraId="5829CCF8" w14:textId="5AB599F4" w:rsidR="00BC0659" w:rsidRPr="00EE76CA" w:rsidRDefault="00BC0659" w:rsidP="00BC0659">
      <w:pPr>
        <w:pStyle w:val="Tablenumberandreference"/>
        <w:rPr>
          <w:color w:val="000000" w:themeColor="text1"/>
        </w:rPr>
      </w:pPr>
      <w:r w:rsidRPr="00EE76CA">
        <w:rPr>
          <w:color w:val="000000" w:themeColor="text1"/>
        </w:rPr>
        <w:t xml:space="preserve">Table 2.1.2: Performance </w:t>
      </w:r>
      <w:r w:rsidR="0046604A">
        <w:rPr>
          <w:color w:val="000000" w:themeColor="text1"/>
        </w:rPr>
        <w:t>m</w:t>
      </w:r>
      <w:r w:rsidR="00CF2E99" w:rsidRPr="00EE76CA">
        <w:rPr>
          <w:color w:val="000000" w:themeColor="text1"/>
        </w:rPr>
        <w:t>easure</w:t>
      </w:r>
      <w:r w:rsidR="00F4035F" w:rsidRPr="00EE76CA">
        <w:rPr>
          <w:color w:val="000000" w:themeColor="text1"/>
        </w:rPr>
        <w:t>s</w:t>
      </w:r>
      <w:r w:rsidRPr="00EE76CA">
        <w:rPr>
          <w:color w:val="000000" w:themeColor="text1"/>
        </w:rPr>
        <w:t xml:space="preserve"> for the </w:t>
      </w:r>
      <w:r w:rsidR="00CF2E99" w:rsidRPr="00EE76CA">
        <w:rPr>
          <w:color w:val="000000" w:themeColor="text1"/>
        </w:rPr>
        <w:t>OTA</w:t>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OTA"/>
        <w:tblDescription w:val="This table outlines the OTA's Outcome 1 outcome statement, Program 1.1's objective and the key activities for Program 1.1. It also includes 1 performance measure for Program 1.1, with an expected performance result for 2021-22, and planned performance results for 2022-23 and the forward estimates"/>
      </w:tblPr>
      <w:tblGrid>
        <w:gridCol w:w="7410"/>
      </w:tblGrid>
      <w:tr w:rsidR="00EE76CA" w:rsidRPr="00EE76CA" w14:paraId="30C22AEE" w14:textId="77777777" w:rsidTr="00210F0B">
        <w:trPr>
          <w:jc w:val="center"/>
        </w:trPr>
        <w:tc>
          <w:tcPr>
            <w:tcW w:w="5000" w:type="pct"/>
            <w:shd w:val="clear" w:color="auto" w:fill="D9D9D9" w:themeFill="background1" w:themeFillShade="D9"/>
            <w:tcMar>
              <w:left w:w="85" w:type="dxa"/>
            </w:tcMar>
            <w:vAlign w:val="center"/>
          </w:tcPr>
          <w:p w14:paraId="56A91CC9" w14:textId="3D124157" w:rsidR="00A56552" w:rsidRPr="00D2378E" w:rsidRDefault="00BC0659" w:rsidP="0071631F">
            <w:pPr>
              <w:pStyle w:val="Tableheadingrow9pt"/>
              <w:rPr>
                <w:color w:val="000000" w:themeColor="text1"/>
              </w:rPr>
            </w:pPr>
            <w:r w:rsidRPr="00D2378E">
              <w:rPr>
                <w:color w:val="000000" w:themeColor="text1"/>
              </w:rPr>
              <w:t>Outcome 1</w:t>
            </w:r>
          </w:p>
        </w:tc>
      </w:tr>
      <w:tr w:rsidR="00EE76CA" w:rsidRPr="00EE76CA" w14:paraId="23E56AC1" w14:textId="77777777" w:rsidTr="0052128F">
        <w:trPr>
          <w:jc w:val="center"/>
        </w:trPr>
        <w:tc>
          <w:tcPr>
            <w:tcW w:w="5000" w:type="pct"/>
            <w:shd w:val="clear" w:color="auto" w:fill="auto"/>
            <w:tcMar>
              <w:left w:w="85" w:type="dxa"/>
            </w:tcMar>
          </w:tcPr>
          <w:p w14:paraId="23F5B31F" w14:textId="77777777" w:rsidR="00BC0659" w:rsidRPr="00D2378E" w:rsidRDefault="00CF2E99" w:rsidP="0052128F">
            <w:pPr>
              <w:pStyle w:val="Tabletextnormal9pt"/>
              <w:rPr>
                <w:rFonts w:eastAsiaTheme="minorEastAsia"/>
                <w:color w:val="000000" w:themeColor="text1"/>
              </w:rPr>
            </w:pPr>
            <w:r w:rsidRPr="00D2378E">
              <w:rPr>
                <w:rFonts w:eastAsiaTheme="minorEastAsia"/>
                <w:color w:val="000000" w:themeColor="text1"/>
              </w:rPr>
              <w:t>Improved access to organ and tissue transplants, including through a nationally coordinated and consistent approach and system.</w:t>
            </w:r>
          </w:p>
        </w:tc>
      </w:tr>
      <w:tr w:rsidR="00EE76CA" w:rsidRPr="00EE76CA" w14:paraId="4E0D0F32" w14:textId="77777777" w:rsidTr="0052128F">
        <w:trPr>
          <w:jc w:val="center"/>
        </w:trPr>
        <w:tc>
          <w:tcPr>
            <w:tcW w:w="5000" w:type="pct"/>
            <w:shd w:val="clear" w:color="auto" w:fill="D9D9D9" w:themeFill="background1" w:themeFillShade="D9"/>
            <w:tcMar>
              <w:left w:w="85" w:type="dxa"/>
            </w:tcMar>
          </w:tcPr>
          <w:p w14:paraId="333D3452" w14:textId="6EF6EBE4" w:rsidR="00A56552" w:rsidRPr="00D2378E" w:rsidRDefault="00BC0659" w:rsidP="00BC2D80">
            <w:pPr>
              <w:pStyle w:val="Tableheadingrow9pt"/>
              <w:rPr>
                <w:color w:val="000000" w:themeColor="text1"/>
              </w:rPr>
            </w:pPr>
            <w:r w:rsidRPr="00D2378E">
              <w:rPr>
                <w:color w:val="000000" w:themeColor="text1"/>
              </w:rPr>
              <w:t xml:space="preserve">Program Objective – Program 1.1: </w:t>
            </w:r>
            <w:r w:rsidR="00CF2E99" w:rsidRPr="00D2378E">
              <w:rPr>
                <w:color w:val="000000" w:themeColor="text1"/>
              </w:rPr>
              <w:t>A Nationally Coordinated System for Organ and Tissue Donation for Transplantation</w:t>
            </w:r>
          </w:p>
        </w:tc>
      </w:tr>
      <w:tr w:rsidR="00EE76CA" w:rsidRPr="00EE76CA" w14:paraId="14982E3E" w14:textId="77777777" w:rsidTr="0052128F">
        <w:trPr>
          <w:jc w:val="center"/>
        </w:trPr>
        <w:tc>
          <w:tcPr>
            <w:tcW w:w="5000" w:type="pct"/>
            <w:shd w:val="clear" w:color="auto" w:fill="auto"/>
            <w:tcMar>
              <w:left w:w="85" w:type="dxa"/>
            </w:tcMar>
          </w:tcPr>
          <w:p w14:paraId="660CD019" w14:textId="347A3BDA" w:rsidR="00BC0659" w:rsidRPr="00D2378E" w:rsidRDefault="0071631F" w:rsidP="00117748">
            <w:pPr>
              <w:pStyle w:val="Tabletextnormal9pt"/>
              <w:rPr>
                <w:rFonts w:eastAsiaTheme="minorEastAsia"/>
                <w:color w:val="000000" w:themeColor="text1"/>
              </w:rPr>
            </w:pPr>
            <w:r w:rsidRPr="00D2378E">
              <w:rPr>
                <w:rFonts w:eastAsiaTheme="minorEastAsia"/>
                <w:color w:val="000000" w:themeColor="text1"/>
              </w:rPr>
              <w:t>Lead the delivery of national systems and processes, and continue to raise community awareness to increase donation and transplantation in collaboration with the DonateLife Network, state and territory governments, the broader donation and transplant sectors, eye and tissue sectors, hospitals, and the community.</w:t>
            </w:r>
          </w:p>
        </w:tc>
      </w:tr>
      <w:tr w:rsidR="00EE76CA" w:rsidRPr="00EE76CA" w14:paraId="111E4869" w14:textId="77777777" w:rsidTr="0052128F">
        <w:trPr>
          <w:jc w:val="center"/>
        </w:trPr>
        <w:tc>
          <w:tcPr>
            <w:tcW w:w="5000" w:type="pct"/>
            <w:shd w:val="clear" w:color="auto" w:fill="D9D9D9" w:themeFill="background1" w:themeFillShade="D9"/>
            <w:tcMar>
              <w:left w:w="85" w:type="dxa"/>
            </w:tcMar>
            <w:vAlign w:val="center"/>
          </w:tcPr>
          <w:p w14:paraId="2D32CE3A" w14:textId="2BF49AB3" w:rsidR="00A56552" w:rsidRPr="00D2378E" w:rsidRDefault="00005E03" w:rsidP="0071631F">
            <w:pPr>
              <w:pStyle w:val="Tableheadingrow9pt"/>
              <w:rPr>
                <w:color w:val="000000" w:themeColor="text1"/>
              </w:rPr>
            </w:pPr>
            <w:r w:rsidRPr="00D2378E">
              <w:rPr>
                <w:color w:val="000000" w:themeColor="text1"/>
              </w:rPr>
              <w:t>Key Activities</w:t>
            </w:r>
          </w:p>
        </w:tc>
      </w:tr>
      <w:tr w:rsidR="00BC0659" w:rsidRPr="00EE76CA" w14:paraId="54135C7E" w14:textId="77777777" w:rsidTr="000459A6">
        <w:trPr>
          <w:trHeight w:val="880"/>
          <w:jc w:val="center"/>
        </w:trPr>
        <w:tc>
          <w:tcPr>
            <w:tcW w:w="5000" w:type="pct"/>
            <w:tcBorders>
              <w:bottom w:val="single" w:sz="4" w:space="0" w:color="auto"/>
            </w:tcBorders>
            <w:shd w:val="clear" w:color="auto" w:fill="auto"/>
            <w:tcMar>
              <w:left w:w="85" w:type="dxa"/>
            </w:tcMar>
          </w:tcPr>
          <w:p w14:paraId="54676B4F" w14:textId="77777777" w:rsidR="009D75C1" w:rsidRPr="00D2378E" w:rsidRDefault="009D75C1" w:rsidP="005545FC">
            <w:pPr>
              <w:spacing w:before="40" w:after="40"/>
              <w:rPr>
                <w:rFonts w:ascii="Arial" w:eastAsiaTheme="minorEastAsia" w:hAnsi="Arial" w:cs="Arial"/>
                <w:b/>
                <w:color w:val="000000" w:themeColor="text1"/>
                <w:sz w:val="18"/>
                <w:szCs w:val="18"/>
              </w:rPr>
            </w:pPr>
            <w:r w:rsidRPr="00D2378E">
              <w:rPr>
                <w:rFonts w:ascii="Arial" w:eastAsiaTheme="minorEastAsia" w:hAnsi="Arial" w:cs="Arial"/>
                <w:b/>
                <w:color w:val="000000" w:themeColor="text1"/>
                <w:sz w:val="18"/>
                <w:szCs w:val="18"/>
              </w:rPr>
              <w:t>Build support: More people say yes to donation</w:t>
            </w:r>
          </w:p>
          <w:p w14:paraId="1E8C9DDA" w14:textId="41A17A41" w:rsidR="009D75C1" w:rsidRPr="00D2378E" w:rsidRDefault="009D75C1" w:rsidP="00BD30AA">
            <w:pPr>
              <w:pStyle w:val="ListParagraph"/>
              <w:numPr>
                <w:ilvl w:val="0"/>
                <w:numId w:val="17"/>
              </w:numPr>
              <w:spacing w:before="40" w:after="40"/>
              <w:ind w:left="340" w:hanging="340"/>
              <w:contextualSpacing w:val="0"/>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Sustained community support for donation is crucial to improving donation outcomes in Australia. Donation is only possible through the generosity of individuals and their families who say yes to donation</w:t>
            </w:r>
            <w:r w:rsidR="00BC526D" w:rsidRPr="00D2378E">
              <w:rPr>
                <w:rFonts w:ascii="Arial" w:eastAsiaTheme="minorEastAsia" w:hAnsi="Arial" w:cs="Arial"/>
                <w:color w:val="000000" w:themeColor="text1"/>
                <w:sz w:val="18"/>
                <w:szCs w:val="18"/>
              </w:rPr>
              <w:t>,</w:t>
            </w:r>
            <w:r w:rsidRPr="00D2378E">
              <w:rPr>
                <w:rFonts w:ascii="Arial" w:eastAsiaTheme="minorEastAsia" w:hAnsi="Arial" w:cs="Arial"/>
                <w:color w:val="000000" w:themeColor="text1"/>
                <w:sz w:val="18"/>
                <w:szCs w:val="18"/>
              </w:rPr>
              <w:t xml:space="preserve"> to save and transform the lives of others. We aim to:</w:t>
            </w:r>
          </w:p>
          <w:p w14:paraId="13907A1B" w14:textId="4E4C8E30" w:rsidR="009D75C1" w:rsidRPr="00D2378E" w:rsidRDefault="005545FC" w:rsidP="00BD30AA">
            <w:pPr>
              <w:pStyle w:val="ListParagraph"/>
              <w:numPr>
                <w:ilvl w:val="0"/>
                <w:numId w:val="22"/>
              </w:numPr>
              <w:ind w:left="714" w:hanging="357"/>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r</w:t>
            </w:r>
            <w:r w:rsidR="009D75C1" w:rsidRPr="00D2378E">
              <w:rPr>
                <w:rFonts w:ascii="Arial" w:eastAsiaTheme="minorEastAsia" w:hAnsi="Arial" w:cs="Arial"/>
                <w:color w:val="000000" w:themeColor="text1"/>
                <w:sz w:val="18"/>
                <w:szCs w:val="18"/>
              </w:rPr>
              <w:t>aise awareness</w:t>
            </w:r>
          </w:p>
          <w:p w14:paraId="28A92358" w14:textId="40CFCB44" w:rsidR="009D75C1" w:rsidRPr="00D2378E" w:rsidRDefault="005545FC" w:rsidP="009D75C1">
            <w:pPr>
              <w:pStyle w:val="ListParagraph"/>
              <w:numPr>
                <w:ilvl w:val="0"/>
                <w:numId w:val="22"/>
              </w:numPr>
              <w:ind w:left="714" w:hanging="357"/>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i</w:t>
            </w:r>
            <w:r w:rsidR="009D75C1" w:rsidRPr="00D2378E">
              <w:rPr>
                <w:rFonts w:ascii="Arial" w:eastAsiaTheme="minorEastAsia" w:hAnsi="Arial" w:cs="Arial"/>
                <w:color w:val="000000" w:themeColor="text1"/>
                <w:sz w:val="18"/>
                <w:szCs w:val="18"/>
              </w:rPr>
              <w:t>ncrease family discussion</w:t>
            </w:r>
          </w:p>
          <w:p w14:paraId="7BBDB005" w14:textId="60BBA7A0" w:rsidR="009D75C1" w:rsidRPr="00D2378E" w:rsidRDefault="005545FC" w:rsidP="00BD30AA">
            <w:pPr>
              <w:pStyle w:val="ListParagraph"/>
              <w:numPr>
                <w:ilvl w:val="0"/>
                <w:numId w:val="22"/>
              </w:numPr>
              <w:ind w:left="714" w:hanging="357"/>
              <w:contextualSpacing w:val="0"/>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i</w:t>
            </w:r>
            <w:r w:rsidR="009D75C1" w:rsidRPr="00D2378E">
              <w:rPr>
                <w:rFonts w:ascii="Arial" w:eastAsiaTheme="minorEastAsia" w:hAnsi="Arial" w:cs="Arial"/>
                <w:color w:val="000000" w:themeColor="text1"/>
                <w:sz w:val="18"/>
                <w:szCs w:val="18"/>
              </w:rPr>
              <w:t>ncrease registration</w:t>
            </w:r>
          </w:p>
          <w:p w14:paraId="3716B3D7" w14:textId="77777777" w:rsidR="009D75C1" w:rsidRPr="00D2378E" w:rsidRDefault="009D75C1" w:rsidP="009D75C1">
            <w:pPr>
              <w:spacing w:before="40" w:after="40"/>
              <w:rPr>
                <w:rFonts w:ascii="Arial" w:eastAsiaTheme="minorEastAsia" w:hAnsi="Arial" w:cs="Arial"/>
                <w:b/>
                <w:color w:val="000000" w:themeColor="text1"/>
                <w:sz w:val="18"/>
                <w:szCs w:val="18"/>
              </w:rPr>
            </w:pPr>
            <w:r w:rsidRPr="00D2378E">
              <w:rPr>
                <w:rFonts w:ascii="Arial" w:eastAsiaTheme="minorEastAsia" w:hAnsi="Arial" w:cs="Arial"/>
                <w:b/>
                <w:color w:val="000000" w:themeColor="text1"/>
                <w:sz w:val="18"/>
                <w:szCs w:val="18"/>
              </w:rPr>
              <w:t>Optimise opportunities: Donation and transplantation services deliver the best outcomes</w:t>
            </w:r>
          </w:p>
          <w:p w14:paraId="7CFE1B0A" w14:textId="77777777" w:rsidR="009D75C1" w:rsidRPr="00D2378E" w:rsidRDefault="009D75C1" w:rsidP="00BD30AA">
            <w:pPr>
              <w:pStyle w:val="ListParagraph"/>
              <w:numPr>
                <w:ilvl w:val="0"/>
                <w:numId w:val="17"/>
              </w:numPr>
              <w:spacing w:before="40" w:after="40"/>
              <w:ind w:left="340" w:hanging="340"/>
              <w:contextualSpacing w:val="0"/>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Only around 2% of deaths in hospital occur in a way that organ donation is medically possible, so every donation opportunity is precious. A national approach enables as many Australians as possible to have the opportunity to donate, so that more people have access to life-changing transplantation. We aim to:</w:t>
            </w:r>
          </w:p>
          <w:p w14:paraId="3B6049F7" w14:textId="079A7EBA" w:rsidR="009D75C1" w:rsidRPr="00D2378E" w:rsidRDefault="005545FC" w:rsidP="009D75C1">
            <w:pPr>
              <w:pStyle w:val="ListParagraph"/>
              <w:numPr>
                <w:ilvl w:val="0"/>
                <w:numId w:val="22"/>
              </w:numPr>
              <w:ind w:left="714" w:hanging="357"/>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i</w:t>
            </w:r>
            <w:r w:rsidR="009D75C1" w:rsidRPr="00D2378E">
              <w:rPr>
                <w:rFonts w:ascii="Arial" w:eastAsiaTheme="minorEastAsia" w:hAnsi="Arial" w:cs="Arial"/>
                <w:color w:val="000000" w:themeColor="text1"/>
                <w:sz w:val="18"/>
                <w:szCs w:val="18"/>
              </w:rPr>
              <w:t>dentify donors and increase consent</w:t>
            </w:r>
          </w:p>
          <w:p w14:paraId="780261F8" w14:textId="111A241B" w:rsidR="009D75C1" w:rsidRPr="00D2378E" w:rsidRDefault="005545FC" w:rsidP="009D75C1">
            <w:pPr>
              <w:pStyle w:val="ListParagraph"/>
              <w:numPr>
                <w:ilvl w:val="0"/>
                <w:numId w:val="22"/>
              </w:numPr>
              <w:ind w:left="714" w:hanging="357"/>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d</w:t>
            </w:r>
            <w:r w:rsidR="009D75C1" w:rsidRPr="00D2378E">
              <w:rPr>
                <w:rFonts w:ascii="Arial" w:eastAsiaTheme="minorEastAsia" w:hAnsi="Arial" w:cs="Arial"/>
                <w:color w:val="000000" w:themeColor="text1"/>
                <w:sz w:val="18"/>
                <w:szCs w:val="18"/>
              </w:rPr>
              <w:t>rive excellence in donation services</w:t>
            </w:r>
          </w:p>
          <w:p w14:paraId="0E754DC0" w14:textId="04886459" w:rsidR="009D75C1" w:rsidRPr="00D2378E" w:rsidRDefault="005545FC" w:rsidP="00BD30AA">
            <w:pPr>
              <w:pStyle w:val="ListParagraph"/>
              <w:numPr>
                <w:ilvl w:val="0"/>
                <w:numId w:val="22"/>
              </w:numPr>
              <w:ind w:left="714" w:hanging="357"/>
              <w:contextualSpacing w:val="0"/>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i</w:t>
            </w:r>
            <w:r w:rsidR="009D75C1" w:rsidRPr="00D2378E">
              <w:rPr>
                <w:rFonts w:ascii="Arial" w:eastAsiaTheme="minorEastAsia" w:hAnsi="Arial" w:cs="Arial"/>
                <w:color w:val="000000" w:themeColor="text1"/>
                <w:sz w:val="18"/>
                <w:szCs w:val="18"/>
              </w:rPr>
              <w:t>ncrease safe and equitable transplantation</w:t>
            </w:r>
          </w:p>
          <w:p w14:paraId="45346C88" w14:textId="77777777" w:rsidR="009D75C1" w:rsidRPr="00D2378E" w:rsidRDefault="009D75C1" w:rsidP="009D75C1">
            <w:pPr>
              <w:spacing w:before="40" w:after="40"/>
              <w:rPr>
                <w:rFonts w:ascii="Arial" w:eastAsiaTheme="minorEastAsia" w:hAnsi="Arial" w:cs="Arial"/>
                <w:b/>
                <w:color w:val="000000" w:themeColor="text1"/>
                <w:sz w:val="18"/>
                <w:szCs w:val="18"/>
              </w:rPr>
            </w:pPr>
            <w:r w:rsidRPr="00D2378E">
              <w:rPr>
                <w:rFonts w:ascii="Arial" w:eastAsiaTheme="minorEastAsia" w:hAnsi="Arial" w:cs="Arial"/>
                <w:b/>
                <w:color w:val="000000" w:themeColor="text1"/>
                <w:sz w:val="18"/>
                <w:szCs w:val="18"/>
              </w:rPr>
              <w:t>Enhance systems: Enable quality outcomes through information, technology and resources</w:t>
            </w:r>
          </w:p>
          <w:p w14:paraId="07347693" w14:textId="16DD70D6" w:rsidR="009D75C1" w:rsidRPr="00D2378E" w:rsidRDefault="009D75C1" w:rsidP="00BD30AA">
            <w:pPr>
              <w:pStyle w:val="ListParagraph"/>
              <w:numPr>
                <w:ilvl w:val="0"/>
                <w:numId w:val="17"/>
              </w:numPr>
              <w:spacing w:before="40" w:after="40"/>
              <w:ind w:left="340" w:hanging="340"/>
              <w:contextualSpacing w:val="0"/>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Underpinning a coordinated and consistent national approach is the effective use of enabling capability – information, technology, and resources – an essential part of achieving continuous improvements in clinical practice and community awareness.</w:t>
            </w:r>
            <w:r w:rsidR="005545FC" w:rsidRPr="00D2378E">
              <w:rPr>
                <w:rFonts w:ascii="Arial" w:eastAsiaTheme="minorEastAsia" w:hAnsi="Arial" w:cs="Arial"/>
                <w:color w:val="000000" w:themeColor="text1"/>
                <w:sz w:val="18"/>
                <w:szCs w:val="18"/>
              </w:rPr>
              <w:br/>
            </w:r>
            <w:r w:rsidRPr="00D2378E">
              <w:rPr>
                <w:rFonts w:ascii="Arial" w:eastAsiaTheme="minorEastAsia" w:hAnsi="Arial" w:cs="Arial"/>
                <w:color w:val="000000" w:themeColor="text1"/>
                <w:sz w:val="18"/>
                <w:szCs w:val="18"/>
              </w:rPr>
              <w:t>We aim to:</w:t>
            </w:r>
          </w:p>
          <w:p w14:paraId="02B59EBA" w14:textId="18452ED5" w:rsidR="009D75C1" w:rsidRPr="00D2378E" w:rsidRDefault="005545FC" w:rsidP="009D75C1">
            <w:pPr>
              <w:pStyle w:val="ListParagraph"/>
              <w:numPr>
                <w:ilvl w:val="0"/>
                <w:numId w:val="22"/>
              </w:numPr>
              <w:ind w:left="714" w:hanging="357"/>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m</w:t>
            </w:r>
            <w:r w:rsidR="009D75C1" w:rsidRPr="00D2378E">
              <w:rPr>
                <w:rFonts w:ascii="Arial" w:eastAsiaTheme="minorEastAsia" w:hAnsi="Arial" w:cs="Arial"/>
                <w:color w:val="000000" w:themeColor="text1"/>
                <w:sz w:val="18"/>
                <w:szCs w:val="18"/>
              </w:rPr>
              <w:t>onitor, collect, analyse and report national performance</w:t>
            </w:r>
          </w:p>
          <w:p w14:paraId="0C96F753" w14:textId="46E0A3E5" w:rsidR="009D75C1" w:rsidRPr="00D2378E" w:rsidRDefault="005545FC" w:rsidP="009D75C1">
            <w:pPr>
              <w:pStyle w:val="ListParagraph"/>
              <w:numPr>
                <w:ilvl w:val="0"/>
                <w:numId w:val="22"/>
              </w:numPr>
              <w:ind w:left="714" w:hanging="357"/>
              <w:rPr>
                <w:rFonts w:ascii="Arial" w:eastAsiaTheme="minorEastAsia" w:hAnsi="Arial" w:cs="Arial"/>
                <w:color w:val="000000" w:themeColor="text1"/>
                <w:sz w:val="18"/>
                <w:szCs w:val="18"/>
              </w:rPr>
            </w:pPr>
            <w:r w:rsidRPr="00D2378E">
              <w:rPr>
                <w:rFonts w:ascii="Arial" w:eastAsiaTheme="minorEastAsia" w:hAnsi="Arial" w:cs="Arial"/>
                <w:color w:val="000000" w:themeColor="text1"/>
                <w:sz w:val="18"/>
                <w:szCs w:val="18"/>
              </w:rPr>
              <w:t>a</w:t>
            </w:r>
            <w:r w:rsidR="009D75C1" w:rsidRPr="00D2378E">
              <w:rPr>
                <w:rFonts w:ascii="Arial" w:eastAsiaTheme="minorEastAsia" w:hAnsi="Arial" w:cs="Arial"/>
                <w:color w:val="000000" w:themeColor="text1"/>
                <w:sz w:val="18"/>
                <w:szCs w:val="18"/>
              </w:rPr>
              <w:t>dvance quality, safety and efficiency</w:t>
            </w:r>
          </w:p>
          <w:p w14:paraId="1265524F" w14:textId="5F89993C" w:rsidR="00773FAE" w:rsidRPr="00D2378E" w:rsidRDefault="005545FC" w:rsidP="00BD30AA">
            <w:pPr>
              <w:pStyle w:val="ListParagraph"/>
              <w:numPr>
                <w:ilvl w:val="0"/>
                <w:numId w:val="22"/>
              </w:numPr>
              <w:spacing w:after="40"/>
              <w:ind w:left="714" w:hanging="357"/>
              <w:contextualSpacing w:val="0"/>
              <w:rPr>
                <w:rFonts w:ascii="Arial" w:hAnsi="Arial" w:cs="Arial"/>
                <w:color w:val="000000" w:themeColor="text1"/>
                <w:sz w:val="18"/>
                <w:szCs w:val="18"/>
              </w:rPr>
            </w:pPr>
            <w:r w:rsidRPr="00D2378E">
              <w:rPr>
                <w:rFonts w:ascii="Arial" w:eastAsiaTheme="minorEastAsia" w:hAnsi="Arial" w:cs="Arial"/>
                <w:color w:val="000000" w:themeColor="text1"/>
                <w:sz w:val="18"/>
                <w:szCs w:val="18"/>
              </w:rPr>
              <w:t>s</w:t>
            </w:r>
            <w:r w:rsidR="009D75C1" w:rsidRPr="00D2378E">
              <w:rPr>
                <w:rFonts w:ascii="Arial" w:eastAsiaTheme="minorEastAsia" w:hAnsi="Arial" w:cs="Arial"/>
                <w:color w:val="000000" w:themeColor="text1"/>
                <w:sz w:val="18"/>
                <w:szCs w:val="18"/>
              </w:rPr>
              <w:t>ustain specialist resources</w:t>
            </w:r>
          </w:p>
        </w:tc>
      </w:tr>
    </w:tbl>
    <w:p w14:paraId="751CFDC8" w14:textId="77777777" w:rsidR="00A56552" w:rsidRDefault="00A56552">
      <w:r>
        <w:rPr>
          <w:b/>
        </w:rPr>
        <w:br w:type="page"/>
      </w:r>
    </w:p>
    <w:tbl>
      <w:tblPr>
        <w:tblStyle w:val="TableGrid"/>
        <w:tblW w:w="5034" w:type="pct"/>
        <w:jc w:val="center"/>
        <w:tblLayout w:type="fixed"/>
        <w:tblCellMar>
          <w:top w:w="28" w:type="dxa"/>
          <w:left w:w="85" w:type="dxa"/>
          <w:bottom w:w="28" w:type="dxa"/>
          <w:right w:w="85" w:type="dxa"/>
        </w:tblCellMar>
        <w:tblLook w:val="04A0" w:firstRow="1" w:lastRow="0" w:firstColumn="1" w:lastColumn="0" w:noHBand="0" w:noVBand="1"/>
        <w:tblCaption w:val="Table 2.1.2: Performance Measures for the OTA"/>
        <w:tblDescription w:val="This table outlines the OTA's Outcome 1 outcome statement, Program 1.1's objective and the key activities for Program 1.1. It also includes 1 performance measure for Program 1.1, with an expected performance result for 2021-22, and planned performance results for 2022-23 and the forward estimates"/>
      </w:tblPr>
      <w:tblGrid>
        <w:gridCol w:w="1594"/>
        <w:gridCol w:w="1445"/>
        <w:gridCol w:w="1463"/>
        <w:gridCol w:w="1448"/>
        <w:gridCol w:w="1460"/>
      </w:tblGrid>
      <w:tr w:rsidR="00EE76CA" w:rsidRPr="00EE76CA" w14:paraId="7F7ECEFC" w14:textId="77777777" w:rsidTr="0052128F">
        <w:trPr>
          <w:trHeight w:val="104"/>
          <w:tblHeader/>
          <w:jc w:val="center"/>
        </w:trPr>
        <w:tc>
          <w:tcPr>
            <w:tcW w:w="5000" w:type="pct"/>
            <w:gridSpan w:val="5"/>
            <w:shd w:val="clear" w:color="auto" w:fill="D9D9D9" w:themeFill="background1" w:themeFillShade="D9"/>
            <w:tcMar>
              <w:left w:w="85" w:type="dxa"/>
            </w:tcMar>
          </w:tcPr>
          <w:p w14:paraId="1D41C712" w14:textId="1D0688FD" w:rsidR="00A56552" w:rsidRPr="00EE76CA" w:rsidRDefault="00BC0659" w:rsidP="00BB331A">
            <w:pPr>
              <w:pStyle w:val="Tableheadingrow9pt"/>
              <w:keepNext/>
              <w:keepLines/>
              <w:rPr>
                <w:color w:val="000000" w:themeColor="text1"/>
              </w:rPr>
            </w:pPr>
            <w:r w:rsidRPr="00EE76CA">
              <w:rPr>
                <w:color w:val="000000" w:themeColor="text1"/>
              </w:rPr>
              <w:lastRenderedPageBreak/>
              <w:t xml:space="preserve">Performance </w:t>
            </w:r>
            <w:r w:rsidR="00CF2E99" w:rsidRPr="00EE76CA">
              <w:rPr>
                <w:color w:val="000000" w:themeColor="text1"/>
              </w:rPr>
              <w:t>Measure</w:t>
            </w:r>
            <w:r w:rsidR="000B033D" w:rsidRPr="00EE76CA">
              <w:rPr>
                <w:color w:val="000000" w:themeColor="text1"/>
              </w:rPr>
              <w:t>s</w:t>
            </w:r>
            <w:r w:rsidR="00E10372" w:rsidRPr="00EE76CA">
              <w:rPr>
                <w:rStyle w:val="FootnoteReference"/>
                <w:rFonts w:ascii="Arial Bold" w:hAnsi="Arial Bold"/>
                <w:color w:val="000000" w:themeColor="text1"/>
                <w:sz w:val="18"/>
              </w:rPr>
              <w:footnoteReference w:id="2"/>
            </w:r>
          </w:p>
        </w:tc>
      </w:tr>
      <w:tr w:rsidR="00EE76CA" w:rsidRPr="00EE76CA" w14:paraId="6CFEF16D" w14:textId="77777777" w:rsidTr="0052128F">
        <w:tblPrEx>
          <w:tblCellMar>
            <w:top w:w="0" w:type="dxa"/>
            <w:left w:w="108" w:type="dxa"/>
            <w:bottom w:w="0" w:type="dxa"/>
            <w:right w:w="108" w:type="dxa"/>
          </w:tblCellMar>
        </w:tblPrEx>
        <w:trPr>
          <w:trHeight w:val="70"/>
          <w:jc w:val="center"/>
        </w:trPr>
        <w:tc>
          <w:tcPr>
            <w:tcW w:w="5000" w:type="pct"/>
            <w:gridSpan w:val="5"/>
            <w:shd w:val="clear" w:color="auto" w:fill="D9D9D9" w:themeFill="background1" w:themeFillShade="D9"/>
            <w:tcMar>
              <w:left w:w="85" w:type="dxa"/>
            </w:tcMar>
            <w:vAlign w:val="center"/>
          </w:tcPr>
          <w:p w14:paraId="6B7AFF84" w14:textId="77777777" w:rsidR="00BB331A" w:rsidRPr="00D2378E" w:rsidRDefault="00BB331A" w:rsidP="00BB331A">
            <w:pPr>
              <w:pStyle w:val="Tableheadingrowmeasures85pt"/>
              <w:rPr>
                <w:color w:val="000000" w:themeColor="text1"/>
              </w:rPr>
            </w:pPr>
            <w:r w:rsidRPr="00D2378E">
              <w:rPr>
                <w:color w:val="000000" w:themeColor="text1"/>
              </w:rPr>
              <w:t>Donation rate</w:t>
            </w:r>
          </w:p>
          <w:p w14:paraId="68A96D54" w14:textId="51E7D693" w:rsidR="00BB331A" w:rsidRPr="00D2378E" w:rsidRDefault="00BB331A" w:rsidP="00BB331A">
            <w:pPr>
              <w:pStyle w:val="Tableheadingrowmeasures85pt"/>
              <w:numPr>
                <w:ilvl w:val="0"/>
                <w:numId w:val="31"/>
              </w:numPr>
              <w:ind w:left="338" w:hanging="338"/>
              <w:rPr>
                <w:color w:val="000000" w:themeColor="text1"/>
              </w:rPr>
            </w:pPr>
            <w:r w:rsidRPr="00D2378E">
              <w:rPr>
                <w:color w:val="000000" w:themeColor="text1"/>
              </w:rPr>
              <w:t>Deceased organ donors per million population (dpmp).</w:t>
            </w:r>
            <w:r w:rsidR="00695676">
              <w:rPr>
                <w:rStyle w:val="FootnoteReference"/>
                <w:color w:val="000000" w:themeColor="text1"/>
              </w:rPr>
              <w:footnoteReference w:id="3"/>
            </w:r>
          </w:p>
          <w:p w14:paraId="3ED78465" w14:textId="46D40B74" w:rsidR="00005E03" w:rsidRPr="00D2378E" w:rsidRDefault="00BB331A" w:rsidP="00BB331A">
            <w:pPr>
              <w:pStyle w:val="Tableheadingrowmeasures85pt"/>
              <w:numPr>
                <w:ilvl w:val="0"/>
                <w:numId w:val="31"/>
              </w:numPr>
              <w:ind w:left="338" w:hanging="338"/>
              <w:rPr>
                <w:color w:val="000000" w:themeColor="text1"/>
              </w:rPr>
            </w:pPr>
            <w:r w:rsidRPr="00D2378E">
              <w:rPr>
                <w:color w:val="000000" w:themeColor="text1"/>
              </w:rPr>
              <w:t>Living organ donors per million population (dpmp).</w:t>
            </w:r>
          </w:p>
        </w:tc>
      </w:tr>
      <w:tr w:rsidR="002B0F4E" w:rsidRPr="00EE76CA" w14:paraId="1D09B61F" w14:textId="77777777" w:rsidTr="001940BD">
        <w:tblPrEx>
          <w:tblCellMar>
            <w:top w:w="0" w:type="dxa"/>
            <w:left w:w="108" w:type="dxa"/>
            <w:bottom w:w="0" w:type="dxa"/>
            <w:right w:w="108" w:type="dxa"/>
          </w:tblCellMar>
        </w:tblPrEx>
        <w:trPr>
          <w:trHeight w:val="132"/>
          <w:jc w:val="center"/>
        </w:trPr>
        <w:tc>
          <w:tcPr>
            <w:tcW w:w="1076" w:type="pct"/>
            <w:shd w:val="clear" w:color="auto" w:fill="auto"/>
            <w:tcMar>
              <w:left w:w="85" w:type="dxa"/>
            </w:tcMar>
            <w:vAlign w:val="center"/>
          </w:tcPr>
          <w:p w14:paraId="0B80E188" w14:textId="3F9FF107" w:rsidR="002B0F4E" w:rsidRPr="00D2378E" w:rsidRDefault="00BB5F3D" w:rsidP="0046604A">
            <w:pPr>
              <w:pStyle w:val="Tableheadingrowmeasures85pt"/>
              <w:keepNext/>
              <w:keepLines/>
              <w:rPr>
                <w:color w:val="000000" w:themeColor="text1"/>
              </w:rPr>
            </w:pPr>
            <w:r w:rsidRPr="00D2378E">
              <w:rPr>
                <w:color w:val="auto"/>
              </w:rPr>
              <w:t>P</w:t>
            </w:r>
            <w:r w:rsidR="0046604A" w:rsidRPr="00D2378E">
              <w:rPr>
                <w:color w:val="auto"/>
              </w:rPr>
              <w:t>rior</w:t>
            </w:r>
            <w:r w:rsidR="002B0F4E" w:rsidRPr="00D2378E">
              <w:rPr>
                <w:color w:val="auto"/>
              </w:rPr>
              <w:t xml:space="preserve"> Year</w:t>
            </w:r>
            <w:r w:rsidR="002B0F4E" w:rsidRPr="00D2378E">
              <w:rPr>
                <w:color w:val="auto"/>
              </w:rPr>
              <w:br/>
              <w:t>202</w:t>
            </w:r>
            <w:r w:rsidR="00D80DF5" w:rsidRPr="00D2378E">
              <w:rPr>
                <w:color w:val="auto"/>
              </w:rPr>
              <w:t>1</w:t>
            </w:r>
            <w:r w:rsidR="002A15D4" w:rsidRPr="00D2378E">
              <w:rPr>
                <w:color w:val="auto"/>
              </w:rPr>
              <w:t xml:space="preserve"> </w:t>
            </w:r>
            <w:r w:rsidR="002B0F4E" w:rsidRPr="00D2378E">
              <w:rPr>
                <w:color w:val="auto"/>
              </w:rPr>
              <w:br/>
              <w:t>Planned Performance Result</w:t>
            </w:r>
            <w:r w:rsidR="002B0F4E" w:rsidRPr="00D2378E">
              <w:rPr>
                <w:rStyle w:val="FootnoteReference"/>
                <w:rFonts w:ascii="Arial Bold" w:hAnsi="Arial Bold"/>
                <w:color w:val="000000" w:themeColor="text1"/>
                <w:sz w:val="17"/>
              </w:rPr>
              <w:t xml:space="preserve"> </w:t>
            </w:r>
          </w:p>
        </w:tc>
        <w:tc>
          <w:tcPr>
            <w:tcW w:w="975" w:type="pct"/>
            <w:shd w:val="clear" w:color="auto" w:fill="auto"/>
            <w:tcMar>
              <w:left w:w="85" w:type="dxa"/>
            </w:tcMar>
          </w:tcPr>
          <w:p w14:paraId="6A58C67E" w14:textId="0CB982D0" w:rsidR="002B0F4E" w:rsidRPr="00D2378E" w:rsidRDefault="002B0F4E" w:rsidP="001940BD">
            <w:pPr>
              <w:pStyle w:val="Tableheadingrowmeasures85pt"/>
              <w:keepNext/>
              <w:keepLines/>
              <w:rPr>
                <w:color w:val="000000" w:themeColor="text1"/>
              </w:rPr>
            </w:pPr>
            <w:r w:rsidRPr="00D2378E">
              <w:rPr>
                <w:color w:val="auto"/>
              </w:rPr>
              <w:t>Budget Year</w:t>
            </w:r>
            <w:r w:rsidRPr="00D2378E">
              <w:rPr>
                <w:color w:val="auto"/>
              </w:rPr>
              <w:br/>
              <w:t>2022 Planned Performance Result</w:t>
            </w:r>
            <w:r w:rsidRPr="00D2378E">
              <w:rPr>
                <w:rStyle w:val="FootnoteReference"/>
                <w:rFonts w:ascii="Arial Bold" w:hAnsi="Arial Bold"/>
                <w:color w:val="000000" w:themeColor="text1"/>
                <w:sz w:val="17"/>
              </w:rPr>
              <w:t xml:space="preserve"> </w:t>
            </w:r>
          </w:p>
        </w:tc>
        <w:tc>
          <w:tcPr>
            <w:tcW w:w="987" w:type="pct"/>
            <w:shd w:val="clear" w:color="auto" w:fill="auto"/>
            <w:tcMar>
              <w:left w:w="85" w:type="dxa"/>
            </w:tcMar>
          </w:tcPr>
          <w:p w14:paraId="6AC3B06E" w14:textId="594EF7D5" w:rsidR="002B0F4E" w:rsidRPr="00D2378E" w:rsidRDefault="002B0F4E" w:rsidP="002B0F4E">
            <w:pPr>
              <w:pStyle w:val="Tableheadingrowmeasures85pt"/>
              <w:keepNext/>
              <w:keepLines/>
              <w:rPr>
                <w:color w:val="000000" w:themeColor="text1"/>
              </w:rPr>
            </w:pPr>
            <w:r w:rsidRPr="00D2378E">
              <w:rPr>
                <w:color w:val="auto"/>
              </w:rPr>
              <w:t>Forward Estimates</w:t>
            </w:r>
            <w:r w:rsidRPr="00D2378E">
              <w:rPr>
                <w:color w:val="auto"/>
              </w:rPr>
              <w:br/>
              <w:t>2023 Planned Performance Result</w:t>
            </w:r>
          </w:p>
        </w:tc>
        <w:tc>
          <w:tcPr>
            <w:tcW w:w="977" w:type="pct"/>
            <w:shd w:val="clear" w:color="auto" w:fill="auto"/>
            <w:tcMar>
              <w:left w:w="85" w:type="dxa"/>
            </w:tcMar>
          </w:tcPr>
          <w:p w14:paraId="705451F0" w14:textId="75CC4CBC" w:rsidR="002B0F4E" w:rsidRPr="00D2378E" w:rsidRDefault="002B0F4E" w:rsidP="002B0F4E">
            <w:pPr>
              <w:pStyle w:val="Tableheadingrowmeasures85pt"/>
              <w:rPr>
                <w:color w:val="000000" w:themeColor="text1"/>
              </w:rPr>
            </w:pPr>
            <w:r w:rsidRPr="00D2378E">
              <w:rPr>
                <w:color w:val="auto"/>
              </w:rPr>
              <w:t>Forward Estimates</w:t>
            </w:r>
            <w:r w:rsidRPr="00D2378E">
              <w:rPr>
                <w:color w:val="auto"/>
              </w:rPr>
              <w:br/>
              <w:t>2024</w:t>
            </w:r>
            <w:r w:rsidR="00D80DF5" w:rsidRPr="00D2378E">
              <w:rPr>
                <w:color w:val="auto"/>
              </w:rPr>
              <w:t xml:space="preserve"> </w:t>
            </w:r>
            <w:r w:rsidRPr="00D2378E">
              <w:rPr>
                <w:color w:val="auto"/>
              </w:rPr>
              <w:t>Planned Performance Result</w:t>
            </w:r>
          </w:p>
        </w:tc>
        <w:tc>
          <w:tcPr>
            <w:tcW w:w="985" w:type="pct"/>
            <w:shd w:val="clear" w:color="auto" w:fill="auto"/>
            <w:tcMar>
              <w:left w:w="85" w:type="dxa"/>
            </w:tcMar>
          </w:tcPr>
          <w:p w14:paraId="6DD84631" w14:textId="4244B88F" w:rsidR="002B0F4E" w:rsidRPr="00D2378E" w:rsidRDefault="002B0F4E" w:rsidP="002B0F4E">
            <w:pPr>
              <w:pStyle w:val="Tableheadingrowmeasures85pt"/>
              <w:rPr>
                <w:color w:val="000000" w:themeColor="text1"/>
              </w:rPr>
            </w:pPr>
            <w:r w:rsidRPr="00D2378E">
              <w:rPr>
                <w:color w:val="auto"/>
              </w:rPr>
              <w:t>Forward Estimates</w:t>
            </w:r>
            <w:r w:rsidRPr="00D2378E">
              <w:rPr>
                <w:color w:val="auto"/>
              </w:rPr>
              <w:br/>
              <w:t>2025</w:t>
            </w:r>
            <w:r w:rsidR="00D80DF5" w:rsidRPr="00D2378E">
              <w:rPr>
                <w:color w:val="auto"/>
              </w:rPr>
              <w:t xml:space="preserve"> </w:t>
            </w:r>
            <w:r w:rsidRPr="00D2378E">
              <w:rPr>
                <w:color w:val="auto"/>
              </w:rPr>
              <w:t>Planned Performance Result</w:t>
            </w:r>
          </w:p>
        </w:tc>
      </w:tr>
      <w:tr w:rsidR="00BB331A" w:rsidRPr="00EE76CA" w14:paraId="78645080" w14:textId="77777777" w:rsidTr="0052128F">
        <w:tblPrEx>
          <w:tblCellMar>
            <w:top w:w="0" w:type="dxa"/>
            <w:left w:w="108" w:type="dxa"/>
            <w:bottom w:w="0" w:type="dxa"/>
            <w:right w:w="108" w:type="dxa"/>
          </w:tblCellMar>
        </w:tblPrEx>
        <w:trPr>
          <w:jc w:val="center"/>
        </w:trPr>
        <w:tc>
          <w:tcPr>
            <w:tcW w:w="1076" w:type="pct"/>
            <w:shd w:val="clear" w:color="auto" w:fill="auto"/>
            <w:tcMar>
              <w:left w:w="85" w:type="dxa"/>
            </w:tcMar>
          </w:tcPr>
          <w:p w14:paraId="2F4D2080" w14:textId="77777777" w:rsidR="00BB331A" w:rsidRPr="00D2378E" w:rsidRDefault="00BB331A" w:rsidP="00BB331A">
            <w:pPr>
              <w:pStyle w:val="Tabletextmeasures85pt"/>
              <w:keepNext/>
              <w:numPr>
                <w:ilvl w:val="0"/>
                <w:numId w:val="32"/>
              </w:numPr>
              <w:ind w:left="338" w:hanging="284"/>
              <w:rPr>
                <w:color w:val="000000" w:themeColor="text1"/>
              </w:rPr>
            </w:pPr>
            <w:r w:rsidRPr="00D2378E">
              <w:rPr>
                <w:color w:val="000000" w:themeColor="text1"/>
              </w:rPr>
              <w:t>25 dpmp</w:t>
            </w:r>
          </w:p>
          <w:p w14:paraId="189C8188" w14:textId="3CE4A352" w:rsidR="00BB331A" w:rsidRPr="00D2378E" w:rsidRDefault="00BB331A" w:rsidP="00BB331A">
            <w:pPr>
              <w:pStyle w:val="Tabletextmeasures85pt"/>
              <w:keepNext/>
              <w:numPr>
                <w:ilvl w:val="0"/>
                <w:numId w:val="32"/>
              </w:numPr>
              <w:ind w:left="338" w:hanging="284"/>
              <w:rPr>
                <w:color w:val="000000" w:themeColor="text1"/>
              </w:rPr>
            </w:pPr>
            <w:r w:rsidRPr="00D2378E">
              <w:rPr>
                <w:color w:val="000000" w:themeColor="text1"/>
              </w:rPr>
              <w:t>N/A</w:t>
            </w:r>
            <w:r w:rsidRPr="00D2378E">
              <w:rPr>
                <w:rStyle w:val="FootnoteReference"/>
                <w:color w:val="000000" w:themeColor="text1"/>
                <w:sz w:val="17"/>
              </w:rPr>
              <w:footnoteReference w:id="4"/>
            </w:r>
          </w:p>
        </w:tc>
        <w:tc>
          <w:tcPr>
            <w:tcW w:w="975" w:type="pct"/>
            <w:vMerge w:val="restart"/>
            <w:shd w:val="clear" w:color="auto" w:fill="auto"/>
            <w:tcMar>
              <w:left w:w="85" w:type="dxa"/>
            </w:tcMar>
          </w:tcPr>
          <w:p w14:paraId="6BD4D892" w14:textId="19C5FBF4" w:rsidR="00BB331A" w:rsidRPr="00D2378E" w:rsidRDefault="00BB331A" w:rsidP="00BB331A">
            <w:pPr>
              <w:pStyle w:val="Tabletextmeasures85pt"/>
              <w:rPr>
                <w:color w:val="000000" w:themeColor="text1"/>
              </w:rPr>
            </w:pPr>
            <w:r w:rsidRPr="00D2378E">
              <w:rPr>
                <w:color w:val="000000" w:themeColor="text1"/>
              </w:rPr>
              <w:t>1</w:t>
            </w:r>
            <w:r w:rsidR="00BC526D" w:rsidRPr="00D2378E">
              <w:rPr>
                <w:color w:val="000000" w:themeColor="text1"/>
              </w:rPr>
              <w:t>6.4</w:t>
            </w:r>
            <w:r w:rsidRPr="00D2378E">
              <w:rPr>
                <w:color w:val="000000" w:themeColor="text1"/>
              </w:rPr>
              <w:t xml:space="preserve"> dpmp</w:t>
            </w:r>
          </w:p>
          <w:p w14:paraId="4721EFB5" w14:textId="5F855558" w:rsidR="00BB331A" w:rsidRPr="00D2378E" w:rsidRDefault="00BB331A" w:rsidP="00BB331A">
            <w:pPr>
              <w:pStyle w:val="Tabletextmeasures85pt"/>
              <w:rPr>
                <w:color w:val="000000" w:themeColor="text1"/>
              </w:rPr>
            </w:pPr>
            <w:r w:rsidRPr="00D2378E">
              <w:rPr>
                <w:color w:val="000000" w:themeColor="text1"/>
              </w:rPr>
              <w:t>7.8 dpmp</w:t>
            </w:r>
          </w:p>
        </w:tc>
        <w:tc>
          <w:tcPr>
            <w:tcW w:w="987" w:type="pct"/>
            <w:vMerge w:val="restart"/>
            <w:shd w:val="clear" w:color="auto" w:fill="auto"/>
            <w:tcMar>
              <w:left w:w="85" w:type="dxa"/>
            </w:tcMar>
          </w:tcPr>
          <w:p w14:paraId="1927F7FF" w14:textId="77777777" w:rsidR="00BB331A" w:rsidRPr="00D2378E" w:rsidRDefault="00BB331A" w:rsidP="00BB331A">
            <w:pPr>
              <w:pStyle w:val="Tabletextmeasures85pt"/>
              <w:rPr>
                <w:color w:val="000000" w:themeColor="text1"/>
              </w:rPr>
            </w:pPr>
            <w:r w:rsidRPr="00D2378E">
              <w:rPr>
                <w:color w:val="000000" w:themeColor="text1"/>
              </w:rPr>
              <w:t>18 dpmp</w:t>
            </w:r>
          </w:p>
          <w:p w14:paraId="2D61C21C" w14:textId="77777777" w:rsidR="00BB331A" w:rsidRPr="00D2378E" w:rsidRDefault="00BB331A" w:rsidP="00BB331A">
            <w:pPr>
              <w:pStyle w:val="Tabletextmeasures85pt"/>
              <w:rPr>
                <w:color w:val="000000" w:themeColor="text1"/>
              </w:rPr>
            </w:pPr>
            <w:r w:rsidRPr="00D2378E">
              <w:rPr>
                <w:color w:val="000000" w:themeColor="text1"/>
              </w:rPr>
              <w:t>8.3 dpmp</w:t>
            </w:r>
          </w:p>
          <w:p w14:paraId="7BF5E085" w14:textId="15245AFB" w:rsidR="00BB331A" w:rsidRPr="00D2378E" w:rsidRDefault="00BB331A" w:rsidP="00BB331A">
            <w:pPr>
              <w:pStyle w:val="Tabletextmeasures85pt"/>
              <w:rPr>
                <w:color w:val="000000" w:themeColor="text1"/>
              </w:rPr>
            </w:pPr>
          </w:p>
        </w:tc>
        <w:tc>
          <w:tcPr>
            <w:tcW w:w="977" w:type="pct"/>
            <w:vMerge w:val="restart"/>
            <w:shd w:val="clear" w:color="auto" w:fill="auto"/>
            <w:tcMar>
              <w:left w:w="85" w:type="dxa"/>
            </w:tcMar>
          </w:tcPr>
          <w:p w14:paraId="1A608929" w14:textId="77777777" w:rsidR="00BB331A" w:rsidRPr="00D2378E" w:rsidRDefault="00BB331A" w:rsidP="00BB331A">
            <w:pPr>
              <w:pStyle w:val="Tabletextmeasures85pt"/>
              <w:rPr>
                <w:color w:val="000000" w:themeColor="text1"/>
              </w:rPr>
            </w:pPr>
            <w:r w:rsidRPr="00D2378E">
              <w:rPr>
                <w:color w:val="000000" w:themeColor="text1"/>
              </w:rPr>
              <w:t>19.8 dpmp</w:t>
            </w:r>
          </w:p>
          <w:p w14:paraId="047AAD55" w14:textId="77777777" w:rsidR="00BB331A" w:rsidRPr="00D2378E" w:rsidRDefault="00BB331A" w:rsidP="00BB331A">
            <w:pPr>
              <w:pStyle w:val="Tabletextmeasures85pt"/>
              <w:rPr>
                <w:color w:val="000000" w:themeColor="text1"/>
              </w:rPr>
            </w:pPr>
            <w:r w:rsidRPr="00D2378E">
              <w:rPr>
                <w:color w:val="000000" w:themeColor="text1"/>
              </w:rPr>
              <w:t>9.7 dpmp</w:t>
            </w:r>
          </w:p>
          <w:p w14:paraId="22B3527E" w14:textId="5C8C8056" w:rsidR="00BB331A" w:rsidRPr="00D2378E" w:rsidRDefault="00BB331A" w:rsidP="00BB331A">
            <w:pPr>
              <w:pStyle w:val="Tabletextmeasures85pt"/>
              <w:rPr>
                <w:color w:val="000000" w:themeColor="text1"/>
              </w:rPr>
            </w:pPr>
          </w:p>
        </w:tc>
        <w:tc>
          <w:tcPr>
            <w:tcW w:w="985" w:type="pct"/>
            <w:vMerge w:val="restart"/>
            <w:shd w:val="clear" w:color="auto" w:fill="auto"/>
            <w:tcMar>
              <w:left w:w="85" w:type="dxa"/>
            </w:tcMar>
          </w:tcPr>
          <w:p w14:paraId="71585BA2" w14:textId="77777777" w:rsidR="00BB331A" w:rsidRPr="00D2378E" w:rsidRDefault="00BB331A" w:rsidP="00BB331A">
            <w:pPr>
              <w:pStyle w:val="Tabletextmeasures85pt"/>
              <w:rPr>
                <w:color w:val="000000" w:themeColor="text1"/>
              </w:rPr>
            </w:pPr>
            <w:r w:rsidRPr="00D2378E">
              <w:rPr>
                <w:color w:val="000000" w:themeColor="text1"/>
              </w:rPr>
              <w:t>21.5 dpmp</w:t>
            </w:r>
          </w:p>
          <w:p w14:paraId="65C05A2C" w14:textId="77777777" w:rsidR="00BB331A" w:rsidRPr="00D2378E" w:rsidRDefault="00BB331A" w:rsidP="00BB331A">
            <w:pPr>
              <w:pStyle w:val="Tabletextmeasures85pt"/>
              <w:rPr>
                <w:color w:val="000000" w:themeColor="text1"/>
              </w:rPr>
            </w:pPr>
            <w:r w:rsidRPr="00D2378E">
              <w:rPr>
                <w:color w:val="000000" w:themeColor="text1"/>
              </w:rPr>
              <w:t>11.1 dpmp</w:t>
            </w:r>
          </w:p>
          <w:p w14:paraId="54706F22" w14:textId="2BBF14C4" w:rsidR="00BB331A" w:rsidRPr="00D2378E" w:rsidRDefault="00BB331A" w:rsidP="00BB331A">
            <w:pPr>
              <w:pStyle w:val="Tabletextmeasures85pt"/>
              <w:rPr>
                <w:color w:val="000000" w:themeColor="text1"/>
                <w:highlight w:val="yellow"/>
              </w:rPr>
            </w:pPr>
          </w:p>
        </w:tc>
      </w:tr>
      <w:tr w:rsidR="00BB331A" w:rsidRPr="00EE76CA" w14:paraId="0428C8E0" w14:textId="77777777" w:rsidTr="0052128F">
        <w:tblPrEx>
          <w:tblCellMar>
            <w:top w:w="0" w:type="dxa"/>
            <w:left w:w="108" w:type="dxa"/>
            <w:bottom w:w="0" w:type="dxa"/>
            <w:right w:w="108" w:type="dxa"/>
          </w:tblCellMar>
        </w:tblPrEx>
        <w:trPr>
          <w:jc w:val="center"/>
        </w:trPr>
        <w:tc>
          <w:tcPr>
            <w:tcW w:w="1076" w:type="pct"/>
            <w:tcBorders>
              <w:bottom w:val="single" w:sz="4" w:space="0" w:color="auto"/>
            </w:tcBorders>
            <w:noWrap/>
            <w:tcMar>
              <w:left w:w="85" w:type="dxa"/>
            </w:tcMar>
            <w:vAlign w:val="center"/>
          </w:tcPr>
          <w:p w14:paraId="3B7146F2" w14:textId="764F51E8" w:rsidR="00BB331A" w:rsidRPr="00D2378E" w:rsidRDefault="00BB331A" w:rsidP="00BB331A">
            <w:pPr>
              <w:pStyle w:val="Tabletextmeasures85pt"/>
              <w:rPr>
                <w:b/>
                <w:color w:val="000000" w:themeColor="text1"/>
                <w:highlight w:val="yellow"/>
              </w:rPr>
            </w:pPr>
            <w:r w:rsidRPr="00D2378E">
              <w:rPr>
                <w:b/>
                <w:color w:val="000000" w:themeColor="text1"/>
              </w:rPr>
              <w:t xml:space="preserve">2021 </w:t>
            </w:r>
            <w:r w:rsidR="00EE2577" w:rsidRPr="00D2378E">
              <w:rPr>
                <w:b/>
                <w:color w:val="000000" w:themeColor="text1"/>
              </w:rPr>
              <w:t xml:space="preserve">Expected </w:t>
            </w:r>
            <w:r w:rsidRPr="00D2378E">
              <w:rPr>
                <w:b/>
                <w:color w:val="000000" w:themeColor="text1"/>
              </w:rPr>
              <w:t>Performance Result</w:t>
            </w:r>
          </w:p>
        </w:tc>
        <w:tc>
          <w:tcPr>
            <w:tcW w:w="975" w:type="pct"/>
            <w:vMerge/>
            <w:shd w:val="clear" w:color="auto" w:fill="auto"/>
            <w:tcMar>
              <w:left w:w="85" w:type="dxa"/>
            </w:tcMar>
          </w:tcPr>
          <w:p w14:paraId="03BB82EA" w14:textId="77777777" w:rsidR="00BB331A" w:rsidRPr="00D2378E" w:rsidRDefault="00BB331A" w:rsidP="00BB331A">
            <w:pPr>
              <w:pStyle w:val="Tabletextmeasures85pt"/>
              <w:rPr>
                <w:color w:val="000000" w:themeColor="text1"/>
                <w:highlight w:val="yellow"/>
              </w:rPr>
            </w:pPr>
          </w:p>
        </w:tc>
        <w:tc>
          <w:tcPr>
            <w:tcW w:w="987" w:type="pct"/>
            <w:vMerge/>
            <w:shd w:val="clear" w:color="auto" w:fill="auto"/>
            <w:tcMar>
              <w:left w:w="85" w:type="dxa"/>
            </w:tcMar>
          </w:tcPr>
          <w:p w14:paraId="4B9A0C0C" w14:textId="77777777" w:rsidR="00BB331A" w:rsidRPr="00D2378E" w:rsidRDefault="00BB331A" w:rsidP="00BB331A">
            <w:pPr>
              <w:pStyle w:val="Tabletextmeasures85pt"/>
              <w:rPr>
                <w:color w:val="000000" w:themeColor="text1"/>
                <w:highlight w:val="yellow"/>
              </w:rPr>
            </w:pPr>
          </w:p>
        </w:tc>
        <w:tc>
          <w:tcPr>
            <w:tcW w:w="977" w:type="pct"/>
            <w:vMerge/>
            <w:shd w:val="clear" w:color="auto" w:fill="auto"/>
            <w:tcMar>
              <w:left w:w="85" w:type="dxa"/>
            </w:tcMar>
          </w:tcPr>
          <w:p w14:paraId="6FCCF54F" w14:textId="77777777" w:rsidR="00BB331A" w:rsidRPr="00D2378E" w:rsidRDefault="00BB331A" w:rsidP="00BB331A">
            <w:pPr>
              <w:pStyle w:val="Tabletextmeasures85pt"/>
              <w:rPr>
                <w:color w:val="000000" w:themeColor="text1"/>
                <w:highlight w:val="yellow"/>
              </w:rPr>
            </w:pPr>
          </w:p>
        </w:tc>
        <w:tc>
          <w:tcPr>
            <w:tcW w:w="985" w:type="pct"/>
            <w:vMerge/>
            <w:shd w:val="clear" w:color="auto" w:fill="auto"/>
            <w:tcMar>
              <w:left w:w="85" w:type="dxa"/>
            </w:tcMar>
          </w:tcPr>
          <w:p w14:paraId="24EBC672" w14:textId="77777777" w:rsidR="00BB331A" w:rsidRPr="00D2378E" w:rsidRDefault="00BB331A" w:rsidP="00BB331A">
            <w:pPr>
              <w:pStyle w:val="Tabletextmeasures85pt"/>
              <w:rPr>
                <w:color w:val="000000" w:themeColor="text1"/>
                <w:highlight w:val="yellow"/>
              </w:rPr>
            </w:pPr>
          </w:p>
        </w:tc>
      </w:tr>
      <w:tr w:rsidR="00BB331A" w:rsidRPr="00EE76CA" w14:paraId="404E4995" w14:textId="77777777" w:rsidTr="006B0F59">
        <w:tblPrEx>
          <w:tblCellMar>
            <w:top w:w="0" w:type="dxa"/>
            <w:left w:w="108" w:type="dxa"/>
            <w:bottom w:w="0" w:type="dxa"/>
            <w:right w:w="108" w:type="dxa"/>
          </w:tblCellMar>
        </w:tblPrEx>
        <w:trPr>
          <w:jc w:val="center"/>
        </w:trPr>
        <w:tc>
          <w:tcPr>
            <w:tcW w:w="1076" w:type="pct"/>
            <w:tcBorders>
              <w:bottom w:val="single" w:sz="4" w:space="0" w:color="auto"/>
            </w:tcBorders>
            <w:tcMar>
              <w:left w:w="85" w:type="dxa"/>
            </w:tcMar>
          </w:tcPr>
          <w:p w14:paraId="2EF1D45C" w14:textId="77777777" w:rsidR="00BB331A" w:rsidRPr="00D2378E" w:rsidRDefault="00BB331A" w:rsidP="00BB331A">
            <w:pPr>
              <w:pStyle w:val="Tabletextmeasures85pt"/>
              <w:keepNext/>
              <w:numPr>
                <w:ilvl w:val="0"/>
                <w:numId w:val="34"/>
              </w:numPr>
              <w:ind w:left="338" w:hanging="284"/>
              <w:rPr>
                <w:color w:val="000000" w:themeColor="text1"/>
              </w:rPr>
            </w:pPr>
            <w:r w:rsidRPr="00D2378E">
              <w:rPr>
                <w:color w:val="000000" w:themeColor="text1"/>
              </w:rPr>
              <w:t>16.4 dpmp</w:t>
            </w:r>
            <w:r w:rsidRPr="00D2378E">
              <w:rPr>
                <w:vertAlign w:val="superscript"/>
              </w:rPr>
              <w:footnoteReference w:id="5"/>
            </w:r>
          </w:p>
          <w:p w14:paraId="2BAEFB77" w14:textId="0E6C9090" w:rsidR="00BB331A" w:rsidRPr="00D2378E" w:rsidRDefault="00BB331A" w:rsidP="00BB331A">
            <w:pPr>
              <w:pStyle w:val="Tabletextmeasures85pt"/>
              <w:keepNext/>
              <w:numPr>
                <w:ilvl w:val="0"/>
                <w:numId w:val="34"/>
              </w:numPr>
              <w:ind w:left="338" w:hanging="284"/>
              <w:rPr>
                <w:color w:val="000000" w:themeColor="text1"/>
              </w:rPr>
            </w:pPr>
            <w:r w:rsidRPr="00D2378E">
              <w:rPr>
                <w:color w:val="000000" w:themeColor="text1"/>
              </w:rPr>
              <w:t>7.8 dpmp</w:t>
            </w:r>
            <w:r w:rsidRPr="00D2378E">
              <w:rPr>
                <w:rStyle w:val="FootnoteReference"/>
                <w:color w:val="000000" w:themeColor="text1"/>
                <w:sz w:val="17"/>
              </w:rPr>
              <w:footnoteReference w:id="6"/>
            </w:r>
          </w:p>
        </w:tc>
        <w:tc>
          <w:tcPr>
            <w:tcW w:w="975" w:type="pct"/>
            <w:vMerge/>
            <w:tcBorders>
              <w:bottom w:val="single" w:sz="4" w:space="0" w:color="auto"/>
            </w:tcBorders>
            <w:shd w:val="clear" w:color="auto" w:fill="auto"/>
            <w:tcMar>
              <w:left w:w="85" w:type="dxa"/>
            </w:tcMar>
          </w:tcPr>
          <w:p w14:paraId="72F1BFA5" w14:textId="77777777" w:rsidR="00BB331A" w:rsidRPr="00D2378E" w:rsidRDefault="00BB331A" w:rsidP="00BB331A">
            <w:pPr>
              <w:pStyle w:val="Tabletextmeasures85pt"/>
              <w:rPr>
                <w:color w:val="000000" w:themeColor="text1"/>
              </w:rPr>
            </w:pPr>
          </w:p>
        </w:tc>
        <w:tc>
          <w:tcPr>
            <w:tcW w:w="987" w:type="pct"/>
            <w:vMerge/>
            <w:tcBorders>
              <w:bottom w:val="single" w:sz="4" w:space="0" w:color="auto"/>
            </w:tcBorders>
            <w:shd w:val="clear" w:color="auto" w:fill="auto"/>
            <w:tcMar>
              <w:left w:w="85" w:type="dxa"/>
            </w:tcMar>
          </w:tcPr>
          <w:p w14:paraId="3F521EB8" w14:textId="77777777" w:rsidR="00BB331A" w:rsidRPr="00D2378E" w:rsidRDefault="00BB331A" w:rsidP="00BB331A">
            <w:pPr>
              <w:pStyle w:val="Tabletextmeasures85pt"/>
              <w:rPr>
                <w:color w:val="000000" w:themeColor="text1"/>
              </w:rPr>
            </w:pPr>
          </w:p>
        </w:tc>
        <w:tc>
          <w:tcPr>
            <w:tcW w:w="977" w:type="pct"/>
            <w:vMerge/>
            <w:tcBorders>
              <w:bottom w:val="single" w:sz="4" w:space="0" w:color="auto"/>
            </w:tcBorders>
            <w:shd w:val="clear" w:color="auto" w:fill="auto"/>
            <w:tcMar>
              <w:left w:w="85" w:type="dxa"/>
            </w:tcMar>
          </w:tcPr>
          <w:p w14:paraId="4C714366" w14:textId="77777777" w:rsidR="00BB331A" w:rsidRPr="00D2378E" w:rsidRDefault="00BB331A" w:rsidP="00BB331A">
            <w:pPr>
              <w:pStyle w:val="Tabletextmeasures85pt"/>
              <w:rPr>
                <w:color w:val="000000" w:themeColor="text1"/>
              </w:rPr>
            </w:pPr>
          </w:p>
        </w:tc>
        <w:tc>
          <w:tcPr>
            <w:tcW w:w="985" w:type="pct"/>
            <w:vMerge/>
            <w:tcBorders>
              <w:bottom w:val="single" w:sz="4" w:space="0" w:color="auto"/>
            </w:tcBorders>
            <w:shd w:val="clear" w:color="auto" w:fill="auto"/>
            <w:tcMar>
              <w:left w:w="85" w:type="dxa"/>
            </w:tcMar>
          </w:tcPr>
          <w:p w14:paraId="30336FA1" w14:textId="77777777" w:rsidR="00BB331A" w:rsidRPr="00D2378E" w:rsidRDefault="00BB331A" w:rsidP="00BB331A">
            <w:pPr>
              <w:pStyle w:val="Tabletextmeasures85pt"/>
              <w:rPr>
                <w:color w:val="000000" w:themeColor="text1"/>
              </w:rPr>
            </w:pPr>
          </w:p>
        </w:tc>
      </w:tr>
      <w:tr w:rsidR="00BB331A" w:rsidRPr="00EE76CA" w14:paraId="6E51994B" w14:textId="77777777" w:rsidTr="00210F0B">
        <w:tblPrEx>
          <w:tblCellMar>
            <w:top w:w="0" w:type="dxa"/>
            <w:left w:w="108" w:type="dxa"/>
            <w:bottom w:w="0" w:type="dxa"/>
            <w:right w:w="108" w:type="dxa"/>
          </w:tblCellMar>
        </w:tblPrEx>
        <w:trPr>
          <w:trHeight w:val="70"/>
          <w:jc w:val="center"/>
        </w:trPr>
        <w:tc>
          <w:tcPr>
            <w:tcW w:w="5000" w:type="pct"/>
            <w:gridSpan w:val="5"/>
            <w:shd w:val="clear" w:color="auto" w:fill="D9D9D9" w:themeFill="background1" w:themeFillShade="D9"/>
            <w:tcMar>
              <w:left w:w="85" w:type="dxa"/>
            </w:tcMar>
            <w:vAlign w:val="center"/>
          </w:tcPr>
          <w:p w14:paraId="1669A7A8" w14:textId="77D4BC6F" w:rsidR="00BB331A" w:rsidRPr="00D2378E" w:rsidRDefault="00BC526D" w:rsidP="00BB331A">
            <w:pPr>
              <w:pStyle w:val="Tableheadingrowmeasures85pt"/>
              <w:rPr>
                <w:color w:val="000000" w:themeColor="text1"/>
              </w:rPr>
            </w:pPr>
            <w:r w:rsidRPr="00D2378E">
              <w:rPr>
                <w:color w:val="000000" w:themeColor="text1"/>
              </w:rPr>
              <w:t>Transplants per year from deceased and living donors.</w:t>
            </w:r>
          </w:p>
        </w:tc>
      </w:tr>
      <w:tr w:rsidR="00BB331A" w:rsidRPr="00EE76CA" w14:paraId="49D9131A" w14:textId="77777777" w:rsidTr="00210F0B">
        <w:tblPrEx>
          <w:tblCellMar>
            <w:top w:w="0" w:type="dxa"/>
            <w:left w:w="108" w:type="dxa"/>
            <w:bottom w:w="0" w:type="dxa"/>
            <w:right w:w="108" w:type="dxa"/>
          </w:tblCellMar>
        </w:tblPrEx>
        <w:trPr>
          <w:trHeight w:val="132"/>
          <w:jc w:val="center"/>
        </w:trPr>
        <w:tc>
          <w:tcPr>
            <w:tcW w:w="1076" w:type="pct"/>
            <w:shd w:val="clear" w:color="auto" w:fill="auto"/>
            <w:tcMar>
              <w:left w:w="85" w:type="dxa"/>
            </w:tcMar>
          </w:tcPr>
          <w:p w14:paraId="4B72B41A" w14:textId="447F8062" w:rsidR="00BB331A" w:rsidRPr="00D2378E" w:rsidRDefault="00BB331A" w:rsidP="0046604A">
            <w:pPr>
              <w:pStyle w:val="Tableheadingrowmeasures85pt"/>
              <w:keepNext/>
              <w:keepLines/>
              <w:rPr>
                <w:color w:val="000000" w:themeColor="text1"/>
              </w:rPr>
            </w:pPr>
            <w:r w:rsidRPr="00D2378E">
              <w:rPr>
                <w:color w:val="auto"/>
              </w:rPr>
              <w:t>P</w:t>
            </w:r>
            <w:r w:rsidR="0046604A" w:rsidRPr="00D2378E">
              <w:rPr>
                <w:color w:val="auto"/>
              </w:rPr>
              <w:t>rior</w:t>
            </w:r>
            <w:r w:rsidRPr="00D2378E">
              <w:rPr>
                <w:color w:val="auto"/>
              </w:rPr>
              <w:t xml:space="preserve"> Year</w:t>
            </w:r>
            <w:r w:rsidRPr="00D2378E">
              <w:rPr>
                <w:color w:val="auto"/>
              </w:rPr>
              <w:br/>
              <w:t>2021</w:t>
            </w:r>
            <w:r w:rsidRPr="00D2378E">
              <w:rPr>
                <w:color w:val="auto"/>
              </w:rPr>
              <w:br/>
              <w:t>Planned Performance Result</w:t>
            </w:r>
          </w:p>
        </w:tc>
        <w:tc>
          <w:tcPr>
            <w:tcW w:w="975" w:type="pct"/>
            <w:shd w:val="clear" w:color="auto" w:fill="auto"/>
            <w:tcMar>
              <w:left w:w="85" w:type="dxa"/>
            </w:tcMar>
          </w:tcPr>
          <w:p w14:paraId="0A742BFB" w14:textId="5DC72E5F" w:rsidR="00BB331A" w:rsidRPr="00D2378E" w:rsidRDefault="00BB331A" w:rsidP="00BB331A">
            <w:pPr>
              <w:pStyle w:val="Tableheadingrowmeasures85pt"/>
              <w:keepNext/>
              <w:keepLines/>
              <w:rPr>
                <w:color w:val="000000" w:themeColor="text1"/>
              </w:rPr>
            </w:pPr>
            <w:r w:rsidRPr="00D2378E">
              <w:rPr>
                <w:color w:val="auto"/>
              </w:rPr>
              <w:t>Budget Year</w:t>
            </w:r>
            <w:r w:rsidRPr="00D2378E">
              <w:rPr>
                <w:color w:val="auto"/>
              </w:rPr>
              <w:br/>
              <w:t>2022 Planned Performance Result</w:t>
            </w:r>
          </w:p>
        </w:tc>
        <w:tc>
          <w:tcPr>
            <w:tcW w:w="987" w:type="pct"/>
            <w:shd w:val="clear" w:color="auto" w:fill="auto"/>
            <w:tcMar>
              <w:left w:w="85" w:type="dxa"/>
            </w:tcMar>
          </w:tcPr>
          <w:p w14:paraId="25C7EA31" w14:textId="71C8A2D1" w:rsidR="00BB331A" w:rsidRPr="00D2378E" w:rsidRDefault="00BB331A" w:rsidP="00BB331A">
            <w:pPr>
              <w:pStyle w:val="Tableheadingrowmeasures85pt"/>
              <w:keepNext/>
              <w:keepLines/>
              <w:rPr>
                <w:color w:val="000000" w:themeColor="text1"/>
              </w:rPr>
            </w:pPr>
            <w:r w:rsidRPr="00D2378E">
              <w:rPr>
                <w:color w:val="auto"/>
              </w:rPr>
              <w:t>Forward Estimates</w:t>
            </w:r>
            <w:r w:rsidRPr="00D2378E">
              <w:rPr>
                <w:color w:val="auto"/>
              </w:rPr>
              <w:br/>
              <w:t>2023 Planned Performance Result</w:t>
            </w:r>
          </w:p>
        </w:tc>
        <w:tc>
          <w:tcPr>
            <w:tcW w:w="977" w:type="pct"/>
            <w:shd w:val="clear" w:color="auto" w:fill="auto"/>
            <w:tcMar>
              <w:left w:w="85" w:type="dxa"/>
            </w:tcMar>
          </w:tcPr>
          <w:p w14:paraId="01702183" w14:textId="4C681838" w:rsidR="00BB331A" w:rsidRPr="00D2378E" w:rsidRDefault="00BB331A" w:rsidP="00BB331A">
            <w:pPr>
              <w:pStyle w:val="Tableheadingrowmeasures85pt"/>
              <w:rPr>
                <w:color w:val="000000" w:themeColor="text1"/>
              </w:rPr>
            </w:pPr>
            <w:r w:rsidRPr="00D2378E">
              <w:rPr>
                <w:color w:val="auto"/>
              </w:rPr>
              <w:t>Forward Estimates</w:t>
            </w:r>
            <w:r w:rsidRPr="00D2378E">
              <w:rPr>
                <w:color w:val="auto"/>
              </w:rPr>
              <w:br/>
              <w:t>2024 Planned Performance Result</w:t>
            </w:r>
          </w:p>
        </w:tc>
        <w:tc>
          <w:tcPr>
            <w:tcW w:w="985" w:type="pct"/>
            <w:shd w:val="clear" w:color="auto" w:fill="auto"/>
            <w:tcMar>
              <w:left w:w="85" w:type="dxa"/>
            </w:tcMar>
          </w:tcPr>
          <w:p w14:paraId="45C24B8C" w14:textId="72450810" w:rsidR="00BB331A" w:rsidRPr="00D2378E" w:rsidRDefault="00BB331A" w:rsidP="00BB331A">
            <w:pPr>
              <w:pStyle w:val="Tableheadingrowmeasures85pt"/>
              <w:rPr>
                <w:color w:val="000000" w:themeColor="text1"/>
              </w:rPr>
            </w:pPr>
            <w:r w:rsidRPr="00D2378E">
              <w:rPr>
                <w:color w:val="auto"/>
              </w:rPr>
              <w:t>Forward Estimates</w:t>
            </w:r>
            <w:r w:rsidRPr="00D2378E">
              <w:rPr>
                <w:color w:val="auto"/>
              </w:rPr>
              <w:br/>
              <w:t>2025 Planned Performance Result</w:t>
            </w:r>
          </w:p>
        </w:tc>
      </w:tr>
      <w:tr w:rsidR="00C62D7D" w:rsidRPr="00EE76CA" w14:paraId="0E7E602E" w14:textId="77777777" w:rsidTr="00210F0B">
        <w:tblPrEx>
          <w:tblCellMar>
            <w:top w:w="0" w:type="dxa"/>
            <w:left w:w="108" w:type="dxa"/>
            <w:bottom w:w="0" w:type="dxa"/>
            <w:right w:w="108" w:type="dxa"/>
          </w:tblCellMar>
        </w:tblPrEx>
        <w:trPr>
          <w:trHeight w:val="94"/>
          <w:jc w:val="center"/>
        </w:trPr>
        <w:tc>
          <w:tcPr>
            <w:tcW w:w="1076" w:type="pct"/>
            <w:shd w:val="clear" w:color="auto" w:fill="auto"/>
            <w:tcMar>
              <w:left w:w="85" w:type="dxa"/>
            </w:tcMar>
          </w:tcPr>
          <w:p w14:paraId="27BE9833" w14:textId="1EBD01F2" w:rsidR="00C62D7D" w:rsidRPr="00D2378E" w:rsidRDefault="00C62D7D" w:rsidP="00C62D7D">
            <w:pPr>
              <w:pStyle w:val="Tabletextmeasures85pt"/>
              <w:keepNext/>
              <w:rPr>
                <w:color w:val="000000" w:themeColor="text1"/>
              </w:rPr>
            </w:pPr>
            <w:r w:rsidRPr="00D2378E">
              <w:rPr>
                <w:color w:val="000000" w:themeColor="text1"/>
              </w:rPr>
              <w:t>N/A</w:t>
            </w:r>
            <w:r w:rsidRPr="00D2378E">
              <w:rPr>
                <w:rStyle w:val="FootnoteReference"/>
                <w:color w:val="000000" w:themeColor="text1"/>
                <w:sz w:val="17"/>
              </w:rPr>
              <w:footnoteReference w:id="7"/>
            </w:r>
          </w:p>
        </w:tc>
        <w:tc>
          <w:tcPr>
            <w:tcW w:w="975" w:type="pct"/>
            <w:vMerge w:val="restart"/>
            <w:shd w:val="clear" w:color="auto" w:fill="auto"/>
            <w:tcMar>
              <w:left w:w="85" w:type="dxa"/>
            </w:tcMar>
          </w:tcPr>
          <w:p w14:paraId="55E1A881" w14:textId="2B1CD8BA" w:rsidR="00C62D7D" w:rsidRPr="00D2378E" w:rsidRDefault="00C62D7D" w:rsidP="00C62D7D">
            <w:pPr>
              <w:pStyle w:val="Tabletextmeasures85pt"/>
              <w:rPr>
                <w:color w:val="000000" w:themeColor="text1"/>
                <w:highlight w:val="yellow"/>
              </w:rPr>
            </w:pPr>
            <w:r w:rsidRPr="00D2378E">
              <w:rPr>
                <w:color w:val="000000" w:themeColor="text1"/>
              </w:rPr>
              <w:t>1,377</w:t>
            </w:r>
          </w:p>
        </w:tc>
        <w:tc>
          <w:tcPr>
            <w:tcW w:w="987" w:type="pct"/>
            <w:vMerge w:val="restart"/>
            <w:shd w:val="clear" w:color="auto" w:fill="auto"/>
            <w:tcMar>
              <w:left w:w="85" w:type="dxa"/>
            </w:tcMar>
          </w:tcPr>
          <w:p w14:paraId="4D0A3DBF" w14:textId="0CB32114" w:rsidR="00C62D7D" w:rsidRPr="00D2378E" w:rsidRDefault="00C62D7D" w:rsidP="00C62D7D">
            <w:pPr>
              <w:pStyle w:val="Tabletextmeasures85pt"/>
              <w:rPr>
                <w:color w:val="000000" w:themeColor="text1"/>
                <w:highlight w:val="yellow"/>
              </w:rPr>
            </w:pPr>
            <w:r w:rsidRPr="00D2378E">
              <w:rPr>
                <w:color w:val="000000" w:themeColor="text1"/>
              </w:rPr>
              <w:t>1,455</w:t>
            </w:r>
          </w:p>
        </w:tc>
        <w:tc>
          <w:tcPr>
            <w:tcW w:w="977" w:type="pct"/>
            <w:vMerge w:val="restart"/>
            <w:shd w:val="clear" w:color="auto" w:fill="auto"/>
            <w:tcMar>
              <w:left w:w="85" w:type="dxa"/>
            </w:tcMar>
          </w:tcPr>
          <w:p w14:paraId="1CEF9CE9" w14:textId="374DD6C6" w:rsidR="00C62D7D" w:rsidRPr="00D2378E" w:rsidRDefault="00C62D7D" w:rsidP="00BC526D">
            <w:pPr>
              <w:pStyle w:val="Tabletextmeasures85pt"/>
              <w:rPr>
                <w:color w:val="000000" w:themeColor="text1"/>
                <w:highlight w:val="yellow"/>
              </w:rPr>
            </w:pPr>
            <w:r w:rsidRPr="00D2378E">
              <w:rPr>
                <w:color w:val="000000" w:themeColor="text1"/>
              </w:rPr>
              <w:t>1,</w:t>
            </w:r>
            <w:r w:rsidR="00BC526D" w:rsidRPr="00D2378E">
              <w:rPr>
                <w:color w:val="000000" w:themeColor="text1"/>
              </w:rPr>
              <w:t>590</w:t>
            </w:r>
          </w:p>
        </w:tc>
        <w:tc>
          <w:tcPr>
            <w:tcW w:w="985" w:type="pct"/>
            <w:vMerge w:val="restart"/>
            <w:shd w:val="clear" w:color="auto" w:fill="auto"/>
            <w:tcMar>
              <w:left w:w="85" w:type="dxa"/>
            </w:tcMar>
          </w:tcPr>
          <w:p w14:paraId="2F6345ED" w14:textId="1C61B127" w:rsidR="00C62D7D" w:rsidRPr="00D2378E" w:rsidRDefault="00C62D7D" w:rsidP="00C62D7D">
            <w:pPr>
              <w:pStyle w:val="Tabletextmeasures85pt"/>
              <w:rPr>
                <w:color w:val="000000" w:themeColor="text1"/>
                <w:highlight w:val="yellow"/>
              </w:rPr>
            </w:pPr>
            <w:r w:rsidRPr="00D2378E">
              <w:rPr>
                <w:color w:val="000000" w:themeColor="text1"/>
              </w:rPr>
              <w:t>1,730</w:t>
            </w:r>
          </w:p>
        </w:tc>
      </w:tr>
      <w:tr w:rsidR="00C62D7D" w:rsidRPr="00EE76CA" w14:paraId="7C06FF40" w14:textId="77777777" w:rsidTr="00210F0B">
        <w:tblPrEx>
          <w:tblCellMar>
            <w:top w:w="0" w:type="dxa"/>
            <w:left w:w="108" w:type="dxa"/>
            <w:bottom w:w="0" w:type="dxa"/>
            <w:right w:w="108" w:type="dxa"/>
          </w:tblCellMar>
        </w:tblPrEx>
        <w:trPr>
          <w:trHeight w:val="93"/>
          <w:jc w:val="center"/>
        </w:trPr>
        <w:tc>
          <w:tcPr>
            <w:tcW w:w="1076" w:type="pct"/>
            <w:shd w:val="clear" w:color="auto" w:fill="auto"/>
            <w:tcMar>
              <w:left w:w="85" w:type="dxa"/>
            </w:tcMar>
          </w:tcPr>
          <w:p w14:paraId="213C7857" w14:textId="57035015" w:rsidR="00C62D7D" w:rsidRPr="00D2378E" w:rsidRDefault="00C62D7D" w:rsidP="00C62D7D">
            <w:pPr>
              <w:pStyle w:val="Tabletextmeasures85pt"/>
              <w:keepNext/>
              <w:rPr>
                <w:color w:val="000000" w:themeColor="text1"/>
                <w:highlight w:val="yellow"/>
              </w:rPr>
            </w:pPr>
            <w:r w:rsidRPr="00D2378E">
              <w:rPr>
                <w:b/>
                <w:color w:val="000000" w:themeColor="text1"/>
              </w:rPr>
              <w:t xml:space="preserve">2021 </w:t>
            </w:r>
            <w:r w:rsidR="00EE2577" w:rsidRPr="00D2378E">
              <w:rPr>
                <w:b/>
                <w:color w:val="000000" w:themeColor="text1"/>
              </w:rPr>
              <w:t xml:space="preserve">Expected </w:t>
            </w:r>
            <w:r w:rsidRPr="00D2378E">
              <w:rPr>
                <w:b/>
                <w:color w:val="000000" w:themeColor="text1"/>
              </w:rPr>
              <w:t>Performance Result</w:t>
            </w:r>
          </w:p>
        </w:tc>
        <w:tc>
          <w:tcPr>
            <w:tcW w:w="975" w:type="pct"/>
            <w:vMerge/>
            <w:shd w:val="clear" w:color="auto" w:fill="auto"/>
            <w:tcMar>
              <w:left w:w="85" w:type="dxa"/>
            </w:tcMar>
          </w:tcPr>
          <w:p w14:paraId="27E15ADA" w14:textId="77777777" w:rsidR="00C62D7D" w:rsidRPr="00D2378E" w:rsidRDefault="00C62D7D" w:rsidP="00C62D7D">
            <w:pPr>
              <w:pStyle w:val="Tabletextmeasures85pt"/>
              <w:rPr>
                <w:color w:val="000000" w:themeColor="text1"/>
                <w:highlight w:val="yellow"/>
              </w:rPr>
            </w:pPr>
          </w:p>
        </w:tc>
        <w:tc>
          <w:tcPr>
            <w:tcW w:w="987" w:type="pct"/>
            <w:vMerge/>
            <w:shd w:val="clear" w:color="auto" w:fill="auto"/>
            <w:tcMar>
              <w:left w:w="85" w:type="dxa"/>
            </w:tcMar>
          </w:tcPr>
          <w:p w14:paraId="0B672E59" w14:textId="77777777" w:rsidR="00C62D7D" w:rsidRPr="00D2378E" w:rsidRDefault="00C62D7D" w:rsidP="00C62D7D">
            <w:pPr>
              <w:pStyle w:val="Tabletextmeasures85pt"/>
              <w:rPr>
                <w:color w:val="000000" w:themeColor="text1"/>
                <w:highlight w:val="yellow"/>
              </w:rPr>
            </w:pPr>
          </w:p>
        </w:tc>
        <w:tc>
          <w:tcPr>
            <w:tcW w:w="977" w:type="pct"/>
            <w:vMerge/>
            <w:shd w:val="clear" w:color="auto" w:fill="auto"/>
            <w:tcMar>
              <w:left w:w="85" w:type="dxa"/>
            </w:tcMar>
          </w:tcPr>
          <w:p w14:paraId="1069B4F2" w14:textId="77777777" w:rsidR="00C62D7D" w:rsidRPr="00D2378E" w:rsidRDefault="00C62D7D" w:rsidP="00C62D7D">
            <w:pPr>
              <w:pStyle w:val="Tabletextmeasures85pt"/>
              <w:rPr>
                <w:color w:val="000000" w:themeColor="text1"/>
                <w:highlight w:val="yellow"/>
              </w:rPr>
            </w:pPr>
          </w:p>
        </w:tc>
        <w:tc>
          <w:tcPr>
            <w:tcW w:w="985" w:type="pct"/>
            <w:vMerge/>
            <w:shd w:val="clear" w:color="auto" w:fill="auto"/>
            <w:tcMar>
              <w:left w:w="85" w:type="dxa"/>
            </w:tcMar>
          </w:tcPr>
          <w:p w14:paraId="424F6CA0" w14:textId="77777777" w:rsidR="00C62D7D" w:rsidRPr="00D2378E" w:rsidRDefault="00C62D7D" w:rsidP="00C62D7D">
            <w:pPr>
              <w:pStyle w:val="Tabletextmeasures85pt"/>
              <w:rPr>
                <w:color w:val="000000" w:themeColor="text1"/>
                <w:highlight w:val="yellow"/>
              </w:rPr>
            </w:pPr>
          </w:p>
        </w:tc>
      </w:tr>
      <w:tr w:rsidR="00C62D7D" w:rsidRPr="00EE76CA" w14:paraId="745CBC4A" w14:textId="77777777" w:rsidTr="00210F0B">
        <w:tblPrEx>
          <w:tblCellMar>
            <w:top w:w="0" w:type="dxa"/>
            <w:left w:w="108" w:type="dxa"/>
            <w:bottom w:w="0" w:type="dxa"/>
            <w:right w:w="108" w:type="dxa"/>
          </w:tblCellMar>
        </w:tblPrEx>
        <w:trPr>
          <w:trHeight w:val="93"/>
          <w:jc w:val="center"/>
        </w:trPr>
        <w:tc>
          <w:tcPr>
            <w:tcW w:w="1076" w:type="pct"/>
            <w:shd w:val="clear" w:color="auto" w:fill="auto"/>
            <w:tcMar>
              <w:left w:w="85" w:type="dxa"/>
            </w:tcMar>
          </w:tcPr>
          <w:p w14:paraId="337B453E" w14:textId="0599F5D8" w:rsidR="00C62D7D" w:rsidRPr="00D2378E" w:rsidRDefault="00D40ED4" w:rsidP="00C62D7D">
            <w:pPr>
              <w:pStyle w:val="Tabletextmeasures85pt"/>
              <w:keepNext/>
              <w:rPr>
                <w:color w:val="000000" w:themeColor="text1"/>
                <w:highlight w:val="yellow"/>
              </w:rPr>
            </w:pPr>
            <w:r w:rsidRPr="00D2378E">
              <w:rPr>
                <w:color w:val="000000" w:themeColor="text1"/>
              </w:rPr>
              <w:t>1,377</w:t>
            </w:r>
          </w:p>
        </w:tc>
        <w:tc>
          <w:tcPr>
            <w:tcW w:w="975" w:type="pct"/>
            <w:vMerge/>
            <w:shd w:val="clear" w:color="auto" w:fill="auto"/>
            <w:tcMar>
              <w:left w:w="85" w:type="dxa"/>
            </w:tcMar>
          </w:tcPr>
          <w:p w14:paraId="1B1C3344" w14:textId="77777777" w:rsidR="00C62D7D" w:rsidRPr="00D2378E" w:rsidRDefault="00C62D7D" w:rsidP="00C62D7D">
            <w:pPr>
              <w:pStyle w:val="Tabletextmeasures85pt"/>
              <w:rPr>
                <w:color w:val="000000" w:themeColor="text1"/>
                <w:highlight w:val="yellow"/>
              </w:rPr>
            </w:pPr>
          </w:p>
        </w:tc>
        <w:tc>
          <w:tcPr>
            <w:tcW w:w="987" w:type="pct"/>
            <w:vMerge/>
            <w:shd w:val="clear" w:color="auto" w:fill="auto"/>
            <w:tcMar>
              <w:left w:w="85" w:type="dxa"/>
            </w:tcMar>
          </w:tcPr>
          <w:p w14:paraId="23E78615" w14:textId="77777777" w:rsidR="00C62D7D" w:rsidRPr="00D2378E" w:rsidRDefault="00C62D7D" w:rsidP="00C62D7D">
            <w:pPr>
              <w:pStyle w:val="Tabletextmeasures85pt"/>
              <w:rPr>
                <w:color w:val="000000" w:themeColor="text1"/>
                <w:highlight w:val="yellow"/>
              </w:rPr>
            </w:pPr>
          </w:p>
        </w:tc>
        <w:tc>
          <w:tcPr>
            <w:tcW w:w="977" w:type="pct"/>
            <w:vMerge/>
            <w:shd w:val="clear" w:color="auto" w:fill="auto"/>
            <w:tcMar>
              <w:left w:w="85" w:type="dxa"/>
            </w:tcMar>
          </w:tcPr>
          <w:p w14:paraId="040F86F5" w14:textId="77777777" w:rsidR="00C62D7D" w:rsidRPr="00D2378E" w:rsidRDefault="00C62D7D" w:rsidP="00C62D7D">
            <w:pPr>
              <w:pStyle w:val="Tabletextmeasures85pt"/>
              <w:rPr>
                <w:color w:val="000000" w:themeColor="text1"/>
                <w:highlight w:val="yellow"/>
              </w:rPr>
            </w:pPr>
          </w:p>
        </w:tc>
        <w:tc>
          <w:tcPr>
            <w:tcW w:w="985" w:type="pct"/>
            <w:vMerge/>
            <w:shd w:val="clear" w:color="auto" w:fill="auto"/>
            <w:tcMar>
              <w:left w:w="85" w:type="dxa"/>
            </w:tcMar>
          </w:tcPr>
          <w:p w14:paraId="62B928BD" w14:textId="77777777" w:rsidR="00C62D7D" w:rsidRPr="00D2378E" w:rsidRDefault="00C62D7D" w:rsidP="00C62D7D">
            <w:pPr>
              <w:pStyle w:val="Tabletextmeasures85pt"/>
              <w:rPr>
                <w:color w:val="000000" w:themeColor="text1"/>
                <w:highlight w:val="yellow"/>
              </w:rPr>
            </w:pPr>
          </w:p>
        </w:tc>
      </w:tr>
    </w:tbl>
    <w:p w14:paraId="113AB1A8" w14:textId="77777777" w:rsidR="002B68ED" w:rsidRDefault="002B68ED">
      <w:r>
        <w:rPr>
          <w:b/>
        </w:rPr>
        <w:br w:type="page"/>
      </w:r>
    </w:p>
    <w:tbl>
      <w:tblPr>
        <w:tblStyle w:val="TableGrid"/>
        <w:tblW w:w="5034" w:type="pct"/>
        <w:jc w:val="center"/>
        <w:tblLayout w:type="fixed"/>
        <w:tblLook w:val="04A0" w:firstRow="1" w:lastRow="0" w:firstColumn="1" w:lastColumn="0" w:noHBand="0" w:noVBand="1"/>
        <w:tblCaption w:val="Table 2.1.2: Performance Measures for the OTA"/>
        <w:tblDescription w:val="This table outlines the OTA's Outcome 1 outcome statement, Program 1.1's objective and the key activities for Program 1.1. It also includes 1 performance measure for Program 1.1, with an expected performance result for 2021-22, and planned performance results for 2022-23 and the forward estimates"/>
      </w:tblPr>
      <w:tblGrid>
        <w:gridCol w:w="1594"/>
        <w:gridCol w:w="956"/>
        <w:gridCol w:w="489"/>
        <w:gridCol w:w="1463"/>
        <w:gridCol w:w="461"/>
        <w:gridCol w:w="987"/>
        <w:gridCol w:w="1460"/>
      </w:tblGrid>
      <w:tr w:rsidR="00EE76CA" w:rsidRPr="00EE76CA" w14:paraId="258716EE" w14:textId="77777777" w:rsidTr="00A56552">
        <w:trPr>
          <w:trHeight w:val="283"/>
          <w:jc w:val="center"/>
        </w:trPr>
        <w:tc>
          <w:tcPr>
            <w:tcW w:w="5000" w:type="pct"/>
            <w:gridSpan w:val="7"/>
            <w:shd w:val="clear" w:color="auto" w:fill="D9D9D9" w:themeFill="background1" w:themeFillShade="D9"/>
            <w:tcMar>
              <w:left w:w="85" w:type="dxa"/>
            </w:tcMar>
            <w:vAlign w:val="center"/>
          </w:tcPr>
          <w:p w14:paraId="1BFBCA28" w14:textId="7C137349" w:rsidR="00005E03" w:rsidRPr="00D2378E" w:rsidRDefault="00D40ED4" w:rsidP="00005E03">
            <w:pPr>
              <w:pStyle w:val="Tableheadingrowmeasures85pt"/>
              <w:rPr>
                <w:color w:val="000000" w:themeColor="text1"/>
              </w:rPr>
            </w:pPr>
            <w:r w:rsidRPr="00D2378E">
              <w:rPr>
                <w:color w:val="000000" w:themeColor="text1"/>
              </w:rPr>
              <w:lastRenderedPageBreak/>
              <w:t>Eligible Australians (16 years and over) registered on the Australian Organ Donor Register.</w:t>
            </w:r>
          </w:p>
        </w:tc>
      </w:tr>
      <w:tr w:rsidR="002B0F4E" w:rsidRPr="00EE76CA" w14:paraId="5378E277" w14:textId="77777777" w:rsidTr="00A56552">
        <w:trPr>
          <w:trHeight w:val="132"/>
          <w:jc w:val="center"/>
        </w:trPr>
        <w:tc>
          <w:tcPr>
            <w:tcW w:w="1076" w:type="pct"/>
            <w:shd w:val="clear" w:color="auto" w:fill="auto"/>
            <w:tcMar>
              <w:left w:w="85" w:type="dxa"/>
            </w:tcMar>
          </w:tcPr>
          <w:p w14:paraId="4A877D5B" w14:textId="48E77519" w:rsidR="002B0F4E" w:rsidRPr="00D2378E" w:rsidRDefault="00DF2302" w:rsidP="0046604A">
            <w:pPr>
              <w:pStyle w:val="Tableheadingrowmeasures85pt"/>
              <w:keepNext/>
              <w:keepLines/>
              <w:rPr>
                <w:color w:val="000000" w:themeColor="text1"/>
              </w:rPr>
            </w:pPr>
            <w:r w:rsidRPr="00D2378E">
              <w:rPr>
                <w:color w:val="auto"/>
              </w:rPr>
              <w:t>P</w:t>
            </w:r>
            <w:r w:rsidR="0046604A" w:rsidRPr="00D2378E">
              <w:rPr>
                <w:color w:val="auto"/>
              </w:rPr>
              <w:t>rior</w:t>
            </w:r>
            <w:r w:rsidR="002B0F4E" w:rsidRPr="00D2378E">
              <w:rPr>
                <w:color w:val="auto"/>
              </w:rPr>
              <w:t xml:space="preserve"> Year</w:t>
            </w:r>
            <w:r w:rsidR="002B0F4E" w:rsidRPr="00D2378E">
              <w:rPr>
                <w:color w:val="auto"/>
              </w:rPr>
              <w:br/>
              <w:t>2021</w:t>
            </w:r>
            <w:r w:rsidR="002B0F4E" w:rsidRPr="00D2378E">
              <w:rPr>
                <w:color w:val="auto"/>
              </w:rPr>
              <w:br/>
              <w:t>Planned Performance Result</w:t>
            </w:r>
          </w:p>
        </w:tc>
        <w:tc>
          <w:tcPr>
            <w:tcW w:w="975" w:type="pct"/>
            <w:gridSpan w:val="2"/>
            <w:shd w:val="clear" w:color="auto" w:fill="auto"/>
            <w:tcMar>
              <w:left w:w="85" w:type="dxa"/>
            </w:tcMar>
          </w:tcPr>
          <w:p w14:paraId="4AE0DE2E" w14:textId="00BF915B" w:rsidR="002B0F4E" w:rsidRPr="00D2378E" w:rsidRDefault="002B0F4E" w:rsidP="002B0F4E">
            <w:pPr>
              <w:pStyle w:val="Tableheadingrowmeasures85pt"/>
              <w:keepNext/>
              <w:keepLines/>
              <w:rPr>
                <w:color w:val="000000" w:themeColor="text1"/>
              </w:rPr>
            </w:pPr>
            <w:r w:rsidRPr="00D2378E">
              <w:rPr>
                <w:color w:val="auto"/>
              </w:rPr>
              <w:t>Budget Year</w:t>
            </w:r>
            <w:r w:rsidRPr="00D2378E">
              <w:rPr>
                <w:color w:val="auto"/>
              </w:rPr>
              <w:br/>
              <w:t>2022</w:t>
            </w:r>
            <w:r w:rsidR="006D7974" w:rsidRPr="00D2378E">
              <w:rPr>
                <w:color w:val="auto"/>
              </w:rPr>
              <w:t xml:space="preserve"> </w:t>
            </w:r>
            <w:r w:rsidRPr="00D2378E">
              <w:rPr>
                <w:color w:val="auto"/>
              </w:rPr>
              <w:t>Planned Performance Result</w:t>
            </w:r>
          </w:p>
        </w:tc>
        <w:tc>
          <w:tcPr>
            <w:tcW w:w="987" w:type="pct"/>
            <w:shd w:val="clear" w:color="auto" w:fill="auto"/>
            <w:tcMar>
              <w:left w:w="85" w:type="dxa"/>
            </w:tcMar>
          </w:tcPr>
          <w:p w14:paraId="2FB8678C" w14:textId="698ADF44" w:rsidR="002B0F4E" w:rsidRPr="00D2378E" w:rsidRDefault="002B0F4E" w:rsidP="002B0F4E">
            <w:pPr>
              <w:pStyle w:val="Tableheadingrowmeasures85pt"/>
              <w:keepNext/>
              <w:keepLines/>
              <w:rPr>
                <w:color w:val="000000" w:themeColor="text1"/>
              </w:rPr>
            </w:pPr>
            <w:r w:rsidRPr="00D2378E">
              <w:rPr>
                <w:color w:val="auto"/>
              </w:rPr>
              <w:t>Forward Estimates</w:t>
            </w:r>
            <w:r w:rsidRPr="00D2378E">
              <w:rPr>
                <w:color w:val="auto"/>
              </w:rPr>
              <w:br/>
              <w:t>2023 Planned Performance Result</w:t>
            </w:r>
          </w:p>
        </w:tc>
        <w:tc>
          <w:tcPr>
            <w:tcW w:w="977" w:type="pct"/>
            <w:gridSpan w:val="2"/>
            <w:shd w:val="clear" w:color="auto" w:fill="auto"/>
            <w:tcMar>
              <w:left w:w="85" w:type="dxa"/>
            </w:tcMar>
          </w:tcPr>
          <w:p w14:paraId="506941B9" w14:textId="27042D11" w:rsidR="002B0F4E" w:rsidRPr="00D2378E" w:rsidRDefault="002B0F4E" w:rsidP="002B0F4E">
            <w:pPr>
              <w:pStyle w:val="Tableheadingrowmeasures85pt"/>
              <w:rPr>
                <w:color w:val="000000" w:themeColor="text1"/>
              </w:rPr>
            </w:pPr>
            <w:r w:rsidRPr="00D2378E">
              <w:rPr>
                <w:color w:val="auto"/>
              </w:rPr>
              <w:t>Forward Estimates</w:t>
            </w:r>
            <w:r w:rsidRPr="00D2378E">
              <w:rPr>
                <w:color w:val="auto"/>
              </w:rPr>
              <w:br/>
              <w:t>2024 Planned Performance Result</w:t>
            </w:r>
          </w:p>
        </w:tc>
        <w:tc>
          <w:tcPr>
            <w:tcW w:w="985" w:type="pct"/>
            <w:shd w:val="clear" w:color="auto" w:fill="auto"/>
            <w:tcMar>
              <w:left w:w="85" w:type="dxa"/>
            </w:tcMar>
          </w:tcPr>
          <w:p w14:paraId="710B2434" w14:textId="1862822D" w:rsidR="002B0F4E" w:rsidRPr="00D2378E" w:rsidRDefault="002B0F4E" w:rsidP="002B0F4E">
            <w:pPr>
              <w:pStyle w:val="Tableheadingrowmeasures85pt"/>
              <w:rPr>
                <w:color w:val="000000" w:themeColor="text1"/>
              </w:rPr>
            </w:pPr>
            <w:r w:rsidRPr="00D2378E">
              <w:rPr>
                <w:color w:val="auto"/>
              </w:rPr>
              <w:t>Forward Estimates</w:t>
            </w:r>
            <w:r w:rsidRPr="00D2378E">
              <w:rPr>
                <w:color w:val="auto"/>
              </w:rPr>
              <w:br/>
              <w:t>2025 Planned Performance Result</w:t>
            </w:r>
          </w:p>
        </w:tc>
      </w:tr>
      <w:tr w:rsidR="00D40ED4" w:rsidRPr="00EE76CA" w14:paraId="157447EB" w14:textId="77777777" w:rsidTr="00A56552">
        <w:trPr>
          <w:trHeight w:val="94"/>
          <w:jc w:val="center"/>
        </w:trPr>
        <w:tc>
          <w:tcPr>
            <w:tcW w:w="1076" w:type="pct"/>
            <w:shd w:val="clear" w:color="auto" w:fill="auto"/>
            <w:tcMar>
              <w:left w:w="85" w:type="dxa"/>
            </w:tcMar>
          </w:tcPr>
          <w:p w14:paraId="69B90BCC" w14:textId="7B173FFC" w:rsidR="00D40ED4" w:rsidRPr="00D2378E" w:rsidRDefault="00D40ED4" w:rsidP="00D40ED4">
            <w:pPr>
              <w:pStyle w:val="Tabletextmeasures85pt"/>
              <w:keepNext/>
              <w:rPr>
                <w:color w:val="000000" w:themeColor="text1"/>
              </w:rPr>
            </w:pPr>
            <w:r w:rsidRPr="00D2378E">
              <w:rPr>
                <w:color w:val="000000" w:themeColor="text1"/>
              </w:rPr>
              <w:t>N/A</w:t>
            </w:r>
            <w:r w:rsidRPr="00D2378E">
              <w:rPr>
                <w:rStyle w:val="FootnoteReference"/>
                <w:color w:val="000000" w:themeColor="text1"/>
                <w:sz w:val="17"/>
              </w:rPr>
              <w:footnoteReference w:id="8"/>
            </w:r>
          </w:p>
        </w:tc>
        <w:tc>
          <w:tcPr>
            <w:tcW w:w="975" w:type="pct"/>
            <w:gridSpan w:val="2"/>
            <w:vMerge w:val="restart"/>
            <w:shd w:val="clear" w:color="auto" w:fill="auto"/>
            <w:tcMar>
              <w:left w:w="85" w:type="dxa"/>
            </w:tcMar>
          </w:tcPr>
          <w:p w14:paraId="7B067031" w14:textId="5663D915" w:rsidR="00D40ED4" w:rsidRPr="00D2378E" w:rsidRDefault="00D40ED4" w:rsidP="00D40ED4">
            <w:pPr>
              <w:pStyle w:val="Tabletextmeasures85pt"/>
              <w:rPr>
                <w:color w:val="000000" w:themeColor="text1"/>
              </w:rPr>
            </w:pPr>
            <w:r w:rsidRPr="00D2378E">
              <w:rPr>
                <w:color w:val="000000" w:themeColor="text1"/>
              </w:rPr>
              <w:t>36%</w:t>
            </w:r>
          </w:p>
        </w:tc>
        <w:tc>
          <w:tcPr>
            <w:tcW w:w="987" w:type="pct"/>
            <w:vMerge w:val="restart"/>
            <w:shd w:val="clear" w:color="auto" w:fill="auto"/>
            <w:tcMar>
              <w:left w:w="85" w:type="dxa"/>
            </w:tcMar>
          </w:tcPr>
          <w:p w14:paraId="410AF4E6" w14:textId="4F8BCEFF" w:rsidR="00D40ED4" w:rsidRPr="00D2378E" w:rsidRDefault="00D40ED4" w:rsidP="00D40ED4">
            <w:pPr>
              <w:pStyle w:val="Tabletextmeasures85pt"/>
              <w:rPr>
                <w:color w:val="000000" w:themeColor="text1"/>
                <w:highlight w:val="yellow"/>
              </w:rPr>
            </w:pPr>
            <w:r w:rsidRPr="00D2378E">
              <w:rPr>
                <w:color w:val="000000" w:themeColor="text1"/>
              </w:rPr>
              <w:t>37%</w:t>
            </w:r>
          </w:p>
        </w:tc>
        <w:tc>
          <w:tcPr>
            <w:tcW w:w="977" w:type="pct"/>
            <w:gridSpan w:val="2"/>
            <w:vMerge w:val="restart"/>
            <w:shd w:val="clear" w:color="auto" w:fill="auto"/>
            <w:tcMar>
              <w:left w:w="85" w:type="dxa"/>
            </w:tcMar>
          </w:tcPr>
          <w:p w14:paraId="5C61E103" w14:textId="4190FAB5" w:rsidR="00D40ED4" w:rsidRPr="00D2378E" w:rsidRDefault="00D40ED4" w:rsidP="00D40ED4">
            <w:pPr>
              <w:pStyle w:val="Tabletextmeasures85pt"/>
              <w:rPr>
                <w:color w:val="000000" w:themeColor="text1"/>
                <w:highlight w:val="yellow"/>
              </w:rPr>
            </w:pPr>
            <w:r w:rsidRPr="00D2378E">
              <w:rPr>
                <w:color w:val="000000" w:themeColor="text1"/>
              </w:rPr>
              <w:t>40%</w:t>
            </w:r>
          </w:p>
        </w:tc>
        <w:tc>
          <w:tcPr>
            <w:tcW w:w="985" w:type="pct"/>
            <w:vMerge w:val="restart"/>
            <w:shd w:val="clear" w:color="auto" w:fill="auto"/>
            <w:tcMar>
              <w:left w:w="85" w:type="dxa"/>
            </w:tcMar>
          </w:tcPr>
          <w:p w14:paraId="3202188B" w14:textId="71EEC512" w:rsidR="00D40ED4" w:rsidRPr="00D2378E" w:rsidRDefault="00D40ED4" w:rsidP="00D40ED4">
            <w:pPr>
              <w:pStyle w:val="Tabletextmeasures85pt"/>
              <w:rPr>
                <w:color w:val="000000" w:themeColor="text1"/>
                <w:highlight w:val="yellow"/>
              </w:rPr>
            </w:pPr>
            <w:r w:rsidRPr="00D2378E">
              <w:rPr>
                <w:color w:val="000000" w:themeColor="text1"/>
              </w:rPr>
              <w:t>43%</w:t>
            </w:r>
          </w:p>
        </w:tc>
      </w:tr>
      <w:tr w:rsidR="00D40ED4" w:rsidRPr="00EE76CA" w14:paraId="571C27EF" w14:textId="77777777" w:rsidTr="00A56552">
        <w:trPr>
          <w:trHeight w:val="93"/>
          <w:jc w:val="center"/>
        </w:trPr>
        <w:tc>
          <w:tcPr>
            <w:tcW w:w="1076" w:type="pct"/>
            <w:shd w:val="clear" w:color="auto" w:fill="auto"/>
            <w:tcMar>
              <w:left w:w="85" w:type="dxa"/>
            </w:tcMar>
          </w:tcPr>
          <w:p w14:paraId="28F7B76C" w14:textId="56D3D36F" w:rsidR="00D40ED4" w:rsidRPr="00EE76CA" w:rsidRDefault="00D40ED4" w:rsidP="00D40ED4">
            <w:pPr>
              <w:pStyle w:val="Tabletextmeasures85pt"/>
              <w:keepNext/>
              <w:rPr>
                <w:color w:val="000000" w:themeColor="text1"/>
                <w:highlight w:val="yellow"/>
              </w:rPr>
            </w:pPr>
            <w:r w:rsidRPr="00EE76CA">
              <w:rPr>
                <w:b/>
                <w:color w:val="000000" w:themeColor="text1"/>
              </w:rPr>
              <w:t>202</w:t>
            </w:r>
            <w:r>
              <w:rPr>
                <w:b/>
                <w:color w:val="000000" w:themeColor="text1"/>
              </w:rPr>
              <w:t xml:space="preserve">1 </w:t>
            </w:r>
            <w:r w:rsidR="00EE2577">
              <w:rPr>
                <w:b/>
                <w:color w:val="000000" w:themeColor="text1"/>
              </w:rPr>
              <w:t xml:space="preserve">Expected </w:t>
            </w:r>
            <w:r>
              <w:rPr>
                <w:b/>
                <w:color w:val="000000" w:themeColor="text1"/>
              </w:rPr>
              <w:t>Performance Result</w:t>
            </w:r>
          </w:p>
        </w:tc>
        <w:tc>
          <w:tcPr>
            <w:tcW w:w="975" w:type="pct"/>
            <w:gridSpan w:val="2"/>
            <w:vMerge/>
            <w:shd w:val="clear" w:color="auto" w:fill="auto"/>
            <w:tcMar>
              <w:left w:w="85" w:type="dxa"/>
            </w:tcMar>
          </w:tcPr>
          <w:p w14:paraId="424474CA" w14:textId="77777777" w:rsidR="00D40ED4" w:rsidRPr="00EE76CA" w:rsidRDefault="00D40ED4" w:rsidP="00D40ED4">
            <w:pPr>
              <w:pStyle w:val="Tabletextmeasures85pt"/>
              <w:rPr>
                <w:color w:val="000000" w:themeColor="text1"/>
                <w:highlight w:val="yellow"/>
              </w:rPr>
            </w:pPr>
          </w:p>
        </w:tc>
        <w:tc>
          <w:tcPr>
            <w:tcW w:w="987" w:type="pct"/>
            <w:vMerge/>
            <w:shd w:val="clear" w:color="auto" w:fill="auto"/>
            <w:tcMar>
              <w:left w:w="85" w:type="dxa"/>
            </w:tcMar>
          </w:tcPr>
          <w:p w14:paraId="574138F5" w14:textId="77777777" w:rsidR="00D40ED4" w:rsidRPr="00EE76CA" w:rsidRDefault="00D40ED4" w:rsidP="00D40ED4">
            <w:pPr>
              <w:pStyle w:val="Tabletextmeasures85pt"/>
              <w:rPr>
                <w:color w:val="000000" w:themeColor="text1"/>
                <w:highlight w:val="yellow"/>
              </w:rPr>
            </w:pPr>
          </w:p>
        </w:tc>
        <w:tc>
          <w:tcPr>
            <w:tcW w:w="977" w:type="pct"/>
            <w:gridSpan w:val="2"/>
            <w:vMerge/>
            <w:shd w:val="clear" w:color="auto" w:fill="auto"/>
            <w:tcMar>
              <w:left w:w="85" w:type="dxa"/>
            </w:tcMar>
          </w:tcPr>
          <w:p w14:paraId="7C32E518" w14:textId="77777777" w:rsidR="00D40ED4" w:rsidRPr="00EE76CA" w:rsidRDefault="00D40ED4" w:rsidP="00D40ED4">
            <w:pPr>
              <w:pStyle w:val="Tabletextmeasures85pt"/>
              <w:rPr>
                <w:color w:val="000000" w:themeColor="text1"/>
                <w:highlight w:val="yellow"/>
              </w:rPr>
            </w:pPr>
          </w:p>
        </w:tc>
        <w:tc>
          <w:tcPr>
            <w:tcW w:w="985" w:type="pct"/>
            <w:vMerge/>
            <w:shd w:val="clear" w:color="auto" w:fill="auto"/>
            <w:tcMar>
              <w:left w:w="85" w:type="dxa"/>
            </w:tcMar>
          </w:tcPr>
          <w:p w14:paraId="478BBE9B" w14:textId="77777777" w:rsidR="00D40ED4" w:rsidRPr="00EE76CA" w:rsidRDefault="00D40ED4" w:rsidP="00D40ED4">
            <w:pPr>
              <w:pStyle w:val="Tabletextmeasures85pt"/>
              <w:rPr>
                <w:color w:val="000000" w:themeColor="text1"/>
                <w:highlight w:val="yellow"/>
              </w:rPr>
            </w:pPr>
          </w:p>
        </w:tc>
      </w:tr>
      <w:tr w:rsidR="00D40ED4" w:rsidRPr="00EE76CA" w14:paraId="490B4C78" w14:textId="77777777" w:rsidTr="00A56552">
        <w:trPr>
          <w:trHeight w:val="93"/>
          <w:jc w:val="center"/>
        </w:trPr>
        <w:tc>
          <w:tcPr>
            <w:tcW w:w="1076" w:type="pct"/>
            <w:shd w:val="clear" w:color="auto" w:fill="auto"/>
            <w:tcMar>
              <w:left w:w="85" w:type="dxa"/>
            </w:tcMar>
          </w:tcPr>
          <w:p w14:paraId="6E34DDAE" w14:textId="14B70461" w:rsidR="00D40ED4" w:rsidRPr="00EE76CA" w:rsidRDefault="00D40ED4" w:rsidP="00D40ED4">
            <w:pPr>
              <w:pStyle w:val="Tabletextmeasures85pt"/>
              <w:keepNext/>
              <w:rPr>
                <w:color w:val="000000" w:themeColor="text1"/>
                <w:highlight w:val="yellow"/>
              </w:rPr>
            </w:pPr>
            <w:r>
              <w:rPr>
                <w:color w:val="000000" w:themeColor="text1"/>
              </w:rPr>
              <w:t>36%</w:t>
            </w:r>
          </w:p>
        </w:tc>
        <w:tc>
          <w:tcPr>
            <w:tcW w:w="975" w:type="pct"/>
            <w:gridSpan w:val="2"/>
            <w:vMerge/>
            <w:shd w:val="clear" w:color="auto" w:fill="auto"/>
            <w:tcMar>
              <w:left w:w="85" w:type="dxa"/>
            </w:tcMar>
          </w:tcPr>
          <w:p w14:paraId="7D293E97" w14:textId="77777777" w:rsidR="00D40ED4" w:rsidRPr="00EE76CA" w:rsidRDefault="00D40ED4" w:rsidP="00D40ED4">
            <w:pPr>
              <w:pStyle w:val="Tabletextmeasures85pt"/>
              <w:rPr>
                <w:color w:val="000000" w:themeColor="text1"/>
                <w:highlight w:val="yellow"/>
              </w:rPr>
            </w:pPr>
          </w:p>
        </w:tc>
        <w:tc>
          <w:tcPr>
            <w:tcW w:w="987" w:type="pct"/>
            <w:vMerge/>
            <w:shd w:val="clear" w:color="auto" w:fill="auto"/>
            <w:tcMar>
              <w:left w:w="85" w:type="dxa"/>
            </w:tcMar>
          </w:tcPr>
          <w:p w14:paraId="325313BA" w14:textId="77777777" w:rsidR="00D40ED4" w:rsidRPr="00EE76CA" w:rsidRDefault="00D40ED4" w:rsidP="00D40ED4">
            <w:pPr>
              <w:pStyle w:val="Tabletextmeasures85pt"/>
              <w:rPr>
                <w:color w:val="000000" w:themeColor="text1"/>
                <w:highlight w:val="yellow"/>
              </w:rPr>
            </w:pPr>
          </w:p>
        </w:tc>
        <w:tc>
          <w:tcPr>
            <w:tcW w:w="977" w:type="pct"/>
            <w:gridSpan w:val="2"/>
            <w:vMerge/>
            <w:shd w:val="clear" w:color="auto" w:fill="auto"/>
            <w:tcMar>
              <w:left w:w="85" w:type="dxa"/>
            </w:tcMar>
          </w:tcPr>
          <w:p w14:paraId="38289D90" w14:textId="77777777" w:rsidR="00D40ED4" w:rsidRPr="00EE76CA" w:rsidRDefault="00D40ED4" w:rsidP="00D40ED4">
            <w:pPr>
              <w:pStyle w:val="Tabletextmeasures85pt"/>
              <w:rPr>
                <w:color w:val="000000" w:themeColor="text1"/>
                <w:highlight w:val="yellow"/>
              </w:rPr>
            </w:pPr>
          </w:p>
        </w:tc>
        <w:tc>
          <w:tcPr>
            <w:tcW w:w="985" w:type="pct"/>
            <w:vMerge/>
            <w:shd w:val="clear" w:color="auto" w:fill="auto"/>
            <w:tcMar>
              <w:left w:w="85" w:type="dxa"/>
            </w:tcMar>
          </w:tcPr>
          <w:p w14:paraId="093172BC" w14:textId="77777777" w:rsidR="00D40ED4" w:rsidRPr="00EE76CA" w:rsidRDefault="00D40ED4" w:rsidP="00D40ED4">
            <w:pPr>
              <w:pStyle w:val="Tabletextmeasures85pt"/>
              <w:rPr>
                <w:color w:val="000000" w:themeColor="text1"/>
                <w:highlight w:val="yellow"/>
              </w:rPr>
            </w:pPr>
          </w:p>
        </w:tc>
      </w:tr>
      <w:tr w:rsidR="00775D04" w:rsidRPr="00EE76CA" w14:paraId="0B2FE092" w14:textId="77777777" w:rsidTr="00F451D3">
        <w:trPr>
          <w:trHeight w:val="283"/>
          <w:jc w:val="center"/>
        </w:trPr>
        <w:tc>
          <w:tcPr>
            <w:tcW w:w="5000" w:type="pct"/>
            <w:gridSpan w:val="7"/>
            <w:shd w:val="clear" w:color="auto" w:fill="D9D9D9" w:themeFill="background1" w:themeFillShade="D9"/>
            <w:tcMar>
              <w:left w:w="85" w:type="dxa"/>
            </w:tcMar>
            <w:vAlign w:val="center"/>
          </w:tcPr>
          <w:p w14:paraId="6D08F1C4" w14:textId="40354BDC" w:rsidR="00775D04" w:rsidRPr="00D2378E" w:rsidRDefault="00BC526D" w:rsidP="00F451D3">
            <w:pPr>
              <w:pStyle w:val="Tableheadingrowmeasures85pt"/>
              <w:rPr>
                <w:color w:val="000000" w:themeColor="text1"/>
              </w:rPr>
            </w:pPr>
            <w:r w:rsidRPr="00D2378E">
              <w:rPr>
                <w:color w:val="000000" w:themeColor="text1"/>
              </w:rPr>
              <w:t>National organ donation consent rate.</w:t>
            </w:r>
          </w:p>
        </w:tc>
      </w:tr>
      <w:tr w:rsidR="00775D04" w:rsidRPr="00EE76CA" w14:paraId="373548FB" w14:textId="77777777" w:rsidTr="00F451D3">
        <w:trPr>
          <w:trHeight w:val="132"/>
          <w:jc w:val="center"/>
        </w:trPr>
        <w:tc>
          <w:tcPr>
            <w:tcW w:w="1076" w:type="pct"/>
            <w:shd w:val="clear" w:color="auto" w:fill="auto"/>
            <w:tcMar>
              <w:left w:w="85" w:type="dxa"/>
            </w:tcMar>
          </w:tcPr>
          <w:p w14:paraId="46C6F7F6" w14:textId="5919DCFE" w:rsidR="00775D04" w:rsidRPr="00D2378E" w:rsidRDefault="00775D04" w:rsidP="0046604A">
            <w:pPr>
              <w:pStyle w:val="Tableheadingrowmeasures85pt"/>
              <w:keepNext/>
              <w:keepLines/>
              <w:rPr>
                <w:color w:val="000000" w:themeColor="text1"/>
              </w:rPr>
            </w:pPr>
            <w:r w:rsidRPr="00D2378E">
              <w:rPr>
                <w:color w:val="auto"/>
              </w:rPr>
              <w:t>P</w:t>
            </w:r>
            <w:r w:rsidR="0046604A" w:rsidRPr="00D2378E">
              <w:rPr>
                <w:color w:val="auto"/>
              </w:rPr>
              <w:t>rior</w:t>
            </w:r>
            <w:r w:rsidRPr="00D2378E">
              <w:rPr>
                <w:color w:val="auto"/>
              </w:rPr>
              <w:t xml:space="preserve"> Year</w:t>
            </w:r>
            <w:r w:rsidRPr="00D2378E">
              <w:rPr>
                <w:color w:val="auto"/>
              </w:rPr>
              <w:br/>
              <w:t>2021</w:t>
            </w:r>
            <w:r w:rsidRPr="00D2378E">
              <w:rPr>
                <w:color w:val="auto"/>
              </w:rPr>
              <w:br/>
              <w:t>Planned Performance Result</w:t>
            </w:r>
          </w:p>
        </w:tc>
        <w:tc>
          <w:tcPr>
            <w:tcW w:w="975" w:type="pct"/>
            <w:gridSpan w:val="2"/>
            <w:shd w:val="clear" w:color="auto" w:fill="auto"/>
            <w:tcMar>
              <w:left w:w="85" w:type="dxa"/>
            </w:tcMar>
          </w:tcPr>
          <w:p w14:paraId="5A2377AD" w14:textId="77777777" w:rsidR="00775D04" w:rsidRPr="00D2378E" w:rsidRDefault="00775D04" w:rsidP="00F451D3">
            <w:pPr>
              <w:pStyle w:val="Tableheadingrowmeasures85pt"/>
              <w:keepNext/>
              <w:keepLines/>
              <w:rPr>
                <w:color w:val="000000" w:themeColor="text1"/>
              </w:rPr>
            </w:pPr>
            <w:r w:rsidRPr="00D2378E">
              <w:rPr>
                <w:color w:val="auto"/>
              </w:rPr>
              <w:t>Budget Year</w:t>
            </w:r>
            <w:r w:rsidRPr="00D2378E">
              <w:rPr>
                <w:color w:val="auto"/>
              </w:rPr>
              <w:br/>
              <w:t>2022 Planned Performance Result</w:t>
            </w:r>
          </w:p>
        </w:tc>
        <w:tc>
          <w:tcPr>
            <w:tcW w:w="987" w:type="pct"/>
            <w:shd w:val="clear" w:color="auto" w:fill="auto"/>
            <w:tcMar>
              <w:left w:w="85" w:type="dxa"/>
            </w:tcMar>
          </w:tcPr>
          <w:p w14:paraId="1DB3037D" w14:textId="77777777" w:rsidR="00775D04" w:rsidRPr="00D2378E" w:rsidRDefault="00775D04" w:rsidP="00F451D3">
            <w:pPr>
              <w:pStyle w:val="Tableheadingrowmeasures85pt"/>
              <w:keepNext/>
              <w:keepLines/>
              <w:rPr>
                <w:color w:val="000000" w:themeColor="text1"/>
              </w:rPr>
            </w:pPr>
            <w:r w:rsidRPr="00D2378E">
              <w:rPr>
                <w:color w:val="auto"/>
              </w:rPr>
              <w:t>Forward Estimates</w:t>
            </w:r>
            <w:r w:rsidRPr="00D2378E">
              <w:rPr>
                <w:color w:val="auto"/>
              </w:rPr>
              <w:br/>
              <w:t>2023 Planned Performance Result</w:t>
            </w:r>
          </w:p>
        </w:tc>
        <w:tc>
          <w:tcPr>
            <w:tcW w:w="977" w:type="pct"/>
            <w:gridSpan w:val="2"/>
            <w:shd w:val="clear" w:color="auto" w:fill="auto"/>
            <w:tcMar>
              <w:left w:w="85" w:type="dxa"/>
            </w:tcMar>
          </w:tcPr>
          <w:p w14:paraId="77998B81" w14:textId="77777777" w:rsidR="00775D04" w:rsidRPr="00D2378E" w:rsidRDefault="00775D04" w:rsidP="00F451D3">
            <w:pPr>
              <w:pStyle w:val="Tableheadingrowmeasures85pt"/>
              <w:rPr>
                <w:color w:val="000000" w:themeColor="text1"/>
              </w:rPr>
            </w:pPr>
            <w:r w:rsidRPr="00D2378E">
              <w:rPr>
                <w:color w:val="auto"/>
              </w:rPr>
              <w:t>Forward Estimates</w:t>
            </w:r>
            <w:r w:rsidRPr="00D2378E">
              <w:rPr>
                <w:color w:val="auto"/>
              </w:rPr>
              <w:br/>
              <w:t>2024 Planned Performance Result</w:t>
            </w:r>
          </w:p>
        </w:tc>
        <w:tc>
          <w:tcPr>
            <w:tcW w:w="985" w:type="pct"/>
            <w:shd w:val="clear" w:color="auto" w:fill="auto"/>
            <w:tcMar>
              <w:left w:w="85" w:type="dxa"/>
            </w:tcMar>
          </w:tcPr>
          <w:p w14:paraId="5889BD70" w14:textId="77777777" w:rsidR="00775D04" w:rsidRPr="00D2378E" w:rsidRDefault="00775D04" w:rsidP="00F451D3">
            <w:pPr>
              <w:pStyle w:val="Tableheadingrowmeasures85pt"/>
              <w:rPr>
                <w:color w:val="000000" w:themeColor="text1"/>
              </w:rPr>
            </w:pPr>
            <w:r w:rsidRPr="00D2378E">
              <w:rPr>
                <w:color w:val="auto"/>
              </w:rPr>
              <w:t>Forward Estimates</w:t>
            </w:r>
            <w:r w:rsidRPr="00D2378E">
              <w:rPr>
                <w:color w:val="auto"/>
              </w:rPr>
              <w:br/>
              <w:t>2025 Planned Performance Result</w:t>
            </w:r>
          </w:p>
        </w:tc>
      </w:tr>
      <w:tr w:rsidR="00775D04" w:rsidRPr="00EE76CA" w14:paraId="55C6932D" w14:textId="77777777" w:rsidTr="00F451D3">
        <w:trPr>
          <w:trHeight w:val="94"/>
          <w:jc w:val="center"/>
        </w:trPr>
        <w:tc>
          <w:tcPr>
            <w:tcW w:w="1076" w:type="pct"/>
            <w:shd w:val="clear" w:color="auto" w:fill="auto"/>
            <w:tcMar>
              <w:left w:w="85" w:type="dxa"/>
            </w:tcMar>
          </w:tcPr>
          <w:p w14:paraId="123D901D" w14:textId="74F84BC9" w:rsidR="00775D04" w:rsidRPr="00D2378E" w:rsidRDefault="00775D04" w:rsidP="00775D04">
            <w:pPr>
              <w:pStyle w:val="Tabletextmeasures85pt"/>
              <w:keepNext/>
              <w:rPr>
                <w:color w:val="000000" w:themeColor="text1"/>
              </w:rPr>
            </w:pPr>
            <w:r w:rsidRPr="00D2378E">
              <w:rPr>
                <w:color w:val="000000" w:themeColor="text1"/>
              </w:rPr>
              <w:t>70%</w:t>
            </w:r>
          </w:p>
        </w:tc>
        <w:tc>
          <w:tcPr>
            <w:tcW w:w="975" w:type="pct"/>
            <w:gridSpan w:val="2"/>
            <w:vMerge w:val="restart"/>
            <w:shd w:val="clear" w:color="auto" w:fill="auto"/>
            <w:tcMar>
              <w:left w:w="85" w:type="dxa"/>
            </w:tcMar>
          </w:tcPr>
          <w:p w14:paraId="5ECE7496" w14:textId="748056A7" w:rsidR="00775D04" w:rsidRPr="00D2378E" w:rsidRDefault="00775D04" w:rsidP="00775D04">
            <w:pPr>
              <w:pStyle w:val="Tabletextmeasures85pt"/>
              <w:rPr>
                <w:color w:val="000000" w:themeColor="text1"/>
              </w:rPr>
            </w:pPr>
            <w:r w:rsidRPr="00D2378E">
              <w:rPr>
                <w:color w:val="000000" w:themeColor="text1"/>
              </w:rPr>
              <w:t>56%</w:t>
            </w:r>
          </w:p>
        </w:tc>
        <w:tc>
          <w:tcPr>
            <w:tcW w:w="987" w:type="pct"/>
            <w:vMerge w:val="restart"/>
            <w:shd w:val="clear" w:color="auto" w:fill="auto"/>
            <w:tcMar>
              <w:left w:w="85" w:type="dxa"/>
            </w:tcMar>
          </w:tcPr>
          <w:p w14:paraId="315B8658" w14:textId="7A892F96" w:rsidR="00775D04" w:rsidRPr="00D2378E" w:rsidRDefault="00775D04" w:rsidP="00775D04">
            <w:pPr>
              <w:pStyle w:val="Tabletextmeasures85pt"/>
              <w:rPr>
                <w:color w:val="000000" w:themeColor="text1"/>
                <w:highlight w:val="yellow"/>
              </w:rPr>
            </w:pPr>
            <w:r w:rsidRPr="00D2378E">
              <w:rPr>
                <w:color w:val="000000" w:themeColor="text1"/>
              </w:rPr>
              <w:t>58%</w:t>
            </w:r>
          </w:p>
        </w:tc>
        <w:tc>
          <w:tcPr>
            <w:tcW w:w="977" w:type="pct"/>
            <w:gridSpan w:val="2"/>
            <w:vMerge w:val="restart"/>
            <w:shd w:val="clear" w:color="auto" w:fill="auto"/>
            <w:tcMar>
              <w:left w:w="85" w:type="dxa"/>
            </w:tcMar>
          </w:tcPr>
          <w:p w14:paraId="1F3DAE5E" w14:textId="7BF3957C" w:rsidR="00775D04" w:rsidRPr="00D2378E" w:rsidRDefault="00775D04" w:rsidP="00775D04">
            <w:pPr>
              <w:pStyle w:val="Tabletextmeasures85pt"/>
              <w:rPr>
                <w:color w:val="000000" w:themeColor="text1"/>
                <w:highlight w:val="yellow"/>
              </w:rPr>
            </w:pPr>
            <w:r w:rsidRPr="00D2378E">
              <w:rPr>
                <w:color w:val="000000" w:themeColor="text1"/>
              </w:rPr>
              <w:t>60%</w:t>
            </w:r>
          </w:p>
        </w:tc>
        <w:tc>
          <w:tcPr>
            <w:tcW w:w="985" w:type="pct"/>
            <w:vMerge w:val="restart"/>
            <w:shd w:val="clear" w:color="auto" w:fill="auto"/>
            <w:tcMar>
              <w:left w:w="85" w:type="dxa"/>
            </w:tcMar>
          </w:tcPr>
          <w:p w14:paraId="1C57222B" w14:textId="4ABAA9F6" w:rsidR="00775D04" w:rsidRPr="00D2378E" w:rsidRDefault="00775D04" w:rsidP="00775D04">
            <w:pPr>
              <w:pStyle w:val="Tabletextmeasures85pt"/>
              <w:rPr>
                <w:color w:val="000000" w:themeColor="text1"/>
                <w:highlight w:val="yellow"/>
              </w:rPr>
            </w:pPr>
            <w:r w:rsidRPr="00D2378E">
              <w:rPr>
                <w:color w:val="000000" w:themeColor="text1"/>
              </w:rPr>
              <w:t>63%</w:t>
            </w:r>
          </w:p>
        </w:tc>
      </w:tr>
      <w:tr w:rsidR="00775D04" w:rsidRPr="00EE76CA" w14:paraId="2132CAF4" w14:textId="77777777" w:rsidTr="00F451D3">
        <w:trPr>
          <w:trHeight w:val="93"/>
          <w:jc w:val="center"/>
        </w:trPr>
        <w:tc>
          <w:tcPr>
            <w:tcW w:w="1076" w:type="pct"/>
            <w:shd w:val="clear" w:color="auto" w:fill="auto"/>
            <w:tcMar>
              <w:left w:w="85" w:type="dxa"/>
            </w:tcMar>
          </w:tcPr>
          <w:p w14:paraId="3E091118" w14:textId="5E844248" w:rsidR="00775D04" w:rsidRPr="00D2378E" w:rsidRDefault="00775D04" w:rsidP="00775D04">
            <w:pPr>
              <w:pStyle w:val="Tabletextmeasures85pt"/>
              <w:keepNext/>
              <w:rPr>
                <w:color w:val="000000" w:themeColor="text1"/>
                <w:highlight w:val="yellow"/>
              </w:rPr>
            </w:pPr>
            <w:r w:rsidRPr="00D2378E">
              <w:rPr>
                <w:b/>
                <w:color w:val="000000" w:themeColor="text1"/>
              </w:rPr>
              <w:t xml:space="preserve">2021 </w:t>
            </w:r>
            <w:r w:rsidR="00EE2577" w:rsidRPr="00D2378E">
              <w:rPr>
                <w:b/>
                <w:color w:val="000000" w:themeColor="text1"/>
              </w:rPr>
              <w:t>Expected</w:t>
            </w:r>
            <w:r w:rsidR="005C4972" w:rsidRPr="00D2378E">
              <w:rPr>
                <w:b/>
                <w:color w:val="000000" w:themeColor="text1"/>
              </w:rPr>
              <w:t xml:space="preserve"> </w:t>
            </w:r>
            <w:r w:rsidRPr="00D2378E">
              <w:rPr>
                <w:b/>
                <w:color w:val="000000" w:themeColor="text1"/>
              </w:rPr>
              <w:t>Performance Result</w:t>
            </w:r>
          </w:p>
        </w:tc>
        <w:tc>
          <w:tcPr>
            <w:tcW w:w="975" w:type="pct"/>
            <w:gridSpan w:val="2"/>
            <w:vMerge/>
            <w:shd w:val="clear" w:color="auto" w:fill="auto"/>
            <w:tcMar>
              <w:left w:w="85" w:type="dxa"/>
            </w:tcMar>
          </w:tcPr>
          <w:p w14:paraId="7CE1A732" w14:textId="77777777" w:rsidR="00775D04" w:rsidRPr="00D2378E" w:rsidRDefault="00775D04" w:rsidP="00775D04">
            <w:pPr>
              <w:pStyle w:val="Tabletextmeasures85pt"/>
              <w:rPr>
                <w:color w:val="000000" w:themeColor="text1"/>
                <w:highlight w:val="yellow"/>
              </w:rPr>
            </w:pPr>
          </w:p>
        </w:tc>
        <w:tc>
          <w:tcPr>
            <w:tcW w:w="987" w:type="pct"/>
            <w:vMerge/>
            <w:shd w:val="clear" w:color="auto" w:fill="auto"/>
            <w:tcMar>
              <w:left w:w="85" w:type="dxa"/>
            </w:tcMar>
          </w:tcPr>
          <w:p w14:paraId="77D8356D" w14:textId="77777777" w:rsidR="00775D04" w:rsidRPr="00D2378E" w:rsidRDefault="00775D04" w:rsidP="00775D04">
            <w:pPr>
              <w:pStyle w:val="Tabletextmeasures85pt"/>
              <w:rPr>
                <w:color w:val="000000" w:themeColor="text1"/>
                <w:highlight w:val="yellow"/>
              </w:rPr>
            </w:pPr>
          </w:p>
        </w:tc>
        <w:tc>
          <w:tcPr>
            <w:tcW w:w="977" w:type="pct"/>
            <w:gridSpan w:val="2"/>
            <w:vMerge/>
            <w:shd w:val="clear" w:color="auto" w:fill="auto"/>
            <w:tcMar>
              <w:left w:w="85" w:type="dxa"/>
            </w:tcMar>
          </w:tcPr>
          <w:p w14:paraId="3C869800" w14:textId="77777777" w:rsidR="00775D04" w:rsidRPr="00D2378E" w:rsidRDefault="00775D04" w:rsidP="00775D04">
            <w:pPr>
              <w:pStyle w:val="Tabletextmeasures85pt"/>
              <w:rPr>
                <w:color w:val="000000" w:themeColor="text1"/>
                <w:highlight w:val="yellow"/>
              </w:rPr>
            </w:pPr>
          </w:p>
        </w:tc>
        <w:tc>
          <w:tcPr>
            <w:tcW w:w="985" w:type="pct"/>
            <w:vMerge/>
            <w:shd w:val="clear" w:color="auto" w:fill="auto"/>
            <w:tcMar>
              <w:left w:w="85" w:type="dxa"/>
            </w:tcMar>
          </w:tcPr>
          <w:p w14:paraId="12820627" w14:textId="77777777" w:rsidR="00775D04" w:rsidRPr="00D2378E" w:rsidRDefault="00775D04" w:rsidP="00775D04">
            <w:pPr>
              <w:pStyle w:val="Tabletextmeasures85pt"/>
              <w:rPr>
                <w:color w:val="000000" w:themeColor="text1"/>
                <w:highlight w:val="yellow"/>
              </w:rPr>
            </w:pPr>
          </w:p>
        </w:tc>
      </w:tr>
      <w:tr w:rsidR="00775D04" w:rsidRPr="00EE76CA" w14:paraId="1F0F9D0A" w14:textId="77777777" w:rsidTr="00F451D3">
        <w:trPr>
          <w:trHeight w:val="93"/>
          <w:jc w:val="center"/>
        </w:trPr>
        <w:tc>
          <w:tcPr>
            <w:tcW w:w="1076" w:type="pct"/>
            <w:shd w:val="clear" w:color="auto" w:fill="auto"/>
            <w:tcMar>
              <w:left w:w="85" w:type="dxa"/>
            </w:tcMar>
          </w:tcPr>
          <w:p w14:paraId="34A0C2BD" w14:textId="4A914982" w:rsidR="00775D04" w:rsidRPr="00D2378E" w:rsidRDefault="00775D04" w:rsidP="00775D04">
            <w:pPr>
              <w:pStyle w:val="Tabletextmeasures85pt"/>
              <w:keepNext/>
              <w:rPr>
                <w:color w:val="000000" w:themeColor="text1"/>
                <w:highlight w:val="yellow"/>
              </w:rPr>
            </w:pPr>
            <w:r w:rsidRPr="00D2378E">
              <w:rPr>
                <w:color w:val="000000" w:themeColor="text1"/>
              </w:rPr>
              <w:t>56%</w:t>
            </w:r>
            <w:r w:rsidRPr="00D2378E">
              <w:rPr>
                <w:rStyle w:val="FootnoteReference"/>
                <w:color w:val="000000" w:themeColor="text1"/>
                <w:sz w:val="17"/>
              </w:rPr>
              <w:footnoteReference w:id="9"/>
            </w:r>
          </w:p>
        </w:tc>
        <w:tc>
          <w:tcPr>
            <w:tcW w:w="975" w:type="pct"/>
            <w:gridSpan w:val="2"/>
            <w:vMerge/>
            <w:shd w:val="clear" w:color="auto" w:fill="auto"/>
            <w:tcMar>
              <w:left w:w="85" w:type="dxa"/>
            </w:tcMar>
          </w:tcPr>
          <w:p w14:paraId="165BAD2C" w14:textId="77777777" w:rsidR="00775D04" w:rsidRPr="00D2378E" w:rsidRDefault="00775D04" w:rsidP="00775D04">
            <w:pPr>
              <w:pStyle w:val="Tabletextmeasures85pt"/>
              <w:rPr>
                <w:color w:val="000000" w:themeColor="text1"/>
                <w:highlight w:val="yellow"/>
              </w:rPr>
            </w:pPr>
          </w:p>
        </w:tc>
        <w:tc>
          <w:tcPr>
            <w:tcW w:w="987" w:type="pct"/>
            <w:vMerge/>
            <w:shd w:val="clear" w:color="auto" w:fill="auto"/>
            <w:tcMar>
              <w:left w:w="85" w:type="dxa"/>
            </w:tcMar>
          </w:tcPr>
          <w:p w14:paraId="560F22A9" w14:textId="77777777" w:rsidR="00775D04" w:rsidRPr="00D2378E" w:rsidRDefault="00775D04" w:rsidP="00775D04">
            <w:pPr>
              <w:pStyle w:val="Tabletextmeasures85pt"/>
              <w:rPr>
                <w:color w:val="000000" w:themeColor="text1"/>
                <w:highlight w:val="yellow"/>
              </w:rPr>
            </w:pPr>
          </w:p>
        </w:tc>
        <w:tc>
          <w:tcPr>
            <w:tcW w:w="977" w:type="pct"/>
            <w:gridSpan w:val="2"/>
            <w:vMerge/>
            <w:shd w:val="clear" w:color="auto" w:fill="auto"/>
            <w:tcMar>
              <w:left w:w="85" w:type="dxa"/>
            </w:tcMar>
          </w:tcPr>
          <w:p w14:paraId="1DB197A5" w14:textId="77777777" w:rsidR="00775D04" w:rsidRPr="00D2378E" w:rsidRDefault="00775D04" w:rsidP="00775D04">
            <w:pPr>
              <w:pStyle w:val="Tabletextmeasures85pt"/>
              <w:rPr>
                <w:color w:val="000000" w:themeColor="text1"/>
                <w:highlight w:val="yellow"/>
              </w:rPr>
            </w:pPr>
          </w:p>
        </w:tc>
        <w:tc>
          <w:tcPr>
            <w:tcW w:w="985" w:type="pct"/>
            <w:vMerge/>
            <w:shd w:val="clear" w:color="auto" w:fill="auto"/>
            <w:tcMar>
              <w:left w:w="85" w:type="dxa"/>
            </w:tcMar>
          </w:tcPr>
          <w:p w14:paraId="41135E26" w14:textId="77777777" w:rsidR="00775D04" w:rsidRPr="00D2378E" w:rsidRDefault="00775D04" w:rsidP="00775D04">
            <w:pPr>
              <w:pStyle w:val="Tabletextmeasures85pt"/>
              <w:rPr>
                <w:color w:val="000000" w:themeColor="text1"/>
                <w:highlight w:val="yellow"/>
              </w:rPr>
            </w:pPr>
          </w:p>
        </w:tc>
      </w:tr>
      <w:tr w:rsidR="00775D04" w:rsidRPr="00EE76CA" w14:paraId="6FC98B65" w14:textId="77777777" w:rsidTr="00A56552">
        <w:trPr>
          <w:trHeight w:val="283"/>
          <w:jc w:val="center"/>
        </w:trPr>
        <w:tc>
          <w:tcPr>
            <w:tcW w:w="5000" w:type="pct"/>
            <w:gridSpan w:val="7"/>
            <w:shd w:val="clear" w:color="auto" w:fill="D9D9D9" w:themeFill="background1" w:themeFillShade="D9"/>
            <w:tcMar>
              <w:left w:w="85" w:type="dxa"/>
            </w:tcMar>
          </w:tcPr>
          <w:p w14:paraId="51817DF2" w14:textId="4BEFB31C" w:rsidR="00775D04" w:rsidRPr="00D2378E" w:rsidRDefault="00775D04" w:rsidP="00775D04">
            <w:pPr>
              <w:pStyle w:val="Tableheadingrowmeasures85pt"/>
              <w:keepNext/>
              <w:rPr>
                <w:color w:val="000000" w:themeColor="text1"/>
              </w:rPr>
            </w:pPr>
            <w:r w:rsidRPr="00D2378E">
              <w:rPr>
                <w:color w:val="000000" w:themeColor="text1"/>
              </w:rPr>
              <w:t>Hospital and jurisdictional performance data and analysis disseminated.</w:t>
            </w:r>
          </w:p>
        </w:tc>
      </w:tr>
      <w:tr w:rsidR="00775D04" w:rsidRPr="00EE76CA" w14:paraId="64A72224" w14:textId="77777777" w:rsidTr="00A56552">
        <w:trPr>
          <w:trHeight w:val="283"/>
          <w:jc w:val="center"/>
        </w:trPr>
        <w:tc>
          <w:tcPr>
            <w:tcW w:w="1721" w:type="pct"/>
            <w:gridSpan w:val="2"/>
            <w:tcMar>
              <w:left w:w="85" w:type="dxa"/>
            </w:tcMar>
          </w:tcPr>
          <w:p w14:paraId="21F5A3C5" w14:textId="4788D478" w:rsidR="00775D04" w:rsidRPr="00D2378E" w:rsidRDefault="00775D04" w:rsidP="0046604A">
            <w:pPr>
              <w:pStyle w:val="Tableheadingrowmeasures85pt"/>
              <w:keepNext/>
              <w:rPr>
                <w:color w:val="000000" w:themeColor="text1"/>
              </w:rPr>
            </w:pPr>
            <w:r w:rsidRPr="00D2378E">
              <w:t>Pr</w:t>
            </w:r>
            <w:r w:rsidR="0046604A" w:rsidRPr="00D2378E">
              <w:t>ior</w:t>
            </w:r>
            <w:r w:rsidRPr="00D2378E">
              <w:t xml:space="preserve"> Year</w:t>
            </w:r>
            <w:r w:rsidRPr="00D2378E">
              <w:br/>
              <w:t>2021 Expected Performance Results</w:t>
            </w:r>
          </w:p>
        </w:tc>
        <w:tc>
          <w:tcPr>
            <w:tcW w:w="1628" w:type="pct"/>
            <w:gridSpan w:val="3"/>
            <w:shd w:val="clear" w:color="auto" w:fill="auto"/>
            <w:tcMar>
              <w:left w:w="85" w:type="dxa"/>
            </w:tcMar>
          </w:tcPr>
          <w:p w14:paraId="67987CA1" w14:textId="462C500F" w:rsidR="00775D04" w:rsidRPr="00D2378E" w:rsidRDefault="00775D04" w:rsidP="00775D04">
            <w:pPr>
              <w:pStyle w:val="Tableheadingrowmeasures85pt"/>
              <w:keepNext/>
              <w:rPr>
                <w:color w:val="000000" w:themeColor="text1"/>
              </w:rPr>
            </w:pPr>
            <w:r w:rsidRPr="00D2378E">
              <w:t>Budget Year</w:t>
            </w:r>
            <w:r w:rsidRPr="00D2378E">
              <w:br/>
              <w:t xml:space="preserve">2022 Planned Performance Results </w:t>
            </w:r>
          </w:p>
        </w:tc>
        <w:tc>
          <w:tcPr>
            <w:tcW w:w="1651" w:type="pct"/>
            <w:gridSpan w:val="2"/>
            <w:shd w:val="clear" w:color="auto" w:fill="auto"/>
            <w:tcMar>
              <w:left w:w="85" w:type="dxa"/>
            </w:tcMar>
          </w:tcPr>
          <w:p w14:paraId="5FF211F1" w14:textId="579C0921" w:rsidR="00775D04" w:rsidRPr="00D2378E" w:rsidRDefault="00775D04" w:rsidP="00775D04">
            <w:pPr>
              <w:pStyle w:val="Tableheadingrowmeasures85pt"/>
              <w:keepNext/>
              <w:rPr>
                <w:color w:val="000000" w:themeColor="text1"/>
              </w:rPr>
            </w:pPr>
            <w:r w:rsidRPr="00D2378E">
              <w:t>Forward Estimates</w:t>
            </w:r>
            <w:r w:rsidRPr="00D2378E">
              <w:br/>
              <w:t>2023–25 Planned Performance Results</w:t>
            </w:r>
          </w:p>
        </w:tc>
      </w:tr>
      <w:tr w:rsidR="00775D04" w:rsidRPr="00EE76CA" w14:paraId="405B864E" w14:textId="77777777" w:rsidTr="00A56552">
        <w:trPr>
          <w:trHeight w:val="786"/>
          <w:jc w:val="center"/>
        </w:trPr>
        <w:tc>
          <w:tcPr>
            <w:tcW w:w="1721" w:type="pct"/>
            <w:gridSpan w:val="2"/>
            <w:tcMar>
              <w:left w:w="85" w:type="dxa"/>
            </w:tcMar>
          </w:tcPr>
          <w:p w14:paraId="71498AAB" w14:textId="6A46813E" w:rsidR="00775D04" w:rsidRPr="00D2378E" w:rsidRDefault="00775D04" w:rsidP="00775D04">
            <w:pPr>
              <w:pStyle w:val="Tabletextmeasures85pt"/>
              <w:rPr>
                <w:color w:val="000000" w:themeColor="text1"/>
              </w:rPr>
            </w:pPr>
            <w:r w:rsidRPr="00D2378E">
              <w:t>N/A</w:t>
            </w:r>
          </w:p>
        </w:tc>
        <w:tc>
          <w:tcPr>
            <w:tcW w:w="1628" w:type="pct"/>
            <w:gridSpan w:val="3"/>
            <w:shd w:val="clear" w:color="auto" w:fill="auto"/>
            <w:tcMar>
              <w:left w:w="85" w:type="dxa"/>
            </w:tcMar>
          </w:tcPr>
          <w:p w14:paraId="23F7E97D" w14:textId="7AFC0615" w:rsidR="00775D04" w:rsidRPr="00D2378E" w:rsidRDefault="00775D04" w:rsidP="00775D04">
            <w:pPr>
              <w:pStyle w:val="Tabletextmeasures85pt"/>
              <w:rPr>
                <w:color w:val="000000" w:themeColor="text1"/>
              </w:rPr>
            </w:pPr>
            <w:r w:rsidRPr="00D2378E">
              <w:rPr>
                <w:color w:val="000000" w:themeColor="text1"/>
              </w:rPr>
              <w:t>Dashboards on the current Clinical Practice Improvement Program metrics are disseminated at least quarterly.</w:t>
            </w:r>
          </w:p>
        </w:tc>
        <w:tc>
          <w:tcPr>
            <w:tcW w:w="1651" w:type="pct"/>
            <w:gridSpan w:val="2"/>
            <w:shd w:val="clear" w:color="auto" w:fill="auto"/>
            <w:tcMar>
              <w:left w:w="85" w:type="dxa"/>
            </w:tcMar>
          </w:tcPr>
          <w:p w14:paraId="78C533A7" w14:textId="79B16E79" w:rsidR="00775D04" w:rsidRPr="00D2378E" w:rsidRDefault="00775D04" w:rsidP="00775D04">
            <w:pPr>
              <w:pStyle w:val="Tabletextmeasures85pt"/>
              <w:rPr>
                <w:color w:val="000000" w:themeColor="text1"/>
                <w:highlight w:val="yellow"/>
              </w:rPr>
            </w:pPr>
            <w:r w:rsidRPr="00D2378E">
              <w:t>Dashboard and tailored analysis are distributed broadly across the DonateLife Network in a variety of formats to inform and monitor hospital clinical practice.</w:t>
            </w:r>
          </w:p>
        </w:tc>
      </w:tr>
      <w:tr w:rsidR="00775D04" w:rsidRPr="00EE76CA" w14:paraId="37C959A4" w14:textId="77777777" w:rsidTr="00A56552">
        <w:trPr>
          <w:trHeight w:val="283"/>
          <w:jc w:val="center"/>
        </w:trPr>
        <w:tc>
          <w:tcPr>
            <w:tcW w:w="5000" w:type="pct"/>
            <w:gridSpan w:val="7"/>
            <w:shd w:val="clear" w:color="auto" w:fill="FFFFFF" w:themeFill="background1"/>
            <w:tcMar>
              <w:left w:w="85" w:type="dxa"/>
            </w:tcMar>
            <w:vAlign w:val="center"/>
          </w:tcPr>
          <w:p w14:paraId="123C22E6" w14:textId="47FA102C" w:rsidR="00775D04" w:rsidRPr="00EE76CA" w:rsidRDefault="00775D04" w:rsidP="00775D04">
            <w:pPr>
              <w:pStyle w:val="Tableheadingrow9pt"/>
              <w:rPr>
                <w:color w:val="000000" w:themeColor="text1"/>
              </w:rPr>
            </w:pPr>
            <w:r w:rsidRPr="00EE76CA">
              <w:rPr>
                <w:color w:val="000000" w:themeColor="text1"/>
              </w:rPr>
              <w:t>Material changes to Program 1.1 resulting from the following measures:</w:t>
            </w:r>
          </w:p>
          <w:p w14:paraId="7DAB82E4" w14:textId="2CE3850A" w:rsidR="00775D04" w:rsidRPr="00EE76CA" w:rsidRDefault="00775D04" w:rsidP="00775D04">
            <w:pPr>
              <w:pStyle w:val="Tableheadingrow9pt"/>
              <w:keepNext/>
              <w:rPr>
                <w:b w:val="0"/>
                <w:color w:val="000000" w:themeColor="text1"/>
                <w:sz w:val="17"/>
                <w:szCs w:val="17"/>
              </w:rPr>
            </w:pPr>
            <w:r w:rsidRPr="00473719">
              <w:rPr>
                <w:b w:val="0"/>
                <w:sz w:val="17"/>
                <w:szCs w:val="17"/>
              </w:rPr>
              <w:t>There are no material changes to Program 1.1 resulting from measures.</w:t>
            </w:r>
          </w:p>
        </w:tc>
      </w:tr>
    </w:tbl>
    <w:p w14:paraId="51D09174" w14:textId="77777777" w:rsidR="00BC0659" w:rsidRPr="00EE76CA" w:rsidRDefault="00BC0659" w:rsidP="00913388">
      <w:pPr>
        <w:rPr>
          <w:rFonts w:ascii="Arial" w:hAnsi="Arial" w:cs="Arial"/>
          <w:color w:val="000000" w:themeColor="text1"/>
        </w:rPr>
        <w:sectPr w:rsidR="00BC0659" w:rsidRPr="00EE76CA" w:rsidSect="00357948">
          <w:headerReference w:type="even" r:id="rId21"/>
          <w:headerReference w:type="default" r:id="rId22"/>
          <w:headerReference w:type="first" r:id="rId23"/>
          <w:pgSz w:w="11906" w:h="16838"/>
          <w:pgMar w:top="2466" w:right="2268" w:bottom="2126" w:left="2268" w:header="1899" w:footer="1899" w:gutter="0"/>
          <w:cols w:space="708"/>
          <w:docGrid w:linePitch="360"/>
        </w:sectPr>
      </w:pPr>
    </w:p>
    <w:p w14:paraId="496902E8" w14:textId="1997AD3F" w:rsidR="00BC0659" w:rsidRPr="00EE76CA" w:rsidRDefault="00BC0659" w:rsidP="00664A49">
      <w:pPr>
        <w:pStyle w:val="Heading2"/>
      </w:pPr>
      <w:bookmarkStart w:id="7" w:name="_Toc190682315"/>
      <w:bookmarkStart w:id="8" w:name="_Toc190682532"/>
      <w:bookmarkStart w:id="9" w:name="_Toc117407770"/>
      <w:r w:rsidRPr="00EE76CA">
        <w:lastRenderedPageBreak/>
        <w:t xml:space="preserve">Section 3: Budgeted </w:t>
      </w:r>
      <w:r w:rsidR="00A532A6">
        <w:t>f</w:t>
      </w:r>
      <w:r w:rsidRPr="00EE76CA">
        <w:t xml:space="preserve">inancial </w:t>
      </w:r>
      <w:r w:rsidR="00A532A6">
        <w:t>s</w:t>
      </w:r>
      <w:r w:rsidRPr="00EE76CA">
        <w:t>tatements</w:t>
      </w:r>
      <w:bookmarkEnd w:id="7"/>
      <w:bookmarkEnd w:id="8"/>
      <w:bookmarkEnd w:id="9"/>
    </w:p>
    <w:p w14:paraId="7F455D9A" w14:textId="77777777" w:rsidR="00A47C5D" w:rsidRPr="00A47C5D" w:rsidRDefault="00A47C5D" w:rsidP="00A47C5D">
      <w:pPr>
        <w:rPr>
          <w:color w:val="auto"/>
        </w:rPr>
      </w:pPr>
      <w:r w:rsidRPr="00A47C5D">
        <w:rPr>
          <w:color w:val="auto"/>
        </w:rPr>
        <w:t>Section 3 presents budgeted financial statements which provide a comprehensive snapshot of entity finances for the 2022–23 Budget year, including the impact of Budget measures and resourcing on financial statements.</w:t>
      </w:r>
    </w:p>
    <w:p w14:paraId="32A4E71E" w14:textId="515A6818" w:rsidR="00BC0659" w:rsidRPr="00EE76CA" w:rsidRDefault="00BC0659" w:rsidP="00F4050F">
      <w:pPr>
        <w:pStyle w:val="Heading3"/>
      </w:pPr>
      <w:bookmarkStart w:id="10" w:name="_Toc117407771"/>
      <w:r w:rsidRPr="00EE76CA">
        <w:t>3.1</w:t>
      </w:r>
      <w:r w:rsidRPr="00EE76CA">
        <w:tab/>
        <w:t xml:space="preserve">Budgeted </w:t>
      </w:r>
      <w:r w:rsidR="00A532A6">
        <w:t>f</w:t>
      </w:r>
      <w:r w:rsidRPr="00EE76CA">
        <w:t xml:space="preserve">inancial </w:t>
      </w:r>
      <w:r w:rsidR="00A532A6">
        <w:t>s</w:t>
      </w:r>
      <w:r w:rsidRPr="00EE76CA">
        <w:t>tatements</w:t>
      </w:r>
      <w:bookmarkEnd w:id="10"/>
    </w:p>
    <w:p w14:paraId="60FA8879" w14:textId="609397D4" w:rsidR="00F451D3" w:rsidRDefault="00BC0659" w:rsidP="00BC0659">
      <w:pPr>
        <w:pStyle w:val="Heading4"/>
        <w:rPr>
          <w:color w:val="000000" w:themeColor="text1"/>
        </w:rPr>
      </w:pPr>
      <w:r w:rsidRPr="00EE76CA">
        <w:rPr>
          <w:color w:val="000000" w:themeColor="text1"/>
        </w:rPr>
        <w:t>3.1.1</w:t>
      </w:r>
      <w:r w:rsidRPr="00EE76CA">
        <w:rPr>
          <w:color w:val="000000" w:themeColor="text1"/>
        </w:rPr>
        <w:tab/>
        <w:t xml:space="preserve">Differences between </w:t>
      </w:r>
      <w:r w:rsidR="00A532A6">
        <w:rPr>
          <w:color w:val="000000" w:themeColor="text1"/>
        </w:rPr>
        <w:t>e</w:t>
      </w:r>
      <w:r w:rsidRPr="00EE76CA">
        <w:rPr>
          <w:color w:val="000000" w:themeColor="text1"/>
        </w:rPr>
        <w:t xml:space="preserve">ntity </w:t>
      </w:r>
      <w:r w:rsidR="00A532A6">
        <w:rPr>
          <w:color w:val="000000" w:themeColor="text1"/>
        </w:rPr>
        <w:t>r</w:t>
      </w:r>
      <w:r w:rsidRPr="00EE76CA">
        <w:rPr>
          <w:color w:val="000000" w:themeColor="text1"/>
        </w:rPr>
        <w:t xml:space="preserve">esourcing and </w:t>
      </w:r>
      <w:r w:rsidR="00A532A6">
        <w:rPr>
          <w:color w:val="000000" w:themeColor="text1"/>
        </w:rPr>
        <w:t>f</w:t>
      </w:r>
      <w:r w:rsidRPr="00EE76CA">
        <w:rPr>
          <w:color w:val="000000" w:themeColor="text1"/>
        </w:rPr>
        <w:t xml:space="preserve">inancial </w:t>
      </w:r>
      <w:r w:rsidR="00A532A6">
        <w:rPr>
          <w:color w:val="000000" w:themeColor="text1"/>
        </w:rPr>
        <w:t>s</w:t>
      </w:r>
      <w:r w:rsidRPr="00EE76CA">
        <w:rPr>
          <w:color w:val="000000" w:themeColor="text1"/>
        </w:rPr>
        <w:t>tatements</w:t>
      </w:r>
    </w:p>
    <w:p w14:paraId="193495BB" w14:textId="2BB0B2E6" w:rsidR="00435932" w:rsidRPr="00435932" w:rsidRDefault="00435932" w:rsidP="00435932">
      <w:r>
        <w:t>Section 3.1.1</w:t>
      </w:r>
      <w:r w:rsidRPr="00EC499F">
        <w:t xml:space="preserve"> is not applicable to the </w:t>
      </w:r>
      <w:r>
        <w:t>OTA</w:t>
      </w:r>
      <w:r w:rsidRPr="00EC499F">
        <w:t>.</w:t>
      </w:r>
    </w:p>
    <w:p w14:paraId="4E646714" w14:textId="20124BA1" w:rsidR="00BC0659" w:rsidRPr="00EE76CA" w:rsidRDefault="00BC0659" w:rsidP="00BC0659">
      <w:pPr>
        <w:pStyle w:val="Heading4"/>
        <w:rPr>
          <w:color w:val="000000" w:themeColor="text1"/>
        </w:rPr>
      </w:pPr>
      <w:r w:rsidRPr="00EE76CA">
        <w:rPr>
          <w:color w:val="000000" w:themeColor="text1"/>
        </w:rPr>
        <w:t>3.1.2</w:t>
      </w:r>
      <w:r w:rsidRPr="00EE76CA">
        <w:rPr>
          <w:color w:val="000000" w:themeColor="text1"/>
        </w:rPr>
        <w:tab/>
        <w:t xml:space="preserve">Explanatory </w:t>
      </w:r>
      <w:r w:rsidR="00A532A6">
        <w:rPr>
          <w:color w:val="000000" w:themeColor="text1"/>
        </w:rPr>
        <w:t>n</w:t>
      </w:r>
      <w:r w:rsidRPr="00EE76CA">
        <w:rPr>
          <w:color w:val="000000" w:themeColor="text1"/>
        </w:rPr>
        <w:t xml:space="preserve">otes and </w:t>
      </w:r>
      <w:r w:rsidR="00A532A6">
        <w:rPr>
          <w:color w:val="000000" w:themeColor="text1"/>
        </w:rPr>
        <w:t>a</w:t>
      </w:r>
      <w:r w:rsidRPr="00EE76CA">
        <w:rPr>
          <w:color w:val="000000" w:themeColor="text1"/>
        </w:rPr>
        <w:t xml:space="preserve">nalysis of </w:t>
      </w:r>
      <w:r w:rsidR="00A532A6">
        <w:rPr>
          <w:color w:val="000000" w:themeColor="text1"/>
        </w:rPr>
        <w:t>b</w:t>
      </w:r>
      <w:r w:rsidRPr="00EE76CA">
        <w:rPr>
          <w:color w:val="000000" w:themeColor="text1"/>
        </w:rPr>
        <w:t xml:space="preserve">udgeted </w:t>
      </w:r>
      <w:r w:rsidR="00A532A6">
        <w:rPr>
          <w:color w:val="000000" w:themeColor="text1"/>
        </w:rPr>
        <w:t>f</w:t>
      </w:r>
      <w:r w:rsidRPr="00EE76CA">
        <w:rPr>
          <w:color w:val="000000" w:themeColor="text1"/>
        </w:rPr>
        <w:t xml:space="preserve">inancial </w:t>
      </w:r>
      <w:r w:rsidR="00A532A6">
        <w:rPr>
          <w:color w:val="000000" w:themeColor="text1"/>
        </w:rPr>
        <w:t>s</w:t>
      </w:r>
      <w:r w:rsidRPr="00EE76CA">
        <w:rPr>
          <w:color w:val="000000" w:themeColor="text1"/>
        </w:rPr>
        <w:t>tatements</w:t>
      </w:r>
    </w:p>
    <w:p w14:paraId="1D1DDB5F" w14:textId="5A6826E1" w:rsidR="007A47C2" w:rsidRPr="007A47C2" w:rsidRDefault="007A47C2" w:rsidP="00B34C79">
      <w:pPr>
        <w:rPr>
          <w:rFonts w:ascii="Arial" w:hAnsi="Arial" w:cs="Arial"/>
          <w:b/>
          <w:color w:val="auto"/>
        </w:rPr>
      </w:pPr>
      <w:r w:rsidRPr="007A47C2">
        <w:rPr>
          <w:rFonts w:ascii="Arial" w:hAnsi="Arial" w:cs="Arial"/>
          <w:b/>
          <w:color w:val="auto"/>
        </w:rPr>
        <w:t>Departmental Resources</w:t>
      </w:r>
    </w:p>
    <w:p w14:paraId="54C29641" w14:textId="647F2A36" w:rsidR="00490D6D" w:rsidRPr="00490D6D" w:rsidRDefault="00490D6D" w:rsidP="00490D6D">
      <w:pPr>
        <w:rPr>
          <w:color w:val="auto"/>
        </w:rPr>
      </w:pPr>
      <w:r w:rsidRPr="00490D6D">
        <w:rPr>
          <w:color w:val="auto"/>
        </w:rPr>
        <w:t>For the Budget and forward years, the OTA is expecting a break-even position net of unfunded depreciation and amortisation expenses. In 2022</w:t>
      </w:r>
      <w:r w:rsidR="003556E0">
        <w:rPr>
          <w:color w:val="auto"/>
        </w:rPr>
        <w:t>–</w:t>
      </w:r>
      <w:r w:rsidRPr="00490D6D">
        <w:rPr>
          <w:color w:val="auto"/>
        </w:rPr>
        <w:t>23</w:t>
      </w:r>
      <w:r w:rsidR="00953F5F">
        <w:rPr>
          <w:color w:val="auto"/>
        </w:rPr>
        <w:t>,</w:t>
      </w:r>
      <w:r w:rsidRPr="00490D6D">
        <w:rPr>
          <w:color w:val="auto"/>
        </w:rPr>
        <w:t xml:space="preserve"> the OTA has appropriation revenue of $6.089 million and total expenses are estimated</w:t>
      </w:r>
      <w:r>
        <w:rPr>
          <w:color w:val="auto"/>
        </w:rPr>
        <w:br/>
      </w:r>
      <w:r w:rsidRPr="00490D6D">
        <w:rPr>
          <w:color w:val="auto"/>
        </w:rPr>
        <w:t xml:space="preserve">at $6.553 million.  </w:t>
      </w:r>
    </w:p>
    <w:p w14:paraId="6704147B" w14:textId="7B3026D8" w:rsidR="00435932" w:rsidRPr="00435932" w:rsidRDefault="00435932" w:rsidP="00435932">
      <w:pPr>
        <w:rPr>
          <w:rFonts w:ascii="Arial" w:hAnsi="Arial" w:cs="Arial"/>
          <w:b/>
          <w:color w:val="auto"/>
        </w:rPr>
      </w:pPr>
      <w:r w:rsidRPr="00435932">
        <w:rPr>
          <w:rFonts w:ascii="Arial" w:hAnsi="Arial" w:cs="Arial"/>
          <w:b/>
          <w:color w:val="auto"/>
        </w:rPr>
        <w:t>Administered Resources</w:t>
      </w:r>
    </w:p>
    <w:p w14:paraId="3B1D7C83" w14:textId="255571C1" w:rsidR="00490D6D" w:rsidRPr="00490D6D" w:rsidRDefault="00490D6D" w:rsidP="00490D6D">
      <w:pPr>
        <w:rPr>
          <w:color w:val="auto"/>
        </w:rPr>
      </w:pPr>
      <w:r w:rsidRPr="00490D6D">
        <w:rPr>
          <w:color w:val="auto"/>
        </w:rPr>
        <w:t xml:space="preserve">The OTA administers funds associated with the delivery of the Australian Government’s national program to </w:t>
      </w:r>
      <w:r w:rsidR="00C954AB">
        <w:rPr>
          <w:color w:val="auto"/>
        </w:rPr>
        <w:t>increase</w:t>
      </w:r>
      <w:r w:rsidRPr="00490D6D">
        <w:rPr>
          <w:color w:val="auto"/>
        </w:rPr>
        <w:t xml:space="preserve"> organ and tissue donation for transplantation. Funding is provided to jurisdictions to deliver organ and tissue donation services in selected public and private hospitals. State and territory governments use these funds to employ </w:t>
      </w:r>
      <w:r w:rsidR="00C954AB">
        <w:rPr>
          <w:color w:val="auto"/>
        </w:rPr>
        <w:t>donation specialist</w:t>
      </w:r>
      <w:r w:rsidRPr="00490D6D">
        <w:rPr>
          <w:color w:val="auto"/>
        </w:rPr>
        <w:t xml:space="preserve"> staff – the DonateLife Network – to deliver organ and tissue donation services. </w:t>
      </w:r>
    </w:p>
    <w:p w14:paraId="753E9357" w14:textId="29CB8A85" w:rsidR="00490D6D" w:rsidRPr="00490D6D" w:rsidRDefault="00490D6D" w:rsidP="00490D6D">
      <w:pPr>
        <w:rPr>
          <w:color w:val="auto"/>
        </w:rPr>
      </w:pPr>
      <w:r w:rsidRPr="00490D6D">
        <w:rPr>
          <w:color w:val="auto"/>
        </w:rPr>
        <w:t>In 2022</w:t>
      </w:r>
      <w:r w:rsidR="003556E0">
        <w:rPr>
          <w:color w:val="auto"/>
        </w:rPr>
        <w:t>–</w:t>
      </w:r>
      <w:r w:rsidRPr="00490D6D">
        <w:rPr>
          <w:color w:val="auto"/>
        </w:rPr>
        <w:t xml:space="preserve">23, the OTA has forecast Administered expenses of $49.131 million. </w:t>
      </w:r>
    </w:p>
    <w:p w14:paraId="76245930" w14:textId="553CF0D7" w:rsidR="006E20BC" w:rsidRPr="006E20BC" w:rsidRDefault="006E20BC" w:rsidP="00B34C79">
      <w:pPr>
        <w:rPr>
          <w:rFonts w:cs="Arial"/>
          <w:color w:val="auto"/>
        </w:rPr>
      </w:pPr>
    </w:p>
    <w:p w14:paraId="07A450C1" w14:textId="77777777" w:rsidR="006E20BC" w:rsidRPr="007A47C2" w:rsidRDefault="006E20BC" w:rsidP="00B34C79">
      <w:pPr>
        <w:rPr>
          <w:rFonts w:cs="Arial"/>
          <w:color w:val="0000FF"/>
        </w:rPr>
        <w:sectPr w:rsidR="006E20BC" w:rsidRPr="007A47C2" w:rsidSect="00357948">
          <w:headerReference w:type="even" r:id="rId24"/>
          <w:headerReference w:type="default" r:id="rId25"/>
          <w:headerReference w:type="first" r:id="rId26"/>
          <w:pgSz w:w="11906" w:h="16838"/>
          <w:pgMar w:top="2466" w:right="2268" w:bottom="2126" w:left="2268" w:header="1899" w:footer="1899" w:gutter="0"/>
          <w:cols w:space="708"/>
          <w:docGrid w:linePitch="360"/>
        </w:sectPr>
      </w:pPr>
    </w:p>
    <w:p w14:paraId="72B6F89A" w14:textId="017CBA88" w:rsidR="00BC0659" w:rsidRPr="00EE76CA" w:rsidRDefault="00BC0659" w:rsidP="00F4050F">
      <w:pPr>
        <w:pStyle w:val="Heading3"/>
      </w:pPr>
      <w:bookmarkStart w:id="11" w:name="_Toc117407772"/>
      <w:r w:rsidRPr="00EE76CA">
        <w:lastRenderedPageBreak/>
        <w:t>3.2</w:t>
      </w:r>
      <w:r w:rsidRPr="00EE76CA">
        <w:tab/>
        <w:t xml:space="preserve">Budgeted </w:t>
      </w:r>
      <w:r w:rsidR="005A6FA5">
        <w:t>f</w:t>
      </w:r>
      <w:r w:rsidRPr="00EE76CA">
        <w:t xml:space="preserve">inancial </w:t>
      </w:r>
      <w:r w:rsidR="005A6FA5">
        <w:t>s</w:t>
      </w:r>
      <w:r w:rsidRPr="00EE76CA">
        <w:t xml:space="preserve">tatements </w:t>
      </w:r>
      <w:r w:rsidR="005A6FA5">
        <w:t>t</w:t>
      </w:r>
      <w:r w:rsidRPr="00EE76CA">
        <w:t>ables</w:t>
      </w:r>
      <w:bookmarkEnd w:id="11"/>
    </w:p>
    <w:p w14:paraId="7C6C99E6" w14:textId="77777777" w:rsidR="00CA1F7E" w:rsidRDefault="005A6FA5" w:rsidP="005161F9">
      <w:pPr>
        <w:keepNext/>
        <w:spacing w:before="120"/>
        <w:rPr>
          <w:rFonts w:ascii="Arial" w:hAnsi="Arial"/>
          <w:b/>
          <w:snapToGrid w:val="0"/>
          <w:color w:val="auto"/>
          <w:sz w:val="20"/>
        </w:rPr>
      </w:pPr>
      <w:r w:rsidRPr="005A6FA5">
        <w:rPr>
          <w:rFonts w:ascii="Arial" w:hAnsi="Arial"/>
          <w:b/>
          <w:color w:val="auto"/>
          <w:sz w:val="20"/>
        </w:rPr>
        <w:t xml:space="preserve">Table 3.1: Comprehensive income statement (showing net cost of services) </w:t>
      </w:r>
      <w:r w:rsidRPr="005A6FA5">
        <w:rPr>
          <w:rFonts w:ascii="Arial" w:hAnsi="Arial"/>
          <w:b/>
          <w:snapToGrid w:val="0"/>
          <w:color w:val="auto"/>
          <w:sz w:val="20"/>
        </w:rPr>
        <w:t>for the period ended 30 June</w:t>
      </w:r>
    </w:p>
    <w:tbl>
      <w:tblPr>
        <w:tblW w:w="7350" w:type="dxa"/>
        <w:jc w:val="center"/>
        <w:tblLayout w:type="fixed"/>
        <w:tblLook w:val="04A0" w:firstRow="1" w:lastRow="0" w:firstColumn="1" w:lastColumn="0" w:noHBand="0" w:noVBand="1"/>
      </w:tblPr>
      <w:tblGrid>
        <w:gridCol w:w="3157"/>
        <w:gridCol w:w="883"/>
        <w:gridCol w:w="799"/>
        <w:gridCol w:w="837"/>
        <w:gridCol w:w="837"/>
        <w:gridCol w:w="837"/>
      </w:tblGrid>
      <w:tr w:rsidR="00CA1F7E" w:rsidRPr="00CA1F7E" w14:paraId="71DB4158" w14:textId="77777777" w:rsidTr="00CA1F7E">
        <w:trPr>
          <w:trHeight w:val="765"/>
          <w:jc w:val="center"/>
        </w:trPr>
        <w:tc>
          <w:tcPr>
            <w:tcW w:w="3157" w:type="dxa"/>
            <w:tcBorders>
              <w:top w:val="single" w:sz="4" w:space="0" w:color="auto"/>
              <w:left w:val="nil"/>
              <w:bottom w:val="nil"/>
              <w:right w:val="nil"/>
            </w:tcBorders>
            <w:shd w:val="clear" w:color="auto" w:fill="auto"/>
            <w:hideMark/>
          </w:tcPr>
          <w:p w14:paraId="6D590470" w14:textId="77777777" w:rsidR="00CA1F7E" w:rsidRPr="00CA1F7E" w:rsidRDefault="00CA1F7E" w:rsidP="00CA1F7E">
            <w:pPr>
              <w:spacing w:before="40" w:after="0"/>
              <w:jc w:val="right"/>
              <w:rPr>
                <w:rFonts w:ascii="Arial" w:hAnsi="Arial" w:cs="Arial"/>
                <w:b/>
                <w:bCs/>
                <w:color w:val="auto"/>
                <w:sz w:val="16"/>
                <w:szCs w:val="16"/>
              </w:rPr>
            </w:pPr>
            <w:r w:rsidRPr="00CA1F7E">
              <w:rPr>
                <w:rFonts w:ascii="Arial" w:hAnsi="Arial" w:cs="Arial"/>
                <w:b/>
                <w:bCs/>
                <w:color w:val="auto"/>
                <w:sz w:val="16"/>
                <w:szCs w:val="16"/>
              </w:rPr>
              <w:t> </w:t>
            </w:r>
          </w:p>
        </w:tc>
        <w:tc>
          <w:tcPr>
            <w:tcW w:w="883" w:type="dxa"/>
            <w:tcBorders>
              <w:top w:val="single" w:sz="4" w:space="0" w:color="auto"/>
              <w:left w:val="nil"/>
              <w:bottom w:val="single" w:sz="4" w:space="0" w:color="auto"/>
              <w:right w:val="nil"/>
            </w:tcBorders>
            <w:shd w:val="clear" w:color="auto" w:fill="auto"/>
            <w:tcMar>
              <w:left w:w="0" w:type="dxa"/>
            </w:tcMar>
            <w:hideMark/>
          </w:tcPr>
          <w:p w14:paraId="0B0C2E82" w14:textId="77777777" w:rsidR="00CA1F7E" w:rsidRPr="00CA1F7E" w:rsidRDefault="00CA1F7E" w:rsidP="00CA1F7E">
            <w:pPr>
              <w:spacing w:before="40" w:after="0"/>
              <w:jc w:val="right"/>
              <w:rPr>
                <w:rFonts w:ascii="Arial" w:hAnsi="Arial" w:cs="Arial"/>
                <w:b/>
                <w:bCs/>
                <w:color w:val="auto"/>
                <w:sz w:val="16"/>
                <w:szCs w:val="16"/>
              </w:rPr>
            </w:pPr>
            <w:r w:rsidRPr="00CA1F7E">
              <w:rPr>
                <w:rFonts w:ascii="Arial" w:hAnsi="Arial" w:cs="Arial"/>
                <w:b/>
                <w:bCs/>
                <w:color w:val="auto"/>
                <w:sz w:val="16"/>
                <w:szCs w:val="16"/>
              </w:rPr>
              <w:t>2021–22 Estimated actual</w:t>
            </w:r>
            <w:r w:rsidRPr="00CA1F7E">
              <w:rPr>
                <w:rFonts w:ascii="Arial" w:hAnsi="Arial" w:cs="Arial"/>
                <w:b/>
                <w:bCs/>
                <w:color w:val="auto"/>
                <w:sz w:val="16"/>
                <w:szCs w:val="16"/>
              </w:rPr>
              <w:br/>
            </w:r>
            <w:r w:rsidRPr="00CA1F7E">
              <w:rPr>
                <w:rFonts w:ascii="Arial" w:hAnsi="Arial" w:cs="Arial"/>
                <w:color w:val="auto"/>
                <w:sz w:val="16"/>
                <w:szCs w:val="16"/>
              </w:rPr>
              <w:t>$'000</w:t>
            </w:r>
          </w:p>
        </w:tc>
        <w:tc>
          <w:tcPr>
            <w:tcW w:w="799" w:type="dxa"/>
            <w:tcBorders>
              <w:top w:val="single" w:sz="4" w:space="0" w:color="auto"/>
              <w:left w:val="nil"/>
              <w:bottom w:val="single" w:sz="4" w:space="0" w:color="auto"/>
              <w:right w:val="nil"/>
            </w:tcBorders>
            <w:shd w:val="clear" w:color="000000" w:fill="D9D9D9"/>
            <w:tcMar>
              <w:left w:w="0" w:type="dxa"/>
            </w:tcMar>
            <w:hideMark/>
          </w:tcPr>
          <w:p w14:paraId="6D60E167" w14:textId="77777777" w:rsidR="00CA1F7E" w:rsidRPr="00CA1F7E" w:rsidRDefault="00CA1F7E" w:rsidP="00CA1F7E">
            <w:pPr>
              <w:spacing w:before="40" w:after="0"/>
              <w:jc w:val="right"/>
              <w:rPr>
                <w:rFonts w:ascii="Arial" w:hAnsi="Arial" w:cs="Arial"/>
                <w:b/>
                <w:bCs/>
                <w:color w:val="auto"/>
                <w:sz w:val="16"/>
                <w:szCs w:val="16"/>
              </w:rPr>
            </w:pPr>
            <w:r w:rsidRPr="00CA1F7E">
              <w:rPr>
                <w:rFonts w:ascii="Arial" w:hAnsi="Arial" w:cs="Arial"/>
                <w:b/>
                <w:bCs/>
                <w:color w:val="auto"/>
                <w:sz w:val="16"/>
                <w:szCs w:val="16"/>
              </w:rPr>
              <w:t xml:space="preserve">2022–23 Budget </w:t>
            </w:r>
            <w:r w:rsidRPr="00CA1F7E">
              <w:rPr>
                <w:rFonts w:ascii="Arial" w:hAnsi="Arial" w:cs="Arial"/>
                <w:b/>
                <w:bCs/>
                <w:color w:val="auto"/>
                <w:sz w:val="16"/>
                <w:szCs w:val="16"/>
              </w:rPr>
              <w:br/>
            </w:r>
            <w:r w:rsidRPr="00CA1F7E">
              <w:rPr>
                <w:rFonts w:ascii="Arial" w:hAnsi="Arial" w:cs="Arial"/>
                <w:b/>
                <w:bCs/>
                <w:color w:val="auto"/>
                <w:sz w:val="16"/>
                <w:szCs w:val="16"/>
              </w:rPr>
              <w:br/>
            </w:r>
            <w:r w:rsidRPr="00CA1F7E">
              <w:rPr>
                <w:rFonts w:ascii="Arial" w:hAnsi="Arial" w:cs="Arial"/>
                <w:color w:val="auto"/>
                <w:sz w:val="16"/>
                <w:szCs w:val="16"/>
              </w:rPr>
              <w:t>$'000</w:t>
            </w:r>
          </w:p>
        </w:tc>
        <w:tc>
          <w:tcPr>
            <w:tcW w:w="837" w:type="dxa"/>
            <w:tcBorders>
              <w:top w:val="single" w:sz="4" w:space="0" w:color="auto"/>
              <w:left w:val="nil"/>
              <w:bottom w:val="single" w:sz="4" w:space="0" w:color="auto"/>
              <w:right w:val="nil"/>
            </w:tcBorders>
            <w:shd w:val="clear" w:color="auto" w:fill="auto"/>
            <w:tcMar>
              <w:left w:w="0" w:type="dxa"/>
            </w:tcMar>
            <w:hideMark/>
          </w:tcPr>
          <w:p w14:paraId="38B424C1" w14:textId="77777777" w:rsidR="00CA1F7E" w:rsidRPr="00CA1F7E" w:rsidRDefault="00CA1F7E" w:rsidP="00CA1F7E">
            <w:pPr>
              <w:spacing w:before="40" w:after="0"/>
              <w:jc w:val="right"/>
              <w:rPr>
                <w:rFonts w:ascii="Arial" w:hAnsi="Arial" w:cs="Arial"/>
                <w:b/>
                <w:bCs/>
                <w:color w:val="auto"/>
                <w:sz w:val="16"/>
                <w:szCs w:val="16"/>
              </w:rPr>
            </w:pPr>
            <w:r w:rsidRPr="00CA1F7E">
              <w:rPr>
                <w:rFonts w:ascii="Arial" w:hAnsi="Arial" w:cs="Arial"/>
                <w:b/>
                <w:bCs/>
                <w:color w:val="auto"/>
                <w:sz w:val="16"/>
                <w:szCs w:val="16"/>
              </w:rPr>
              <w:t>2023–24 Forward estimate</w:t>
            </w:r>
            <w:r w:rsidRPr="00CA1F7E">
              <w:rPr>
                <w:rFonts w:ascii="Arial" w:hAnsi="Arial" w:cs="Arial"/>
                <w:b/>
                <w:bCs/>
                <w:color w:val="auto"/>
                <w:sz w:val="16"/>
                <w:szCs w:val="16"/>
              </w:rPr>
              <w:br/>
            </w:r>
            <w:r w:rsidRPr="00CA1F7E">
              <w:rPr>
                <w:rFonts w:ascii="Arial" w:hAnsi="Arial" w:cs="Arial"/>
                <w:color w:val="auto"/>
                <w:sz w:val="16"/>
                <w:szCs w:val="16"/>
              </w:rPr>
              <w:t>$'000</w:t>
            </w:r>
          </w:p>
        </w:tc>
        <w:tc>
          <w:tcPr>
            <w:tcW w:w="837" w:type="dxa"/>
            <w:tcBorders>
              <w:top w:val="single" w:sz="4" w:space="0" w:color="auto"/>
              <w:left w:val="nil"/>
              <w:bottom w:val="single" w:sz="4" w:space="0" w:color="auto"/>
              <w:right w:val="nil"/>
            </w:tcBorders>
            <w:shd w:val="clear" w:color="auto" w:fill="auto"/>
            <w:tcMar>
              <w:left w:w="0" w:type="dxa"/>
            </w:tcMar>
            <w:hideMark/>
          </w:tcPr>
          <w:p w14:paraId="71F2CF29" w14:textId="77777777" w:rsidR="00CA1F7E" w:rsidRPr="00CA1F7E" w:rsidRDefault="00CA1F7E" w:rsidP="00CA1F7E">
            <w:pPr>
              <w:spacing w:before="40" w:after="0"/>
              <w:jc w:val="right"/>
              <w:rPr>
                <w:rFonts w:ascii="Arial" w:hAnsi="Arial" w:cs="Arial"/>
                <w:b/>
                <w:bCs/>
                <w:color w:val="auto"/>
                <w:sz w:val="16"/>
                <w:szCs w:val="16"/>
              </w:rPr>
            </w:pPr>
            <w:r w:rsidRPr="00CA1F7E">
              <w:rPr>
                <w:rFonts w:ascii="Arial" w:hAnsi="Arial" w:cs="Arial"/>
                <w:b/>
                <w:bCs/>
                <w:color w:val="auto"/>
                <w:sz w:val="16"/>
                <w:szCs w:val="16"/>
              </w:rPr>
              <w:t>2024–25 Forward estimate</w:t>
            </w:r>
            <w:r w:rsidRPr="00CA1F7E">
              <w:rPr>
                <w:rFonts w:ascii="Arial" w:hAnsi="Arial" w:cs="Arial"/>
                <w:b/>
                <w:bCs/>
                <w:color w:val="auto"/>
                <w:sz w:val="16"/>
                <w:szCs w:val="16"/>
              </w:rPr>
              <w:br/>
            </w:r>
            <w:r w:rsidRPr="00CA1F7E">
              <w:rPr>
                <w:rFonts w:ascii="Arial" w:hAnsi="Arial" w:cs="Arial"/>
                <w:color w:val="auto"/>
                <w:sz w:val="16"/>
                <w:szCs w:val="16"/>
              </w:rPr>
              <w:t>$'000</w:t>
            </w:r>
          </w:p>
        </w:tc>
        <w:tc>
          <w:tcPr>
            <w:tcW w:w="837" w:type="dxa"/>
            <w:tcBorders>
              <w:top w:val="single" w:sz="4" w:space="0" w:color="auto"/>
              <w:left w:val="nil"/>
              <w:bottom w:val="single" w:sz="4" w:space="0" w:color="auto"/>
              <w:right w:val="nil"/>
            </w:tcBorders>
            <w:shd w:val="clear" w:color="auto" w:fill="auto"/>
            <w:tcMar>
              <w:left w:w="0" w:type="dxa"/>
            </w:tcMar>
            <w:hideMark/>
          </w:tcPr>
          <w:p w14:paraId="0B0249F0" w14:textId="77777777" w:rsidR="00CA1F7E" w:rsidRPr="00CA1F7E" w:rsidRDefault="00CA1F7E" w:rsidP="00CA1F7E">
            <w:pPr>
              <w:spacing w:before="40" w:after="0"/>
              <w:jc w:val="right"/>
              <w:rPr>
                <w:rFonts w:ascii="Arial" w:hAnsi="Arial" w:cs="Arial"/>
                <w:b/>
                <w:bCs/>
                <w:color w:val="auto"/>
                <w:sz w:val="16"/>
                <w:szCs w:val="16"/>
              </w:rPr>
            </w:pPr>
            <w:r w:rsidRPr="00CA1F7E">
              <w:rPr>
                <w:rFonts w:ascii="Arial" w:hAnsi="Arial" w:cs="Arial"/>
                <w:b/>
                <w:bCs/>
                <w:color w:val="auto"/>
                <w:sz w:val="16"/>
                <w:szCs w:val="16"/>
              </w:rPr>
              <w:t>2025–26 Forward estimate</w:t>
            </w:r>
            <w:r w:rsidRPr="00CA1F7E">
              <w:rPr>
                <w:rFonts w:ascii="Arial" w:hAnsi="Arial" w:cs="Arial"/>
                <w:b/>
                <w:bCs/>
                <w:color w:val="auto"/>
                <w:sz w:val="16"/>
                <w:szCs w:val="16"/>
              </w:rPr>
              <w:br/>
            </w:r>
            <w:r w:rsidRPr="00CA1F7E">
              <w:rPr>
                <w:rFonts w:ascii="Arial" w:hAnsi="Arial" w:cs="Arial"/>
                <w:color w:val="auto"/>
                <w:sz w:val="16"/>
                <w:szCs w:val="16"/>
              </w:rPr>
              <w:t>$'000</w:t>
            </w:r>
          </w:p>
        </w:tc>
      </w:tr>
      <w:tr w:rsidR="00CA1F7E" w:rsidRPr="00CA1F7E" w14:paraId="26E07C05" w14:textId="77777777" w:rsidTr="00CA1F7E">
        <w:trPr>
          <w:trHeight w:val="240"/>
          <w:jc w:val="center"/>
        </w:trPr>
        <w:tc>
          <w:tcPr>
            <w:tcW w:w="3157" w:type="dxa"/>
            <w:tcBorders>
              <w:top w:val="nil"/>
              <w:left w:val="nil"/>
              <w:bottom w:val="nil"/>
              <w:right w:val="nil"/>
            </w:tcBorders>
            <w:shd w:val="clear" w:color="auto" w:fill="auto"/>
            <w:noWrap/>
            <w:vAlign w:val="bottom"/>
            <w:hideMark/>
          </w:tcPr>
          <w:p w14:paraId="0366BFEA" w14:textId="77777777" w:rsidR="00CA1F7E" w:rsidRPr="00CA1F7E" w:rsidRDefault="00CA1F7E" w:rsidP="00CA1F7E">
            <w:pPr>
              <w:spacing w:after="0"/>
              <w:rPr>
                <w:rFonts w:ascii="Arial" w:hAnsi="Arial" w:cs="Arial"/>
                <w:b/>
                <w:bCs/>
                <w:color w:val="auto"/>
                <w:sz w:val="16"/>
                <w:szCs w:val="16"/>
              </w:rPr>
            </w:pPr>
            <w:r w:rsidRPr="00CA1F7E">
              <w:rPr>
                <w:rFonts w:ascii="Arial" w:hAnsi="Arial" w:cs="Arial"/>
                <w:b/>
                <w:bCs/>
                <w:color w:val="auto"/>
                <w:sz w:val="16"/>
                <w:szCs w:val="16"/>
              </w:rPr>
              <w:t>EXPENSES</w:t>
            </w:r>
          </w:p>
        </w:tc>
        <w:tc>
          <w:tcPr>
            <w:tcW w:w="883" w:type="dxa"/>
            <w:tcBorders>
              <w:top w:val="nil"/>
              <w:left w:val="nil"/>
              <w:bottom w:val="nil"/>
              <w:right w:val="nil"/>
            </w:tcBorders>
            <w:shd w:val="clear" w:color="auto" w:fill="auto"/>
            <w:noWrap/>
            <w:vAlign w:val="bottom"/>
            <w:hideMark/>
          </w:tcPr>
          <w:p w14:paraId="17DD19B3" w14:textId="77777777" w:rsidR="00CA1F7E" w:rsidRPr="00CA1F7E" w:rsidRDefault="00CA1F7E" w:rsidP="00CA1F7E">
            <w:pPr>
              <w:spacing w:after="0"/>
              <w:rPr>
                <w:rFonts w:ascii="Arial" w:hAnsi="Arial" w:cs="Arial"/>
                <w:b/>
                <w:bCs/>
                <w:color w:val="auto"/>
                <w:sz w:val="16"/>
                <w:szCs w:val="16"/>
              </w:rPr>
            </w:pPr>
          </w:p>
        </w:tc>
        <w:tc>
          <w:tcPr>
            <w:tcW w:w="799" w:type="dxa"/>
            <w:tcBorders>
              <w:top w:val="nil"/>
              <w:left w:val="nil"/>
              <w:bottom w:val="nil"/>
              <w:right w:val="nil"/>
            </w:tcBorders>
            <w:shd w:val="clear" w:color="000000" w:fill="D9D9D9"/>
            <w:noWrap/>
            <w:vAlign w:val="bottom"/>
            <w:hideMark/>
          </w:tcPr>
          <w:p w14:paraId="182FA984"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 </w:t>
            </w:r>
          </w:p>
        </w:tc>
        <w:tc>
          <w:tcPr>
            <w:tcW w:w="837" w:type="dxa"/>
            <w:tcBorders>
              <w:top w:val="nil"/>
              <w:left w:val="nil"/>
              <w:bottom w:val="nil"/>
              <w:right w:val="nil"/>
            </w:tcBorders>
            <w:shd w:val="clear" w:color="auto" w:fill="auto"/>
            <w:noWrap/>
            <w:vAlign w:val="bottom"/>
            <w:hideMark/>
          </w:tcPr>
          <w:p w14:paraId="7786FD59" w14:textId="77777777" w:rsidR="00CA1F7E" w:rsidRPr="00CA1F7E" w:rsidRDefault="00CA1F7E" w:rsidP="00CA1F7E">
            <w:pPr>
              <w:spacing w:after="0"/>
              <w:jc w:val="right"/>
              <w:rPr>
                <w:rFonts w:ascii="Arial" w:hAnsi="Arial" w:cs="Arial"/>
                <w:color w:val="auto"/>
                <w:sz w:val="16"/>
                <w:szCs w:val="16"/>
              </w:rPr>
            </w:pPr>
          </w:p>
        </w:tc>
        <w:tc>
          <w:tcPr>
            <w:tcW w:w="837" w:type="dxa"/>
            <w:tcBorders>
              <w:top w:val="nil"/>
              <w:left w:val="nil"/>
              <w:bottom w:val="nil"/>
              <w:right w:val="nil"/>
            </w:tcBorders>
            <w:shd w:val="clear" w:color="auto" w:fill="auto"/>
            <w:noWrap/>
            <w:vAlign w:val="bottom"/>
            <w:hideMark/>
          </w:tcPr>
          <w:p w14:paraId="10B23BB7" w14:textId="77777777" w:rsidR="00CA1F7E" w:rsidRPr="00CA1F7E" w:rsidRDefault="00CA1F7E" w:rsidP="00CA1F7E">
            <w:pPr>
              <w:spacing w:after="0"/>
              <w:jc w:val="right"/>
              <w:rPr>
                <w:rFonts w:ascii="Times New Roman" w:hAnsi="Times New Roman"/>
                <w:color w:val="auto"/>
                <w:sz w:val="20"/>
              </w:rPr>
            </w:pPr>
          </w:p>
        </w:tc>
        <w:tc>
          <w:tcPr>
            <w:tcW w:w="837" w:type="dxa"/>
            <w:tcBorders>
              <w:top w:val="nil"/>
              <w:left w:val="nil"/>
              <w:bottom w:val="nil"/>
              <w:right w:val="nil"/>
            </w:tcBorders>
            <w:shd w:val="clear" w:color="auto" w:fill="auto"/>
            <w:noWrap/>
            <w:vAlign w:val="bottom"/>
            <w:hideMark/>
          </w:tcPr>
          <w:p w14:paraId="20A9A30A" w14:textId="77777777" w:rsidR="00CA1F7E" w:rsidRPr="00CA1F7E" w:rsidRDefault="00CA1F7E" w:rsidP="00CA1F7E">
            <w:pPr>
              <w:spacing w:after="0"/>
              <w:jc w:val="right"/>
              <w:rPr>
                <w:rFonts w:ascii="Times New Roman" w:hAnsi="Times New Roman"/>
                <w:color w:val="auto"/>
                <w:sz w:val="20"/>
              </w:rPr>
            </w:pPr>
          </w:p>
        </w:tc>
      </w:tr>
      <w:tr w:rsidR="00CA1F7E" w:rsidRPr="00CA1F7E" w14:paraId="68B9F652" w14:textId="77777777" w:rsidTr="00CA1F7E">
        <w:trPr>
          <w:trHeight w:val="225"/>
          <w:jc w:val="center"/>
        </w:trPr>
        <w:tc>
          <w:tcPr>
            <w:tcW w:w="3157" w:type="dxa"/>
            <w:tcBorders>
              <w:top w:val="nil"/>
              <w:left w:val="nil"/>
              <w:bottom w:val="nil"/>
              <w:right w:val="nil"/>
            </w:tcBorders>
            <w:shd w:val="clear" w:color="auto" w:fill="auto"/>
            <w:noWrap/>
            <w:vAlign w:val="bottom"/>
            <w:hideMark/>
          </w:tcPr>
          <w:p w14:paraId="0D0286F0" w14:textId="77777777" w:rsidR="00CA1F7E" w:rsidRPr="00CA1F7E" w:rsidRDefault="00CA1F7E" w:rsidP="00CA1F7E">
            <w:pPr>
              <w:spacing w:after="0"/>
              <w:ind w:leftChars="75" w:left="143"/>
              <w:rPr>
                <w:rFonts w:ascii="Arial" w:hAnsi="Arial" w:cs="Arial"/>
                <w:color w:val="auto"/>
                <w:sz w:val="16"/>
                <w:szCs w:val="16"/>
              </w:rPr>
            </w:pPr>
            <w:r w:rsidRPr="00CA1F7E">
              <w:rPr>
                <w:rFonts w:ascii="Arial" w:hAnsi="Arial" w:cs="Arial"/>
                <w:color w:val="auto"/>
                <w:sz w:val="16"/>
                <w:szCs w:val="16"/>
              </w:rPr>
              <w:t>Employee benefits</w:t>
            </w:r>
          </w:p>
        </w:tc>
        <w:tc>
          <w:tcPr>
            <w:tcW w:w="883" w:type="dxa"/>
            <w:tcBorders>
              <w:top w:val="nil"/>
              <w:left w:val="nil"/>
              <w:bottom w:val="nil"/>
              <w:right w:val="nil"/>
            </w:tcBorders>
            <w:shd w:val="clear" w:color="auto" w:fill="auto"/>
            <w:noWrap/>
            <w:vAlign w:val="bottom"/>
            <w:hideMark/>
          </w:tcPr>
          <w:p w14:paraId="34FF64BA"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3,681</w:t>
            </w:r>
          </w:p>
        </w:tc>
        <w:tc>
          <w:tcPr>
            <w:tcW w:w="799" w:type="dxa"/>
            <w:tcBorders>
              <w:top w:val="nil"/>
              <w:left w:val="nil"/>
              <w:bottom w:val="nil"/>
              <w:right w:val="nil"/>
            </w:tcBorders>
            <w:shd w:val="clear" w:color="000000" w:fill="D9D9D9"/>
            <w:noWrap/>
            <w:vAlign w:val="bottom"/>
            <w:hideMark/>
          </w:tcPr>
          <w:p w14:paraId="44C80E9C"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4,173</w:t>
            </w:r>
          </w:p>
        </w:tc>
        <w:tc>
          <w:tcPr>
            <w:tcW w:w="837" w:type="dxa"/>
            <w:tcBorders>
              <w:top w:val="nil"/>
              <w:left w:val="nil"/>
              <w:bottom w:val="nil"/>
              <w:right w:val="nil"/>
            </w:tcBorders>
            <w:shd w:val="clear" w:color="auto" w:fill="auto"/>
            <w:noWrap/>
            <w:vAlign w:val="bottom"/>
            <w:hideMark/>
          </w:tcPr>
          <w:p w14:paraId="49E544BF"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4,274</w:t>
            </w:r>
          </w:p>
        </w:tc>
        <w:tc>
          <w:tcPr>
            <w:tcW w:w="837" w:type="dxa"/>
            <w:tcBorders>
              <w:top w:val="nil"/>
              <w:left w:val="nil"/>
              <w:bottom w:val="nil"/>
              <w:right w:val="nil"/>
            </w:tcBorders>
            <w:shd w:val="clear" w:color="auto" w:fill="auto"/>
            <w:noWrap/>
            <w:vAlign w:val="bottom"/>
            <w:hideMark/>
          </w:tcPr>
          <w:p w14:paraId="7B8B3790"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4,447</w:t>
            </w:r>
          </w:p>
        </w:tc>
        <w:tc>
          <w:tcPr>
            <w:tcW w:w="837" w:type="dxa"/>
            <w:tcBorders>
              <w:top w:val="nil"/>
              <w:left w:val="nil"/>
              <w:bottom w:val="nil"/>
              <w:right w:val="nil"/>
            </w:tcBorders>
            <w:shd w:val="clear" w:color="auto" w:fill="auto"/>
            <w:noWrap/>
            <w:vAlign w:val="bottom"/>
            <w:hideMark/>
          </w:tcPr>
          <w:p w14:paraId="26DF89E6"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4,482</w:t>
            </w:r>
          </w:p>
        </w:tc>
      </w:tr>
      <w:tr w:rsidR="00CA1F7E" w:rsidRPr="00CA1F7E" w14:paraId="2DAE7D7F" w14:textId="77777777" w:rsidTr="00CA1F7E">
        <w:trPr>
          <w:trHeight w:val="225"/>
          <w:jc w:val="center"/>
        </w:trPr>
        <w:tc>
          <w:tcPr>
            <w:tcW w:w="3157" w:type="dxa"/>
            <w:tcBorders>
              <w:top w:val="nil"/>
              <w:left w:val="nil"/>
              <w:bottom w:val="nil"/>
              <w:right w:val="nil"/>
            </w:tcBorders>
            <w:shd w:val="clear" w:color="auto" w:fill="auto"/>
            <w:noWrap/>
            <w:vAlign w:val="bottom"/>
            <w:hideMark/>
          </w:tcPr>
          <w:p w14:paraId="412BA9B7" w14:textId="77777777" w:rsidR="00CA1F7E" w:rsidRPr="00CA1F7E" w:rsidRDefault="00CA1F7E" w:rsidP="00CA1F7E">
            <w:pPr>
              <w:spacing w:after="0"/>
              <w:ind w:leftChars="75" w:left="143"/>
              <w:rPr>
                <w:rFonts w:ascii="Arial" w:hAnsi="Arial" w:cs="Arial"/>
                <w:color w:val="auto"/>
                <w:sz w:val="16"/>
                <w:szCs w:val="16"/>
              </w:rPr>
            </w:pPr>
            <w:r w:rsidRPr="00CA1F7E">
              <w:rPr>
                <w:rFonts w:ascii="Arial" w:hAnsi="Arial" w:cs="Arial"/>
                <w:color w:val="auto"/>
                <w:sz w:val="16"/>
                <w:szCs w:val="16"/>
              </w:rPr>
              <w:t>Supplier expenses</w:t>
            </w:r>
          </w:p>
        </w:tc>
        <w:tc>
          <w:tcPr>
            <w:tcW w:w="883" w:type="dxa"/>
            <w:tcBorders>
              <w:top w:val="nil"/>
              <w:left w:val="nil"/>
              <w:bottom w:val="nil"/>
              <w:right w:val="nil"/>
            </w:tcBorders>
            <w:shd w:val="clear" w:color="auto" w:fill="auto"/>
            <w:noWrap/>
            <w:vAlign w:val="bottom"/>
            <w:hideMark/>
          </w:tcPr>
          <w:p w14:paraId="431AA9F9"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1,330</w:t>
            </w:r>
          </w:p>
        </w:tc>
        <w:tc>
          <w:tcPr>
            <w:tcW w:w="799" w:type="dxa"/>
            <w:tcBorders>
              <w:top w:val="nil"/>
              <w:left w:val="nil"/>
              <w:bottom w:val="nil"/>
              <w:right w:val="nil"/>
            </w:tcBorders>
            <w:shd w:val="clear" w:color="000000" w:fill="D9D9D9"/>
            <w:noWrap/>
            <w:vAlign w:val="bottom"/>
            <w:hideMark/>
          </w:tcPr>
          <w:p w14:paraId="70F77CC9"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1,697</w:t>
            </w:r>
          </w:p>
        </w:tc>
        <w:tc>
          <w:tcPr>
            <w:tcW w:w="837" w:type="dxa"/>
            <w:tcBorders>
              <w:top w:val="nil"/>
              <w:left w:val="nil"/>
              <w:bottom w:val="nil"/>
              <w:right w:val="nil"/>
            </w:tcBorders>
            <w:shd w:val="clear" w:color="auto" w:fill="auto"/>
            <w:noWrap/>
            <w:vAlign w:val="bottom"/>
            <w:hideMark/>
          </w:tcPr>
          <w:p w14:paraId="617B2839"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1,722</w:t>
            </w:r>
          </w:p>
        </w:tc>
        <w:tc>
          <w:tcPr>
            <w:tcW w:w="837" w:type="dxa"/>
            <w:tcBorders>
              <w:top w:val="nil"/>
              <w:left w:val="nil"/>
              <w:bottom w:val="nil"/>
              <w:right w:val="nil"/>
            </w:tcBorders>
            <w:shd w:val="clear" w:color="auto" w:fill="auto"/>
            <w:noWrap/>
            <w:vAlign w:val="bottom"/>
            <w:hideMark/>
          </w:tcPr>
          <w:p w14:paraId="4CC300A0"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1,646</w:t>
            </w:r>
          </w:p>
        </w:tc>
        <w:tc>
          <w:tcPr>
            <w:tcW w:w="837" w:type="dxa"/>
            <w:tcBorders>
              <w:top w:val="nil"/>
              <w:left w:val="nil"/>
              <w:bottom w:val="nil"/>
              <w:right w:val="nil"/>
            </w:tcBorders>
            <w:shd w:val="clear" w:color="auto" w:fill="auto"/>
            <w:noWrap/>
            <w:vAlign w:val="bottom"/>
            <w:hideMark/>
          </w:tcPr>
          <w:p w14:paraId="6FFBE5DF"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1,654</w:t>
            </w:r>
          </w:p>
        </w:tc>
      </w:tr>
      <w:tr w:rsidR="00CA1F7E" w:rsidRPr="00CA1F7E" w14:paraId="29F1C49A" w14:textId="77777777" w:rsidTr="00CA1F7E">
        <w:trPr>
          <w:trHeight w:val="225"/>
          <w:jc w:val="center"/>
        </w:trPr>
        <w:tc>
          <w:tcPr>
            <w:tcW w:w="3157" w:type="dxa"/>
            <w:tcBorders>
              <w:top w:val="nil"/>
              <w:left w:val="nil"/>
              <w:bottom w:val="nil"/>
              <w:right w:val="nil"/>
            </w:tcBorders>
            <w:shd w:val="clear" w:color="auto" w:fill="auto"/>
            <w:noWrap/>
            <w:vAlign w:val="bottom"/>
            <w:hideMark/>
          </w:tcPr>
          <w:p w14:paraId="1A1130C1" w14:textId="77777777" w:rsidR="00CA1F7E" w:rsidRPr="00CA1F7E" w:rsidRDefault="00CA1F7E" w:rsidP="00CA1F7E">
            <w:pPr>
              <w:spacing w:after="0"/>
              <w:ind w:leftChars="75" w:left="143"/>
              <w:rPr>
                <w:rFonts w:ascii="Arial" w:hAnsi="Arial" w:cs="Arial"/>
                <w:color w:val="auto"/>
                <w:sz w:val="16"/>
                <w:szCs w:val="16"/>
              </w:rPr>
            </w:pPr>
            <w:r w:rsidRPr="00CA1F7E">
              <w:rPr>
                <w:rFonts w:ascii="Arial" w:hAnsi="Arial" w:cs="Arial"/>
                <w:color w:val="auto"/>
                <w:sz w:val="16"/>
                <w:szCs w:val="16"/>
              </w:rPr>
              <w:t>Depreciation and amortisation</w:t>
            </w:r>
          </w:p>
        </w:tc>
        <w:tc>
          <w:tcPr>
            <w:tcW w:w="883" w:type="dxa"/>
            <w:tcBorders>
              <w:top w:val="nil"/>
              <w:left w:val="nil"/>
              <w:bottom w:val="nil"/>
              <w:right w:val="nil"/>
            </w:tcBorders>
            <w:shd w:val="clear" w:color="auto" w:fill="auto"/>
            <w:noWrap/>
            <w:vAlign w:val="bottom"/>
            <w:hideMark/>
          </w:tcPr>
          <w:p w14:paraId="208817C2"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501</w:t>
            </w:r>
          </w:p>
        </w:tc>
        <w:tc>
          <w:tcPr>
            <w:tcW w:w="799" w:type="dxa"/>
            <w:tcBorders>
              <w:top w:val="nil"/>
              <w:left w:val="nil"/>
              <w:bottom w:val="nil"/>
              <w:right w:val="nil"/>
            </w:tcBorders>
            <w:shd w:val="clear" w:color="000000" w:fill="D9D9D9"/>
            <w:noWrap/>
            <w:vAlign w:val="bottom"/>
            <w:hideMark/>
          </w:tcPr>
          <w:p w14:paraId="2004376F"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669</w:t>
            </w:r>
          </w:p>
        </w:tc>
        <w:tc>
          <w:tcPr>
            <w:tcW w:w="837" w:type="dxa"/>
            <w:tcBorders>
              <w:top w:val="nil"/>
              <w:left w:val="nil"/>
              <w:bottom w:val="nil"/>
              <w:right w:val="nil"/>
            </w:tcBorders>
            <w:shd w:val="clear" w:color="auto" w:fill="auto"/>
            <w:noWrap/>
            <w:vAlign w:val="bottom"/>
            <w:hideMark/>
          </w:tcPr>
          <w:p w14:paraId="5CCF5B83"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709</w:t>
            </w:r>
          </w:p>
        </w:tc>
        <w:tc>
          <w:tcPr>
            <w:tcW w:w="837" w:type="dxa"/>
            <w:tcBorders>
              <w:top w:val="nil"/>
              <w:left w:val="nil"/>
              <w:bottom w:val="nil"/>
              <w:right w:val="nil"/>
            </w:tcBorders>
            <w:shd w:val="clear" w:color="auto" w:fill="auto"/>
            <w:noWrap/>
            <w:vAlign w:val="bottom"/>
            <w:hideMark/>
          </w:tcPr>
          <w:p w14:paraId="19F6A7A7"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639</w:t>
            </w:r>
          </w:p>
        </w:tc>
        <w:tc>
          <w:tcPr>
            <w:tcW w:w="837" w:type="dxa"/>
            <w:tcBorders>
              <w:top w:val="nil"/>
              <w:left w:val="nil"/>
              <w:bottom w:val="nil"/>
              <w:right w:val="nil"/>
            </w:tcBorders>
            <w:shd w:val="clear" w:color="auto" w:fill="auto"/>
            <w:noWrap/>
            <w:vAlign w:val="bottom"/>
            <w:hideMark/>
          </w:tcPr>
          <w:p w14:paraId="268A7D33"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642</w:t>
            </w:r>
          </w:p>
        </w:tc>
      </w:tr>
      <w:tr w:rsidR="00CA1F7E" w:rsidRPr="00CA1F7E" w14:paraId="21C4BDCD" w14:textId="77777777" w:rsidTr="00CA1F7E">
        <w:trPr>
          <w:trHeight w:val="225"/>
          <w:jc w:val="center"/>
        </w:trPr>
        <w:tc>
          <w:tcPr>
            <w:tcW w:w="3157" w:type="dxa"/>
            <w:tcBorders>
              <w:top w:val="nil"/>
              <w:left w:val="nil"/>
              <w:bottom w:val="nil"/>
              <w:right w:val="nil"/>
            </w:tcBorders>
            <w:shd w:val="clear" w:color="auto" w:fill="auto"/>
            <w:noWrap/>
            <w:vAlign w:val="bottom"/>
            <w:hideMark/>
          </w:tcPr>
          <w:p w14:paraId="3B100ED4" w14:textId="77777777" w:rsidR="00CA1F7E" w:rsidRPr="00CA1F7E" w:rsidRDefault="00CA1F7E" w:rsidP="00CA1F7E">
            <w:pPr>
              <w:spacing w:after="0"/>
              <w:ind w:leftChars="75" w:left="143"/>
              <w:rPr>
                <w:rFonts w:ascii="Arial" w:hAnsi="Arial" w:cs="Arial"/>
                <w:color w:val="auto"/>
                <w:sz w:val="16"/>
                <w:szCs w:val="16"/>
              </w:rPr>
            </w:pPr>
            <w:r w:rsidRPr="00CA1F7E">
              <w:rPr>
                <w:rFonts w:ascii="Arial" w:hAnsi="Arial" w:cs="Arial"/>
                <w:color w:val="auto"/>
                <w:sz w:val="16"/>
                <w:szCs w:val="16"/>
              </w:rPr>
              <w:t xml:space="preserve">Interest on </w:t>
            </w:r>
            <w:proofErr w:type="spellStart"/>
            <w:r w:rsidRPr="00CA1F7E">
              <w:rPr>
                <w:rFonts w:ascii="Arial" w:hAnsi="Arial" w:cs="Arial"/>
                <w:color w:val="auto"/>
                <w:sz w:val="16"/>
                <w:szCs w:val="16"/>
              </w:rPr>
              <w:t>RoU</w:t>
            </w:r>
            <w:proofErr w:type="spellEnd"/>
          </w:p>
        </w:tc>
        <w:tc>
          <w:tcPr>
            <w:tcW w:w="883" w:type="dxa"/>
            <w:tcBorders>
              <w:top w:val="nil"/>
              <w:left w:val="nil"/>
              <w:bottom w:val="nil"/>
              <w:right w:val="nil"/>
            </w:tcBorders>
            <w:shd w:val="clear" w:color="auto" w:fill="auto"/>
            <w:noWrap/>
            <w:vAlign w:val="bottom"/>
            <w:hideMark/>
          </w:tcPr>
          <w:p w14:paraId="7215AE68"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6</w:t>
            </w:r>
          </w:p>
        </w:tc>
        <w:tc>
          <w:tcPr>
            <w:tcW w:w="799" w:type="dxa"/>
            <w:tcBorders>
              <w:top w:val="nil"/>
              <w:left w:val="nil"/>
              <w:bottom w:val="nil"/>
              <w:right w:val="nil"/>
            </w:tcBorders>
            <w:shd w:val="clear" w:color="000000" w:fill="D9D9D9"/>
            <w:noWrap/>
            <w:vAlign w:val="bottom"/>
            <w:hideMark/>
          </w:tcPr>
          <w:p w14:paraId="44D0D25A"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14</w:t>
            </w:r>
          </w:p>
        </w:tc>
        <w:tc>
          <w:tcPr>
            <w:tcW w:w="837" w:type="dxa"/>
            <w:tcBorders>
              <w:top w:val="nil"/>
              <w:left w:val="nil"/>
              <w:bottom w:val="nil"/>
              <w:right w:val="nil"/>
            </w:tcBorders>
            <w:shd w:val="clear" w:color="auto" w:fill="auto"/>
            <w:noWrap/>
            <w:vAlign w:val="bottom"/>
            <w:hideMark/>
          </w:tcPr>
          <w:p w14:paraId="1A22A93B"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10</w:t>
            </w:r>
          </w:p>
        </w:tc>
        <w:tc>
          <w:tcPr>
            <w:tcW w:w="837" w:type="dxa"/>
            <w:tcBorders>
              <w:top w:val="nil"/>
              <w:left w:val="nil"/>
              <w:bottom w:val="nil"/>
              <w:right w:val="nil"/>
            </w:tcBorders>
            <w:shd w:val="clear" w:color="auto" w:fill="auto"/>
            <w:noWrap/>
            <w:vAlign w:val="bottom"/>
            <w:hideMark/>
          </w:tcPr>
          <w:p w14:paraId="3EC2EA71"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10</w:t>
            </w:r>
          </w:p>
        </w:tc>
        <w:tc>
          <w:tcPr>
            <w:tcW w:w="837" w:type="dxa"/>
            <w:tcBorders>
              <w:top w:val="nil"/>
              <w:left w:val="nil"/>
              <w:bottom w:val="nil"/>
              <w:right w:val="nil"/>
            </w:tcBorders>
            <w:shd w:val="clear" w:color="auto" w:fill="auto"/>
            <w:noWrap/>
            <w:vAlign w:val="bottom"/>
            <w:hideMark/>
          </w:tcPr>
          <w:p w14:paraId="56A8B8C2"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10</w:t>
            </w:r>
          </w:p>
        </w:tc>
      </w:tr>
      <w:tr w:rsidR="00CA1F7E" w:rsidRPr="00CA1F7E" w14:paraId="76D582BD" w14:textId="77777777" w:rsidTr="00CA1F7E">
        <w:trPr>
          <w:trHeight w:val="225"/>
          <w:jc w:val="center"/>
        </w:trPr>
        <w:tc>
          <w:tcPr>
            <w:tcW w:w="3157" w:type="dxa"/>
            <w:tcBorders>
              <w:top w:val="nil"/>
              <w:left w:val="nil"/>
              <w:bottom w:val="nil"/>
              <w:right w:val="nil"/>
            </w:tcBorders>
            <w:shd w:val="clear" w:color="auto" w:fill="auto"/>
            <w:noWrap/>
            <w:vAlign w:val="bottom"/>
            <w:hideMark/>
          </w:tcPr>
          <w:p w14:paraId="13B2145A" w14:textId="77777777" w:rsidR="00CA1F7E" w:rsidRPr="00CA1F7E" w:rsidRDefault="00CA1F7E" w:rsidP="00CA1F7E">
            <w:pPr>
              <w:spacing w:after="0"/>
              <w:ind w:leftChars="75" w:left="143"/>
              <w:rPr>
                <w:rFonts w:ascii="Arial" w:hAnsi="Arial" w:cs="Arial"/>
                <w:color w:val="auto"/>
                <w:sz w:val="16"/>
                <w:szCs w:val="16"/>
              </w:rPr>
            </w:pPr>
            <w:r w:rsidRPr="00CA1F7E">
              <w:rPr>
                <w:rFonts w:ascii="Arial" w:hAnsi="Arial" w:cs="Arial"/>
                <w:color w:val="auto"/>
                <w:sz w:val="16"/>
                <w:szCs w:val="16"/>
              </w:rPr>
              <w:t>Write down and impairment of assets</w:t>
            </w:r>
          </w:p>
        </w:tc>
        <w:tc>
          <w:tcPr>
            <w:tcW w:w="883" w:type="dxa"/>
            <w:tcBorders>
              <w:top w:val="nil"/>
              <w:left w:val="nil"/>
              <w:bottom w:val="nil"/>
              <w:right w:val="nil"/>
            </w:tcBorders>
            <w:shd w:val="clear" w:color="auto" w:fill="auto"/>
            <w:noWrap/>
            <w:vAlign w:val="bottom"/>
            <w:hideMark/>
          </w:tcPr>
          <w:p w14:paraId="31C380FC"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79</w:t>
            </w:r>
          </w:p>
        </w:tc>
        <w:tc>
          <w:tcPr>
            <w:tcW w:w="799" w:type="dxa"/>
            <w:tcBorders>
              <w:top w:val="nil"/>
              <w:left w:val="nil"/>
              <w:bottom w:val="nil"/>
              <w:right w:val="nil"/>
            </w:tcBorders>
            <w:shd w:val="clear" w:color="000000" w:fill="D9D9D9"/>
            <w:noWrap/>
            <w:vAlign w:val="bottom"/>
            <w:hideMark/>
          </w:tcPr>
          <w:p w14:paraId="3438178B"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nil"/>
              <w:right w:val="nil"/>
            </w:tcBorders>
            <w:shd w:val="clear" w:color="auto" w:fill="auto"/>
            <w:noWrap/>
            <w:vAlign w:val="bottom"/>
            <w:hideMark/>
          </w:tcPr>
          <w:p w14:paraId="66EBFAB9"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nil"/>
              <w:right w:val="nil"/>
            </w:tcBorders>
            <w:shd w:val="clear" w:color="auto" w:fill="auto"/>
            <w:noWrap/>
            <w:vAlign w:val="bottom"/>
            <w:hideMark/>
          </w:tcPr>
          <w:p w14:paraId="05FE7323"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nil"/>
              <w:right w:val="nil"/>
            </w:tcBorders>
            <w:shd w:val="clear" w:color="auto" w:fill="auto"/>
            <w:noWrap/>
            <w:vAlign w:val="bottom"/>
            <w:hideMark/>
          </w:tcPr>
          <w:p w14:paraId="0D93B6B9"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r>
      <w:tr w:rsidR="00CA1F7E" w:rsidRPr="00CA1F7E" w14:paraId="4FE3CC48" w14:textId="77777777" w:rsidTr="00CA1F7E">
        <w:trPr>
          <w:trHeight w:val="225"/>
          <w:jc w:val="center"/>
        </w:trPr>
        <w:tc>
          <w:tcPr>
            <w:tcW w:w="3157" w:type="dxa"/>
            <w:tcBorders>
              <w:top w:val="nil"/>
              <w:left w:val="nil"/>
              <w:bottom w:val="nil"/>
              <w:right w:val="nil"/>
            </w:tcBorders>
            <w:shd w:val="clear" w:color="auto" w:fill="auto"/>
            <w:noWrap/>
            <w:vAlign w:val="bottom"/>
            <w:hideMark/>
          </w:tcPr>
          <w:p w14:paraId="78057AF4" w14:textId="77777777" w:rsidR="00CA1F7E" w:rsidRPr="00CA1F7E" w:rsidRDefault="00CA1F7E" w:rsidP="00CA1F7E">
            <w:pPr>
              <w:spacing w:after="0"/>
              <w:ind w:leftChars="75" w:left="143"/>
              <w:rPr>
                <w:rFonts w:ascii="Arial" w:hAnsi="Arial" w:cs="Arial"/>
                <w:b/>
                <w:bCs/>
                <w:color w:val="auto"/>
                <w:sz w:val="16"/>
                <w:szCs w:val="16"/>
              </w:rPr>
            </w:pPr>
            <w:r w:rsidRPr="00CA1F7E">
              <w:rPr>
                <w:rFonts w:ascii="Arial" w:hAnsi="Arial" w:cs="Arial"/>
                <w:b/>
                <w:bCs/>
                <w:color w:val="auto"/>
                <w:sz w:val="16"/>
                <w:szCs w:val="16"/>
              </w:rPr>
              <w:t>Total expenses</w:t>
            </w:r>
          </w:p>
        </w:tc>
        <w:tc>
          <w:tcPr>
            <w:tcW w:w="883" w:type="dxa"/>
            <w:tcBorders>
              <w:top w:val="nil"/>
              <w:left w:val="nil"/>
              <w:bottom w:val="single" w:sz="4" w:space="0" w:color="auto"/>
              <w:right w:val="nil"/>
            </w:tcBorders>
            <w:shd w:val="clear" w:color="auto" w:fill="auto"/>
            <w:noWrap/>
            <w:vAlign w:val="bottom"/>
            <w:hideMark/>
          </w:tcPr>
          <w:p w14:paraId="054ACADF"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5,597</w:t>
            </w:r>
          </w:p>
        </w:tc>
        <w:tc>
          <w:tcPr>
            <w:tcW w:w="799" w:type="dxa"/>
            <w:tcBorders>
              <w:top w:val="nil"/>
              <w:left w:val="nil"/>
              <w:bottom w:val="single" w:sz="4" w:space="0" w:color="auto"/>
              <w:right w:val="nil"/>
            </w:tcBorders>
            <w:shd w:val="clear" w:color="000000" w:fill="D9D9D9"/>
            <w:noWrap/>
            <w:vAlign w:val="bottom"/>
            <w:hideMark/>
          </w:tcPr>
          <w:p w14:paraId="2155739A"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6,553</w:t>
            </w:r>
          </w:p>
        </w:tc>
        <w:tc>
          <w:tcPr>
            <w:tcW w:w="837" w:type="dxa"/>
            <w:tcBorders>
              <w:top w:val="nil"/>
              <w:left w:val="nil"/>
              <w:bottom w:val="single" w:sz="4" w:space="0" w:color="auto"/>
              <w:right w:val="nil"/>
            </w:tcBorders>
            <w:shd w:val="clear" w:color="auto" w:fill="auto"/>
            <w:noWrap/>
            <w:vAlign w:val="bottom"/>
            <w:hideMark/>
          </w:tcPr>
          <w:p w14:paraId="6640A353"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6,715</w:t>
            </w:r>
          </w:p>
        </w:tc>
        <w:tc>
          <w:tcPr>
            <w:tcW w:w="837" w:type="dxa"/>
            <w:tcBorders>
              <w:top w:val="nil"/>
              <w:left w:val="nil"/>
              <w:bottom w:val="single" w:sz="4" w:space="0" w:color="auto"/>
              <w:right w:val="nil"/>
            </w:tcBorders>
            <w:shd w:val="clear" w:color="auto" w:fill="auto"/>
            <w:noWrap/>
            <w:vAlign w:val="bottom"/>
            <w:hideMark/>
          </w:tcPr>
          <w:p w14:paraId="58C692D3"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6,742</w:t>
            </w:r>
          </w:p>
        </w:tc>
        <w:tc>
          <w:tcPr>
            <w:tcW w:w="837" w:type="dxa"/>
            <w:tcBorders>
              <w:top w:val="nil"/>
              <w:left w:val="nil"/>
              <w:bottom w:val="single" w:sz="4" w:space="0" w:color="auto"/>
              <w:right w:val="nil"/>
            </w:tcBorders>
            <w:shd w:val="clear" w:color="auto" w:fill="auto"/>
            <w:noWrap/>
            <w:vAlign w:val="bottom"/>
            <w:hideMark/>
          </w:tcPr>
          <w:p w14:paraId="54FB832A"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6,788</w:t>
            </w:r>
          </w:p>
        </w:tc>
      </w:tr>
      <w:tr w:rsidR="00CA1F7E" w:rsidRPr="00CA1F7E" w14:paraId="1807F117" w14:textId="77777777" w:rsidTr="00CA1F7E">
        <w:trPr>
          <w:trHeight w:val="283"/>
          <w:jc w:val="center"/>
        </w:trPr>
        <w:tc>
          <w:tcPr>
            <w:tcW w:w="3157" w:type="dxa"/>
            <w:tcBorders>
              <w:top w:val="nil"/>
              <w:left w:val="nil"/>
              <w:bottom w:val="nil"/>
              <w:right w:val="nil"/>
            </w:tcBorders>
            <w:shd w:val="clear" w:color="auto" w:fill="auto"/>
            <w:noWrap/>
            <w:vAlign w:val="bottom"/>
            <w:hideMark/>
          </w:tcPr>
          <w:p w14:paraId="7120C0D1" w14:textId="77777777" w:rsidR="00CA1F7E" w:rsidRPr="00CA1F7E" w:rsidRDefault="00CA1F7E" w:rsidP="00CA1F7E">
            <w:pPr>
              <w:spacing w:after="0"/>
              <w:rPr>
                <w:rFonts w:ascii="Arial" w:hAnsi="Arial" w:cs="Arial"/>
                <w:b/>
                <w:bCs/>
                <w:color w:val="auto"/>
                <w:sz w:val="16"/>
                <w:szCs w:val="16"/>
              </w:rPr>
            </w:pPr>
            <w:r w:rsidRPr="00CA1F7E">
              <w:rPr>
                <w:rFonts w:ascii="Arial" w:hAnsi="Arial" w:cs="Arial"/>
                <w:b/>
                <w:bCs/>
                <w:color w:val="auto"/>
                <w:sz w:val="16"/>
                <w:szCs w:val="16"/>
              </w:rPr>
              <w:t xml:space="preserve">LESS: </w:t>
            </w:r>
          </w:p>
        </w:tc>
        <w:tc>
          <w:tcPr>
            <w:tcW w:w="883" w:type="dxa"/>
            <w:tcBorders>
              <w:top w:val="nil"/>
              <w:left w:val="nil"/>
              <w:bottom w:val="nil"/>
              <w:right w:val="nil"/>
            </w:tcBorders>
            <w:shd w:val="clear" w:color="auto" w:fill="auto"/>
            <w:noWrap/>
            <w:vAlign w:val="bottom"/>
            <w:hideMark/>
          </w:tcPr>
          <w:p w14:paraId="109209E4" w14:textId="77777777" w:rsidR="00CA1F7E" w:rsidRPr="00CA1F7E" w:rsidRDefault="00CA1F7E" w:rsidP="00CA1F7E">
            <w:pPr>
              <w:spacing w:after="0"/>
              <w:rPr>
                <w:rFonts w:ascii="Arial" w:hAnsi="Arial" w:cs="Arial"/>
                <w:b/>
                <w:bCs/>
                <w:color w:val="auto"/>
                <w:sz w:val="16"/>
                <w:szCs w:val="16"/>
              </w:rPr>
            </w:pPr>
          </w:p>
        </w:tc>
        <w:tc>
          <w:tcPr>
            <w:tcW w:w="799" w:type="dxa"/>
            <w:tcBorders>
              <w:top w:val="nil"/>
              <w:left w:val="nil"/>
              <w:bottom w:val="nil"/>
              <w:right w:val="nil"/>
            </w:tcBorders>
            <w:shd w:val="clear" w:color="000000" w:fill="D9D9D9"/>
            <w:noWrap/>
            <w:vAlign w:val="bottom"/>
            <w:hideMark/>
          </w:tcPr>
          <w:p w14:paraId="4D921BF6"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 </w:t>
            </w:r>
          </w:p>
        </w:tc>
        <w:tc>
          <w:tcPr>
            <w:tcW w:w="837" w:type="dxa"/>
            <w:tcBorders>
              <w:top w:val="nil"/>
              <w:left w:val="nil"/>
              <w:bottom w:val="nil"/>
              <w:right w:val="nil"/>
            </w:tcBorders>
            <w:shd w:val="clear" w:color="auto" w:fill="auto"/>
            <w:noWrap/>
            <w:vAlign w:val="bottom"/>
            <w:hideMark/>
          </w:tcPr>
          <w:p w14:paraId="794785AE" w14:textId="77777777" w:rsidR="00CA1F7E" w:rsidRPr="00CA1F7E" w:rsidRDefault="00CA1F7E" w:rsidP="00CA1F7E">
            <w:pPr>
              <w:spacing w:after="0"/>
              <w:jc w:val="right"/>
              <w:rPr>
                <w:rFonts w:ascii="Arial" w:hAnsi="Arial" w:cs="Arial"/>
                <w:b/>
                <w:bCs/>
                <w:color w:val="auto"/>
                <w:sz w:val="16"/>
                <w:szCs w:val="16"/>
              </w:rPr>
            </w:pPr>
          </w:p>
        </w:tc>
        <w:tc>
          <w:tcPr>
            <w:tcW w:w="837" w:type="dxa"/>
            <w:tcBorders>
              <w:top w:val="nil"/>
              <w:left w:val="nil"/>
              <w:bottom w:val="nil"/>
              <w:right w:val="nil"/>
            </w:tcBorders>
            <w:shd w:val="clear" w:color="auto" w:fill="auto"/>
            <w:noWrap/>
            <w:vAlign w:val="bottom"/>
            <w:hideMark/>
          </w:tcPr>
          <w:p w14:paraId="47E051D5" w14:textId="77777777" w:rsidR="00CA1F7E" w:rsidRPr="00CA1F7E" w:rsidRDefault="00CA1F7E" w:rsidP="00CA1F7E">
            <w:pPr>
              <w:spacing w:after="0"/>
              <w:jc w:val="right"/>
              <w:rPr>
                <w:rFonts w:ascii="Times New Roman" w:hAnsi="Times New Roman"/>
                <w:color w:val="auto"/>
                <w:sz w:val="20"/>
              </w:rPr>
            </w:pPr>
          </w:p>
        </w:tc>
        <w:tc>
          <w:tcPr>
            <w:tcW w:w="837" w:type="dxa"/>
            <w:tcBorders>
              <w:top w:val="nil"/>
              <w:left w:val="nil"/>
              <w:bottom w:val="nil"/>
              <w:right w:val="nil"/>
            </w:tcBorders>
            <w:shd w:val="clear" w:color="auto" w:fill="auto"/>
            <w:noWrap/>
            <w:vAlign w:val="bottom"/>
            <w:hideMark/>
          </w:tcPr>
          <w:p w14:paraId="03B02855" w14:textId="77777777" w:rsidR="00CA1F7E" w:rsidRPr="00CA1F7E" w:rsidRDefault="00CA1F7E" w:rsidP="00CA1F7E">
            <w:pPr>
              <w:spacing w:after="0"/>
              <w:jc w:val="right"/>
              <w:rPr>
                <w:rFonts w:ascii="Times New Roman" w:hAnsi="Times New Roman"/>
                <w:color w:val="auto"/>
                <w:sz w:val="20"/>
              </w:rPr>
            </w:pPr>
          </w:p>
        </w:tc>
      </w:tr>
      <w:tr w:rsidR="00CA1F7E" w:rsidRPr="00CA1F7E" w14:paraId="17CB1C55" w14:textId="77777777" w:rsidTr="00CA1F7E">
        <w:trPr>
          <w:trHeight w:val="225"/>
          <w:jc w:val="center"/>
        </w:trPr>
        <w:tc>
          <w:tcPr>
            <w:tcW w:w="3157" w:type="dxa"/>
            <w:tcBorders>
              <w:top w:val="nil"/>
              <w:left w:val="nil"/>
              <w:bottom w:val="nil"/>
              <w:right w:val="nil"/>
            </w:tcBorders>
            <w:shd w:val="clear" w:color="auto" w:fill="auto"/>
            <w:noWrap/>
            <w:vAlign w:val="bottom"/>
            <w:hideMark/>
          </w:tcPr>
          <w:p w14:paraId="03B8B947" w14:textId="77777777" w:rsidR="00CA1F7E" w:rsidRPr="00CA1F7E" w:rsidRDefault="00CA1F7E" w:rsidP="00CA1F7E">
            <w:pPr>
              <w:spacing w:after="0"/>
              <w:rPr>
                <w:rFonts w:ascii="Arial" w:hAnsi="Arial" w:cs="Arial"/>
                <w:b/>
                <w:bCs/>
                <w:color w:val="auto"/>
                <w:sz w:val="16"/>
                <w:szCs w:val="16"/>
              </w:rPr>
            </w:pPr>
            <w:r w:rsidRPr="00CA1F7E">
              <w:rPr>
                <w:rFonts w:ascii="Arial" w:hAnsi="Arial" w:cs="Arial"/>
                <w:b/>
                <w:bCs/>
                <w:color w:val="auto"/>
                <w:sz w:val="16"/>
                <w:szCs w:val="16"/>
              </w:rPr>
              <w:t>OWN-SOURCE INCOME</w:t>
            </w:r>
          </w:p>
        </w:tc>
        <w:tc>
          <w:tcPr>
            <w:tcW w:w="883" w:type="dxa"/>
            <w:tcBorders>
              <w:top w:val="nil"/>
              <w:left w:val="nil"/>
              <w:bottom w:val="nil"/>
              <w:right w:val="nil"/>
            </w:tcBorders>
            <w:shd w:val="clear" w:color="auto" w:fill="auto"/>
            <w:noWrap/>
            <w:vAlign w:val="bottom"/>
            <w:hideMark/>
          </w:tcPr>
          <w:p w14:paraId="60A89BED" w14:textId="77777777" w:rsidR="00CA1F7E" w:rsidRPr="00CA1F7E" w:rsidRDefault="00CA1F7E" w:rsidP="00CA1F7E">
            <w:pPr>
              <w:spacing w:after="0"/>
              <w:rPr>
                <w:rFonts w:ascii="Arial" w:hAnsi="Arial" w:cs="Arial"/>
                <w:b/>
                <w:bCs/>
                <w:color w:val="auto"/>
                <w:sz w:val="16"/>
                <w:szCs w:val="16"/>
              </w:rPr>
            </w:pPr>
          </w:p>
        </w:tc>
        <w:tc>
          <w:tcPr>
            <w:tcW w:w="799" w:type="dxa"/>
            <w:tcBorders>
              <w:top w:val="nil"/>
              <w:left w:val="nil"/>
              <w:bottom w:val="nil"/>
              <w:right w:val="nil"/>
            </w:tcBorders>
            <w:shd w:val="clear" w:color="000000" w:fill="D9D9D9"/>
            <w:noWrap/>
            <w:vAlign w:val="bottom"/>
            <w:hideMark/>
          </w:tcPr>
          <w:p w14:paraId="3F72C9B6"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 </w:t>
            </w:r>
          </w:p>
        </w:tc>
        <w:tc>
          <w:tcPr>
            <w:tcW w:w="837" w:type="dxa"/>
            <w:tcBorders>
              <w:top w:val="nil"/>
              <w:left w:val="nil"/>
              <w:bottom w:val="nil"/>
              <w:right w:val="nil"/>
            </w:tcBorders>
            <w:shd w:val="clear" w:color="auto" w:fill="auto"/>
            <w:noWrap/>
            <w:vAlign w:val="bottom"/>
            <w:hideMark/>
          </w:tcPr>
          <w:p w14:paraId="31B11333" w14:textId="77777777" w:rsidR="00CA1F7E" w:rsidRPr="00CA1F7E" w:rsidRDefault="00CA1F7E" w:rsidP="00CA1F7E">
            <w:pPr>
              <w:spacing w:after="0"/>
              <w:jc w:val="right"/>
              <w:rPr>
                <w:rFonts w:ascii="Arial" w:hAnsi="Arial" w:cs="Arial"/>
                <w:b/>
                <w:bCs/>
                <w:color w:val="auto"/>
                <w:sz w:val="16"/>
                <w:szCs w:val="16"/>
              </w:rPr>
            </w:pPr>
          </w:p>
        </w:tc>
        <w:tc>
          <w:tcPr>
            <w:tcW w:w="837" w:type="dxa"/>
            <w:tcBorders>
              <w:top w:val="nil"/>
              <w:left w:val="nil"/>
              <w:bottom w:val="nil"/>
              <w:right w:val="nil"/>
            </w:tcBorders>
            <w:shd w:val="clear" w:color="auto" w:fill="auto"/>
            <w:noWrap/>
            <w:vAlign w:val="bottom"/>
            <w:hideMark/>
          </w:tcPr>
          <w:p w14:paraId="713A5B53" w14:textId="77777777" w:rsidR="00CA1F7E" w:rsidRPr="00CA1F7E" w:rsidRDefault="00CA1F7E" w:rsidP="00CA1F7E">
            <w:pPr>
              <w:spacing w:after="0"/>
              <w:jc w:val="right"/>
              <w:rPr>
                <w:rFonts w:ascii="Times New Roman" w:hAnsi="Times New Roman"/>
                <w:color w:val="auto"/>
                <w:sz w:val="20"/>
              </w:rPr>
            </w:pPr>
          </w:p>
        </w:tc>
        <w:tc>
          <w:tcPr>
            <w:tcW w:w="837" w:type="dxa"/>
            <w:tcBorders>
              <w:top w:val="nil"/>
              <w:left w:val="nil"/>
              <w:bottom w:val="nil"/>
              <w:right w:val="nil"/>
            </w:tcBorders>
            <w:shd w:val="clear" w:color="auto" w:fill="auto"/>
            <w:noWrap/>
            <w:vAlign w:val="bottom"/>
            <w:hideMark/>
          </w:tcPr>
          <w:p w14:paraId="66CE6A26" w14:textId="77777777" w:rsidR="00CA1F7E" w:rsidRPr="00CA1F7E" w:rsidRDefault="00CA1F7E" w:rsidP="00CA1F7E">
            <w:pPr>
              <w:spacing w:after="0"/>
              <w:jc w:val="right"/>
              <w:rPr>
                <w:rFonts w:ascii="Times New Roman" w:hAnsi="Times New Roman"/>
                <w:color w:val="auto"/>
                <w:sz w:val="20"/>
              </w:rPr>
            </w:pPr>
          </w:p>
        </w:tc>
      </w:tr>
      <w:tr w:rsidR="00CA1F7E" w:rsidRPr="00CA1F7E" w14:paraId="1C9505C3" w14:textId="77777777" w:rsidTr="00CA1F7E">
        <w:trPr>
          <w:trHeight w:val="225"/>
          <w:jc w:val="center"/>
        </w:trPr>
        <w:tc>
          <w:tcPr>
            <w:tcW w:w="3157" w:type="dxa"/>
            <w:tcBorders>
              <w:top w:val="nil"/>
              <w:left w:val="nil"/>
              <w:bottom w:val="nil"/>
              <w:right w:val="nil"/>
            </w:tcBorders>
            <w:shd w:val="clear" w:color="auto" w:fill="auto"/>
            <w:noWrap/>
            <w:vAlign w:val="bottom"/>
            <w:hideMark/>
          </w:tcPr>
          <w:p w14:paraId="660AAB43" w14:textId="77777777" w:rsidR="00CA1F7E" w:rsidRPr="00CA1F7E" w:rsidRDefault="00CA1F7E" w:rsidP="00CA1F7E">
            <w:pPr>
              <w:spacing w:after="0"/>
              <w:ind w:leftChars="75" w:left="143"/>
              <w:rPr>
                <w:rFonts w:ascii="Arial" w:hAnsi="Arial" w:cs="Arial"/>
                <w:b/>
                <w:bCs/>
                <w:color w:val="auto"/>
                <w:sz w:val="16"/>
                <w:szCs w:val="16"/>
              </w:rPr>
            </w:pPr>
            <w:r w:rsidRPr="00CA1F7E">
              <w:rPr>
                <w:rFonts w:ascii="Arial" w:hAnsi="Arial" w:cs="Arial"/>
                <w:b/>
                <w:bCs/>
                <w:color w:val="auto"/>
                <w:sz w:val="16"/>
                <w:szCs w:val="16"/>
              </w:rPr>
              <w:t>Revenue</w:t>
            </w:r>
          </w:p>
        </w:tc>
        <w:tc>
          <w:tcPr>
            <w:tcW w:w="883" w:type="dxa"/>
            <w:tcBorders>
              <w:top w:val="nil"/>
              <w:left w:val="nil"/>
              <w:bottom w:val="nil"/>
              <w:right w:val="nil"/>
            </w:tcBorders>
            <w:shd w:val="clear" w:color="auto" w:fill="auto"/>
            <w:noWrap/>
            <w:vAlign w:val="bottom"/>
            <w:hideMark/>
          </w:tcPr>
          <w:p w14:paraId="425926FF" w14:textId="77777777" w:rsidR="00CA1F7E" w:rsidRPr="00CA1F7E" w:rsidRDefault="00CA1F7E" w:rsidP="00CA1F7E">
            <w:pPr>
              <w:spacing w:after="0"/>
              <w:ind w:firstLineChars="100" w:firstLine="160"/>
              <w:rPr>
                <w:rFonts w:ascii="Arial" w:hAnsi="Arial" w:cs="Arial"/>
                <w:b/>
                <w:bCs/>
                <w:color w:val="auto"/>
                <w:sz w:val="16"/>
                <w:szCs w:val="16"/>
              </w:rPr>
            </w:pPr>
          </w:p>
        </w:tc>
        <w:tc>
          <w:tcPr>
            <w:tcW w:w="799" w:type="dxa"/>
            <w:tcBorders>
              <w:top w:val="nil"/>
              <w:left w:val="nil"/>
              <w:bottom w:val="nil"/>
              <w:right w:val="nil"/>
            </w:tcBorders>
            <w:shd w:val="clear" w:color="000000" w:fill="D9D9D9"/>
            <w:noWrap/>
            <w:vAlign w:val="bottom"/>
            <w:hideMark/>
          </w:tcPr>
          <w:p w14:paraId="7139CF90"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 </w:t>
            </w:r>
          </w:p>
        </w:tc>
        <w:tc>
          <w:tcPr>
            <w:tcW w:w="837" w:type="dxa"/>
            <w:tcBorders>
              <w:top w:val="nil"/>
              <w:left w:val="nil"/>
              <w:bottom w:val="nil"/>
              <w:right w:val="nil"/>
            </w:tcBorders>
            <w:shd w:val="clear" w:color="auto" w:fill="auto"/>
            <w:noWrap/>
            <w:vAlign w:val="bottom"/>
            <w:hideMark/>
          </w:tcPr>
          <w:p w14:paraId="51DCB9BA" w14:textId="77777777" w:rsidR="00CA1F7E" w:rsidRPr="00CA1F7E" w:rsidRDefault="00CA1F7E" w:rsidP="00CA1F7E">
            <w:pPr>
              <w:spacing w:after="0"/>
              <w:jc w:val="right"/>
              <w:rPr>
                <w:rFonts w:ascii="Arial" w:hAnsi="Arial" w:cs="Arial"/>
                <w:b/>
                <w:bCs/>
                <w:color w:val="auto"/>
                <w:sz w:val="16"/>
                <w:szCs w:val="16"/>
              </w:rPr>
            </w:pPr>
          </w:p>
        </w:tc>
        <w:tc>
          <w:tcPr>
            <w:tcW w:w="837" w:type="dxa"/>
            <w:tcBorders>
              <w:top w:val="nil"/>
              <w:left w:val="nil"/>
              <w:bottom w:val="nil"/>
              <w:right w:val="nil"/>
            </w:tcBorders>
            <w:shd w:val="clear" w:color="auto" w:fill="auto"/>
            <w:noWrap/>
            <w:vAlign w:val="bottom"/>
            <w:hideMark/>
          </w:tcPr>
          <w:p w14:paraId="1BCDFC80" w14:textId="77777777" w:rsidR="00CA1F7E" w:rsidRPr="00CA1F7E" w:rsidRDefault="00CA1F7E" w:rsidP="00CA1F7E">
            <w:pPr>
              <w:spacing w:after="0"/>
              <w:jc w:val="right"/>
              <w:rPr>
                <w:rFonts w:ascii="Times New Roman" w:hAnsi="Times New Roman"/>
                <w:color w:val="auto"/>
                <w:sz w:val="20"/>
              </w:rPr>
            </w:pPr>
          </w:p>
        </w:tc>
        <w:tc>
          <w:tcPr>
            <w:tcW w:w="837" w:type="dxa"/>
            <w:tcBorders>
              <w:top w:val="nil"/>
              <w:left w:val="nil"/>
              <w:bottom w:val="nil"/>
              <w:right w:val="nil"/>
            </w:tcBorders>
            <w:shd w:val="clear" w:color="auto" w:fill="auto"/>
            <w:noWrap/>
            <w:vAlign w:val="bottom"/>
            <w:hideMark/>
          </w:tcPr>
          <w:p w14:paraId="485C6B81" w14:textId="77777777" w:rsidR="00CA1F7E" w:rsidRPr="00CA1F7E" w:rsidRDefault="00CA1F7E" w:rsidP="00CA1F7E">
            <w:pPr>
              <w:spacing w:after="0"/>
              <w:jc w:val="right"/>
              <w:rPr>
                <w:rFonts w:ascii="Times New Roman" w:hAnsi="Times New Roman"/>
                <w:color w:val="auto"/>
                <w:sz w:val="20"/>
              </w:rPr>
            </w:pPr>
          </w:p>
        </w:tc>
      </w:tr>
      <w:tr w:rsidR="00CA1F7E" w:rsidRPr="00CA1F7E" w14:paraId="4AE73F52" w14:textId="77777777" w:rsidTr="00CA1F7E">
        <w:trPr>
          <w:trHeight w:val="397"/>
          <w:jc w:val="center"/>
        </w:trPr>
        <w:tc>
          <w:tcPr>
            <w:tcW w:w="3157" w:type="dxa"/>
            <w:tcBorders>
              <w:top w:val="nil"/>
              <w:left w:val="nil"/>
              <w:bottom w:val="nil"/>
              <w:right w:val="nil"/>
            </w:tcBorders>
            <w:shd w:val="clear" w:color="auto" w:fill="auto"/>
            <w:vAlign w:val="bottom"/>
            <w:hideMark/>
          </w:tcPr>
          <w:p w14:paraId="1C0AD1C6" w14:textId="77777777" w:rsidR="00CA1F7E" w:rsidRPr="00CA1F7E" w:rsidRDefault="00CA1F7E" w:rsidP="00CA1F7E">
            <w:pPr>
              <w:spacing w:after="0"/>
              <w:ind w:leftChars="150" w:left="285"/>
              <w:rPr>
                <w:rFonts w:ascii="Arial" w:hAnsi="Arial" w:cs="Arial"/>
                <w:color w:val="auto"/>
                <w:sz w:val="16"/>
                <w:szCs w:val="16"/>
              </w:rPr>
            </w:pPr>
            <w:r w:rsidRPr="00CA1F7E">
              <w:rPr>
                <w:rFonts w:ascii="Arial" w:hAnsi="Arial" w:cs="Arial"/>
                <w:color w:val="auto"/>
                <w:sz w:val="16"/>
                <w:szCs w:val="16"/>
              </w:rPr>
              <w:t>Sale of goods and rendering of services</w:t>
            </w:r>
          </w:p>
        </w:tc>
        <w:tc>
          <w:tcPr>
            <w:tcW w:w="883" w:type="dxa"/>
            <w:tcBorders>
              <w:top w:val="nil"/>
              <w:left w:val="nil"/>
              <w:bottom w:val="nil"/>
              <w:right w:val="nil"/>
            </w:tcBorders>
            <w:shd w:val="clear" w:color="auto" w:fill="auto"/>
            <w:noWrap/>
            <w:vAlign w:val="bottom"/>
            <w:hideMark/>
          </w:tcPr>
          <w:p w14:paraId="661E5ACA"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799" w:type="dxa"/>
            <w:tcBorders>
              <w:top w:val="nil"/>
              <w:left w:val="nil"/>
              <w:bottom w:val="nil"/>
              <w:right w:val="nil"/>
            </w:tcBorders>
            <w:shd w:val="clear" w:color="000000" w:fill="D9D9D9"/>
            <w:noWrap/>
            <w:vAlign w:val="bottom"/>
            <w:hideMark/>
          </w:tcPr>
          <w:p w14:paraId="358DEAA0"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w:t>
            </w:r>
          </w:p>
        </w:tc>
        <w:tc>
          <w:tcPr>
            <w:tcW w:w="837" w:type="dxa"/>
            <w:tcBorders>
              <w:top w:val="nil"/>
              <w:left w:val="nil"/>
              <w:bottom w:val="nil"/>
              <w:right w:val="nil"/>
            </w:tcBorders>
            <w:shd w:val="clear" w:color="auto" w:fill="auto"/>
            <w:noWrap/>
            <w:vAlign w:val="bottom"/>
            <w:hideMark/>
          </w:tcPr>
          <w:p w14:paraId="206EBD8A"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nil"/>
              <w:right w:val="nil"/>
            </w:tcBorders>
            <w:shd w:val="clear" w:color="auto" w:fill="auto"/>
            <w:noWrap/>
            <w:vAlign w:val="bottom"/>
            <w:hideMark/>
          </w:tcPr>
          <w:p w14:paraId="536A2090"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nil"/>
              <w:right w:val="nil"/>
            </w:tcBorders>
            <w:shd w:val="clear" w:color="auto" w:fill="auto"/>
            <w:noWrap/>
            <w:vAlign w:val="bottom"/>
            <w:hideMark/>
          </w:tcPr>
          <w:p w14:paraId="29700E74"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r>
      <w:tr w:rsidR="00CA1F7E" w:rsidRPr="00CA1F7E" w14:paraId="0F772A25" w14:textId="77777777" w:rsidTr="00CA1F7E">
        <w:trPr>
          <w:trHeight w:val="225"/>
          <w:jc w:val="center"/>
        </w:trPr>
        <w:tc>
          <w:tcPr>
            <w:tcW w:w="3157" w:type="dxa"/>
            <w:tcBorders>
              <w:top w:val="nil"/>
              <w:left w:val="nil"/>
              <w:bottom w:val="nil"/>
              <w:right w:val="nil"/>
            </w:tcBorders>
            <w:shd w:val="clear" w:color="auto" w:fill="auto"/>
            <w:noWrap/>
            <w:vAlign w:val="bottom"/>
            <w:hideMark/>
          </w:tcPr>
          <w:p w14:paraId="24751C0F" w14:textId="77777777" w:rsidR="00CA1F7E" w:rsidRPr="00CA1F7E" w:rsidRDefault="00CA1F7E" w:rsidP="00CA1F7E">
            <w:pPr>
              <w:spacing w:after="0"/>
              <w:ind w:leftChars="150" w:left="285"/>
              <w:rPr>
                <w:rFonts w:ascii="Arial" w:hAnsi="Arial" w:cs="Arial"/>
                <w:color w:val="auto"/>
                <w:sz w:val="16"/>
                <w:szCs w:val="16"/>
              </w:rPr>
            </w:pPr>
            <w:r w:rsidRPr="00CA1F7E">
              <w:rPr>
                <w:rFonts w:ascii="Arial" w:hAnsi="Arial" w:cs="Arial"/>
                <w:color w:val="auto"/>
                <w:sz w:val="16"/>
                <w:szCs w:val="16"/>
              </w:rPr>
              <w:t>Other revenue</w:t>
            </w:r>
          </w:p>
        </w:tc>
        <w:tc>
          <w:tcPr>
            <w:tcW w:w="883" w:type="dxa"/>
            <w:tcBorders>
              <w:top w:val="nil"/>
              <w:left w:val="nil"/>
              <w:bottom w:val="nil"/>
              <w:right w:val="nil"/>
            </w:tcBorders>
            <w:shd w:val="clear" w:color="auto" w:fill="auto"/>
            <w:noWrap/>
            <w:vAlign w:val="bottom"/>
            <w:hideMark/>
          </w:tcPr>
          <w:p w14:paraId="3BC23B2C"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799" w:type="dxa"/>
            <w:tcBorders>
              <w:top w:val="nil"/>
              <w:left w:val="nil"/>
              <w:bottom w:val="nil"/>
              <w:right w:val="nil"/>
            </w:tcBorders>
            <w:shd w:val="clear" w:color="000000" w:fill="D9D9D9"/>
            <w:noWrap/>
            <w:vAlign w:val="bottom"/>
            <w:hideMark/>
          </w:tcPr>
          <w:p w14:paraId="2564EB04"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nil"/>
              <w:right w:val="nil"/>
            </w:tcBorders>
            <w:shd w:val="clear" w:color="auto" w:fill="auto"/>
            <w:noWrap/>
            <w:vAlign w:val="bottom"/>
            <w:hideMark/>
          </w:tcPr>
          <w:p w14:paraId="2B98BEBD"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nil"/>
              <w:right w:val="nil"/>
            </w:tcBorders>
            <w:shd w:val="clear" w:color="auto" w:fill="auto"/>
            <w:noWrap/>
            <w:vAlign w:val="bottom"/>
            <w:hideMark/>
          </w:tcPr>
          <w:p w14:paraId="1DDA1AAD"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nil"/>
              <w:right w:val="nil"/>
            </w:tcBorders>
            <w:shd w:val="clear" w:color="auto" w:fill="auto"/>
            <w:noWrap/>
            <w:vAlign w:val="bottom"/>
            <w:hideMark/>
          </w:tcPr>
          <w:p w14:paraId="533E134C"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r>
      <w:tr w:rsidR="00CA1F7E" w:rsidRPr="00CA1F7E" w14:paraId="501CFDFF" w14:textId="77777777" w:rsidTr="00CA1F7E">
        <w:trPr>
          <w:trHeight w:val="225"/>
          <w:jc w:val="center"/>
        </w:trPr>
        <w:tc>
          <w:tcPr>
            <w:tcW w:w="3157" w:type="dxa"/>
            <w:tcBorders>
              <w:top w:val="nil"/>
              <w:left w:val="nil"/>
              <w:bottom w:val="nil"/>
              <w:right w:val="nil"/>
            </w:tcBorders>
            <w:shd w:val="clear" w:color="auto" w:fill="auto"/>
            <w:noWrap/>
            <w:vAlign w:val="bottom"/>
            <w:hideMark/>
          </w:tcPr>
          <w:p w14:paraId="6998979E" w14:textId="77777777" w:rsidR="00CA1F7E" w:rsidRPr="00CA1F7E" w:rsidRDefault="00CA1F7E" w:rsidP="00CA1F7E">
            <w:pPr>
              <w:spacing w:after="0"/>
              <w:ind w:leftChars="150" w:left="285"/>
              <w:rPr>
                <w:rFonts w:ascii="Arial" w:hAnsi="Arial" w:cs="Arial"/>
                <w:b/>
                <w:bCs/>
                <w:color w:val="auto"/>
                <w:sz w:val="16"/>
                <w:szCs w:val="16"/>
              </w:rPr>
            </w:pPr>
            <w:r w:rsidRPr="00CA1F7E">
              <w:rPr>
                <w:rFonts w:ascii="Arial" w:hAnsi="Arial" w:cs="Arial"/>
                <w:b/>
                <w:bCs/>
                <w:color w:val="auto"/>
                <w:sz w:val="16"/>
                <w:szCs w:val="16"/>
              </w:rPr>
              <w:t>Total revenue</w:t>
            </w:r>
          </w:p>
        </w:tc>
        <w:tc>
          <w:tcPr>
            <w:tcW w:w="883" w:type="dxa"/>
            <w:tcBorders>
              <w:top w:val="nil"/>
              <w:left w:val="nil"/>
              <w:bottom w:val="single" w:sz="4" w:space="0" w:color="auto"/>
              <w:right w:val="nil"/>
            </w:tcBorders>
            <w:shd w:val="clear" w:color="auto" w:fill="auto"/>
            <w:noWrap/>
            <w:vAlign w:val="bottom"/>
            <w:hideMark/>
          </w:tcPr>
          <w:p w14:paraId="1DFD81DC"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w:t>
            </w:r>
          </w:p>
        </w:tc>
        <w:tc>
          <w:tcPr>
            <w:tcW w:w="799" w:type="dxa"/>
            <w:tcBorders>
              <w:top w:val="nil"/>
              <w:left w:val="nil"/>
              <w:bottom w:val="single" w:sz="4" w:space="0" w:color="auto"/>
              <w:right w:val="nil"/>
            </w:tcBorders>
            <w:shd w:val="clear" w:color="000000" w:fill="D9D9D9"/>
            <w:noWrap/>
            <w:vAlign w:val="bottom"/>
            <w:hideMark/>
          </w:tcPr>
          <w:p w14:paraId="216B9942"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w:t>
            </w:r>
          </w:p>
        </w:tc>
        <w:tc>
          <w:tcPr>
            <w:tcW w:w="837" w:type="dxa"/>
            <w:tcBorders>
              <w:top w:val="nil"/>
              <w:left w:val="nil"/>
              <w:bottom w:val="single" w:sz="4" w:space="0" w:color="auto"/>
              <w:right w:val="nil"/>
            </w:tcBorders>
            <w:shd w:val="clear" w:color="auto" w:fill="auto"/>
            <w:noWrap/>
            <w:vAlign w:val="bottom"/>
            <w:hideMark/>
          </w:tcPr>
          <w:p w14:paraId="37E345A1"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w:t>
            </w:r>
          </w:p>
        </w:tc>
        <w:tc>
          <w:tcPr>
            <w:tcW w:w="837" w:type="dxa"/>
            <w:tcBorders>
              <w:top w:val="nil"/>
              <w:left w:val="nil"/>
              <w:bottom w:val="single" w:sz="4" w:space="0" w:color="auto"/>
              <w:right w:val="nil"/>
            </w:tcBorders>
            <w:shd w:val="clear" w:color="auto" w:fill="auto"/>
            <w:noWrap/>
            <w:vAlign w:val="bottom"/>
            <w:hideMark/>
          </w:tcPr>
          <w:p w14:paraId="24F3045C"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w:t>
            </w:r>
          </w:p>
        </w:tc>
        <w:tc>
          <w:tcPr>
            <w:tcW w:w="837" w:type="dxa"/>
            <w:tcBorders>
              <w:top w:val="nil"/>
              <w:left w:val="nil"/>
              <w:bottom w:val="single" w:sz="4" w:space="0" w:color="auto"/>
              <w:right w:val="nil"/>
            </w:tcBorders>
            <w:shd w:val="clear" w:color="auto" w:fill="auto"/>
            <w:noWrap/>
            <w:vAlign w:val="bottom"/>
            <w:hideMark/>
          </w:tcPr>
          <w:p w14:paraId="19FB1338"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w:t>
            </w:r>
          </w:p>
        </w:tc>
      </w:tr>
      <w:tr w:rsidR="00CA1F7E" w:rsidRPr="00CA1F7E" w14:paraId="24CBA2BB" w14:textId="77777777" w:rsidTr="00CA1F7E">
        <w:trPr>
          <w:trHeight w:val="283"/>
          <w:jc w:val="center"/>
        </w:trPr>
        <w:tc>
          <w:tcPr>
            <w:tcW w:w="3157" w:type="dxa"/>
            <w:tcBorders>
              <w:top w:val="nil"/>
              <w:left w:val="nil"/>
              <w:bottom w:val="nil"/>
              <w:right w:val="nil"/>
            </w:tcBorders>
            <w:shd w:val="clear" w:color="auto" w:fill="auto"/>
            <w:noWrap/>
            <w:vAlign w:val="bottom"/>
            <w:hideMark/>
          </w:tcPr>
          <w:p w14:paraId="0348F163" w14:textId="77777777" w:rsidR="00CA1F7E" w:rsidRPr="00CA1F7E" w:rsidRDefault="00CA1F7E" w:rsidP="00CA1F7E">
            <w:pPr>
              <w:spacing w:after="0"/>
              <w:ind w:leftChars="75" w:left="143"/>
              <w:rPr>
                <w:rFonts w:ascii="Arial" w:hAnsi="Arial" w:cs="Arial"/>
                <w:b/>
                <w:bCs/>
                <w:color w:val="auto"/>
                <w:sz w:val="16"/>
                <w:szCs w:val="16"/>
              </w:rPr>
            </w:pPr>
            <w:r w:rsidRPr="00CA1F7E">
              <w:rPr>
                <w:rFonts w:ascii="Arial" w:hAnsi="Arial" w:cs="Arial"/>
                <w:b/>
                <w:bCs/>
                <w:color w:val="auto"/>
                <w:sz w:val="16"/>
                <w:szCs w:val="16"/>
              </w:rPr>
              <w:t>Gains</w:t>
            </w:r>
          </w:p>
        </w:tc>
        <w:tc>
          <w:tcPr>
            <w:tcW w:w="883" w:type="dxa"/>
            <w:tcBorders>
              <w:top w:val="nil"/>
              <w:left w:val="nil"/>
              <w:bottom w:val="nil"/>
              <w:right w:val="nil"/>
            </w:tcBorders>
            <w:shd w:val="clear" w:color="auto" w:fill="auto"/>
            <w:noWrap/>
            <w:vAlign w:val="bottom"/>
            <w:hideMark/>
          </w:tcPr>
          <w:p w14:paraId="20611CF6" w14:textId="77777777" w:rsidR="00CA1F7E" w:rsidRPr="00CA1F7E" w:rsidRDefault="00CA1F7E" w:rsidP="00CA1F7E">
            <w:pPr>
              <w:spacing w:after="0"/>
              <w:ind w:firstLineChars="100" w:firstLine="160"/>
              <w:rPr>
                <w:rFonts w:ascii="Arial" w:hAnsi="Arial" w:cs="Arial"/>
                <w:b/>
                <w:bCs/>
                <w:color w:val="auto"/>
                <w:sz w:val="16"/>
                <w:szCs w:val="16"/>
              </w:rPr>
            </w:pPr>
          </w:p>
        </w:tc>
        <w:tc>
          <w:tcPr>
            <w:tcW w:w="799" w:type="dxa"/>
            <w:tcBorders>
              <w:top w:val="nil"/>
              <w:left w:val="nil"/>
              <w:bottom w:val="nil"/>
              <w:right w:val="nil"/>
            </w:tcBorders>
            <w:shd w:val="clear" w:color="000000" w:fill="D9D9D9"/>
            <w:noWrap/>
            <w:vAlign w:val="bottom"/>
            <w:hideMark/>
          </w:tcPr>
          <w:p w14:paraId="48A0D379"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 </w:t>
            </w:r>
          </w:p>
        </w:tc>
        <w:tc>
          <w:tcPr>
            <w:tcW w:w="837" w:type="dxa"/>
            <w:tcBorders>
              <w:top w:val="nil"/>
              <w:left w:val="nil"/>
              <w:bottom w:val="nil"/>
              <w:right w:val="nil"/>
            </w:tcBorders>
            <w:shd w:val="clear" w:color="auto" w:fill="auto"/>
            <w:noWrap/>
            <w:vAlign w:val="bottom"/>
            <w:hideMark/>
          </w:tcPr>
          <w:p w14:paraId="5CDDAC16" w14:textId="77777777" w:rsidR="00CA1F7E" w:rsidRPr="00CA1F7E" w:rsidRDefault="00CA1F7E" w:rsidP="00CA1F7E">
            <w:pPr>
              <w:spacing w:after="0"/>
              <w:jc w:val="right"/>
              <w:rPr>
                <w:rFonts w:ascii="Arial" w:hAnsi="Arial" w:cs="Arial"/>
                <w:b/>
                <w:bCs/>
                <w:color w:val="auto"/>
                <w:sz w:val="16"/>
                <w:szCs w:val="16"/>
              </w:rPr>
            </w:pPr>
          </w:p>
        </w:tc>
        <w:tc>
          <w:tcPr>
            <w:tcW w:w="837" w:type="dxa"/>
            <w:tcBorders>
              <w:top w:val="nil"/>
              <w:left w:val="nil"/>
              <w:bottom w:val="nil"/>
              <w:right w:val="nil"/>
            </w:tcBorders>
            <w:shd w:val="clear" w:color="auto" w:fill="auto"/>
            <w:noWrap/>
            <w:vAlign w:val="bottom"/>
            <w:hideMark/>
          </w:tcPr>
          <w:p w14:paraId="3F1FADBF" w14:textId="77777777" w:rsidR="00CA1F7E" w:rsidRPr="00CA1F7E" w:rsidRDefault="00CA1F7E" w:rsidP="00CA1F7E">
            <w:pPr>
              <w:spacing w:after="0"/>
              <w:jc w:val="right"/>
              <w:rPr>
                <w:rFonts w:ascii="Times New Roman" w:hAnsi="Times New Roman"/>
                <w:color w:val="auto"/>
                <w:sz w:val="20"/>
              </w:rPr>
            </w:pPr>
          </w:p>
        </w:tc>
        <w:tc>
          <w:tcPr>
            <w:tcW w:w="837" w:type="dxa"/>
            <w:tcBorders>
              <w:top w:val="nil"/>
              <w:left w:val="nil"/>
              <w:bottom w:val="nil"/>
              <w:right w:val="nil"/>
            </w:tcBorders>
            <w:shd w:val="clear" w:color="auto" w:fill="auto"/>
            <w:noWrap/>
            <w:vAlign w:val="bottom"/>
            <w:hideMark/>
          </w:tcPr>
          <w:p w14:paraId="3D59457D" w14:textId="77777777" w:rsidR="00CA1F7E" w:rsidRPr="00CA1F7E" w:rsidRDefault="00CA1F7E" w:rsidP="00CA1F7E">
            <w:pPr>
              <w:spacing w:after="0"/>
              <w:jc w:val="right"/>
              <w:rPr>
                <w:rFonts w:ascii="Times New Roman" w:hAnsi="Times New Roman"/>
                <w:color w:val="auto"/>
                <w:sz w:val="20"/>
              </w:rPr>
            </w:pPr>
          </w:p>
        </w:tc>
      </w:tr>
      <w:tr w:rsidR="00CA1F7E" w:rsidRPr="00CA1F7E" w14:paraId="4F11D16B" w14:textId="77777777" w:rsidTr="00CA1F7E">
        <w:trPr>
          <w:trHeight w:val="225"/>
          <w:jc w:val="center"/>
        </w:trPr>
        <w:tc>
          <w:tcPr>
            <w:tcW w:w="3157" w:type="dxa"/>
            <w:tcBorders>
              <w:top w:val="nil"/>
              <w:left w:val="nil"/>
              <w:bottom w:val="nil"/>
              <w:right w:val="nil"/>
            </w:tcBorders>
            <w:shd w:val="clear" w:color="auto" w:fill="auto"/>
            <w:noWrap/>
            <w:vAlign w:val="bottom"/>
            <w:hideMark/>
          </w:tcPr>
          <w:p w14:paraId="332E9D00" w14:textId="77777777" w:rsidR="00CA1F7E" w:rsidRPr="00CA1F7E" w:rsidRDefault="00CA1F7E" w:rsidP="00CA1F7E">
            <w:pPr>
              <w:spacing w:after="0"/>
              <w:ind w:leftChars="150" w:left="285"/>
              <w:rPr>
                <w:rFonts w:ascii="Arial" w:hAnsi="Arial" w:cs="Arial"/>
                <w:color w:val="auto"/>
                <w:sz w:val="16"/>
                <w:szCs w:val="16"/>
              </w:rPr>
            </w:pPr>
            <w:r w:rsidRPr="00CA1F7E">
              <w:rPr>
                <w:rFonts w:ascii="Arial" w:hAnsi="Arial" w:cs="Arial"/>
                <w:color w:val="auto"/>
                <w:sz w:val="16"/>
                <w:szCs w:val="16"/>
              </w:rPr>
              <w:t xml:space="preserve">Other </w:t>
            </w:r>
          </w:p>
        </w:tc>
        <w:tc>
          <w:tcPr>
            <w:tcW w:w="883" w:type="dxa"/>
            <w:tcBorders>
              <w:top w:val="nil"/>
              <w:left w:val="nil"/>
              <w:bottom w:val="nil"/>
              <w:right w:val="nil"/>
            </w:tcBorders>
            <w:shd w:val="clear" w:color="auto" w:fill="auto"/>
            <w:noWrap/>
            <w:vAlign w:val="bottom"/>
            <w:hideMark/>
          </w:tcPr>
          <w:p w14:paraId="1E49E444"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100</w:t>
            </w:r>
          </w:p>
        </w:tc>
        <w:tc>
          <w:tcPr>
            <w:tcW w:w="799" w:type="dxa"/>
            <w:tcBorders>
              <w:top w:val="nil"/>
              <w:left w:val="nil"/>
              <w:bottom w:val="nil"/>
              <w:right w:val="nil"/>
            </w:tcBorders>
            <w:shd w:val="clear" w:color="000000" w:fill="D9D9D9"/>
            <w:noWrap/>
            <w:vAlign w:val="bottom"/>
            <w:hideMark/>
          </w:tcPr>
          <w:p w14:paraId="13C6C153"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110</w:t>
            </w:r>
          </w:p>
        </w:tc>
        <w:tc>
          <w:tcPr>
            <w:tcW w:w="837" w:type="dxa"/>
            <w:tcBorders>
              <w:top w:val="nil"/>
              <w:left w:val="nil"/>
              <w:bottom w:val="nil"/>
              <w:right w:val="nil"/>
            </w:tcBorders>
            <w:shd w:val="clear" w:color="auto" w:fill="auto"/>
            <w:noWrap/>
            <w:vAlign w:val="bottom"/>
            <w:hideMark/>
          </w:tcPr>
          <w:p w14:paraId="4AF33E9B"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110</w:t>
            </w:r>
          </w:p>
        </w:tc>
        <w:tc>
          <w:tcPr>
            <w:tcW w:w="837" w:type="dxa"/>
            <w:tcBorders>
              <w:top w:val="nil"/>
              <w:left w:val="nil"/>
              <w:bottom w:val="nil"/>
              <w:right w:val="nil"/>
            </w:tcBorders>
            <w:shd w:val="clear" w:color="auto" w:fill="auto"/>
            <w:noWrap/>
            <w:vAlign w:val="bottom"/>
            <w:hideMark/>
          </w:tcPr>
          <w:p w14:paraId="70B595A6"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118</w:t>
            </w:r>
          </w:p>
        </w:tc>
        <w:tc>
          <w:tcPr>
            <w:tcW w:w="837" w:type="dxa"/>
            <w:tcBorders>
              <w:top w:val="nil"/>
              <w:left w:val="nil"/>
              <w:bottom w:val="nil"/>
              <w:right w:val="nil"/>
            </w:tcBorders>
            <w:shd w:val="clear" w:color="auto" w:fill="auto"/>
            <w:noWrap/>
            <w:vAlign w:val="bottom"/>
            <w:hideMark/>
          </w:tcPr>
          <w:p w14:paraId="013AFD3E"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118</w:t>
            </w:r>
          </w:p>
        </w:tc>
      </w:tr>
      <w:tr w:rsidR="00CA1F7E" w:rsidRPr="00CA1F7E" w14:paraId="40BA922E" w14:textId="77777777" w:rsidTr="00CA1F7E">
        <w:trPr>
          <w:trHeight w:val="225"/>
          <w:jc w:val="center"/>
        </w:trPr>
        <w:tc>
          <w:tcPr>
            <w:tcW w:w="3157" w:type="dxa"/>
            <w:tcBorders>
              <w:top w:val="nil"/>
              <w:left w:val="nil"/>
              <w:bottom w:val="nil"/>
              <w:right w:val="nil"/>
            </w:tcBorders>
            <w:shd w:val="clear" w:color="auto" w:fill="auto"/>
            <w:noWrap/>
            <w:vAlign w:val="bottom"/>
            <w:hideMark/>
          </w:tcPr>
          <w:p w14:paraId="799BE1EA" w14:textId="77777777" w:rsidR="00CA1F7E" w:rsidRPr="00CA1F7E" w:rsidRDefault="00CA1F7E" w:rsidP="00CA1F7E">
            <w:pPr>
              <w:spacing w:after="0"/>
              <w:ind w:leftChars="150" w:left="285"/>
              <w:rPr>
                <w:rFonts w:ascii="Arial" w:hAnsi="Arial" w:cs="Arial"/>
                <w:b/>
                <w:bCs/>
                <w:color w:val="auto"/>
                <w:sz w:val="16"/>
                <w:szCs w:val="16"/>
              </w:rPr>
            </w:pPr>
            <w:r w:rsidRPr="00CA1F7E">
              <w:rPr>
                <w:rFonts w:ascii="Arial" w:hAnsi="Arial" w:cs="Arial"/>
                <w:b/>
                <w:bCs/>
                <w:color w:val="auto"/>
                <w:sz w:val="16"/>
                <w:szCs w:val="16"/>
              </w:rPr>
              <w:t>Total gains</w:t>
            </w:r>
          </w:p>
        </w:tc>
        <w:tc>
          <w:tcPr>
            <w:tcW w:w="883" w:type="dxa"/>
            <w:tcBorders>
              <w:top w:val="nil"/>
              <w:left w:val="nil"/>
              <w:bottom w:val="single" w:sz="4" w:space="0" w:color="auto"/>
              <w:right w:val="nil"/>
            </w:tcBorders>
            <w:shd w:val="clear" w:color="auto" w:fill="auto"/>
            <w:noWrap/>
            <w:vAlign w:val="bottom"/>
            <w:hideMark/>
          </w:tcPr>
          <w:p w14:paraId="6C36D6D3"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100</w:t>
            </w:r>
          </w:p>
        </w:tc>
        <w:tc>
          <w:tcPr>
            <w:tcW w:w="799" w:type="dxa"/>
            <w:tcBorders>
              <w:top w:val="nil"/>
              <w:left w:val="nil"/>
              <w:bottom w:val="single" w:sz="4" w:space="0" w:color="auto"/>
              <w:right w:val="nil"/>
            </w:tcBorders>
            <w:shd w:val="clear" w:color="000000" w:fill="D9D9D9"/>
            <w:noWrap/>
            <w:vAlign w:val="bottom"/>
            <w:hideMark/>
          </w:tcPr>
          <w:p w14:paraId="0EDC5092"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110</w:t>
            </w:r>
          </w:p>
        </w:tc>
        <w:tc>
          <w:tcPr>
            <w:tcW w:w="837" w:type="dxa"/>
            <w:tcBorders>
              <w:top w:val="nil"/>
              <w:left w:val="nil"/>
              <w:bottom w:val="single" w:sz="4" w:space="0" w:color="auto"/>
              <w:right w:val="nil"/>
            </w:tcBorders>
            <w:shd w:val="clear" w:color="auto" w:fill="auto"/>
            <w:noWrap/>
            <w:vAlign w:val="bottom"/>
            <w:hideMark/>
          </w:tcPr>
          <w:p w14:paraId="350BA484"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110</w:t>
            </w:r>
          </w:p>
        </w:tc>
        <w:tc>
          <w:tcPr>
            <w:tcW w:w="837" w:type="dxa"/>
            <w:tcBorders>
              <w:top w:val="nil"/>
              <w:left w:val="nil"/>
              <w:bottom w:val="single" w:sz="4" w:space="0" w:color="auto"/>
              <w:right w:val="nil"/>
            </w:tcBorders>
            <w:shd w:val="clear" w:color="auto" w:fill="auto"/>
            <w:noWrap/>
            <w:vAlign w:val="bottom"/>
            <w:hideMark/>
          </w:tcPr>
          <w:p w14:paraId="1AB32DA1"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118</w:t>
            </w:r>
          </w:p>
        </w:tc>
        <w:tc>
          <w:tcPr>
            <w:tcW w:w="837" w:type="dxa"/>
            <w:tcBorders>
              <w:top w:val="nil"/>
              <w:left w:val="nil"/>
              <w:bottom w:val="single" w:sz="4" w:space="0" w:color="auto"/>
              <w:right w:val="nil"/>
            </w:tcBorders>
            <w:shd w:val="clear" w:color="auto" w:fill="auto"/>
            <w:noWrap/>
            <w:vAlign w:val="bottom"/>
            <w:hideMark/>
          </w:tcPr>
          <w:p w14:paraId="66EA2C83"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118</w:t>
            </w:r>
          </w:p>
        </w:tc>
      </w:tr>
      <w:tr w:rsidR="00CA1F7E" w:rsidRPr="00CA1F7E" w14:paraId="35F310FA" w14:textId="77777777" w:rsidTr="00CA1F7E">
        <w:trPr>
          <w:trHeight w:val="225"/>
          <w:jc w:val="center"/>
        </w:trPr>
        <w:tc>
          <w:tcPr>
            <w:tcW w:w="3157" w:type="dxa"/>
            <w:tcBorders>
              <w:top w:val="nil"/>
              <w:left w:val="nil"/>
              <w:bottom w:val="nil"/>
              <w:right w:val="nil"/>
            </w:tcBorders>
            <w:shd w:val="clear" w:color="auto" w:fill="auto"/>
            <w:noWrap/>
            <w:vAlign w:val="bottom"/>
            <w:hideMark/>
          </w:tcPr>
          <w:p w14:paraId="5086BA76" w14:textId="77777777" w:rsidR="00CA1F7E" w:rsidRPr="00CA1F7E" w:rsidRDefault="00CA1F7E" w:rsidP="00CA1F7E">
            <w:pPr>
              <w:spacing w:after="0"/>
              <w:ind w:leftChars="75" w:left="143"/>
              <w:rPr>
                <w:rFonts w:ascii="Arial" w:hAnsi="Arial" w:cs="Arial"/>
                <w:b/>
                <w:bCs/>
                <w:color w:val="auto"/>
                <w:sz w:val="16"/>
                <w:szCs w:val="16"/>
              </w:rPr>
            </w:pPr>
            <w:r w:rsidRPr="00CA1F7E">
              <w:rPr>
                <w:rFonts w:ascii="Arial" w:hAnsi="Arial" w:cs="Arial"/>
                <w:b/>
                <w:bCs/>
                <w:color w:val="auto"/>
                <w:sz w:val="16"/>
                <w:szCs w:val="16"/>
              </w:rPr>
              <w:t>Total own-source income</w:t>
            </w:r>
          </w:p>
        </w:tc>
        <w:tc>
          <w:tcPr>
            <w:tcW w:w="883" w:type="dxa"/>
            <w:tcBorders>
              <w:top w:val="nil"/>
              <w:left w:val="nil"/>
              <w:bottom w:val="single" w:sz="4" w:space="0" w:color="auto"/>
              <w:right w:val="nil"/>
            </w:tcBorders>
            <w:shd w:val="clear" w:color="auto" w:fill="auto"/>
            <w:noWrap/>
            <w:vAlign w:val="bottom"/>
            <w:hideMark/>
          </w:tcPr>
          <w:p w14:paraId="5BAC3335"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100</w:t>
            </w:r>
          </w:p>
        </w:tc>
        <w:tc>
          <w:tcPr>
            <w:tcW w:w="799" w:type="dxa"/>
            <w:tcBorders>
              <w:top w:val="nil"/>
              <w:left w:val="nil"/>
              <w:bottom w:val="single" w:sz="4" w:space="0" w:color="auto"/>
              <w:right w:val="nil"/>
            </w:tcBorders>
            <w:shd w:val="clear" w:color="000000" w:fill="D9D9D9"/>
            <w:noWrap/>
            <w:vAlign w:val="bottom"/>
            <w:hideMark/>
          </w:tcPr>
          <w:p w14:paraId="78355922"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110</w:t>
            </w:r>
          </w:p>
        </w:tc>
        <w:tc>
          <w:tcPr>
            <w:tcW w:w="837" w:type="dxa"/>
            <w:tcBorders>
              <w:top w:val="nil"/>
              <w:left w:val="nil"/>
              <w:bottom w:val="single" w:sz="4" w:space="0" w:color="auto"/>
              <w:right w:val="nil"/>
            </w:tcBorders>
            <w:shd w:val="clear" w:color="auto" w:fill="auto"/>
            <w:noWrap/>
            <w:vAlign w:val="bottom"/>
            <w:hideMark/>
          </w:tcPr>
          <w:p w14:paraId="31A9683C"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110</w:t>
            </w:r>
          </w:p>
        </w:tc>
        <w:tc>
          <w:tcPr>
            <w:tcW w:w="837" w:type="dxa"/>
            <w:tcBorders>
              <w:top w:val="nil"/>
              <w:left w:val="nil"/>
              <w:bottom w:val="single" w:sz="4" w:space="0" w:color="auto"/>
              <w:right w:val="nil"/>
            </w:tcBorders>
            <w:shd w:val="clear" w:color="auto" w:fill="auto"/>
            <w:noWrap/>
            <w:vAlign w:val="bottom"/>
            <w:hideMark/>
          </w:tcPr>
          <w:p w14:paraId="4B109B71"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118</w:t>
            </w:r>
          </w:p>
        </w:tc>
        <w:tc>
          <w:tcPr>
            <w:tcW w:w="837" w:type="dxa"/>
            <w:tcBorders>
              <w:top w:val="nil"/>
              <w:left w:val="nil"/>
              <w:bottom w:val="single" w:sz="4" w:space="0" w:color="auto"/>
              <w:right w:val="nil"/>
            </w:tcBorders>
            <w:shd w:val="clear" w:color="auto" w:fill="auto"/>
            <w:noWrap/>
            <w:vAlign w:val="bottom"/>
            <w:hideMark/>
          </w:tcPr>
          <w:p w14:paraId="57280921"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118</w:t>
            </w:r>
          </w:p>
        </w:tc>
      </w:tr>
      <w:tr w:rsidR="00CA1F7E" w:rsidRPr="00CA1F7E" w14:paraId="3D3154A5" w14:textId="77777777" w:rsidTr="00CA1F7E">
        <w:trPr>
          <w:trHeight w:val="227"/>
          <w:jc w:val="center"/>
        </w:trPr>
        <w:tc>
          <w:tcPr>
            <w:tcW w:w="3157" w:type="dxa"/>
            <w:tcBorders>
              <w:top w:val="nil"/>
              <w:left w:val="nil"/>
              <w:bottom w:val="nil"/>
              <w:right w:val="nil"/>
            </w:tcBorders>
            <w:shd w:val="clear" w:color="auto" w:fill="auto"/>
            <w:vAlign w:val="bottom"/>
            <w:hideMark/>
          </w:tcPr>
          <w:p w14:paraId="48DF266E" w14:textId="77777777" w:rsidR="00CA1F7E" w:rsidRPr="00CA1F7E" w:rsidRDefault="00CA1F7E" w:rsidP="00CA1F7E">
            <w:pPr>
              <w:spacing w:after="0"/>
              <w:rPr>
                <w:rFonts w:ascii="Arial" w:hAnsi="Arial" w:cs="Arial"/>
                <w:b/>
                <w:bCs/>
                <w:color w:val="auto"/>
                <w:sz w:val="16"/>
                <w:szCs w:val="16"/>
              </w:rPr>
            </w:pPr>
            <w:r w:rsidRPr="00CA1F7E">
              <w:rPr>
                <w:rFonts w:ascii="Arial" w:hAnsi="Arial" w:cs="Arial"/>
                <w:b/>
                <w:bCs/>
                <w:color w:val="auto"/>
                <w:sz w:val="16"/>
                <w:szCs w:val="16"/>
              </w:rPr>
              <w:t>Net cost of (contribution by) services</w:t>
            </w:r>
          </w:p>
        </w:tc>
        <w:tc>
          <w:tcPr>
            <w:tcW w:w="883" w:type="dxa"/>
            <w:tcBorders>
              <w:top w:val="nil"/>
              <w:left w:val="nil"/>
              <w:bottom w:val="single" w:sz="4" w:space="0" w:color="auto"/>
              <w:right w:val="nil"/>
            </w:tcBorders>
            <w:shd w:val="clear" w:color="auto" w:fill="auto"/>
            <w:noWrap/>
            <w:vAlign w:val="bottom"/>
            <w:hideMark/>
          </w:tcPr>
          <w:p w14:paraId="33D21B1C"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5,497</w:t>
            </w:r>
          </w:p>
        </w:tc>
        <w:tc>
          <w:tcPr>
            <w:tcW w:w="799" w:type="dxa"/>
            <w:tcBorders>
              <w:top w:val="nil"/>
              <w:left w:val="nil"/>
              <w:bottom w:val="single" w:sz="4" w:space="0" w:color="auto"/>
              <w:right w:val="nil"/>
            </w:tcBorders>
            <w:shd w:val="clear" w:color="000000" w:fill="D9D9D9"/>
            <w:noWrap/>
            <w:vAlign w:val="bottom"/>
            <w:hideMark/>
          </w:tcPr>
          <w:p w14:paraId="1E66D026"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6,443</w:t>
            </w:r>
          </w:p>
        </w:tc>
        <w:tc>
          <w:tcPr>
            <w:tcW w:w="837" w:type="dxa"/>
            <w:tcBorders>
              <w:top w:val="nil"/>
              <w:left w:val="nil"/>
              <w:bottom w:val="single" w:sz="4" w:space="0" w:color="auto"/>
              <w:right w:val="nil"/>
            </w:tcBorders>
            <w:shd w:val="clear" w:color="auto" w:fill="auto"/>
            <w:noWrap/>
            <w:vAlign w:val="bottom"/>
            <w:hideMark/>
          </w:tcPr>
          <w:p w14:paraId="694C0683"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6,605</w:t>
            </w:r>
          </w:p>
        </w:tc>
        <w:tc>
          <w:tcPr>
            <w:tcW w:w="837" w:type="dxa"/>
            <w:tcBorders>
              <w:top w:val="nil"/>
              <w:left w:val="nil"/>
              <w:bottom w:val="single" w:sz="4" w:space="0" w:color="auto"/>
              <w:right w:val="nil"/>
            </w:tcBorders>
            <w:shd w:val="clear" w:color="auto" w:fill="auto"/>
            <w:noWrap/>
            <w:vAlign w:val="bottom"/>
            <w:hideMark/>
          </w:tcPr>
          <w:p w14:paraId="24A2BF16"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6,624</w:t>
            </w:r>
          </w:p>
        </w:tc>
        <w:tc>
          <w:tcPr>
            <w:tcW w:w="837" w:type="dxa"/>
            <w:tcBorders>
              <w:top w:val="nil"/>
              <w:left w:val="nil"/>
              <w:bottom w:val="single" w:sz="4" w:space="0" w:color="auto"/>
              <w:right w:val="nil"/>
            </w:tcBorders>
            <w:shd w:val="clear" w:color="auto" w:fill="auto"/>
            <w:noWrap/>
            <w:vAlign w:val="bottom"/>
            <w:hideMark/>
          </w:tcPr>
          <w:p w14:paraId="12896D43"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6,670</w:t>
            </w:r>
          </w:p>
        </w:tc>
      </w:tr>
      <w:tr w:rsidR="00CA1F7E" w:rsidRPr="00CA1F7E" w14:paraId="798034C7" w14:textId="77777777" w:rsidTr="00CA1F7E">
        <w:trPr>
          <w:trHeight w:val="283"/>
          <w:jc w:val="center"/>
        </w:trPr>
        <w:tc>
          <w:tcPr>
            <w:tcW w:w="3157" w:type="dxa"/>
            <w:tcBorders>
              <w:top w:val="nil"/>
              <w:left w:val="nil"/>
              <w:bottom w:val="nil"/>
              <w:right w:val="nil"/>
            </w:tcBorders>
            <w:shd w:val="clear" w:color="auto" w:fill="auto"/>
            <w:noWrap/>
            <w:vAlign w:val="bottom"/>
            <w:hideMark/>
          </w:tcPr>
          <w:p w14:paraId="2889055A" w14:textId="77777777" w:rsidR="00CA1F7E" w:rsidRPr="00CA1F7E" w:rsidRDefault="00CA1F7E" w:rsidP="00CA1F7E">
            <w:pPr>
              <w:spacing w:after="0"/>
              <w:ind w:leftChars="75" w:left="143"/>
              <w:rPr>
                <w:rFonts w:ascii="Arial" w:hAnsi="Arial" w:cs="Arial"/>
                <w:color w:val="auto"/>
                <w:sz w:val="16"/>
                <w:szCs w:val="16"/>
              </w:rPr>
            </w:pPr>
            <w:r w:rsidRPr="00CA1F7E">
              <w:rPr>
                <w:rFonts w:ascii="Arial" w:hAnsi="Arial" w:cs="Arial"/>
                <w:color w:val="auto"/>
                <w:sz w:val="16"/>
                <w:szCs w:val="16"/>
              </w:rPr>
              <w:t>Revenue from Government</w:t>
            </w:r>
          </w:p>
        </w:tc>
        <w:tc>
          <w:tcPr>
            <w:tcW w:w="883" w:type="dxa"/>
            <w:tcBorders>
              <w:top w:val="nil"/>
              <w:left w:val="nil"/>
              <w:bottom w:val="nil"/>
              <w:right w:val="nil"/>
            </w:tcBorders>
            <w:shd w:val="clear" w:color="auto" w:fill="auto"/>
            <w:noWrap/>
            <w:vAlign w:val="bottom"/>
            <w:hideMark/>
          </w:tcPr>
          <w:p w14:paraId="2B9F0525"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5,978</w:t>
            </w:r>
          </w:p>
        </w:tc>
        <w:tc>
          <w:tcPr>
            <w:tcW w:w="799" w:type="dxa"/>
            <w:tcBorders>
              <w:top w:val="nil"/>
              <w:left w:val="nil"/>
              <w:bottom w:val="nil"/>
              <w:right w:val="nil"/>
            </w:tcBorders>
            <w:shd w:val="clear" w:color="000000" w:fill="D9D9D9"/>
            <w:noWrap/>
            <w:vAlign w:val="bottom"/>
            <w:hideMark/>
          </w:tcPr>
          <w:p w14:paraId="0E951FCE"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6,089</w:t>
            </w:r>
          </w:p>
        </w:tc>
        <w:tc>
          <w:tcPr>
            <w:tcW w:w="837" w:type="dxa"/>
            <w:tcBorders>
              <w:top w:val="nil"/>
              <w:left w:val="nil"/>
              <w:bottom w:val="nil"/>
              <w:right w:val="nil"/>
            </w:tcBorders>
            <w:shd w:val="clear" w:color="auto" w:fill="auto"/>
            <w:noWrap/>
            <w:vAlign w:val="bottom"/>
            <w:hideMark/>
          </w:tcPr>
          <w:p w14:paraId="09F1E0A1"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6,222</w:t>
            </w:r>
          </w:p>
        </w:tc>
        <w:tc>
          <w:tcPr>
            <w:tcW w:w="837" w:type="dxa"/>
            <w:tcBorders>
              <w:top w:val="nil"/>
              <w:left w:val="nil"/>
              <w:bottom w:val="nil"/>
              <w:right w:val="nil"/>
            </w:tcBorders>
            <w:shd w:val="clear" w:color="auto" w:fill="auto"/>
            <w:noWrap/>
            <w:vAlign w:val="bottom"/>
            <w:hideMark/>
          </w:tcPr>
          <w:p w14:paraId="1F433C35"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6,265</w:t>
            </w:r>
          </w:p>
        </w:tc>
        <w:tc>
          <w:tcPr>
            <w:tcW w:w="837" w:type="dxa"/>
            <w:tcBorders>
              <w:top w:val="nil"/>
              <w:left w:val="nil"/>
              <w:bottom w:val="nil"/>
              <w:right w:val="nil"/>
            </w:tcBorders>
            <w:shd w:val="clear" w:color="auto" w:fill="auto"/>
            <w:noWrap/>
            <w:vAlign w:val="bottom"/>
            <w:hideMark/>
          </w:tcPr>
          <w:p w14:paraId="71698E2C"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6,316</w:t>
            </w:r>
          </w:p>
        </w:tc>
      </w:tr>
      <w:tr w:rsidR="00CA1F7E" w:rsidRPr="00CA1F7E" w14:paraId="38933BB7" w14:textId="77777777" w:rsidTr="00CA1F7E">
        <w:trPr>
          <w:trHeight w:val="283"/>
          <w:jc w:val="center"/>
        </w:trPr>
        <w:tc>
          <w:tcPr>
            <w:tcW w:w="3157" w:type="dxa"/>
            <w:tcBorders>
              <w:top w:val="nil"/>
              <w:left w:val="nil"/>
              <w:bottom w:val="nil"/>
              <w:right w:val="nil"/>
            </w:tcBorders>
            <w:shd w:val="clear" w:color="auto" w:fill="auto"/>
            <w:noWrap/>
            <w:vAlign w:val="bottom"/>
            <w:hideMark/>
          </w:tcPr>
          <w:p w14:paraId="4675ADCE" w14:textId="77777777" w:rsidR="00CA1F7E" w:rsidRPr="00CA1F7E" w:rsidRDefault="00CA1F7E" w:rsidP="00CA1F7E">
            <w:pPr>
              <w:spacing w:after="0"/>
              <w:rPr>
                <w:rFonts w:ascii="Arial" w:hAnsi="Arial" w:cs="Arial"/>
                <w:b/>
                <w:bCs/>
                <w:color w:val="auto"/>
                <w:sz w:val="16"/>
                <w:szCs w:val="16"/>
              </w:rPr>
            </w:pPr>
            <w:r w:rsidRPr="00CA1F7E">
              <w:rPr>
                <w:rFonts w:ascii="Arial" w:hAnsi="Arial" w:cs="Arial"/>
                <w:b/>
                <w:bCs/>
                <w:color w:val="auto"/>
                <w:sz w:val="16"/>
                <w:szCs w:val="16"/>
              </w:rPr>
              <w:t>Surplus (deficit)</w:t>
            </w:r>
          </w:p>
        </w:tc>
        <w:tc>
          <w:tcPr>
            <w:tcW w:w="883" w:type="dxa"/>
            <w:tcBorders>
              <w:top w:val="nil"/>
              <w:left w:val="nil"/>
              <w:bottom w:val="single" w:sz="4" w:space="0" w:color="auto"/>
              <w:right w:val="nil"/>
            </w:tcBorders>
            <w:shd w:val="clear" w:color="auto" w:fill="auto"/>
            <w:noWrap/>
            <w:vAlign w:val="bottom"/>
            <w:hideMark/>
          </w:tcPr>
          <w:p w14:paraId="2B9986E3"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481</w:t>
            </w:r>
          </w:p>
        </w:tc>
        <w:tc>
          <w:tcPr>
            <w:tcW w:w="799" w:type="dxa"/>
            <w:tcBorders>
              <w:top w:val="nil"/>
              <w:left w:val="nil"/>
              <w:bottom w:val="single" w:sz="4" w:space="0" w:color="auto"/>
              <w:right w:val="nil"/>
            </w:tcBorders>
            <w:shd w:val="clear" w:color="000000" w:fill="D9D9D9"/>
            <w:noWrap/>
            <w:vAlign w:val="bottom"/>
            <w:hideMark/>
          </w:tcPr>
          <w:p w14:paraId="3BD87E25"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(354)</w:t>
            </w:r>
          </w:p>
        </w:tc>
        <w:tc>
          <w:tcPr>
            <w:tcW w:w="837" w:type="dxa"/>
            <w:tcBorders>
              <w:top w:val="nil"/>
              <w:left w:val="nil"/>
              <w:bottom w:val="single" w:sz="4" w:space="0" w:color="auto"/>
              <w:right w:val="nil"/>
            </w:tcBorders>
            <w:shd w:val="clear" w:color="auto" w:fill="auto"/>
            <w:noWrap/>
            <w:vAlign w:val="bottom"/>
            <w:hideMark/>
          </w:tcPr>
          <w:p w14:paraId="7B6C1672"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(383)</w:t>
            </w:r>
          </w:p>
        </w:tc>
        <w:tc>
          <w:tcPr>
            <w:tcW w:w="837" w:type="dxa"/>
            <w:tcBorders>
              <w:top w:val="nil"/>
              <w:left w:val="nil"/>
              <w:bottom w:val="single" w:sz="4" w:space="0" w:color="auto"/>
              <w:right w:val="nil"/>
            </w:tcBorders>
            <w:shd w:val="clear" w:color="auto" w:fill="auto"/>
            <w:noWrap/>
            <w:vAlign w:val="bottom"/>
            <w:hideMark/>
          </w:tcPr>
          <w:p w14:paraId="7CA61EC7"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(359)</w:t>
            </w:r>
          </w:p>
        </w:tc>
        <w:tc>
          <w:tcPr>
            <w:tcW w:w="837" w:type="dxa"/>
            <w:tcBorders>
              <w:top w:val="nil"/>
              <w:left w:val="nil"/>
              <w:bottom w:val="single" w:sz="4" w:space="0" w:color="auto"/>
              <w:right w:val="nil"/>
            </w:tcBorders>
            <w:shd w:val="clear" w:color="auto" w:fill="auto"/>
            <w:noWrap/>
            <w:vAlign w:val="bottom"/>
            <w:hideMark/>
          </w:tcPr>
          <w:p w14:paraId="0BF7B2CE"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(354)</w:t>
            </w:r>
          </w:p>
        </w:tc>
      </w:tr>
      <w:tr w:rsidR="00CA1F7E" w:rsidRPr="00CA1F7E" w14:paraId="0D236896" w14:textId="77777777" w:rsidTr="00CA1F7E">
        <w:trPr>
          <w:trHeight w:val="454"/>
          <w:jc w:val="center"/>
        </w:trPr>
        <w:tc>
          <w:tcPr>
            <w:tcW w:w="3157" w:type="dxa"/>
            <w:tcBorders>
              <w:top w:val="nil"/>
              <w:left w:val="nil"/>
              <w:bottom w:val="nil"/>
              <w:right w:val="nil"/>
            </w:tcBorders>
            <w:shd w:val="clear" w:color="auto" w:fill="auto"/>
            <w:vAlign w:val="bottom"/>
            <w:hideMark/>
          </w:tcPr>
          <w:p w14:paraId="03669BC6" w14:textId="77777777" w:rsidR="00CA1F7E" w:rsidRPr="00CA1F7E" w:rsidRDefault="00CA1F7E" w:rsidP="00CA1F7E">
            <w:pPr>
              <w:spacing w:after="0"/>
              <w:rPr>
                <w:rFonts w:ascii="Arial" w:hAnsi="Arial" w:cs="Arial"/>
                <w:b/>
                <w:bCs/>
                <w:color w:val="auto"/>
                <w:sz w:val="16"/>
                <w:szCs w:val="16"/>
              </w:rPr>
            </w:pPr>
            <w:r w:rsidRPr="00CA1F7E">
              <w:rPr>
                <w:rFonts w:ascii="Arial" w:hAnsi="Arial" w:cs="Arial"/>
                <w:b/>
                <w:bCs/>
                <w:color w:val="auto"/>
                <w:sz w:val="16"/>
                <w:szCs w:val="16"/>
              </w:rPr>
              <w:t>Surplus (deficit) attributable to the Australian Government</w:t>
            </w:r>
          </w:p>
        </w:tc>
        <w:tc>
          <w:tcPr>
            <w:tcW w:w="883" w:type="dxa"/>
            <w:tcBorders>
              <w:top w:val="nil"/>
              <w:left w:val="nil"/>
              <w:bottom w:val="single" w:sz="4" w:space="0" w:color="auto"/>
              <w:right w:val="nil"/>
            </w:tcBorders>
            <w:shd w:val="clear" w:color="auto" w:fill="auto"/>
            <w:noWrap/>
            <w:vAlign w:val="bottom"/>
            <w:hideMark/>
          </w:tcPr>
          <w:p w14:paraId="1272A890"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481</w:t>
            </w:r>
          </w:p>
        </w:tc>
        <w:tc>
          <w:tcPr>
            <w:tcW w:w="799" w:type="dxa"/>
            <w:tcBorders>
              <w:top w:val="nil"/>
              <w:left w:val="nil"/>
              <w:bottom w:val="single" w:sz="4" w:space="0" w:color="auto"/>
              <w:right w:val="nil"/>
            </w:tcBorders>
            <w:shd w:val="clear" w:color="000000" w:fill="D9D9D9"/>
            <w:noWrap/>
            <w:vAlign w:val="bottom"/>
            <w:hideMark/>
          </w:tcPr>
          <w:p w14:paraId="53B9678A"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(354)</w:t>
            </w:r>
          </w:p>
        </w:tc>
        <w:tc>
          <w:tcPr>
            <w:tcW w:w="837" w:type="dxa"/>
            <w:tcBorders>
              <w:top w:val="nil"/>
              <w:left w:val="nil"/>
              <w:bottom w:val="single" w:sz="4" w:space="0" w:color="auto"/>
              <w:right w:val="nil"/>
            </w:tcBorders>
            <w:shd w:val="clear" w:color="auto" w:fill="auto"/>
            <w:noWrap/>
            <w:vAlign w:val="bottom"/>
            <w:hideMark/>
          </w:tcPr>
          <w:p w14:paraId="0AC60110"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(383)</w:t>
            </w:r>
          </w:p>
        </w:tc>
        <w:tc>
          <w:tcPr>
            <w:tcW w:w="837" w:type="dxa"/>
            <w:tcBorders>
              <w:top w:val="nil"/>
              <w:left w:val="nil"/>
              <w:bottom w:val="single" w:sz="4" w:space="0" w:color="auto"/>
              <w:right w:val="nil"/>
            </w:tcBorders>
            <w:shd w:val="clear" w:color="auto" w:fill="auto"/>
            <w:noWrap/>
            <w:vAlign w:val="bottom"/>
            <w:hideMark/>
          </w:tcPr>
          <w:p w14:paraId="692373D0"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(359)</w:t>
            </w:r>
          </w:p>
        </w:tc>
        <w:tc>
          <w:tcPr>
            <w:tcW w:w="837" w:type="dxa"/>
            <w:tcBorders>
              <w:top w:val="nil"/>
              <w:left w:val="nil"/>
              <w:bottom w:val="single" w:sz="4" w:space="0" w:color="auto"/>
              <w:right w:val="nil"/>
            </w:tcBorders>
            <w:shd w:val="clear" w:color="auto" w:fill="auto"/>
            <w:noWrap/>
            <w:vAlign w:val="bottom"/>
            <w:hideMark/>
          </w:tcPr>
          <w:p w14:paraId="101EEAD3"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(354)</w:t>
            </w:r>
          </w:p>
        </w:tc>
      </w:tr>
      <w:tr w:rsidR="00CA1F7E" w:rsidRPr="00CA1F7E" w14:paraId="3A03AB1F" w14:textId="77777777" w:rsidTr="00CA1F7E">
        <w:trPr>
          <w:trHeight w:val="283"/>
          <w:jc w:val="center"/>
        </w:trPr>
        <w:tc>
          <w:tcPr>
            <w:tcW w:w="3157" w:type="dxa"/>
            <w:tcBorders>
              <w:top w:val="nil"/>
              <w:left w:val="nil"/>
              <w:bottom w:val="nil"/>
              <w:right w:val="nil"/>
            </w:tcBorders>
            <w:shd w:val="clear" w:color="auto" w:fill="auto"/>
            <w:noWrap/>
            <w:vAlign w:val="bottom"/>
            <w:hideMark/>
          </w:tcPr>
          <w:p w14:paraId="2270045B" w14:textId="77777777" w:rsidR="00CA1F7E" w:rsidRPr="00CA1F7E" w:rsidRDefault="00CA1F7E" w:rsidP="00CA1F7E">
            <w:pPr>
              <w:spacing w:after="0"/>
              <w:rPr>
                <w:rFonts w:ascii="Arial" w:hAnsi="Arial" w:cs="Arial"/>
                <w:b/>
                <w:bCs/>
                <w:color w:val="auto"/>
                <w:sz w:val="16"/>
                <w:szCs w:val="16"/>
              </w:rPr>
            </w:pPr>
            <w:r w:rsidRPr="00CA1F7E">
              <w:rPr>
                <w:rFonts w:ascii="Arial" w:hAnsi="Arial" w:cs="Arial"/>
                <w:b/>
                <w:bCs/>
                <w:color w:val="auto"/>
                <w:sz w:val="16"/>
                <w:szCs w:val="16"/>
              </w:rPr>
              <w:t>OTHER COMPREHENSIVE INCOME</w:t>
            </w:r>
          </w:p>
        </w:tc>
        <w:tc>
          <w:tcPr>
            <w:tcW w:w="883" w:type="dxa"/>
            <w:tcBorders>
              <w:top w:val="nil"/>
              <w:left w:val="nil"/>
              <w:bottom w:val="nil"/>
              <w:right w:val="nil"/>
            </w:tcBorders>
            <w:shd w:val="clear" w:color="auto" w:fill="auto"/>
            <w:noWrap/>
            <w:vAlign w:val="bottom"/>
            <w:hideMark/>
          </w:tcPr>
          <w:p w14:paraId="3E63E3EF" w14:textId="77777777" w:rsidR="00CA1F7E" w:rsidRPr="00CA1F7E" w:rsidRDefault="00CA1F7E" w:rsidP="00CA1F7E">
            <w:pPr>
              <w:spacing w:after="0"/>
              <w:rPr>
                <w:rFonts w:ascii="Arial" w:hAnsi="Arial" w:cs="Arial"/>
                <w:b/>
                <w:bCs/>
                <w:color w:val="auto"/>
                <w:sz w:val="16"/>
                <w:szCs w:val="16"/>
              </w:rPr>
            </w:pPr>
          </w:p>
        </w:tc>
        <w:tc>
          <w:tcPr>
            <w:tcW w:w="799" w:type="dxa"/>
            <w:tcBorders>
              <w:top w:val="nil"/>
              <w:left w:val="nil"/>
              <w:bottom w:val="nil"/>
              <w:right w:val="nil"/>
            </w:tcBorders>
            <w:shd w:val="clear" w:color="000000" w:fill="D9D9D9"/>
            <w:noWrap/>
            <w:vAlign w:val="bottom"/>
            <w:hideMark/>
          </w:tcPr>
          <w:p w14:paraId="192C2F9A"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 </w:t>
            </w:r>
          </w:p>
        </w:tc>
        <w:tc>
          <w:tcPr>
            <w:tcW w:w="837" w:type="dxa"/>
            <w:tcBorders>
              <w:top w:val="nil"/>
              <w:left w:val="nil"/>
              <w:bottom w:val="nil"/>
              <w:right w:val="nil"/>
            </w:tcBorders>
            <w:shd w:val="clear" w:color="auto" w:fill="auto"/>
            <w:noWrap/>
            <w:vAlign w:val="bottom"/>
            <w:hideMark/>
          </w:tcPr>
          <w:p w14:paraId="4F2AF060" w14:textId="77777777" w:rsidR="00CA1F7E" w:rsidRPr="00CA1F7E" w:rsidRDefault="00CA1F7E" w:rsidP="00CA1F7E">
            <w:pPr>
              <w:spacing w:after="0"/>
              <w:jc w:val="right"/>
              <w:rPr>
                <w:rFonts w:ascii="Arial" w:hAnsi="Arial" w:cs="Arial"/>
                <w:b/>
                <w:bCs/>
                <w:color w:val="auto"/>
                <w:sz w:val="16"/>
                <w:szCs w:val="16"/>
              </w:rPr>
            </w:pPr>
          </w:p>
        </w:tc>
        <w:tc>
          <w:tcPr>
            <w:tcW w:w="837" w:type="dxa"/>
            <w:tcBorders>
              <w:top w:val="nil"/>
              <w:left w:val="nil"/>
              <w:bottom w:val="nil"/>
              <w:right w:val="nil"/>
            </w:tcBorders>
            <w:shd w:val="clear" w:color="auto" w:fill="auto"/>
            <w:noWrap/>
            <w:vAlign w:val="bottom"/>
            <w:hideMark/>
          </w:tcPr>
          <w:p w14:paraId="3D546D04" w14:textId="77777777" w:rsidR="00CA1F7E" w:rsidRPr="00CA1F7E" w:rsidRDefault="00CA1F7E" w:rsidP="00CA1F7E">
            <w:pPr>
              <w:spacing w:after="0"/>
              <w:jc w:val="right"/>
              <w:rPr>
                <w:rFonts w:ascii="Times New Roman" w:hAnsi="Times New Roman"/>
                <w:color w:val="auto"/>
                <w:sz w:val="20"/>
              </w:rPr>
            </w:pPr>
          </w:p>
        </w:tc>
        <w:tc>
          <w:tcPr>
            <w:tcW w:w="837" w:type="dxa"/>
            <w:tcBorders>
              <w:top w:val="nil"/>
              <w:left w:val="nil"/>
              <w:bottom w:val="nil"/>
              <w:right w:val="nil"/>
            </w:tcBorders>
            <w:shd w:val="clear" w:color="auto" w:fill="auto"/>
            <w:noWrap/>
            <w:vAlign w:val="bottom"/>
            <w:hideMark/>
          </w:tcPr>
          <w:p w14:paraId="6AE6F9A2" w14:textId="77777777" w:rsidR="00CA1F7E" w:rsidRPr="00CA1F7E" w:rsidRDefault="00CA1F7E" w:rsidP="00CA1F7E">
            <w:pPr>
              <w:spacing w:after="0"/>
              <w:jc w:val="right"/>
              <w:rPr>
                <w:rFonts w:ascii="Times New Roman" w:hAnsi="Times New Roman"/>
                <w:color w:val="auto"/>
                <w:sz w:val="20"/>
              </w:rPr>
            </w:pPr>
          </w:p>
        </w:tc>
      </w:tr>
      <w:tr w:rsidR="00CA1F7E" w:rsidRPr="00CA1F7E" w14:paraId="3F8511BA" w14:textId="77777777" w:rsidTr="00CA1F7E">
        <w:trPr>
          <w:trHeight w:val="397"/>
          <w:jc w:val="center"/>
        </w:trPr>
        <w:tc>
          <w:tcPr>
            <w:tcW w:w="3157" w:type="dxa"/>
            <w:tcBorders>
              <w:top w:val="nil"/>
              <w:left w:val="nil"/>
              <w:bottom w:val="nil"/>
              <w:right w:val="nil"/>
            </w:tcBorders>
            <w:shd w:val="clear" w:color="auto" w:fill="auto"/>
            <w:noWrap/>
            <w:vAlign w:val="bottom"/>
            <w:hideMark/>
          </w:tcPr>
          <w:p w14:paraId="39C89410" w14:textId="77777777" w:rsidR="00CA1F7E" w:rsidRPr="00CA1F7E" w:rsidRDefault="00CA1F7E" w:rsidP="00CA1F7E">
            <w:pPr>
              <w:spacing w:after="0"/>
              <w:ind w:leftChars="150" w:left="285"/>
              <w:rPr>
                <w:rFonts w:ascii="Arial" w:hAnsi="Arial" w:cs="Arial"/>
                <w:color w:val="auto"/>
                <w:sz w:val="16"/>
                <w:szCs w:val="16"/>
              </w:rPr>
            </w:pPr>
            <w:r w:rsidRPr="00CA1F7E">
              <w:rPr>
                <w:rFonts w:ascii="Arial" w:hAnsi="Arial" w:cs="Arial"/>
                <w:color w:val="auto"/>
                <w:sz w:val="16"/>
                <w:szCs w:val="16"/>
              </w:rPr>
              <w:t>Changes in asset revaluation reserves</w:t>
            </w:r>
          </w:p>
        </w:tc>
        <w:tc>
          <w:tcPr>
            <w:tcW w:w="883" w:type="dxa"/>
            <w:tcBorders>
              <w:top w:val="nil"/>
              <w:left w:val="nil"/>
              <w:bottom w:val="nil"/>
              <w:right w:val="nil"/>
            </w:tcBorders>
            <w:shd w:val="clear" w:color="auto" w:fill="auto"/>
            <w:noWrap/>
            <w:vAlign w:val="bottom"/>
            <w:hideMark/>
          </w:tcPr>
          <w:p w14:paraId="5EE4EE72"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799" w:type="dxa"/>
            <w:tcBorders>
              <w:top w:val="nil"/>
              <w:left w:val="nil"/>
              <w:bottom w:val="nil"/>
              <w:right w:val="nil"/>
            </w:tcBorders>
            <w:shd w:val="clear" w:color="000000" w:fill="D9D9D9"/>
            <w:noWrap/>
            <w:vAlign w:val="bottom"/>
            <w:hideMark/>
          </w:tcPr>
          <w:p w14:paraId="0F9C73F1"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nil"/>
              <w:right w:val="nil"/>
            </w:tcBorders>
            <w:shd w:val="clear" w:color="auto" w:fill="auto"/>
            <w:noWrap/>
            <w:vAlign w:val="bottom"/>
            <w:hideMark/>
          </w:tcPr>
          <w:p w14:paraId="0018A6F1"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nil"/>
              <w:right w:val="nil"/>
            </w:tcBorders>
            <w:shd w:val="clear" w:color="auto" w:fill="auto"/>
            <w:noWrap/>
            <w:vAlign w:val="bottom"/>
            <w:hideMark/>
          </w:tcPr>
          <w:p w14:paraId="4CC91C7A"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nil"/>
              <w:right w:val="nil"/>
            </w:tcBorders>
            <w:shd w:val="clear" w:color="auto" w:fill="auto"/>
            <w:noWrap/>
            <w:vAlign w:val="bottom"/>
            <w:hideMark/>
          </w:tcPr>
          <w:p w14:paraId="5A56659D"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r>
      <w:tr w:rsidR="00CA1F7E" w:rsidRPr="00CA1F7E" w14:paraId="60E0424D" w14:textId="77777777" w:rsidTr="00CA1F7E">
        <w:trPr>
          <w:trHeight w:val="227"/>
          <w:jc w:val="center"/>
        </w:trPr>
        <w:tc>
          <w:tcPr>
            <w:tcW w:w="3157" w:type="dxa"/>
            <w:tcBorders>
              <w:top w:val="nil"/>
              <w:left w:val="nil"/>
              <w:bottom w:val="nil"/>
              <w:right w:val="nil"/>
            </w:tcBorders>
            <w:shd w:val="clear" w:color="auto" w:fill="auto"/>
            <w:vAlign w:val="bottom"/>
            <w:hideMark/>
          </w:tcPr>
          <w:p w14:paraId="6F05D04E" w14:textId="77777777" w:rsidR="00CA1F7E" w:rsidRPr="00CA1F7E" w:rsidRDefault="00CA1F7E" w:rsidP="00CA1F7E">
            <w:pPr>
              <w:spacing w:after="0"/>
              <w:rPr>
                <w:rFonts w:ascii="Arial" w:hAnsi="Arial" w:cs="Arial"/>
                <w:b/>
                <w:bCs/>
                <w:color w:val="auto"/>
                <w:sz w:val="16"/>
                <w:szCs w:val="16"/>
              </w:rPr>
            </w:pPr>
            <w:r w:rsidRPr="00CA1F7E">
              <w:rPr>
                <w:rFonts w:ascii="Arial" w:hAnsi="Arial" w:cs="Arial"/>
                <w:b/>
                <w:bCs/>
                <w:color w:val="auto"/>
                <w:sz w:val="16"/>
                <w:szCs w:val="16"/>
              </w:rPr>
              <w:t xml:space="preserve">Total other comprehensive income </w:t>
            </w:r>
          </w:p>
        </w:tc>
        <w:tc>
          <w:tcPr>
            <w:tcW w:w="883" w:type="dxa"/>
            <w:tcBorders>
              <w:top w:val="nil"/>
              <w:left w:val="nil"/>
              <w:bottom w:val="single" w:sz="4" w:space="0" w:color="auto"/>
              <w:right w:val="nil"/>
            </w:tcBorders>
            <w:shd w:val="clear" w:color="auto" w:fill="auto"/>
            <w:noWrap/>
            <w:vAlign w:val="bottom"/>
            <w:hideMark/>
          </w:tcPr>
          <w:p w14:paraId="4D1521F8"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w:t>
            </w:r>
          </w:p>
        </w:tc>
        <w:tc>
          <w:tcPr>
            <w:tcW w:w="799" w:type="dxa"/>
            <w:tcBorders>
              <w:top w:val="nil"/>
              <w:left w:val="nil"/>
              <w:bottom w:val="single" w:sz="4" w:space="0" w:color="auto"/>
              <w:right w:val="nil"/>
            </w:tcBorders>
            <w:shd w:val="clear" w:color="000000" w:fill="D9D9D9"/>
            <w:noWrap/>
            <w:vAlign w:val="bottom"/>
            <w:hideMark/>
          </w:tcPr>
          <w:p w14:paraId="3EC4F4A5"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w:t>
            </w:r>
          </w:p>
        </w:tc>
        <w:tc>
          <w:tcPr>
            <w:tcW w:w="837" w:type="dxa"/>
            <w:tcBorders>
              <w:top w:val="nil"/>
              <w:left w:val="nil"/>
              <w:bottom w:val="single" w:sz="4" w:space="0" w:color="auto"/>
              <w:right w:val="nil"/>
            </w:tcBorders>
            <w:shd w:val="clear" w:color="auto" w:fill="auto"/>
            <w:noWrap/>
            <w:vAlign w:val="bottom"/>
            <w:hideMark/>
          </w:tcPr>
          <w:p w14:paraId="24EA37B5"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w:t>
            </w:r>
          </w:p>
        </w:tc>
        <w:tc>
          <w:tcPr>
            <w:tcW w:w="837" w:type="dxa"/>
            <w:tcBorders>
              <w:top w:val="nil"/>
              <w:left w:val="nil"/>
              <w:bottom w:val="single" w:sz="4" w:space="0" w:color="auto"/>
              <w:right w:val="nil"/>
            </w:tcBorders>
            <w:shd w:val="clear" w:color="auto" w:fill="auto"/>
            <w:noWrap/>
            <w:vAlign w:val="bottom"/>
            <w:hideMark/>
          </w:tcPr>
          <w:p w14:paraId="4867E575"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w:t>
            </w:r>
          </w:p>
        </w:tc>
        <w:tc>
          <w:tcPr>
            <w:tcW w:w="837" w:type="dxa"/>
            <w:tcBorders>
              <w:top w:val="nil"/>
              <w:left w:val="nil"/>
              <w:bottom w:val="single" w:sz="4" w:space="0" w:color="auto"/>
              <w:right w:val="nil"/>
            </w:tcBorders>
            <w:shd w:val="clear" w:color="auto" w:fill="auto"/>
            <w:noWrap/>
            <w:vAlign w:val="bottom"/>
            <w:hideMark/>
          </w:tcPr>
          <w:p w14:paraId="54DA9703"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w:t>
            </w:r>
          </w:p>
        </w:tc>
      </w:tr>
      <w:tr w:rsidR="00CA1F7E" w:rsidRPr="00CA1F7E" w14:paraId="317A14C1" w14:textId="77777777" w:rsidTr="00CA1F7E">
        <w:trPr>
          <w:trHeight w:val="624"/>
          <w:jc w:val="center"/>
        </w:trPr>
        <w:tc>
          <w:tcPr>
            <w:tcW w:w="3157" w:type="dxa"/>
            <w:tcBorders>
              <w:top w:val="nil"/>
              <w:left w:val="nil"/>
              <w:bottom w:val="single" w:sz="4" w:space="0" w:color="auto"/>
              <w:right w:val="nil"/>
            </w:tcBorders>
            <w:shd w:val="clear" w:color="auto" w:fill="auto"/>
            <w:vAlign w:val="bottom"/>
            <w:hideMark/>
          </w:tcPr>
          <w:p w14:paraId="165C799D" w14:textId="77777777" w:rsidR="00CA1F7E" w:rsidRPr="00CA1F7E" w:rsidRDefault="00CA1F7E" w:rsidP="00CA1F7E">
            <w:pPr>
              <w:spacing w:after="0"/>
              <w:rPr>
                <w:rFonts w:ascii="Arial" w:hAnsi="Arial" w:cs="Arial"/>
                <w:b/>
                <w:bCs/>
                <w:color w:val="auto"/>
                <w:sz w:val="16"/>
                <w:szCs w:val="16"/>
              </w:rPr>
            </w:pPr>
            <w:r w:rsidRPr="00CA1F7E">
              <w:rPr>
                <w:rFonts w:ascii="Arial" w:hAnsi="Arial" w:cs="Arial"/>
                <w:b/>
                <w:bCs/>
                <w:color w:val="auto"/>
                <w:sz w:val="16"/>
                <w:szCs w:val="16"/>
              </w:rPr>
              <w:t>Total comprehensive income (loss) attributable to the Australian Government</w:t>
            </w:r>
          </w:p>
        </w:tc>
        <w:tc>
          <w:tcPr>
            <w:tcW w:w="883" w:type="dxa"/>
            <w:tcBorders>
              <w:top w:val="nil"/>
              <w:left w:val="nil"/>
              <w:bottom w:val="single" w:sz="4" w:space="0" w:color="auto"/>
              <w:right w:val="nil"/>
            </w:tcBorders>
            <w:shd w:val="clear" w:color="auto" w:fill="auto"/>
            <w:noWrap/>
            <w:vAlign w:val="bottom"/>
            <w:hideMark/>
          </w:tcPr>
          <w:p w14:paraId="74B23640"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481</w:t>
            </w:r>
          </w:p>
        </w:tc>
        <w:tc>
          <w:tcPr>
            <w:tcW w:w="799" w:type="dxa"/>
            <w:tcBorders>
              <w:top w:val="nil"/>
              <w:left w:val="nil"/>
              <w:bottom w:val="single" w:sz="4" w:space="0" w:color="auto"/>
              <w:right w:val="nil"/>
            </w:tcBorders>
            <w:shd w:val="clear" w:color="000000" w:fill="D9D9D9"/>
            <w:noWrap/>
            <w:vAlign w:val="bottom"/>
            <w:hideMark/>
          </w:tcPr>
          <w:p w14:paraId="73D83A9F"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(354)</w:t>
            </w:r>
          </w:p>
        </w:tc>
        <w:tc>
          <w:tcPr>
            <w:tcW w:w="837" w:type="dxa"/>
            <w:tcBorders>
              <w:top w:val="nil"/>
              <w:left w:val="nil"/>
              <w:bottom w:val="single" w:sz="4" w:space="0" w:color="auto"/>
              <w:right w:val="nil"/>
            </w:tcBorders>
            <w:shd w:val="clear" w:color="auto" w:fill="auto"/>
            <w:noWrap/>
            <w:vAlign w:val="bottom"/>
            <w:hideMark/>
          </w:tcPr>
          <w:p w14:paraId="494DCBE4"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(383)</w:t>
            </w:r>
          </w:p>
        </w:tc>
        <w:tc>
          <w:tcPr>
            <w:tcW w:w="837" w:type="dxa"/>
            <w:tcBorders>
              <w:top w:val="nil"/>
              <w:left w:val="nil"/>
              <w:bottom w:val="single" w:sz="4" w:space="0" w:color="auto"/>
              <w:right w:val="nil"/>
            </w:tcBorders>
            <w:shd w:val="clear" w:color="auto" w:fill="auto"/>
            <w:noWrap/>
            <w:vAlign w:val="bottom"/>
            <w:hideMark/>
          </w:tcPr>
          <w:p w14:paraId="4893B37C"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(359)</w:t>
            </w:r>
          </w:p>
        </w:tc>
        <w:tc>
          <w:tcPr>
            <w:tcW w:w="837" w:type="dxa"/>
            <w:tcBorders>
              <w:top w:val="nil"/>
              <w:left w:val="nil"/>
              <w:bottom w:val="single" w:sz="4" w:space="0" w:color="auto"/>
              <w:right w:val="nil"/>
            </w:tcBorders>
            <w:shd w:val="clear" w:color="auto" w:fill="auto"/>
            <w:noWrap/>
            <w:vAlign w:val="bottom"/>
            <w:hideMark/>
          </w:tcPr>
          <w:p w14:paraId="655964BA"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(354)</w:t>
            </w:r>
          </w:p>
        </w:tc>
      </w:tr>
      <w:tr w:rsidR="00CA1F7E" w:rsidRPr="00CA1F7E" w14:paraId="5496E07B" w14:textId="77777777" w:rsidTr="00CA1F7E">
        <w:trPr>
          <w:trHeight w:val="20"/>
          <w:jc w:val="center"/>
        </w:trPr>
        <w:tc>
          <w:tcPr>
            <w:tcW w:w="3157" w:type="dxa"/>
            <w:tcBorders>
              <w:top w:val="nil"/>
              <w:left w:val="nil"/>
              <w:bottom w:val="nil"/>
              <w:right w:val="nil"/>
            </w:tcBorders>
            <w:shd w:val="clear" w:color="auto" w:fill="auto"/>
            <w:vAlign w:val="bottom"/>
            <w:hideMark/>
          </w:tcPr>
          <w:p w14:paraId="337AFA25" w14:textId="77777777" w:rsidR="00CA1F7E" w:rsidRPr="00CA1F7E" w:rsidRDefault="00CA1F7E" w:rsidP="00CA1F7E">
            <w:pPr>
              <w:spacing w:after="0"/>
              <w:jc w:val="right"/>
              <w:rPr>
                <w:rFonts w:ascii="Arial" w:hAnsi="Arial" w:cs="Arial"/>
                <w:b/>
                <w:bCs/>
                <w:color w:val="auto"/>
                <w:sz w:val="6"/>
                <w:szCs w:val="16"/>
              </w:rPr>
            </w:pPr>
          </w:p>
        </w:tc>
        <w:tc>
          <w:tcPr>
            <w:tcW w:w="883" w:type="dxa"/>
            <w:tcBorders>
              <w:top w:val="nil"/>
              <w:left w:val="nil"/>
              <w:bottom w:val="nil"/>
              <w:right w:val="nil"/>
            </w:tcBorders>
            <w:shd w:val="clear" w:color="auto" w:fill="auto"/>
            <w:noWrap/>
            <w:vAlign w:val="bottom"/>
            <w:hideMark/>
          </w:tcPr>
          <w:p w14:paraId="0FDB229A" w14:textId="77777777" w:rsidR="00CA1F7E" w:rsidRPr="00CA1F7E" w:rsidRDefault="00CA1F7E" w:rsidP="00CA1F7E">
            <w:pPr>
              <w:spacing w:after="0"/>
              <w:rPr>
                <w:rFonts w:ascii="Times New Roman" w:hAnsi="Times New Roman"/>
                <w:color w:val="auto"/>
                <w:sz w:val="6"/>
              </w:rPr>
            </w:pPr>
          </w:p>
        </w:tc>
        <w:tc>
          <w:tcPr>
            <w:tcW w:w="799" w:type="dxa"/>
            <w:tcBorders>
              <w:top w:val="nil"/>
              <w:left w:val="nil"/>
              <w:bottom w:val="nil"/>
              <w:right w:val="nil"/>
            </w:tcBorders>
            <w:shd w:val="clear" w:color="auto" w:fill="auto"/>
            <w:noWrap/>
            <w:vAlign w:val="bottom"/>
            <w:hideMark/>
          </w:tcPr>
          <w:p w14:paraId="64CB3A85" w14:textId="77777777" w:rsidR="00CA1F7E" w:rsidRPr="00CA1F7E" w:rsidRDefault="00CA1F7E" w:rsidP="00CA1F7E">
            <w:pPr>
              <w:spacing w:after="0"/>
              <w:jc w:val="right"/>
              <w:rPr>
                <w:rFonts w:ascii="Times New Roman" w:hAnsi="Times New Roman"/>
                <w:color w:val="auto"/>
                <w:sz w:val="6"/>
              </w:rPr>
            </w:pPr>
          </w:p>
        </w:tc>
        <w:tc>
          <w:tcPr>
            <w:tcW w:w="837" w:type="dxa"/>
            <w:tcBorders>
              <w:top w:val="nil"/>
              <w:left w:val="nil"/>
              <w:bottom w:val="nil"/>
              <w:right w:val="nil"/>
            </w:tcBorders>
            <w:shd w:val="clear" w:color="auto" w:fill="auto"/>
            <w:noWrap/>
            <w:vAlign w:val="bottom"/>
            <w:hideMark/>
          </w:tcPr>
          <w:p w14:paraId="6390F295" w14:textId="77777777" w:rsidR="00CA1F7E" w:rsidRPr="00CA1F7E" w:rsidRDefault="00CA1F7E" w:rsidP="00CA1F7E">
            <w:pPr>
              <w:spacing w:after="0"/>
              <w:jc w:val="right"/>
              <w:rPr>
                <w:rFonts w:ascii="Times New Roman" w:hAnsi="Times New Roman"/>
                <w:color w:val="auto"/>
                <w:sz w:val="6"/>
              </w:rPr>
            </w:pPr>
          </w:p>
        </w:tc>
        <w:tc>
          <w:tcPr>
            <w:tcW w:w="837" w:type="dxa"/>
            <w:tcBorders>
              <w:top w:val="nil"/>
              <w:left w:val="nil"/>
              <w:bottom w:val="nil"/>
              <w:right w:val="nil"/>
            </w:tcBorders>
            <w:shd w:val="clear" w:color="auto" w:fill="auto"/>
            <w:noWrap/>
            <w:vAlign w:val="bottom"/>
            <w:hideMark/>
          </w:tcPr>
          <w:p w14:paraId="4AB7180B" w14:textId="77777777" w:rsidR="00CA1F7E" w:rsidRPr="00CA1F7E" w:rsidRDefault="00CA1F7E" w:rsidP="00CA1F7E">
            <w:pPr>
              <w:spacing w:after="0"/>
              <w:jc w:val="right"/>
              <w:rPr>
                <w:rFonts w:ascii="Times New Roman" w:hAnsi="Times New Roman"/>
                <w:color w:val="auto"/>
                <w:sz w:val="6"/>
              </w:rPr>
            </w:pPr>
          </w:p>
        </w:tc>
        <w:tc>
          <w:tcPr>
            <w:tcW w:w="837" w:type="dxa"/>
            <w:tcBorders>
              <w:top w:val="nil"/>
              <w:left w:val="nil"/>
              <w:bottom w:val="nil"/>
              <w:right w:val="nil"/>
            </w:tcBorders>
            <w:shd w:val="clear" w:color="auto" w:fill="auto"/>
            <w:noWrap/>
            <w:vAlign w:val="bottom"/>
            <w:hideMark/>
          </w:tcPr>
          <w:p w14:paraId="6D2236A2" w14:textId="77777777" w:rsidR="00CA1F7E" w:rsidRPr="00CA1F7E" w:rsidRDefault="00CA1F7E" w:rsidP="00CA1F7E">
            <w:pPr>
              <w:spacing w:after="0"/>
              <w:jc w:val="right"/>
              <w:rPr>
                <w:rFonts w:ascii="Times New Roman" w:hAnsi="Times New Roman"/>
                <w:color w:val="auto"/>
                <w:sz w:val="6"/>
              </w:rPr>
            </w:pPr>
          </w:p>
        </w:tc>
      </w:tr>
      <w:tr w:rsidR="00CA1F7E" w:rsidRPr="00CA1F7E" w14:paraId="0C1A3F48" w14:textId="77777777" w:rsidTr="00CA1F7E">
        <w:trPr>
          <w:trHeight w:val="225"/>
          <w:jc w:val="center"/>
        </w:trPr>
        <w:tc>
          <w:tcPr>
            <w:tcW w:w="7350" w:type="dxa"/>
            <w:gridSpan w:val="6"/>
            <w:tcBorders>
              <w:top w:val="nil"/>
              <w:left w:val="nil"/>
              <w:bottom w:val="single" w:sz="4" w:space="0" w:color="auto"/>
              <w:right w:val="nil"/>
            </w:tcBorders>
            <w:shd w:val="clear" w:color="auto" w:fill="auto"/>
            <w:noWrap/>
            <w:vAlign w:val="bottom"/>
            <w:hideMark/>
          </w:tcPr>
          <w:p w14:paraId="3B2EC3CC" w14:textId="77777777" w:rsidR="00CA1F7E" w:rsidRPr="00CA1F7E" w:rsidRDefault="00CA1F7E" w:rsidP="00CA1F7E">
            <w:pPr>
              <w:spacing w:after="0"/>
              <w:rPr>
                <w:rFonts w:ascii="Arial" w:hAnsi="Arial" w:cs="Arial"/>
                <w:b/>
                <w:bCs/>
                <w:sz w:val="16"/>
                <w:szCs w:val="16"/>
              </w:rPr>
            </w:pPr>
            <w:r w:rsidRPr="00CA1F7E">
              <w:rPr>
                <w:rFonts w:ascii="Arial" w:hAnsi="Arial" w:cs="Arial"/>
                <w:b/>
                <w:bCs/>
                <w:sz w:val="16"/>
                <w:szCs w:val="16"/>
              </w:rPr>
              <w:t>Note: Reconciliation of comprehensive income attributable to the agency</w:t>
            </w:r>
          </w:p>
        </w:tc>
      </w:tr>
      <w:tr w:rsidR="00CA1F7E" w:rsidRPr="00CA1F7E" w14:paraId="79436EFA" w14:textId="77777777" w:rsidTr="00CA1F7E">
        <w:trPr>
          <w:trHeight w:val="397"/>
          <w:jc w:val="center"/>
        </w:trPr>
        <w:tc>
          <w:tcPr>
            <w:tcW w:w="3157" w:type="dxa"/>
            <w:tcBorders>
              <w:top w:val="nil"/>
              <w:left w:val="nil"/>
              <w:bottom w:val="nil"/>
              <w:right w:val="nil"/>
            </w:tcBorders>
            <w:shd w:val="clear" w:color="auto" w:fill="auto"/>
            <w:vAlign w:val="bottom"/>
            <w:hideMark/>
          </w:tcPr>
          <w:p w14:paraId="65FA5C49" w14:textId="77777777" w:rsidR="00CA1F7E" w:rsidRPr="00CA1F7E" w:rsidRDefault="00CA1F7E" w:rsidP="00CA1F7E">
            <w:pPr>
              <w:spacing w:after="0"/>
              <w:jc w:val="right"/>
              <w:rPr>
                <w:rFonts w:ascii="Arial" w:hAnsi="Arial" w:cs="Arial"/>
                <w:b/>
                <w:bCs/>
                <w:sz w:val="16"/>
                <w:szCs w:val="16"/>
              </w:rPr>
            </w:pPr>
          </w:p>
        </w:tc>
        <w:tc>
          <w:tcPr>
            <w:tcW w:w="883" w:type="dxa"/>
            <w:tcBorders>
              <w:top w:val="nil"/>
              <w:left w:val="nil"/>
              <w:bottom w:val="single" w:sz="4" w:space="0" w:color="auto"/>
              <w:right w:val="nil"/>
            </w:tcBorders>
            <w:shd w:val="clear" w:color="auto" w:fill="auto"/>
            <w:tcMar>
              <w:left w:w="0" w:type="dxa"/>
            </w:tcMar>
            <w:vAlign w:val="bottom"/>
            <w:hideMark/>
          </w:tcPr>
          <w:p w14:paraId="50B34006" w14:textId="758BFF78" w:rsidR="00CA1F7E" w:rsidRPr="00CA1F7E" w:rsidRDefault="00CA1F7E" w:rsidP="00CA1F7E">
            <w:pPr>
              <w:spacing w:before="40" w:after="0"/>
              <w:jc w:val="right"/>
              <w:rPr>
                <w:rFonts w:ascii="Arial" w:hAnsi="Arial" w:cs="Arial"/>
                <w:b/>
                <w:bCs/>
                <w:color w:val="auto"/>
                <w:sz w:val="16"/>
                <w:szCs w:val="16"/>
              </w:rPr>
            </w:pPr>
            <w:r>
              <w:rPr>
                <w:rFonts w:ascii="Arial" w:hAnsi="Arial" w:cs="Arial"/>
                <w:b/>
                <w:bCs/>
                <w:color w:val="auto"/>
                <w:sz w:val="16"/>
                <w:szCs w:val="16"/>
              </w:rPr>
              <w:t>2021–22</w:t>
            </w:r>
            <w:r w:rsidRPr="00CA1F7E">
              <w:rPr>
                <w:rFonts w:ascii="Arial" w:hAnsi="Arial" w:cs="Arial"/>
                <w:b/>
                <w:bCs/>
                <w:color w:val="auto"/>
                <w:sz w:val="16"/>
                <w:szCs w:val="16"/>
              </w:rPr>
              <w:br/>
            </w:r>
            <w:r w:rsidRPr="00CA1F7E">
              <w:rPr>
                <w:rFonts w:ascii="Arial" w:hAnsi="Arial" w:cs="Arial"/>
                <w:color w:val="auto"/>
                <w:sz w:val="16"/>
                <w:szCs w:val="16"/>
              </w:rPr>
              <w:t>$'000</w:t>
            </w:r>
          </w:p>
        </w:tc>
        <w:tc>
          <w:tcPr>
            <w:tcW w:w="799" w:type="dxa"/>
            <w:tcBorders>
              <w:top w:val="nil"/>
              <w:left w:val="nil"/>
              <w:bottom w:val="single" w:sz="4" w:space="0" w:color="auto"/>
              <w:right w:val="nil"/>
            </w:tcBorders>
            <w:shd w:val="clear" w:color="000000" w:fill="D9D9D9"/>
            <w:tcMar>
              <w:left w:w="0" w:type="dxa"/>
            </w:tcMar>
            <w:vAlign w:val="bottom"/>
            <w:hideMark/>
          </w:tcPr>
          <w:p w14:paraId="07AC086A" w14:textId="77777777" w:rsidR="00CA1F7E" w:rsidRPr="00CA1F7E" w:rsidRDefault="00CA1F7E" w:rsidP="00CA1F7E">
            <w:pPr>
              <w:spacing w:before="40" w:after="0"/>
              <w:jc w:val="right"/>
              <w:rPr>
                <w:rFonts w:ascii="Arial" w:hAnsi="Arial" w:cs="Arial"/>
                <w:b/>
                <w:bCs/>
                <w:color w:val="auto"/>
                <w:sz w:val="16"/>
                <w:szCs w:val="16"/>
              </w:rPr>
            </w:pPr>
            <w:r w:rsidRPr="00CA1F7E">
              <w:rPr>
                <w:rFonts w:ascii="Arial" w:hAnsi="Arial" w:cs="Arial"/>
                <w:b/>
                <w:bCs/>
                <w:color w:val="auto"/>
                <w:sz w:val="16"/>
                <w:szCs w:val="16"/>
              </w:rPr>
              <w:t xml:space="preserve">2022–23 </w:t>
            </w:r>
            <w:r w:rsidRPr="00CA1F7E">
              <w:rPr>
                <w:rFonts w:ascii="Arial" w:hAnsi="Arial" w:cs="Arial"/>
                <w:color w:val="auto"/>
                <w:sz w:val="16"/>
                <w:szCs w:val="16"/>
              </w:rPr>
              <w:t>$'000</w:t>
            </w:r>
          </w:p>
        </w:tc>
        <w:tc>
          <w:tcPr>
            <w:tcW w:w="837" w:type="dxa"/>
            <w:tcBorders>
              <w:top w:val="nil"/>
              <w:left w:val="nil"/>
              <w:bottom w:val="single" w:sz="4" w:space="0" w:color="auto"/>
              <w:right w:val="nil"/>
            </w:tcBorders>
            <w:shd w:val="clear" w:color="auto" w:fill="auto"/>
            <w:tcMar>
              <w:left w:w="0" w:type="dxa"/>
            </w:tcMar>
            <w:vAlign w:val="bottom"/>
            <w:hideMark/>
          </w:tcPr>
          <w:p w14:paraId="6DCB8300" w14:textId="6AEE8FFD" w:rsidR="00CA1F7E" w:rsidRPr="00CA1F7E" w:rsidRDefault="00CA1F7E" w:rsidP="00CA1F7E">
            <w:pPr>
              <w:spacing w:before="40" w:after="0"/>
              <w:jc w:val="right"/>
              <w:rPr>
                <w:rFonts w:ascii="Arial" w:hAnsi="Arial" w:cs="Arial"/>
                <w:b/>
                <w:bCs/>
                <w:color w:val="auto"/>
                <w:sz w:val="16"/>
                <w:szCs w:val="16"/>
              </w:rPr>
            </w:pPr>
            <w:r w:rsidRPr="00CA1F7E">
              <w:rPr>
                <w:rFonts w:ascii="Arial" w:hAnsi="Arial" w:cs="Arial"/>
                <w:b/>
                <w:bCs/>
                <w:color w:val="auto"/>
                <w:sz w:val="16"/>
                <w:szCs w:val="16"/>
              </w:rPr>
              <w:t>2023–24</w:t>
            </w:r>
            <w:r>
              <w:rPr>
                <w:rFonts w:ascii="Arial" w:hAnsi="Arial" w:cs="Arial"/>
                <w:b/>
                <w:bCs/>
                <w:color w:val="auto"/>
                <w:sz w:val="16"/>
                <w:szCs w:val="16"/>
              </w:rPr>
              <w:br/>
            </w:r>
            <w:r w:rsidRPr="00CA1F7E">
              <w:rPr>
                <w:rFonts w:ascii="Arial" w:hAnsi="Arial" w:cs="Arial"/>
                <w:color w:val="auto"/>
                <w:sz w:val="16"/>
                <w:szCs w:val="16"/>
              </w:rPr>
              <w:t>$'000</w:t>
            </w:r>
          </w:p>
        </w:tc>
        <w:tc>
          <w:tcPr>
            <w:tcW w:w="837" w:type="dxa"/>
            <w:tcBorders>
              <w:top w:val="nil"/>
              <w:left w:val="nil"/>
              <w:bottom w:val="single" w:sz="4" w:space="0" w:color="auto"/>
              <w:right w:val="nil"/>
            </w:tcBorders>
            <w:shd w:val="clear" w:color="auto" w:fill="auto"/>
            <w:tcMar>
              <w:left w:w="0" w:type="dxa"/>
            </w:tcMar>
            <w:vAlign w:val="bottom"/>
            <w:hideMark/>
          </w:tcPr>
          <w:p w14:paraId="336D958E" w14:textId="056B1824" w:rsidR="00CA1F7E" w:rsidRPr="00CA1F7E" w:rsidRDefault="00CA1F7E" w:rsidP="00CA1F7E">
            <w:pPr>
              <w:spacing w:before="40" w:after="0"/>
              <w:jc w:val="right"/>
              <w:rPr>
                <w:rFonts w:ascii="Arial" w:hAnsi="Arial" w:cs="Arial"/>
                <w:b/>
                <w:bCs/>
                <w:color w:val="auto"/>
                <w:sz w:val="16"/>
                <w:szCs w:val="16"/>
              </w:rPr>
            </w:pPr>
            <w:r>
              <w:rPr>
                <w:rFonts w:ascii="Arial" w:hAnsi="Arial" w:cs="Arial"/>
                <w:b/>
                <w:bCs/>
                <w:color w:val="auto"/>
                <w:sz w:val="16"/>
                <w:szCs w:val="16"/>
              </w:rPr>
              <w:t>2024–25</w:t>
            </w:r>
            <w:r>
              <w:rPr>
                <w:rFonts w:ascii="Arial" w:hAnsi="Arial" w:cs="Arial"/>
                <w:b/>
                <w:bCs/>
                <w:color w:val="auto"/>
                <w:sz w:val="16"/>
                <w:szCs w:val="16"/>
              </w:rPr>
              <w:br/>
            </w:r>
            <w:r w:rsidRPr="00CA1F7E">
              <w:rPr>
                <w:rFonts w:ascii="Arial" w:hAnsi="Arial" w:cs="Arial"/>
                <w:color w:val="auto"/>
                <w:sz w:val="16"/>
                <w:szCs w:val="16"/>
              </w:rPr>
              <w:t>$'000</w:t>
            </w:r>
          </w:p>
        </w:tc>
        <w:tc>
          <w:tcPr>
            <w:tcW w:w="837" w:type="dxa"/>
            <w:tcBorders>
              <w:top w:val="nil"/>
              <w:left w:val="nil"/>
              <w:bottom w:val="single" w:sz="4" w:space="0" w:color="auto"/>
              <w:right w:val="nil"/>
            </w:tcBorders>
            <w:shd w:val="clear" w:color="auto" w:fill="auto"/>
            <w:tcMar>
              <w:left w:w="0" w:type="dxa"/>
            </w:tcMar>
            <w:vAlign w:val="bottom"/>
            <w:hideMark/>
          </w:tcPr>
          <w:p w14:paraId="0E0F3A7C" w14:textId="662259CD" w:rsidR="00CA1F7E" w:rsidRPr="00CA1F7E" w:rsidRDefault="00CA1F7E" w:rsidP="00CA1F7E">
            <w:pPr>
              <w:spacing w:before="40" w:after="0"/>
              <w:jc w:val="right"/>
              <w:rPr>
                <w:rFonts w:ascii="Arial" w:hAnsi="Arial" w:cs="Arial"/>
                <w:b/>
                <w:bCs/>
                <w:color w:val="auto"/>
                <w:sz w:val="16"/>
                <w:szCs w:val="16"/>
              </w:rPr>
            </w:pPr>
            <w:r>
              <w:rPr>
                <w:rFonts w:ascii="Arial" w:hAnsi="Arial" w:cs="Arial"/>
                <w:b/>
                <w:bCs/>
                <w:color w:val="auto"/>
                <w:sz w:val="16"/>
                <w:szCs w:val="16"/>
              </w:rPr>
              <w:t>2025–26</w:t>
            </w:r>
            <w:r>
              <w:rPr>
                <w:rFonts w:ascii="Arial" w:hAnsi="Arial" w:cs="Arial"/>
                <w:b/>
                <w:bCs/>
                <w:color w:val="auto"/>
                <w:sz w:val="16"/>
                <w:szCs w:val="16"/>
              </w:rPr>
              <w:br/>
            </w:r>
            <w:r w:rsidRPr="00CA1F7E">
              <w:rPr>
                <w:rFonts w:ascii="Arial" w:hAnsi="Arial" w:cs="Arial"/>
                <w:color w:val="auto"/>
                <w:sz w:val="16"/>
                <w:szCs w:val="16"/>
              </w:rPr>
              <w:t>$'000</w:t>
            </w:r>
          </w:p>
        </w:tc>
      </w:tr>
      <w:tr w:rsidR="00CA1F7E" w:rsidRPr="00CA1F7E" w14:paraId="22839F50" w14:textId="77777777" w:rsidTr="00CA1F7E">
        <w:trPr>
          <w:trHeight w:val="624"/>
          <w:jc w:val="center"/>
        </w:trPr>
        <w:tc>
          <w:tcPr>
            <w:tcW w:w="3157" w:type="dxa"/>
            <w:tcBorders>
              <w:top w:val="nil"/>
              <w:left w:val="nil"/>
              <w:bottom w:val="nil"/>
              <w:right w:val="nil"/>
            </w:tcBorders>
            <w:shd w:val="clear" w:color="auto" w:fill="auto"/>
            <w:vAlign w:val="bottom"/>
            <w:hideMark/>
          </w:tcPr>
          <w:p w14:paraId="2B05550C" w14:textId="77777777" w:rsidR="00CA1F7E" w:rsidRPr="00CA1F7E" w:rsidRDefault="00CA1F7E" w:rsidP="00CA1F7E">
            <w:pPr>
              <w:spacing w:after="0"/>
              <w:rPr>
                <w:rFonts w:ascii="Arial" w:hAnsi="Arial" w:cs="Arial"/>
                <w:b/>
                <w:bCs/>
                <w:color w:val="auto"/>
                <w:sz w:val="16"/>
                <w:szCs w:val="16"/>
              </w:rPr>
            </w:pPr>
            <w:r w:rsidRPr="00CA1F7E">
              <w:rPr>
                <w:rFonts w:ascii="Arial" w:hAnsi="Arial" w:cs="Arial"/>
                <w:b/>
                <w:bCs/>
                <w:color w:val="auto"/>
                <w:sz w:val="16"/>
                <w:szCs w:val="16"/>
              </w:rPr>
              <w:t>Total comprehensive income (loss) attributable to the Australian Government</w:t>
            </w:r>
          </w:p>
        </w:tc>
        <w:tc>
          <w:tcPr>
            <w:tcW w:w="883" w:type="dxa"/>
            <w:tcBorders>
              <w:top w:val="nil"/>
              <w:left w:val="nil"/>
              <w:bottom w:val="nil"/>
              <w:right w:val="nil"/>
            </w:tcBorders>
            <w:shd w:val="clear" w:color="auto" w:fill="auto"/>
            <w:vAlign w:val="bottom"/>
            <w:hideMark/>
          </w:tcPr>
          <w:p w14:paraId="069C7A51"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481</w:t>
            </w:r>
          </w:p>
        </w:tc>
        <w:tc>
          <w:tcPr>
            <w:tcW w:w="799" w:type="dxa"/>
            <w:tcBorders>
              <w:top w:val="nil"/>
              <w:left w:val="nil"/>
              <w:bottom w:val="nil"/>
              <w:right w:val="nil"/>
            </w:tcBorders>
            <w:shd w:val="clear" w:color="000000" w:fill="D9D9D9"/>
            <w:vAlign w:val="bottom"/>
            <w:hideMark/>
          </w:tcPr>
          <w:p w14:paraId="3C0D1772"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(354)</w:t>
            </w:r>
          </w:p>
        </w:tc>
        <w:tc>
          <w:tcPr>
            <w:tcW w:w="837" w:type="dxa"/>
            <w:tcBorders>
              <w:top w:val="nil"/>
              <w:left w:val="nil"/>
              <w:bottom w:val="nil"/>
              <w:right w:val="nil"/>
            </w:tcBorders>
            <w:shd w:val="clear" w:color="auto" w:fill="auto"/>
            <w:vAlign w:val="bottom"/>
            <w:hideMark/>
          </w:tcPr>
          <w:p w14:paraId="5D4935B9"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(383)</w:t>
            </w:r>
          </w:p>
        </w:tc>
        <w:tc>
          <w:tcPr>
            <w:tcW w:w="837" w:type="dxa"/>
            <w:tcBorders>
              <w:top w:val="nil"/>
              <w:left w:val="nil"/>
              <w:bottom w:val="nil"/>
              <w:right w:val="nil"/>
            </w:tcBorders>
            <w:shd w:val="clear" w:color="auto" w:fill="auto"/>
            <w:vAlign w:val="bottom"/>
            <w:hideMark/>
          </w:tcPr>
          <w:p w14:paraId="5C9ED4B8"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(359)</w:t>
            </w:r>
          </w:p>
        </w:tc>
        <w:tc>
          <w:tcPr>
            <w:tcW w:w="837" w:type="dxa"/>
            <w:tcBorders>
              <w:top w:val="nil"/>
              <w:left w:val="nil"/>
              <w:bottom w:val="nil"/>
              <w:right w:val="nil"/>
            </w:tcBorders>
            <w:shd w:val="clear" w:color="auto" w:fill="auto"/>
            <w:vAlign w:val="bottom"/>
            <w:hideMark/>
          </w:tcPr>
          <w:p w14:paraId="545380DE" w14:textId="77777777" w:rsidR="00CA1F7E" w:rsidRPr="00CA1F7E" w:rsidRDefault="00CA1F7E" w:rsidP="00CA1F7E">
            <w:pPr>
              <w:spacing w:after="0"/>
              <w:jc w:val="right"/>
              <w:rPr>
                <w:rFonts w:ascii="Arial" w:hAnsi="Arial" w:cs="Arial"/>
                <w:b/>
                <w:bCs/>
                <w:color w:val="auto"/>
                <w:sz w:val="16"/>
                <w:szCs w:val="16"/>
              </w:rPr>
            </w:pPr>
            <w:r w:rsidRPr="00CA1F7E">
              <w:rPr>
                <w:rFonts w:ascii="Arial" w:hAnsi="Arial" w:cs="Arial"/>
                <w:b/>
                <w:bCs/>
                <w:color w:val="auto"/>
                <w:sz w:val="16"/>
                <w:szCs w:val="16"/>
              </w:rPr>
              <w:t>(354)</w:t>
            </w:r>
          </w:p>
        </w:tc>
      </w:tr>
      <w:tr w:rsidR="00CA1F7E" w:rsidRPr="00CA1F7E" w14:paraId="265E0299" w14:textId="77777777" w:rsidTr="00CA1F7E">
        <w:trPr>
          <w:trHeight w:val="595"/>
          <w:jc w:val="center"/>
        </w:trPr>
        <w:tc>
          <w:tcPr>
            <w:tcW w:w="3157" w:type="dxa"/>
            <w:tcBorders>
              <w:top w:val="nil"/>
              <w:left w:val="nil"/>
              <w:bottom w:val="nil"/>
              <w:right w:val="nil"/>
            </w:tcBorders>
            <w:shd w:val="clear" w:color="auto" w:fill="auto"/>
            <w:vAlign w:val="bottom"/>
            <w:hideMark/>
          </w:tcPr>
          <w:p w14:paraId="2E8391A9" w14:textId="77777777" w:rsidR="00CA1F7E" w:rsidRPr="00CA1F7E" w:rsidRDefault="00CA1F7E" w:rsidP="00CA1F7E">
            <w:pPr>
              <w:spacing w:after="0"/>
              <w:ind w:leftChars="75" w:left="143"/>
              <w:rPr>
                <w:rFonts w:ascii="Arial" w:hAnsi="Arial" w:cs="Arial"/>
                <w:sz w:val="16"/>
                <w:szCs w:val="16"/>
              </w:rPr>
            </w:pPr>
            <w:r w:rsidRPr="00CA1F7E">
              <w:rPr>
                <w:rFonts w:ascii="Arial" w:hAnsi="Arial" w:cs="Arial"/>
                <w:sz w:val="16"/>
                <w:szCs w:val="16"/>
              </w:rPr>
              <w:t>plus non-appropriated expenses depreciation and amortisation expenses</w:t>
            </w:r>
          </w:p>
        </w:tc>
        <w:tc>
          <w:tcPr>
            <w:tcW w:w="883" w:type="dxa"/>
            <w:tcBorders>
              <w:top w:val="nil"/>
              <w:left w:val="nil"/>
              <w:bottom w:val="nil"/>
              <w:right w:val="nil"/>
            </w:tcBorders>
            <w:shd w:val="clear" w:color="auto" w:fill="auto"/>
            <w:noWrap/>
            <w:vAlign w:val="bottom"/>
            <w:hideMark/>
          </w:tcPr>
          <w:p w14:paraId="0877D2D2"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202</w:t>
            </w:r>
          </w:p>
        </w:tc>
        <w:tc>
          <w:tcPr>
            <w:tcW w:w="799" w:type="dxa"/>
            <w:tcBorders>
              <w:top w:val="nil"/>
              <w:left w:val="nil"/>
              <w:bottom w:val="nil"/>
              <w:right w:val="nil"/>
            </w:tcBorders>
            <w:shd w:val="clear" w:color="000000" w:fill="D9D9D9"/>
            <w:noWrap/>
            <w:vAlign w:val="bottom"/>
            <w:hideMark/>
          </w:tcPr>
          <w:p w14:paraId="77DF6E45"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370</w:t>
            </w:r>
          </w:p>
        </w:tc>
        <w:tc>
          <w:tcPr>
            <w:tcW w:w="837" w:type="dxa"/>
            <w:tcBorders>
              <w:top w:val="nil"/>
              <w:left w:val="nil"/>
              <w:bottom w:val="nil"/>
              <w:right w:val="nil"/>
            </w:tcBorders>
            <w:shd w:val="clear" w:color="auto" w:fill="auto"/>
            <w:noWrap/>
            <w:vAlign w:val="bottom"/>
            <w:hideMark/>
          </w:tcPr>
          <w:p w14:paraId="51963ECF"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410</w:t>
            </w:r>
          </w:p>
        </w:tc>
        <w:tc>
          <w:tcPr>
            <w:tcW w:w="837" w:type="dxa"/>
            <w:tcBorders>
              <w:top w:val="nil"/>
              <w:left w:val="nil"/>
              <w:bottom w:val="nil"/>
              <w:right w:val="nil"/>
            </w:tcBorders>
            <w:shd w:val="clear" w:color="auto" w:fill="auto"/>
            <w:noWrap/>
            <w:vAlign w:val="bottom"/>
            <w:hideMark/>
          </w:tcPr>
          <w:p w14:paraId="0BF45ADA"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340</w:t>
            </w:r>
          </w:p>
        </w:tc>
        <w:tc>
          <w:tcPr>
            <w:tcW w:w="837" w:type="dxa"/>
            <w:tcBorders>
              <w:top w:val="nil"/>
              <w:left w:val="nil"/>
              <w:bottom w:val="nil"/>
              <w:right w:val="nil"/>
            </w:tcBorders>
            <w:shd w:val="clear" w:color="auto" w:fill="auto"/>
            <w:noWrap/>
            <w:vAlign w:val="bottom"/>
            <w:hideMark/>
          </w:tcPr>
          <w:p w14:paraId="384E13E5"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343</w:t>
            </w:r>
          </w:p>
        </w:tc>
      </w:tr>
      <w:tr w:rsidR="00CA1F7E" w:rsidRPr="00CA1F7E" w14:paraId="733EB137" w14:textId="77777777" w:rsidTr="00CA1F7E">
        <w:trPr>
          <w:trHeight w:val="397"/>
          <w:jc w:val="center"/>
        </w:trPr>
        <w:tc>
          <w:tcPr>
            <w:tcW w:w="3157" w:type="dxa"/>
            <w:tcBorders>
              <w:top w:val="nil"/>
              <w:left w:val="nil"/>
              <w:bottom w:val="nil"/>
              <w:right w:val="nil"/>
            </w:tcBorders>
            <w:shd w:val="clear" w:color="auto" w:fill="auto"/>
            <w:vAlign w:val="bottom"/>
            <w:hideMark/>
          </w:tcPr>
          <w:p w14:paraId="7F966937" w14:textId="77777777" w:rsidR="00CA1F7E" w:rsidRPr="00CA1F7E" w:rsidRDefault="00CA1F7E" w:rsidP="00CA1F7E">
            <w:pPr>
              <w:spacing w:after="0"/>
              <w:ind w:leftChars="75" w:left="143"/>
              <w:rPr>
                <w:rFonts w:ascii="Arial" w:hAnsi="Arial" w:cs="Arial"/>
                <w:sz w:val="16"/>
                <w:szCs w:val="16"/>
              </w:rPr>
            </w:pPr>
            <w:r w:rsidRPr="00CA1F7E">
              <w:rPr>
                <w:rFonts w:ascii="Arial" w:hAnsi="Arial" w:cs="Arial"/>
                <w:sz w:val="16"/>
                <w:szCs w:val="16"/>
              </w:rPr>
              <w:t xml:space="preserve">plus depreciation and amortisation expenses for </w:t>
            </w:r>
            <w:proofErr w:type="spellStart"/>
            <w:r w:rsidRPr="00CA1F7E">
              <w:rPr>
                <w:rFonts w:ascii="Arial" w:hAnsi="Arial" w:cs="Arial"/>
                <w:sz w:val="16"/>
                <w:szCs w:val="16"/>
              </w:rPr>
              <w:t>RoU</w:t>
            </w:r>
            <w:proofErr w:type="spellEnd"/>
          </w:p>
        </w:tc>
        <w:tc>
          <w:tcPr>
            <w:tcW w:w="883" w:type="dxa"/>
            <w:tcBorders>
              <w:top w:val="nil"/>
              <w:left w:val="nil"/>
              <w:bottom w:val="nil"/>
              <w:right w:val="nil"/>
            </w:tcBorders>
            <w:shd w:val="clear" w:color="auto" w:fill="auto"/>
            <w:noWrap/>
            <w:vAlign w:val="bottom"/>
            <w:hideMark/>
          </w:tcPr>
          <w:p w14:paraId="484F67AE"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299</w:t>
            </w:r>
          </w:p>
        </w:tc>
        <w:tc>
          <w:tcPr>
            <w:tcW w:w="799" w:type="dxa"/>
            <w:tcBorders>
              <w:top w:val="nil"/>
              <w:left w:val="nil"/>
              <w:bottom w:val="nil"/>
              <w:right w:val="nil"/>
            </w:tcBorders>
            <w:shd w:val="clear" w:color="000000" w:fill="D9D9D9"/>
            <w:noWrap/>
            <w:vAlign w:val="bottom"/>
            <w:hideMark/>
          </w:tcPr>
          <w:p w14:paraId="29494C10"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299</w:t>
            </w:r>
          </w:p>
        </w:tc>
        <w:tc>
          <w:tcPr>
            <w:tcW w:w="837" w:type="dxa"/>
            <w:tcBorders>
              <w:top w:val="nil"/>
              <w:left w:val="nil"/>
              <w:bottom w:val="nil"/>
              <w:right w:val="nil"/>
            </w:tcBorders>
            <w:shd w:val="clear" w:color="auto" w:fill="auto"/>
            <w:noWrap/>
            <w:vAlign w:val="bottom"/>
            <w:hideMark/>
          </w:tcPr>
          <w:p w14:paraId="7BF7D115"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299</w:t>
            </w:r>
          </w:p>
        </w:tc>
        <w:tc>
          <w:tcPr>
            <w:tcW w:w="837" w:type="dxa"/>
            <w:tcBorders>
              <w:top w:val="nil"/>
              <w:left w:val="nil"/>
              <w:bottom w:val="nil"/>
              <w:right w:val="nil"/>
            </w:tcBorders>
            <w:shd w:val="clear" w:color="auto" w:fill="auto"/>
            <w:noWrap/>
            <w:vAlign w:val="bottom"/>
            <w:hideMark/>
          </w:tcPr>
          <w:p w14:paraId="6D1D1993"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299</w:t>
            </w:r>
          </w:p>
        </w:tc>
        <w:tc>
          <w:tcPr>
            <w:tcW w:w="837" w:type="dxa"/>
            <w:tcBorders>
              <w:top w:val="nil"/>
              <w:left w:val="nil"/>
              <w:bottom w:val="nil"/>
              <w:right w:val="nil"/>
            </w:tcBorders>
            <w:shd w:val="clear" w:color="auto" w:fill="auto"/>
            <w:noWrap/>
            <w:vAlign w:val="bottom"/>
            <w:hideMark/>
          </w:tcPr>
          <w:p w14:paraId="106AFB7D"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299</w:t>
            </w:r>
          </w:p>
        </w:tc>
      </w:tr>
      <w:tr w:rsidR="00CA1F7E" w:rsidRPr="00CA1F7E" w14:paraId="19B114AC" w14:textId="77777777" w:rsidTr="00CA1F7E">
        <w:trPr>
          <w:trHeight w:val="225"/>
          <w:jc w:val="center"/>
        </w:trPr>
        <w:tc>
          <w:tcPr>
            <w:tcW w:w="3157" w:type="dxa"/>
            <w:tcBorders>
              <w:top w:val="nil"/>
              <w:left w:val="nil"/>
              <w:bottom w:val="nil"/>
              <w:right w:val="nil"/>
            </w:tcBorders>
            <w:shd w:val="clear" w:color="auto" w:fill="auto"/>
            <w:vAlign w:val="bottom"/>
            <w:hideMark/>
          </w:tcPr>
          <w:p w14:paraId="47217DC5" w14:textId="77777777" w:rsidR="00CA1F7E" w:rsidRPr="00CA1F7E" w:rsidRDefault="00CA1F7E" w:rsidP="00CA1F7E">
            <w:pPr>
              <w:spacing w:after="0"/>
              <w:ind w:leftChars="75" w:left="143"/>
              <w:rPr>
                <w:rFonts w:ascii="Arial" w:hAnsi="Arial" w:cs="Arial"/>
                <w:sz w:val="16"/>
                <w:szCs w:val="16"/>
              </w:rPr>
            </w:pPr>
            <w:r w:rsidRPr="00CA1F7E">
              <w:rPr>
                <w:rFonts w:ascii="Arial" w:hAnsi="Arial" w:cs="Arial"/>
                <w:sz w:val="16"/>
                <w:szCs w:val="16"/>
              </w:rPr>
              <w:t>less lease principal repayments</w:t>
            </w:r>
          </w:p>
        </w:tc>
        <w:tc>
          <w:tcPr>
            <w:tcW w:w="883" w:type="dxa"/>
            <w:tcBorders>
              <w:top w:val="nil"/>
              <w:left w:val="nil"/>
              <w:bottom w:val="nil"/>
              <w:right w:val="nil"/>
            </w:tcBorders>
            <w:shd w:val="clear" w:color="auto" w:fill="auto"/>
            <w:noWrap/>
            <w:vAlign w:val="bottom"/>
            <w:hideMark/>
          </w:tcPr>
          <w:p w14:paraId="6AE2D2E5"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(331)</w:t>
            </w:r>
          </w:p>
        </w:tc>
        <w:tc>
          <w:tcPr>
            <w:tcW w:w="799" w:type="dxa"/>
            <w:tcBorders>
              <w:top w:val="nil"/>
              <w:left w:val="nil"/>
              <w:bottom w:val="nil"/>
              <w:right w:val="nil"/>
            </w:tcBorders>
            <w:shd w:val="clear" w:color="000000" w:fill="D9D9D9"/>
            <w:noWrap/>
            <w:vAlign w:val="bottom"/>
            <w:hideMark/>
          </w:tcPr>
          <w:p w14:paraId="1AC17D5A"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(315)</w:t>
            </w:r>
          </w:p>
        </w:tc>
        <w:tc>
          <w:tcPr>
            <w:tcW w:w="837" w:type="dxa"/>
            <w:tcBorders>
              <w:top w:val="nil"/>
              <w:left w:val="nil"/>
              <w:bottom w:val="nil"/>
              <w:right w:val="nil"/>
            </w:tcBorders>
            <w:shd w:val="clear" w:color="auto" w:fill="auto"/>
            <w:noWrap/>
            <w:vAlign w:val="bottom"/>
            <w:hideMark/>
          </w:tcPr>
          <w:p w14:paraId="0BF29760"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(326)</w:t>
            </w:r>
          </w:p>
        </w:tc>
        <w:tc>
          <w:tcPr>
            <w:tcW w:w="837" w:type="dxa"/>
            <w:tcBorders>
              <w:top w:val="nil"/>
              <w:left w:val="nil"/>
              <w:bottom w:val="nil"/>
              <w:right w:val="nil"/>
            </w:tcBorders>
            <w:shd w:val="clear" w:color="auto" w:fill="auto"/>
            <w:noWrap/>
            <w:vAlign w:val="bottom"/>
            <w:hideMark/>
          </w:tcPr>
          <w:p w14:paraId="74A601C2"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(280)</w:t>
            </w:r>
          </w:p>
        </w:tc>
        <w:tc>
          <w:tcPr>
            <w:tcW w:w="837" w:type="dxa"/>
            <w:tcBorders>
              <w:top w:val="nil"/>
              <w:left w:val="nil"/>
              <w:bottom w:val="nil"/>
              <w:right w:val="nil"/>
            </w:tcBorders>
            <w:shd w:val="clear" w:color="auto" w:fill="auto"/>
            <w:noWrap/>
            <w:vAlign w:val="bottom"/>
            <w:hideMark/>
          </w:tcPr>
          <w:p w14:paraId="1F9E5F0C"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(288)</w:t>
            </w:r>
          </w:p>
        </w:tc>
      </w:tr>
      <w:tr w:rsidR="00CA1F7E" w:rsidRPr="00CA1F7E" w14:paraId="4D593318" w14:textId="77777777" w:rsidTr="00CA1F7E">
        <w:trPr>
          <w:trHeight w:val="397"/>
          <w:jc w:val="center"/>
        </w:trPr>
        <w:tc>
          <w:tcPr>
            <w:tcW w:w="3157" w:type="dxa"/>
            <w:tcBorders>
              <w:top w:val="nil"/>
              <w:left w:val="nil"/>
              <w:bottom w:val="single" w:sz="4" w:space="0" w:color="auto"/>
              <w:right w:val="nil"/>
            </w:tcBorders>
            <w:shd w:val="clear" w:color="auto" w:fill="auto"/>
            <w:vAlign w:val="bottom"/>
            <w:hideMark/>
          </w:tcPr>
          <w:p w14:paraId="3972BEA3" w14:textId="77777777" w:rsidR="00CA1F7E" w:rsidRPr="00CA1F7E" w:rsidRDefault="00CA1F7E" w:rsidP="00CA1F7E">
            <w:pPr>
              <w:spacing w:after="0"/>
              <w:rPr>
                <w:rFonts w:ascii="Arial" w:hAnsi="Arial" w:cs="Arial"/>
                <w:b/>
                <w:bCs/>
                <w:color w:val="auto"/>
                <w:sz w:val="16"/>
                <w:szCs w:val="16"/>
              </w:rPr>
            </w:pPr>
            <w:r w:rsidRPr="00CA1F7E">
              <w:rPr>
                <w:rFonts w:ascii="Arial" w:hAnsi="Arial" w:cs="Arial"/>
                <w:b/>
                <w:bCs/>
                <w:color w:val="auto"/>
                <w:sz w:val="16"/>
                <w:szCs w:val="16"/>
              </w:rPr>
              <w:t>Total comprehensive income (loss) attributable to the agency</w:t>
            </w:r>
          </w:p>
        </w:tc>
        <w:tc>
          <w:tcPr>
            <w:tcW w:w="883" w:type="dxa"/>
            <w:tcBorders>
              <w:top w:val="nil"/>
              <w:left w:val="nil"/>
              <w:bottom w:val="single" w:sz="4" w:space="0" w:color="auto"/>
              <w:right w:val="nil"/>
            </w:tcBorders>
            <w:shd w:val="clear" w:color="auto" w:fill="auto"/>
            <w:noWrap/>
            <w:vAlign w:val="bottom"/>
            <w:hideMark/>
          </w:tcPr>
          <w:p w14:paraId="020836E1"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651</w:t>
            </w:r>
          </w:p>
        </w:tc>
        <w:tc>
          <w:tcPr>
            <w:tcW w:w="799" w:type="dxa"/>
            <w:tcBorders>
              <w:top w:val="nil"/>
              <w:left w:val="nil"/>
              <w:bottom w:val="single" w:sz="4" w:space="0" w:color="auto"/>
              <w:right w:val="nil"/>
            </w:tcBorders>
            <w:shd w:val="clear" w:color="000000" w:fill="D9D9D9"/>
            <w:noWrap/>
            <w:vAlign w:val="bottom"/>
            <w:hideMark/>
          </w:tcPr>
          <w:p w14:paraId="102E0A0B"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single" w:sz="4" w:space="0" w:color="auto"/>
              <w:right w:val="nil"/>
            </w:tcBorders>
            <w:shd w:val="clear" w:color="auto" w:fill="auto"/>
            <w:noWrap/>
            <w:vAlign w:val="bottom"/>
            <w:hideMark/>
          </w:tcPr>
          <w:p w14:paraId="5143F33B"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single" w:sz="4" w:space="0" w:color="auto"/>
              <w:right w:val="nil"/>
            </w:tcBorders>
            <w:shd w:val="clear" w:color="auto" w:fill="auto"/>
            <w:noWrap/>
            <w:vAlign w:val="bottom"/>
            <w:hideMark/>
          </w:tcPr>
          <w:p w14:paraId="36D707DC"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c>
          <w:tcPr>
            <w:tcW w:w="837" w:type="dxa"/>
            <w:tcBorders>
              <w:top w:val="nil"/>
              <w:left w:val="nil"/>
              <w:bottom w:val="single" w:sz="4" w:space="0" w:color="auto"/>
              <w:right w:val="nil"/>
            </w:tcBorders>
            <w:shd w:val="clear" w:color="auto" w:fill="auto"/>
            <w:noWrap/>
            <w:vAlign w:val="bottom"/>
            <w:hideMark/>
          </w:tcPr>
          <w:p w14:paraId="72554C33" w14:textId="77777777" w:rsidR="00CA1F7E" w:rsidRPr="00CA1F7E" w:rsidRDefault="00CA1F7E" w:rsidP="00CA1F7E">
            <w:pPr>
              <w:spacing w:after="0"/>
              <w:jc w:val="right"/>
              <w:rPr>
                <w:rFonts w:ascii="Arial" w:hAnsi="Arial" w:cs="Arial"/>
                <w:color w:val="auto"/>
                <w:sz w:val="16"/>
                <w:szCs w:val="16"/>
              </w:rPr>
            </w:pPr>
            <w:r w:rsidRPr="00CA1F7E">
              <w:rPr>
                <w:rFonts w:ascii="Arial" w:hAnsi="Arial" w:cs="Arial"/>
                <w:color w:val="auto"/>
                <w:sz w:val="16"/>
                <w:szCs w:val="16"/>
              </w:rPr>
              <w:t>-</w:t>
            </w:r>
          </w:p>
        </w:tc>
      </w:tr>
    </w:tbl>
    <w:p w14:paraId="67BF9796" w14:textId="77777777" w:rsidR="00435932" w:rsidRPr="00EE76CA" w:rsidRDefault="00435932" w:rsidP="00435932">
      <w:pPr>
        <w:pStyle w:val="FootnoteText"/>
        <w:spacing w:before="120"/>
      </w:pPr>
      <w:proofErr w:type="spellStart"/>
      <w:r w:rsidRPr="00435932">
        <w:t>RoU</w:t>
      </w:r>
      <w:proofErr w:type="spellEnd"/>
      <w:r w:rsidRPr="00435932">
        <w:t xml:space="preserve"> = Right-of-Use asset</w:t>
      </w:r>
    </w:p>
    <w:p w14:paraId="55B38CF8" w14:textId="2B2DC41E" w:rsidR="00585800" w:rsidRDefault="005A6FA5" w:rsidP="005A6FA5">
      <w:pPr>
        <w:rPr>
          <w:rFonts w:ascii="Arial" w:hAnsi="Arial" w:cs="Arial"/>
          <w:b/>
          <w:sz w:val="20"/>
          <w:szCs w:val="18"/>
          <w:lang w:eastAsia="en-US"/>
        </w:rPr>
      </w:pPr>
      <w:r w:rsidRPr="005A6FA5">
        <w:rPr>
          <w:rFonts w:ascii="Arial" w:hAnsi="Arial" w:cs="Arial"/>
          <w:b/>
          <w:sz w:val="20"/>
          <w:szCs w:val="18"/>
          <w:lang w:eastAsia="en-US"/>
        </w:rPr>
        <w:lastRenderedPageBreak/>
        <w:t>Table 3.2: Budgeted departmental balance sheet (as at 30 June)</w:t>
      </w:r>
    </w:p>
    <w:tbl>
      <w:tblPr>
        <w:tblW w:w="7140" w:type="dxa"/>
        <w:tblLayout w:type="fixed"/>
        <w:tblLook w:val="04A0" w:firstRow="1" w:lastRow="0" w:firstColumn="1" w:lastColumn="0" w:noHBand="0" w:noVBand="1"/>
      </w:tblPr>
      <w:tblGrid>
        <w:gridCol w:w="2962"/>
        <w:gridCol w:w="905"/>
        <w:gridCol w:w="810"/>
        <w:gridCol w:w="821"/>
        <w:gridCol w:w="821"/>
        <w:gridCol w:w="821"/>
      </w:tblGrid>
      <w:tr w:rsidR="00446F88" w:rsidRPr="00446F88" w14:paraId="1BED6FAE" w14:textId="77777777" w:rsidTr="00446F88">
        <w:trPr>
          <w:trHeight w:val="765"/>
        </w:trPr>
        <w:tc>
          <w:tcPr>
            <w:tcW w:w="2962" w:type="dxa"/>
            <w:tcBorders>
              <w:top w:val="single" w:sz="4" w:space="0" w:color="auto"/>
              <w:left w:val="nil"/>
              <w:bottom w:val="nil"/>
              <w:right w:val="nil"/>
            </w:tcBorders>
            <w:shd w:val="clear" w:color="auto" w:fill="auto"/>
            <w:tcMar>
              <w:left w:w="0" w:type="dxa"/>
              <w:right w:w="0" w:type="dxa"/>
            </w:tcMar>
            <w:hideMark/>
          </w:tcPr>
          <w:p w14:paraId="363B1311" w14:textId="77777777" w:rsidR="00446F88" w:rsidRPr="00446F88" w:rsidRDefault="00446F88" w:rsidP="00446F88">
            <w:pPr>
              <w:spacing w:before="40" w:after="0"/>
              <w:jc w:val="right"/>
              <w:rPr>
                <w:rFonts w:ascii="Arial" w:hAnsi="Arial" w:cs="Arial"/>
                <w:b/>
                <w:bCs/>
                <w:color w:val="auto"/>
                <w:sz w:val="16"/>
                <w:szCs w:val="16"/>
              </w:rPr>
            </w:pPr>
            <w:r w:rsidRPr="00446F88">
              <w:rPr>
                <w:rFonts w:ascii="Arial" w:hAnsi="Arial" w:cs="Arial"/>
                <w:b/>
                <w:bCs/>
                <w:color w:val="auto"/>
                <w:sz w:val="16"/>
                <w:szCs w:val="16"/>
              </w:rPr>
              <w:t> </w:t>
            </w:r>
          </w:p>
        </w:tc>
        <w:tc>
          <w:tcPr>
            <w:tcW w:w="905" w:type="dxa"/>
            <w:tcBorders>
              <w:top w:val="single" w:sz="4" w:space="0" w:color="auto"/>
              <w:left w:val="nil"/>
              <w:bottom w:val="single" w:sz="4" w:space="0" w:color="auto"/>
              <w:right w:val="nil"/>
            </w:tcBorders>
            <w:shd w:val="clear" w:color="auto" w:fill="auto"/>
            <w:tcMar>
              <w:left w:w="0" w:type="dxa"/>
              <w:right w:w="0" w:type="dxa"/>
            </w:tcMar>
            <w:hideMark/>
          </w:tcPr>
          <w:p w14:paraId="13573963" w14:textId="77777777" w:rsidR="00446F88" w:rsidRPr="00446F88" w:rsidRDefault="00446F88" w:rsidP="00446F88">
            <w:pPr>
              <w:spacing w:before="40" w:after="0"/>
              <w:jc w:val="right"/>
              <w:rPr>
                <w:rFonts w:ascii="Arial" w:hAnsi="Arial" w:cs="Arial"/>
                <w:b/>
                <w:bCs/>
                <w:color w:val="auto"/>
                <w:sz w:val="16"/>
                <w:szCs w:val="16"/>
              </w:rPr>
            </w:pPr>
            <w:r w:rsidRPr="00446F88">
              <w:rPr>
                <w:rFonts w:ascii="Arial" w:hAnsi="Arial" w:cs="Arial"/>
                <w:b/>
                <w:bCs/>
                <w:color w:val="auto"/>
                <w:sz w:val="16"/>
                <w:szCs w:val="16"/>
              </w:rPr>
              <w:t>2021–22 Estimated actual</w:t>
            </w:r>
            <w:r w:rsidRPr="00446F88">
              <w:rPr>
                <w:rFonts w:ascii="Arial" w:hAnsi="Arial" w:cs="Arial"/>
                <w:b/>
                <w:bCs/>
                <w:color w:val="auto"/>
                <w:sz w:val="16"/>
                <w:szCs w:val="16"/>
              </w:rPr>
              <w:br/>
            </w:r>
            <w:r w:rsidRPr="00446F88">
              <w:rPr>
                <w:rFonts w:ascii="Arial" w:hAnsi="Arial" w:cs="Arial"/>
                <w:color w:val="auto"/>
                <w:sz w:val="16"/>
                <w:szCs w:val="16"/>
              </w:rPr>
              <w:t>$'000</w:t>
            </w:r>
          </w:p>
        </w:tc>
        <w:tc>
          <w:tcPr>
            <w:tcW w:w="810" w:type="dxa"/>
            <w:tcBorders>
              <w:top w:val="single" w:sz="4" w:space="0" w:color="auto"/>
              <w:left w:val="nil"/>
              <w:bottom w:val="single" w:sz="4" w:space="0" w:color="auto"/>
              <w:right w:val="nil"/>
            </w:tcBorders>
            <w:shd w:val="clear" w:color="000000" w:fill="D9D9D9"/>
            <w:tcMar>
              <w:left w:w="0" w:type="dxa"/>
              <w:right w:w="0" w:type="dxa"/>
            </w:tcMar>
            <w:hideMark/>
          </w:tcPr>
          <w:p w14:paraId="1441517A" w14:textId="77777777" w:rsidR="00446F88" w:rsidRPr="00446F88" w:rsidRDefault="00446F88" w:rsidP="00446F88">
            <w:pPr>
              <w:spacing w:before="40" w:after="0"/>
              <w:jc w:val="right"/>
              <w:rPr>
                <w:rFonts w:ascii="Arial" w:hAnsi="Arial" w:cs="Arial"/>
                <w:b/>
                <w:bCs/>
                <w:color w:val="auto"/>
                <w:sz w:val="16"/>
                <w:szCs w:val="16"/>
              </w:rPr>
            </w:pPr>
            <w:r w:rsidRPr="00446F88">
              <w:rPr>
                <w:rFonts w:ascii="Arial" w:hAnsi="Arial" w:cs="Arial"/>
                <w:b/>
                <w:bCs/>
                <w:color w:val="auto"/>
                <w:sz w:val="16"/>
                <w:szCs w:val="16"/>
              </w:rPr>
              <w:t xml:space="preserve">2022–23 Budget </w:t>
            </w:r>
            <w:r w:rsidRPr="00446F88">
              <w:rPr>
                <w:rFonts w:ascii="Arial" w:hAnsi="Arial" w:cs="Arial"/>
                <w:b/>
                <w:bCs/>
                <w:color w:val="auto"/>
                <w:sz w:val="16"/>
                <w:szCs w:val="16"/>
              </w:rPr>
              <w:br/>
            </w:r>
            <w:r w:rsidRPr="00446F88">
              <w:rPr>
                <w:rFonts w:ascii="Arial" w:hAnsi="Arial" w:cs="Arial"/>
                <w:b/>
                <w:bCs/>
                <w:color w:val="auto"/>
                <w:sz w:val="16"/>
                <w:szCs w:val="16"/>
              </w:rPr>
              <w:br/>
            </w:r>
            <w:r w:rsidRPr="00446F88">
              <w:rPr>
                <w:rFonts w:ascii="Arial" w:hAnsi="Arial" w:cs="Arial"/>
                <w:color w:val="auto"/>
                <w:sz w:val="16"/>
                <w:szCs w:val="16"/>
              </w:rPr>
              <w:t>$'000</w:t>
            </w:r>
          </w:p>
        </w:tc>
        <w:tc>
          <w:tcPr>
            <w:tcW w:w="821" w:type="dxa"/>
            <w:tcBorders>
              <w:top w:val="single" w:sz="4" w:space="0" w:color="auto"/>
              <w:left w:val="nil"/>
              <w:bottom w:val="single" w:sz="4" w:space="0" w:color="auto"/>
              <w:right w:val="nil"/>
            </w:tcBorders>
            <w:shd w:val="clear" w:color="auto" w:fill="auto"/>
            <w:tcMar>
              <w:left w:w="0" w:type="dxa"/>
              <w:right w:w="0" w:type="dxa"/>
            </w:tcMar>
            <w:hideMark/>
          </w:tcPr>
          <w:p w14:paraId="28DF65E0" w14:textId="77777777" w:rsidR="00446F88" w:rsidRPr="00446F88" w:rsidRDefault="00446F88" w:rsidP="00446F88">
            <w:pPr>
              <w:spacing w:before="40" w:after="0"/>
              <w:jc w:val="right"/>
              <w:rPr>
                <w:rFonts w:ascii="Arial" w:hAnsi="Arial" w:cs="Arial"/>
                <w:b/>
                <w:bCs/>
                <w:color w:val="auto"/>
                <w:sz w:val="16"/>
                <w:szCs w:val="16"/>
              </w:rPr>
            </w:pPr>
            <w:r w:rsidRPr="00446F88">
              <w:rPr>
                <w:rFonts w:ascii="Arial" w:hAnsi="Arial" w:cs="Arial"/>
                <w:b/>
                <w:bCs/>
                <w:color w:val="auto"/>
                <w:sz w:val="16"/>
                <w:szCs w:val="16"/>
              </w:rPr>
              <w:t>2023–24 Forward estimate</w:t>
            </w:r>
            <w:r w:rsidRPr="00446F88">
              <w:rPr>
                <w:rFonts w:ascii="Arial" w:hAnsi="Arial" w:cs="Arial"/>
                <w:b/>
                <w:bCs/>
                <w:color w:val="auto"/>
                <w:sz w:val="16"/>
                <w:szCs w:val="16"/>
              </w:rPr>
              <w:br/>
            </w:r>
            <w:r w:rsidRPr="00446F88">
              <w:rPr>
                <w:rFonts w:ascii="Arial" w:hAnsi="Arial" w:cs="Arial"/>
                <w:color w:val="auto"/>
                <w:sz w:val="16"/>
                <w:szCs w:val="16"/>
              </w:rPr>
              <w:t>$'000</w:t>
            </w:r>
          </w:p>
        </w:tc>
        <w:tc>
          <w:tcPr>
            <w:tcW w:w="821" w:type="dxa"/>
            <w:tcBorders>
              <w:top w:val="single" w:sz="4" w:space="0" w:color="auto"/>
              <w:left w:val="nil"/>
              <w:bottom w:val="single" w:sz="4" w:space="0" w:color="auto"/>
              <w:right w:val="nil"/>
            </w:tcBorders>
            <w:shd w:val="clear" w:color="auto" w:fill="auto"/>
            <w:tcMar>
              <w:left w:w="0" w:type="dxa"/>
              <w:right w:w="0" w:type="dxa"/>
            </w:tcMar>
            <w:hideMark/>
          </w:tcPr>
          <w:p w14:paraId="1D5410D4" w14:textId="77777777" w:rsidR="00446F88" w:rsidRPr="00446F88" w:rsidRDefault="00446F88" w:rsidP="00446F88">
            <w:pPr>
              <w:spacing w:before="40" w:after="0"/>
              <w:jc w:val="right"/>
              <w:rPr>
                <w:rFonts w:ascii="Arial" w:hAnsi="Arial" w:cs="Arial"/>
                <w:b/>
                <w:bCs/>
                <w:color w:val="auto"/>
                <w:sz w:val="16"/>
                <w:szCs w:val="16"/>
              </w:rPr>
            </w:pPr>
            <w:r w:rsidRPr="00446F88">
              <w:rPr>
                <w:rFonts w:ascii="Arial" w:hAnsi="Arial" w:cs="Arial"/>
                <w:b/>
                <w:bCs/>
                <w:color w:val="auto"/>
                <w:sz w:val="16"/>
                <w:szCs w:val="16"/>
              </w:rPr>
              <w:t>2024–25 Forward estimate</w:t>
            </w:r>
            <w:r w:rsidRPr="00446F88">
              <w:rPr>
                <w:rFonts w:ascii="Arial" w:hAnsi="Arial" w:cs="Arial"/>
                <w:b/>
                <w:bCs/>
                <w:color w:val="auto"/>
                <w:sz w:val="16"/>
                <w:szCs w:val="16"/>
              </w:rPr>
              <w:br/>
            </w:r>
            <w:r w:rsidRPr="00446F88">
              <w:rPr>
                <w:rFonts w:ascii="Arial" w:hAnsi="Arial" w:cs="Arial"/>
                <w:color w:val="auto"/>
                <w:sz w:val="16"/>
                <w:szCs w:val="16"/>
              </w:rPr>
              <w:t>$'000</w:t>
            </w:r>
          </w:p>
        </w:tc>
        <w:tc>
          <w:tcPr>
            <w:tcW w:w="821" w:type="dxa"/>
            <w:tcBorders>
              <w:top w:val="single" w:sz="4" w:space="0" w:color="auto"/>
              <w:left w:val="nil"/>
              <w:bottom w:val="single" w:sz="4" w:space="0" w:color="auto"/>
              <w:right w:val="nil"/>
            </w:tcBorders>
            <w:shd w:val="clear" w:color="auto" w:fill="auto"/>
            <w:tcMar>
              <w:left w:w="0" w:type="dxa"/>
              <w:right w:w="0" w:type="dxa"/>
            </w:tcMar>
            <w:hideMark/>
          </w:tcPr>
          <w:p w14:paraId="3D164F4F" w14:textId="77777777" w:rsidR="00446F88" w:rsidRPr="00446F88" w:rsidRDefault="00446F88" w:rsidP="00446F88">
            <w:pPr>
              <w:spacing w:before="40" w:after="0"/>
              <w:jc w:val="right"/>
              <w:rPr>
                <w:rFonts w:ascii="Arial" w:hAnsi="Arial" w:cs="Arial"/>
                <w:b/>
                <w:bCs/>
                <w:color w:val="auto"/>
                <w:sz w:val="16"/>
                <w:szCs w:val="16"/>
              </w:rPr>
            </w:pPr>
            <w:r w:rsidRPr="00446F88">
              <w:rPr>
                <w:rFonts w:ascii="Arial" w:hAnsi="Arial" w:cs="Arial"/>
                <w:b/>
                <w:bCs/>
                <w:color w:val="auto"/>
                <w:sz w:val="16"/>
                <w:szCs w:val="16"/>
              </w:rPr>
              <w:t>2025–26 Forward estimate</w:t>
            </w:r>
            <w:r w:rsidRPr="00446F88">
              <w:rPr>
                <w:rFonts w:ascii="Arial" w:hAnsi="Arial" w:cs="Arial"/>
                <w:b/>
                <w:bCs/>
                <w:color w:val="auto"/>
                <w:sz w:val="16"/>
                <w:szCs w:val="16"/>
              </w:rPr>
              <w:br/>
            </w:r>
            <w:r w:rsidRPr="00446F88">
              <w:rPr>
                <w:rFonts w:ascii="Arial" w:hAnsi="Arial" w:cs="Arial"/>
                <w:color w:val="auto"/>
                <w:sz w:val="16"/>
                <w:szCs w:val="16"/>
              </w:rPr>
              <w:t>$'000</w:t>
            </w:r>
          </w:p>
        </w:tc>
      </w:tr>
      <w:tr w:rsidR="00446F88" w:rsidRPr="00446F88" w14:paraId="283A0692" w14:textId="77777777" w:rsidTr="00446F88">
        <w:trPr>
          <w:trHeight w:val="225"/>
        </w:trPr>
        <w:tc>
          <w:tcPr>
            <w:tcW w:w="2962" w:type="dxa"/>
            <w:tcBorders>
              <w:top w:val="nil"/>
              <w:left w:val="nil"/>
              <w:bottom w:val="nil"/>
              <w:right w:val="nil"/>
            </w:tcBorders>
            <w:shd w:val="clear" w:color="auto" w:fill="auto"/>
            <w:noWrap/>
            <w:vAlign w:val="bottom"/>
            <w:hideMark/>
          </w:tcPr>
          <w:p w14:paraId="7EE221DA" w14:textId="77777777" w:rsidR="00446F88" w:rsidRPr="00446F88" w:rsidRDefault="00446F88" w:rsidP="00446F88">
            <w:pPr>
              <w:spacing w:after="0"/>
              <w:rPr>
                <w:rFonts w:ascii="Arial" w:hAnsi="Arial" w:cs="Arial"/>
                <w:b/>
                <w:bCs/>
                <w:sz w:val="16"/>
                <w:szCs w:val="16"/>
              </w:rPr>
            </w:pPr>
            <w:r w:rsidRPr="00446F88">
              <w:rPr>
                <w:rFonts w:ascii="Arial" w:hAnsi="Arial" w:cs="Arial"/>
                <w:b/>
                <w:bCs/>
                <w:sz w:val="16"/>
                <w:szCs w:val="16"/>
              </w:rPr>
              <w:t>ASSETS</w:t>
            </w:r>
          </w:p>
        </w:tc>
        <w:tc>
          <w:tcPr>
            <w:tcW w:w="905" w:type="dxa"/>
            <w:tcBorders>
              <w:top w:val="nil"/>
              <w:left w:val="nil"/>
              <w:bottom w:val="nil"/>
              <w:right w:val="nil"/>
            </w:tcBorders>
            <w:shd w:val="clear" w:color="auto" w:fill="auto"/>
            <w:noWrap/>
            <w:vAlign w:val="bottom"/>
            <w:hideMark/>
          </w:tcPr>
          <w:p w14:paraId="44399883" w14:textId="77777777" w:rsidR="00446F88" w:rsidRPr="00446F88" w:rsidRDefault="00446F88" w:rsidP="00446F88">
            <w:pPr>
              <w:spacing w:after="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709CBE37"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483A4202" w14:textId="77777777" w:rsidR="00446F88" w:rsidRPr="00446F88" w:rsidRDefault="00446F88" w:rsidP="00446F8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7E0334A5" w14:textId="77777777" w:rsidR="00446F88" w:rsidRPr="00446F88" w:rsidRDefault="00446F88" w:rsidP="00446F88">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5C0789B0" w14:textId="77777777" w:rsidR="00446F88" w:rsidRPr="00446F88" w:rsidRDefault="00446F88" w:rsidP="00446F88">
            <w:pPr>
              <w:spacing w:after="0"/>
              <w:jc w:val="right"/>
              <w:rPr>
                <w:rFonts w:ascii="Times New Roman" w:hAnsi="Times New Roman"/>
                <w:color w:val="auto"/>
                <w:sz w:val="20"/>
              </w:rPr>
            </w:pPr>
          </w:p>
        </w:tc>
      </w:tr>
      <w:tr w:rsidR="00446F88" w:rsidRPr="00446F88" w14:paraId="0BA0B92B" w14:textId="77777777" w:rsidTr="00446F88">
        <w:trPr>
          <w:trHeight w:val="225"/>
        </w:trPr>
        <w:tc>
          <w:tcPr>
            <w:tcW w:w="2962" w:type="dxa"/>
            <w:tcBorders>
              <w:top w:val="nil"/>
              <w:left w:val="nil"/>
              <w:bottom w:val="nil"/>
              <w:right w:val="nil"/>
            </w:tcBorders>
            <w:shd w:val="clear" w:color="auto" w:fill="auto"/>
            <w:noWrap/>
            <w:vAlign w:val="bottom"/>
            <w:hideMark/>
          </w:tcPr>
          <w:p w14:paraId="551ADC84" w14:textId="77777777" w:rsidR="00446F88" w:rsidRPr="00446F88" w:rsidRDefault="00446F88" w:rsidP="00446F88">
            <w:pPr>
              <w:spacing w:after="0"/>
              <w:ind w:firstLineChars="100" w:firstLine="160"/>
              <w:rPr>
                <w:rFonts w:ascii="Arial" w:hAnsi="Arial" w:cs="Arial"/>
                <w:b/>
                <w:bCs/>
                <w:sz w:val="16"/>
                <w:szCs w:val="16"/>
              </w:rPr>
            </w:pPr>
            <w:r w:rsidRPr="00446F88">
              <w:rPr>
                <w:rFonts w:ascii="Arial" w:hAnsi="Arial" w:cs="Arial"/>
                <w:b/>
                <w:bCs/>
                <w:sz w:val="16"/>
                <w:szCs w:val="16"/>
              </w:rPr>
              <w:t>Financial assets</w:t>
            </w:r>
          </w:p>
        </w:tc>
        <w:tc>
          <w:tcPr>
            <w:tcW w:w="905" w:type="dxa"/>
            <w:tcBorders>
              <w:top w:val="nil"/>
              <w:left w:val="nil"/>
              <w:bottom w:val="nil"/>
              <w:right w:val="nil"/>
            </w:tcBorders>
            <w:shd w:val="clear" w:color="auto" w:fill="auto"/>
            <w:noWrap/>
            <w:vAlign w:val="bottom"/>
            <w:hideMark/>
          </w:tcPr>
          <w:p w14:paraId="028A86C1" w14:textId="77777777" w:rsidR="00446F88" w:rsidRPr="00446F88" w:rsidRDefault="00446F88" w:rsidP="00446F88">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17604294"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62E6DE8A" w14:textId="77777777" w:rsidR="00446F88" w:rsidRPr="00446F88" w:rsidRDefault="00446F88" w:rsidP="00446F8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4DF43C82" w14:textId="77777777" w:rsidR="00446F88" w:rsidRPr="00446F88" w:rsidRDefault="00446F88" w:rsidP="00446F88">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2DC2220B" w14:textId="77777777" w:rsidR="00446F88" w:rsidRPr="00446F88" w:rsidRDefault="00446F88" w:rsidP="00446F88">
            <w:pPr>
              <w:spacing w:after="0"/>
              <w:jc w:val="right"/>
              <w:rPr>
                <w:rFonts w:ascii="Times New Roman" w:hAnsi="Times New Roman"/>
                <w:color w:val="auto"/>
                <w:sz w:val="20"/>
              </w:rPr>
            </w:pPr>
          </w:p>
        </w:tc>
      </w:tr>
      <w:tr w:rsidR="00446F88" w:rsidRPr="00446F88" w14:paraId="4BA8937D" w14:textId="77777777" w:rsidTr="00446F88">
        <w:trPr>
          <w:trHeight w:val="225"/>
        </w:trPr>
        <w:tc>
          <w:tcPr>
            <w:tcW w:w="2962" w:type="dxa"/>
            <w:tcBorders>
              <w:top w:val="nil"/>
              <w:left w:val="nil"/>
              <w:bottom w:val="nil"/>
              <w:right w:val="nil"/>
            </w:tcBorders>
            <w:shd w:val="clear" w:color="auto" w:fill="auto"/>
            <w:noWrap/>
            <w:vAlign w:val="bottom"/>
            <w:hideMark/>
          </w:tcPr>
          <w:p w14:paraId="2FEC70CD" w14:textId="77777777" w:rsidR="00446F88" w:rsidRPr="00446F88" w:rsidRDefault="00446F88" w:rsidP="00446F88">
            <w:pPr>
              <w:spacing w:after="0"/>
              <w:ind w:firstLineChars="200" w:firstLine="320"/>
              <w:rPr>
                <w:rFonts w:ascii="Arial" w:hAnsi="Arial" w:cs="Arial"/>
                <w:sz w:val="16"/>
                <w:szCs w:val="16"/>
              </w:rPr>
            </w:pPr>
            <w:r w:rsidRPr="00446F88">
              <w:rPr>
                <w:rFonts w:ascii="Arial" w:hAnsi="Arial" w:cs="Arial"/>
                <w:sz w:val="16"/>
                <w:szCs w:val="16"/>
              </w:rPr>
              <w:t>Cash and cash equivalents</w:t>
            </w:r>
          </w:p>
        </w:tc>
        <w:tc>
          <w:tcPr>
            <w:tcW w:w="905" w:type="dxa"/>
            <w:tcBorders>
              <w:top w:val="nil"/>
              <w:left w:val="nil"/>
              <w:bottom w:val="nil"/>
              <w:right w:val="nil"/>
            </w:tcBorders>
            <w:shd w:val="clear" w:color="auto" w:fill="auto"/>
            <w:noWrap/>
            <w:vAlign w:val="bottom"/>
            <w:hideMark/>
          </w:tcPr>
          <w:p w14:paraId="1CB03B92"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113</w:t>
            </w:r>
          </w:p>
        </w:tc>
        <w:tc>
          <w:tcPr>
            <w:tcW w:w="810" w:type="dxa"/>
            <w:tcBorders>
              <w:top w:val="nil"/>
              <w:left w:val="nil"/>
              <w:bottom w:val="nil"/>
              <w:right w:val="nil"/>
            </w:tcBorders>
            <w:shd w:val="clear" w:color="000000" w:fill="D9D9D9"/>
            <w:noWrap/>
            <w:vAlign w:val="bottom"/>
            <w:hideMark/>
          </w:tcPr>
          <w:p w14:paraId="2FEA1460"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113</w:t>
            </w:r>
          </w:p>
        </w:tc>
        <w:tc>
          <w:tcPr>
            <w:tcW w:w="821" w:type="dxa"/>
            <w:tcBorders>
              <w:top w:val="nil"/>
              <w:left w:val="nil"/>
              <w:bottom w:val="nil"/>
              <w:right w:val="nil"/>
            </w:tcBorders>
            <w:shd w:val="clear" w:color="auto" w:fill="auto"/>
            <w:noWrap/>
            <w:vAlign w:val="bottom"/>
            <w:hideMark/>
          </w:tcPr>
          <w:p w14:paraId="421C7387"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113</w:t>
            </w:r>
          </w:p>
        </w:tc>
        <w:tc>
          <w:tcPr>
            <w:tcW w:w="821" w:type="dxa"/>
            <w:tcBorders>
              <w:top w:val="nil"/>
              <w:left w:val="nil"/>
              <w:bottom w:val="nil"/>
              <w:right w:val="nil"/>
            </w:tcBorders>
            <w:shd w:val="clear" w:color="auto" w:fill="auto"/>
            <w:noWrap/>
            <w:vAlign w:val="bottom"/>
            <w:hideMark/>
          </w:tcPr>
          <w:p w14:paraId="5888D4EA"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113</w:t>
            </w:r>
          </w:p>
        </w:tc>
        <w:tc>
          <w:tcPr>
            <w:tcW w:w="821" w:type="dxa"/>
            <w:tcBorders>
              <w:top w:val="nil"/>
              <w:left w:val="nil"/>
              <w:bottom w:val="nil"/>
              <w:right w:val="nil"/>
            </w:tcBorders>
            <w:shd w:val="clear" w:color="auto" w:fill="auto"/>
            <w:noWrap/>
            <w:vAlign w:val="bottom"/>
            <w:hideMark/>
          </w:tcPr>
          <w:p w14:paraId="145CEACE"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113</w:t>
            </w:r>
          </w:p>
        </w:tc>
      </w:tr>
      <w:tr w:rsidR="00446F88" w:rsidRPr="00446F88" w14:paraId="52DC99D0" w14:textId="77777777" w:rsidTr="00446F88">
        <w:trPr>
          <w:trHeight w:val="225"/>
        </w:trPr>
        <w:tc>
          <w:tcPr>
            <w:tcW w:w="2962" w:type="dxa"/>
            <w:tcBorders>
              <w:top w:val="nil"/>
              <w:left w:val="nil"/>
              <w:bottom w:val="nil"/>
              <w:right w:val="nil"/>
            </w:tcBorders>
            <w:shd w:val="clear" w:color="auto" w:fill="auto"/>
            <w:noWrap/>
            <w:vAlign w:val="bottom"/>
            <w:hideMark/>
          </w:tcPr>
          <w:p w14:paraId="1D2EF429" w14:textId="77777777" w:rsidR="00446F88" w:rsidRPr="00446F88" w:rsidRDefault="00446F88" w:rsidP="00446F88">
            <w:pPr>
              <w:spacing w:after="0"/>
              <w:ind w:firstLineChars="200" w:firstLine="320"/>
              <w:rPr>
                <w:rFonts w:ascii="Arial" w:hAnsi="Arial" w:cs="Arial"/>
                <w:sz w:val="16"/>
                <w:szCs w:val="16"/>
              </w:rPr>
            </w:pPr>
            <w:r w:rsidRPr="00446F88">
              <w:rPr>
                <w:rFonts w:ascii="Arial" w:hAnsi="Arial" w:cs="Arial"/>
                <w:sz w:val="16"/>
                <w:szCs w:val="16"/>
              </w:rPr>
              <w:t>Receivables</w:t>
            </w:r>
          </w:p>
        </w:tc>
        <w:tc>
          <w:tcPr>
            <w:tcW w:w="905" w:type="dxa"/>
            <w:tcBorders>
              <w:top w:val="nil"/>
              <w:left w:val="nil"/>
              <w:bottom w:val="nil"/>
              <w:right w:val="nil"/>
            </w:tcBorders>
            <w:shd w:val="clear" w:color="auto" w:fill="auto"/>
            <w:noWrap/>
            <w:vAlign w:val="bottom"/>
            <w:hideMark/>
          </w:tcPr>
          <w:p w14:paraId="2D5982E4"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3,472</w:t>
            </w:r>
          </w:p>
        </w:tc>
        <w:tc>
          <w:tcPr>
            <w:tcW w:w="810" w:type="dxa"/>
            <w:tcBorders>
              <w:top w:val="nil"/>
              <w:left w:val="nil"/>
              <w:bottom w:val="nil"/>
              <w:right w:val="nil"/>
            </w:tcBorders>
            <w:shd w:val="clear" w:color="000000" w:fill="D9D9D9"/>
            <w:noWrap/>
            <w:vAlign w:val="bottom"/>
            <w:hideMark/>
          </w:tcPr>
          <w:p w14:paraId="5DFF2EEE"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3,810</w:t>
            </w:r>
          </w:p>
        </w:tc>
        <w:tc>
          <w:tcPr>
            <w:tcW w:w="821" w:type="dxa"/>
            <w:tcBorders>
              <w:top w:val="nil"/>
              <w:left w:val="nil"/>
              <w:bottom w:val="nil"/>
              <w:right w:val="nil"/>
            </w:tcBorders>
            <w:shd w:val="clear" w:color="auto" w:fill="auto"/>
            <w:noWrap/>
            <w:vAlign w:val="bottom"/>
            <w:hideMark/>
          </w:tcPr>
          <w:p w14:paraId="21B852F4"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3,473</w:t>
            </w:r>
          </w:p>
        </w:tc>
        <w:tc>
          <w:tcPr>
            <w:tcW w:w="821" w:type="dxa"/>
            <w:tcBorders>
              <w:top w:val="nil"/>
              <w:left w:val="nil"/>
              <w:bottom w:val="nil"/>
              <w:right w:val="nil"/>
            </w:tcBorders>
            <w:shd w:val="clear" w:color="auto" w:fill="auto"/>
            <w:noWrap/>
            <w:vAlign w:val="bottom"/>
            <w:hideMark/>
          </w:tcPr>
          <w:p w14:paraId="37532319"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3,473</w:t>
            </w:r>
          </w:p>
        </w:tc>
        <w:tc>
          <w:tcPr>
            <w:tcW w:w="821" w:type="dxa"/>
            <w:tcBorders>
              <w:top w:val="nil"/>
              <w:left w:val="nil"/>
              <w:bottom w:val="nil"/>
              <w:right w:val="nil"/>
            </w:tcBorders>
            <w:shd w:val="clear" w:color="auto" w:fill="auto"/>
            <w:noWrap/>
            <w:vAlign w:val="bottom"/>
            <w:hideMark/>
          </w:tcPr>
          <w:p w14:paraId="0B76425D"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3,473</w:t>
            </w:r>
          </w:p>
        </w:tc>
      </w:tr>
      <w:tr w:rsidR="00446F88" w:rsidRPr="00446F88" w14:paraId="7D6D5996" w14:textId="77777777" w:rsidTr="00446F88">
        <w:trPr>
          <w:trHeight w:val="225"/>
        </w:trPr>
        <w:tc>
          <w:tcPr>
            <w:tcW w:w="2962" w:type="dxa"/>
            <w:tcBorders>
              <w:top w:val="nil"/>
              <w:left w:val="nil"/>
              <w:bottom w:val="nil"/>
              <w:right w:val="nil"/>
            </w:tcBorders>
            <w:shd w:val="clear" w:color="auto" w:fill="auto"/>
            <w:noWrap/>
            <w:vAlign w:val="bottom"/>
            <w:hideMark/>
          </w:tcPr>
          <w:p w14:paraId="7405AAF5" w14:textId="77777777" w:rsidR="00446F88" w:rsidRPr="00446F88" w:rsidRDefault="00446F88" w:rsidP="00446F88">
            <w:pPr>
              <w:spacing w:after="0"/>
              <w:ind w:firstLineChars="200" w:firstLine="320"/>
              <w:rPr>
                <w:rFonts w:ascii="Arial" w:hAnsi="Arial" w:cs="Arial"/>
                <w:b/>
                <w:bCs/>
                <w:sz w:val="16"/>
                <w:szCs w:val="16"/>
              </w:rPr>
            </w:pPr>
            <w:r w:rsidRPr="00446F88">
              <w:rPr>
                <w:rFonts w:ascii="Arial" w:hAnsi="Arial" w:cs="Arial"/>
                <w:b/>
                <w:bCs/>
                <w:sz w:val="16"/>
                <w:szCs w:val="16"/>
              </w:rPr>
              <w:t>Total financial assets</w:t>
            </w:r>
          </w:p>
        </w:tc>
        <w:tc>
          <w:tcPr>
            <w:tcW w:w="905" w:type="dxa"/>
            <w:tcBorders>
              <w:top w:val="nil"/>
              <w:left w:val="nil"/>
              <w:bottom w:val="single" w:sz="4" w:space="0" w:color="auto"/>
              <w:right w:val="nil"/>
            </w:tcBorders>
            <w:shd w:val="clear" w:color="auto" w:fill="auto"/>
            <w:noWrap/>
            <w:vAlign w:val="bottom"/>
            <w:hideMark/>
          </w:tcPr>
          <w:p w14:paraId="187C7683"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3,585</w:t>
            </w:r>
          </w:p>
        </w:tc>
        <w:tc>
          <w:tcPr>
            <w:tcW w:w="810" w:type="dxa"/>
            <w:tcBorders>
              <w:top w:val="nil"/>
              <w:left w:val="nil"/>
              <w:bottom w:val="single" w:sz="4" w:space="0" w:color="auto"/>
              <w:right w:val="nil"/>
            </w:tcBorders>
            <w:shd w:val="clear" w:color="000000" w:fill="D9D9D9"/>
            <w:noWrap/>
            <w:vAlign w:val="bottom"/>
            <w:hideMark/>
          </w:tcPr>
          <w:p w14:paraId="79DB3CA7"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3,923</w:t>
            </w:r>
          </w:p>
        </w:tc>
        <w:tc>
          <w:tcPr>
            <w:tcW w:w="821" w:type="dxa"/>
            <w:tcBorders>
              <w:top w:val="nil"/>
              <w:left w:val="nil"/>
              <w:bottom w:val="single" w:sz="4" w:space="0" w:color="auto"/>
              <w:right w:val="nil"/>
            </w:tcBorders>
            <w:shd w:val="clear" w:color="auto" w:fill="auto"/>
            <w:noWrap/>
            <w:vAlign w:val="bottom"/>
            <w:hideMark/>
          </w:tcPr>
          <w:p w14:paraId="6AB2D44B"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3,586</w:t>
            </w:r>
          </w:p>
        </w:tc>
        <w:tc>
          <w:tcPr>
            <w:tcW w:w="821" w:type="dxa"/>
            <w:tcBorders>
              <w:top w:val="nil"/>
              <w:left w:val="nil"/>
              <w:bottom w:val="single" w:sz="4" w:space="0" w:color="auto"/>
              <w:right w:val="nil"/>
            </w:tcBorders>
            <w:shd w:val="clear" w:color="auto" w:fill="auto"/>
            <w:noWrap/>
            <w:vAlign w:val="bottom"/>
            <w:hideMark/>
          </w:tcPr>
          <w:p w14:paraId="69872460"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3,586</w:t>
            </w:r>
          </w:p>
        </w:tc>
        <w:tc>
          <w:tcPr>
            <w:tcW w:w="821" w:type="dxa"/>
            <w:tcBorders>
              <w:top w:val="nil"/>
              <w:left w:val="nil"/>
              <w:bottom w:val="single" w:sz="4" w:space="0" w:color="auto"/>
              <w:right w:val="nil"/>
            </w:tcBorders>
            <w:shd w:val="clear" w:color="auto" w:fill="auto"/>
            <w:noWrap/>
            <w:vAlign w:val="bottom"/>
            <w:hideMark/>
          </w:tcPr>
          <w:p w14:paraId="008B5CA2"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3,586</w:t>
            </w:r>
          </w:p>
        </w:tc>
      </w:tr>
      <w:tr w:rsidR="00446F88" w:rsidRPr="00446F88" w14:paraId="3998E8F6" w14:textId="77777777" w:rsidTr="00446F88">
        <w:trPr>
          <w:trHeight w:val="300"/>
        </w:trPr>
        <w:tc>
          <w:tcPr>
            <w:tcW w:w="2962" w:type="dxa"/>
            <w:tcBorders>
              <w:top w:val="nil"/>
              <w:left w:val="nil"/>
              <w:bottom w:val="nil"/>
              <w:right w:val="nil"/>
            </w:tcBorders>
            <w:shd w:val="clear" w:color="auto" w:fill="auto"/>
            <w:noWrap/>
            <w:vAlign w:val="bottom"/>
            <w:hideMark/>
          </w:tcPr>
          <w:p w14:paraId="6712CC2C" w14:textId="77777777" w:rsidR="00446F88" w:rsidRPr="00446F88" w:rsidRDefault="00446F88" w:rsidP="00446F88">
            <w:pPr>
              <w:spacing w:after="0"/>
              <w:ind w:firstLineChars="100" w:firstLine="160"/>
              <w:rPr>
                <w:rFonts w:ascii="Arial" w:hAnsi="Arial" w:cs="Arial"/>
                <w:b/>
                <w:bCs/>
                <w:sz w:val="16"/>
                <w:szCs w:val="16"/>
              </w:rPr>
            </w:pPr>
            <w:r w:rsidRPr="00446F88">
              <w:rPr>
                <w:rFonts w:ascii="Arial" w:hAnsi="Arial" w:cs="Arial"/>
                <w:b/>
                <w:bCs/>
                <w:sz w:val="16"/>
                <w:szCs w:val="16"/>
              </w:rPr>
              <w:t>Non-financial assets</w:t>
            </w:r>
          </w:p>
        </w:tc>
        <w:tc>
          <w:tcPr>
            <w:tcW w:w="905" w:type="dxa"/>
            <w:tcBorders>
              <w:top w:val="nil"/>
              <w:left w:val="nil"/>
              <w:bottom w:val="nil"/>
              <w:right w:val="nil"/>
            </w:tcBorders>
            <w:shd w:val="clear" w:color="auto" w:fill="auto"/>
            <w:noWrap/>
            <w:vAlign w:val="bottom"/>
            <w:hideMark/>
          </w:tcPr>
          <w:p w14:paraId="572FA2F4" w14:textId="77777777" w:rsidR="00446F88" w:rsidRPr="00446F88" w:rsidRDefault="00446F88" w:rsidP="00446F88">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598B44DA"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4EDD53B5" w14:textId="77777777" w:rsidR="00446F88" w:rsidRPr="00446F88" w:rsidRDefault="00446F88" w:rsidP="00446F8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1BE131E7" w14:textId="77777777" w:rsidR="00446F88" w:rsidRPr="00446F88" w:rsidRDefault="00446F88" w:rsidP="00446F88">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29443B05" w14:textId="77777777" w:rsidR="00446F88" w:rsidRPr="00446F88" w:rsidRDefault="00446F88" w:rsidP="00446F88">
            <w:pPr>
              <w:spacing w:after="0"/>
              <w:jc w:val="right"/>
              <w:rPr>
                <w:rFonts w:ascii="Times New Roman" w:hAnsi="Times New Roman"/>
                <w:color w:val="auto"/>
                <w:sz w:val="20"/>
              </w:rPr>
            </w:pPr>
          </w:p>
        </w:tc>
      </w:tr>
      <w:tr w:rsidR="00446F88" w:rsidRPr="00446F88" w14:paraId="0245E0AA" w14:textId="77777777" w:rsidTr="00446F88">
        <w:trPr>
          <w:trHeight w:val="225"/>
        </w:trPr>
        <w:tc>
          <w:tcPr>
            <w:tcW w:w="2962" w:type="dxa"/>
            <w:tcBorders>
              <w:top w:val="nil"/>
              <w:left w:val="nil"/>
              <w:bottom w:val="nil"/>
              <w:right w:val="nil"/>
            </w:tcBorders>
            <w:shd w:val="clear" w:color="auto" w:fill="auto"/>
            <w:noWrap/>
            <w:vAlign w:val="bottom"/>
            <w:hideMark/>
          </w:tcPr>
          <w:p w14:paraId="3A2DFD69" w14:textId="77777777" w:rsidR="00446F88" w:rsidRPr="00446F88" w:rsidRDefault="00446F88" w:rsidP="00446F88">
            <w:pPr>
              <w:spacing w:after="0"/>
              <w:ind w:firstLineChars="200" w:firstLine="320"/>
              <w:rPr>
                <w:rFonts w:ascii="Arial" w:hAnsi="Arial" w:cs="Arial"/>
                <w:sz w:val="16"/>
                <w:szCs w:val="16"/>
              </w:rPr>
            </w:pPr>
            <w:r w:rsidRPr="00446F88">
              <w:rPr>
                <w:rFonts w:ascii="Arial" w:hAnsi="Arial" w:cs="Arial"/>
                <w:sz w:val="16"/>
                <w:szCs w:val="16"/>
              </w:rPr>
              <w:t>Land and buildings</w:t>
            </w:r>
          </w:p>
        </w:tc>
        <w:tc>
          <w:tcPr>
            <w:tcW w:w="905" w:type="dxa"/>
            <w:tcBorders>
              <w:top w:val="nil"/>
              <w:left w:val="nil"/>
              <w:bottom w:val="nil"/>
              <w:right w:val="nil"/>
            </w:tcBorders>
            <w:shd w:val="clear" w:color="auto" w:fill="auto"/>
            <w:noWrap/>
            <w:vAlign w:val="bottom"/>
            <w:hideMark/>
          </w:tcPr>
          <w:p w14:paraId="115F6908"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529</w:t>
            </w:r>
          </w:p>
        </w:tc>
        <w:tc>
          <w:tcPr>
            <w:tcW w:w="810" w:type="dxa"/>
            <w:tcBorders>
              <w:top w:val="nil"/>
              <w:left w:val="nil"/>
              <w:bottom w:val="nil"/>
              <w:right w:val="nil"/>
            </w:tcBorders>
            <w:shd w:val="clear" w:color="000000" w:fill="D9D9D9"/>
            <w:noWrap/>
            <w:vAlign w:val="bottom"/>
            <w:hideMark/>
          </w:tcPr>
          <w:p w14:paraId="144D211D"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150</w:t>
            </w:r>
          </w:p>
        </w:tc>
        <w:tc>
          <w:tcPr>
            <w:tcW w:w="821" w:type="dxa"/>
            <w:tcBorders>
              <w:top w:val="nil"/>
              <w:left w:val="nil"/>
              <w:bottom w:val="nil"/>
              <w:right w:val="nil"/>
            </w:tcBorders>
            <w:shd w:val="clear" w:color="auto" w:fill="auto"/>
            <w:noWrap/>
            <w:vAlign w:val="bottom"/>
            <w:hideMark/>
          </w:tcPr>
          <w:p w14:paraId="6DFC1AC4"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516</w:t>
            </w:r>
          </w:p>
        </w:tc>
        <w:tc>
          <w:tcPr>
            <w:tcW w:w="821" w:type="dxa"/>
            <w:tcBorders>
              <w:top w:val="nil"/>
              <w:left w:val="nil"/>
              <w:bottom w:val="nil"/>
              <w:right w:val="nil"/>
            </w:tcBorders>
            <w:shd w:val="clear" w:color="auto" w:fill="auto"/>
            <w:noWrap/>
            <w:vAlign w:val="bottom"/>
            <w:hideMark/>
          </w:tcPr>
          <w:p w14:paraId="7B9BCB1C"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177</w:t>
            </w:r>
          </w:p>
        </w:tc>
        <w:tc>
          <w:tcPr>
            <w:tcW w:w="821" w:type="dxa"/>
            <w:tcBorders>
              <w:top w:val="nil"/>
              <w:left w:val="nil"/>
              <w:bottom w:val="nil"/>
              <w:right w:val="nil"/>
            </w:tcBorders>
            <w:shd w:val="clear" w:color="auto" w:fill="auto"/>
            <w:noWrap/>
            <w:vAlign w:val="bottom"/>
            <w:hideMark/>
          </w:tcPr>
          <w:p w14:paraId="22CBDF65"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601</w:t>
            </w:r>
          </w:p>
        </w:tc>
      </w:tr>
      <w:tr w:rsidR="00446F88" w:rsidRPr="00446F88" w14:paraId="5533F565" w14:textId="77777777" w:rsidTr="00446F88">
        <w:trPr>
          <w:trHeight w:val="225"/>
        </w:trPr>
        <w:tc>
          <w:tcPr>
            <w:tcW w:w="2962" w:type="dxa"/>
            <w:tcBorders>
              <w:top w:val="nil"/>
              <w:left w:val="nil"/>
              <w:bottom w:val="nil"/>
              <w:right w:val="nil"/>
            </w:tcBorders>
            <w:shd w:val="clear" w:color="auto" w:fill="auto"/>
            <w:noWrap/>
            <w:vAlign w:val="bottom"/>
            <w:hideMark/>
          </w:tcPr>
          <w:p w14:paraId="4DC88B5C" w14:textId="77777777" w:rsidR="00446F88" w:rsidRPr="00446F88" w:rsidRDefault="00446F88" w:rsidP="00446F88">
            <w:pPr>
              <w:spacing w:after="0"/>
              <w:ind w:firstLineChars="200" w:firstLine="320"/>
              <w:rPr>
                <w:rFonts w:ascii="Arial" w:hAnsi="Arial" w:cs="Arial"/>
                <w:sz w:val="16"/>
                <w:szCs w:val="16"/>
              </w:rPr>
            </w:pPr>
            <w:r w:rsidRPr="00446F88">
              <w:rPr>
                <w:rFonts w:ascii="Arial" w:hAnsi="Arial" w:cs="Arial"/>
                <w:sz w:val="16"/>
                <w:szCs w:val="16"/>
              </w:rPr>
              <w:t>Property, plant and equipment</w:t>
            </w:r>
          </w:p>
        </w:tc>
        <w:tc>
          <w:tcPr>
            <w:tcW w:w="905" w:type="dxa"/>
            <w:tcBorders>
              <w:top w:val="nil"/>
              <w:left w:val="nil"/>
              <w:bottom w:val="nil"/>
              <w:right w:val="nil"/>
            </w:tcBorders>
            <w:shd w:val="clear" w:color="auto" w:fill="auto"/>
            <w:noWrap/>
            <w:vAlign w:val="bottom"/>
            <w:hideMark/>
          </w:tcPr>
          <w:p w14:paraId="21972BB5"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178</w:t>
            </w:r>
          </w:p>
        </w:tc>
        <w:tc>
          <w:tcPr>
            <w:tcW w:w="810" w:type="dxa"/>
            <w:tcBorders>
              <w:top w:val="nil"/>
              <w:left w:val="nil"/>
              <w:bottom w:val="nil"/>
              <w:right w:val="nil"/>
            </w:tcBorders>
            <w:shd w:val="clear" w:color="000000" w:fill="D9D9D9"/>
            <w:noWrap/>
            <w:vAlign w:val="bottom"/>
            <w:hideMark/>
          </w:tcPr>
          <w:p w14:paraId="3F747CB8"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192</w:t>
            </w:r>
          </w:p>
        </w:tc>
        <w:tc>
          <w:tcPr>
            <w:tcW w:w="821" w:type="dxa"/>
            <w:tcBorders>
              <w:top w:val="nil"/>
              <w:left w:val="nil"/>
              <w:bottom w:val="nil"/>
              <w:right w:val="nil"/>
            </w:tcBorders>
            <w:shd w:val="clear" w:color="auto" w:fill="auto"/>
            <w:noWrap/>
            <w:vAlign w:val="bottom"/>
            <w:hideMark/>
          </w:tcPr>
          <w:p w14:paraId="72E180FF"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200</w:t>
            </w:r>
          </w:p>
        </w:tc>
        <w:tc>
          <w:tcPr>
            <w:tcW w:w="821" w:type="dxa"/>
            <w:tcBorders>
              <w:top w:val="nil"/>
              <w:left w:val="nil"/>
              <w:bottom w:val="nil"/>
              <w:right w:val="nil"/>
            </w:tcBorders>
            <w:shd w:val="clear" w:color="auto" w:fill="auto"/>
            <w:noWrap/>
            <w:vAlign w:val="bottom"/>
            <w:hideMark/>
          </w:tcPr>
          <w:p w14:paraId="501EB4E4"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221</w:t>
            </w:r>
          </w:p>
        </w:tc>
        <w:tc>
          <w:tcPr>
            <w:tcW w:w="821" w:type="dxa"/>
            <w:tcBorders>
              <w:top w:val="nil"/>
              <w:left w:val="nil"/>
              <w:bottom w:val="nil"/>
              <w:right w:val="nil"/>
            </w:tcBorders>
            <w:shd w:val="clear" w:color="auto" w:fill="auto"/>
            <w:noWrap/>
            <w:vAlign w:val="bottom"/>
            <w:hideMark/>
          </w:tcPr>
          <w:p w14:paraId="450E6B37"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191</w:t>
            </w:r>
          </w:p>
        </w:tc>
      </w:tr>
      <w:tr w:rsidR="00446F88" w:rsidRPr="00446F88" w14:paraId="59346518" w14:textId="77777777" w:rsidTr="00446F88">
        <w:trPr>
          <w:trHeight w:val="225"/>
        </w:trPr>
        <w:tc>
          <w:tcPr>
            <w:tcW w:w="2962" w:type="dxa"/>
            <w:tcBorders>
              <w:top w:val="nil"/>
              <w:left w:val="nil"/>
              <w:bottom w:val="nil"/>
              <w:right w:val="nil"/>
            </w:tcBorders>
            <w:shd w:val="clear" w:color="auto" w:fill="auto"/>
            <w:noWrap/>
            <w:vAlign w:val="bottom"/>
            <w:hideMark/>
          </w:tcPr>
          <w:p w14:paraId="455A0A6B" w14:textId="77777777" w:rsidR="00446F88" w:rsidRPr="00446F88" w:rsidRDefault="00446F88" w:rsidP="00446F88">
            <w:pPr>
              <w:spacing w:after="0"/>
              <w:ind w:firstLineChars="200" w:firstLine="320"/>
              <w:rPr>
                <w:rFonts w:ascii="Arial" w:hAnsi="Arial" w:cs="Arial"/>
                <w:sz w:val="16"/>
                <w:szCs w:val="16"/>
              </w:rPr>
            </w:pPr>
            <w:r w:rsidRPr="00446F88">
              <w:rPr>
                <w:rFonts w:ascii="Arial" w:hAnsi="Arial" w:cs="Arial"/>
                <w:sz w:val="16"/>
                <w:szCs w:val="16"/>
              </w:rPr>
              <w:t>Intangibles</w:t>
            </w:r>
          </w:p>
        </w:tc>
        <w:tc>
          <w:tcPr>
            <w:tcW w:w="905" w:type="dxa"/>
            <w:tcBorders>
              <w:top w:val="nil"/>
              <w:left w:val="nil"/>
              <w:bottom w:val="nil"/>
              <w:right w:val="nil"/>
            </w:tcBorders>
            <w:shd w:val="clear" w:color="auto" w:fill="auto"/>
            <w:noWrap/>
            <w:vAlign w:val="bottom"/>
            <w:hideMark/>
          </w:tcPr>
          <w:p w14:paraId="2A4E85D6"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195</w:t>
            </w:r>
          </w:p>
        </w:tc>
        <w:tc>
          <w:tcPr>
            <w:tcW w:w="810" w:type="dxa"/>
            <w:tcBorders>
              <w:top w:val="nil"/>
              <w:left w:val="nil"/>
              <w:bottom w:val="nil"/>
              <w:right w:val="nil"/>
            </w:tcBorders>
            <w:shd w:val="clear" w:color="000000" w:fill="D9D9D9"/>
            <w:noWrap/>
            <w:vAlign w:val="bottom"/>
            <w:hideMark/>
          </w:tcPr>
          <w:p w14:paraId="217129DA"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155</w:t>
            </w:r>
          </w:p>
        </w:tc>
        <w:tc>
          <w:tcPr>
            <w:tcW w:w="821" w:type="dxa"/>
            <w:tcBorders>
              <w:top w:val="nil"/>
              <w:left w:val="nil"/>
              <w:bottom w:val="nil"/>
              <w:right w:val="nil"/>
            </w:tcBorders>
            <w:shd w:val="clear" w:color="auto" w:fill="auto"/>
            <w:noWrap/>
            <w:vAlign w:val="bottom"/>
            <w:hideMark/>
          </w:tcPr>
          <w:p w14:paraId="0D5F5223"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399</w:t>
            </w:r>
          </w:p>
        </w:tc>
        <w:tc>
          <w:tcPr>
            <w:tcW w:w="821" w:type="dxa"/>
            <w:tcBorders>
              <w:top w:val="nil"/>
              <w:left w:val="nil"/>
              <w:bottom w:val="nil"/>
              <w:right w:val="nil"/>
            </w:tcBorders>
            <w:shd w:val="clear" w:color="auto" w:fill="auto"/>
            <w:noWrap/>
            <w:vAlign w:val="bottom"/>
            <w:hideMark/>
          </w:tcPr>
          <w:p w14:paraId="1CDEB633"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345</w:t>
            </w:r>
          </w:p>
        </w:tc>
        <w:tc>
          <w:tcPr>
            <w:tcW w:w="821" w:type="dxa"/>
            <w:tcBorders>
              <w:top w:val="nil"/>
              <w:left w:val="nil"/>
              <w:bottom w:val="nil"/>
              <w:right w:val="nil"/>
            </w:tcBorders>
            <w:shd w:val="clear" w:color="auto" w:fill="auto"/>
            <w:noWrap/>
            <w:vAlign w:val="bottom"/>
            <w:hideMark/>
          </w:tcPr>
          <w:p w14:paraId="27007FD2"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320</w:t>
            </w:r>
          </w:p>
        </w:tc>
      </w:tr>
      <w:tr w:rsidR="00446F88" w:rsidRPr="00446F88" w14:paraId="7C610B0C" w14:textId="77777777" w:rsidTr="00446F88">
        <w:trPr>
          <w:trHeight w:val="225"/>
        </w:trPr>
        <w:tc>
          <w:tcPr>
            <w:tcW w:w="2962" w:type="dxa"/>
            <w:tcBorders>
              <w:top w:val="nil"/>
              <w:left w:val="nil"/>
              <w:bottom w:val="nil"/>
              <w:right w:val="nil"/>
            </w:tcBorders>
            <w:shd w:val="clear" w:color="auto" w:fill="auto"/>
            <w:noWrap/>
            <w:vAlign w:val="bottom"/>
            <w:hideMark/>
          </w:tcPr>
          <w:p w14:paraId="4A172056" w14:textId="77777777" w:rsidR="00446F88" w:rsidRPr="00446F88" w:rsidRDefault="00446F88" w:rsidP="00446F88">
            <w:pPr>
              <w:spacing w:after="0"/>
              <w:ind w:firstLineChars="200" w:firstLine="320"/>
              <w:rPr>
                <w:rFonts w:ascii="Arial" w:hAnsi="Arial" w:cs="Arial"/>
                <w:sz w:val="16"/>
                <w:szCs w:val="16"/>
              </w:rPr>
            </w:pPr>
            <w:r w:rsidRPr="00446F88">
              <w:rPr>
                <w:rFonts w:ascii="Arial" w:hAnsi="Arial" w:cs="Arial"/>
                <w:sz w:val="16"/>
                <w:szCs w:val="16"/>
              </w:rPr>
              <w:t>Other</w:t>
            </w:r>
          </w:p>
        </w:tc>
        <w:tc>
          <w:tcPr>
            <w:tcW w:w="905" w:type="dxa"/>
            <w:tcBorders>
              <w:top w:val="nil"/>
              <w:left w:val="nil"/>
              <w:bottom w:val="nil"/>
              <w:right w:val="nil"/>
            </w:tcBorders>
            <w:shd w:val="clear" w:color="auto" w:fill="auto"/>
            <w:noWrap/>
            <w:vAlign w:val="bottom"/>
            <w:hideMark/>
          </w:tcPr>
          <w:p w14:paraId="74405C2E"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107</w:t>
            </w:r>
          </w:p>
        </w:tc>
        <w:tc>
          <w:tcPr>
            <w:tcW w:w="810" w:type="dxa"/>
            <w:tcBorders>
              <w:top w:val="nil"/>
              <w:left w:val="nil"/>
              <w:bottom w:val="nil"/>
              <w:right w:val="nil"/>
            </w:tcBorders>
            <w:shd w:val="clear" w:color="000000" w:fill="D9D9D9"/>
            <w:noWrap/>
            <w:vAlign w:val="bottom"/>
            <w:hideMark/>
          </w:tcPr>
          <w:p w14:paraId="641D41DA"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133</w:t>
            </w:r>
          </w:p>
        </w:tc>
        <w:tc>
          <w:tcPr>
            <w:tcW w:w="821" w:type="dxa"/>
            <w:tcBorders>
              <w:top w:val="nil"/>
              <w:left w:val="nil"/>
              <w:bottom w:val="nil"/>
              <w:right w:val="nil"/>
            </w:tcBorders>
            <w:shd w:val="clear" w:color="auto" w:fill="auto"/>
            <w:noWrap/>
            <w:vAlign w:val="bottom"/>
            <w:hideMark/>
          </w:tcPr>
          <w:p w14:paraId="51742CD3"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133</w:t>
            </w:r>
          </w:p>
        </w:tc>
        <w:tc>
          <w:tcPr>
            <w:tcW w:w="821" w:type="dxa"/>
            <w:tcBorders>
              <w:top w:val="nil"/>
              <w:left w:val="nil"/>
              <w:bottom w:val="nil"/>
              <w:right w:val="nil"/>
            </w:tcBorders>
            <w:shd w:val="clear" w:color="auto" w:fill="auto"/>
            <w:noWrap/>
            <w:vAlign w:val="bottom"/>
            <w:hideMark/>
          </w:tcPr>
          <w:p w14:paraId="70E87251"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133</w:t>
            </w:r>
          </w:p>
        </w:tc>
        <w:tc>
          <w:tcPr>
            <w:tcW w:w="821" w:type="dxa"/>
            <w:tcBorders>
              <w:top w:val="nil"/>
              <w:left w:val="nil"/>
              <w:bottom w:val="nil"/>
              <w:right w:val="nil"/>
            </w:tcBorders>
            <w:shd w:val="clear" w:color="auto" w:fill="auto"/>
            <w:noWrap/>
            <w:vAlign w:val="bottom"/>
            <w:hideMark/>
          </w:tcPr>
          <w:p w14:paraId="20767B33"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133</w:t>
            </w:r>
          </w:p>
        </w:tc>
      </w:tr>
      <w:tr w:rsidR="00446F88" w:rsidRPr="00446F88" w14:paraId="7DDD8955" w14:textId="77777777" w:rsidTr="00446F88">
        <w:trPr>
          <w:trHeight w:val="225"/>
        </w:trPr>
        <w:tc>
          <w:tcPr>
            <w:tcW w:w="2962" w:type="dxa"/>
            <w:tcBorders>
              <w:top w:val="nil"/>
              <w:left w:val="nil"/>
              <w:bottom w:val="nil"/>
              <w:right w:val="nil"/>
            </w:tcBorders>
            <w:shd w:val="clear" w:color="auto" w:fill="auto"/>
            <w:noWrap/>
            <w:vAlign w:val="bottom"/>
            <w:hideMark/>
          </w:tcPr>
          <w:p w14:paraId="31F1BC0D" w14:textId="77777777" w:rsidR="00446F88" w:rsidRPr="00446F88" w:rsidRDefault="00446F88" w:rsidP="00446F88">
            <w:pPr>
              <w:spacing w:after="0"/>
              <w:ind w:firstLineChars="200" w:firstLine="320"/>
              <w:rPr>
                <w:rFonts w:ascii="Arial" w:hAnsi="Arial" w:cs="Arial"/>
                <w:b/>
                <w:bCs/>
                <w:sz w:val="16"/>
                <w:szCs w:val="16"/>
              </w:rPr>
            </w:pPr>
            <w:r w:rsidRPr="00446F88">
              <w:rPr>
                <w:rFonts w:ascii="Arial" w:hAnsi="Arial" w:cs="Arial"/>
                <w:b/>
                <w:bCs/>
                <w:sz w:val="16"/>
                <w:szCs w:val="16"/>
              </w:rPr>
              <w:t>Total non-financial assets</w:t>
            </w:r>
          </w:p>
        </w:tc>
        <w:tc>
          <w:tcPr>
            <w:tcW w:w="905" w:type="dxa"/>
            <w:tcBorders>
              <w:top w:val="nil"/>
              <w:left w:val="nil"/>
              <w:bottom w:val="single" w:sz="4" w:space="0" w:color="auto"/>
              <w:right w:val="nil"/>
            </w:tcBorders>
            <w:shd w:val="clear" w:color="auto" w:fill="auto"/>
            <w:noWrap/>
            <w:vAlign w:val="bottom"/>
            <w:hideMark/>
          </w:tcPr>
          <w:p w14:paraId="21C81FC2"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1,009</w:t>
            </w:r>
          </w:p>
        </w:tc>
        <w:tc>
          <w:tcPr>
            <w:tcW w:w="810" w:type="dxa"/>
            <w:tcBorders>
              <w:top w:val="nil"/>
              <w:left w:val="nil"/>
              <w:bottom w:val="single" w:sz="4" w:space="0" w:color="auto"/>
              <w:right w:val="nil"/>
            </w:tcBorders>
            <w:shd w:val="clear" w:color="000000" w:fill="D9D9D9"/>
            <w:noWrap/>
            <w:vAlign w:val="bottom"/>
            <w:hideMark/>
          </w:tcPr>
          <w:p w14:paraId="15771192"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630</w:t>
            </w:r>
          </w:p>
        </w:tc>
        <w:tc>
          <w:tcPr>
            <w:tcW w:w="821" w:type="dxa"/>
            <w:tcBorders>
              <w:top w:val="nil"/>
              <w:left w:val="nil"/>
              <w:bottom w:val="single" w:sz="4" w:space="0" w:color="auto"/>
              <w:right w:val="nil"/>
            </w:tcBorders>
            <w:shd w:val="clear" w:color="000000" w:fill="FFFFFF"/>
            <w:noWrap/>
            <w:vAlign w:val="bottom"/>
            <w:hideMark/>
          </w:tcPr>
          <w:p w14:paraId="13E9DB71"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1,248</w:t>
            </w:r>
          </w:p>
        </w:tc>
        <w:tc>
          <w:tcPr>
            <w:tcW w:w="821" w:type="dxa"/>
            <w:tcBorders>
              <w:top w:val="nil"/>
              <w:left w:val="nil"/>
              <w:bottom w:val="single" w:sz="4" w:space="0" w:color="auto"/>
              <w:right w:val="nil"/>
            </w:tcBorders>
            <w:shd w:val="clear" w:color="000000" w:fill="FFFFFF"/>
            <w:noWrap/>
            <w:vAlign w:val="bottom"/>
            <w:hideMark/>
          </w:tcPr>
          <w:p w14:paraId="0D9449E2"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876</w:t>
            </w:r>
          </w:p>
        </w:tc>
        <w:tc>
          <w:tcPr>
            <w:tcW w:w="821" w:type="dxa"/>
            <w:tcBorders>
              <w:top w:val="nil"/>
              <w:left w:val="nil"/>
              <w:bottom w:val="single" w:sz="4" w:space="0" w:color="auto"/>
              <w:right w:val="nil"/>
            </w:tcBorders>
            <w:shd w:val="clear" w:color="000000" w:fill="FFFFFF"/>
            <w:noWrap/>
            <w:vAlign w:val="bottom"/>
            <w:hideMark/>
          </w:tcPr>
          <w:p w14:paraId="0CE30FB0"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1,245</w:t>
            </w:r>
          </w:p>
        </w:tc>
      </w:tr>
      <w:tr w:rsidR="00446F88" w:rsidRPr="00446F88" w14:paraId="70608502" w14:textId="77777777" w:rsidTr="00446F88">
        <w:trPr>
          <w:trHeight w:val="225"/>
        </w:trPr>
        <w:tc>
          <w:tcPr>
            <w:tcW w:w="2962" w:type="dxa"/>
            <w:tcBorders>
              <w:top w:val="nil"/>
              <w:left w:val="nil"/>
              <w:bottom w:val="nil"/>
              <w:right w:val="nil"/>
            </w:tcBorders>
            <w:shd w:val="clear" w:color="auto" w:fill="auto"/>
            <w:noWrap/>
            <w:vAlign w:val="bottom"/>
            <w:hideMark/>
          </w:tcPr>
          <w:p w14:paraId="36EA7D23" w14:textId="77777777" w:rsidR="00446F88" w:rsidRPr="00446F88" w:rsidRDefault="00446F88" w:rsidP="00446F88">
            <w:pPr>
              <w:spacing w:after="0"/>
              <w:ind w:leftChars="75" w:left="143"/>
              <w:rPr>
                <w:rFonts w:ascii="Arial" w:hAnsi="Arial" w:cs="Arial"/>
                <w:b/>
                <w:bCs/>
                <w:sz w:val="16"/>
                <w:szCs w:val="16"/>
              </w:rPr>
            </w:pPr>
            <w:r w:rsidRPr="00446F88">
              <w:rPr>
                <w:rFonts w:ascii="Arial" w:hAnsi="Arial" w:cs="Arial"/>
                <w:b/>
                <w:bCs/>
                <w:sz w:val="16"/>
                <w:szCs w:val="16"/>
              </w:rPr>
              <w:t>Total assets</w:t>
            </w:r>
          </w:p>
        </w:tc>
        <w:tc>
          <w:tcPr>
            <w:tcW w:w="905" w:type="dxa"/>
            <w:tcBorders>
              <w:top w:val="nil"/>
              <w:left w:val="nil"/>
              <w:bottom w:val="single" w:sz="4" w:space="0" w:color="auto"/>
              <w:right w:val="nil"/>
            </w:tcBorders>
            <w:shd w:val="clear" w:color="auto" w:fill="auto"/>
            <w:noWrap/>
            <w:vAlign w:val="bottom"/>
            <w:hideMark/>
          </w:tcPr>
          <w:p w14:paraId="5CCF79E9"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4,594</w:t>
            </w:r>
          </w:p>
        </w:tc>
        <w:tc>
          <w:tcPr>
            <w:tcW w:w="810" w:type="dxa"/>
            <w:tcBorders>
              <w:top w:val="nil"/>
              <w:left w:val="nil"/>
              <w:bottom w:val="single" w:sz="4" w:space="0" w:color="auto"/>
              <w:right w:val="nil"/>
            </w:tcBorders>
            <w:shd w:val="clear" w:color="000000" w:fill="D9D9D9"/>
            <w:noWrap/>
            <w:vAlign w:val="bottom"/>
            <w:hideMark/>
          </w:tcPr>
          <w:p w14:paraId="1E84C374"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4,553</w:t>
            </w:r>
          </w:p>
        </w:tc>
        <w:tc>
          <w:tcPr>
            <w:tcW w:w="821" w:type="dxa"/>
            <w:tcBorders>
              <w:top w:val="nil"/>
              <w:left w:val="nil"/>
              <w:bottom w:val="single" w:sz="4" w:space="0" w:color="auto"/>
              <w:right w:val="nil"/>
            </w:tcBorders>
            <w:shd w:val="clear" w:color="auto" w:fill="auto"/>
            <w:noWrap/>
            <w:vAlign w:val="bottom"/>
            <w:hideMark/>
          </w:tcPr>
          <w:p w14:paraId="664AEA84"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4,834</w:t>
            </w:r>
          </w:p>
        </w:tc>
        <w:tc>
          <w:tcPr>
            <w:tcW w:w="821" w:type="dxa"/>
            <w:tcBorders>
              <w:top w:val="nil"/>
              <w:left w:val="nil"/>
              <w:bottom w:val="single" w:sz="4" w:space="0" w:color="auto"/>
              <w:right w:val="nil"/>
            </w:tcBorders>
            <w:shd w:val="clear" w:color="auto" w:fill="auto"/>
            <w:noWrap/>
            <w:vAlign w:val="bottom"/>
            <w:hideMark/>
          </w:tcPr>
          <w:p w14:paraId="6313BEB1"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4,462</w:t>
            </w:r>
          </w:p>
        </w:tc>
        <w:tc>
          <w:tcPr>
            <w:tcW w:w="821" w:type="dxa"/>
            <w:tcBorders>
              <w:top w:val="nil"/>
              <w:left w:val="nil"/>
              <w:bottom w:val="single" w:sz="4" w:space="0" w:color="auto"/>
              <w:right w:val="nil"/>
            </w:tcBorders>
            <w:shd w:val="clear" w:color="auto" w:fill="auto"/>
            <w:noWrap/>
            <w:vAlign w:val="bottom"/>
            <w:hideMark/>
          </w:tcPr>
          <w:p w14:paraId="078765FE"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4,831</w:t>
            </w:r>
          </w:p>
        </w:tc>
      </w:tr>
      <w:tr w:rsidR="00446F88" w:rsidRPr="00446F88" w14:paraId="5E90D860" w14:textId="77777777" w:rsidTr="00446F88">
        <w:trPr>
          <w:trHeight w:val="300"/>
        </w:trPr>
        <w:tc>
          <w:tcPr>
            <w:tcW w:w="2962" w:type="dxa"/>
            <w:tcBorders>
              <w:top w:val="nil"/>
              <w:left w:val="nil"/>
              <w:bottom w:val="nil"/>
              <w:right w:val="nil"/>
            </w:tcBorders>
            <w:shd w:val="clear" w:color="auto" w:fill="auto"/>
            <w:noWrap/>
            <w:vAlign w:val="bottom"/>
            <w:hideMark/>
          </w:tcPr>
          <w:p w14:paraId="41DB7F5C" w14:textId="77777777" w:rsidR="00446F88" w:rsidRPr="00446F88" w:rsidRDefault="00446F88" w:rsidP="00446F88">
            <w:pPr>
              <w:spacing w:after="0"/>
              <w:rPr>
                <w:rFonts w:ascii="Arial" w:hAnsi="Arial" w:cs="Arial"/>
                <w:b/>
                <w:bCs/>
                <w:sz w:val="16"/>
                <w:szCs w:val="16"/>
              </w:rPr>
            </w:pPr>
            <w:r w:rsidRPr="00446F88">
              <w:rPr>
                <w:rFonts w:ascii="Arial" w:hAnsi="Arial" w:cs="Arial"/>
                <w:b/>
                <w:bCs/>
                <w:sz w:val="16"/>
                <w:szCs w:val="16"/>
              </w:rPr>
              <w:t>LIABILITIES</w:t>
            </w:r>
          </w:p>
        </w:tc>
        <w:tc>
          <w:tcPr>
            <w:tcW w:w="905" w:type="dxa"/>
            <w:tcBorders>
              <w:top w:val="nil"/>
              <w:left w:val="nil"/>
              <w:bottom w:val="nil"/>
              <w:right w:val="nil"/>
            </w:tcBorders>
            <w:shd w:val="clear" w:color="auto" w:fill="auto"/>
            <w:noWrap/>
            <w:vAlign w:val="bottom"/>
            <w:hideMark/>
          </w:tcPr>
          <w:p w14:paraId="1CB1B9FA" w14:textId="77777777" w:rsidR="00446F88" w:rsidRPr="00446F88" w:rsidRDefault="00446F88" w:rsidP="00446F88">
            <w:pPr>
              <w:spacing w:after="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69385F38"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32A9D869" w14:textId="77777777" w:rsidR="00446F88" w:rsidRPr="00446F88" w:rsidRDefault="00446F88" w:rsidP="00446F8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38E011A8" w14:textId="77777777" w:rsidR="00446F88" w:rsidRPr="00446F88" w:rsidRDefault="00446F88" w:rsidP="00446F88">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071227E3" w14:textId="77777777" w:rsidR="00446F88" w:rsidRPr="00446F88" w:rsidRDefault="00446F88" w:rsidP="00446F88">
            <w:pPr>
              <w:spacing w:after="0"/>
              <w:jc w:val="right"/>
              <w:rPr>
                <w:rFonts w:ascii="Times New Roman" w:hAnsi="Times New Roman"/>
                <w:color w:val="auto"/>
                <w:sz w:val="20"/>
              </w:rPr>
            </w:pPr>
          </w:p>
        </w:tc>
      </w:tr>
      <w:tr w:rsidR="00446F88" w:rsidRPr="00446F88" w14:paraId="0BB8EC05" w14:textId="77777777" w:rsidTr="00446F88">
        <w:trPr>
          <w:trHeight w:val="225"/>
        </w:trPr>
        <w:tc>
          <w:tcPr>
            <w:tcW w:w="2962" w:type="dxa"/>
            <w:tcBorders>
              <w:top w:val="nil"/>
              <w:left w:val="nil"/>
              <w:bottom w:val="nil"/>
              <w:right w:val="nil"/>
            </w:tcBorders>
            <w:shd w:val="clear" w:color="auto" w:fill="auto"/>
            <w:noWrap/>
            <w:vAlign w:val="bottom"/>
            <w:hideMark/>
          </w:tcPr>
          <w:p w14:paraId="75C9BB74" w14:textId="77777777" w:rsidR="00446F88" w:rsidRPr="00446F88" w:rsidRDefault="00446F88" w:rsidP="00446F88">
            <w:pPr>
              <w:spacing w:after="0"/>
              <w:ind w:firstLineChars="100" w:firstLine="160"/>
              <w:rPr>
                <w:rFonts w:ascii="Arial" w:hAnsi="Arial" w:cs="Arial"/>
                <w:b/>
                <w:bCs/>
                <w:sz w:val="16"/>
                <w:szCs w:val="16"/>
              </w:rPr>
            </w:pPr>
            <w:r w:rsidRPr="00446F88">
              <w:rPr>
                <w:rFonts w:ascii="Arial" w:hAnsi="Arial" w:cs="Arial"/>
                <w:b/>
                <w:bCs/>
                <w:sz w:val="16"/>
                <w:szCs w:val="16"/>
              </w:rPr>
              <w:t>Payables</w:t>
            </w:r>
          </w:p>
        </w:tc>
        <w:tc>
          <w:tcPr>
            <w:tcW w:w="905" w:type="dxa"/>
            <w:tcBorders>
              <w:top w:val="nil"/>
              <w:left w:val="nil"/>
              <w:bottom w:val="nil"/>
              <w:right w:val="nil"/>
            </w:tcBorders>
            <w:shd w:val="clear" w:color="auto" w:fill="auto"/>
            <w:noWrap/>
            <w:vAlign w:val="bottom"/>
            <w:hideMark/>
          </w:tcPr>
          <w:p w14:paraId="57295683" w14:textId="77777777" w:rsidR="00446F88" w:rsidRPr="00446F88" w:rsidRDefault="00446F88" w:rsidP="00446F88">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67E8C5B7"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67F5ED6C" w14:textId="77777777" w:rsidR="00446F88" w:rsidRPr="00446F88" w:rsidRDefault="00446F88" w:rsidP="00446F8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60A2304F" w14:textId="77777777" w:rsidR="00446F88" w:rsidRPr="00446F88" w:rsidRDefault="00446F88" w:rsidP="00446F88">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49242C01" w14:textId="77777777" w:rsidR="00446F88" w:rsidRPr="00446F88" w:rsidRDefault="00446F88" w:rsidP="00446F88">
            <w:pPr>
              <w:spacing w:after="0"/>
              <w:jc w:val="right"/>
              <w:rPr>
                <w:rFonts w:ascii="Times New Roman" w:hAnsi="Times New Roman"/>
                <w:color w:val="auto"/>
                <w:sz w:val="20"/>
              </w:rPr>
            </w:pPr>
          </w:p>
        </w:tc>
      </w:tr>
      <w:tr w:rsidR="00446F88" w:rsidRPr="00446F88" w14:paraId="7EB70247" w14:textId="77777777" w:rsidTr="00446F88">
        <w:trPr>
          <w:trHeight w:val="225"/>
        </w:trPr>
        <w:tc>
          <w:tcPr>
            <w:tcW w:w="2962" w:type="dxa"/>
            <w:tcBorders>
              <w:top w:val="nil"/>
              <w:left w:val="nil"/>
              <w:bottom w:val="nil"/>
              <w:right w:val="nil"/>
            </w:tcBorders>
            <w:shd w:val="clear" w:color="auto" w:fill="auto"/>
            <w:noWrap/>
            <w:vAlign w:val="bottom"/>
            <w:hideMark/>
          </w:tcPr>
          <w:p w14:paraId="5043447F" w14:textId="77777777" w:rsidR="00446F88" w:rsidRPr="00446F88" w:rsidRDefault="00446F88" w:rsidP="00446F88">
            <w:pPr>
              <w:spacing w:after="0"/>
              <w:ind w:firstLineChars="200" w:firstLine="320"/>
              <w:rPr>
                <w:rFonts w:ascii="Arial" w:hAnsi="Arial" w:cs="Arial"/>
                <w:sz w:val="16"/>
                <w:szCs w:val="16"/>
              </w:rPr>
            </w:pPr>
            <w:r w:rsidRPr="00446F88">
              <w:rPr>
                <w:rFonts w:ascii="Arial" w:hAnsi="Arial" w:cs="Arial"/>
                <w:sz w:val="16"/>
                <w:szCs w:val="16"/>
              </w:rPr>
              <w:t>Suppliers</w:t>
            </w:r>
          </w:p>
        </w:tc>
        <w:tc>
          <w:tcPr>
            <w:tcW w:w="905" w:type="dxa"/>
            <w:tcBorders>
              <w:top w:val="nil"/>
              <w:left w:val="nil"/>
              <w:bottom w:val="nil"/>
              <w:right w:val="nil"/>
            </w:tcBorders>
            <w:shd w:val="clear" w:color="auto" w:fill="auto"/>
            <w:noWrap/>
            <w:vAlign w:val="bottom"/>
            <w:hideMark/>
          </w:tcPr>
          <w:p w14:paraId="3FA79D52"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151</w:t>
            </w:r>
          </w:p>
        </w:tc>
        <w:tc>
          <w:tcPr>
            <w:tcW w:w="810" w:type="dxa"/>
            <w:tcBorders>
              <w:top w:val="nil"/>
              <w:left w:val="nil"/>
              <w:bottom w:val="nil"/>
              <w:right w:val="nil"/>
            </w:tcBorders>
            <w:shd w:val="clear" w:color="000000" w:fill="D9D9D9"/>
            <w:noWrap/>
            <w:vAlign w:val="bottom"/>
            <w:hideMark/>
          </w:tcPr>
          <w:p w14:paraId="1C4B1CD2"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151</w:t>
            </w:r>
          </w:p>
        </w:tc>
        <w:tc>
          <w:tcPr>
            <w:tcW w:w="821" w:type="dxa"/>
            <w:tcBorders>
              <w:top w:val="nil"/>
              <w:left w:val="nil"/>
              <w:bottom w:val="nil"/>
              <w:right w:val="nil"/>
            </w:tcBorders>
            <w:shd w:val="clear" w:color="auto" w:fill="auto"/>
            <w:noWrap/>
            <w:vAlign w:val="bottom"/>
            <w:hideMark/>
          </w:tcPr>
          <w:p w14:paraId="089D6974"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151</w:t>
            </w:r>
          </w:p>
        </w:tc>
        <w:tc>
          <w:tcPr>
            <w:tcW w:w="821" w:type="dxa"/>
            <w:tcBorders>
              <w:top w:val="nil"/>
              <w:left w:val="nil"/>
              <w:bottom w:val="nil"/>
              <w:right w:val="nil"/>
            </w:tcBorders>
            <w:shd w:val="clear" w:color="auto" w:fill="auto"/>
            <w:noWrap/>
            <w:vAlign w:val="bottom"/>
            <w:hideMark/>
          </w:tcPr>
          <w:p w14:paraId="19E32D5B"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151</w:t>
            </w:r>
          </w:p>
        </w:tc>
        <w:tc>
          <w:tcPr>
            <w:tcW w:w="821" w:type="dxa"/>
            <w:tcBorders>
              <w:top w:val="nil"/>
              <w:left w:val="nil"/>
              <w:bottom w:val="nil"/>
              <w:right w:val="nil"/>
            </w:tcBorders>
            <w:shd w:val="clear" w:color="auto" w:fill="auto"/>
            <w:noWrap/>
            <w:vAlign w:val="bottom"/>
            <w:hideMark/>
          </w:tcPr>
          <w:p w14:paraId="3B4FC7F6"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151</w:t>
            </w:r>
          </w:p>
        </w:tc>
      </w:tr>
      <w:tr w:rsidR="00446F88" w:rsidRPr="00446F88" w14:paraId="6397A695" w14:textId="77777777" w:rsidTr="00446F88">
        <w:trPr>
          <w:trHeight w:val="225"/>
        </w:trPr>
        <w:tc>
          <w:tcPr>
            <w:tcW w:w="2962" w:type="dxa"/>
            <w:tcBorders>
              <w:top w:val="nil"/>
              <w:left w:val="nil"/>
              <w:bottom w:val="nil"/>
              <w:right w:val="nil"/>
            </w:tcBorders>
            <w:shd w:val="clear" w:color="auto" w:fill="auto"/>
            <w:noWrap/>
            <w:vAlign w:val="bottom"/>
            <w:hideMark/>
          </w:tcPr>
          <w:p w14:paraId="4DDF5CCC" w14:textId="77777777" w:rsidR="00446F88" w:rsidRPr="00446F88" w:rsidRDefault="00446F88" w:rsidP="00446F88">
            <w:pPr>
              <w:spacing w:after="0"/>
              <w:ind w:firstLineChars="200" w:firstLine="320"/>
              <w:rPr>
                <w:rFonts w:ascii="Arial" w:hAnsi="Arial" w:cs="Arial"/>
                <w:sz w:val="16"/>
                <w:szCs w:val="16"/>
              </w:rPr>
            </w:pPr>
            <w:r w:rsidRPr="00446F88">
              <w:rPr>
                <w:rFonts w:ascii="Arial" w:hAnsi="Arial" w:cs="Arial"/>
                <w:sz w:val="16"/>
                <w:szCs w:val="16"/>
              </w:rPr>
              <w:t>Other payables</w:t>
            </w:r>
          </w:p>
        </w:tc>
        <w:tc>
          <w:tcPr>
            <w:tcW w:w="905" w:type="dxa"/>
            <w:tcBorders>
              <w:top w:val="nil"/>
              <w:left w:val="nil"/>
              <w:bottom w:val="nil"/>
              <w:right w:val="nil"/>
            </w:tcBorders>
            <w:shd w:val="clear" w:color="auto" w:fill="auto"/>
            <w:noWrap/>
            <w:vAlign w:val="bottom"/>
            <w:hideMark/>
          </w:tcPr>
          <w:p w14:paraId="0CF7D375"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341</w:t>
            </w:r>
          </w:p>
        </w:tc>
        <w:tc>
          <w:tcPr>
            <w:tcW w:w="810" w:type="dxa"/>
            <w:tcBorders>
              <w:top w:val="nil"/>
              <w:left w:val="nil"/>
              <w:bottom w:val="nil"/>
              <w:right w:val="nil"/>
            </w:tcBorders>
            <w:shd w:val="clear" w:color="000000" w:fill="D9D9D9"/>
            <w:noWrap/>
            <w:vAlign w:val="bottom"/>
            <w:hideMark/>
          </w:tcPr>
          <w:p w14:paraId="1A77DEB6"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341</w:t>
            </w:r>
          </w:p>
        </w:tc>
        <w:tc>
          <w:tcPr>
            <w:tcW w:w="821" w:type="dxa"/>
            <w:tcBorders>
              <w:top w:val="nil"/>
              <w:left w:val="nil"/>
              <w:bottom w:val="nil"/>
              <w:right w:val="nil"/>
            </w:tcBorders>
            <w:shd w:val="clear" w:color="auto" w:fill="auto"/>
            <w:noWrap/>
            <w:vAlign w:val="bottom"/>
            <w:hideMark/>
          </w:tcPr>
          <w:p w14:paraId="03A7B03B"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341</w:t>
            </w:r>
          </w:p>
        </w:tc>
        <w:tc>
          <w:tcPr>
            <w:tcW w:w="821" w:type="dxa"/>
            <w:tcBorders>
              <w:top w:val="nil"/>
              <w:left w:val="nil"/>
              <w:bottom w:val="nil"/>
              <w:right w:val="nil"/>
            </w:tcBorders>
            <w:shd w:val="clear" w:color="auto" w:fill="auto"/>
            <w:noWrap/>
            <w:vAlign w:val="bottom"/>
            <w:hideMark/>
          </w:tcPr>
          <w:p w14:paraId="53207F2E"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341</w:t>
            </w:r>
          </w:p>
        </w:tc>
        <w:tc>
          <w:tcPr>
            <w:tcW w:w="821" w:type="dxa"/>
            <w:tcBorders>
              <w:top w:val="nil"/>
              <w:left w:val="nil"/>
              <w:bottom w:val="nil"/>
              <w:right w:val="nil"/>
            </w:tcBorders>
            <w:shd w:val="clear" w:color="auto" w:fill="auto"/>
            <w:noWrap/>
            <w:vAlign w:val="bottom"/>
            <w:hideMark/>
          </w:tcPr>
          <w:p w14:paraId="20BBE6F2"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341</w:t>
            </w:r>
          </w:p>
        </w:tc>
      </w:tr>
      <w:tr w:rsidR="00446F88" w:rsidRPr="00446F88" w14:paraId="3E350B53" w14:textId="77777777" w:rsidTr="00446F88">
        <w:trPr>
          <w:trHeight w:val="225"/>
        </w:trPr>
        <w:tc>
          <w:tcPr>
            <w:tcW w:w="2962" w:type="dxa"/>
            <w:tcBorders>
              <w:top w:val="nil"/>
              <w:left w:val="nil"/>
              <w:bottom w:val="nil"/>
              <w:right w:val="nil"/>
            </w:tcBorders>
            <w:shd w:val="clear" w:color="auto" w:fill="auto"/>
            <w:noWrap/>
            <w:vAlign w:val="bottom"/>
            <w:hideMark/>
          </w:tcPr>
          <w:p w14:paraId="4BDE85B5" w14:textId="77777777" w:rsidR="00446F88" w:rsidRPr="00446F88" w:rsidRDefault="00446F88" w:rsidP="00446F88">
            <w:pPr>
              <w:spacing w:after="0"/>
              <w:ind w:firstLineChars="200" w:firstLine="320"/>
              <w:rPr>
                <w:rFonts w:ascii="Arial" w:hAnsi="Arial" w:cs="Arial"/>
                <w:b/>
                <w:bCs/>
                <w:sz w:val="16"/>
                <w:szCs w:val="16"/>
              </w:rPr>
            </w:pPr>
            <w:r w:rsidRPr="00446F88">
              <w:rPr>
                <w:rFonts w:ascii="Arial" w:hAnsi="Arial" w:cs="Arial"/>
                <w:b/>
                <w:bCs/>
                <w:sz w:val="16"/>
                <w:szCs w:val="16"/>
              </w:rPr>
              <w:t>Total payables</w:t>
            </w:r>
          </w:p>
        </w:tc>
        <w:tc>
          <w:tcPr>
            <w:tcW w:w="905" w:type="dxa"/>
            <w:tcBorders>
              <w:top w:val="nil"/>
              <w:left w:val="nil"/>
              <w:bottom w:val="single" w:sz="4" w:space="0" w:color="auto"/>
              <w:right w:val="nil"/>
            </w:tcBorders>
            <w:shd w:val="clear" w:color="auto" w:fill="auto"/>
            <w:noWrap/>
            <w:vAlign w:val="bottom"/>
            <w:hideMark/>
          </w:tcPr>
          <w:p w14:paraId="32BC59F4"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492</w:t>
            </w:r>
          </w:p>
        </w:tc>
        <w:tc>
          <w:tcPr>
            <w:tcW w:w="810" w:type="dxa"/>
            <w:tcBorders>
              <w:top w:val="nil"/>
              <w:left w:val="nil"/>
              <w:bottom w:val="single" w:sz="4" w:space="0" w:color="auto"/>
              <w:right w:val="nil"/>
            </w:tcBorders>
            <w:shd w:val="clear" w:color="000000" w:fill="D9D9D9"/>
            <w:noWrap/>
            <w:vAlign w:val="bottom"/>
            <w:hideMark/>
          </w:tcPr>
          <w:p w14:paraId="7ED3C060"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492</w:t>
            </w:r>
          </w:p>
        </w:tc>
        <w:tc>
          <w:tcPr>
            <w:tcW w:w="821" w:type="dxa"/>
            <w:tcBorders>
              <w:top w:val="nil"/>
              <w:left w:val="nil"/>
              <w:bottom w:val="single" w:sz="4" w:space="0" w:color="auto"/>
              <w:right w:val="nil"/>
            </w:tcBorders>
            <w:shd w:val="clear" w:color="auto" w:fill="auto"/>
            <w:noWrap/>
            <w:vAlign w:val="bottom"/>
            <w:hideMark/>
          </w:tcPr>
          <w:p w14:paraId="1C8821CE"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492</w:t>
            </w:r>
          </w:p>
        </w:tc>
        <w:tc>
          <w:tcPr>
            <w:tcW w:w="821" w:type="dxa"/>
            <w:tcBorders>
              <w:top w:val="nil"/>
              <w:left w:val="nil"/>
              <w:bottom w:val="single" w:sz="4" w:space="0" w:color="auto"/>
              <w:right w:val="nil"/>
            </w:tcBorders>
            <w:shd w:val="clear" w:color="auto" w:fill="auto"/>
            <w:noWrap/>
            <w:vAlign w:val="bottom"/>
            <w:hideMark/>
          </w:tcPr>
          <w:p w14:paraId="2D85AA4A"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492</w:t>
            </w:r>
          </w:p>
        </w:tc>
        <w:tc>
          <w:tcPr>
            <w:tcW w:w="821" w:type="dxa"/>
            <w:tcBorders>
              <w:top w:val="nil"/>
              <w:left w:val="nil"/>
              <w:bottom w:val="single" w:sz="4" w:space="0" w:color="auto"/>
              <w:right w:val="nil"/>
            </w:tcBorders>
            <w:shd w:val="clear" w:color="auto" w:fill="auto"/>
            <w:noWrap/>
            <w:vAlign w:val="bottom"/>
            <w:hideMark/>
          </w:tcPr>
          <w:p w14:paraId="7BE2932C"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492</w:t>
            </w:r>
          </w:p>
        </w:tc>
      </w:tr>
      <w:tr w:rsidR="00446F88" w:rsidRPr="00446F88" w14:paraId="155B29FD" w14:textId="77777777" w:rsidTr="00446F88">
        <w:trPr>
          <w:trHeight w:val="300"/>
        </w:trPr>
        <w:tc>
          <w:tcPr>
            <w:tcW w:w="2962" w:type="dxa"/>
            <w:tcBorders>
              <w:top w:val="nil"/>
              <w:left w:val="nil"/>
              <w:bottom w:val="nil"/>
              <w:right w:val="nil"/>
            </w:tcBorders>
            <w:shd w:val="clear" w:color="auto" w:fill="auto"/>
            <w:noWrap/>
            <w:vAlign w:val="bottom"/>
            <w:hideMark/>
          </w:tcPr>
          <w:p w14:paraId="1400513D" w14:textId="77777777" w:rsidR="00446F88" w:rsidRPr="00446F88" w:rsidRDefault="00446F88" w:rsidP="00446F88">
            <w:pPr>
              <w:spacing w:after="0"/>
              <w:ind w:firstLineChars="100" w:firstLine="160"/>
              <w:rPr>
                <w:rFonts w:ascii="Arial" w:hAnsi="Arial" w:cs="Arial"/>
                <w:b/>
                <w:bCs/>
                <w:sz w:val="16"/>
                <w:szCs w:val="16"/>
              </w:rPr>
            </w:pPr>
            <w:r w:rsidRPr="00446F88">
              <w:rPr>
                <w:rFonts w:ascii="Arial" w:hAnsi="Arial" w:cs="Arial"/>
                <w:b/>
                <w:bCs/>
                <w:sz w:val="16"/>
                <w:szCs w:val="16"/>
              </w:rPr>
              <w:t>Interest bearing liabilities</w:t>
            </w:r>
          </w:p>
        </w:tc>
        <w:tc>
          <w:tcPr>
            <w:tcW w:w="905" w:type="dxa"/>
            <w:tcBorders>
              <w:top w:val="nil"/>
              <w:left w:val="nil"/>
              <w:bottom w:val="nil"/>
              <w:right w:val="nil"/>
            </w:tcBorders>
            <w:shd w:val="clear" w:color="auto" w:fill="auto"/>
            <w:noWrap/>
            <w:vAlign w:val="bottom"/>
            <w:hideMark/>
          </w:tcPr>
          <w:p w14:paraId="6B393BB8" w14:textId="77777777" w:rsidR="00446F88" w:rsidRPr="00446F88" w:rsidRDefault="00446F88" w:rsidP="00446F88">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0DB4E248"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6F598EF0" w14:textId="77777777" w:rsidR="00446F88" w:rsidRPr="00446F88" w:rsidRDefault="00446F88" w:rsidP="00446F8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9CD8286" w14:textId="77777777" w:rsidR="00446F88" w:rsidRPr="00446F88" w:rsidRDefault="00446F88" w:rsidP="00446F88">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3C1539E7" w14:textId="77777777" w:rsidR="00446F88" w:rsidRPr="00446F88" w:rsidRDefault="00446F88" w:rsidP="00446F88">
            <w:pPr>
              <w:spacing w:after="0"/>
              <w:jc w:val="right"/>
              <w:rPr>
                <w:rFonts w:ascii="Times New Roman" w:hAnsi="Times New Roman"/>
                <w:color w:val="auto"/>
                <w:sz w:val="20"/>
              </w:rPr>
            </w:pPr>
          </w:p>
        </w:tc>
      </w:tr>
      <w:tr w:rsidR="00446F88" w:rsidRPr="00446F88" w14:paraId="33866CD1" w14:textId="77777777" w:rsidTr="00446F88">
        <w:trPr>
          <w:trHeight w:val="225"/>
        </w:trPr>
        <w:tc>
          <w:tcPr>
            <w:tcW w:w="2962" w:type="dxa"/>
            <w:tcBorders>
              <w:top w:val="nil"/>
              <w:left w:val="nil"/>
              <w:bottom w:val="nil"/>
              <w:right w:val="nil"/>
            </w:tcBorders>
            <w:shd w:val="clear" w:color="auto" w:fill="auto"/>
            <w:noWrap/>
            <w:vAlign w:val="bottom"/>
            <w:hideMark/>
          </w:tcPr>
          <w:p w14:paraId="656684EE" w14:textId="77777777" w:rsidR="00446F88" w:rsidRPr="00446F88" w:rsidRDefault="00446F88" w:rsidP="00446F88">
            <w:pPr>
              <w:spacing w:after="0"/>
              <w:ind w:firstLineChars="200" w:firstLine="320"/>
              <w:rPr>
                <w:rFonts w:ascii="Arial" w:hAnsi="Arial" w:cs="Arial"/>
                <w:sz w:val="16"/>
                <w:szCs w:val="16"/>
              </w:rPr>
            </w:pPr>
            <w:r w:rsidRPr="00446F88">
              <w:rPr>
                <w:rFonts w:ascii="Arial" w:hAnsi="Arial" w:cs="Arial"/>
                <w:sz w:val="16"/>
                <w:szCs w:val="16"/>
              </w:rPr>
              <w:t>Leases</w:t>
            </w:r>
          </w:p>
        </w:tc>
        <w:tc>
          <w:tcPr>
            <w:tcW w:w="905" w:type="dxa"/>
            <w:tcBorders>
              <w:top w:val="nil"/>
              <w:left w:val="nil"/>
              <w:bottom w:val="nil"/>
              <w:right w:val="nil"/>
            </w:tcBorders>
            <w:shd w:val="clear" w:color="auto" w:fill="auto"/>
            <w:noWrap/>
            <w:vAlign w:val="bottom"/>
            <w:hideMark/>
          </w:tcPr>
          <w:p w14:paraId="29069D3E"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434</w:t>
            </w:r>
          </w:p>
        </w:tc>
        <w:tc>
          <w:tcPr>
            <w:tcW w:w="810" w:type="dxa"/>
            <w:tcBorders>
              <w:top w:val="nil"/>
              <w:left w:val="nil"/>
              <w:bottom w:val="nil"/>
              <w:right w:val="nil"/>
            </w:tcBorders>
            <w:shd w:val="clear" w:color="000000" w:fill="D9D9D9"/>
            <w:noWrap/>
            <w:vAlign w:val="bottom"/>
            <w:hideMark/>
          </w:tcPr>
          <w:p w14:paraId="7DCB13E2"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145</w:t>
            </w:r>
          </w:p>
        </w:tc>
        <w:tc>
          <w:tcPr>
            <w:tcW w:w="821" w:type="dxa"/>
            <w:tcBorders>
              <w:top w:val="nil"/>
              <w:left w:val="nil"/>
              <w:bottom w:val="nil"/>
              <w:right w:val="nil"/>
            </w:tcBorders>
            <w:shd w:val="clear" w:color="auto" w:fill="auto"/>
            <w:noWrap/>
            <w:vAlign w:val="bottom"/>
            <w:hideMark/>
          </w:tcPr>
          <w:p w14:paraId="72C6C66D"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544</w:t>
            </w:r>
          </w:p>
        </w:tc>
        <w:tc>
          <w:tcPr>
            <w:tcW w:w="821" w:type="dxa"/>
            <w:tcBorders>
              <w:top w:val="nil"/>
              <w:left w:val="nil"/>
              <w:bottom w:val="nil"/>
              <w:right w:val="nil"/>
            </w:tcBorders>
            <w:shd w:val="clear" w:color="auto" w:fill="auto"/>
            <w:noWrap/>
            <w:vAlign w:val="bottom"/>
            <w:hideMark/>
          </w:tcPr>
          <w:p w14:paraId="4EB73138"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264</w:t>
            </w:r>
          </w:p>
        </w:tc>
        <w:tc>
          <w:tcPr>
            <w:tcW w:w="821" w:type="dxa"/>
            <w:tcBorders>
              <w:top w:val="nil"/>
              <w:left w:val="nil"/>
              <w:bottom w:val="nil"/>
              <w:right w:val="nil"/>
            </w:tcBorders>
            <w:shd w:val="clear" w:color="auto" w:fill="auto"/>
            <w:noWrap/>
            <w:vAlign w:val="bottom"/>
            <w:hideMark/>
          </w:tcPr>
          <w:p w14:paraId="64E8014A"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721</w:t>
            </w:r>
          </w:p>
        </w:tc>
      </w:tr>
      <w:tr w:rsidR="00446F88" w:rsidRPr="00446F88" w14:paraId="31D9F7AC" w14:textId="77777777" w:rsidTr="00446F88">
        <w:trPr>
          <w:trHeight w:val="225"/>
        </w:trPr>
        <w:tc>
          <w:tcPr>
            <w:tcW w:w="2962" w:type="dxa"/>
            <w:tcBorders>
              <w:top w:val="nil"/>
              <w:left w:val="nil"/>
              <w:bottom w:val="nil"/>
              <w:right w:val="nil"/>
            </w:tcBorders>
            <w:shd w:val="clear" w:color="auto" w:fill="auto"/>
            <w:noWrap/>
            <w:vAlign w:val="bottom"/>
            <w:hideMark/>
          </w:tcPr>
          <w:p w14:paraId="47096E35" w14:textId="77777777" w:rsidR="00446F88" w:rsidRPr="00446F88" w:rsidRDefault="00446F88" w:rsidP="00446F88">
            <w:pPr>
              <w:spacing w:after="0"/>
              <w:ind w:firstLineChars="200" w:firstLine="320"/>
              <w:rPr>
                <w:rFonts w:ascii="Arial" w:hAnsi="Arial" w:cs="Arial"/>
                <w:b/>
                <w:bCs/>
                <w:sz w:val="16"/>
                <w:szCs w:val="16"/>
              </w:rPr>
            </w:pPr>
            <w:r w:rsidRPr="00446F88">
              <w:rPr>
                <w:rFonts w:ascii="Arial" w:hAnsi="Arial" w:cs="Arial"/>
                <w:b/>
                <w:bCs/>
                <w:sz w:val="16"/>
                <w:szCs w:val="16"/>
              </w:rPr>
              <w:t>Total interest bearing liabilities</w:t>
            </w:r>
          </w:p>
        </w:tc>
        <w:tc>
          <w:tcPr>
            <w:tcW w:w="905" w:type="dxa"/>
            <w:tcBorders>
              <w:top w:val="nil"/>
              <w:left w:val="nil"/>
              <w:bottom w:val="single" w:sz="4" w:space="0" w:color="auto"/>
              <w:right w:val="nil"/>
            </w:tcBorders>
            <w:shd w:val="clear" w:color="auto" w:fill="auto"/>
            <w:noWrap/>
            <w:vAlign w:val="bottom"/>
            <w:hideMark/>
          </w:tcPr>
          <w:p w14:paraId="4FD5D0C1"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434</w:t>
            </w:r>
          </w:p>
        </w:tc>
        <w:tc>
          <w:tcPr>
            <w:tcW w:w="810" w:type="dxa"/>
            <w:tcBorders>
              <w:top w:val="nil"/>
              <w:left w:val="nil"/>
              <w:bottom w:val="single" w:sz="4" w:space="0" w:color="auto"/>
              <w:right w:val="nil"/>
            </w:tcBorders>
            <w:shd w:val="clear" w:color="000000" w:fill="D9D9D9"/>
            <w:noWrap/>
            <w:vAlign w:val="bottom"/>
            <w:hideMark/>
          </w:tcPr>
          <w:p w14:paraId="58B64C5C"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145</w:t>
            </w:r>
          </w:p>
        </w:tc>
        <w:tc>
          <w:tcPr>
            <w:tcW w:w="821" w:type="dxa"/>
            <w:tcBorders>
              <w:top w:val="nil"/>
              <w:left w:val="nil"/>
              <w:bottom w:val="single" w:sz="4" w:space="0" w:color="auto"/>
              <w:right w:val="nil"/>
            </w:tcBorders>
            <w:shd w:val="clear" w:color="auto" w:fill="auto"/>
            <w:noWrap/>
            <w:vAlign w:val="bottom"/>
            <w:hideMark/>
          </w:tcPr>
          <w:p w14:paraId="649C53DD"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544</w:t>
            </w:r>
          </w:p>
        </w:tc>
        <w:tc>
          <w:tcPr>
            <w:tcW w:w="821" w:type="dxa"/>
            <w:tcBorders>
              <w:top w:val="nil"/>
              <w:left w:val="nil"/>
              <w:bottom w:val="single" w:sz="4" w:space="0" w:color="auto"/>
              <w:right w:val="nil"/>
            </w:tcBorders>
            <w:shd w:val="clear" w:color="auto" w:fill="auto"/>
            <w:noWrap/>
            <w:vAlign w:val="bottom"/>
            <w:hideMark/>
          </w:tcPr>
          <w:p w14:paraId="5C4A3B72"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264</w:t>
            </w:r>
          </w:p>
        </w:tc>
        <w:tc>
          <w:tcPr>
            <w:tcW w:w="821" w:type="dxa"/>
            <w:tcBorders>
              <w:top w:val="nil"/>
              <w:left w:val="nil"/>
              <w:bottom w:val="single" w:sz="4" w:space="0" w:color="auto"/>
              <w:right w:val="nil"/>
            </w:tcBorders>
            <w:shd w:val="clear" w:color="auto" w:fill="auto"/>
            <w:noWrap/>
            <w:vAlign w:val="bottom"/>
            <w:hideMark/>
          </w:tcPr>
          <w:p w14:paraId="26D76F6A"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721</w:t>
            </w:r>
          </w:p>
        </w:tc>
      </w:tr>
      <w:tr w:rsidR="00446F88" w:rsidRPr="00446F88" w14:paraId="6FFCDCE5" w14:textId="77777777" w:rsidTr="00446F88">
        <w:trPr>
          <w:trHeight w:val="300"/>
        </w:trPr>
        <w:tc>
          <w:tcPr>
            <w:tcW w:w="2962" w:type="dxa"/>
            <w:tcBorders>
              <w:top w:val="nil"/>
              <w:left w:val="nil"/>
              <w:bottom w:val="nil"/>
              <w:right w:val="nil"/>
            </w:tcBorders>
            <w:shd w:val="clear" w:color="auto" w:fill="auto"/>
            <w:noWrap/>
            <w:vAlign w:val="bottom"/>
            <w:hideMark/>
          </w:tcPr>
          <w:p w14:paraId="11FF43E0" w14:textId="77777777" w:rsidR="00446F88" w:rsidRPr="00446F88" w:rsidRDefault="00446F88" w:rsidP="00446F88">
            <w:pPr>
              <w:spacing w:after="0"/>
              <w:ind w:firstLineChars="100" w:firstLine="160"/>
              <w:rPr>
                <w:rFonts w:ascii="Arial" w:hAnsi="Arial" w:cs="Arial"/>
                <w:b/>
                <w:bCs/>
                <w:sz w:val="16"/>
                <w:szCs w:val="16"/>
              </w:rPr>
            </w:pPr>
            <w:r w:rsidRPr="00446F88">
              <w:rPr>
                <w:rFonts w:ascii="Arial" w:hAnsi="Arial" w:cs="Arial"/>
                <w:b/>
                <w:bCs/>
                <w:sz w:val="16"/>
                <w:szCs w:val="16"/>
              </w:rPr>
              <w:t>Provisions</w:t>
            </w:r>
          </w:p>
        </w:tc>
        <w:tc>
          <w:tcPr>
            <w:tcW w:w="905" w:type="dxa"/>
            <w:tcBorders>
              <w:top w:val="nil"/>
              <w:left w:val="nil"/>
              <w:bottom w:val="nil"/>
              <w:right w:val="nil"/>
            </w:tcBorders>
            <w:shd w:val="clear" w:color="auto" w:fill="auto"/>
            <w:noWrap/>
            <w:vAlign w:val="bottom"/>
            <w:hideMark/>
          </w:tcPr>
          <w:p w14:paraId="08DB994F" w14:textId="77777777" w:rsidR="00446F88" w:rsidRPr="00446F88" w:rsidRDefault="00446F88" w:rsidP="00446F88">
            <w:pPr>
              <w:spacing w:after="0"/>
              <w:ind w:firstLineChars="100" w:firstLine="16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6B951043"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509DCCC1" w14:textId="77777777" w:rsidR="00446F88" w:rsidRPr="00446F88" w:rsidRDefault="00446F88" w:rsidP="00446F8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50C4F00A" w14:textId="77777777" w:rsidR="00446F88" w:rsidRPr="00446F88" w:rsidRDefault="00446F88" w:rsidP="00446F88">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2E398700" w14:textId="77777777" w:rsidR="00446F88" w:rsidRPr="00446F88" w:rsidRDefault="00446F88" w:rsidP="00446F88">
            <w:pPr>
              <w:spacing w:after="0"/>
              <w:jc w:val="right"/>
              <w:rPr>
                <w:rFonts w:ascii="Times New Roman" w:hAnsi="Times New Roman"/>
                <w:color w:val="auto"/>
                <w:sz w:val="20"/>
              </w:rPr>
            </w:pPr>
          </w:p>
        </w:tc>
      </w:tr>
      <w:tr w:rsidR="00446F88" w:rsidRPr="00446F88" w14:paraId="48961C16" w14:textId="77777777" w:rsidTr="00446F88">
        <w:trPr>
          <w:trHeight w:val="225"/>
        </w:trPr>
        <w:tc>
          <w:tcPr>
            <w:tcW w:w="2962" w:type="dxa"/>
            <w:tcBorders>
              <w:top w:val="nil"/>
              <w:left w:val="nil"/>
              <w:bottom w:val="nil"/>
              <w:right w:val="nil"/>
            </w:tcBorders>
            <w:shd w:val="clear" w:color="auto" w:fill="auto"/>
            <w:noWrap/>
            <w:vAlign w:val="bottom"/>
            <w:hideMark/>
          </w:tcPr>
          <w:p w14:paraId="52B32B7C" w14:textId="77777777" w:rsidR="00446F88" w:rsidRPr="00446F88" w:rsidRDefault="00446F88" w:rsidP="00446F88">
            <w:pPr>
              <w:spacing w:after="0"/>
              <w:ind w:firstLineChars="200" w:firstLine="320"/>
              <w:rPr>
                <w:rFonts w:ascii="Arial" w:hAnsi="Arial" w:cs="Arial"/>
                <w:sz w:val="16"/>
                <w:szCs w:val="16"/>
              </w:rPr>
            </w:pPr>
            <w:r w:rsidRPr="00446F88">
              <w:rPr>
                <w:rFonts w:ascii="Arial" w:hAnsi="Arial" w:cs="Arial"/>
                <w:sz w:val="16"/>
                <w:szCs w:val="16"/>
              </w:rPr>
              <w:t>Employees</w:t>
            </w:r>
          </w:p>
        </w:tc>
        <w:tc>
          <w:tcPr>
            <w:tcW w:w="905" w:type="dxa"/>
            <w:tcBorders>
              <w:top w:val="nil"/>
              <w:left w:val="nil"/>
              <w:bottom w:val="nil"/>
              <w:right w:val="nil"/>
            </w:tcBorders>
            <w:shd w:val="clear" w:color="auto" w:fill="auto"/>
            <w:noWrap/>
            <w:vAlign w:val="bottom"/>
            <w:hideMark/>
          </w:tcPr>
          <w:p w14:paraId="3E981C46"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990</w:t>
            </w:r>
          </w:p>
        </w:tc>
        <w:tc>
          <w:tcPr>
            <w:tcW w:w="810" w:type="dxa"/>
            <w:tcBorders>
              <w:top w:val="nil"/>
              <w:left w:val="nil"/>
              <w:bottom w:val="nil"/>
              <w:right w:val="nil"/>
            </w:tcBorders>
            <w:shd w:val="clear" w:color="000000" w:fill="D9D9D9"/>
            <w:noWrap/>
            <w:vAlign w:val="bottom"/>
            <w:hideMark/>
          </w:tcPr>
          <w:p w14:paraId="6C81764E"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990</w:t>
            </w:r>
          </w:p>
        </w:tc>
        <w:tc>
          <w:tcPr>
            <w:tcW w:w="821" w:type="dxa"/>
            <w:tcBorders>
              <w:top w:val="nil"/>
              <w:left w:val="nil"/>
              <w:bottom w:val="nil"/>
              <w:right w:val="nil"/>
            </w:tcBorders>
            <w:shd w:val="clear" w:color="auto" w:fill="auto"/>
            <w:noWrap/>
            <w:vAlign w:val="bottom"/>
            <w:hideMark/>
          </w:tcPr>
          <w:p w14:paraId="3DA4761D"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990</w:t>
            </w:r>
          </w:p>
        </w:tc>
        <w:tc>
          <w:tcPr>
            <w:tcW w:w="821" w:type="dxa"/>
            <w:tcBorders>
              <w:top w:val="nil"/>
              <w:left w:val="nil"/>
              <w:bottom w:val="nil"/>
              <w:right w:val="nil"/>
            </w:tcBorders>
            <w:shd w:val="clear" w:color="auto" w:fill="auto"/>
            <w:noWrap/>
            <w:vAlign w:val="bottom"/>
            <w:hideMark/>
          </w:tcPr>
          <w:p w14:paraId="6954000A"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990</w:t>
            </w:r>
          </w:p>
        </w:tc>
        <w:tc>
          <w:tcPr>
            <w:tcW w:w="821" w:type="dxa"/>
            <w:tcBorders>
              <w:top w:val="nil"/>
              <w:left w:val="nil"/>
              <w:bottom w:val="nil"/>
              <w:right w:val="nil"/>
            </w:tcBorders>
            <w:shd w:val="clear" w:color="auto" w:fill="auto"/>
            <w:noWrap/>
            <w:vAlign w:val="bottom"/>
            <w:hideMark/>
          </w:tcPr>
          <w:p w14:paraId="569260BD"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990</w:t>
            </w:r>
          </w:p>
        </w:tc>
      </w:tr>
      <w:tr w:rsidR="00446F88" w:rsidRPr="00446F88" w14:paraId="47207DAC" w14:textId="77777777" w:rsidTr="00446F88">
        <w:trPr>
          <w:trHeight w:val="225"/>
        </w:trPr>
        <w:tc>
          <w:tcPr>
            <w:tcW w:w="2962" w:type="dxa"/>
            <w:tcBorders>
              <w:top w:val="nil"/>
              <w:left w:val="nil"/>
              <w:bottom w:val="nil"/>
              <w:right w:val="nil"/>
            </w:tcBorders>
            <w:shd w:val="clear" w:color="auto" w:fill="auto"/>
            <w:noWrap/>
            <w:vAlign w:val="bottom"/>
            <w:hideMark/>
          </w:tcPr>
          <w:p w14:paraId="41C04146" w14:textId="77777777" w:rsidR="00446F88" w:rsidRPr="00446F88" w:rsidRDefault="00446F88" w:rsidP="00446F88">
            <w:pPr>
              <w:spacing w:after="0"/>
              <w:ind w:firstLineChars="200" w:firstLine="320"/>
              <w:rPr>
                <w:rFonts w:ascii="Arial" w:hAnsi="Arial" w:cs="Arial"/>
                <w:b/>
                <w:bCs/>
                <w:sz w:val="16"/>
                <w:szCs w:val="16"/>
              </w:rPr>
            </w:pPr>
            <w:r w:rsidRPr="00446F88">
              <w:rPr>
                <w:rFonts w:ascii="Arial" w:hAnsi="Arial" w:cs="Arial"/>
                <w:b/>
                <w:bCs/>
                <w:sz w:val="16"/>
                <w:szCs w:val="16"/>
              </w:rPr>
              <w:t>Total provisions</w:t>
            </w:r>
          </w:p>
        </w:tc>
        <w:tc>
          <w:tcPr>
            <w:tcW w:w="905" w:type="dxa"/>
            <w:tcBorders>
              <w:top w:val="nil"/>
              <w:left w:val="nil"/>
              <w:bottom w:val="single" w:sz="4" w:space="0" w:color="auto"/>
              <w:right w:val="nil"/>
            </w:tcBorders>
            <w:shd w:val="clear" w:color="auto" w:fill="auto"/>
            <w:noWrap/>
            <w:vAlign w:val="bottom"/>
            <w:hideMark/>
          </w:tcPr>
          <w:p w14:paraId="0794E6A3"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990</w:t>
            </w:r>
          </w:p>
        </w:tc>
        <w:tc>
          <w:tcPr>
            <w:tcW w:w="810" w:type="dxa"/>
            <w:tcBorders>
              <w:top w:val="nil"/>
              <w:left w:val="nil"/>
              <w:bottom w:val="single" w:sz="4" w:space="0" w:color="auto"/>
              <w:right w:val="nil"/>
            </w:tcBorders>
            <w:shd w:val="clear" w:color="000000" w:fill="D9D9D9"/>
            <w:noWrap/>
            <w:vAlign w:val="bottom"/>
            <w:hideMark/>
          </w:tcPr>
          <w:p w14:paraId="7660A446"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990</w:t>
            </w:r>
          </w:p>
        </w:tc>
        <w:tc>
          <w:tcPr>
            <w:tcW w:w="821" w:type="dxa"/>
            <w:tcBorders>
              <w:top w:val="nil"/>
              <w:left w:val="nil"/>
              <w:bottom w:val="single" w:sz="4" w:space="0" w:color="auto"/>
              <w:right w:val="nil"/>
            </w:tcBorders>
            <w:shd w:val="clear" w:color="auto" w:fill="auto"/>
            <w:noWrap/>
            <w:vAlign w:val="bottom"/>
            <w:hideMark/>
          </w:tcPr>
          <w:p w14:paraId="748AFFF2"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990</w:t>
            </w:r>
          </w:p>
        </w:tc>
        <w:tc>
          <w:tcPr>
            <w:tcW w:w="821" w:type="dxa"/>
            <w:tcBorders>
              <w:top w:val="nil"/>
              <w:left w:val="nil"/>
              <w:bottom w:val="single" w:sz="4" w:space="0" w:color="auto"/>
              <w:right w:val="nil"/>
            </w:tcBorders>
            <w:shd w:val="clear" w:color="auto" w:fill="auto"/>
            <w:noWrap/>
            <w:vAlign w:val="bottom"/>
            <w:hideMark/>
          </w:tcPr>
          <w:p w14:paraId="1389E41F"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990</w:t>
            </w:r>
          </w:p>
        </w:tc>
        <w:tc>
          <w:tcPr>
            <w:tcW w:w="821" w:type="dxa"/>
            <w:tcBorders>
              <w:top w:val="nil"/>
              <w:left w:val="nil"/>
              <w:bottom w:val="single" w:sz="4" w:space="0" w:color="auto"/>
              <w:right w:val="nil"/>
            </w:tcBorders>
            <w:shd w:val="clear" w:color="auto" w:fill="auto"/>
            <w:noWrap/>
            <w:vAlign w:val="bottom"/>
            <w:hideMark/>
          </w:tcPr>
          <w:p w14:paraId="2C0140D2"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990</w:t>
            </w:r>
          </w:p>
        </w:tc>
      </w:tr>
      <w:tr w:rsidR="00446F88" w:rsidRPr="00446F88" w14:paraId="0A7CF11C" w14:textId="77777777" w:rsidTr="00446F88">
        <w:trPr>
          <w:trHeight w:val="225"/>
        </w:trPr>
        <w:tc>
          <w:tcPr>
            <w:tcW w:w="2962" w:type="dxa"/>
            <w:tcBorders>
              <w:top w:val="nil"/>
              <w:left w:val="nil"/>
              <w:bottom w:val="nil"/>
              <w:right w:val="nil"/>
            </w:tcBorders>
            <w:shd w:val="clear" w:color="auto" w:fill="auto"/>
            <w:noWrap/>
            <w:vAlign w:val="bottom"/>
            <w:hideMark/>
          </w:tcPr>
          <w:p w14:paraId="448210F7" w14:textId="77777777" w:rsidR="00446F88" w:rsidRPr="00446F88" w:rsidRDefault="00446F88" w:rsidP="00446F88">
            <w:pPr>
              <w:spacing w:after="0"/>
              <w:ind w:leftChars="75" w:left="143"/>
              <w:rPr>
                <w:rFonts w:ascii="Arial" w:hAnsi="Arial" w:cs="Arial"/>
                <w:b/>
                <w:bCs/>
                <w:sz w:val="16"/>
                <w:szCs w:val="16"/>
              </w:rPr>
            </w:pPr>
            <w:r w:rsidRPr="00446F88">
              <w:rPr>
                <w:rFonts w:ascii="Arial" w:hAnsi="Arial" w:cs="Arial"/>
                <w:b/>
                <w:bCs/>
                <w:sz w:val="16"/>
                <w:szCs w:val="16"/>
              </w:rPr>
              <w:t>Total liabilities</w:t>
            </w:r>
          </w:p>
        </w:tc>
        <w:tc>
          <w:tcPr>
            <w:tcW w:w="905" w:type="dxa"/>
            <w:tcBorders>
              <w:top w:val="nil"/>
              <w:left w:val="nil"/>
              <w:bottom w:val="single" w:sz="4" w:space="0" w:color="auto"/>
              <w:right w:val="nil"/>
            </w:tcBorders>
            <w:shd w:val="clear" w:color="auto" w:fill="auto"/>
            <w:noWrap/>
            <w:vAlign w:val="bottom"/>
            <w:hideMark/>
          </w:tcPr>
          <w:p w14:paraId="4CD1B9A2"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1,916</w:t>
            </w:r>
          </w:p>
        </w:tc>
        <w:tc>
          <w:tcPr>
            <w:tcW w:w="810" w:type="dxa"/>
            <w:tcBorders>
              <w:top w:val="nil"/>
              <w:left w:val="nil"/>
              <w:bottom w:val="single" w:sz="4" w:space="0" w:color="auto"/>
              <w:right w:val="nil"/>
            </w:tcBorders>
            <w:shd w:val="clear" w:color="000000" w:fill="D9D9D9"/>
            <w:noWrap/>
            <w:vAlign w:val="bottom"/>
            <w:hideMark/>
          </w:tcPr>
          <w:p w14:paraId="24CB56E4"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1,627</w:t>
            </w:r>
          </w:p>
        </w:tc>
        <w:tc>
          <w:tcPr>
            <w:tcW w:w="821" w:type="dxa"/>
            <w:tcBorders>
              <w:top w:val="nil"/>
              <w:left w:val="nil"/>
              <w:bottom w:val="single" w:sz="4" w:space="0" w:color="auto"/>
              <w:right w:val="nil"/>
            </w:tcBorders>
            <w:shd w:val="clear" w:color="auto" w:fill="auto"/>
            <w:noWrap/>
            <w:vAlign w:val="bottom"/>
            <w:hideMark/>
          </w:tcPr>
          <w:p w14:paraId="27D136E8"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2,026</w:t>
            </w:r>
          </w:p>
        </w:tc>
        <w:tc>
          <w:tcPr>
            <w:tcW w:w="821" w:type="dxa"/>
            <w:tcBorders>
              <w:top w:val="nil"/>
              <w:left w:val="nil"/>
              <w:bottom w:val="single" w:sz="4" w:space="0" w:color="auto"/>
              <w:right w:val="nil"/>
            </w:tcBorders>
            <w:shd w:val="clear" w:color="auto" w:fill="auto"/>
            <w:noWrap/>
            <w:vAlign w:val="bottom"/>
            <w:hideMark/>
          </w:tcPr>
          <w:p w14:paraId="20342019"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1,746</w:t>
            </w:r>
          </w:p>
        </w:tc>
        <w:tc>
          <w:tcPr>
            <w:tcW w:w="821" w:type="dxa"/>
            <w:tcBorders>
              <w:top w:val="nil"/>
              <w:left w:val="nil"/>
              <w:bottom w:val="single" w:sz="4" w:space="0" w:color="auto"/>
              <w:right w:val="nil"/>
            </w:tcBorders>
            <w:shd w:val="clear" w:color="auto" w:fill="auto"/>
            <w:noWrap/>
            <w:vAlign w:val="bottom"/>
            <w:hideMark/>
          </w:tcPr>
          <w:p w14:paraId="0AC0334E"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2,203</w:t>
            </w:r>
          </w:p>
        </w:tc>
      </w:tr>
      <w:tr w:rsidR="00446F88" w:rsidRPr="00446F88" w14:paraId="24230198" w14:textId="77777777" w:rsidTr="00446F88">
        <w:trPr>
          <w:trHeight w:val="300"/>
        </w:trPr>
        <w:tc>
          <w:tcPr>
            <w:tcW w:w="2962" w:type="dxa"/>
            <w:tcBorders>
              <w:top w:val="nil"/>
              <w:left w:val="nil"/>
              <w:bottom w:val="nil"/>
              <w:right w:val="nil"/>
            </w:tcBorders>
            <w:shd w:val="clear" w:color="auto" w:fill="auto"/>
            <w:noWrap/>
            <w:vAlign w:val="bottom"/>
            <w:hideMark/>
          </w:tcPr>
          <w:p w14:paraId="763A745E" w14:textId="77777777" w:rsidR="00446F88" w:rsidRPr="00446F88" w:rsidRDefault="00446F88" w:rsidP="00446F88">
            <w:pPr>
              <w:spacing w:after="0"/>
              <w:rPr>
                <w:rFonts w:ascii="Arial" w:hAnsi="Arial" w:cs="Arial"/>
                <w:b/>
                <w:bCs/>
                <w:sz w:val="16"/>
                <w:szCs w:val="16"/>
              </w:rPr>
            </w:pPr>
            <w:r w:rsidRPr="00446F88">
              <w:rPr>
                <w:rFonts w:ascii="Arial" w:hAnsi="Arial" w:cs="Arial"/>
                <w:b/>
                <w:bCs/>
                <w:sz w:val="16"/>
                <w:szCs w:val="16"/>
              </w:rPr>
              <w:t>Net Assets</w:t>
            </w:r>
          </w:p>
        </w:tc>
        <w:tc>
          <w:tcPr>
            <w:tcW w:w="905" w:type="dxa"/>
            <w:tcBorders>
              <w:top w:val="nil"/>
              <w:left w:val="nil"/>
              <w:bottom w:val="single" w:sz="4" w:space="0" w:color="auto"/>
              <w:right w:val="nil"/>
            </w:tcBorders>
            <w:shd w:val="clear" w:color="auto" w:fill="auto"/>
            <w:noWrap/>
            <w:vAlign w:val="bottom"/>
            <w:hideMark/>
          </w:tcPr>
          <w:p w14:paraId="3B8F3901"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2,678</w:t>
            </w:r>
          </w:p>
        </w:tc>
        <w:tc>
          <w:tcPr>
            <w:tcW w:w="810" w:type="dxa"/>
            <w:tcBorders>
              <w:top w:val="nil"/>
              <w:left w:val="nil"/>
              <w:bottom w:val="single" w:sz="4" w:space="0" w:color="auto"/>
              <w:right w:val="nil"/>
            </w:tcBorders>
            <w:shd w:val="clear" w:color="000000" w:fill="D9D9D9"/>
            <w:noWrap/>
            <w:vAlign w:val="bottom"/>
            <w:hideMark/>
          </w:tcPr>
          <w:p w14:paraId="008AA2C6"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2,926</w:t>
            </w:r>
          </w:p>
        </w:tc>
        <w:tc>
          <w:tcPr>
            <w:tcW w:w="821" w:type="dxa"/>
            <w:tcBorders>
              <w:top w:val="nil"/>
              <w:left w:val="nil"/>
              <w:bottom w:val="single" w:sz="4" w:space="0" w:color="auto"/>
              <w:right w:val="nil"/>
            </w:tcBorders>
            <w:shd w:val="clear" w:color="auto" w:fill="auto"/>
            <w:noWrap/>
            <w:vAlign w:val="bottom"/>
            <w:hideMark/>
          </w:tcPr>
          <w:p w14:paraId="61933D60"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2,808</w:t>
            </w:r>
          </w:p>
        </w:tc>
        <w:tc>
          <w:tcPr>
            <w:tcW w:w="821" w:type="dxa"/>
            <w:tcBorders>
              <w:top w:val="nil"/>
              <w:left w:val="nil"/>
              <w:bottom w:val="single" w:sz="4" w:space="0" w:color="auto"/>
              <w:right w:val="nil"/>
            </w:tcBorders>
            <w:shd w:val="clear" w:color="auto" w:fill="auto"/>
            <w:noWrap/>
            <w:vAlign w:val="bottom"/>
            <w:hideMark/>
          </w:tcPr>
          <w:p w14:paraId="68A67599"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2,716</w:t>
            </w:r>
          </w:p>
        </w:tc>
        <w:tc>
          <w:tcPr>
            <w:tcW w:w="821" w:type="dxa"/>
            <w:tcBorders>
              <w:top w:val="nil"/>
              <w:left w:val="nil"/>
              <w:bottom w:val="single" w:sz="4" w:space="0" w:color="auto"/>
              <w:right w:val="nil"/>
            </w:tcBorders>
            <w:shd w:val="clear" w:color="auto" w:fill="auto"/>
            <w:noWrap/>
            <w:vAlign w:val="bottom"/>
            <w:hideMark/>
          </w:tcPr>
          <w:p w14:paraId="54FA5F33"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2,628</w:t>
            </w:r>
          </w:p>
        </w:tc>
      </w:tr>
      <w:tr w:rsidR="00446F88" w:rsidRPr="00446F88" w14:paraId="18FA068A" w14:textId="77777777" w:rsidTr="00446F88">
        <w:trPr>
          <w:trHeight w:val="300"/>
        </w:trPr>
        <w:tc>
          <w:tcPr>
            <w:tcW w:w="2962" w:type="dxa"/>
            <w:tcBorders>
              <w:top w:val="nil"/>
              <w:left w:val="nil"/>
              <w:bottom w:val="nil"/>
              <w:right w:val="nil"/>
            </w:tcBorders>
            <w:shd w:val="clear" w:color="auto" w:fill="auto"/>
            <w:noWrap/>
            <w:vAlign w:val="bottom"/>
            <w:hideMark/>
          </w:tcPr>
          <w:p w14:paraId="6E00E46E" w14:textId="77777777" w:rsidR="00446F88" w:rsidRPr="00446F88" w:rsidRDefault="00446F88" w:rsidP="00446F88">
            <w:pPr>
              <w:spacing w:after="0"/>
              <w:rPr>
                <w:rFonts w:ascii="Arial" w:hAnsi="Arial" w:cs="Arial"/>
                <w:b/>
                <w:bCs/>
                <w:sz w:val="16"/>
                <w:szCs w:val="16"/>
              </w:rPr>
            </w:pPr>
            <w:r w:rsidRPr="00446F88">
              <w:rPr>
                <w:rFonts w:ascii="Arial" w:hAnsi="Arial" w:cs="Arial"/>
                <w:b/>
                <w:bCs/>
                <w:sz w:val="16"/>
                <w:szCs w:val="16"/>
              </w:rPr>
              <w:t>EQUITY</w:t>
            </w:r>
          </w:p>
        </w:tc>
        <w:tc>
          <w:tcPr>
            <w:tcW w:w="905" w:type="dxa"/>
            <w:tcBorders>
              <w:top w:val="nil"/>
              <w:left w:val="nil"/>
              <w:bottom w:val="nil"/>
              <w:right w:val="nil"/>
            </w:tcBorders>
            <w:shd w:val="clear" w:color="auto" w:fill="auto"/>
            <w:noWrap/>
            <w:vAlign w:val="bottom"/>
            <w:hideMark/>
          </w:tcPr>
          <w:p w14:paraId="3348435A" w14:textId="77777777" w:rsidR="00446F88" w:rsidRPr="00446F88" w:rsidRDefault="00446F88" w:rsidP="00446F88">
            <w:pPr>
              <w:spacing w:after="0"/>
              <w:rPr>
                <w:rFonts w:ascii="Arial" w:hAnsi="Arial" w:cs="Arial"/>
                <w:b/>
                <w:bCs/>
                <w:sz w:val="16"/>
                <w:szCs w:val="16"/>
              </w:rPr>
            </w:pPr>
          </w:p>
        </w:tc>
        <w:tc>
          <w:tcPr>
            <w:tcW w:w="810" w:type="dxa"/>
            <w:tcBorders>
              <w:top w:val="nil"/>
              <w:left w:val="nil"/>
              <w:bottom w:val="nil"/>
              <w:right w:val="nil"/>
            </w:tcBorders>
            <w:shd w:val="clear" w:color="000000" w:fill="D9D9D9"/>
            <w:noWrap/>
            <w:vAlign w:val="bottom"/>
            <w:hideMark/>
          </w:tcPr>
          <w:p w14:paraId="764CA30B"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 </w:t>
            </w:r>
          </w:p>
        </w:tc>
        <w:tc>
          <w:tcPr>
            <w:tcW w:w="821" w:type="dxa"/>
            <w:tcBorders>
              <w:top w:val="nil"/>
              <w:left w:val="nil"/>
              <w:bottom w:val="nil"/>
              <w:right w:val="nil"/>
            </w:tcBorders>
            <w:shd w:val="clear" w:color="auto" w:fill="auto"/>
            <w:noWrap/>
            <w:vAlign w:val="bottom"/>
            <w:hideMark/>
          </w:tcPr>
          <w:p w14:paraId="7517C48B" w14:textId="77777777" w:rsidR="00446F88" w:rsidRPr="00446F88" w:rsidRDefault="00446F88" w:rsidP="00446F88">
            <w:pPr>
              <w:spacing w:after="0"/>
              <w:jc w:val="right"/>
              <w:rPr>
                <w:rFonts w:ascii="Arial" w:hAnsi="Arial" w:cs="Arial"/>
                <w:sz w:val="16"/>
                <w:szCs w:val="16"/>
              </w:rPr>
            </w:pPr>
          </w:p>
        </w:tc>
        <w:tc>
          <w:tcPr>
            <w:tcW w:w="821" w:type="dxa"/>
            <w:tcBorders>
              <w:top w:val="nil"/>
              <w:left w:val="nil"/>
              <w:bottom w:val="nil"/>
              <w:right w:val="nil"/>
            </w:tcBorders>
            <w:shd w:val="clear" w:color="auto" w:fill="auto"/>
            <w:noWrap/>
            <w:vAlign w:val="bottom"/>
            <w:hideMark/>
          </w:tcPr>
          <w:p w14:paraId="2BDC09E6" w14:textId="77777777" w:rsidR="00446F88" w:rsidRPr="00446F88" w:rsidRDefault="00446F88" w:rsidP="00446F88">
            <w:pPr>
              <w:spacing w:after="0"/>
              <w:jc w:val="right"/>
              <w:rPr>
                <w:rFonts w:ascii="Times New Roman" w:hAnsi="Times New Roman"/>
                <w:color w:val="auto"/>
                <w:sz w:val="20"/>
              </w:rPr>
            </w:pPr>
          </w:p>
        </w:tc>
        <w:tc>
          <w:tcPr>
            <w:tcW w:w="821" w:type="dxa"/>
            <w:tcBorders>
              <w:top w:val="nil"/>
              <w:left w:val="nil"/>
              <w:bottom w:val="nil"/>
              <w:right w:val="nil"/>
            </w:tcBorders>
            <w:shd w:val="clear" w:color="auto" w:fill="auto"/>
            <w:noWrap/>
            <w:vAlign w:val="bottom"/>
            <w:hideMark/>
          </w:tcPr>
          <w:p w14:paraId="33748AB5" w14:textId="77777777" w:rsidR="00446F88" w:rsidRPr="00446F88" w:rsidRDefault="00446F88" w:rsidP="00446F88">
            <w:pPr>
              <w:spacing w:after="0"/>
              <w:jc w:val="right"/>
              <w:rPr>
                <w:rFonts w:ascii="Times New Roman" w:hAnsi="Times New Roman"/>
                <w:color w:val="auto"/>
                <w:sz w:val="20"/>
              </w:rPr>
            </w:pPr>
          </w:p>
        </w:tc>
      </w:tr>
      <w:tr w:rsidR="00446F88" w:rsidRPr="00446F88" w14:paraId="31505D44" w14:textId="77777777" w:rsidTr="00446F88">
        <w:trPr>
          <w:trHeight w:val="225"/>
        </w:trPr>
        <w:tc>
          <w:tcPr>
            <w:tcW w:w="2962" w:type="dxa"/>
            <w:tcBorders>
              <w:top w:val="nil"/>
              <w:left w:val="nil"/>
              <w:bottom w:val="nil"/>
              <w:right w:val="nil"/>
            </w:tcBorders>
            <w:shd w:val="clear" w:color="auto" w:fill="auto"/>
            <w:noWrap/>
            <w:vAlign w:val="bottom"/>
            <w:hideMark/>
          </w:tcPr>
          <w:p w14:paraId="4AD9AC3B" w14:textId="77777777" w:rsidR="00446F88" w:rsidRPr="00446F88" w:rsidRDefault="00446F88" w:rsidP="00446F88">
            <w:pPr>
              <w:spacing w:after="0"/>
              <w:ind w:leftChars="75" w:left="143"/>
              <w:rPr>
                <w:rFonts w:ascii="Arial" w:hAnsi="Arial" w:cs="Arial"/>
                <w:sz w:val="16"/>
                <w:szCs w:val="16"/>
              </w:rPr>
            </w:pPr>
            <w:r w:rsidRPr="00446F88">
              <w:rPr>
                <w:rFonts w:ascii="Arial" w:hAnsi="Arial" w:cs="Arial"/>
                <w:sz w:val="16"/>
                <w:szCs w:val="16"/>
              </w:rPr>
              <w:t>Contributed equity</w:t>
            </w:r>
          </w:p>
        </w:tc>
        <w:tc>
          <w:tcPr>
            <w:tcW w:w="905" w:type="dxa"/>
            <w:tcBorders>
              <w:top w:val="nil"/>
              <w:left w:val="nil"/>
              <w:bottom w:val="nil"/>
              <w:right w:val="nil"/>
            </w:tcBorders>
            <w:shd w:val="clear" w:color="auto" w:fill="auto"/>
            <w:noWrap/>
            <w:vAlign w:val="bottom"/>
            <w:hideMark/>
          </w:tcPr>
          <w:p w14:paraId="1BB133F2"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3,941</w:t>
            </w:r>
          </w:p>
        </w:tc>
        <w:tc>
          <w:tcPr>
            <w:tcW w:w="810" w:type="dxa"/>
            <w:tcBorders>
              <w:top w:val="nil"/>
              <w:left w:val="nil"/>
              <w:bottom w:val="nil"/>
              <w:right w:val="nil"/>
            </w:tcBorders>
            <w:shd w:val="clear" w:color="000000" w:fill="D9D9D9"/>
            <w:noWrap/>
            <w:vAlign w:val="bottom"/>
            <w:hideMark/>
          </w:tcPr>
          <w:p w14:paraId="78227C97"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4,205</w:t>
            </w:r>
          </w:p>
        </w:tc>
        <w:tc>
          <w:tcPr>
            <w:tcW w:w="821" w:type="dxa"/>
            <w:tcBorders>
              <w:top w:val="nil"/>
              <w:left w:val="nil"/>
              <w:bottom w:val="nil"/>
              <w:right w:val="nil"/>
            </w:tcBorders>
            <w:shd w:val="clear" w:color="auto" w:fill="auto"/>
            <w:noWrap/>
            <w:vAlign w:val="bottom"/>
            <w:hideMark/>
          </w:tcPr>
          <w:p w14:paraId="5E12971A"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4,470</w:t>
            </w:r>
          </w:p>
        </w:tc>
        <w:tc>
          <w:tcPr>
            <w:tcW w:w="821" w:type="dxa"/>
            <w:tcBorders>
              <w:top w:val="nil"/>
              <w:left w:val="nil"/>
              <w:bottom w:val="nil"/>
              <w:right w:val="nil"/>
            </w:tcBorders>
            <w:shd w:val="clear" w:color="auto" w:fill="auto"/>
            <w:noWrap/>
            <w:vAlign w:val="bottom"/>
            <w:hideMark/>
          </w:tcPr>
          <w:p w14:paraId="0A3BB02B"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4,737</w:t>
            </w:r>
          </w:p>
        </w:tc>
        <w:tc>
          <w:tcPr>
            <w:tcW w:w="821" w:type="dxa"/>
            <w:tcBorders>
              <w:top w:val="nil"/>
              <w:left w:val="nil"/>
              <w:bottom w:val="nil"/>
              <w:right w:val="nil"/>
            </w:tcBorders>
            <w:shd w:val="clear" w:color="auto" w:fill="auto"/>
            <w:noWrap/>
            <w:vAlign w:val="bottom"/>
            <w:hideMark/>
          </w:tcPr>
          <w:p w14:paraId="2EE20E6E"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5,003</w:t>
            </w:r>
          </w:p>
        </w:tc>
      </w:tr>
      <w:tr w:rsidR="00446F88" w:rsidRPr="00446F88" w14:paraId="170D1483" w14:textId="77777777" w:rsidTr="00446F88">
        <w:trPr>
          <w:trHeight w:val="225"/>
        </w:trPr>
        <w:tc>
          <w:tcPr>
            <w:tcW w:w="2962" w:type="dxa"/>
            <w:tcBorders>
              <w:top w:val="nil"/>
              <w:left w:val="nil"/>
              <w:bottom w:val="nil"/>
              <w:right w:val="nil"/>
            </w:tcBorders>
            <w:shd w:val="clear" w:color="auto" w:fill="auto"/>
            <w:noWrap/>
            <w:vAlign w:val="bottom"/>
            <w:hideMark/>
          </w:tcPr>
          <w:p w14:paraId="7316C23B" w14:textId="77777777" w:rsidR="00446F88" w:rsidRPr="00446F88" w:rsidRDefault="00446F88" w:rsidP="00446F88">
            <w:pPr>
              <w:spacing w:after="0"/>
              <w:ind w:leftChars="75" w:left="143"/>
              <w:rPr>
                <w:rFonts w:ascii="Arial" w:hAnsi="Arial" w:cs="Arial"/>
                <w:sz w:val="16"/>
                <w:szCs w:val="16"/>
              </w:rPr>
            </w:pPr>
            <w:r w:rsidRPr="00446F88">
              <w:rPr>
                <w:rFonts w:ascii="Arial" w:hAnsi="Arial" w:cs="Arial"/>
                <w:sz w:val="16"/>
                <w:szCs w:val="16"/>
              </w:rPr>
              <w:t>Reserves</w:t>
            </w:r>
          </w:p>
        </w:tc>
        <w:tc>
          <w:tcPr>
            <w:tcW w:w="905" w:type="dxa"/>
            <w:tcBorders>
              <w:top w:val="nil"/>
              <w:left w:val="nil"/>
              <w:bottom w:val="nil"/>
              <w:right w:val="nil"/>
            </w:tcBorders>
            <w:shd w:val="clear" w:color="auto" w:fill="auto"/>
            <w:noWrap/>
            <w:vAlign w:val="bottom"/>
            <w:hideMark/>
          </w:tcPr>
          <w:p w14:paraId="4B264B0B"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666</w:t>
            </w:r>
          </w:p>
        </w:tc>
        <w:tc>
          <w:tcPr>
            <w:tcW w:w="810" w:type="dxa"/>
            <w:tcBorders>
              <w:top w:val="nil"/>
              <w:left w:val="nil"/>
              <w:bottom w:val="nil"/>
              <w:right w:val="nil"/>
            </w:tcBorders>
            <w:shd w:val="clear" w:color="000000" w:fill="D9D9D9"/>
            <w:noWrap/>
            <w:vAlign w:val="bottom"/>
            <w:hideMark/>
          </w:tcPr>
          <w:p w14:paraId="1719B758"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666</w:t>
            </w:r>
          </w:p>
        </w:tc>
        <w:tc>
          <w:tcPr>
            <w:tcW w:w="821" w:type="dxa"/>
            <w:tcBorders>
              <w:top w:val="nil"/>
              <w:left w:val="nil"/>
              <w:bottom w:val="nil"/>
              <w:right w:val="nil"/>
            </w:tcBorders>
            <w:shd w:val="clear" w:color="auto" w:fill="auto"/>
            <w:noWrap/>
            <w:vAlign w:val="bottom"/>
            <w:hideMark/>
          </w:tcPr>
          <w:p w14:paraId="509B7659"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666</w:t>
            </w:r>
          </w:p>
        </w:tc>
        <w:tc>
          <w:tcPr>
            <w:tcW w:w="821" w:type="dxa"/>
            <w:tcBorders>
              <w:top w:val="nil"/>
              <w:left w:val="nil"/>
              <w:bottom w:val="nil"/>
              <w:right w:val="nil"/>
            </w:tcBorders>
            <w:shd w:val="clear" w:color="auto" w:fill="auto"/>
            <w:noWrap/>
            <w:vAlign w:val="bottom"/>
            <w:hideMark/>
          </w:tcPr>
          <w:p w14:paraId="771803D4"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666</w:t>
            </w:r>
          </w:p>
        </w:tc>
        <w:tc>
          <w:tcPr>
            <w:tcW w:w="821" w:type="dxa"/>
            <w:tcBorders>
              <w:top w:val="nil"/>
              <w:left w:val="nil"/>
              <w:bottom w:val="nil"/>
              <w:right w:val="nil"/>
            </w:tcBorders>
            <w:shd w:val="clear" w:color="auto" w:fill="auto"/>
            <w:noWrap/>
            <w:vAlign w:val="bottom"/>
            <w:hideMark/>
          </w:tcPr>
          <w:p w14:paraId="6F57D180" w14:textId="77777777" w:rsidR="00446F88" w:rsidRPr="00446F88" w:rsidRDefault="00446F88" w:rsidP="00446F88">
            <w:pPr>
              <w:spacing w:after="0"/>
              <w:jc w:val="right"/>
              <w:rPr>
                <w:rFonts w:ascii="Arial" w:hAnsi="Arial" w:cs="Arial"/>
                <w:color w:val="auto"/>
                <w:sz w:val="16"/>
                <w:szCs w:val="16"/>
              </w:rPr>
            </w:pPr>
            <w:r w:rsidRPr="00446F88">
              <w:rPr>
                <w:rFonts w:ascii="Arial" w:hAnsi="Arial" w:cs="Arial"/>
                <w:color w:val="auto"/>
                <w:sz w:val="16"/>
                <w:szCs w:val="16"/>
              </w:rPr>
              <w:t>666</w:t>
            </w:r>
          </w:p>
        </w:tc>
      </w:tr>
      <w:tr w:rsidR="00446F88" w:rsidRPr="00446F88" w14:paraId="4B9B2F69" w14:textId="77777777" w:rsidTr="00446F88">
        <w:trPr>
          <w:trHeight w:val="450"/>
        </w:trPr>
        <w:tc>
          <w:tcPr>
            <w:tcW w:w="2962" w:type="dxa"/>
            <w:tcBorders>
              <w:top w:val="nil"/>
              <w:left w:val="nil"/>
              <w:bottom w:val="nil"/>
              <w:right w:val="nil"/>
            </w:tcBorders>
            <w:shd w:val="clear" w:color="auto" w:fill="auto"/>
            <w:vAlign w:val="bottom"/>
            <w:hideMark/>
          </w:tcPr>
          <w:p w14:paraId="6BD8A68D" w14:textId="77777777" w:rsidR="00446F88" w:rsidRPr="00446F88" w:rsidRDefault="00446F88" w:rsidP="00446F88">
            <w:pPr>
              <w:spacing w:after="0"/>
              <w:ind w:leftChars="75" w:left="143"/>
              <w:rPr>
                <w:rFonts w:ascii="Arial" w:hAnsi="Arial" w:cs="Arial"/>
                <w:sz w:val="16"/>
                <w:szCs w:val="16"/>
              </w:rPr>
            </w:pPr>
            <w:r w:rsidRPr="00446F88">
              <w:rPr>
                <w:rFonts w:ascii="Arial" w:hAnsi="Arial" w:cs="Arial"/>
                <w:sz w:val="16"/>
                <w:szCs w:val="16"/>
              </w:rPr>
              <w:t>Retained surpluses or (accumulated deficits)</w:t>
            </w:r>
          </w:p>
        </w:tc>
        <w:tc>
          <w:tcPr>
            <w:tcW w:w="905" w:type="dxa"/>
            <w:tcBorders>
              <w:top w:val="nil"/>
              <w:left w:val="nil"/>
              <w:bottom w:val="single" w:sz="4" w:space="0" w:color="auto"/>
              <w:right w:val="nil"/>
            </w:tcBorders>
            <w:shd w:val="clear" w:color="auto" w:fill="auto"/>
            <w:noWrap/>
            <w:vAlign w:val="bottom"/>
            <w:hideMark/>
          </w:tcPr>
          <w:p w14:paraId="717A5B91"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(1,929)</w:t>
            </w:r>
          </w:p>
        </w:tc>
        <w:tc>
          <w:tcPr>
            <w:tcW w:w="810" w:type="dxa"/>
            <w:tcBorders>
              <w:top w:val="nil"/>
              <w:left w:val="nil"/>
              <w:bottom w:val="single" w:sz="4" w:space="0" w:color="auto"/>
              <w:right w:val="nil"/>
            </w:tcBorders>
            <w:shd w:val="clear" w:color="000000" w:fill="D9D9D9"/>
            <w:noWrap/>
            <w:vAlign w:val="bottom"/>
            <w:hideMark/>
          </w:tcPr>
          <w:p w14:paraId="7E17BCB0"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(1,945)</w:t>
            </w:r>
          </w:p>
        </w:tc>
        <w:tc>
          <w:tcPr>
            <w:tcW w:w="821" w:type="dxa"/>
            <w:tcBorders>
              <w:top w:val="nil"/>
              <w:left w:val="nil"/>
              <w:bottom w:val="single" w:sz="4" w:space="0" w:color="auto"/>
              <w:right w:val="nil"/>
            </w:tcBorders>
            <w:shd w:val="clear" w:color="auto" w:fill="auto"/>
            <w:noWrap/>
            <w:vAlign w:val="bottom"/>
            <w:hideMark/>
          </w:tcPr>
          <w:p w14:paraId="6FAEA53E"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(2,328)</w:t>
            </w:r>
          </w:p>
        </w:tc>
        <w:tc>
          <w:tcPr>
            <w:tcW w:w="821" w:type="dxa"/>
            <w:tcBorders>
              <w:top w:val="nil"/>
              <w:left w:val="nil"/>
              <w:bottom w:val="single" w:sz="4" w:space="0" w:color="auto"/>
              <w:right w:val="nil"/>
            </w:tcBorders>
            <w:shd w:val="clear" w:color="auto" w:fill="auto"/>
            <w:noWrap/>
            <w:vAlign w:val="bottom"/>
            <w:hideMark/>
          </w:tcPr>
          <w:p w14:paraId="1A063EBA"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(2,687)</w:t>
            </w:r>
          </w:p>
        </w:tc>
        <w:tc>
          <w:tcPr>
            <w:tcW w:w="821" w:type="dxa"/>
            <w:tcBorders>
              <w:top w:val="nil"/>
              <w:left w:val="nil"/>
              <w:bottom w:val="single" w:sz="4" w:space="0" w:color="auto"/>
              <w:right w:val="nil"/>
            </w:tcBorders>
            <w:shd w:val="clear" w:color="auto" w:fill="auto"/>
            <w:noWrap/>
            <w:vAlign w:val="bottom"/>
            <w:hideMark/>
          </w:tcPr>
          <w:p w14:paraId="7CA11B24" w14:textId="77777777" w:rsidR="00446F88" w:rsidRPr="00446F88" w:rsidRDefault="00446F88" w:rsidP="00446F88">
            <w:pPr>
              <w:spacing w:after="0"/>
              <w:jc w:val="right"/>
              <w:rPr>
                <w:rFonts w:ascii="Arial" w:hAnsi="Arial" w:cs="Arial"/>
                <w:sz w:val="16"/>
                <w:szCs w:val="16"/>
              </w:rPr>
            </w:pPr>
            <w:r w:rsidRPr="00446F88">
              <w:rPr>
                <w:rFonts w:ascii="Arial" w:hAnsi="Arial" w:cs="Arial"/>
                <w:sz w:val="16"/>
                <w:szCs w:val="16"/>
              </w:rPr>
              <w:t>(3,041)</w:t>
            </w:r>
          </w:p>
        </w:tc>
      </w:tr>
      <w:tr w:rsidR="00446F88" w:rsidRPr="00446F88" w14:paraId="05FC47A0" w14:textId="77777777" w:rsidTr="00446F88">
        <w:trPr>
          <w:trHeight w:val="225"/>
        </w:trPr>
        <w:tc>
          <w:tcPr>
            <w:tcW w:w="2962" w:type="dxa"/>
            <w:tcBorders>
              <w:top w:val="nil"/>
              <w:left w:val="nil"/>
              <w:bottom w:val="single" w:sz="4" w:space="0" w:color="auto"/>
              <w:right w:val="nil"/>
            </w:tcBorders>
            <w:shd w:val="clear" w:color="auto" w:fill="auto"/>
            <w:noWrap/>
            <w:vAlign w:val="bottom"/>
            <w:hideMark/>
          </w:tcPr>
          <w:p w14:paraId="1B76A863" w14:textId="77777777" w:rsidR="00446F88" w:rsidRPr="00446F88" w:rsidRDefault="00446F88" w:rsidP="00446F88">
            <w:pPr>
              <w:spacing w:after="0"/>
              <w:ind w:leftChars="75" w:left="143"/>
              <w:rPr>
                <w:rFonts w:ascii="Arial" w:hAnsi="Arial" w:cs="Arial"/>
                <w:b/>
                <w:bCs/>
                <w:sz w:val="16"/>
                <w:szCs w:val="16"/>
              </w:rPr>
            </w:pPr>
            <w:r w:rsidRPr="00446F88">
              <w:rPr>
                <w:rFonts w:ascii="Arial" w:hAnsi="Arial" w:cs="Arial"/>
                <w:b/>
                <w:bCs/>
                <w:sz w:val="16"/>
                <w:szCs w:val="16"/>
              </w:rPr>
              <w:t>Total equity</w:t>
            </w:r>
          </w:p>
        </w:tc>
        <w:tc>
          <w:tcPr>
            <w:tcW w:w="905" w:type="dxa"/>
            <w:tcBorders>
              <w:top w:val="nil"/>
              <w:left w:val="nil"/>
              <w:bottom w:val="single" w:sz="4" w:space="0" w:color="auto"/>
              <w:right w:val="nil"/>
            </w:tcBorders>
            <w:shd w:val="clear" w:color="auto" w:fill="auto"/>
            <w:noWrap/>
            <w:vAlign w:val="bottom"/>
            <w:hideMark/>
          </w:tcPr>
          <w:p w14:paraId="32269E41"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2,678</w:t>
            </w:r>
          </w:p>
        </w:tc>
        <w:tc>
          <w:tcPr>
            <w:tcW w:w="810" w:type="dxa"/>
            <w:tcBorders>
              <w:top w:val="nil"/>
              <w:left w:val="nil"/>
              <w:bottom w:val="single" w:sz="4" w:space="0" w:color="auto"/>
              <w:right w:val="nil"/>
            </w:tcBorders>
            <w:shd w:val="clear" w:color="000000" w:fill="D9D9D9"/>
            <w:noWrap/>
            <w:vAlign w:val="bottom"/>
            <w:hideMark/>
          </w:tcPr>
          <w:p w14:paraId="0E91F79C"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2,926</w:t>
            </w:r>
          </w:p>
        </w:tc>
        <w:tc>
          <w:tcPr>
            <w:tcW w:w="821" w:type="dxa"/>
            <w:tcBorders>
              <w:top w:val="nil"/>
              <w:left w:val="nil"/>
              <w:bottom w:val="single" w:sz="4" w:space="0" w:color="auto"/>
              <w:right w:val="nil"/>
            </w:tcBorders>
            <w:shd w:val="clear" w:color="auto" w:fill="auto"/>
            <w:noWrap/>
            <w:vAlign w:val="bottom"/>
            <w:hideMark/>
          </w:tcPr>
          <w:p w14:paraId="10D4E6E7"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2,808</w:t>
            </w:r>
          </w:p>
        </w:tc>
        <w:tc>
          <w:tcPr>
            <w:tcW w:w="821" w:type="dxa"/>
            <w:tcBorders>
              <w:top w:val="nil"/>
              <w:left w:val="nil"/>
              <w:bottom w:val="single" w:sz="4" w:space="0" w:color="auto"/>
              <w:right w:val="nil"/>
            </w:tcBorders>
            <w:shd w:val="clear" w:color="auto" w:fill="auto"/>
            <w:noWrap/>
            <w:vAlign w:val="bottom"/>
            <w:hideMark/>
          </w:tcPr>
          <w:p w14:paraId="52AAED7B"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2,716</w:t>
            </w:r>
          </w:p>
        </w:tc>
        <w:tc>
          <w:tcPr>
            <w:tcW w:w="821" w:type="dxa"/>
            <w:tcBorders>
              <w:top w:val="nil"/>
              <w:left w:val="nil"/>
              <w:bottom w:val="single" w:sz="4" w:space="0" w:color="auto"/>
              <w:right w:val="nil"/>
            </w:tcBorders>
            <w:shd w:val="clear" w:color="auto" w:fill="auto"/>
            <w:noWrap/>
            <w:vAlign w:val="bottom"/>
            <w:hideMark/>
          </w:tcPr>
          <w:p w14:paraId="02655F0E" w14:textId="77777777" w:rsidR="00446F88" w:rsidRPr="00446F88" w:rsidRDefault="00446F88" w:rsidP="00446F88">
            <w:pPr>
              <w:spacing w:after="0"/>
              <w:jc w:val="right"/>
              <w:rPr>
                <w:rFonts w:ascii="Arial" w:hAnsi="Arial" w:cs="Arial"/>
                <w:b/>
                <w:bCs/>
                <w:sz w:val="16"/>
                <w:szCs w:val="16"/>
              </w:rPr>
            </w:pPr>
            <w:r w:rsidRPr="00446F88">
              <w:rPr>
                <w:rFonts w:ascii="Arial" w:hAnsi="Arial" w:cs="Arial"/>
                <w:b/>
                <w:bCs/>
                <w:sz w:val="16"/>
                <w:szCs w:val="16"/>
              </w:rPr>
              <w:t>2,628</w:t>
            </w:r>
          </w:p>
        </w:tc>
      </w:tr>
    </w:tbl>
    <w:p w14:paraId="1982D67E" w14:textId="77777777" w:rsidR="00446F88" w:rsidRDefault="00446F88">
      <w:pPr>
        <w:spacing w:after="160" w:line="259" w:lineRule="auto"/>
        <w:rPr>
          <w:rFonts w:ascii="Arial" w:hAnsi="Arial"/>
          <w:b/>
          <w:color w:val="auto"/>
          <w:sz w:val="20"/>
        </w:rPr>
      </w:pPr>
      <w:r>
        <w:rPr>
          <w:rFonts w:ascii="Arial" w:hAnsi="Arial"/>
          <w:b/>
          <w:color w:val="auto"/>
          <w:sz w:val="20"/>
        </w:rPr>
        <w:br w:type="page"/>
      </w:r>
    </w:p>
    <w:p w14:paraId="2EF73737" w14:textId="313D5683" w:rsidR="00585800" w:rsidRDefault="005A6FA5" w:rsidP="00291D03">
      <w:pPr>
        <w:keepNext/>
        <w:spacing w:before="120"/>
        <w:rPr>
          <w:rFonts w:ascii="Arial" w:hAnsi="Arial"/>
          <w:b/>
          <w:color w:val="auto"/>
          <w:sz w:val="20"/>
        </w:rPr>
      </w:pPr>
      <w:r w:rsidRPr="005A6FA5">
        <w:rPr>
          <w:rFonts w:ascii="Arial" w:hAnsi="Arial"/>
          <w:b/>
          <w:color w:val="auto"/>
          <w:sz w:val="20"/>
        </w:rPr>
        <w:lastRenderedPageBreak/>
        <w:t>Table 3.3: Departmental statement of changes in equity — summary of movement (Budget year 2022–23)</w:t>
      </w:r>
    </w:p>
    <w:tbl>
      <w:tblPr>
        <w:tblW w:w="7380" w:type="dxa"/>
        <w:tblLayout w:type="fixed"/>
        <w:tblLook w:val="04A0" w:firstRow="1" w:lastRow="0" w:firstColumn="1" w:lastColumn="0" w:noHBand="0" w:noVBand="1"/>
      </w:tblPr>
      <w:tblGrid>
        <w:gridCol w:w="2860"/>
        <w:gridCol w:w="1060"/>
        <w:gridCol w:w="1200"/>
        <w:gridCol w:w="1200"/>
        <w:gridCol w:w="1060"/>
      </w:tblGrid>
      <w:tr w:rsidR="00291D03" w:rsidRPr="00291D03" w14:paraId="2B6BB217" w14:textId="77777777" w:rsidTr="001E2498">
        <w:trPr>
          <w:trHeight w:val="765"/>
        </w:trPr>
        <w:tc>
          <w:tcPr>
            <w:tcW w:w="2860" w:type="dxa"/>
            <w:tcBorders>
              <w:top w:val="single" w:sz="4" w:space="0" w:color="auto"/>
              <w:left w:val="nil"/>
              <w:bottom w:val="nil"/>
              <w:right w:val="nil"/>
            </w:tcBorders>
            <w:shd w:val="clear" w:color="auto" w:fill="auto"/>
            <w:tcMar>
              <w:left w:w="0" w:type="dxa"/>
            </w:tcMar>
            <w:hideMark/>
          </w:tcPr>
          <w:p w14:paraId="4F118B64" w14:textId="77777777" w:rsidR="00291D03" w:rsidRPr="00291D03" w:rsidRDefault="00291D03" w:rsidP="00291D03">
            <w:pPr>
              <w:spacing w:before="40" w:after="0"/>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tcMar>
              <w:left w:w="0" w:type="dxa"/>
            </w:tcMar>
            <w:hideMark/>
          </w:tcPr>
          <w:p w14:paraId="6F1D51CB" w14:textId="77777777" w:rsidR="00291D03" w:rsidRPr="00291D03" w:rsidRDefault="00291D03" w:rsidP="00291D03">
            <w:pPr>
              <w:spacing w:before="40" w:after="0"/>
              <w:jc w:val="right"/>
              <w:rPr>
                <w:rFonts w:ascii="Arial" w:hAnsi="Arial" w:cs="Arial"/>
                <w:sz w:val="16"/>
                <w:szCs w:val="16"/>
              </w:rPr>
            </w:pPr>
            <w:r w:rsidRPr="00291D03">
              <w:rPr>
                <w:rFonts w:ascii="Arial" w:hAnsi="Arial" w:cs="Arial"/>
                <w:b/>
                <w:bCs/>
                <w:sz w:val="16"/>
                <w:szCs w:val="16"/>
              </w:rPr>
              <w:t xml:space="preserve">Retained earnings </w:t>
            </w:r>
            <w:r w:rsidRPr="00291D03">
              <w:rPr>
                <w:rFonts w:ascii="Arial" w:hAnsi="Arial" w:cs="Arial"/>
                <w:sz w:val="16"/>
                <w:szCs w:val="16"/>
              </w:rPr>
              <w:br/>
            </w:r>
            <w:r w:rsidRPr="00291D03">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tcMar>
              <w:left w:w="0" w:type="dxa"/>
            </w:tcMar>
            <w:hideMark/>
          </w:tcPr>
          <w:p w14:paraId="52D7CA1D" w14:textId="77777777" w:rsidR="00291D03" w:rsidRPr="00291D03" w:rsidRDefault="00291D03" w:rsidP="00291D03">
            <w:pPr>
              <w:spacing w:before="40" w:after="0"/>
              <w:jc w:val="right"/>
              <w:rPr>
                <w:rFonts w:ascii="Arial" w:hAnsi="Arial" w:cs="Arial"/>
                <w:sz w:val="16"/>
                <w:szCs w:val="16"/>
              </w:rPr>
            </w:pPr>
            <w:r w:rsidRPr="00291D03">
              <w:rPr>
                <w:rFonts w:ascii="Arial" w:hAnsi="Arial" w:cs="Arial"/>
                <w:b/>
                <w:bCs/>
                <w:sz w:val="16"/>
                <w:szCs w:val="16"/>
              </w:rPr>
              <w:t xml:space="preserve">Asset revaluation reserve </w:t>
            </w:r>
            <w:r w:rsidRPr="00291D03">
              <w:rPr>
                <w:rFonts w:ascii="Arial" w:hAnsi="Arial" w:cs="Arial"/>
                <w:sz w:val="16"/>
                <w:szCs w:val="16"/>
              </w:rPr>
              <w:br/>
              <w:t>$'000</w:t>
            </w:r>
          </w:p>
        </w:tc>
        <w:tc>
          <w:tcPr>
            <w:tcW w:w="1200" w:type="dxa"/>
            <w:tcBorders>
              <w:top w:val="single" w:sz="4" w:space="0" w:color="auto"/>
              <w:left w:val="nil"/>
              <w:bottom w:val="single" w:sz="4" w:space="0" w:color="auto"/>
              <w:right w:val="nil"/>
            </w:tcBorders>
            <w:shd w:val="clear" w:color="auto" w:fill="auto"/>
            <w:tcMar>
              <w:left w:w="0" w:type="dxa"/>
            </w:tcMar>
            <w:hideMark/>
          </w:tcPr>
          <w:p w14:paraId="3B718DA2" w14:textId="77777777" w:rsidR="00291D03" w:rsidRPr="00291D03" w:rsidRDefault="00291D03" w:rsidP="00291D03">
            <w:pPr>
              <w:spacing w:before="40" w:after="0"/>
              <w:jc w:val="right"/>
              <w:rPr>
                <w:rFonts w:ascii="Arial" w:hAnsi="Arial" w:cs="Arial"/>
                <w:sz w:val="16"/>
                <w:szCs w:val="16"/>
              </w:rPr>
            </w:pPr>
            <w:r w:rsidRPr="00291D03">
              <w:rPr>
                <w:rFonts w:ascii="Arial" w:hAnsi="Arial" w:cs="Arial"/>
                <w:b/>
                <w:bCs/>
                <w:sz w:val="16"/>
                <w:szCs w:val="16"/>
              </w:rPr>
              <w:t>Contributed equity/capital</w:t>
            </w:r>
            <w:r w:rsidRPr="00291D03">
              <w:rPr>
                <w:rFonts w:ascii="Arial" w:hAnsi="Arial" w:cs="Arial"/>
                <w:b/>
                <w:bCs/>
                <w:sz w:val="16"/>
                <w:szCs w:val="16"/>
              </w:rPr>
              <w:br/>
              <w:t xml:space="preserve"> </w:t>
            </w:r>
            <w:r w:rsidRPr="00291D03">
              <w:rPr>
                <w:rFonts w:ascii="Arial" w:hAnsi="Arial" w:cs="Arial"/>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0E534431" w14:textId="77777777" w:rsidR="00291D03" w:rsidRPr="00291D03" w:rsidRDefault="00291D03" w:rsidP="00291D03">
            <w:pPr>
              <w:spacing w:before="40" w:after="0"/>
              <w:jc w:val="right"/>
              <w:rPr>
                <w:rFonts w:ascii="Arial" w:hAnsi="Arial" w:cs="Arial"/>
                <w:sz w:val="16"/>
                <w:szCs w:val="16"/>
              </w:rPr>
            </w:pPr>
            <w:r w:rsidRPr="00291D03">
              <w:rPr>
                <w:rFonts w:ascii="Arial" w:hAnsi="Arial" w:cs="Arial"/>
                <w:b/>
                <w:bCs/>
                <w:sz w:val="16"/>
                <w:szCs w:val="16"/>
              </w:rPr>
              <w:t xml:space="preserve">Total </w:t>
            </w:r>
            <w:r w:rsidRPr="00291D03">
              <w:rPr>
                <w:rFonts w:ascii="Arial" w:hAnsi="Arial" w:cs="Arial"/>
                <w:b/>
                <w:bCs/>
                <w:sz w:val="16"/>
                <w:szCs w:val="16"/>
              </w:rPr>
              <w:br/>
              <w:t xml:space="preserve">equity </w:t>
            </w:r>
            <w:r w:rsidRPr="00291D03">
              <w:rPr>
                <w:rFonts w:ascii="Arial" w:hAnsi="Arial" w:cs="Arial"/>
                <w:sz w:val="16"/>
                <w:szCs w:val="16"/>
              </w:rPr>
              <w:br/>
            </w:r>
            <w:r w:rsidRPr="00291D03">
              <w:rPr>
                <w:rFonts w:ascii="Arial" w:hAnsi="Arial" w:cs="Arial"/>
                <w:sz w:val="16"/>
                <w:szCs w:val="16"/>
              </w:rPr>
              <w:br/>
              <w:t>$'000</w:t>
            </w:r>
          </w:p>
        </w:tc>
      </w:tr>
      <w:tr w:rsidR="00291D03" w:rsidRPr="00291D03" w14:paraId="4A614AFF" w14:textId="77777777" w:rsidTr="00291D03">
        <w:trPr>
          <w:trHeight w:val="225"/>
        </w:trPr>
        <w:tc>
          <w:tcPr>
            <w:tcW w:w="2860" w:type="dxa"/>
            <w:tcBorders>
              <w:top w:val="nil"/>
              <w:left w:val="nil"/>
              <w:bottom w:val="nil"/>
              <w:right w:val="nil"/>
            </w:tcBorders>
            <w:shd w:val="clear" w:color="auto" w:fill="auto"/>
            <w:noWrap/>
            <w:vAlign w:val="bottom"/>
            <w:hideMark/>
          </w:tcPr>
          <w:p w14:paraId="5D9BEF3A" w14:textId="77777777" w:rsidR="00291D03" w:rsidRPr="00291D03" w:rsidRDefault="00291D03" w:rsidP="00291D03">
            <w:pPr>
              <w:spacing w:before="40" w:after="40"/>
              <w:rPr>
                <w:rFonts w:ascii="Arial" w:hAnsi="Arial" w:cs="Arial"/>
                <w:b/>
                <w:bCs/>
                <w:sz w:val="16"/>
                <w:szCs w:val="16"/>
              </w:rPr>
            </w:pPr>
            <w:r w:rsidRPr="00291D03">
              <w:rPr>
                <w:rFonts w:ascii="Arial" w:hAnsi="Arial" w:cs="Arial"/>
                <w:b/>
                <w:bCs/>
                <w:sz w:val="16"/>
                <w:szCs w:val="16"/>
              </w:rPr>
              <w:t>Opening balance as at 1 July 2022</w:t>
            </w:r>
          </w:p>
        </w:tc>
        <w:tc>
          <w:tcPr>
            <w:tcW w:w="1060" w:type="dxa"/>
            <w:tcBorders>
              <w:top w:val="nil"/>
              <w:left w:val="nil"/>
              <w:bottom w:val="nil"/>
              <w:right w:val="nil"/>
            </w:tcBorders>
            <w:shd w:val="clear" w:color="auto" w:fill="auto"/>
            <w:noWrap/>
            <w:vAlign w:val="bottom"/>
            <w:hideMark/>
          </w:tcPr>
          <w:p w14:paraId="423559DD" w14:textId="77777777" w:rsidR="00291D03" w:rsidRPr="00291D03" w:rsidRDefault="00291D03" w:rsidP="00291D03">
            <w:pPr>
              <w:spacing w:after="0"/>
              <w:rPr>
                <w:rFonts w:ascii="Arial" w:hAnsi="Arial" w:cs="Arial"/>
                <w:b/>
                <w:bCs/>
                <w:sz w:val="16"/>
                <w:szCs w:val="16"/>
              </w:rPr>
            </w:pPr>
          </w:p>
        </w:tc>
        <w:tc>
          <w:tcPr>
            <w:tcW w:w="1200" w:type="dxa"/>
            <w:tcBorders>
              <w:top w:val="nil"/>
              <w:left w:val="nil"/>
              <w:bottom w:val="nil"/>
              <w:right w:val="nil"/>
            </w:tcBorders>
            <w:shd w:val="clear" w:color="auto" w:fill="auto"/>
            <w:noWrap/>
            <w:vAlign w:val="bottom"/>
            <w:hideMark/>
          </w:tcPr>
          <w:p w14:paraId="13C54C4E" w14:textId="77777777" w:rsidR="00291D03" w:rsidRPr="00291D03" w:rsidRDefault="00291D03" w:rsidP="00291D03">
            <w:pPr>
              <w:spacing w:after="0"/>
              <w:jc w:val="right"/>
              <w:rPr>
                <w:rFonts w:ascii="Times New Roman" w:hAnsi="Times New Roman"/>
                <w:color w:val="auto"/>
                <w:sz w:val="20"/>
              </w:rPr>
            </w:pPr>
          </w:p>
        </w:tc>
        <w:tc>
          <w:tcPr>
            <w:tcW w:w="1200" w:type="dxa"/>
            <w:tcBorders>
              <w:top w:val="nil"/>
              <w:left w:val="nil"/>
              <w:bottom w:val="nil"/>
              <w:right w:val="nil"/>
            </w:tcBorders>
            <w:shd w:val="clear" w:color="auto" w:fill="auto"/>
            <w:noWrap/>
            <w:vAlign w:val="bottom"/>
            <w:hideMark/>
          </w:tcPr>
          <w:p w14:paraId="130CF7B9" w14:textId="77777777" w:rsidR="00291D03" w:rsidRPr="00291D03" w:rsidRDefault="00291D03" w:rsidP="00291D03">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73882E33" w14:textId="77777777" w:rsidR="00291D03" w:rsidRPr="00291D03" w:rsidRDefault="00291D03" w:rsidP="00291D03">
            <w:pPr>
              <w:spacing w:after="0"/>
              <w:jc w:val="right"/>
              <w:rPr>
                <w:rFonts w:ascii="Times New Roman" w:hAnsi="Times New Roman"/>
                <w:color w:val="auto"/>
                <w:sz w:val="20"/>
              </w:rPr>
            </w:pPr>
          </w:p>
        </w:tc>
      </w:tr>
      <w:tr w:rsidR="00291D03" w:rsidRPr="00291D03" w14:paraId="6FDAE0DE" w14:textId="77777777" w:rsidTr="00291D03">
        <w:trPr>
          <w:trHeight w:val="227"/>
        </w:trPr>
        <w:tc>
          <w:tcPr>
            <w:tcW w:w="2860" w:type="dxa"/>
            <w:tcBorders>
              <w:top w:val="nil"/>
              <w:left w:val="nil"/>
              <w:bottom w:val="nil"/>
              <w:right w:val="nil"/>
            </w:tcBorders>
            <w:shd w:val="clear" w:color="auto" w:fill="auto"/>
            <w:vAlign w:val="bottom"/>
            <w:hideMark/>
          </w:tcPr>
          <w:p w14:paraId="1186E4D8" w14:textId="77777777" w:rsidR="00291D03" w:rsidRPr="00291D03" w:rsidRDefault="00291D03" w:rsidP="00291D03">
            <w:pPr>
              <w:spacing w:before="40" w:after="40"/>
              <w:ind w:leftChars="75" w:left="143"/>
              <w:rPr>
                <w:rFonts w:ascii="Arial" w:hAnsi="Arial" w:cs="Arial"/>
                <w:sz w:val="16"/>
                <w:szCs w:val="16"/>
              </w:rPr>
            </w:pPr>
            <w:r w:rsidRPr="00291D03">
              <w:rPr>
                <w:rFonts w:ascii="Arial" w:hAnsi="Arial" w:cs="Arial"/>
                <w:sz w:val="16"/>
                <w:szCs w:val="16"/>
              </w:rPr>
              <w:t>Balance carried forward from previous period</w:t>
            </w:r>
          </w:p>
        </w:tc>
        <w:tc>
          <w:tcPr>
            <w:tcW w:w="1060" w:type="dxa"/>
            <w:tcBorders>
              <w:top w:val="nil"/>
              <w:left w:val="nil"/>
              <w:bottom w:val="nil"/>
              <w:right w:val="nil"/>
            </w:tcBorders>
            <w:shd w:val="clear" w:color="auto" w:fill="auto"/>
            <w:noWrap/>
            <w:vAlign w:val="bottom"/>
            <w:hideMark/>
          </w:tcPr>
          <w:p w14:paraId="7F05DB87" w14:textId="77777777" w:rsidR="00291D03" w:rsidRPr="00291D03" w:rsidRDefault="00291D03" w:rsidP="00291D03">
            <w:pPr>
              <w:spacing w:before="40" w:after="40"/>
              <w:jc w:val="right"/>
              <w:rPr>
                <w:rFonts w:ascii="Arial" w:hAnsi="Arial" w:cs="Arial"/>
                <w:sz w:val="16"/>
                <w:szCs w:val="16"/>
              </w:rPr>
            </w:pPr>
            <w:r w:rsidRPr="00291D03">
              <w:rPr>
                <w:rFonts w:ascii="Arial" w:hAnsi="Arial" w:cs="Arial"/>
                <w:sz w:val="16"/>
                <w:szCs w:val="16"/>
              </w:rPr>
              <w:t>(1,929)</w:t>
            </w:r>
          </w:p>
        </w:tc>
        <w:tc>
          <w:tcPr>
            <w:tcW w:w="1200" w:type="dxa"/>
            <w:tcBorders>
              <w:top w:val="nil"/>
              <w:left w:val="nil"/>
              <w:bottom w:val="nil"/>
              <w:right w:val="nil"/>
            </w:tcBorders>
            <w:shd w:val="clear" w:color="auto" w:fill="auto"/>
            <w:noWrap/>
            <w:vAlign w:val="bottom"/>
            <w:hideMark/>
          </w:tcPr>
          <w:p w14:paraId="1EC3B891" w14:textId="77777777" w:rsidR="00291D03" w:rsidRPr="00291D03" w:rsidRDefault="00291D03" w:rsidP="00291D03">
            <w:pPr>
              <w:spacing w:before="40" w:after="40"/>
              <w:jc w:val="right"/>
              <w:rPr>
                <w:rFonts w:ascii="Arial" w:hAnsi="Arial" w:cs="Arial"/>
                <w:sz w:val="16"/>
                <w:szCs w:val="16"/>
              </w:rPr>
            </w:pPr>
            <w:r w:rsidRPr="00291D03">
              <w:rPr>
                <w:rFonts w:ascii="Arial" w:hAnsi="Arial" w:cs="Arial"/>
                <w:sz w:val="16"/>
                <w:szCs w:val="16"/>
              </w:rPr>
              <w:t>666</w:t>
            </w:r>
          </w:p>
        </w:tc>
        <w:tc>
          <w:tcPr>
            <w:tcW w:w="1200" w:type="dxa"/>
            <w:tcBorders>
              <w:top w:val="nil"/>
              <w:left w:val="nil"/>
              <w:bottom w:val="nil"/>
              <w:right w:val="nil"/>
            </w:tcBorders>
            <w:shd w:val="clear" w:color="auto" w:fill="auto"/>
            <w:noWrap/>
            <w:vAlign w:val="bottom"/>
            <w:hideMark/>
          </w:tcPr>
          <w:p w14:paraId="558C4327" w14:textId="77777777" w:rsidR="00291D03" w:rsidRPr="00291D03" w:rsidRDefault="00291D03" w:rsidP="00291D03">
            <w:pPr>
              <w:spacing w:before="40" w:after="40"/>
              <w:jc w:val="right"/>
              <w:rPr>
                <w:rFonts w:ascii="Arial" w:hAnsi="Arial" w:cs="Arial"/>
                <w:sz w:val="16"/>
                <w:szCs w:val="16"/>
              </w:rPr>
            </w:pPr>
            <w:r w:rsidRPr="00291D03">
              <w:rPr>
                <w:rFonts w:ascii="Arial" w:hAnsi="Arial" w:cs="Arial"/>
                <w:sz w:val="16"/>
                <w:szCs w:val="16"/>
              </w:rPr>
              <w:t>3,941</w:t>
            </w:r>
          </w:p>
        </w:tc>
        <w:tc>
          <w:tcPr>
            <w:tcW w:w="1060" w:type="dxa"/>
            <w:tcBorders>
              <w:top w:val="nil"/>
              <w:left w:val="nil"/>
              <w:bottom w:val="nil"/>
              <w:right w:val="nil"/>
            </w:tcBorders>
            <w:shd w:val="clear" w:color="auto" w:fill="auto"/>
            <w:noWrap/>
            <w:vAlign w:val="bottom"/>
            <w:hideMark/>
          </w:tcPr>
          <w:p w14:paraId="00F91D04" w14:textId="77777777" w:rsidR="00291D03" w:rsidRPr="00291D03" w:rsidRDefault="00291D03" w:rsidP="00291D03">
            <w:pPr>
              <w:spacing w:before="40" w:after="40"/>
              <w:jc w:val="right"/>
              <w:rPr>
                <w:rFonts w:ascii="Arial" w:hAnsi="Arial" w:cs="Arial"/>
                <w:b/>
                <w:bCs/>
                <w:sz w:val="16"/>
                <w:szCs w:val="16"/>
              </w:rPr>
            </w:pPr>
            <w:r w:rsidRPr="00291D03">
              <w:rPr>
                <w:rFonts w:ascii="Arial" w:hAnsi="Arial" w:cs="Arial"/>
                <w:b/>
                <w:bCs/>
                <w:sz w:val="16"/>
                <w:szCs w:val="16"/>
              </w:rPr>
              <w:t>2,678</w:t>
            </w:r>
          </w:p>
        </w:tc>
      </w:tr>
      <w:tr w:rsidR="00291D03" w:rsidRPr="00291D03" w14:paraId="614071DD" w14:textId="77777777" w:rsidTr="00291D03">
        <w:trPr>
          <w:trHeight w:val="227"/>
        </w:trPr>
        <w:tc>
          <w:tcPr>
            <w:tcW w:w="2860" w:type="dxa"/>
            <w:tcBorders>
              <w:top w:val="nil"/>
              <w:left w:val="nil"/>
              <w:bottom w:val="nil"/>
              <w:right w:val="nil"/>
            </w:tcBorders>
            <w:shd w:val="clear" w:color="auto" w:fill="auto"/>
            <w:vAlign w:val="bottom"/>
            <w:hideMark/>
          </w:tcPr>
          <w:p w14:paraId="3AF18A41" w14:textId="77777777" w:rsidR="00291D03" w:rsidRPr="00291D03" w:rsidRDefault="00291D03" w:rsidP="00291D03">
            <w:pPr>
              <w:spacing w:before="40" w:after="40"/>
              <w:ind w:leftChars="75" w:left="143"/>
              <w:rPr>
                <w:rFonts w:ascii="Arial" w:hAnsi="Arial" w:cs="Arial"/>
                <w:sz w:val="16"/>
                <w:szCs w:val="16"/>
              </w:rPr>
            </w:pPr>
            <w:r w:rsidRPr="00291D03">
              <w:rPr>
                <w:rFonts w:ascii="Arial" w:hAnsi="Arial" w:cs="Arial"/>
                <w:sz w:val="16"/>
                <w:szCs w:val="16"/>
              </w:rPr>
              <w:t>Adjustment for changes in accounting policies</w:t>
            </w:r>
          </w:p>
        </w:tc>
        <w:tc>
          <w:tcPr>
            <w:tcW w:w="1060" w:type="dxa"/>
            <w:tcBorders>
              <w:top w:val="nil"/>
              <w:left w:val="nil"/>
              <w:bottom w:val="nil"/>
              <w:right w:val="nil"/>
            </w:tcBorders>
            <w:shd w:val="clear" w:color="auto" w:fill="auto"/>
            <w:noWrap/>
            <w:vAlign w:val="bottom"/>
            <w:hideMark/>
          </w:tcPr>
          <w:p w14:paraId="5F51AA51" w14:textId="77777777" w:rsidR="00291D03" w:rsidRPr="00291D03" w:rsidRDefault="00291D03" w:rsidP="00291D03">
            <w:pPr>
              <w:spacing w:before="40" w:after="40"/>
              <w:jc w:val="right"/>
              <w:rPr>
                <w:rFonts w:ascii="Arial" w:hAnsi="Arial" w:cs="Arial"/>
                <w:sz w:val="16"/>
                <w:szCs w:val="16"/>
              </w:rPr>
            </w:pPr>
            <w:r w:rsidRPr="00291D03">
              <w:rPr>
                <w:rFonts w:ascii="Arial" w:hAnsi="Arial" w:cs="Arial"/>
                <w:sz w:val="16"/>
                <w:szCs w:val="16"/>
              </w:rPr>
              <w:t>338</w:t>
            </w:r>
          </w:p>
        </w:tc>
        <w:tc>
          <w:tcPr>
            <w:tcW w:w="1200" w:type="dxa"/>
            <w:tcBorders>
              <w:top w:val="nil"/>
              <w:left w:val="nil"/>
              <w:bottom w:val="nil"/>
              <w:right w:val="nil"/>
            </w:tcBorders>
            <w:shd w:val="clear" w:color="auto" w:fill="auto"/>
            <w:noWrap/>
            <w:vAlign w:val="bottom"/>
            <w:hideMark/>
          </w:tcPr>
          <w:p w14:paraId="5AFFC2EF" w14:textId="77777777" w:rsidR="00291D03" w:rsidRPr="00291D03" w:rsidRDefault="00291D03" w:rsidP="00291D03">
            <w:pPr>
              <w:spacing w:before="40" w:after="40"/>
              <w:jc w:val="right"/>
              <w:rPr>
                <w:rFonts w:ascii="Arial" w:hAnsi="Arial" w:cs="Arial"/>
                <w:sz w:val="16"/>
                <w:szCs w:val="16"/>
              </w:rPr>
            </w:pPr>
            <w:r w:rsidRPr="00291D03">
              <w:rPr>
                <w:rFonts w:ascii="Arial" w:hAnsi="Arial" w:cs="Arial"/>
                <w:sz w:val="16"/>
                <w:szCs w:val="16"/>
              </w:rPr>
              <w:t>-</w:t>
            </w:r>
          </w:p>
        </w:tc>
        <w:tc>
          <w:tcPr>
            <w:tcW w:w="1200" w:type="dxa"/>
            <w:tcBorders>
              <w:top w:val="nil"/>
              <w:left w:val="nil"/>
              <w:bottom w:val="nil"/>
              <w:right w:val="nil"/>
            </w:tcBorders>
            <w:shd w:val="clear" w:color="auto" w:fill="auto"/>
            <w:noWrap/>
            <w:vAlign w:val="bottom"/>
            <w:hideMark/>
          </w:tcPr>
          <w:p w14:paraId="20E63F0A" w14:textId="77777777" w:rsidR="00291D03" w:rsidRPr="00291D03" w:rsidRDefault="00291D03" w:rsidP="00291D03">
            <w:pPr>
              <w:spacing w:before="40" w:after="40"/>
              <w:jc w:val="right"/>
              <w:rPr>
                <w:rFonts w:ascii="Arial" w:hAnsi="Arial" w:cs="Arial"/>
                <w:sz w:val="16"/>
                <w:szCs w:val="16"/>
              </w:rPr>
            </w:pPr>
            <w:r w:rsidRPr="00291D03">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C0D31E8" w14:textId="77777777" w:rsidR="00291D03" w:rsidRPr="00291D03" w:rsidRDefault="00291D03" w:rsidP="00291D03">
            <w:pPr>
              <w:spacing w:before="40" w:after="40"/>
              <w:jc w:val="right"/>
              <w:rPr>
                <w:rFonts w:ascii="Arial" w:hAnsi="Arial" w:cs="Arial"/>
                <w:b/>
                <w:bCs/>
                <w:sz w:val="16"/>
                <w:szCs w:val="16"/>
              </w:rPr>
            </w:pPr>
            <w:r w:rsidRPr="00291D03">
              <w:rPr>
                <w:rFonts w:ascii="Arial" w:hAnsi="Arial" w:cs="Arial"/>
                <w:b/>
                <w:bCs/>
                <w:sz w:val="16"/>
                <w:szCs w:val="16"/>
              </w:rPr>
              <w:t>338</w:t>
            </w:r>
          </w:p>
        </w:tc>
      </w:tr>
      <w:tr w:rsidR="00291D03" w:rsidRPr="00291D03" w14:paraId="4995A5DD" w14:textId="77777777" w:rsidTr="00291D03">
        <w:trPr>
          <w:trHeight w:val="227"/>
        </w:trPr>
        <w:tc>
          <w:tcPr>
            <w:tcW w:w="2860" w:type="dxa"/>
            <w:tcBorders>
              <w:top w:val="nil"/>
              <w:left w:val="nil"/>
              <w:bottom w:val="nil"/>
              <w:right w:val="nil"/>
            </w:tcBorders>
            <w:shd w:val="clear" w:color="auto" w:fill="auto"/>
            <w:noWrap/>
            <w:vAlign w:val="bottom"/>
            <w:hideMark/>
          </w:tcPr>
          <w:p w14:paraId="005D0A4C" w14:textId="77777777" w:rsidR="00291D03" w:rsidRPr="00291D03" w:rsidRDefault="00291D03" w:rsidP="00291D03">
            <w:pPr>
              <w:spacing w:before="40" w:after="40"/>
              <w:ind w:leftChars="75" w:left="143"/>
              <w:rPr>
                <w:rFonts w:ascii="Arial" w:hAnsi="Arial" w:cs="Arial"/>
                <w:color w:val="auto"/>
                <w:sz w:val="16"/>
                <w:szCs w:val="16"/>
              </w:rPr>
            </w:pPr>
            <w:r w:rsidRPr="00291D03">
              <w:rPr>
                <w:rFonts w:ascii="Arial" w:hAnsi="Arial" w:cs="Arial"/>
                <w:color w:val="auto"/>
                <w:sz w:val="16"/>
                <w:szCs w:val="16"/>
              </w:rPr>
              <w:t>Surplus (</w:t>
            </w:r>
            <w:r w:rsidRPr="00291D03">
              <w:rPr>
                <w:rFonts w:ascii="Arial" w:hAnsi="Arial" w:cs="Arial"/>
                <w:sz w:val="16"/>
                <w:szCs w:val="16"/>
              </w:rPr>
              <w:t>deficit</w:t>
            </w:r>
            <w:r w:rsidRPr="00291D03">
              <w:rPr>
                <w:rFonts w:ascii="Arial" w:hAnsi="Arial" w:cs="Arial"/>
                <w:color w:val="auto"/>
                <w:sz w:val="16"/>
                <w:szCs w:val="16"/>
              </w:rPr>
              <w:t>) for the period</w:t>
            </w:r>
          </w:p>
        </w:tc>
        <w:tc>
          <w:tcPr>
            <w:tcW w:w="1060" w:type="dxa"/>
            <w:tcBorders>
              <w:top w:val="nil"/>
              <w:left w:val="nil"/>
              <w:bottom w:val="nil"/>
              <w:right w:val="nil"/>
            </w:tcBorders>
            <w:shd w:val="clear" w:color="auto" w:fill="auto"/>
            <w:noWrap/>
            <w:vAlign w:val="bottom"/>
            <w:hideMark/>
          </w:tcPr>
          <w:p w14:paraId="0C60C560" w14:textId="77777777" w:rsidR="00291D03" w:rsidRPr="00291D03" w:rsidRDefault="00291D03" w:rsidP="00291D03">
            <w:pPr>
              <w:spacing w:before="40" w:after="40"/>
              <w:jc w:val="right"/>
              <w:rPr>
                <w:rFonts w:ascii="Arial" w:hAnsi="Arial" w:cs="Arial"/>
                <w:color w:val="auto"/>
                <w:sz w:val="16"/>
                <w:szCs w:val="16"/>
              </w:rPr>
            </w:pPr>
            <w:r w:rsidRPr="00291D03">
              <w:rPr>
                <w:rFonts w:ascii="Arial" w:hAnsi="Arial" w:cs="Arial"/>
                <w:color w:val="auto"/>
                <w:sz w:val="16"/>
                <w:szCs w:val="16"/>
              </w:rPr>
              <w:t>(354)</w:t>
            </w:r>
          </w:p>
        </w:tc>
        <w:tc>
          <w:tcPr>
            <w:tcW w:w="1200" w:type="dxa"/>
            <w:tcBorders>
              <w:top w:val="nil"/>
              <w:left w:val="nil"/>
              <w:bottom w:val="nil"/>
              <w:right w:val="nil"/>
            </w:tcBorders>
            <w:shd w:val="clear" w:color="auto" w:fill="auto"/>
            <w:noWrap/>
            <w:vAlign w:val="bottom"/>
            <w:hideMark/>
          </w:tcPr>
          <w:p w14:paraId="7780BD74" w14:textId="77777777" w:rsidR="00291D03" w:rsidRPr="00291D03" w:rsidRDefault="00291D03" w:rsidP="00291D03">
            <w:pPr>
              <w:spacing w:before="40" w:after="40"/>
              <w:jc w:val="right"/>
              <w:rPr>
                <w:rFonts w:ascii="Arial" w:hAnsi="Arial" w:cs="Arial"/>
                <w:color w:val="auto"/>
                <w:sz w:val="16"/>
                <w:szCs w:val="16"/>
              </w:rPr>
            </w:pPr>
            <w:r w:rsidRPr="00291D03">
              <w:rPr>
                <w:rFonts w:ascii="Arial" w:hAnsi="Arial" w:cs="Arial"/>
                <w:color w:val="auto"/>
                <w:sz w:val="16"/>
                <w:szCs w:val="16"/>
              </w:rPr>
              <w:t>-</w:t>
            </w:r>
          </w:p>
        </w:tc>
        <w:tc>
          <w:tcPr>
            <w:tcW w:w="1200" w:type="dxa"/>
            <w:tcBorders>
              <w:top w:val="nil"/>
              <w:left w:val="nil"/>
              <w:bottom w:val="nil"/>
              <w:right w:val="nil"/>
            </w:tcBorders>
            <w:shd w:val="clear" w:color="auto" w:fill="auto"/>
            <w:noWrap/>
            <w:vAlign w:val="bottom"/>
            <w:hideMark/>
          </w:tcPr>
          <w:p w14:paraId="20F10198" w14:textId="77777777" w:rsidR="00291D03" w:rsidRPr="00291D03" w:rsidRDefault="00291D03" w:rsidP="00291D03">
            <w:pPr>
              <w:spacing w:before="40" w:after="40"/>
              <w:jc w:val="right"/>
              <w:rPr>
                <w:rFonts w:ascii="Arial" w:hAnsi="Arial" w:cs="Arial"/>
                <w:color w:val="auto"/>
                <w:sz w:val="16"/>
                <w:szCs w:val="16"/>
              </w:rPr>
            </w:pPr>
            <w:r w:rsidRPr="00291D03">
              <w:rPr>
                <w:rFonts w:ascii="Arial" w:hAnsi="Arial" w:cs="Arial"/>
                <w:color w:val="auto"/>
                <w:sz w:val="16"/>
                <w:szCs w:val="16"/>
              </w:rPr>
              <w:t>-</w:t>
            </w:r>
          </w:p>
        </w:tc>
        <w:tc>
          <w:tcPr>
            <w:tcW w:w="1060" w:type="dxa"/>
            <w:tcBorders>
              <w:top w:val="nil"/>
              <w:left w:val="nil"/>
              <w:bottom w:val="nil"/>
              <w:right w:val="nil"/>
            </w:tcBorders>
            <w:shd w:val="clear" w:color="auto" w:fill="auto"/>
            <w:noWrap/>
            <w:vAlign w:val="bottom"/>
            <w:hideMark/>
          </w:tcPr>
          <w:p w14:paraId="58D6F584" w14:textId="77777777" w:rsidR="00291D03" w:rsidRPr="00291D03" w:rsidRDefault="00291D03" w:rsidP="00291D03">
            <w:pPr>
              <w:spacing w:before="40" w:after="40"/>
              <w:jc w:val="right"/>
              <w:rPr>
                <w:rFonts w:ascii="Arial" w:hAnsi="Arial" w:cs="Arial"/>
                <w:b/>
                <w:bCs/>
                <w:sz w:val="16"/>
                <w:szCs w:val="16"/>
              </w:rPr>
            </w:pPr>
            <w:r w:rsidRPr="00291D03">
              <w:rPr>
                <w:rFonts w:ascii="Arial" w:hAnsi="Arial" w:cs="Arial"/>
                <w:b/>
                <w:bCs/>
                <w:sz w:val="16"/>
                <w:szCs w:val="16"/>
              </w:rPr>
              <w:t>(354)</w:t>
            </w:r>
          </w:p>
        </w:tc>
      </w:tr>
      <w:tr w:rsidR="00291D03" w:rsidRPr="00291D03" w14:paraId="7D7EA466" w14:textId="77777777" w:rsidTr="00291D03">
        <w:trPr>
          <w:trHeight w:val="227"/>
        </w:trPr>
        <w:tc>
          <w:tcPr>
            <w:tcW w:w="2860" w:type="dxa"/>
            <w:tcBorders>
              <w:top w:val="nil"/>
              <w:left w:val="nil"/>
              <w:bottom w:val="nil"/>
              <w:right w:val="nil"/>
            </w:tcBorders>
            <w:shd w:val="clear" w:color="000000" w:fill="FFFFFF"/>
            <w:noWrap/>
            <w:vAlign w:val="bottom"/>
            <w:hideMark/>
          </w:tcPr>
          <w:p w14:paraId="0D08F21E" w14:textId="77777777" w:rsidR="00291D03" w:rsidRPr="00291D03" w:rsidRDefault="00291D03" w:rsidP="00291D03">
            <w:pPr>
              <w:spacing w:before="40" w:after="40"/>
              <w:ind w:leftChars="75" w:left="143"/>
              <w:rPr>
                <w:rFonts w:ascii="Arial" w:hAnsi="Arial" w:cs="Arial"/>
                <w:color w:val="auto"/>
                <w:sz w:val="16"/>
                <w:szCs w:val="16"/>
              </w:rPr>
            </w:pPr>
            <w:r w:rsidRPr="00291D03">
              <w:rPr>
                <w:rFonts w:ascii="Arial" w:hAnsi="Arial" w:cs="Arial"/>
                <w:color w:val="auto"/>
                <w:sz w:val="16"/>
                <w:szCs w:val="16"/>
              </w:rPr>
              <w:t>Capital budget - Bill 1 (DCB)</w:t>
            </w:r>
          </w:p>
        </w:tc>
        <w:tc>
          <w:tcPr>
            <w:tcW w:w="1060" w:type="dxa"/>
            <w:tcBorders>
              <w:top w:val="nil"/>
              <w:left w:val="nil"/>
              <w:bottom w:val="single" w:sz="4" w:space="0" w:color="auto"/>
              <w:right w:val="nil"/>
            </w:tcBorders>
            <w:shd w:val="clear" w:color="auto" w:fill="auto"/>
            <w:noWrap/>
            <w:vAlign w:val="bottom"/>
            <w:hideMark/>
          </w:tcPr>
          <w:p w14:paraId="2B3D32C8" w14:textId="77777777" w:rsidR="00291D03" w:rsidRPr="00291D03" w:rsidRDefault="00291D03" w:rsidP="00291D03">
            <w:pPr>
              <w:spacing w:before="40" w:after="40"/>
              <w:jc w:val="right"/>
              <w:rPr>
                <w:rFonts w:ascii="Arial" w:hAnsi="Arial" w:cs="Arial"/>
                <w:sz w:val="16"/>
                <w:szCs w:val="16"/>
              </w:rPr>
            </w:pPr>
            <w:r w:rsidRPr="00291D03">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65D1D9E0" w14:textId="77777777" w:rsidR="00291D03" w:rsidRPr="00291D03" w:rsidRDefault="00291D03" w:rsidP="00291D03">
            <w:pPr>
              <w:spacing w:before="40" w:after="40"/>
              <w:jc w:val="right"/>
              <w:rPr>
                <w:rFonts w:ascii="Arial" w:hAnsi="Arial" w:cs="Arial"/>
                <w:sz w:val="16"/>
                <w:szCs w:val="16"/>
              </w:rPr>
            </w:pPr>
            <w:r w:rsidRPr="00291D03">
              <w:rPr>
                <w:rFonts w:ascii="Arial" w:hAnsi="Arial" w:cs="Arial"/>
                <w:sz w:val="16"/>
                <w:szCs w:val="16"/>
              </w:rPr>
              <w:t>-</w:t>
            </w:r>
          </w:p>
        </w:tc>
        <w:tc>
          <w:tcPr>
            <w:tcW w:w="1200" w:type="dxa"/>
            <w:tcBorders>
              <w:top w:val="nil"/>
              <w:left w:val="nil"/>
              <w:bottom w:val="single" w:sz="4" w:space="0" w:color="auto"/>
              <w:right w:val="nil"/>
            </w:tcBorders>
            <w:shd w:val="clear" w:color="auto" w:fill="auto"/>
            <w:noWrap/>
            <w:vAlign w:val="bottom"/>
            <w:hideMark/>
          </w:tcPr>
          <w:p w14:paraId="3EA0618F" w14:textId="77777777" w:rsidR="00291D03" w:rsidRPr="00291D03" w:rsidRDefault="00291D03" w:rsidP="00291D03">
            <w:pPr>
              <w:spacing w:before="40" w:after="40"/>
              <w:jc w:val="right"/>
              <w:rPr>
                <w:rFonts w:ascii="Arial" w:hAnsi="Arial" w:cs="Arial"/>
                <w:sz w:val="16"/>
                <w:szCs w:val="16"/>
              </w:rPr>
            </w:pPr>
            <w:r w:rsidRPr="00291D03">
              <w:rPr>
                <w:rFonts w:ascii="Arial" w:hAnsi="Arial" w:cs="Arial"/>
                <w:sz w:val="16"/>
                <w:szCs w:val="16"/>
              </w:rPr>
              <w:t>264</w:t>
            </w:r>
          </w:p>
        </w:tc>
        <w:tc>
          <w:tcPr>
            <w:tcW w:w="1060" w:type="dxa"/>
            <w:tcBorders>
              <w:top w:val="nil"/>
              <w:left w:val="nil"/>
              <w:bottom w:val="single" w:sz="4" w:space="0" w:color="auto"/>
              <w:right w:val="nil"/>
            </w:tcBorders>
            <w:shd w:val="clear" w:color="auto" w:fill="auto"/>
            <w:noWrap/>
            <w:vAlign w:val="bottom"/>
            <w:hideMark/>
          </w:tcPr>
          <w:p w14:paraId="29CB761B" w14:textId="77777777" w:rsidR="00291D03" w:rsidRPr="00291D03" w:rsidRDefault="00291D03" w:rsidP="00291D03">
            <w:pPr>
              <w:spacing w:before="40" w:after="40"/>
              <w:jc w:val="right"/>
              <w:rPr>
                <w:rFonts w:ascii="Arial" w:hAnsi="Arial" w:cs="Arial"/>
                <w:b/>
                <w:bCs/>
                <w:sz w:val="16"/>
                <w:szCs w:val="16"/>
              </w:rPr>
            </w:pPr>
            <w:r w:rsidRPr="00291D03">
              <w:rPr>
                <w:rFonts w:ascii="Arial" w:hAnsi="Arial" w:cs="Arial"/>
                <w:b/>
                <w:bCs/>
                <w:sz w:val="16"/>
                <w:szCs w:val="16"/>
              </w:rPr>
              <w:t>264</w:t>
            </w:r>
          </w:p>
        </w:tc>
      </w:tr>
      <w:tr w:rsidR="00291D03" w:rsidRPr="00291D03" w14:paraId="66892A9E" w14:textId="77777777" w:rsidTr="00291D03">
        <w:trPr>
          <w:trHeight w:val="227"/>
        </w:trPr>
        <w:tc>
          <w:tcPr>
            <w:tcW w:w="2860" w:type="dxa"/>
            <w:tcBorders>
              <w:top w:val="nil"/>
              <w:left w:val="nil"/>
              <w:bottom w:val="single" w:sz="4" w:space="0" w:color="auto"/>
              <w:right w:val="nil"/>
            </w:tcBorders>
            <w:shd w:val="clear" w:color="auto" w:fill="auto"/>
            <w:vAlign w:val="bottom"/>
            <w:hideMark/>
          </w:tcPr>
          <w:p w14:paraId="7E75DEE7" w14:textId="77777777" w:rsidR="00291D03" w:rsidRPr="00291D03" w:rsidRDefault="00291D03" w:rsidP="00291D03">
            <w:pPr>
              <w:spacing w:before="40" w:after="40"/>
              <w:rPr>
                <w:rFonts w:ascii="Arial" w:hAnsi="Arial" w:cs="Arial"/>
                <w:b/>
                <w:bCs/>
                <w:sz w:val="16"/>
                <w:szCs w:val="16"/>
              </w:rPr>
            </w:pPr>
            <w:r w:rsidRPr="00291D03">
              <w:rPr>
                <w:rFonts w:ascii="Arial" w:hAnsi="Arial" w:cs="Arial"/>
                <w:b/>
                <w:bCs/>
                <w:sz w:val="16"/>
                <w:szCs w:val="16"/>
              </w:rPr>
              <w:t>Estimated closing balance as at</w:t>
            </w:r>
            <w:r w:rsidRPr="00291D03">
              <w:rPr>
                <w:rFonts w:ascii="Arial" w:hAnsi="Arial" w:cs="Arial"/>
                <w:b/>
                <w:bCs/>
                <w:sz w:val="16"/>
                <w:szCs w:val="16"/>
              </w:rPr>
              <w:br/>
              <w:t>30 June 2023</w:t>
            </w:r>
          </w:p>
        </w:tc>
        <w:tc>
          <w:tcPr>
            <w:tcW w:w="1060" w:type="dxa"/>
            <w:tcBorders>
              <w:top w:val="nil"/>
              <w:left w:val="nil"/>
              <w:bottom w:val="single" w:sz="4" w:space="0" w:color="auto"/>
              <w:right w:val="nil"/>
            </w:tcBorders>
            <w:shd w:val="clear" w:color="auto" w:fill="auto"/>
            <w:noWrap/>
            <w:vAlign w:val="bottom"/>
            <w:hideMark/>
          </w:tcPr>
          <w:p w14:paraId="0AF53BE2" w14:textId="77777777" w:rsidR="00291D03" w:rsidRPr="00291D03" w:rsidRDefault="00291D03" w:rsidP="00291D03">
            <w:pPr>
              <w:spacing w:before="40" w:after="40"/>
              <w:jc w:val="right"/>
              <w:rPr>
                <w:rFonts w:ascii="Arial" w:hAnsi="Arial" w:cs="Arial"/>
                <w:b/>
                <w:bCs/>
                <w:sz w:val="16"/>
                <w:szCs w:val="16"/>
              </w:rPr>
            </w:pPr>
            <w:r w:rsidRPr="00291D03">
              <w:rPr>
                <w:rFonts w:ascii="Arial" w:hAnsi="Arial" w:cs="Arial"/>
                <w:b/>
                <w:bCs/>
                <w:sz w:val="16"/>
                <w:szCs w:val="16"/>
              </w:rPr>
              <w:t>(1,945)</w:t>
            </w:r>
          </w:p>
        </w:tc>
        <w:tc>
          <w:tcPr>
            <w:tcW w:w="1200" w:type="dxa"/>
            <w:tcBorders>
              <w:top w:val="nil"/>
              <w:left w:val="nil"/>
              <w:bottom w:val="single" w:sz="4" w:space="0" w:color="auto"/>
              <w:right w:val="nil"/>
            </w:tcBorders>
            <w:shd w:val="clear" w:color="auto" w:fill="auto"/>
            <w:noWrap/>
            <w:vAlign w:val="bottom"/>
            <w:hideMark/>
          </w:tcPr>
          <w:p w14:paraId="7D06F93B" w14:textId="77777777" w:rsidR="00291D03" w:rsidRPr="00291D03" w:rsidRDefault="00291D03" w:rsidP="00291D03">
            <w:pPr>
              <w:spacing w:before="40" w:after="40"/>
              <w:jc w:val="right"/>
              <w:rPr>
                <w:rFonts w:ascii="Arial" w:hAnsi="Arial" w:cs="Arial"/>
                <w:b/>
                <w:bCs/>
                <w:sz w:val="16"/>
                <w:szCs w:val="16"/>
              </w:rPr>
            </w:pPr>
            <w:r w:rsidRPr="00291D03">
              <w:rPr>
                <w:rFonts w:ascii="Arial" w:hAnsi="Arial" w:cs="Arial"/>
                <w:b/>
                <w:bCs/>
                <w:sz w:val="16"/>
                <w:szCs w:val="16"/>
              </w:rPr>
              <w:t>666</w:t>
            </w:r>
          </w:p>
        </w:tc>
        <w:tc>
          <w:tcPr>
            <w:tcW w:w="1200" w:type="dxa"/>
            <w:tcBorders>
              <w:top w:val="nil"/>
              <w:left w:val="nil"/>
              <w:bottom w:val="single" w:sz="4" w:space="0" w:color="auto"/>
              <w:right w:val="nil"/>
            </w:tcBorders>
            <w:shd w:val="clear" w:color="auto" w:fill="auto"/>
            <w:noWrap/>
            <w:vAlign w:val="bottom"/>
            <w:hideMark/>
          </w:tcPr>
          <w:p w14:paraId="0F944C1D" w14:textId="77777777" w:rsidR="00291D03" w:rsidRPr="00291D03" w:rsidRDefault="00291D03" w:rsidP="00291D03">
            <w:pPr>
              <w:spacing w:before="40" w:after="40"/>
              <w:jc w:val="right"/>
              <w:rPr>
                <w:rFonts w:ascii="Arial" w:hAnsi="Arial" w:cs="Arial"/>
                <w:b/>
                <w:bCs/>
                <w:sz w:val="16"/>
                <w:szCs w:val="16"/>
              </w:rPr>
            </w:pPr>
            <w:r w:rsidRPr="00291D03">
              <w:rPr>
                <w:rFonts w:ascii="Arial" w:hAnsi="Arial" w:cs="Arial"/>
                <w:b/>
                <w:bCs/>
                <w:sz w:val="16"/>
                <w:szCs w:val="16"/>
              </w:rPr>
              <w:t>4,205</w:t>
            </w:r>
          </w:p>
        </w:tc>
        <w:tc>
          <w:tcPr>
            <w:tcW w:w="1060" w:type="dxa"/>
            <w:tcBorders>
              <w:top w:val="nil"/>
              <w:left w:val="nil"/>
              <w:bottom w:val="single" w:sz="4" w:space="0" w:color="auto"/>
              <w:right w:val="nil"/>
            </w:tcBorders>
            <w:shd w:val="clear" w:color="auto" w:fill="auto"/>
            <w:noWrap/>
            <w:vAlign w:val="bottom"/>
            <w:hideMark/>
          </w:tcPr>
          <w:p w14:paraId="4738BBCB" w14:textId="77777777" w:rsidR="00291D03" w:rsidRPr="00291D03" w:rsidRDefault="00291D03" w:rsidP="00291D03">
            <w:pPr>
              <w:spacing w:before="40" w:after="40"/>
              <w:jc w:val="right"/>
              <w:rPr>
                <w:rFonts w:ascii="Arial" w:hAnsi="Arial" w:cs="Arial"/>
                <w:b/>
                <w:bCs/>
                <w:sz w:val="16"/>
                <w:szCs w:val="16"/>
              </w:rPr>
            </w:pPr>
            <w:r w:rsidRPr="00291D03">
              <w:rPr>
                <w:rFonts w:ascii="Arial" w:hAnsi="Arial" w:cs="Arial"/>
                <w:b/>
                <w:bCs/>
                <w:sz w:val="16"/>
                <w:szCs w:val="16"/>
              </w:rPr>
              <w:t>2,926</w:t>
            </w:r>
          </w:p>
        </w:tc>
      </w:tr>
    </w:tbl>
    <w:p w14:paraId="24AF0DC2" w14:textId="0C04DA33" w:rsidR="005A6FA5" w:rsidRPr="005161F9" w:rsidRDefault="00585800" w:rsidP="00585800">
      <w:pPr>
        <w:pStyle w:val="FootnoteText"/>
        <w:spacing w:before="120"/>
        <w:rPr>
          <w:rFonts w:cs="Arial"/>
          <w:color w:val="auto"/>
        </w:rPr>
      </w:pPr>
      <w:r w:rsidRPr="005161F9">
        <w:rPr>
          <w:color w:val="auto"/>
          <w:lang w:val="x-none" w:eastAsia="x-none"/>
        </w:rPr>
        <w:t>DCB = Departmental Capital Budget</w:t>
      </w:r>
    </w:p>
    <w:p w14:paraId="25CC8018" w14:textId="77777777" w:rsidR="00291D03" w:rsidRDefault="00291D03">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1DF4642A" w14:textId="6C0E4B71" w:rsidR="00980E62" w:rsidRDefault="005A6FA5" w:rsidP="00291D03">
      <w:pPr>
        <w:spacing w:before="120"/>
        <w:rPr>
          <w:rFonts w:ascii="Arial" w:hAnsi="Arial" w:cs="Arial"/>
          <w:b/>
          <w:sz w:val="20"/>
          <w:szCs w:val="18"/>
          <w:lang w:eastAsia="en-US"/>
        </w:rPr>
      </w:pPr>
      <w:r w:rsidRPr="005A6FA5">
        <w:rPr>
          <w:rFonts w:ascii="Arial" w:hAnsi="Arial" w:cs="Arial"/>
          <w:b/>
          <w:sz w:val="20"/>
          <w:szCs w:val="18"/>
          <w:lang w:eastAsia="en-US"/>
        </w:rPr>
        <w:lastRenderedPageBreak/>
        <w:t>Table 3.4: Budgeted departmental statement of cash flows (for the period ended 30 June)</w:t>
      </w:r>
    </w:p>
    <w:tbl>
      <w:tblPr>
        <w:tblW w:w="7360" w:type="dxa"/>
        <w:tblLayout w:type="fixed"/>
        <w:tblLook w:val="04A0" w:firstRow="1" w:lastRow="0" w:firstColumn="1" w:lastColumn="0" w:noHBand="0" w:noVBand="1"/>
      </w:tblPr>
      <w:tblGrid>
        <w:gridCol w:w="3052"/>
        <w:gridCol w:w="881"/>
        <w:gridCol w:w="844"/>
        <w:gridCol w:w="861"/>
        <w:gridCol w:w="861"/>
        <w:gridCol w:w="861"/>
      </w:tblGrid>
      <w:tr w:rsidR="00291D03" w:rsidRPr="00291D03" w14:paraId="422530F4" w14:textId="77777777" w:rsidTr="00291D03">
        <w:trPr>
          <w:trHeight w:val="765"/>
        </w:trPr>
        <w:tc>
          <w:tcPr>
            <w:tcW w:w="3052" w:type="dxa"/>
            <w:tcBorders>
              <w:top w:val="single" w:sz="4" w:space="0" w:color="auto"/>
              <w:left w:val="nil"/>
              <w:bottom w:val="nil"/>
              <w:right w:val="nil"/>
            </w:tcBorders>
            <w:shd w:val="clear" w:color="auto" w:fill="auto"/>
            <w:tcMar>
              <w:left w:w="0" w:type="dxa"/>
            </w:tcMar>
            <w:hideMark/>
          </w:tcPr>
          <w:p w14:paraId="3A65E804"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 </w:t>
            </w:r>
          </w:p>
        </w:tc>
        <w:tc>
          <w:tcPr>
            <w:tcW w:w="881" w:type="dxa"/>
            <w:tcBorders>
              <w:top w:val="single" w:sz="4" w:space="0" w:color="auto"/>
              <w:left w:val="nil"/>
              <w:bottom w:val="single" w:sz="4" w:space="0" w:color="auto"/>
              <w:right w:val="nil"/>
            </w:tcBorders>
            <w:shd w:val="clear" w:color="auto" w:fill="auto"/>
            <w:tcMar>
              <w:left w:w="0" w:type="dxa"/>
            </w:tcMar>
            <w:hideMark/>
          </w:tcPr>
          <w:p w14:paraId="7282B598"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2021–22 Estimated actual</w:t>
            </w:r>
            <w:r w:rsidRPr="00291D03">
              <w:rPr>
                <w:rFonts w:ascii="Arial" w:hAnsi="Arial" w:cs="Arial"/>
                <w:b/>
                <w:bCs/>
                <w:color w:val="auto"/>
                <w:sz w:val="16"/>
                <w:szCs w:val="16"/>
              </w:rPr>
              <w:br/>
            </w:r>
            <w:r w:rsidRPr="00291D03">
              <w:rPr>
                <w:rFonts w:ascii="Arial" w:hAnsi="Arial" w:cs="Arial"/>
                <w:color w:val="auto"/>
                <w:sz w:val="16"/>
                <w:szCs w:val="16"/>
              </w:rPr>
              <w:t>$'000</w:t>
            </w:r>
          </w:p>
        </w:tc>
        <w:tc>
          <w:tcPr>
            <w:tcW w:w="844" w:type="dxa"/>
            <w:tcBorders>
              <w:top w:val="single" w:sz="4" w:space="0" w:color="auto"/>
              <w:left w:val="nil"/>
              <w:bottom w:val="single" w:sz="4" w:space="0" w:color="auto"/>
              <w:right w:val="nil"/>
            </w:tcBorders>
            <w:shd w:val="clear" w:color="000000" w:fill="D9D9D9"/>
            <w:tcMar>
              <w:left w:w="0" w:type="dxa"/>
            </w:tcMar>
            <w:hideMark/>
          </w:tcPr>
          <w:p w14:paraId="1B7D87C0"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 xml:space="preserve">2022–23 Budget </w:t>
            </w:r>
            <w:r w:rsidRPr="00291D03">
              <w:rPr>
                <w:rFonts w:ascii="Arial" w:hAnsi="Arial" w:cs="Arial"/>
                <w:b/>
                <w:bCs/>
                <w:color w:val="auto"/>
                <w:sz w:val="16"/>
                <w:szCs w:val="16"/>
              </w:rPr>
              <w:br/>
            </w:r>
            <w:r w:rsidRPr="00291D03">
              <w:rPr>
                <w:rFonts w:ascii="Arial" w:hAnsi="Arial" w:cs="Arial"/>
                <w:b/>
                <w:bCs/>
                <w:color w:val="auto"/>
                <w:sz w:val="16"/>
                <w:szCs w:val="16"/>
              </w:rPr>
              <w:br/>
            </w:r>
            <w:r w:rsidRPr="00291D0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39CD8A39"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2023–24 Forward estimate</w:t>
            </w:r>
            <w:r w:rsidRPr="00291D03">
              <w:rPr>
                <w:rFonts w:ascii="Arial" w:hAnsi="Arial" w:cs="Arial"/>
                <w:b/>
                <w:bCs/>
                <w:color w:val="auto"/>
                <w:sz w:val="16"/>
                <w:szCs w:val="16"/>
              </w:rPr>
              <w:br/>
            </w:r>
            <w:r w:rsidRPr="00291D0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1D3C6C66"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2024–25 Forward estimate</w:t>
            </w:r>
            <w:r w:rsidRPr="00291D03">
              <w:rPr>
                <w:rFonts w:ascii="Arial" w:hAnsi="Arial" w:cs="Arial"/>
                <w:b/>
                <w:bCs/>
                <w:color w:val="auto"/>
                <w:sz w:val="16"/>
                <w:szCs w:val="16"/>
              </w:rPr>
              <w:br/>
            </w:r>
            <w:r w:rsidRPr="00291D03">
              <w:rPr>
                <w:rFonts w:ascii="Arial" w:hAnsi="Arial" w:cs="Arial"/>
                <w:color w:val="auto"/>
                <w:sz w:val="16"/>
                <w:szCs w:val="16"/>
              </w:rPr>
              <w:t>$'000</w:t>
            </w:r>
          </w:p>
        </w:tc>
        <w:tc>
          <w:tcPr>
            <w:tcW w:w="861" w:type="dxa"/>
            <w:tcBorders>
              <w:top w:val="single" w:sz="4" w:space="0" w:color="auto"/>
              <w:left w:val="nil"/>
              <w:bottom w:val="single" w:sz="4" w:space="0" w:color="auto"/>
              <w:right w:val="nil"/>
            </w:tcBorders>
            <w:shd w:val="clear" w:color="auto" w:fill="auto"/>
            <w:tcMar>
              <w:left w:w="0" w:type="dxa"/>
            </w:tcMar>
            <w:hideMark/>
          </w:tcPr>
          <w:p w14:paraId="321747AB"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2025–26 Forward estimate</w:t>
            </w:r>
            <w:r w:rsidRPr="00291D03">
              <w:rPr>
                <w:rFonts w:ascii="Arial" w:hAnsi="Arial" w:cs="Arial"/>
                <w:b/>
                <w:bCs/>
                <w:color w:val="auto"/>
                <w:sz w:val="16"/>
                <w:szCs w:val="16"/>
              </w:rPr>
              <w:br/>
            </w:r>
            <w:r w:rsidRPr="00291D03">
              <w:rPr>
                <w:rFonts w:ascii="Arial" w:hAnsi="Arial" w:cs="Arial"/>
                <w:color w:val="auto"/>
                <w:sz w:val="16"/>
                <w:szCs w:val="16"/>
              </w:rPr>
              <w:t>$'000</w:t>
            </w:r>
          </w:p>
        </w:tc>
      </w:tr>
      <w:tr w:rsidR="00291D03" w:rsidRPr="00291D03" w14:paraId="5EED651E" w14:textId="77777777" w:rsidTr="00291D03">
        <w:trPr>
          <w:trHeight w:val="225"/>
        </w:trPr>
        <w:tc>
          <w:tcPr>
            <w:tcW w:w="3052" w:type="dxa"/>
            <w:tcBorders>
              <w:top w:val="nil"/>
              <w:left w:val="nil"/>
              <w:bottom w:val="nil"/>
              <w:right w:val="nil"/>
            </w:tcBorders>
            <w:shd w:val="clear" w:color="auto" w:fill="auto"/>
            <w:noWrap/>
            <w:vAlign w:val="bottom"/>
            <w:hideMark/>
          </w:tcPr>
          <w:p w14:paraId="27D3E592" w14:textId="77777777" w:rsidR="00291D03" w:rsidRPr="00291D03" w:rsidRDefault="00291D03" w:rsidP="00291D03">
            <w:pPr>
              <w:spacing w:after="0"/>
              <w:rPr>
                <w:rFonts w:ascii="Arial" w:hAnsi="Arial" w:cs="Arial"/>
                <w:b/>
                <w:bCs/>
                <w:sz w:val="16"/>
                <w:szCs w:val="16"/>
              </w:rPr>
            </w:pPr>
            <w:r w:rsidRPr="00291D03">
              <w:rPr>
                <w:rFonts w:ascii="Arial" w:hAnsi="Arial" w:cs="Arial"/>
                <w:b/>
                <w:bCs/>
                <w:sz w:val="16"/>
                <w:szCs w:val="16"/>
              </w:rPr>
              <w:t>OPERATING ACTIVITIES</w:t>
            </w:r>
          </w:p>
        </w:tc>
        <w:tc>
          <w:tcPr>
            <w:tcW w:w="881" w:type="dxa"/>
            <w:tcBorders>
              <w:top w:val="single" w:sz="4" w:space="0" w:color="auto"/>
              <w:left w:val="nil"/>
              <w:bottom w:val="nil"/>
              <w:right w:val="nil"/>
            </w:tcBorders>
            <w:shd w:val="clear" w:color="auto" w:fill="auto"/>
            <w:noWrap/>
            <w:vAlign w:val="bottom"/>
            <w:hideMark/>
          </w:tcPr>
          <w:p w14:paraId="071ADF38"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 </w:t>
            </w:r>
          </w:p>
        </w:tc>
        <w:tc>
          <w:tcPr>
            <w:tcW w:w="844" w:type="dxa"/>
            <w:tcBorders>
              <w:top w:val="single" w:sz="4" w:space="0" w:color="auto"/>
              <w:left w:val="nil"/>
              <w:bottom w:val="nil"/>
              <w:right w:val="nil"/>
            </w:tcBorders>
            <w:shd w:val="clear" w:color="000000" w:fill="D9D9D9"/>
            <w:noWrap/>
            <w:vAlign w:val="bottom"/>
            <w:hideMark/>
          </w:tcPr>
          <w:p w14:paraId="2CF21E45"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5F7FF603"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4B0DACBA"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 </w:t>
            </w:r>
          </w:p>
        </w:tc>
        <w:tc>
          <w:tcPr>
            <w:tcW w:w="861" w:type="dxa"/>
            <w:tcBorders>
              <w:top w:val="single" w:sz="4" w:space="0" w:color="auto"/>
              <w:left w:val="nil"/>
              <w:bottom w:val="nil"/>
              <w:right w:val="nil"/>
            </w:tcBorders>
            <w:shd w:val="clear" w:color="auto" w:fill="auto"/>
            <w:noWrap/>
            <w:vAlign w:val="bottom"/>
            <w:hideMark/>
          </w:tcPr>
          <w:p w14:paraId="66A83B07"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 </w:t>
            </w:r>
          </w:p>
        </w:tc>
      </w:tr>
      <w:tr w:rsidR="00291D03" w:rsidRPr="00291D03" w14:paraId="569D464C" w14:textId="77777777" w:rsidTr="00291D03">
        <w:trPr>
          <w:trHeight w:val="225"/>
        </w:trPr>
        <w:tc>
          <w:tcPr>
            <w:tcW w:w="3052" w:type="dxa"/>
            <w:tcBorders>
              <w:top w:val="nil"/>
              <w:left w:val="nil"/>
              <w:bottom w:val="nil"/>
              <w:right w:val="nil"/>
            </w:tcBorders>
            <w:shd w:val="clear" w:color="auto" w:fill="auto"/>
            <w:noWrap/>
            <w:vAlign w:val="bottom"/>
            <w:hideMark/>
          </w:tcPr>
          <w:p w14:paraId="544D071D" w14:textId="77777777" w:rsidR="00291D03" w:rsidRPr="00291D03" w:rsidRDefault="00291D03" w:rsidP="00291D03">
            <w:pPr>
              <w:spacing w:after="0"/>
              <w:ind w:firstLineChars="100" w:firstLine="160"/>
              <w:rPr>
                <w:rFonts w:ascii="Arial" w:hAnsi="Arial" w:cs="Arial"/>
                <w:b/>
                <w:bCs/>
                <w:sz w:val="16"/>
                <w:szCs w:val="16"/>
              </w:rPr>
            </w:pPr>
            <w:r w:rsidRPr="00291D03">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2A16CDDC" w14:textId="77777777" w:rsidR="00291D03" w:rsidRPr="00291D03" w:rsidRDefault="00291D03" w:rsidP="00291D0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7E44118"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1AA21D33" w14:textId="77777777" w:rsidR="00291D03" w:rsidRPr="00291D03" w:rsidRDefault="00291D03" w:rsidP="00291D0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5846DB15" w14:textId="77777777" w:rsidR="00291D03" w:rsidRPr="00291D03" w:rsidRDefault="00291D03" w:rsidP="00291D0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314F9F41" w14:textId="77777777" w:rsidR="00291D03" w:rsidRPr="00291D03" w:rsidRDefault="00291D03" w:rsidP="00291D03">
            <w:pPr>
              <w:spacing w:after="0"/>
              <w:jc w:val="right"/>
              <w:rPr>
                <w:rFonts w:ascii="Times New Roman" w:hAnsi="Times New Roman"/>
                <w:color w:val="auto"/>
                <w:sz w:val="20"/>
              </w:rPr>
            </w:pPr>
          </w:p>
        </w:tc>
      </w:tr>
      <w:tr w:rsidR="00291D03" w:rsidRPr="00291D03" w14:paraId="4ED6848A" w14:textId="77777777" w:rsidTr="00291D03">
        <w:trPr>
          <w:trHeight w:val="225"/>
        </w:trPr>
        <w:tc>
          <w:tcPr>
            <w:tcW w:w="3052" w:type="dxa"/>
            <w:tcBorders>
              <w:top w:val="nil"/>
              <w:left w:val="nil"/>
              <w:bottom w:val="nil"/>
              <w:right w:val="nil"/>
            </w:tcBorders>
            <w:shd w:val="clear" w:color="auto" w:fill="auto"/>
            <w:noWrap/>
            <w:vAlign w:val="bottom"/>
            <w:hideMark/>
          </w:tcPr>
          <w:p w14:paraId="6A9EA899" w14:textId="77777777" w:rsidR="00291D03" w:rsidRPr="00291D03" w:rsidRDefault="00291D03" w:rsidP="00291D03">
            <w:pPr>
              <w:spacing w:after="0"/>
              <w:ind w:leftChars="150" w:left="285"/>
              <w:rPr>
                <w:rFonts w:ascii="Arial" w:hAnsi="Arial" w:cs="Arial"/>
                <w:sz w:val="16"/>
                <w:szCs w:val="16"/>
              </w:rPr>
            </w:pPr>
            <w:r w:rsidRPr="00291D03">
              <w:rPr>
                <w:rFonts w:ascii="Arial" w:hAnsi="Arial" w:cs="Arial"/>
                <w:sz w:val="16"/>
                <w:szCs w:val="16"/>
              </w:rPr>
              <w:t>Appropriations</w:t>
            </w:r>
          </w:p>
        </w:tc>
        <w:tc>
          <w:tcPr>
            <w:tcW w:w="881" w:type="dxa"/>
            <w:tcBorders>
              <w:top w:val="nil"/>
              <w:left w:val="nil"/>
              <w:bottom w:val="nil"/>
              <w:right w:val="nil"/>
            </w:tcBorders>
            <w:shd w:val="clear" w:color="auto" w:fill="auto"/>
            <w:noWrap/>
            <w:vAlign w:val="bottom"/>
            <w:hideMark/>
          </w:tcPr>
          <w:p w14:paraId="63B6F15D"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5,536</w:t>
            </w:r>
          </w:p>
        </w:tc>
        <w:tc>
          <w:tcPr>
            <w:tcW w:w="844" w:type="dxa"/>
            <w:tcBorders>
              <w:top w:val="nil"/>
              <w:left w:val="nil"/>
              <w:bottom w:val="nil"/>
              <w:right w:val="nil"/>
            </w:tcBorders>
            <w:shd w:val="clear" w:color="000000" w:fill="D9D9D9"/>
            <w:noWrap/>
            <w:vAlign w:val="bottom"/>
            <w:hideMark/>
          </w:tcPr>
          <w:p w14:paraId="7C565951"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6,089</w:t>
            </w:r>
          </w:p>
        </w:tc>
        <w:tc>
          <w:tcPr>
            <w:tcW w:w="861" w:type="dxa"/>
            <w:tcBorders>
              <w:top w:val="nil"/>
              <w:left w:val="nil"/>
              <w:bottom w:val="nil"/>
              <w:right w:val="nil"/>
            </w:tcBorders>
            <w:shd w:val="clear" w:color="auto" w:fill="auto"/>
            <w:noWrap/>
            <w:vAlign w:val="bottom"/>
            <w:hideMark/>
          </w:tcPr>
          <w:p w14:paraId="17AD8525"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6,222</w:t>
            </w:r>
          </w:p>
        </w:tc>
        <w:tc>
          <w:tcPr>
            <w:tcW w:w="861" w:type="dxa"/>
            <w:tcBorders>
              <w:top w:val="nil"/>
              <w:left w:val="nil"/>
              <w:bottom w:val="nil"/>
              <w:right w:val="nil"/>
            </w:tcBorders>
            <w:shd w:val="clear" w:color="auto" w:fill="auto"/>
            <w:noWrap/>
            <w:vAlign w:val="bottom"/>
            <w:hideMark/>
          </w:tcPr>
          <w:p w14:paraId="76D994B6"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6,265</w:t>
            </w:r>
          </w:p>
        </w:tc>
        <w:tc>
          <w:tcPr>
            <w:tcW w:w="861" w:type="dxa"/>
            <w:tcBorders>
              <w:top w:val="nil"/>
              <w:left w:val="nil"/>
              <w:bottom w:val="nil"/>
              <w:right w:val="nil"/>
            </w:tcBorders>
            <w:shd w:val="clear" w:color="auto" w:fill="auto"/>
            <w:noWrap/>
            <w:vAlign w:val="bottom"/>
            <w:hideMark/>
          </w:tcPr>
          <w:p w14:paraId="142AF3C5"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6,316</w:t>
            </w:r>
          </w:p>
        </w:tc>
      </w:tr>
      <w:tr w:rsidR="00291D03" w:rsidRPr="00291D03" w14:paraId="63389AB1" w14:textId="77777777" w:rsidTr="00291D03">
        <w:trPr>
          <w:trHeight w:val="225"/>
        </w:trPr>
        <w:tc>
          <w:tcPr>
            <w:tcW w:w="3052" w:type="dxa"/>
            <w:tcBorders>
              <w:top w:val="nil"/>
              <w:left w:val="nil"/>
              <w:bottom w:val="nil"/>
              <w:right w:val="nil"/>
            </w:tcBorders>
            <w:shd w:val="clear" w:color="auto" w:fill="auto"/>
            <w:noWrap/>
            <w:vAlign w:val="bottom"/>
            <w:hideMark/>
          </w:tcPr>
          <w:p w14:paraId="16A76FE9" w14:textId="77777777" w:rsidR="00291D03" w:rsidRPr="00291D03" w:rsidRDefault="00291D03" w:rsidP="00291D03">
            <w:pPr>
              <w:spacing w:after="0"/>
              <w:ind w:leftChars="150" w:left="285"/>
              <w:rPr>
                <w:rFonts w:ascii="Arial" w:hAnsi="Arial" w:cs="Arial"/>
                <w:sz w:val="16"/>
                <w:szCs w:val="16"/>
              </w:rPr>
            </w:pPr>
            <w:r w:rsidRPr="00291D03">
              <w:rPr>
                <w:rFonts w:ascii="Arial" w:hAnsi="Arial" w:cs="Arial"/>
                <w:sz w:val="16"/>
                <w:szCs w:val="16"/>
              </w:rPr>
              <w:t>GST received</w:t>
            </w:r>
          </w:p>
        </w:tc>
        <w:tc>
          <w:tcPr>
            <w:tcW w:w="881" w:type="dxa"/>
            <w:tcBorders>
              <w:top w:val="nil"/>
              <w:left w:val="nil"/>
              <w:bottom w:val="nil"/>
              <w:right w:val="nil"/>
            </w:tcBorders>
            <w:shd w:val="clear" w:color="auto" w:fill="auto"/>
            <w:noWrap/>
            <w:vAlign w:val="bottom"/>
            <w:hideMark/>
          </w:tcPr>
          <w:p w14:paraId="307D05F4"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159</w:t>
            </w:r>
          </w:p>
        </w:tc>
        <w:tc>
          <w:tcPr>
            <w:tcW w:w="844" w:type="dxa"/>
            <w:tcBorders>
              <w:top w:val="nil"/>
              <w:left w:val="nil"/>
              <w:bottom w:val="nil"/>
              <w:right w:val="nil"/>
            </w:tcBorders>
            <w:shd w:val="clear" w:color="000000" w:fill="D9D9D9"/>
            <w:noWrap/>
            <w:vAlign w:val="bottom"/>
            <w:hideMark/>
          </w:tcPr>
          <w:p w14:paraId="475A1FFB"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165</w:t>
            </w:r>
          </w:p>
        </w:tc>
        <w:tc>
          <w:tcPr>
            <w:tcW w:w="861" w:type="dxa"/>
            <w:tcBorders>
              <w:top w:val="nil"/>
              <w:left w:val="nil"/>
              <w:bottom w:val="nil"/>
              <w:right w:val="nil"/>
            </w:tcBorders>
            <w:shd w:val="clear" w:color="auto" w:fill="auto"/>
            <w:noWrap/>
            <w:vAlign w:val="bottom"/>
            <w:hideMark/>
          </w:tcPr>
          <w:p w14:paraId="6789BED1"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165</w:t>
            </w:r>
          </w:p>
        </w:tc>
        <w:tc>
          <w:tcPr>
            <w:tcW w:w="861" w:type="dxa"/>
            <w:tcBorders>
              <w:top w:val="nil"/>
              <w:left w:val="nil"/>
              <w:bottom w:val="nil"/>
              <w:right w:val="nil"/>
            </w:tcBorders>
            <w:shd w:val="clear" w:color="auto" w:fill="auto"/>
            <w:noWrap/>
            <w:vAlign w:val="bottom"/>
            <w:hideMark/>
          </w:tcPr>
          <w:p w14:paraId="2A6A4194"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200</w:t>
            </w:r>
          </w:p>
        </w:tc>
        <w:tc>
          <w:tcPr>
            <w:tcW w:w="861" w:type="dxa"/>
            <w:tcBorders>
              <w:top w:val="nil"/>
              <w:left w:val="nil"/>
              <w:bottom w:val="nil"/>
              <w:right w:val="nil"/>
            </w:tcBorders>
            <w:shd w:val="clear" w:color="auto" w:fill="auto"/>
            <w:noWrap/>
            <w:vAlign w:val="bottom"/>
            <w:hideMark/>
          </w:tcPr>
          <w:p w14:paraId="49628296"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200</w:t>
            </w:r>
          </w:p>
        </w:tc>
      </w:tr>
      <w:tr w:rsidR="00291D03" w:rsidRPr="00291D03" w14:paraId="1D66D9E5" w14:textId="77777777" w:rsidTr="00291D03">
        <w:trPr>
          <w:trHeight w:val="225"/>
        </w:trPr>
        <w:tc>
          <w:tcPr>
            <w:tcW w:w="3052" w:type="dxa"/>
            <w:tcBorders>
              <w:top w:val="nil"/>
              <w:left w:val="nil"/>
              <w:bottom w:val="nil"/>
              <w:right w:val="nil"/>
            </w:tcBorders>
            <w:shd w:val="clear" w:color="auto" w:fill="auto"/>
            <w:noWrap/>
            <w:vAlign w:val="bottom"/>
            <w:hideMark/>
          </w:tcPr>
          <w:p w14:paraId="0D936F37" w14:textId="77777777" w:rsidR="00291D03" w:rsidRPr="00291D03" w:rsidRDefault="00291D03" w:rsidP="00291D03">
            <w:pPr>
              <w:spacing w:after="0"/>
              <w:ind w:leftChars="150" w:left="285"/>
              <w:rPr>
                <w:rFonts w:ascii="Arial" w:hAnsi="Arial" w:cs="Arial"/>
                <w:sz w:val="16"/>
                <w:szCs w:val="16"/>
              </w:rPr>
            </w:pPr>
            <w:r w:rsidRPr="00291D03">
              <w:rPr>
                <w:rFonts w:ascii="Arial" w:hAnsi="Arial" w:cs="Arial"/>
                <w:sz w:val="16"/>
                <w:szCs w:val="16"/>
              </w:rPr>
              <w:t>Other</w:t>
            </w:r>
          </w:p>
        </w:tc>
        <w:tc>
          <w:tcPr>
            <w:tcW w:w="881" w:type="dxa"/>
            <w:tcBorders>
              <w:top w:val="nil"/>
              <w:left w:val="nil"/>
              <w:bottom w:val="nil"/>
              <w:right w:val="nil"/>
            </w:tcBorders>
            <w:shd w:val="clear" w:color="auto" w:fill="auto"/>
            <w:noWrap/>
            <w:vAlign w:val="bottom"/>
            <w:hideMark/>
          </w:tcPr>
          <w:p w14:paraId="6C1E4E92"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172</w:t>
            </w:r>
          </w:p>
        </w:tc>
        <w:tc>
          <w:tcPr>
            <w:tcW w:w="844" w:type="dxa"/>
            <w:tcBorders>
              <w:top w:val="nil"/>
              <w:left w:val="nil"/>
              <w:bottom w:val="nil"/>
              <w:right w:val="nil"/>
            </w:tcBorders>
            <w:shd w:val="clear" w:color="000000" w:fill="D9D9D9"/>
            <w:noWrap/>
            <w:vAlign w:val="bottom"/>
            <w:hideMark/>
          </w:tcPr>
          <w:p w14:paraId="61B91CB7"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158F850E"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3DF02521"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40CD41EC"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r>
      <w:tr w:rsidR="00291D03" w:rsidRPr="00291D03" w14:paraId="24D4CFF4" w14:textId="77777777" w:rsidTr="00291D03">
        <w:trPr>
          <w:trHeight w:val="225"/>
        </w:trPr>
        <w:tc>
          <w:tcPr>
            <w:tcW w:w="3052" w:type="dxa"/>
            <w:tcBorders>
              <w:top w:val="nil"/>
              <w:left w:val="nil"/>
              <w:bottom w:val="nil"/>
              <w:right w:val="nil"/>
            </w:tcBorders>
            <w:shd w:val="clear" w:color="auto" w:fill="auto"/>
            <w:noWrap/>
            <w:vAlign w:val="bottom"/>
            <w:hideMark/>
          </w:tcPr>
          <w:p w14:paraId="0DC1F3E5" w14:textId="77777777" w:rsidR="00291D03" w:rsidRPr="00291D03" w:rsidRDefault="00291D03" w:rsidP="00291D03">
            <w:pPr>
              <w:spacing w:after="0"/>
              <w:ind w:leftChars="150" w:left="285"/>
              <w:rPr>
                <w:rFonts w:ascii="Arial" w:hAnsi="Arial" w:cs="Arial"/>
                <w:b/>
                <w:bCs/>
                <w:sz w:val="16"/>
                <w:szCs w:val="16"/>
              </w:rPr>
            </w:pPr>
            <w:r w:rsidRPr="00291D03">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64B65987"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5,867</w:t>
            </w:r>
          </w:p>
        </w:tc>
        <w:tc>
          <w:tcPr>
            <w:tcW w:w="844" w:type="dxa"/>
            <w:tcBorders>
              <w:top w:val="nil"/>
              <w:left w:val="nil"/>
              <w:bottom w:val="single" w:sz="4" w:space="0" w:color="auto"/>
              <w:right w:val="nil"/>
            </w:tcBorders>
            <w:shd w:val="clear" w:color="000000" w:fill="D9D9D9"/>
            <w:noWrap/>
            <w:vAlign w:val="bottom"/>
            <w:hideMark/>
          </w:tcPr>
          <w:p w14:paraId="429578DE"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6,254</w:t>
            </w:r>
          </w:p>
        </w:tc>
        <w:tc>
          <w:tcPr>
            <w:tcW w:w="861" w:type="dxa"/>
            <w:tcBorders>
              <w:top w:val="nil"/>
              <w:left w:val="nil"/>
              <w:bottom w:val="single" w:sz="4" w:space="0" w:color="auto"/>
              <w:right w:val="nil"/>
            </w:tcBorders>
            <w:shd w:val="clear" w:color="auto" w:fill="auto"/>
            <w:noWrap/>
            <w:vAlign w:val="bottom"/>
            <w:hideMark/>
          </w:tcPr>
          <w:p w14:paraId="7B4ABAE8"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6,387</w:t>
            </w:r>
          </w:p>
        </w:tc>
        <w:tc>
          <w:tcPr>
            <w:tcW w:w="861" w:type="dxa"/>
            <w:tcBorders>
              <w:top w:val="nil"/>
              <w:left w:val="nil"/>
              <w:bottom w:val="single" w:sz="4" w:space="0" w:color="auto"/>
              <w:right w:val="nil"/>
            </w:tcBorders>
            <w:shd w:val="clear" w:color="auto" w:fill="auto"/>
            <w:noWrap/>
            <w:vAlign w:val="bottom"/>
            <w:hideMark/>
          </w:tcPr>
          <w:p w14:paraId="7CF14373"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6,465</w:t>
            </w:r>
          </w:p>
        </w:tc>
        <w:tc>
          <w:tcPr>
            <w:tcW w:w="861" w:type="dxa"/>
            <w:tcBorders>
              <w:top w:val="nil"/>
              <w:left w:val="nil"/>
              <w:bottom w:val="single" w:sz="4" w:space="0" w:color="auto"/>
              <w:right w:val="nil"/>
            </w:tcBorders>
            <w:shd w:val="clear" w:color="auto" w:fill="auto"/>
            <w:noWrap/>
            <w:vAlign w:val="bottom"/>
            <w:hideMark/>
          </w:tcPr>
          <w:p w14:paraId="4EB585A4"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6,516</w:t>
            </w:r>
          </w:p>
        </w:tc>
      </w:tr>
      <w:tr w:rsidR="00291D03" w:rsidRPr="00291D03" w14:paraId="7AFAE143" w14:textId="77777777" w:rsidTr="00291D03">
        <w:trPr>
          <w:trHeight w:val="300"/>
        </w:trPr>
        <w:tc>
          <w:tcPr>
            <w:tcW w:w="3052" w:type="dxa"/>
            <w:tcBorders>
              <w:top w:val="nil"/>
              <w:left w:val="nil"/>
              <w:bottom w:val="nil"/>
              <w:right w:val="nil"/>
            </w:tcBorders>
            <w:shd w:val="clear" w:color="auto" w:fill="auto"/>
            <w:noWrap/>
            <w:vAlign w:val="bottom"/>
            <w:hideMark/>
          </w:tcPr>
          <w:p w14:paraId="133A8249" w14:textId="77777777" w:rsidR="00291D03" w:rsidRPr="00291D03" w:rsidRDefault="00291D03" w:rsidP="00291D03">
            <w:pPr>
              <w:spacing w:after="0"/>
              <w:ind w:firstLineChars="100" w:firstLine="160"/>
              <w:rPr>
                <w:rFonts w:ascii="Arial" w:hAnsi="Arial" w:cs="Arial"/>
                <w:b/>
                <w:bCs/>
                <w:sz w:val="16"/>
                <w:szCs w:val="16"/>
              </w:rPr>
            </w:pPr>
            <w:r w:rsidRPr="00291D0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6A4D84D" w14:textId="77777777" w:rsidR="00291D03" w:rsidRPr="00291D03" w:rsidRDefault="00291D03" w:rsidP="00291D0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D0ADB23"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6485AD65" w14:textId="77777777" w:rsidR="00291D03" w:rsidRPr="00291D03" w:rsidRDefault="00291D03" w:rsidP="00291D0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7759FA2B" w14:textId="77777777" w:rsidR="00291D03" w:rsidRPr="00291D03" w:rsidRDefault="00291D03" w:rsidP="00291D0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51DF34D6" w14:textId="77777777" w:rsidR="00291D03" w:rsidRPr="00291D03" w:rsidRDefault="00291D03" w:rsidP="00291D03">
            <w:pPr>
              <w:spacing w:after="0"/>
              <w:jc w:val="right"/>
              <w:rPr>
                <w:rFonts w:ascii="Times New Roman" w:hAnsi="Times New Roman"/>
                <w:color w:val="auto"/>
                <w:sz w:val="20"/>
              </w:rPr>
            </w:pPr>
          </w:p>
        </w:tc>
      </w:tr>
      <w:tr w:rsidR="00291D03" w:rsidRPr="00291D03" w14:paraId="7FC31BB9" w14:textId="77777777" w:rsidTr="00291D03">
        <w:trPr>
          <w:trHeight w:val="225"/>
        </w:trPr>
        <w:tc>
          <w:tcPr>
            <w:tcW w:w="3052" w:type="dxa"/>
            <w:tcBorders>
              <w:top w:val="nil"/>
              <w:left w:val="nil"/>
              <w:bottom w:val="nil"/>
              <w:right w:val="nil"/>
            </w:tcBorders>
            <w:shd w:val="clear" w:color="auto" w:fill="auto"/>
            <w:noWrap/>
            <w:vAlign w:val="bottom"/>
            <w:hideMark/>
          </w:tcPr>
          <w:p w14:paraId="05A0BA49" w14:textId="77777777" w:rsidR="00291D03" w:rsidRPr="00291D03" w:rsidRDefault="00291D03" w:rsidP="00291D03">
            <w:pPr>
              <w:spacing w:after="0"/>
              <w:ind w:leftChars="150" w:left="285"/>
              <w:rPr>
                <w:rFonts w:ascii="Arial" w:hAnsi="Arial" w:cs="Arial"/>
                <w:sz w:val="16"/>
                <w:szCs w:val="16"/>
              </w:rPr>
            </w:pPr>
            <w:r w:rsidRPr="00291D03">
              <w:rPr>
                <w:rFonts w:ascii="Arial" w:hAnsi="Arial" w:cs="Arial"/>
                <w:sz w:val="16"/>
                <w:szCs w:val="16"/>
              </w:rPr>
              <w:t>Employees</w:t>
            </w:r>
          </w:p>
        </w:tc>
        <w:tc>
          <w:tcPr>
            <w:tcW w:w="881" w:type="dxa"/>
            <w:tcBorders>
              <w:top w:val="nil"/>
              <w:left w:val="nil"/>
              <w:bottom w:val="nil"/>
              <w:right w:val="nil"/>
            </w:tcBorders>
            <w:shd w:val="clear" w:color="auto" w:fill="auto"/>
            <w:noWrap/>
            <w:vAlign w:val="bottom"/>
            <w:hideMark/>
          </w:tcPr>
          <w:p w14:paraId="02172836"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3,715</w:t>
            </w:r>
          </w:p>
        </w:tc>
        <w:tc>
          <w:tcPr>
            <w:tcW w:w="844" w:type="dxa"/>
            <w:tcBorders>
              <w:top w:val="nil"/>
              <w:left w:val="nil"/>
              <w:bottom w:val="nil"/>
              <w:right w:val="nil"/>
            </w:tcBorders>
            <w:shd w:val="clear" w:color="000000" w:fill="D9D9D9"/>
            <w:noWrap/>
            <w:vAlign w:val="bottom"/>
            <w:hideMark/>
          </w:tcPr>
          <w:p w14:paraId="4D6E611B"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4,173</w:t>
            </w:r>
          </w:p>
        </w:tc>
        <w:tc>
          <w:tcPr>
            <w:tcW w:w="861" w:type="dxa"/>
            <w:tcBorders>
              <w:top w:val="nil"/>
              <w:left w:val="nil"/>
              <w:bottom w:val="nil"/>
              <w:right w:val="nil"/>
            </w:tcBorders>
            <w:shd w:val="clear" w:color="auto" w:fill="auto"/>
            <w:noWrap/>
            <w:vAlign w:val="bottom"/>
            <w:hideMark/>
          </w:tcPr>
          <w:p w14:paraId="1E901936"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4,274</w:t>
            </w:r>
          </w:p>
        </w:tc>
        <w:tc>
          <w:tcPr>
            <w:tcW w:w="861" w:type="dxa"/>
            <w:tcBorders>
              <w:top w:val="nil"/>
              <w:left w:val="nil"/>
              <w:bottom w:val="nil"/>
              <w:right w:val="nil"/>
            </w:tcBorders>
            <w:shd w:val="clear" w:color="auto" w:fill="auto"/>
            <w:noWrap/>
            <w:vAlign w:val="bottom"/>
            <w:hideMark/>
          </w:tcPr>
          <w:p w14:paraId="1923F347"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4,447</w:t>
            </w:r>
          </w:p>
        </w:tc>
        <w:tc>
          <w:tcPr>
            <w:tcW w:w="861" w:type="dxa"/>
            <w:tcBorders>
              <w:top w:val="nil"/>
              <w:left w:val="nil"/>
              <w:bottom w:val="nil"/>
              <w:right w:val="nil"/>
            </w:tcBorders>
            <w:shd w:val="clear" w:color="auto" w:fill="auto"/>
            <w:noWrap/>
            <w:vAlign w:val="bottom"/>
            <w:hideMark/>
          </w:tcPr>
          <w:p w14:paraId="1338A949"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4,482</w:t>
            </w:r>
          </w:p>
        </w:tc>
      </w:tr>
      <w:tr w:rsidR="00291D03" w:rsidRPr="00291D03" w14:paraId="2F265178" w14:textId="77777777" w:rsidTr="00291D03">
        <w:trPr>
          <w:trHeight w:val="225"/>
        </w:trPr>
        <w:tc>
          <w:tcPr>
            <w:tcW w:w="3052" w:type="dxa"/>
            <w:tcBorders>
              <w:top w:val="nil"/>
              <w:left w:val="nil"/>
              <w:bottom w:val="nil"/>
              <w:right w:val="nil"/>
            </w:tcBorders>
            <w:shd w:val="clear" w:color="auto" w:fill="auto"/>
            <w:noWrap/>
            <w:vAlign w:val="bottom"/>
            <w:hideMark/>
          </w:tcPr>
          <w:p w14:paraId="7B0B8FF9" w14:textId="77777777" w:rsidR="00291D03" w:rsidRPr="00291D03" w:rsidRDefault="00291D03" w:rsidP="00291D03">
            <w:pPr>
              <w:spacing w:after="0"/>
              <w:ind w:leftChars="150" w:left="285"/>
              <w:rPr>
                <w:rFonts w:ascii="Arial" w:hAnsi="Arial" w:cs="Arial"/>
                <w:sz w:val="16"/>
                <w:szCs w:val="16"/>
              </w:rPr>
            </w:pPr>
            <w:r w:rsidRPr="00291D03">
              <w:rPr>
                <w:rFonts w:ascii="Arial" w:hAnsi="Arial" w:cs="Arial"/>
                <w:sz w:val="16"/>
                <w:szCs w:val="16"/>
              </w:rPr>
              <w:t>Suppliers</w:t>
            </w:r>
          </w:p>
        </w:tc>
        <w:tc>
          <w:tcPr>
            <w:tcW w:w="881" w:type="dxa"/>
            <w:tcBorders>
              <w:top w:val="nil"/>
              <w:left w:val="nil"/>
              <w:bottom w:val="nil"/>
              <w:right w:val="nil"/>
            </w:tcBorders>
            <w:shd w:val="clear" w:color="auto" w:fill="auto"/>
            <w:noWrap/>
            <w:vAlign w:val="bottom"/>
            <w:hideMark/>
          </w:tcPr>
          <w:p w14:paraId="059F48C2"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1,615</w:t>
            </w:r>
          </w:p>
        </w:tc>
        <w:tc>
          <w:tcPr>
            <w:tcW w:w="844" w:type="dxa"/>
            <w:tcBorders>
              <w:top w:val="nil"/>
              <w:left w:val="nil"/>
              <w:bottom w:val="nil"/>
              <w:right w:val="nil"/>
            </w:tcBorders>
            <w:shd w:val="clear" w:color="000000" w:fill="D9D9D9"/>
            <w:noWrap/>
            <w:vAlign w:val="bottom"/>
            <w:hideMark/>
          </w:tcPr>
          <w:p w14:paraId="4AB6F359"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1,587</w:t>
            </w:r>
          </w:p>
        </w:tc>
        <w:tc>
          <w:tcPr>
            <w:tcW w:w="861" w:type="dxa"/>
            <w:tcBorders>
              <w:top w:val="nil"/>
              <w:left w:val="nil"/>
              <w:bottom w:val="nil"/>
              <w:right w:val="nil"/>
            </w:tcBorders>
            <w:shd w:val="clear" w:color="auto" w:fill="auto"/>
            <w:noWrap/>
            <w:vAlign w:val="bottom"/>
            <w:hideMark/>
          </w:tcPr>
          <w:p w14:paraId="67A27200"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1,612</w:t>
            </w:r>
          </w:p>
        </w:tc>
        <w:tc>
          <w:tcPr>
            <w:tcW w:w="861" w:type="dxa"/>
            <w:tcBorders>
              <w:top w:val="nil"/>
              <w:left w:val="nil"/>
              <w:bottom w:val="nil"/>
              <w:right w:val="nil"/>
            </w:tcBorders>
            <w:shd w:val="clear" w:color="auto" w:fill="auto"/>
            <w:noWrap/>
            <w:vAlign w:val="bottom"/>
            <w:hideMark/>
          </w:tcPr>
          <w:p w14:paraId="5DFC4D94"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1,528</w:t>
            </w:r>
          </w:p>
        </w:tc>
        <w:tc>
          <w:tcPr>
            <w:tcW w:w="861" w:type="dxa"/>
            <w:tcBorders>
              <w:top w:val="nil"/>
              <w:left w:val="nil"/>
              <w:bottom w:val="nil"/>
              <w:right w:val="nil"/>
            </w:tcBorders>
            <w:shd w:val="clear" w:color="auto" w:fill="auto"/>
            <w:noWrap/>
            <w:vAlign w:val="bottom"/>
            <w:hideMark/>
          </w:tcPr>
          <w:p w14:paraId="33390FF7"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1,536</w:t>
            </w:r>
          </w:p>
        </w:tc>
      </w:tr>
      <w:tr w:rsidR="00291D03" w:rsidRPr="00291D03" w14:paraId="414EC9D4" w14:textId="77777777" w:rsidTr="00291D03">
        <w:trPr>
          <w:trHeight w:val="225"/>
        </w:trPr>
        <w:tc>
          <w:tcPr>
            <w:tcW w:w="3052" w:type="dxa"/>
            <w:tcBorders>
              <w:top w:val="nil"/>
              <w:left w:val="nil"/>
              <w:bottom w:val="nil"/>
              <w:right w:val="nil"/>
            </w:tcBorders>
            <w:shd w:val="clear" w:color="auto" w:fill="auto"/>
            <w:noWrap/>
            <w:vAlign w:val="bottom"/>
            <w:hideMark/>
          </w:tcPr>
          <w:p w14:paraId="6C104128" w14:textId="77777777" w:rsidR="00291D03" w:rsidRPr="00291D03" w:rsidRDefault="00291D03" w:rsidP="00291D03">
            <w:pPr>
              <w:spacing w:after="0"/>
              <w:ind w:leftChars="150" w:left="285"/>
              <w:rPr>
                <w:rFonts w:ascii="Arial" w:hAnsi="Arial" w:cs="Arial"/>
                <w:sz w:val="16"/>
                <w:szCs w:val="16"/>
              </w:rPr>
            </w:pPr>
            <w:r w:rsidRPr="00291D03">
              <w:rPr>
                <w:rFonts w:ascii="Arial" w:hAnsi="Arial" w:cs="Arial"/>
                <w:sz w:val="16"/>
                <w:szCs w:val="16"/>
              </w:rPr>
              <w:t>GST paid</w:t>
            </w:r>
          </w:p>
        </w:tc>
        <w:tc>
          <w:tcPr>
            <w:tcW w:w="881" w:type="dxa"/>
            <w:tcBorders>
              <w:top w:val="nil"/>
              <w:left w:val="nil"/>
              <w:bottom w:val="nil"/>
              <w:right w:val="nil"/>
            </w:tcBorders>
            <w:shd w:val="clear" w:color="auto" w:fill="auto"/>
            <w:noWrap/>
            <w:vAlign w:val="bottom"/>
            <w:hideMark/>
          </w:tcPr>
          <w:p w14:paraId="46A09032"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159</w:t>
            </w:r>
          </w:p>
        </w:tc>
        <w:tc>
          <w:tcPr>
            <w:tcW w:w="844" w:type="dxa"/>
            <w:tcBorders>
              <w:top w:val="nil"/>
              <w:left w:val="nil"/>
              <w:bottom w:val="nil"/>
              <w:right w:val="nil"/>
            </w:tcBorders>
            <w:shd w:val="clear" w:color="000000" w:fill="D9D9D9"/>
            <w:noWrap/>
            <w:vAlign w:val="bottom"/>
            <w:hideMark/>
          </w:tcPr>
          <w:p w14:paraId="18C8A0F6"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165</w:t>
            </w:r>
          </w:p>
        </w:tc>
        <w:tc>
          <w:tcPr>
            <w:tcW w:w="861" w:type="dxa"/>
            <w:tcBorders>
              <w:top w:val="nil"/>
              <w:left w:val="nil"/>
              <w:bottom w:val="nil"/>
              <w:right w:val="nil"/>
            </w:tcBorders>
            <w:shd w:val="clear" w:color="auto" w:fill="auto"/>
            <w:noWrap/>
            <w:vAlign w:val="bottom"/>
            <w:hideMark/>
          </w:tcPr>
          <w:p w14:paraId="63D3CC31"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165</w:t>
            </w:r>
          </w:p>
        </w:tc>
        <w:tc>
          <w:tcPr>
            <w:tcW w:w="861" w:type="dxa"/>
            <w:tcBorders>
              <w:top w:val="nil"/>
              <w:left w:val="nil"/>
              <w:bottom w:val="nil"/>
              <w:right w:val="nil"/>
            </w:tcBorders>
            <w:shd w:val="clear" w:color="auto" w:fill="auto"/>
            <w:noWrap/>
            <w:vAlign w:val="bottom"/>
            <w:hideMark/>
          </w:tcPr>
          <w:p w14:paraId="4F4D50F0"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200</w:t>
            </w:r>
          </w:p>
        </w:tc>
        <w:tc>
          <w:tcPr>
            <w:tcW w:w="861" w:type="dxa"/>
            <w:tcBorders>
              <w:top w:val="nil"/>
              <w:left w:val="nil"/>
              <w:bottom w:val="nil"/>
              <w:right w:val="nil"/>
            </w:tcBorders>
            <w:shd w:val="clear" w:color="auto" w:fill="auto"/>
            <w:noWrap/>
            <w:vAlign w:val="bottom"/>
            <w:hideMark/>
          </w:tcPr>
          <w:p w14:paraId="6426D88F"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200</w:t>
            </w:r>
          </w:p>
        </w:tc>
      </w:tr>
      <w:tr w:rsidR="00291D03" w:rsidRPr="00291D03" w14:paraId="4A3ABF1B" w14:textId="77777777" w:rsidTr="00291D03">
        <w:trPr>
          <w:trHeight w:val="225"/>
        </w:trPr>
        <w:tc>
          <w:tcPr>
            <w:tcW w:w="3052" w:type="dxa"/>
            <w:tcBorders>
              <w:top w:val="nil"/>
              <w:left w:val="nil"/>
              <w:bottom w:val="nil"/>
              <w:right w:val="nil"/>
            </w:tcBorders>
            <w:shd w:val="clear" w:color="auto" w:fill="auto"/>
            <w:noWrap/>
            <w:vAlign w:val="bottom"/>
            <w:hideMark/>
          </w:tcPr>
          <w:p w14:paraId="06A1A8BB" w14:textId="77777777" w:rsidR="00291D03" w:rsidRPr="00291D03" w:rsidRDefault="00291D03" w:rsidP="00291D03">
            <w:pPr>
              <w:spacing w:after="0"/>
              <w:ind w:leftChars="150" w:left="285"/>
              <w:rPr>
                <w:rFonts w:ascii="Arial" w:hAnsi="Arial" w:cs="Arial"/>
                <w:sz w:val="16"/>
                <w:szCs w:val="16"/>
              </w:rPr>
            </w:pPr>
            <w:r w:rsidRPr="00291D03">
              <w:rPr>
                <w:rFonts w:ascii="Arial" w:hAnsi="Arial" w:cs="Arial"/>
                <w:sz w:val="16"/>
                <w:szCs w:val="16"/>
              </w:rPr>
              <w:t>Interest payments on lease liability</w:t>
            </w:r>
          </w:p>
        </w:tc>
        <w:tc>
          <w:tcPr>
            <w:tcW w:w="881" w:type="dxa"/>
            <w:tcBorders>
              <w:top w:val="nil"/>
              <w:left w:val="nil"/>
              <w:bottom w:val="nil"/>
              <w:right w:val="nil"/>
            </w:tcBorders>
            <w:shd w:val="clear" w:color="auto" w:fill="auto"/>
            <w:noWrap/>
            <w:vAlign w:val="bottom"/>
            <w:hideMark/>
          </w:tcPr>
          <w:p w14:paraId="02D2B1D4"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6</w:t>
            </w:r>
          </w:p>
        </w:tc>
        <w:tc>
          <w:tcPr>
            <w:tcW w:w="844" w:type="dxa"/>
            <w:tcBorders>
              <w:top w:val="nil"/>
              <w:left w:val="nil"/>
              <w:bottom w:val="nil"/>
              <w:right w:val="nil"/>
            </w:tcBorders>
            <w:shd w:val="clear" w:color="000000" w:fill="D9D9D9"/>
            <w:noWrap/>
            <w:vAlign w:val="bottom"/>
            <w:hideMark/>
          </w:tcPr>
          <w:p w14:paraId="67FCC5B7"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14</w:t>
            </w:r>
          </w:p>
        </w:tc>
        <w:tc>
          <w:tcPr>
            <w:tcW w:w="861" w:type="dxa"/>
            <w:tcBorders>
              <w:top w:val="nil"/>
              <w:left w:val="nil"/>
              <w:bottom w:val="nil"/>
              <w:right w:val="nil"/>
            </w:tcBorders>
            <w:shd w:val="clear" w:color="auto" w:fill="auto"/>
            <w:noWrap/>
            <w:vAlign w:val="bottom"/>
            <w:hideMark/>
          </w:tcPr>
          <w:p w14:paraId="6739E40F"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10</w:t>
            </w:r>
          </w:p>
        </w:tc>
        <w:tc>
          <w:tcPr>
            <w:tcW w:w="861" w:type="dxa"/>
            <w:tcBorders>
              <w:top w:val="nil"/>
              <w:left w:val="nil"/>
              <w:bottom w:val="nil"/>
              <w:right w:val="nil"/>
            </w:tcBorders>
            <w:shd w:val="clear" w:color="auto" w:fill="auto"/>
            <w:noWrap/>
            <w:vAlign w:val="bottom"/>
            <w:hideMark/>
          </w:tcPr>
          <w:p w14:paraId="32EEF77B"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10</w:t>
            </w:r>
          </w:p>
        </w:tc>
        <w:tc>
          <w:tcPr>
            <w:tcW w:w="861" w:type="dxa"/>
            <w:tcBorders>
              <w:top w:val="nil"/>
              <w:left w:val="nil"/>
              <w:bottom w:val="nil"/>
              <w:right w:val="nil"/>
            </w:tcBorders>
            <w:shd w:val="clear" w:color="auto" w:fill="auto"/>
            <w:noWrap/>
            <w:vAlign w:val="bottom"/>
            <w:hideMark/>
          </w:tcPr>
          <w:p w14:paraId="1498EFF8"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10</w:t>
            </w:r>
          </w:p>
        </w:tc>
      </w:tr>
      <w:tr w:rsidR="00291D03" w:rsidRPr="00291D03" w14:paraId="1A1EC278" w14:textId="77777777" w:rsidTr="00291D03">
        <w:trPr>
          <w:trHeight w:val="225"/>
        </w:trPr>
        <w:tc>
          <w:tcPr>
            <w:tcW w:w="3052" w:type="dxa"/>
            <w:tcBorders>
              <w:top w:val="nil"/>
              <w:left w:val="nil"/>
              <w:bottom w:val="nil"/>
              <w:right w:val="nil"/>
            </w:tcBorders>
            <w:shd w:val="clear" w:color="auto" w:fill="auto"/>
            <w:noWrap/>
            <w:vAlign w:val="bottom"/>
            <w:hideMark/>
          </w:tcPr>
          <w:p w14:paraId="4AC2499F" w14:textId="77777777" w:rsidR="00291D03" w:rsidRPr="00291D03" w:rsidRDefault="00291D03" w:rsidP="00291D03">
            <w:pPr>
              <w:spacing w:after="0"/>
              <w:ind w:leftChars="150" w:left="285"/>
              <w:rPr>
                <w:rFonts w:ascii="Arial" w:hAnsi="Arial" w:cs="Arial"/>
                <w:sz w:val="16"/>
                <w:szCs w:val="16"/>
              </w:rPr>
            </w:pPr>
            <w:r w:rsidRPr="00291D03">
              <w:rPr>
                <w:rFonts w:ascii="Arial" w:hAnsi="Arial" w:cs="Arial"/>
                <w:sz w:val="16"/>
                <w:szCs w:val="16"/>
              </w:rPr>
              <w:t>Cash to the OPA</w:t>
            </w:r>
          </w:p>
        </w:tc>
        <w:tc>
          <w:tcPr>
            <w:tcW w:w="881" w:type="dxa"/>
            <w:tcBorders>
              <w:top w:val="nil"/>
              <w:left w:val="nil"/>
              <w:bottom w:val="nil"/>
              <w:right w:val="nil"/>
            </w:tcBorders>
            <w:shd w:val="clear" w:color="auto" w:fill="auto"/>
            <w:noWrap/>
            <w:vAlign w:val="bottom"/>
            <w:hideMark/>
          </w:tcPr>
          <w:p w14:paraId="1A8F384C"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172</w:t>
            </w:r>
          </w:p>
        </w:tc>
        <w:tc>
          <w:tcPr>
            <w:tcW w:w="844" w:type="dxa"/>
            <w:tcBorders>
              <w:top w:val="nil"/>
              <w:left w:val="nil"/>
              <w:bottom w:val="nil"/>
              <w:right w:val="nil"/>
            </w:tcBorders>
            <w:shd w:val="clear" w:color="000000" w:fill="D9D9D9"/>
            <w:noWrap/>
            <w:vAlign w:val="bottom"/>
            <w:hideMark/>
          </w:tcPr>
          <w:p w14:paraId="036F85CB"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686C697A"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22175805"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74988477"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r>
      <w:tr w:rsidR="00291D03" w:rsidRPr="00291D03" w14:paraId="31E3F32D" w14:textId="77777777" w:rsidTr="00291D03">
        <w:trPr>
          <w:trHeight w:val="225"/>
        </w:trPr>
        <w:tc>
          <w:tcPr>
            <w:tcW w:w="3052" w:type="dxa"/>
            <w:tcBorders>
              <w:top w:val="nil"/>
              <w:left w:val="nil"/>
              <w:bottom w:val="nil"/>
              <w:right w:val="nil"/>
            </w:tcBorders>
            <w:shd w:val="clear" w:color="auto" w:fill="auto"/>
            <w:noWrap/>
            <w:vAlign w:val="bottom"/>
            <w:hideMark/>
          </w:tcPr>
          <w:p w14:paraId="2917252D" w14:textId="77777777" w:rsidR="00291D03" w:rsidRPr="00291D03" w:rsidRDefault="00291D03" w:rsidP="00291D03">
            <w:pPr>
              <w:spacing w:after="0"/>
              <w:ind w:leftChars="150" w:left="285"/>
              <w:rPr>
                <w:rFonts w:ascii="Arial" w:hAnsi="Arial" w:cs="Arial"/>
                <w:sz w:val="16"/>
                <w:szCs w:val="16"/>
              </w:rPr>
            </w:pPr>
            <w:r w:rsidRPr="00291D03">
              <w:rPr>
                <w:rFonts w:ascii="Arial" w:hAnsi="Arial" w:cs="Arial"/>
                <w:sz w:val="16"/>
                <w:szCs w:val="16"/>
              </w:rPr>
              <w:t>Other</w:t>
            </w:r>
          </w:p>
        </w:tc>
        <w:tc>
          <w:tcPr>
            <w:tcW w:w="881" w:type="dxa"/>
            <w:tcBorders>
              <w:top w:val="nil"/>
              <w:left w:val="nil"/>
              <w:bottom w:val="nil"/>
              <w:right w:val="nil"/>
            </w:tcBorders>
            <w:shd w:val="clear" w:color="auto" w:fill="auto"/>
            <w:noWrap/>
            <w:vAlign w:val="bottom"/>
            <w:hideMark/>
          </w:tcPr>
          <w:p w14:paraId="77F9EFEF"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4A7693B1"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420CCE7C"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005A3515"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c>
          <w:tcPr>
            <w:tcW w:w="861" w:type="dxa"/>
            <w:tcBorders>
              <w:top w:val="nil"/>
              <w:left w:val="nil"/>
              <w:bottom w:val="nil"/>
              <w:right w:val="nil"/>
            </w:tcBorders>
            <w:shd w:val="clear" w:color="auto" w:fill="auto"/>
            <w:noWrap/>
            <w:vAlign w:val="bottom"/>
            <w:hideMark/>
          </w:tcPr>
          <w:p w14:paraId="1FB3056D"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r>
      <w:tr w:rsidR="00291D03" w:rsidRPr="00291D03" w14:paraId="3C0D28A4" w14:textId="77777777" w:rsidTr="00291D03">
        <w:trPr>
          <w:trHeight w:val="225"/>
        </w:trPr>
        <w:tc>
          <w:tcPr>
            <w:tcW w:w="3052" w:type="dxa"/>
            <w:tcBorders>
              <w:top w:val="nil"/>
              <w:left w:val="nil"/>
              <w:bottom w:val="nil"/>
              <w:right w:val="nil"/>
            </w:tcBorders>
            <w:shd w:val="clear" w:color="auto" w:fill="auto"/>
            <w:noWrap/>
            <w:vAlign w:val="bottom"/>
            <w:hideMark/>
          </w:tcPr>
          <w:p w14:paraId="10F4DFA4" w14:textId="77777777" w:rsidR="00291D03" w:rsidRPr="00291D03" w:rsidRDefault="00291D03" w:rsidP="00291D03">
            <w:pPr>
              <w:spacing w:after="0"/>
              <w:ind w:leftChars="150" w:left="285"/>
              <w:rPr>
                <w:rFonts w:ascii="Arial" w:hAnsi="Arial" w:cs="Arial"/>
                <w:b/>
                <w:bCs/>
                <w:sz w:val="16"/>
                <w:szCs w:val="16"/>
              </w:rPr>
            </w:pPr>
            <w:r w:rsidRPr="00291D0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1D344556"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5,667</w:t>
            </w:r>
          </w:p>
        </w:tc>
        <w:tc>
          <w:tcPr>
            <w:tcW w:w="844" w:type="dxa"/>
            <w:tcBorders>
              <w:top w:val="nil"/>
              <w:left w:val="nil"/>
              <w:bottom w:val="single" w:sz="4" w:space="0" w:color="auto"/>
              <w:right w:val="nil"/>
            </w:tcBorders>
            <w:shd w:val="clear" w:color="000000" w:fill="D9D9D9"/>
            <w:noWrap/>
            <w:vAlign w:val="bottom"/>
            <w:hideMark/>
          </w:tcPr>
          <w:p w14:paraId="7954B4E7"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5,939</w:t>
            </w:r>
          </w:p>
        </w:tc>
        <w:tc>
          <w:tcPr>
            <w:tcW w:w="861" w:type="dxa"/>
            <w:tcBorders>
              <w:top w:val="nil"/>
              <w:left w:val="nil"/>
              <w:bottom w:val="single" w:sz="4" w:space="0" w:color="auto"/>
              <w:right w:val="nil"/>
            </w:tcBorders>
            <w:shd w:val="clear" w:color="auto" w:fill="auto"/>
            <w:noWrap/>
            <w:vAlign w:val="bottom"/>
            <w:hideMark/>
          </w:tcPr>
          <w:p w14:paraId="41ACF8C1"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6,061</w:t>
            </w:r>
          </w:p>
        </w:tc>
        <w:tc>
          <w:tcPr>
            <w:tcW w:w="861" w:type="dxa"/>
            <w:tcBorders>
              <w:top w:val="nil"/>
              <w:left w:val="nil"/>
              <w:bottom w:val="single" w:sz="4" w:space="0" w:color="auto"/>
              <w:right w:val="nil"/>
            </w:tcBorders>
            <w:shd w:val="clear" w:color="auto" w:fill="auto"/>
            <w:noWrap/>
            <w:vAlign w:val="bottom"/>
            <w:hideMark/>
          </w:tcPr>
          <w:p w14:paraId="23CFE140"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6,185</w:t>
            </w:r>
          </w:p>
        </w:tc>
        <w:tc>
          <w:tcPr>
            <w:tcW w:w="861" w:type="dxa"/>
            <w:tcBorders>
              <w:top w:val="nil"/>
              <w:left w:val="nil"/>
              <w:bottom w:val="single" w:sz="4" w:space="0" w:color="auto"/>
              <w:right w:val="nil"/>
            </w:tcBorders>
            <w:shd w:val="clear" w:color="auto" w:fill="auto"/>
            <w:noWrap/>
            <w:vAlign w:val="bottom"/>
            <w:hideMark/>
          </w:tcPr>
          <w:p w14:paraId="7901259E"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6,228</w:t>
            </w:r>
          </w:p>
        </w:tc>
      </w:tr>
      <w:tr w:rsidR="00291D03" w:rsidRPr="00291D03" w14:paraId="0FC159D6" w14:textId="77777777" w:rsidTr="00291D03">
        <w:trPr>
          <w:trHeight w:val="450"/>
        </w:trPr>
        <w:tc>
          <w:tcPr>
            <w:tcW w:w="3052" w:type="dxa"/>
            <w:tcBorders>
              <w:top w:val="nil"/>
              <w:left w:val="nil"/>
              <w:bottom w:val="nil"/>
              <w:right w:val="nil"/>
            </w:tcBorders>
            <w:shd w:val="clear" w:color="auto" w:fill="auto"/>
            <w:vAlign w:val="bottom"/>
            <w:hideMark/>
          </w:tcPr>
          <w:p w14:paraId="5FDCFA5C" w14:textId="77777777" w:rsidR="00291D03" w:rsidRPr="00291D03" w:rsidRDefault="00291D03" w:rsidP="00291D03">
            <w:pPr>
              <w:spacing w:after="0"/>
              <w:ind w:leftChars="75" w:left="143"/>
              <w:rPr>
                <w:rFonts w:ascii="Arial" w:hAnsi="Arial" w:cs="Arial"/>
                <w:b/>
                <w:bCs/>
                <w:sz w:val="16"/>
                <w:szCs w:val="16"/>
              </w:rPr>
            </w:pPr>
            <w:r w:rsidRPr="00291D03">
              <w:rPr>
                <w:rFonts w:ascii="Arial" w:hAnsi="Arial" w:cs="Arial"/>
                <w:b/>
                <w:bCs/>
                <w:sz w:val="16"/>
                <w:szCs w:val="16"/>
              </w:rPr>
              <w:t>Net cash from (or used by) operating activities</w:t>
            </w:r>
          </w:p>
        </w:tc>
        <w:tc>
          <w:tcPr>
            <w:tcW w:w="881" w:type="dxa"/>
            <w:tcBorders>
              <w:top w:val="nil"/>
              <w:left w:val="nil"/>
              <w:bottom w:val="single" w:sz="4" w:space="0" w:color="auto"/>
              <w:right w:val="nil"/>
            </w:tcBorders>
            <w:shd w:val="clear" w:color="auto" w:fill="auto"/>
            <w:noWrap/>
            <w:vAlign w:val="bottom"/>
            <w:hideMark/>
          </w:tcPr>
          <w:p w14:paraId="3B7D9302"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200</w:t>
            </w:r>
          </w:p>
        </w:tc>
        <w:tc>
          <w:tcPr>
            <w:tcW w:w="844" w:type="dxa"/>
            <w:tcBorders>
              <w:top w:val="nil"/>
              <w:left w:val="nil"/>
              <w:bottom w:val="single" w:sz="4" w:space="0" w:color="auto"/>
              <w:right w:val="nil"/>
            </w:tcBorders>
            <w:shd w:val="clear" w:color="000000" w:fill="D9D9D9"/>
            <w:noWrap/>
            <w:vAlign w:val="bottom"/>
            <w:hideMark/>
          </w:tcPr>
          <w:p w14:paraId="5B7D89AB"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315</w:t>
            </w:r>
          </w:p>
        </w:tc>
        <w:tc>
          <w:tcPr>
            <w:tcW w:w="861" w:type="dxa"/>
            <w:tcBorders>
              <w:top w:val="nil"/>
              <w:left w:val="nil"/>
              <w:bottom w:val="single" w:sz="4" w:space="0" w:color="auto"/>
              <w:right w:val="nil"/>
            </w:tcBorders>
            <w:shd w:val="clear" w:color="auto" w:fill="auto"/>
            <w:noWrap/>
            <w:vAlign w:val="bottom"/>
            <w:hideMark/>
          </w:tcPr>
          <w:p w14:paraId="7A174C12"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326</w:t>
            </w:r>
          </w:p>
        </w:tc>
        <w:tc>
          <w:tcPr>
            <w:tcW w:w="861" w:type="dxa"/>
            <w:tcBorders>
              <w:top w:val="nil"/>
              <w:left w:val="nil"/>
              <w:bottom w:val="single" w:sz="4" w:space="0" w:color="auto"/>
              <w:right w:val="nil"/>
            </w:tcBorders>
            <w:shd w:val="clear" w:color="auto" w:fill="auto"/>
            <w:noWrap/>
            <w:vAlign w:val="bottom"/>
            <w:hideMark/>
          </w:tcPr>
          <w:p w14:paraId="6ACE3E68"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280</w:t>
            </w:r>
          </w:p>
        </w:tc>
        <w:tc>
          <w:tcPr>
            <w:tcW w:w="861" w:type="dxa"/>
            <w:tcBorders>
              <w:top w:val="nil"/>
              <w:left w:val="nil"/>
              <w:bottom w:val="single" w:sz="4" w:space="0" w:color="auto"/>
              <w:right w:val="nil"/>
            </w:tcBorders>
            <w:shd w:val="clear" w:color="auto" w:fill="auto"/>
            <w:noWrap/>
            <w:vAlign w:val="bottom"/>
            <w:hideMark/>
          </w:tcPr>
          <w:p w14:paraId="053CFCF8"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288</w:t>
            </w:r>
          </w:p>
        </w:tc>
      </w:tr>
      <w:tr w:rsidR="00291D03" w:rsidRPr="00291D03" w14:paraId="6C860A9A" w14:textId="77777777" w:rsidTr="00291D03">
        <w:trPr>
          <w:trHeight w:val="300"/>
        </w:trPr>
        <w:tc>
          <w:tcPr>
            <w:tcW w:w="3052" w:type="dxa"/>
            <w:tcBorders>
              <w:top w:val="nil"/>
              <w:left w:val="nil"/>
              <w:bottom w:val="nil"/>
              <w:right w:val="nil"/>
            </w:tcBorders>
            <w:shd w:val="clear" w:color="auto" w:fill="auto"/>
            <w:noWrap/>
            <w:vAlign w:val="bottom"/>
            <w:hideMark/>
          </w:tcPr>
          <w:p w14:paraId="07A032E0" w14:textId="77777777" w:rsidR="00291D03" w:rsidRPr="00291D03" w:rsidRDefault="00291D03" w:rsidP="00291D03">
            <w:pPr>
              <w:spacing w:after="0"/>
              <w:rPr>
                <w:rFonts w:ascii="Arial" w:hAnsi="Arial" w:cs="Arial"/>
                <w:b/>
                <w:bCs/>
                <w:sz w:val="16"/>
                <w:szCs w:val="16"/>
              </w:rPr>
            </w:pPr>
            <w:r w:rsidRPr="00291D03">
              <w:rPr>
                <w:rFonts w:ascii="Arial" w:hAnsi="Arial" w:cs="Arial"/>
                <w:b/>
                <w:bCs/>
                <w:sz w:val="16"/>
                <w:szCs w:val="16"/>
              </w:rPr>
              <w:t>INVESTING ACTIVITIES</w:t>
            </w:r>
          </w:p>
        </w:tc>
        <w:tc>
          <w:tcPr>
            <w:tcW w:w="881" w:type="dxa"/>
            <w:tcBorders>
              <w:top w:val="nil"/>
              <w:left w:val="nil"/>
              <w:bottom w:val="nil"/>
              <w:right w:val="nil"/>
            </w:tcBorders>
            <w:shd w:val="clear" w:color="auto" w:fill="auto"/>
            <w:noWrap/>
            <w:vAlign w:val="bottom"/>
            <w:hideMark/>
          </w:tcPr>
          <w:p w14:paraId="27CC5D78" w14:textId="77777777" w:rsidR="00291D03" w:rsidRPr="00291D03" w:rsidRDefault="00291D03" w:rsidP="00291D03">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662A90DE"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0A049168" w14:textId="77777777" w:rsidR="00291D03" w:rsidRPr="00291D03" w:rsidRDefault="00291D03" w:rsidP="00291D0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C4B06D0" w14:textId="77777777" w:rsidR="00291D03" w:rsidRPr="00291D03" w:rsidRDefault="00291D03" w:rsidP="00291D0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15515712" w14:textId="77777777" w:rsidR="00291D03" w:rsidRPr="00291D03" w:rsidRDefault="00291D03" w:rsidP="00291D03">
            <w:pPr>
              <w:spacing w:after="0"/>
              <w:jc w:val="right"/>
              <w:rPr>
                <w:rFonts w:ascii="Times New Roman" w:hAnsi="Times New Roman"/>
                <w:color w:val="auto"/>
                <w:sz w:val="20"/>
              </w:rPr>
            </w:pPr>
          </w:p>
        </w:tc>
      </w:tr>
      <w:tr w:rsidR="00291D03" w:rsidRPr="00291D03" w14:paraId="63CEA246" w14:textId="77777777" w:rsidTr="00291D03">
        <w:trPr>
          <w:trHeight w:val="225"/>
        </w:trPr>
        <w:tc>
          <w:tcPr>
            <w:tcW w:w="3052" w:type="dxa"/>
            <w:tcBorders>
              <w:top w:val="nil"/>
              <w:left w:val="nil"/>
              <w:bottom w:val="nil"/>
              <w:right w:val="nil"/>
            </w:tcBorders>
            <w:shd w:val="clear" w:color="auto" w:fill="auto"/>
            <w:noWrap/>
            <w:vAlign w:val="bottom"/>
            <w:hideMark/>
          </w:tcPr>
          <w:p w14:paraId="6D51B792" w14:textId="77777777" w:rsidR="00291D03" w:rsidRPr="00291D03" w:rsidRDefault="00291D03" w:rsidP="00291D03">
            <w:pPr>
              <w:spacing w:after="0"/>
              <w:ind w:firstLineChars="100" w:firstLine="160"/>
              <w:rPr>
                <w:rFonts w:ascii="Arial" w:hAnsi="Arial" w:cs="Arial"/>
                <w:b/>
                <w:bCs/>
                <w:sz w:val="16"/>
                <w:szCs w:val="16"/>
              </w:rPr>
            </w:pPr>
            <w:r w:rsidRPr="00291D0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72FC3F2B" w14:textId="77777777" w:rsidR="00291D03" w:rsidRPr="00291D03" w:rsidRDefault="00291D03" w:rsidP="00291D0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52103A73"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39F21EC" w14:textId="77777777" w:rsidR="00291D03" w:rsidRPr="00291D03" w:rsidRDefault="00291D03" w:rsidP="00291D0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AE533E7" w14:textId="77777777" w:rsidR="00291D03" w:rsidRPr="00291D03" w:rsidRDefault="00291D03" w:rsidP="00291D0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604DE3C" w14:textId="77777777" w:rsidR="00291D03" w:rsidRPr="00291D03" w:rsidRDefault="00291D03" w:rsidP="00291D03">
            <w:pPr>
              <w:spacing w:after="0"/>
              <w:jc w:val="right"/>
              <w:rPr>
                <w:rFonts w:ascii="Times New Roman" w:hAnsi="Times New Roman"/>
                <w:color w:val="auto"/>
                <w:sz w:val="20"/>
              </w:rPr>
            </w:pPr>
          </w:p>
        </w:tc>
      </w:tr>
      <w:tr w:rsidR="00291D03" w:rsidRPr="00291D03" w14:paraId="10171854" w14:textId="77777777" w:rsidTr="00291D03">
        <w:trPr>
          <w:trHeight w:val="450"/>
        </w:trPr>
        <w:tc>
          <w:tcPr>
            <w:tcW w:w="3052" w:type="dxa"/>
            <w:tcBorders>
              <w:top w:val="nil"/>
              <w:left w:val="nil"/>
              <w:bottom w:val="nil"/>
              <w:right w:val="nil"/>
            </w:tcBorders>
            <w:shd w:val="clear" w:color="auto" w:fill="auto"/>
            <w:vAlign w:val="bottom"/>
            <w:hideMark/>
          </w:tcPr>
          <w:p w14:paraId="093448A6" w14:textId="77777777" w:rsidR="00291D03" w:rsidRPr="00291D03" w:rsidRDefault="00291D03" w:rsidP="00291D03">
            <w:pPr>
              <w:spacing w:after="0"/>
              <w:ind w:leftChars="150" w:left="285"/>
              <w:rPr>
                <w:rFonts w:ascii="Arial" w:hAnsi="Arial" w:cs="Arial"/>
                <w:sz w:val="16"/>
                <w:szCs w:val="16"/>
              </w:rPr>
            </w:pPr>
            <w:r w:rsidRPr="00291D03">
              <w:rPr>
                <w:rFonts w:ascii="Arial" w:hAnsi="Arial" w:cs="Arial"/>
                <w:sz w:val="16"/>
                <w:szCs w:val="16"/>
              </w:rPr>
              <w:t>Purchase of property, plant and equipment</w:t>
            </w:r>
          </w:p>
        </w:tc>
        <w:tc>
          <w:tcPr>
            <w:tcW w:w="881" w:type="dxa"/>
            <w:tcBorders>
              <w:top w:val="nil"/>
              <w:left w:val="nil"/>
              <w:bottom w:val="nil"/>
              <w:right w:val="nil"/>
            </w:tcBorders>
            <w:shd w:val="clear" w:color="auto" w:fill="auto"/>
            <w:noWrap/>
            <w:vAlign w:val="bottom"/>
            <w:hideMark/>
          </w:tcPr>
          <w:p w14:paraId="35D3CD64"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19</w:t>
            </w:r>
          </w:p>
        </w:tc>
        <w:tc>
          <w:tcPr>
            <w:tcW w:w="844" w:type="dxa"/>
            <w:tcBorders>
              <w:top w:val="nil"/>
              <w:left w:val="nil"/>
              <w:bottom w:val="nil"/>
              <w:right w:val="nil"/>
            </w:tcBorders>
            <w:shd w:val="clear" w:color="000000" w:fill="D9D9D9"/>
            <w:noWrap/>
            <w:vAlign w:val="bottom"/>
            <w:hideMark/>
          </w:tcPr>
          <w:p w14:paraId="197B3AF0"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264</w:t>
            </w:r>
          </w:p>
        </w:tc>
        <w:tc>
          <w:tcPr>
            <w:tcW w:w="861" w:type="dxa"/>
            <w:tcBorders>
              <w:top w:val="nil"/>
              <w:left w:val="nil"/>
              <w:bottom w:val="nil"/>
              <w:right w:val="nil"/>
            </w:tcBorders>
            <w:shd w:val="clear" w:color="auto" w:fill="auto"/>
            <w:noWrap/>
            <w:vAlign w:val="bottom"/>
            <w:hideMark/>
          </w:tcPr>
          <w:p w14:paraId="2790D936"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265</w:t>
            </w:r>
          </w:p>
        </w:tc>
        <w:tc>
          <w:tcPr>
            <w:tcW w:w="861" w:type="dxa"/>
            <w:tcBorders>
              <w:top w:val="nil"/>
              <w:left w:val="nil"/>
              <w:bottom w:val="nil"/>
              <w:right w:val="nil"/>
            </w:tcBorders>
            <w:shd w:val="clear" w:color="auto" w:fill="auto"/>
            <w:noWrap/>
            <w:vAlign w:val="bottom"/>
            <w:hideMark/>
          </w:tcPr>
          <w:p w14:paraId="7AE9C627"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267</w:t>
            </w:r>
          </w:p>
        </w:tc>
        <w:tc>
          <w:tcPr>
            <w:tcW w:w="861" w:type="dxa"/>
            <w:tcBorders>
              <w:top w:val="nil"/>
              <w:left w:val="nil"/>
              <w:bottom w:val="nil"/>
              <w:right w:val="nil"/>
            </w:tcBorders>
            <w:shd w:val="clear" w:color="auto" w:fill="auto"/>
            <w:noWrap/>
            <w:vAlign w:val="bottom"/>
            <w:hideMark/>
          </w:tcPr>
          <w:p w14:paraId="7563C8B1"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266</w:t>
            </w:r>
          </w:p>
        </w:tc>
      </w:tr>
      <w:tr w:rsidR="00291D03" w:rsidRPr="00291D03" w14:paraId="6DA59C0D" w14:textId="77777777" w:rsidTr="00291D03">
        <w:trPr>
          <w:trHeight w:val="225"/>
        </w:trPr>
        <w:tc>
          <w:tcPr>
            <w:tcW w:w="3052" w:type="dxa"/>
            <w:tcBorders>
              <w:top w:val="nil"/>
              <w:left w:val="nil"/>
              <w:bottom w:val="nil"/>
              <w:right w:val="nil"/>
            </w:tcBorders>
            <w:shd w:val="clear" w:color="auto" w:fill="auto"/>
            <w:noWrap/>
            <w:vAlign w:val="bottom"/>
            <w:hideMark/>
          </w:tcPr>
          <w:p w14:paraId="610D02E4" w14:textId="77777777" w:rsidR="00291D03" w:rsidRPr="00291D03" w:rsidRDefault="00291D03" w:rsidP="00291D03">
            <w:pPr>
              <w:spacing w:after="0"/>
              <w:ind w:leftChars="150" w:left="285"/>
              <w:rPr>
                <w:rFonts w:ascii="Arial" w:hAnsi="Arial" w:cs="Arial"/>
                <w:b/>
                <w:bCs/>
                <w:sz w:val="16"/>
                <w:szCs w:val="16"/>
              </w:rPr>
            </w:pPr>
            <w:r w:rsidRPr="00291D0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4B34BD65"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19</w:t>
            </w:r>
          </w:p>
        </w:tc>
        <w:tc>
          <w:tcPr>
            <w:tcW w:w="844" w:type="dxa"/>
            <w:tcBorders>
              <w:top w:val="nil"/>
              <w:left w:val="nil"/>
              <w:bottom w:val="single" w:sz="4" w:space="0" w:color="auto"/>
              <w:right w:val="nil"/>
            </w:tcBorders>
            <w:shd w:val="clear" w:color="000000" w:fill="D9D9D9"/>
            <w:noWrap/>
            <w:vAlign w:val="bottom"/>
            <w:hideMark/>
          </w:tcPr>
          <w:p w14:paraId="415299FE"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264</w:t>
            </w:r>
          </w:p>
        </w:tc>
        <w:tc>
          <w:tcPr>
            <w:tcW w:w="861" w:type="dxa"/>
            <w:tcBorders>
              <w:top w:val="nil"/>
              <w:left w:val="nil"/>
              <w:bottom w:val="single" w:sz="4" w:space="0" w:color="auto"/>
              <w:right w:val="nil"/>
            </w:tcBorders>
            <w:shd w:val="clear" w:color="auto" w:fill="auto"/>
            <w:noWrap/>
            <w:vAlign w:val="bottom"/>
            <w:hideMark/>
          </w:tcPr>
          <w:p w14:paraId="18EA77FF"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265</w:t>
            </w:r>
          </w:p>
        </w:tc>
        <w:tc>
          <w:tcPr>
            <w:tcW w:w="861" w:type="dxa"/>
            <w:tcBorders>
              <w:top w:val="nil"/>
              <w:left w:val="nil"/>
              <w:bottom w:val="single" w:sz="4" w:space="0" w:color="auto"/>
              <w:right w:val="nil"/>
            </w:tcBorders>
            <w:shd w:val="clear" w:color="auto" w:fill="auto"/>
            <w:noWrap/>
            <w:vAlign w:val="bottom"/>
            <w:hideMark/>
          </w:tcPr>
          <w:p w14:paraId="760A397D"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267</w:t>
            </w:r>
          </w:p>
        </w:tc>
        <w:tc>
          <w:tcPr>
            <w:tcW w:w="861" w:type="dxa"/>
            <w:tcBorders>
              <w:top w:val="nil"/>
              <w:left w:val="nil"/>
              <w:bottom w:val="single" w:sz="4" w:space="0" w:color="auto"/>
              <w:right w:val="nil"/>
            </w:tcBorders>
            <w:shd w:val="clear" w:color="auto" w:fill="auto"/>
            <w:noWrap/>
            <w:vAlign w:val="bottom"/>
            <w:hideMark/>
          </w:tcPr>
          <w:p w14:paraId="014C7809"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266</w:t>
            </w:r>
          </w:p>
        </w:tc>
      </w:tr>
      <w:tr w:rsidR="00291D03" w:rsidRPr="00291D03" w14:paraId="77478695" w14:textId="77777777" w:rsidTr="00291D03">
        <w:trPr>
          <w:trHeight w:val="450"/>
        </w:trPr>
        <w:tc>
          <w:tcPr>
            <w:tcW w:w="3052" w:type="dxa"/>
            <w:tcBorders>
              <w:top w:val="nil"/>
              <w:left w:val="nil"/>
              <w:bottom w:val="nil"/>
              <w:right w:val="nil"/>
            </w:tcBorders>
            <w:shd w:val="clear" w:color="auto" w:fill="auto"/>
            <w:vAlign w:val="bottom"/>
            <w:hideMark/>
          </w:tcPr>
          <w:p w14:paraId="05609411" w14:textId="77777777" w:rsidR="00291D03" w:rsidRPr="00291D03" w:rsidRDefault="00291D03" w:rsidP="00291D03">
            <w:pPr>
              <w:spacing w:after="0"/>
              <w:ind w:leftChars="75" w:left="143"/>
              <w:rPr>
                <w:rFonts w:ascii="Arial" w:hAnsi="Arial" w:cs="Arial"/>
                <w:b/>
                <w:bCs/>
                <w:sz w:val="16"/>
                <w:szCs w:val="16"/>
              </w:rPr>
            </w:pPr>
            <w:r w:rsidRPr="00291D03">
              <w:rPr>
                <w:rFonts w:ascii="Arial" w:hAnsi="Arial" w:cs="Arial"/>
                <w:b/>
                <w:bCs/>
                <w:sz w:val="16"/>
                <w:szCs w:val="16"/>
              </w:rPr>
              <w:t>Net cash from (or used by) investing activities</w:t>
            </w:r>
          </w:p>
        </w:tc>
        <w:tc>
          <w:tcPr>
            <w:tcW w:w="881" w:type="dxa"/>
            <w:tcBorders>
              <w:top w:val="nil"/>
              <w:left w:val="nil"/>
              <w:bottom w:val="single" w:sz="4" w:space="0" w:color="auto"/>
              <w:right w:val="nil"/>
            </w:tcBorders>
            <w:shd w:val="clear" w:color="auto" w:fill="auto"/>
            <w:noWrap/>
            <w:vAlign w:val="bottom"/>
            <w:hideMark/>
          </w:tcPr>
          <w:p w14:paraId="651CFA0F"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(19)</w:t>
            </w:r>
          </w:p>
        </w:tc>
        <w:tc>
          <w:tcPr>
            <w:tcW w:w="844" w:type="dxa"/>
            <w:tcBorders>
              <w:top w:val="nil"/>
              <w:left w:val="nil"/>
              <w:bottom w:val="single" w:sz="4" w:space="0" w:color="auto"/>
              <w:right w:val="nil"/>
            </w:tcBorders>
            <w:shd w:val="clear" w:color="000000" w:fill="D9D9D9"/>
            <w:noWrap/>
            <w:vAlign w:val="bottom"/>
            <w:hideMark/>
          </w:tcPr>
          <w:p w14:paraId="23B1FFE5"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(264)</w:t>
            </w:r>
          </w:p>
        </w:tc>
        <w:tc>
          <w:tcPr>
            <w:tcW w:w="861" w:type="dxa"/>
            <w:tcBorders>
              <w:top w:val="nil"/>
              <w:left w:val="nil"/>
              <w:bottom w:val="single" w:sz="4" w:space="0" w:color="auto"/>
              <w:right w:val="nil"/>
            </w:tcBorders>
            <w:shd w:val="clear" w:color="auto" w:fill="auto"/>
            <w:noWrap/>
            <w:vAlign w:val="bottom"/>
            <w:hideMark/>
          </w:tcPr>
          <w:p w14:paraId="7EB2C3FD"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(265)</w:t>
            </w:r>
          </w:p>
        </w:tc>
        <w:tc>
          <w:tcPr>
            <w:tcW w:w="861" w:type="dxa"/>
            <w:tcBorders>
              <w:top w:val="nil"/>
              <w:left w:val="nil"/>
              <w:bottom w:val="single" w:sz="4" w:space="0" w:color="auto"/>
              <w:right w:val="nil"/>
            </w:tcBorders>
            <w:shd w:val="clear" w:color="auto" w:fill="auto"/>
            <w:noWrap/>
            <w:vAlign w:val="bottom"/>
            <w:hideMark/>
          </w:tcPr>
          <w:p w14:paraId="2B15ABE9"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(267)</w:t>
            </w:r>
          </w:p>
        </w:tc>
        <w:tc>
          <w:tcPr>
            <w:tcW w:w="861" w:type="dxa"/>
            <w:tcBorders>
              <w:top w:val="nil"/>
              <w:left w:val="nil"/>
              <w:bottom w:val="single" w:sz="4" w:space="0" w:color="auto"/>
              <w:right w:val="nil"/>
            </w:tcBorders>
            <w:shd w:val="clear" w:color="auto" w:fill="auto"/>
            <w:noWrap/>
            <w:vAlign w:val="bottom"/>
            <w:hideMark/>
          </w:tcPr>
          <w:p w14:paraId="7970CBCE"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(266)</w:t>
            </w:r>
          </w:p>
        </w:tc>
      </w:tr>
      <w:tr w:rsidR="00291D03" w:rsidRPr="00291D03" w14:paraId="53FA9082" w14:textId="77777777" w:rsidTr="00291D03">
        <w:trPr>
          <w:trHeight w:val="300"/>
        </w:trPr>
        <w:tc>
          <w:tcPr>
            <w:tcW w:w="3052" w:type="dxa"/>
            <w:tcBorders>
              <w:top w:val="nil"/>
              <w:left w:val="nil"/>
              <w:bottom w:val="nil"/>
              <w:right w:val="nil"/>
            </w:tcBorders>
            <w:shd w:val="clear" w:color="auto" w:fill="auto"/>
            <w:noWrap/>
            <w:vAlign w:val="bottom"/>
            <w:hideMark/>
          </w:tcPr>
          <w:p w14:paraId="0E02FFF0" w14:textId="77777777" w:rsidR="00291D03" w:rsidRPr="00291D03" w:rsidRDefault="00291D03" w:rsidP="00291D03">
            <w:pPr>
              <w:spacing w:after="0"/>
              <w:rPr>
                <w:rFonts w:ascii="Arial" w:hAnsi="Arial" w:cs="Arial"/>
                <w:b/>
                <w:bCs/>
                <w:sz w:val="16"/>
                <w:szCs w:val="16"/>
              </w:rPr>
            </w:pPr>
            <w:r w:rsidRPr="00291D03">
              <w:rPr>
                <w:rFonts w:ascii="Arial" w:hAnsi="Arial" w:cs="Arial"/>
                <w:b/>
                <w:bCs/>
                <w:sz w:val="16"/>
                <w:szCs w:val="16"/>
              </w:rPr>
              <w:t>FINANCING ACTIVITIES</w:t>
            </w:r>
          </w:p>
        </w:tc>
        <w:tc>
          <w:tcPr>
            <w:tcW w:w="881" w:type="dxa"/>
            <w:tcBorders>
              <w:top w:val="nil"/>
              <w:left w:val="nil"/>
              <w:bottom w:val="nil"/>
              <w:right w:val="nil"/>
            </w:tcBorders>
            <w:shd w:val="clear" w:color="auto" w:fill="auto"/>
            <w:noWrap/>
            <w:vAlign w:val="bottom"/>
            <w:hideMark/>
          </w:tcPr>
          <w:p w14:paraId="24214CC4" w14:textId="77777777" w:rsidR="00291D03" w:rsidRPr="00291D03" w:rsidRDefault="00291D03" w:rsidP="00291D03">
            <w:pPr>
              <w:spacing w:after="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2C8AC5FC"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62DA12A9" w14:textId="77777777" w:rsidR="00291D03" w:rsidRPr="00291D03" w:rsidRDefault="00291D03" w:rsidP="00291D0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630ACD7C" w14:textId="77777777" w:rsidR="00291D03" w:rsidRPr="00291D03" w:rsidRDefault="00291D03" w:rsidP="00291D0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307A040F" w14:textId="77777777" w:rsidR="00291D03" w:rsidRPr="00291D03" w:rsidRDefault="00291D03" w:rsidP="00291D03">
            <w:pPr>
              <w:spacing w:after="0"/>
              <w:jc w:val="right"/>
              <w:rPr>
                <w:rFonts w:ascii="Times New Roman" w:hAnsi="Times New Roman"/>
                <w:color w:val="auto"/>
                <w:sz w:val="20"/>
              </w:rPr>
            </w:pPr>
          </w:p>
        </w:tc>
      </w:tr>
      <w:tr w:rsidR="00291D03" w:rsidRPr="00291D03" w14:paraId="29B9A62C" w14:textId="77777777" w:rsidTr="00291D03">
        <w:trPr>
          <w:trHeight w:val="225"/>
        </w:trPr>
        <w:tc>
          <w:tcPr>
            <w:tcW w:w="3052" w:type="dxa"/>
            <w:tcBorders>
              <w:top w:val="nil"/>
              <w:left w:val="nil"/>
              <w:bottom w:val="nil"/>
              <w:right w:val="nil"/>
            </w:tcBorders>
            <w:shd w:val="clear" w:color="auto" w:fill="auto"/>
            <w:noWrap/>
            <w:vAlign w:val="bottom"/>
            <w:hideMark/>
          </w:tcPr>
          <w:p w14:paraId="4E86BBFE" w14:textId="77777777" w:rsidR="00291D03" w:rsidRPr="00291D03" w:rsidRDefault="00291D03" w:rsidP="00291D03">
            <w:pPr>
              <w:spacing w:after="0"/>
              <w:ind w:firstLineChars="100" w:firstLine="160"/>
              <w:rPr>
                <w:rFonts w:ascii="Arial" w:hAnsi="Arial" w:cs="Arial"/>
                <w:b/>
                <w:bCs/>
                <w:sz w:val="16"/>
                <w:szCs w:val="16"/>
              </w:rPr>
            </w:pPr>
            <w:r w:rsidRPr="00291D03">
              <w:rPr>
                <w:rFonts w:ascii="Arial" w:hAnsi="Arial" w:cs="Arial"/>
                <w:b/>
                <w:bCs/>
                <w:sz w:val="16"/>
                <w:szCs w:val="16"/>
              </w:rPr>
              <w:t>Cash received</w:t>
            </w:r>
          </w:p>
        </w:tc>
        <w:tc>
          <w:tcPr>
            <w:tcW w:w="881" w:type="dxa"/>
            <w:tcBorders>
              <w:top w:val="nil"/>
              <w:left w:val="nil"/>
              <w:bottom w:val="nil"/>
              <w:right w:val="nil"/>
            </w:tcBorders>
            <w:shd w:val="clear" w:color="auto" w:fill="auto"/>
            <w:noWrap/>
            <w:vAlign w:val="bottom"/>
            <w:hideMark/>
          </w:tcPr>
          <w:p w14:paraId="21E6E747" w14:textId="77777777" w:rsidR="00291D03" w:rsidRPr="00291D03" w:rsidRDefault="00291D03" w:rsidP="00291D0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324346C4"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59FE9AFA" w14:textId="77777777" w:rsidR="00291D03" w:rsidRPr="00291D03" w:rsidRDefault="00291D03" w:rsidP="00291D0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178C577E" w14:textId="77777777" w:rsidR="00291D03" w:rsidRPr="00291D03" w:rsidRDefault="00291D03" w:rsidP="00291D0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7E053B1C" w14:textId="77777777" w:rsidR="00291D03" w:rsidRPr="00291D03" w:rsidRDefault="00291D03" w:rsidP="00291D03">
            <w:pPr>
              <w:spacing w:after="0"/>
              <w:jc w:val="right"/>
              <w:rPr>
                <w:rFonts w:ascii="Times New Roman" w:hAnsi="Times New Roman"/>
                <w:color w:val="auto"/>
                <w:sz w:val="20"/>
              </w:rPr>
            </w:pPr>
          </w:p>
        </w:tc>
      </w:tr>
      <w:tr w:rsidR="00291D03" w:rsidRPr="00291D03" w14:paraId="4F89BF9C" w14:textId="77777777" w:rsidTr="00291D03">
        <w:trPr>
          <w:trHeight w:val="225"/>
        </w:trPr>
        <w:tc>
          <w:tcPr>
            <w:tcW w:w="3052" w:type="dxa"/>
            <w:tcBorders>
              <w:top w:val="nil"/>
              <w:left w:val="nil"/>
              <w:bottom w:val="nil"/>
              <w:right w:val="nil"/>
            </w:tcBorders>
            <w:shd w:val="clear" w:color="auto" w:fill="auto"/>
            <w:noWrap/>
            <w:vAlign w:val="bottom"/>
            <w:hideMark/>
          </w:tcPr>
          <w:p w14:paraId="5228A958" w14:textId="77777777" w:rsidR="00291D03" w:rsidRPr="00291D03" w:rsidRDefault="00291D03" w:rsidP="00291D03">
            <w:pPr>
              <w:spacing w:after="0"/>
              <w:ind w:leftChars="150" w:left="285"/>
              <w:rPr>
                <w:rFonts w:ascii="Arial" w:hAnsi="Arial" w:cs="Arial"/>
                <w:color w:val="auto"/>
                <w:sz w:val="16"/>
                <w:szCs w:val="16"/>
              </w:rPr>
            </w:pPr>
            <w:r w:rsidRPr="00291D03">
              <w:rPr>
                <w:rFonts w:ascii="Arial" w:hAnsi="Arial" w:cs="Arial"/>
                <w:color w:val="auto"/>
                <w:sz w:val="16"/>
                <w:szCs w:val="16"/>
              </w:rPr>
              <w:t>Capital budget - Bill 1 (DCB)</w:t>
            </w:r>
          </w:p>
        </w:tc>
        <w:tc>
          <w:tcPr>
            <w:tcW w:w="881" w:type="dxa"/>
            <w:tcBorders>
              <w:top w:val="nil"/>
              <w:left w:val="nil"/>
              <w:bottom w:val="nil"/>
              <w:right w:val="nil"/>
            </w:tcBorders>
            <w:shd w:val="clear" w:color="auto" w:fill="auto"/>
            <w:noWrap/>
            <w:vAlign w:val="bottom"/>
            <w:hideMark/>
          </w:tcPr>
          <w:p w14:paraId="7CF57A1E"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w:t>
            </w:r>
          </w:p>
        </w:tc>
        <w:tc>
          <w:tcPr>
            <w:tcW w:w="844" w:type="dxa"/>
            <w:tcBorders>
              <w:top w:val="nil"/>
              <w:left w:val="nil"/>
              <w:bottom w:val="nil"/>
              <w:right w:val="nil"/>
            </w:tcBorders>
            <w:shd w:val="clear" w:color="000000" w:fill="D9D9D9"/>
            <w:noWrap/>
            <w:vAlign w:val="bottom"/>
            <w:hideMark/>
          </w:tcPr>
          <w:p w14:paraId="705AD957"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264</w:t>
            </w:r>
          </w:p>
        </w:tc>
        <w:tc>
          <w:tcPr>
            <w:tcW w:w="861" w:type="dxa"/>
            <w:tcBorders>
              <w:top w:val="nil"/>
              <w:left w:val="nil"/>
              <w:bottom w:val="nil"/>
              <w:right w:val="nil"/>
            </w:tcBorders>
            <w:shd w:val="clear" w:color="auto" w:fill="auto"/>
            <w:noWrap/>
            <w:vAlign w:val="bottom"/>
            <w:hideMark/>
          </w:tcPr>
          <w:p w14:paraId="6850D5F7"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265</w:t>
            </w:r>
          </w:p>
        </w:tc>
        <w:tc>
          <w:tcPr>
            <w:tcW w:w="861" w:type="dxa"/>
            <w:tcBorders>
              <w:top w:val="nil"/>
              <w:left w:val="nil"/>
              <w:bottom w:val="nil"/>
              <w:right w:val="nil"/>
            </w:tcBorders>
            <w:shd w:val="clear" w:color="auto" w:fill="auto"/>
            <w:noWrap/>
            <w:vAlign w:val="bottom"/>
            <w:hideMark/>
          </w:tcPr>
          <w:p w14:paraId="002D4C36"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267</w:t>
            </w:r>
          </w:p>
        </w:tc>
        <w:tc>
          <w:tcPr>
            <w:tcW w:w="861" w:type="dxa"/>
            <w:tcBorders>
              <w:top w:val="nil"/>
              <w:left w:val="nil"/>
              <w:bottom w:val="nil"/>
              <w:right w:val="nil"/>
            </w:tcBorders>
            <w:shd w:val="clear" w:color="auto" w:fill="auto"/>
            <w:noWrap/>
            <w:vAlign w:val="bottom"/>
            <w:hideMark/>
          </w:tcPr>
          <w:p w14:paraId="64D1612C"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266</w:t>
            </w:r>
          </w:p>
        </w:tc>
      </w:tr>
      <w:tr w:rsidR="00291D03" w:rsidRPr="00291D03" w14:paraId="18E335B8" w14:textId="77777777" w:rsidTr="00291D03">
        <w:trPr>
          <w:trHeight w:val="225"/>
        </w:trPr>
        <w:tc>
          <w:tcPr>
            <w:tcW w:w="3052" w:type="dxa"/>
            <w:tcBorders>
              <w:top w:val="nil"/>
              <w:left w:val="nil"/>
              <w:bottom w:val="nil"/>
              <w:right w:val="nil"/>
            </w:tcBorders>
            <w:shd w:val="clear" w:color="auto" w:fill="auto"/>
            <w:noWrap/>
            <w:vAlign w:val="bottom"/>
            <w:hideMark/>
          </w:tcPr>
          <w:p w14:paraId="728897BD" w14:textId="77777777" w:rsidR="00291D03" w:rsidRPr="00291D03" w:rsidRDefault="00291D03" w:rsidP="00291D03">
            <w:pPr>
              <w:spacing w:after="0"/>
              <w:ind w:leftChars="150" w:left="285"/>
              <w:rPr>
                <w:rFonts w:ascii="Arial" w:hAnsi="Arial" w:cs="Arial"/>
                <w:b/>
                <w:bCs/>
                <w:sz w:val="16"/>
                <w:szCs w:val="16"/>
              </w:rPr>
            </w:pPr>
            <w:r w:rsidRPr="00291D03">
              <w:rPr>
                <w:rFonts w:ascii="Arial" w:hAnsi="Arial" w:cs="Arial"/>
                <w:b/>
                <w:bCs/>
                <w:sz w:val="16"/>
                <w:szCs w:val="16"/>
              </w:rPr>
              <w:t>Total cash received</w:t>
            </w:r>
          </w:p>
        </w:tc>
        <w:tc>
          <w:tcPr>
            <w:tcW w:w="881" w:type="dxa"/>
            <w:tcBorders>
              <w:top w:val="nil"/>
              <w:left w:val="nil"/>
              <w:bottom w:val="single" w:sz="4" w:space="0" w:color="auto"/>
              <w:right w:val="nil"/>
            </w:tcBorders>
            <w:shd w:val="clear" w:color="auto" w:fill="auto"/>
            <w:noWrap/>
            <w:vAlign w:val="bottom"/>
            <w:hideMark/>
          </w:tcPr>
          <w:p w14:paraId="7D322637"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w:t>
            </w:r>
          </w:p>
        </w:tc>
        <w:tc>
          <w:tcPr>
            <w:tcW w:w="844" w:type="dxa"/>
            <w:tcBorders>
              <w:top w:val="nil"/>
              <w:left w:val="nil"/>
              <w:bottom w:val="single" w:sz="4" w:space="0" w:color="auto"/>
              <w:right w:val="nil"/>
            </w:tcBorders>
            <w:shd w:val="clear" w:color="000000" w:fill="D9D9D9"/>
            <w:noWrap/>
            <w:vAlign w:val="bottom"/>
            <w:hideMark/>
          </w:tcPr>
          <w:p w14:paraId="07F1163A"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264</w:t>
            </w:r>
          </w:p>
        </w:tc>
        <w:tc>
          <w:tcPr>
            <w:tcW w:w="861" w:type="dxa"/>
            <w:tcBorders>
              <w:top w:val="nil"/>
              <w:left w:val="nil"/>
              <w:bottom w:val="single" w:sz="4" w:space="0" w:color="auto"/>
              <w:right w:val="nil"/>
            </w:tcBorders>
            <w:shd w:val="clear" w:color="auto" w:fill="auto"/>
            <w:noWrap/>
            <w:vAlign w:val="bottom"/>
            <w:hideMark/>
          </w:tcPr>
          <w:p w14:paraId="46EE677E"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265</w:t>
            </w:r>
          </w:p>
        </w:tc>
        <w:tc>
          <w:tcPr>
            <w:tcW w:w="861" w:type="dxa"/>
            <w:tcBorders>
              <w:top w:val="nil"/>
              <w:left w:val="nil"/>
              <w:bottom w:val="single" w:sz="4" w:space="0" w:color="auto"/>
              <w:right w:val="nil"/>
            </w:tcBorders>
            <w:shd w:val="clear" w:color="auto" w:fill="auto"/>
            <w:noWrap/>
            <w:vAlign w:val="bottom"/>
            <w:hideMark/>
          </w:tcPr>
          <w:p w14:paraId="43051DFF"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267</w:t>
            </w:r>
          </w:p>
        </w:tc>
        <w:tc>
          <w:tcPr>
            <w:tcW w:w="861" w:type="dxa"/>
            <w:tcBorders>
              <w:top w:val="nil"/>
              <w:left w:val="nil"/>
              <w:bottom w:val="single" w:sz="4" w:space="0" w:color="auto"/>
              <w:right w:val="nil"/>
            </w:tcBorders>
            <w:shd w:val="clear" w:color="auto" w:fill="auto"/>
            <w:noWrap/>
            <w:vAlign w:val="bottom"/>
            <w:hideMark/>
          </w:tcPr>
          <w:p w14:paraId="365C9595"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266</w:t>
            </w:r>
          </w:p>
        </w:tc>
      </w:tr>
      <w:tr w:rsidR="00291D03" w:rsidRPr="00291D03" w14:paraId="6E518CA9" w14:textId="77777777" w:rsidTr="00291D03">
        <w:trPr>
          <w:trHeight w:val="300"/>
        </w:trPr>
        <w:tc>
          <w:tcPr>
            <w:tcW w:w="3052" w:type="dxa"/>
            <w:tcBorders>
              <w:top w:val="nil"/>
              <w:left w:val="nil"/>
              <w:bottom w:val="nil"/>
              <w:right w:val="nil"/>
            </w:tcBorders>
            <w:shd w:val="clear" w:color="auto" w:fill="auto"/>
            <w:noWrap/>
            <w:vAlign w:val="bottom"/>
            <w:hideMark/>
          </w:tcPr>
          <w:p w14:paraId="5F909D59" w14:textId="77777777" w:rsidR="00291D03" w:rsidRPr="00291D03" w:rsidRDefault="00291D03" w:rsidP="00291D03">
            <w:pPr>
              <w:spacing w:after="0"/>
              <w:ind w:firstLineChars="100" w:firstLine="160"/>
              <w:rPr>
                <w:rFonts w:ascii="Arial" w:hAnsi="Arial" w:cs="Arial"/>
                <w:b/>
                <w:bCs/>
                <w:sz w:val="16"/>
                <w:szCs w:val="16"/>
              </w:rPr>
            </w:pPr>
            <w:r w:rsidRPr="00291D03">
              <w:rPr>
                <w:rFonts w:ascii="Arial" w:hAnsi="Arial" w:cs="Arial"/>
                <w:b/>
                <w:bCs/>
                <w:sz w:val="16"/>
                <w:szCs w:val="16"/>
              </w:rPr>
              <w:t>Cash used</w:t>
            </w:r>
          </w:p>
        </w:tc>
        <w:tc>
          <w:tcPr>
            <w:tcW w:w="881" w:type="dxa"/>
            <w:tcBorders>
              <w:top w:val="nil"/>
              <w:left w:val="nil"/>
              <w:bottom w:val="nil"/>
              <w:right w:val="nil"/>
            </w:tcBorders>
            <w:shd w:val="clear" w:color="auto" w:fill="auto"/>
            <w:noWrap/>
            <w:vAlign w:val="bottom"/>
            <w:hideMark/>
          </w:tcPr>
          <w:p w14:paraId="49F14070" w14:textId="77777777" w:rsidR="00291D03" w:rsidRPr="00291D03" w:rsidRDefault="00291D03" w:rsidP="00291D03">
            <w:pPr>
              <w:spacing w:after="0"/>
              <w:ind w:firstLineChars="100" w:firstLine="160"/>
              <w:rPr>
                <w:rFonts w:ascii="Arial" w:hAnsi="Arial" w:cs="Arial"/>
                <w:b/>
                <w:bCs/>
                <w:sz w:val="16"/>
                <w:szCs w:val="16"/>
              </w:rPr>
            </w:pPr>
          </w:p>
        </w:tc>
        <w:tc>
          <w:tcPr>
            <w:tcW w:w="844" w:type="dxa"/>
            <w:tcBorders>
              <w:top w:val="nil"/>
              <w:left w:val="nil"/>
              <w:bottom w:val="nil"/>
              <w:right w:val="nil"/>
            </w:tcBorders>
            <w:shd w:val="clear" w:color="000000" w:fill="D9D9D9"/>
            <w:noWrap/>
            <w:vAlign w:val="bottom"/>
            <w:hideMark/>
          </w:tcPr>
          <w:p w14:paraId="4741F21D"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 </w:t>
            </w:r>
          </w:p>
        </w:tc>
        <w:tc>
          <w:tcPr>
            <w:tcW w:w="861" w:type="dxa"/>
            <w:tcBorders>
              <w:top w:val="nil"/>
              <w:left w:val="nil"/>
              <w:bottom w:val="nil"/>
              <w:right w:val="nil"/>
            </w:tcBorders>
            <w:shd w:val="clear" w:color="auto" w:fill="auto"/>
            <w:noWrap/>
            <w:vAlign w:val="bottom"/>
            <w:hideMark/>
          </w:tcPr>
          <w:p w14:paraId="47F20BD1" w14:textId="77777777" w:rsidR="00291D03" w:rsidRPr="00291D03" w:rsidRDefault="00291D03" w:rsidP="00291D03">
            <w:pPr>
              <w:spacing w:after="0"/>
              <w:jc w:val="right"/>
              <w:rPr>
                <w:rFonts w:ascii="Arial" w:hAnsi="Arial" w:cs="Arial"/>
                <w:sz w:val="16"/>
                <w:szCs w:val="16"/>
              </w:rPr>
            </w:pPr>
          </w:p>
        </w:tc>
        <w:tc>
          <w:tcPr>
            <w:tcW w:w="861" w:type="dxa"/>
            <w:tcBorders>
              <w:top w:val="nil"/>
              <w:left w:val="nil"/>
              <w:bottom w:val="nil"/>
              <w:right w:val="nil"/>
            </w:tcBorders>
            <w:shd w:val="clear" w:color="auto" w:fill="auto"/>
            <w:noWrap/>
            <w:vAlign w:val="bottom"/>
            <w:hideMark/>
          </w:tcPr>
          <w:p w14:paraId="2BBC1D21" w14:textId="77777777" w:rsidR="00291D03" w:rsidRPr="00291D03" w:rsidRDefault="00291D03" w:rsidP="00291D03">
            <w:pPr>
              <w:spacing w:after="0"/>
              <w:jc w:val="right"/>
              <w:rPr>
                <w:rFonts w:ascii="Times New Roman" w:hAnsi="Times New Roman"/>
                <w:color w:val="auto"/>
                <w:sz w:val="20"/>
              </w:rPr>
            </w:pPr>
          </w:p>
        </w:tc>
        <w:tc>
          <w:tcPr>
            <w:tcW w:w="861" w:type="dxa"/>
            <w:tcBorders>
              <w:top w:val="nil"/>
              <w:left w:val="nil"/>
              <w:bottom w:val="nil"/>
              <w:right w:val="nil"/>
            </w:tcBorders>
            <w:shd w:val="clear" w:color="auto" w:fill="auto"/>
            <w:noWrap/>
            <w:vAlign w:val="bottom"/>
            <w:hideMark/>
          </w:tcPr>
          <w:p w14:paraId="6AB64A69" w14:textId="77777777" w:rsidR="00291D03" w:rsidRPr="00291D03" w:rsidRDefault="00291D03" w:rsidP="00291D03">
            <w:pPr>
              <w:spacing w:after="0"/>
              <w:jc w:val="right"/>
              <w:rPr>
                <w:rFonts w:ascii="Times New Roman" w:hAnsi="Times New Roman"/>
                <w:color w:val="auto"/>
                <w:sz w:val="20"/>
              </w:rPr>
            </w:pPr>
          </w:p>
        </w:tc>
      </w:tr>
      <w:tr w:rsidR="00291D03" w:rsidRPr="00291D03" w14:paraId="68F15E25" w14:textId="77777777" w:rsidTr="00291D03">
        <w:trPr>
          <w:trHeight w:val="225"/>
        </w:trPr>
        <w:tc>
          <w:tcPr>
            <w:tcW w:w="3052" w:type="dxa"/>
            <w:tcBorders>
              <w:top w:val="nil"/>
              <w:left w:val="nil"/>
              <w:bottom w:val="nil"/>
              <w:right w:val="nil"/>
            </w:tcBorders>
            <w:shd w:val="clear" w:color="000000" w:fill="FFFFFF"/>
            <w:noWrap/>
            <w:vAlign w:val="bottom"/>
            <w:hideMark/>
          </w:tcPr>
          <w:p w14:paraId="498E2C86" w14:textId="77777777" w:rsidR="00291D03" w:rsidRPr="00291D03" w:rsidRDefault="00291D03" w:rsidP="00291D03">
            <w:pPr>
              <w:spacing w:after="0"/>
              <w:ind w:leftChars="150" w:left="285"/>
              <w:rPr>
                <w:rFonts w:ascii="Arial" w:hAnsi="Arial" w:cs="Arial"/>
                <w:color w:val="auto"/>
                <w:sz w:val="16"/>
                <w:szCs w:val="16"/>
              </w:rPr>
            </w:pPr>
            <w:r w:rsidRPr="00291D03">
              <w:rPr>
                <w:rFonts w:ascii="Arial" w:hAnsi="Arial" w:cs="Arial"/>
                <w:color w:val="auto"/>
                <w:sz w:val="16"/>
                <w:szCs w:val="16"/>
              </w:rPr>
              <w:t>Lease principal repayments</w:t>
            </w:r>
          </w:p>
        </w:tc>
        <w:tc>
          <w:tcPr>
            <w:tcW w:w="881" w:type="dxa"/>
            <w:tcBorders>
              <w:top w:val="nil"/>
              <w:left w:val="nil"/>
              <w:bottom w:val="nil"/>
              <w:right w:val="nil"/>
            </w:tcBorders>
            <w:shd w:val="clear" w:color="auto" w:fill="auto"/>
            <w:noWrap/>
            <w:vAlign w:val="bottom"/>
            <w:hideMark/>
          </w:tcPr>
          <w:p w14:paraId="6E4EF7B4" w14:textId="77777777" w:rsidR="00291D03" w:rsidRPr="00291D03" w:rsidRDefault="00291D03" w:rsidP="00291D03">
            <w:pPr>
              <w:spacing w:after="0"/>
              <w:jc w:val="right"/>
              <w:rPr>
                <w:rFonts w:ascii="Arial" w:hAnsi="Arial" w:cs="Arial"/>
                <w:sz w:val="16"/>
                <w:szCs w:val="16"/>
              </w:rPr>
            </w:pPr>
            <w:r w:rsidRPr="00291D03">
              <w:rPr>
                <w:rFonts w:ascii="Arial" w:hAnsi="Arial" w:cs="Arial"/>
                <w:sz w:val="16"/>
                <w:szCs w:val="16"/>
              </w:rPr>
              <w:t>336</w:t>
            </w:r>
          </w:p>
        </w:tc>
        <w:tc>
          <w:tcPr>
            <w:tcW w:w="844" w:type="dxa"/>
            <w:tcBorders>
              <w:top w:val="nil"/>
              <w:left w:val="nil"/>
              <w:bottom w:val="nil"/>
              <w:right w:val="nil"/>
            </w:tcBorders>
            <w:shd w:val="clear" w:color="000000" w:fill="D9D9D9"/>
            <w:noWrap/>
            <w:vAlign w:val="bottom"/>
            <w:hideMark/>
          </w:tcPr>
          <w:p w14:paraId="6681AB3A"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315</w:t>
            </w:r>
          </w:p>
        </w:tc>
        <w:tc>
          <w:tcPr>
            <w:tcW w:w="861" w:type="dxa"/>
            <w:tcBorders>
              <w:top w:val="nil"/>
              <w:left w:val="nil"/>
              <w:bottom w:val="nil"/>
              <w:right w:val="nil"/>
            </w:tcBorders>
            <w:shd w:val="clear" w:color="auto" w:fill="auto"/>
            <w:noWrap/>
            <w:vAlign w:val="bottom"/>
            <w:hideMark/>
          </w:tcPr>
          <w:p w14:paraId="1792AD35"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326</w:t>
            </w:r>
          </w:p>
        </w:tc>
        <w:tc>
          <w:tcPr>
            <w:tcW w:w="861" w:type="dxa"/>
            <w:tcBorders>
              <w:top w:val="nil"/>
              <w:left w:val="nil"/>
              <w:bottom w:val="nil"/>
              <w:right w:val="nil"/>
            </w:tcBorders>
            <w:shd w:val="clear" w:color="auto" w:fill="auto"/>
            <w:noWrap/>
            <w:vAlign w:val="bottom"/>
            <w:hideMark/>
          </w:tcPr>
          <w:p w14:paraId="710B9BA0"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280</w:t>
            </w:r>
          </w:p>
        </w:tc>
        <w:tc>
          <w:tcPr>
            <w:tcW w:w="861" w:type="dxa"/>
            <w:tcBorders>
              <w:top w:val="nil"/>
              <w:left w:val="nil"/>
              <w:bottom w:val="nil"/>
              <w:right w:val="nil"/>
            </w:tcBorders>
            <w:shd w:val="clear" w:color="auto" w:fill="auto"/>
            <w:noWrap/>
            <w:vAlign w:val="bottom"/>
            <w:hideMark/>
          </w:tcPr>
          <w:p w14:paraId="655E2D01"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288</w:t>
            </w:r>
          </w:p>
        </w:tc>
      </w:tr>
      <w:tr w:rsidR="00291D03" w:rsidRPr="00291D03" w14:paraId="384E1F99" w14:textId="77777777" w:rsidTr="00291D03">
        <w:trPr>
          <w:trHeight w:val="225"/>
        </w:trPr>
        <w:tc>
          <w:tcPr>
            <w:tcW w:w="3052" w:type="dxa"/>
            <w:tcBorders>
              <w:top w:val="nil"/>
              <w:left w:val="nil"/>
              <w:bottom w:val="nil"/>
              <w:right w:val="nil"/>
            </w:tcBorders>
            <w:shd w:val="clear" w:color="auto" w:fill="auto"/>
            <w:noWrap/>
            <w:vAlign w:val="bottom"/>
            <w:hideMark/>
          </w:tcPr>
          <w:p w14:paraId="0EB5A908" w14:textId="77777777" w:rsidR="00291D03" w:rsidRPr="00291D03" w:rsidRDefault="00291D03" w:rsidP="00291D03">
            <w:pPr>
              <w:spacing w:after="0"/>
              <w:ind w:leftChars="150" w:left="285"/>
              <w:rPr>
                <w:rFonts w:ascii="Arial" w:hAnsi="Arial" w:cs="Arial"/>
                <w:b/>
                <w:bCs/>
                <w:sz w:val="16"/>
                <w:szCs w:val="16"/>
              </w:rPr>
            </w:pPr>
            <w:r w:rsidRPr="00291D03">
              <w:rPr>
                <w:rFonts w:ascii="Arial" w:hAnsi="Arial" w:cs="Arial"/>
                <w:b/>
                <w:bCs/>
                <w:sz w:val="16"/>
                <w:szCs w:val="16"/>
              </w:rPr>
              <w:t>Total cash used</w:t>
            </w:r>
          </w:p>
        </w:tc>
        <w:tc>
          <w:tcPr>
            <w:tcW w:w="881" w:type="dxa"/>
            <w:tcBorders>
              <w:top w:val="nil"/>
              <w:left w:val="nil"/>
              <w:bottom w:val="single" w:sz="4" w:space="0" w:color="auto"/>
              <w:right w:val="nil"/>
            </w:tcBorders>
            <w:shd w:val="clear" w:color="auto" w:fill="auto"/>
            <w:noWrap/>
            <w:vAlign w:val="bottom"/>
            <w:hideMark/>
          </w:tcPr>
          <w:p w14:paraId="6A22477C"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336</w:t>
            </w:r>
          </w:p>
        </w:tc>
        <w:tc>
          <w:tcPr>
            <w:tcW w:w="844" w:type="dxa"/>
            <w:tcBorders>
              <w:top w:val="nil"/>
              <w:left w:val="nil"/>
              <w:bottom w:val="single" w:sz="4" w:space="0" w:color="auto"/>
              <w:right w:val="nil"/>
            </w:tcBorders>
            <w:shd w:val="clear" w:color="000000" w:fill="D9D9D9"/>
            <w:noWrap/>
            <w:vAlign w:val="bottom"/>
            <w:hideMark/>
          </w:tcPr>
          <w:p w14:paraId="401D4700"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315</w:t>
            </w:r>
          </w:p>
        </w:tc>
        <w:tc>
          <w:tcPr>
            <w:tcW w:w="861" w:type="dxa"/>
            <w:tcBorders>
              <w:top w:val="nil"/>
              <w:left w:val="nil"/>
              <w:bottom w:val="single" w:sz="4" w:space="0" w:color="auto"/>
              <w:right w:val="nil"/>
            </w:tcBorders>
            <w:shd w:val="clear" w:color="auto" w:fill="auto"/>
            <w:noWrap/>
            <w:vAlign w:val="bottom"/>
            <w:hideMark/>
          </w:tcPr>
          <w:p w14:paraId="3E399481"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326</w:t>
            </w:r>
          </w:p>
        </w:tc>
        <w:tc>
          <w:tcPr>
            <w:tcW w:w="861" w:type="dxa"/>
            <w:tcBorders>
              <w:top w:val="nil"/>
              <w:left w:val="nil"/>
              <w:bottom w:val="single" w:sz="4" w:space="0" w:color="auto"/>
              <w:right w:val="nil"/>
            </w:tcBorders>
            <w:shd w:val="clear" w:color="auto" w:fill="auto"/>
            <w:noWrap/>
            <w:vAlign w:val="bottom"/>
            <w:hideMark/>
          </w:tcPr>
          <w:p w14:paraId="4202F9F8"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280</w:t>
            </w:r>
          </w:p>
        </w:tc>
        <w:tc>
          <w:tcPr>
            <w:tcW w:w="861" w:type="dxa"/>
            <w:tcBorders>
              <w:top w:val="nil"/>
              <w:left w:val="nil"/>
              <w:bottom w:val="single" w:sz="4" w:space="0" w:color="auto"/>
              <w:right w:val="nil"/>
            </w:tcBorders>
            <w:shd w:val="clear" w:color="auto" w:fill="auto"/>
            <w:noWrap/>
            <w:vAlign w:val="bottom"/>
            <w:hideMark/>
          </w:tcPr>
          <w:p w14:paraId="073C8886"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288</w:t>
            </w:r>
          </w:p>
        </w:tc>
      </w:tr>
      <w:tr w:rsidR="00291D03" w:rsidRPr="00291D03" w14:paraId="48AE30AE" w14:textId="77777777" w:rsidTr="00291D03">
        <w:trPr>
          <w:trHeight w:val="450"/>
        </w:trPr>
        <w:tc>
          <w:tcPr>
            <w:tcW w:w="3052" w:type="dxa"/>
            <w:tcBorders>
              <w:top w:val="nil"/>
              <w:left w:val="nil"/>
              <w:bottom w:val="nil"/>
              <w:right w:val="nil"/>
            </w:tcBorders>
            <w:shd w:val="clear" w:color="auto" w:fill="auto"/>
            <w:vAlign w:val="bottom"/>
            <w:hideMark/>
          </w:tcPr>
          <w:p w14:paraId="281EFCC9" w14:textId="77777777" w:rsidR="00291D03" w:rsidRPr="00291D03" w:rsidRDefault="00291D03" w:rsidP="00291D03">
            <w:pPr>
              <w:spacing w:after="0"/>
              <w:ind w:leftChars="75" w:left="143"/>
              <w:rPr>
                <w:rFonts w:ascii="Arial" w:hAnsi="Arial" w:cs="Arial"/>
                <w:b/>
                <w:bCs/>
                <w:sz w:val="16"/>
                <w:szCs w:val="16"/>
              </w:rPr>
            </w:pPr>
            <w:r w:rsidRPr="00291D03">
              <w:rPr>
                <w:rFonts w:ascii="Arial" w:hAnsi="Arial" w:cs="Arial"/>
                <w:b/>
                <w:bCs/>
                <w:sz w:val="16"/>
                <w:szCs w:val="16"/>
              </w:rPr>
              <w:t>Net cash from (or used by) financing activities</w:t>
            </w:r>
          </w:p>
        </w:tc>
        <w:tc>
          <w:tcPr>
            <w:tcW w:w="881" w:type="dxa"/>
            <w:tcBorders>
              <w:top w:val="nil"/>
              <w:left w:val="nil"/>
              <w:bottom w:val="single" w:sz="4" w:space="0" w:color="auto"/>
              <w:right w:val="nil"/>
            </w:tcBorders>
            <w:shd w:val="clear" w:color="auto" w:fill="auto"/>
            <w:noWrap/>
            <w:vAlign w:val="bottom"/>
            <w:hideMark/>
          </w:tcPr>
          <w:p w14:paraId="47D47A72"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(336)</w:t>
            </w:r>
          </w:p>
        </w:tc>
        <w:tc>
          <w:tcPr>
            <w:tcW w:w="844" w:type="dxa"/>
            <w:tcBorders>
              <w:top w:val="nil"/>
              <w:left w:val="nil"/>
              <w:bottom w:val="single" w:sz="4" w:space="0" w:color="auto"/>
              <w:right w:val="nil"/>
            </w:tcBorders>
            <w:shd w:val="clear" w:color="000000" w:fill="D9D9D9"/>
            <w:noWrap/>
            <w:vAlign w:val="bottom"/>
            <w:hideMark/>
          </w:tcPr>
          <w:p w14:paraId="3D6A2F92"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(51)</w:t>
            </w:r>
          </w:p>
        </w:tc>
        <w:tc>
          <w:tcPr>
            <w:tcW w:w="861" w:type="dxa"/>
            <w:tcBorders>
              <w:top w:val="nil"/>
              <w:left w:val="nil"/>
              <w:bottom w:val="single" w:sz="4" w:space="0" w:color="auto"/>
              <w:right w:val="nil"/>
            </w:tcBorders>
            <w:shd w:val="clear" w:color="auto" w:fill="auto"/>
            <w:noWrap/>
            <w:vAlign w:val="bottom"/>
            <w:hideMark/>
          </w:tcPr>
          <w:p w14:paraId="2DAFCACF"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(61)</w:t>
            </w:r>
          </w:p>
        </w:tc>
        <w:tc>
          <w:tcPr>
            <w:tcW w:w="861" w:type="dxa"/>
            <w:tcBorders>
              <w:top w:val="nil"/>
              <w:left w:val="nil"/>
              <w:bottom w:val="single" w:sz="4" w:space="0" w:color="auto"/>
              <w:right w:val="nil"/>
            </w:tcBorders>
            <w:shd w:val="clear" w:color="auto" w:fill="auto"/>
            <w:noWrap/>
            <w:vAlign w:val="bottom"/>
            <w:hideMark/>
          </w:tcPr>
          <w:p w14:paraId="4C0427B6"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(13)</w:t>
            </w:r>
          </w:p>
        </w:tc>
        <w:tc>
          <w:tcPr>
            <w:tcW w:w="861" w:type="dxa"/>
            <w:tcBorders>
              <w:top w:val="nil"/>
              <w:left w:val="nil"/>
              <w:bottom w:val="single" w:sz="4" w:space="0" w:color="auto"/>
              <w:right w:val="nil"/>
            </w:tcBorders>
            <w:shd w:val="clear" w:color="auto" w:fill="auto"/>
            <w:noWrap/>
            <w:vAlign w:val="bottom"/>
            <w:hideMark/>
          </w:tcPr>
          <w:p w14:paraId="56745A04" w14:textId="77777777" w:rsidR="00291D03" w:rsidRPr="00291D03" w:rsidRDefault="00291D03" w:rsidP="00291D03">
            <w:pPr>
              <w:spacing w:after="0"/>
              <w:jc w:val="right"/>
              <w:rPr>
                <w:rFonts w:ascii="Arial" w:hAnsi="Arial" w:cs="Arial"/>
                <w:b/>
                <w:bCs/>
                <w:sz w:val="16"/>
                <w:szCs w:val="16"/>
              </w:rPr>
            </w:pPr>
            <w:r w:rsidRPr="00291D03">
              <w:rPr>
                <w:rFonts w:ascii="Arial" w:hAnsi="Arial" w:cs="Arial"/>
                <w:b/>
                <w:bCs/>
                <w:sz w:val="16"/>
                <w:szCs w:val="16"/>
              </w:rPr>
              <w:t>(22)</w:t>
            </w:r>
          </w:p>
        </w:tc>
      </w:tr>
      <w:tr w:rsidR="00291D03" w:rsidRPr="00291D03" w14:paraId="478A0DDF" w14:textId="77777777" w:rsidTr="00291D03">
        <w:trPr>
          <w:trHeight w:val="525"/>
        </w:trPr>
        <w:tc>
          <w:tcPr>
            <w:tcW w:w="3052" w:type="dxa"/>
            <w:tcBorders>
              <w:top w:val="nil"/>
              <w:left w:val="nil"/>
              <w:bottom w:val="nil"/>
              <w:right w:val="nil"/>
            </w:tcBorders>
            <w:shd w:val="clear" w:color="auto" w:fill="auto"/>
            <w:vAlign w:val="bottom"/>
            <w:hideMark/>
          </w:tcPr>
          <w:p w14:paraId="5D8E6C42" w14:textId="77777777" w:rsidR="00291D03" w:rsidRPr="00291D03" w:rsidRDefault="00291D03" w:rsidP="00291D03">
            <w:pPr>
              <w:spacing w:after="0"/>
              <w:rPr>
                <w:rFonts w:ascii="Arial" w:hAnsi="Arial" w:cs="Arial"/>
                <w:b/>
                <w:bCs/>
                <w:sz w:val="16"/>
                <w:szCs w:val="16"/>
              </w:rPr>
            </w:pPr>
            <w:r w:rsidRPr="00291D03">
              <w:rPr>
                <w:rFonts w:ascii="Arial" w:hAnsi="Arial" w:cs="Arial"/>
                <w:b/>
                <w:bCs/>
                <w:sz w:val="16"/>
                <w:szCs w:val="16"/>
              </w:rPr>
              <w:t>Net increase (or decrease) in cash held</w:t>
            </w:r>
          </w:p>
        </w:tc>
        <w:tc>
          <w:tcPr>
            <w:tcW w:w="881" w:type="dxa"/>
            <w:tcBorders>
              <w:top w:val="nil"/>
              <w:left w:val="nil"/>
              <w:bottom w:val="single" w:sz="4" w:space="0" w:color="auto"/>
              <w:right w:val="nil"/>
            </w:tcBorders>
            <w:shd w:val="clear" w:color="auto" w:fill="auto"/>
            <w:noWrap/>
            <w:vAlign w:val="bottom"/>
            <w:hideMark/>
          </w:tcPr>
          <w:p w14:paraId="3BDC1324"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(155)</w:t>
            </w:r>
          </w:p>
        </w:tc>
        <w:tc>
          <w:tcPr>
            <w:tcW w:w="844" w:type="dxa"/>
            <w:tcBorders>
              <w:top w:val="nil"/>
              <w:left w:val="nil"/>
              <w:bottom w:val="single" w:sz="4" w:space="0" w:color="auto"/>
              <w:right w:val="nil"/>
            </w:tcBorders>
            <w:shd w:val="clear" w:color="000000" w:fill="D9D9D9"/>
            <w:noWrap/>
            <w:vAlign w:val="bottom"/>
            <w:hideMark/>
          </w:tcPr>
          <w:p w14:paraId="04D72CE4"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4DE1CE04"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6AA94937"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w:t>
            </w:r>
          </w:p>
        </w:tc>
        <w:tc>
          <w:tcPr>
            <w:tcW w:w="861" w:type="dxa"/>
            <w:tcBorders>
              <w:top w:val="nil"/>
              <w:left w:val="nil"/>
              <w:bottom w:val="single" w:sz="4" w:space="0" w:color="auto"/>
              <w:right w:val="nil"/>
            </w:tcBorders>
            <w:shd w:val="clear" w:color="auto" w:fill="auto"/>
            <w:noWrap/>
            <w:vAlign w:val="bottom"/>
            <w:hideMark/>
          </w:tcPr>
          <w:p w14:paraId="7B6AB40B"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w:t>
            </w:r>
          </w:p>
        </w:tc>
      </w:tr>
      <w:tr w:rsidR="00291D03" w:rsidRPr="00291D03" w14:paraId="75A665C6" w14:textId="77777777" w:rsidTr="00291D03">
        <w:trPr>
          <w:trHeight w:val="450"/>
        </w:trPr>
        <w:tc>
          <w:tcPr>
            <w:tcW w:w="3052" w:type="dxa"/>
            <w:tcBorders>
              <w:top w:val="nil"/>
              <w:left w:val="nil"/>
              <w:bottom w:val="nil"/>
              <w:right w:val="nil"/>
            </w:tcBorders>
            <w:shd w:val="clear" w:color="auto" w:fill="auto"/>
            <w:vAlign w:val="bottom"/>
            <w:hideMark/>
          </w:tcPr>
          <w:p w14:paraId="1642F1DD" w14:textId="77777777" w:rsidR="00291D03" w:rsidRPr="00291D03" w:rsidRDefault="00291D03" w:rsidP="00291D03">
            <w:pPr>
              <w:spacing w:after="0"/>
              <w:ind w:leftChars="75" w:left="143"/>
              <w:rPr>
                <w:rFonts w:ascii="Arial" w:hAnsi="Arial" w:cs="Arial"/>
                <w:sz w:val="16"/>
                <w:szCs w:val="16"/>
              </w:rPr>
            </w:pPr>
            <w:r w:rsidRPr="00291D03">
              <w:rPr>
                <w:rFonts w:ascii="Arial" w:hAnsi="Arial" w:cs="Arial"/>
                <w:sz w:val="16"/>
                <w:szCs w:val="16"/>
              </w:rPr>
              <w:t>Cash and cash equivalents at the beginning of the reporting period</w:t>
            </w:r>
          </w:p>
        </w:tc>
        <w:tc>
          <w:tcPr>
            <w:tcW w:w="881" w:type="dxa"/>
            <w:tcBorders>
              <w:top w:val="nil"/>
              <w:left w:val="nil"/>
              <w:bottom w:val="nil"/>
              <w:right w:val="nil"/>
            </w:tcBorders>
            <w:shd w:val="clear" w:color="auto" w:fill="auto"/>
            <w:noWrap/>
            <w:vAlign w:val="bottom"/>
            <w:hideMark/>
          </w:tcPr>
          <w:p w14:paraId="21457A90"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268</w:t>
            </w:r>
          </w:p>
        </w:tc>
        <w:tc>
          <w:tcPr>
            <w:tcW w:w="844" w:type="dxa"/>
            <w:tcBorders>
              <w:top w:val="nil"/>
              <w:left w:val="nil"/>
              <w:bottom w:val="nil"/>
              <w:right w:val="nil"/>
            </w:tcBorders>
            <w:shd w:val="clear" w:color="000000" w:fill="D9D9D9"/>
            <w:noWrap/>
            <w:vAlign w:val="bottom"/>
            <w:hideMark/>
          </w:tcPr>
          <w:p w14:paraId="017BA089"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113</w:t>
            </w:r>
          </w:p>
        </w:tc>
        <w:tc>
          <w:tcPr>
            <w:tcW w:w="861" w:type="dxa"/>
            <w:tcBorders>
              <w:top w:val="nil"/>
              <w:left w:val="nil"/>
              <w:bottom w:val="nil"/>
              <w:right w:val="nil"/>
            </w:tcBorders>
            <w:shd w:val="clear" w:color="auto" w:fill="auto"/>
            <w:noWrap/>
            <w:vAlign w:val="bottom"/>
            <w:hideMark/>
          </w:tcPr>
          <w:p w14:paraId="7ECA6069"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113</w:t>
            </w:r>
          </w:p>
        </w:tc>
        <w:tc>
          <w:tcPr>
            <w:tcW w:w="861" w:type="dxa"/>
            <w:tcBorders>
              <w:top w:val="nil"/>
              <w:left w:val="nil"/>
              <w:bottom w:val="nil"/>
              <w:right w:val="nil"/>
            </w:tcBorders>
            <w:shd w:val="clear" w:color="auto" w:fill="auto"/>
            <w:noWrap/>
            <w:vAlign w:val="bottom"/>
            <w:hideMark/>
          </w:tcPr>
          <w:p w14:paraId="34E1A8A3"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113</w:t>
            </w:r>
          </w:p>
        </w:tc>
        <w:tc>
          <w:tcPr>
            <w:tcW w:w="861" w:type="dxa"/>
            <w:tcBorders>
              <w:top w:val="nil"/>
              <w:left w:val="nil"/>
              <w:bottom w:val="nil"/>
              <w:right w:val="nil"/>
            </w:tcBorders>
            <w:shd w:val="clear" w:color="auto" w:fill="auto"/>
            <w:noWrap/>
            <w:vAlign w:val="bottom"/>
            <w:hideMark/>
          </w:tcPr>
          <w:p w14:paraId="500F4A68" w14:textId="77777777" w:rsidR="00291D03" w:rsidRPr="00291D03" w:rsidRDefault="00291D03" w:rsidP="00291D03">
            <w:pPr>
              <w:spacing w:after="0"/>
              <w:jc w:val="right"/>
              <w:rPr>
                <w:rFonts w:ascii="Arial" w:hAnsi="Arial" w:cs="Arial"/>
                <w:color w:val="auto"/>
                <w:sz w:val="16"/>
                <w:szCs w:val="16"/>
              </w:rPr>
            </w:pPr>
            <w:r w:rsidRPr="00291D03">
              <w:rPr>
                <w:rFonts w:ascii="Arial" w:hAnsi="Arial" w:cs="Arial"/>
                <w:color w:val="auto"/>
                <w:sz w:val="16"/>
                <w:szCs w:val="16"/>
              </w:rPr>
              <w:t>113</w:t>
            </w:r>
          </w:p>
        </w:tc>
      </w:tr>
      <w:tr w:rsidR="00291D03" w:rsidRPr="00291D03" w14:paraId="4223E7AC" w14:textId="77777777" w:rsidTr="00291D03">
        <w:trPr>
          <w:trHeight w:val="450"/>
        </w:trPr>
        <w:tc>
          <w:tcPr>
            <w:tcW w:w="3052" w:type="dxa"/>
            <w:tcBorders>
              <w:top w:val="nil"/>
              <w:left w:val="nil"/>
              <w:bottom w:val="single" w:sz="4" w:space="0" w:color="auto"/>
              <w:right w:val="nil"/>
            </w:tcBorders>
            <w:shd w:val="clear" w:color="auto" w:fill="auto"/>
            <w:vAlign w:val="bottom"/>
            <w:hideMark/>
          </w:tcPr>
          <w:p w14:paraId="0B9B4FA6" w14:textId="77777777" w:rsidR="00291D03" w:rsidRPr="00291D03" w:rsidRDefault="00291D03" w:rsidP="00291D03">
            <w:pPr>
              <w:spacing w:after="0"/>
              <w:rPr>
                <w:rFonts w:ascii="Arial" w:hAnsi="Arial" w:cs="Arial"/>
                <w:b/>
                <w:bCs/>
                <w:sz w:val="16"/>
                <w:szCs w:val="16"/>
              </w:rPr>
            </w:pPr>
            <w:r w:rsidRPr="00291D03">
              <w:rPr>
                <w:rFonts w:ascii="Arial" w:hAnsi="Arial" w:cs="Arial"/>
                <w:b/>
                <w:bCs/>
                <w:sz w:val="16"/>
                <w:szCs w:val="16"/>
              </w:rPr>
              <w:t>Cash and cash equivalents at the end of the reporting period</w:t>
            </w:r>
          </w:p>
        </w:tc>
        <w:tc>
          <w:tcPr>
            <w:tcW w:w="881" w:type="dxa"/>
            <w:tcBorders>
              <w:top w:val="nil"/>
              <w:left w:val="nil"/>
              <w:bottom w:val="single" w:sz="4" w:space="0" w:color="auto"/>
              <w:right w:val="nil"/>
            </w:tcBorders>
            <w:shd w:val="clear" w:color="auto" w:fill="auto"/>
            <w:noWrap/>
            <w:vAlign w:val="bottom"/>
            <w:hideMark/>
          </w:tcPr>
          <w:p w14:paraId="604B4A60"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113</w:t>
            </w:r>
          </w:p>
        </w:tc>
        <w:tc>
          <w:tcPr>
            <w:tcW w:w="844" w:type="dxa"/>
            <w:tcBorders>
              <w:top w:val="nil"/>
              <w:left w:val="nil"/>
              <w:bottom w:val="single" w:sz="4" w:space="0" w:color="auto"/>
              <w:right w:val="nil"/>
            </w:tcBorders>
            <w:shd w:val="clear" w:color="000000" w:fill="D9D9D9"/>
            <w:noWrap/>
            <w:vAlign w:val="bottom"/>
            <w:hideMark/>
          </w:tcPr>
          <w:p w14:paraId="4371321F"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113</w:t>
            </w:r>
          </w:p>
        </w:tc>
        <w:tc>
          <w:tcPr>
            <w:tcW w:w="861" w:type="dxa"/>
            <w:tcBorders>
              <w:top w:val="nil"/>
              <w:left w:val="nil"/>
              <w:bottom w:val="single" w:sz="4" w:space="0" w:color="auto"/>
              <w:right w:val="nil"/>
            </w:tcBorders>
            <w:shd w:val="clear" w:color="auto" w:fill="auto"/>
            <w:noWrap/>
            <w:vAlign w:val="bottom"/>
            <w:hideMark/>
          </w:tcPr>
          <w:p w14:paraId="689CA2A8"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113</w:t>
            </w:r>
          </w:p>
        </w:tc>
        <w:tc>
          <w:tcPr>
            <w:tcW w:w="861" w:type="dxa"/>
            <w:tcBorders>
              <w:top w:val="nil"/>
              <w:left w:val="nil"/>
              <w:bottom w:val="single" w:sz="4" w:space="0" w:color="auto"/>
              <w:right w:val="nil"/>
            </w:tcBorders>
            <w:shd w:val="clear" w:color="auto" w:fill="auto"/>
            <w:noWrap/>
            <w:vAlign w:val="bottom"/>
            <w:hideMark/>
          </w:tcPr>
          <w:p w14:paraId="5C18E73D"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113</w:t>
            </w:r>
          </w:p>
        </w:tc>
        <w:tc>
          <w:tcPr>
            <w:tcW w:w="861" w:type="dxa"/>
            <w:tcBorders>
              <w:top w:val="nil"/>
              <w:left w:val="nil"/>
              <w:bottom w:val="single" w:sz="4" w:space="0" w:color="auto"/>
              <w:right w:val="nil"/>
            </w:tcBorders>
            <w:shd w:val="clear" w:color="auto" w:fill="auto"/>
            <w:noWrap/>
            <w:vAlign w:val="bottom"/>
            <w:hideMark/>
          </w:tcPr>
          <w:p w14:paraId="426BF1B1" w14:textId="77777777" w:rsidR="00291D03" w:rsidRPr="00291D03" w:rsidRDefault="00291D03" w:rsidP="00291D03">
            <w:pPr>
              <w:spacing w:after="0"/>
              <w:jc w:val="right"/>
              <w:rPr>
                <w:rFonts w:ascii="Arial" w:hAnsi="Arial" w:cs="Arial"/>
                <w:b/>
                <w:bCs/>
                <w:color w:val="auto"/>
                <w:sz w:val="16"/>
                <w:szCs w:val="16"/>
              </w:rPr>
            </w:pPr>
            <w:r w:rsidRPr="00291D03">
              <w:rPr>
                <w:rFonts w:ascii="Arial" w:hAnsi="Arial" w:cs="Arial"/>
                <w:b/>
                <w:bCs/>
                <w:color w:val="auto"/>
                <w:sz w:val="16"/>
                <w:szCs w:val="16"/>
              </w:rPr>
              <w:t>113</w:t>
            </w:r>
          </w:p>
        </w:tc>
      </w:tr>
    </w:tbl>
    <w:p w14:paraId="4FABB1BD" w14:textId="77777777" w:rsidR="00980E62" w:rsidRPr="00291D03" w:rsidRDefault="00980E62" w:rsidP="00980E62">
      <w:pPr>
        <w:pStyle w:val="FootnoteText"/>
        <w:spacing w:before="120"/>
        <w:rPr>
          <w:rFonts w:cs="Arial"/>
          <w:color w:val="auto"/>
        </w:rPr>
      </w:pPr>
      <w:r w:rsidRPr="00291D03">
        <w:rPr>
          <w:color w:val="auto"/>
          <w:lang w:val="x-none" w:eastAsia="x-none"/>
        </w:rPr>
        <w:t>DCB = Departmental Capital Budget</w:t>
      </w:r>
    </w:p>
    <w:p w14:paraId="13B7CEE7" w14:textId="77777777" w:rsidR="00980E62" w:rsidRDefault="00980E62">
      <w:pPr>
        <w:spacing w:after="160" w:line="259" w:lineRule="auto"/>
        <w:rPr>
          <w:rFonts w:ascii="Arial" w:hAnsi="Arial" w:cs="Arial"/>
          <w:b/>
          <w:sz w:val="20"/>
          <w:szCs w:val="18"/>
          <w:lang w:eastAsia="en-US"/>
        </w:rPr>
      </w:pPr>
      <w:r>
        <w:rPr>
          <w:rFonts w:ascii="Arial" w:hAnsi="Arial" w:cs="Arial"/>
          <w:b/>
          <w:sz w:val="20"/>
          <w:szCs w:val="18"/>
          <w:lang w:eastAsia="en-US"/>
        </w:rPr>
        <w:br w:type="page"/>
      </w:r>
    </w:p>
    <w:p w14:paraId="13172630" w14:textId="5DBFDC65" w:rsidR="00980E62" w:rsidRDefault="005A6FA5" w:rsidP="005A6FA5">
      <w:pPr>
        <w:rPr>
          <w:rFonts w:ascii="Arial" w:hAnsi="Arial" w:cs="Arial"/>
          <w:b/>
          <w:sz w:val="20"/>
          <w:szCs w:val="18"/>
          <w:lang w:eastAsia="en-US"/>
        </w:rPr>
      </w:pPr>
      <w:r w:rsidRPr="005A6FA5">
        <w:rPr>
          <w:rFonts w:ascii="Arial" w:hAnsi="Arial" w:cs="Arial"/>
          <w:b/>
          <w:sz w:val="20"/>
          <w:szCs w:val="18"/>
          <w:lang w:eastAsia="en-US"/>
        </w:rPr>
        <w:lastRenderedPageBreak/>
        <w:t>Table 3.5: Departmental capital budget statement (for the period ended</w:t>
      </w:r>
      <w:r w:rsidR="0099178B">
        <w:rPr>
          <w:rFonts w:ascii="Arial" w:hAnsi="Arial" w:cs="Arial"/>
          <w:b/>
          <w:sz w:val="20"/>
          <w:szCs w:val="18"/>
          <w:lang w:eastAsia="en-US"/>
        </w:rPr>
        <w:br/>
      </w:r>
      <w:r w:rsidRPr="005A6FA5">
        <w:rPr>
          <w:rFonts w:ascii="Arial" w:hAnsi="Arial" w:cs="Arial"/>
          <w:b/>
          <w:sz w:val="20"/>
          <w:szCs w:val="18"/>
          <w:lang w:eastAsia="en-US"/>
        </w:rPr>
        <w:t>30 June)</w:t>
      </w:r>
    </w:p>
    <w:tbl>
      <w:tblPr>
        <w:tblW w:w="7360" w:type="dxa"/>
        <w:tblLayout w:type="fixed"/>
        <w:tblLook w:val="04A0" w:firstRow="1" w:lastRow="0" w:firstColumn="1" w:lastColumn="0" w:noHBand="0" w:noVBand="1"/>
      </w:tblPr>
      <w:tblGrid>
        <w:gridCol w:w="2919"/>
        <w:gridCol w:w="894"/>
        <w:gridCol w:w="883"/>
        <w:gridCol w:w="888"/>
        <w:gridCol w:w="888"/>
        <w:gridCol w:w="888"/>
      </w:tblGrid>
      <w:tr w:rsidR="00AF6DD0" w:rsidRPr="00AF6DD0" w14:paraId="74E93301" w14:textId="77777777" w:rsidTr="00AF6DD0">
        <w:trPr>
          <w:trHeight w:val="765"/>
        </w:trPr>
        <w:tc>
          <w:tcPr>
            <w:tcW w:w="2919" w:type="dxa"/>
            <w:tcBorders>
              <w:top w:val="single" w:sz="4" w:space="0" w:color="auto"/>
              <w:left w:val="nil"/>
              <w:bottom w:val="nil"/>
              <w:right w:val="nil"/>
            </w:tcBorders>
            <w:shd w:val="clear" w:color="auto" w:fill="auto"/>
            <w:tcMar>
              <w:left w:w="0" w:type="dxa"/>
            </w:tcMar>
            <w:hideMark/>
          </w:tcPr>
          <w:p w14:paraId="53FC9CA4" w14:textId="77777777" w:rsidR="00AF6DD0" w:rsidRPr="00AF6DD0" w:rsidRDefault="00AF6DD0" w:rsidP="00AF6DD0">
            <w:pPr>
              <w:spacing w:before="40" w:after="0"/>
              <w:jc w:val="right"/>
              <w:rPr>
                <w:rFonts w:ascii="Arial" w:hAnsi="Arial" w:cs="Arial"/>
                <w:b/>
                <w:bCs/>
                <w:color w:val="auto"/>
                <w:sz w:val="16"/>
                <w:szCs w:val="16"/>
              </w:rPr>
            </w:pPr>
            <w:r w:rsidRPr="00AF6DD0">
              <w:rPr>
                <w:rFonts w:ascii="Arial" w:hAnsi="Arial" w:cs="Arial"/>
                <w:b/>
                <w:bCs/>
                <w:color w:val="auto"/>
                <w:sz w:val="16"/>
                <w:szCs w:val="16"/>
              </w:rPr>
              <w:t> </w:t>
            </w:r>
          </w:p>
        </w:tc>
        <w:tc>
          <w:tcPr>
            <w:tcW w:w="894" w:type="dxa"/>
            <w:tcBorders>
              <w:top w:val="single" w:sz="4" w:space="0" w:color="auto"/>
              <w:left w:val="nil"/>
              <w:bottom w:val="single" w:sz="4" w:space="0" w:color="auto"/>
              <w:right w:val="nil"/>
            </w:tcBorders>
            <w:shd w:val="clear" w:color="auto" w:fill="auto"/>
            <w:tcMar>
              <w:left w:w="0" w:type="dxa"/>
            </w:tcMar>
            <w:hideMark/>
          </w:tcPr>
          <w:p w14:paraId="1D1234B2" w14:textId="77777777" w:rsidR="00AF6DD0" w:rsidRPr="00AF6DD0" w:rsidRDefault="00AF6DD0" w:rsidP="00AF6DD0">
            <w:pPr>
              <w:spacing w:before="40" w:after="0"/>
              <w:jc w:val="right"/>
              <w:rPr>
                <w:rFonts w:ascii="Arial" w:hAnsi="Arial" w:cs="Arial"/>
                <w:b/>
                <w:bCs/>
                <w:color w:val="auto"/>
                <w:sz w:val="16"/>
                <w:szCs w:val="16"/>
              </w:rPr>
            </w:pPr>
            <w:r w:rsidRPr="00AF6DD0">
              <w:rPr>
                <w:rFonts w:ascii="Arial" w:hAnsi="Arial" w:cs="Arial"/>
                <w:b/>
                <w:bCs/>
                <w:color w:val="auto"/>
                <w:sz w:val="16"/>
                <w:szCs w:val="16"/>
              </w:rPr>
              <w:t>2021–22 Estimated actual</w:t>
            </w:r>
            <w:r w:rsidRPr="00AF6DD0">
              <w:rPr>
                <w:rFonts w:ascii="Arial" w:hAnsi="Arial" w:cs="Arial"/>
                <w:b/>
                <w:bCs/>
                <w:color w:val="auto"/>
                <w:sz w:val="16"/>
                <w:szCs w:val="16"/>
              </w:rPr>
              <w:br/>
            </w:r>
            <w:r w:rsidRPr="00AF6DD0">
              <w:rPr>
                <w:rFonts w:ascii="Arial" w:hAnsi="Arial" w:cs="Arial"/>
                <w:color w:val="auto"/>
                <w:sz w:val="16"/>
                <w:szCs w:val="16"/>
              </w:rPr>
              <w:t>$'000</w:t>
            </w:r>
          </w:p>
        </w:tc>
        <w:tc>
          <w:tcPr>
            <w:tcW w:w="883" w:type="dxa"/>
            <w:tcBorders>
              <w:top w:val="single" w:sz="4" w:space="0" w:color="auto"/>
              <w:left w:val="nil"/>
              <w:bottom w:val="single" w:sz="4" w:space="0" w:color="auto"/>
              <w:right w:val="nil"/>
            </w:tcBorders>
            <w:shd w:val="clear" w:color="000000" w:fill="D9D9D9"/>
            <w:tcMar>
              <w:left w:w="0" w:type="dxa"/>
            </w:tcMar>
            <w:hideMark/>
          </w:tcPr>
          <w:p w14:paraId="5E7C4077" w14:textId="77777777" w:rsidR="00AF6DD0" w:rsidRPr="00AF6DD0" w:rsidRDefault="00AF6DD0" w:rsidP="00AF6DD0">
            <w:pPr>
              <w:spacing w:before="40" w:after="0"/>
              <w:jc w:val="right"/>
              <w:rPr>
                <w:rFonts w:ascii="Arial" w:hAnsi="Arial" w:cs="Arial"/>
                <w:b/>
                <w:bCs/>
                <w:color w:val="auto"/>
                <w:sz w:val="16"/>
                <w:szCs w:val="16"/>
              </w:rPr>
            </w:pPr>
            <w:r w:rsidRPr="00AF6DD0">
              <w:rPr>
                <w:rFonts w:ascii="Arial" w:hAnsi="Arial" w:cs="Arial"/>
                <w:b/>
                <w:bCs/>
                <w:color w:val="auto"/>
                <w:sz w:val="16"/>
                <w:szCs w:val="16"/>
              </w:rPr>
              <w:t xml:space="preserve">2022–23 Budget </w:t>
            </w:r>
            <w:r w:rsidRPr="00AF6DD0">
              <w:rPr>
                <w:rFonts w:ascii="Arial" w:hAnsi="Arial" w:cs="Arial"/>
                <w:b/>
                <w:bCs/>
                <w:color w:val="auto"/>
                <w:sz w:val="16"/>
                <w:szCs w:val="16"/>
              </w:rPr>
              <w:br/>
            </w:r>
            <w:r w:rsidRPr="00AF6DD0">
              <w:rPr>
                <w:rFonts w:ascii="Arial" w:hAnsi="Arial" w:cs="Arial"/>
                <w:b/>
                <w:bCs/>
                <w:color w:val="auto"/>
                <w:sz w:val="16"/>
                <w:szCs w:val="16"/>
              </w:rPr>
              <w:br/>
            </w:r>
            <w:r w:rsidRPr="00AF6DD0">
              <w:rPr>
                <w:rFonts w:ascii="Arial" w:hAnsi="Arial" w:cs="Arial"/>
                <w:color w:val="auto"/>
                <w:sz w:val="16"/>
                <w:szCs w:val="16"/>
              </w:rPr>
              <w:t>$'000</w:t>
            </w:r>
          </w:p>
        </w:tc>
        <w:tc>
          <w:tcPr>
            <w:tcW w:w="888" w:type="dxa"/>
            <w:tcBorders>
              <w:top w:val="single" w:sz="4" w:space="0" w:color="auto"/>
              <w:left w:val="nil"/>
              <w:bottom w:val="single" w:sz="4" w:space="0" w:color="auto"/>
              <w:right w:val="nil"/>
            </w:tcBorders>
            <w:shd w:val="clear" w:color="auto" w:fill="auto"/>
            <w:tcMar>
              <w:left w:w="0" w:type="dxa"/>
            </w:tcMar>
            <w:hideMark/>
          </w:tcPr>
          <w:p w14:paraId="5FC21116" w14:textId="77777777" w:rsidR="00AF6DD0" w:rsidRPr="00AF6DD0" w:rsidRDefault="00AF6DD0" w:rsidP="00AF6DD0">
            <w:pPr>
              <w:spacing w:before="40" w:after="0"/>
              <w:jc w:val="right"/>
              <w:rPr>
                <w:rFonts w:ascii="Arial" w:hAnsi="Arial" w:cs="Arial"/>
                <w:b/>
                <w:bCs/>
                <w:color w:val="auto"/>
                <w:sz w:val="16"/>
                <w:szCs w:val="16"/>
              </w:rPr>
            </w:pPr>
            <w:r w:rsidRPr="00AF6DD0">
              <w:rPr>
                <w:rFonts w:ascii="Arial" w:hAnsi="Arial" w:cs="Arial"/>
                <w:b/>
                <w:bCs/>
                <w:color w:val="auto"/>
                <w:sz w:val="16"/>
                <w:szCs w:val="16"/>
              </w:rPr>
              <w:t>2023–24 Forward estimate</w:t>
            </w:r>
            <w:r w:rsidRPr="00AF6DD0">
              <w:rPr>
                <w:rFonts w:ascii="Arial" w:hAnsi="Arial" w:cs="Arial"/>
                <w:b/>
                <w:bCs/>
                <w:color w:val="auto"/>
                <w:sz w:val="16"/>
                <w:szCs w:val="16"/>
              </w:rPr>
              <w:br/>
            </w:r>
            <w:r w:rsidRPr="00AF6DD0">
              <w:rPr>
                <w:rFonts w:ascii="Arial" w:hAnsi="Arial" w:cs="Arial"/>
                <w:color w:val="auto"/>
                <w:sz w:val="16"/>
                <w:szCs w:val="16"/>
              </w:rPr>
              <w:t>$'000</w:t>
            </w:r>
          </w:p>
        </w:tc>
        <w:tc>
          <w:tcPr>
            <w:tcW w:w="888" w:type="dxa"/>
            <w:tcBorders>
              <w:top w:val="single" w:sz="4" w:space="0" w:color="auto"/>
              <w:left w:val="nil"/>
              <w:bottom w:val="single" w:sz="4" w:space="0" w:color="auto"/>
              <w:right w:val="nil"/>
            </w:tcBorders>
            <w:shd w:val="clear" w:color="auto" w:fill="auto"/>
            <w:tcMar>
              <w:left w:w="0" w:type="dxa"/>
            </w:tcMar>
            <w:hideMark/>
          </w:tcPr>
          <w:p w14:paraId="33165C80" w14:textId="77777777" w:rsidR="00AF6DD0" w:rsidRPr="00AF6DD0" w:rsidRDefault="00AF6DD0" w:rsidP="00AF6DD0">
            <w:pPr>
              <w:spacing w:before="40" w:after="0"/>
              <w:jc w:val="right"/>
              <w:rPr>
                <w:rFonts w:ascii="Arial" w:hAnsi="Arial" w:cs="Arial"/>
                <w:b/>
                <w:bCs/>
                <w:color w:val="auto"/>
                <w:sz w:val="16"/>
                <w:szCs w:val="16"/>
              </w:rPr>
            </w:pPr>
            <w:r w:rsidRPr="00AF6DD0">
              <w:rPr>
                <w:rFonts w:ascii="Arial" w:hAnsi="Arial" w:cs="Arial"/>
                <w:b/>
                <w:bCs/>
                <w:color w:val="auto"/>
                <w:sz w:val="16"/>
                <w:szCs w:val="16"/>
              </w:rPr>
              <w:t>2024–25 Forward estimate</w:t>
            </w:r>
            <w:r w:rsidRPr="00AF6DD0">
              <w:rPr>
                <w:rFonts w:ascii="Arial" w:hAnsi="Arial" w:cs="Arial"/>
                <w:b/>
                <w:bCs/>
                <w:color w:val="auto"/>
                <w:sz w:val="16"/>
                <w:szCs w:val="16"/>
              </w:rPr>
              <w:br/>
            </w:r>
            <w:r w:rsidRPr="00AF6DD0">
              <w:rPr>
                <w:rFonts w:ascii="Arial" w:hAnsi="Arial" w:cs="Arial"/>
                <w:color w:val="auto"/>
                <w:sz w:val="16"/>
                <w:szCs w:val="16"/>
              </w:rPr>
              <w:t>$'000</w:t>
            </w:r>
          </w:p>
        </w:tc>
        <w:tc>
          <w:tcPr>
            <w:tcW w:w="888" w:type="dxa"/>
            <w:tcBorders>
              <w:top w:val="single" w:sz="4" w:space="0" w:color="auto"/>
              <w:left w:val="nil"/>
              <w:bottom w:val="single" w:sz="4" w:space="0" w:color="auto"/>
              <w:right w:val="nil"/>
            </w:tcBorders>
            <w:shd w:val="clear" w:color="auto" w:fill="auto"/>
            <w:tcMar>
              <w:left w:w="0" w:type="dxa"/>
            </w:tcMar>
            <w:hideMark/>
          </w:tcPr>
          <w:p w14:paraId="7BE7565D" w14:textId="77777777" w:rsidR="00AF6DD0" w:rsidRPr="00AF6DD0" w:rsidRDefault="00AF6DD0" w:rsidP="00AF6DD0">
            <w:pPr>
              <w:spacing w:before="40" w:after="0"/>
              <w:jc w:val="right"/>
              <w:rPr>
                <w:rFonts w:ascii="Arial" w:hAnsi="Arial" w:cs="Arial"/>
                <w:b/>
                <w:bCs/>
                <w:color w:val="auto"/>
                <w:sz w:val="16"/>
                <w:szCs w:val="16"/>
              </w:rPr>
            </w:pPr>
            <w:r w:rsidRPr="00AF6DD0">
              <w:rPr>
                <w:rFonts w:ascii="Arial" w:hAnsi="Arial" w:cs="Arial"/>
                <w:b/>
                <w:bCs/>
                <w:color w:val="auto"/>
                <w:sz w:val="16"/>
                <w:szCs w:val="16"/>
              </w:rPr>
              <w:t>2025–26 Forward estimate</w:t>
            </w:r>
            <w:r w:rsidRPr="00AF6DD0">
              <w:rPr>
                <w:rFonts w:ascii="Arial" w:hAnsi="Arial" w:cs="Arial"/>
                <w:b/>
                <w:bCs/>
                <w:color w:val="auto"/>
                <w:sz w:val="16"/>
                <w:szCs w:val="16"/>
              </w:rPr>
              <w:br/>
            </w:r>
            <w:r w:rsidRPr="00AF6DD0">
              <w:rPr>
                <w:rFonts w:ascii="Arial" w:hAnsi="Arial" w:cs="Arial"/>
                <w:color w:val="auto"/>
                <w:sz w:val="16"/>
                <w:szCs w:val="16"/>
              </w:rPr>
              <w:t>$'000</w:t>
            </w:r>
          </w:p>
        </w:tc>
      </w:tr>
      <w:tr w:rsidR="00AF6DD0" w:rsidRPr="00AF6DD0" w14:paraId="4D6C0B39" w14:textId="77777777" w:rsidTr="00AF6DD0">
        <w:trPr>
          <w:trHeight w:val="225"/>
        </w:trPr>
        <w:tc>
          <w:tcPr>
            <w:tcW w:w="2919" w:type="dxa"/>
            <w:tcBorders>
              <w:top w:val="nil"/>
              <w:left w:val="nil"/>
              <w:bottom w:val="nil"/>
              <w:right w:val="nil"/>
            </w:tcBorders>
            <w:shd w:val="clear" w:color="000000" w:fill="FFFFFF"/>
            <w:noWrap/>
            <w:vAlign w:val="bottom"/>
            <w:hideMark/>
          </w:tcPr>
          <w:p w14:paraId="3156AC11" w14:textId="77777777" w:rsidR="00AF6DD0" w:rsidRPr="00AF6DD0" w:rsidRDefault="00AF6DD0" w:rsidP="00AF6DD0">
            <w:pPr>
              <w:spacing w:after="0"/>
              <w:rPr>
                <w:rFonts w:ascii="Arial" w:hAnsi="Arial" w:cs="Arial"/>
                <w:b/>
                <w:bCs/>
                <w:sz w:val="16"/>
                <w:szCs w:val="16"/>
              </w:rPr>
            </w:pPr>
            <w:r w:rsidRPr="00AF6DD0">
              <w:rPr>
                <w:rFonts w:ascii="Arial" w:hAnsi="Arial" w:cs="Arial"/>
                <w:b/>
                <w:bCs/>
                <w:sz w:val="16"/>
                <w:szCs w:val="16"/>
              </w:rPr>
              <w:t>CAPITAL APPROPRIATIONS</w:t>
            </w:r>
          </w:p>
        </w:tc>
        <w:tc>
          <w:tcPr>
            <w:tcW w:w="894" w:type="dxa"/>
            <w:tcBorders>
              <w:top w:val="single" w:sz="4" w:space="0" w:color="auto"/>
              <w:left w:val="nil"/>
              <w:bottom w:val="nil"/>
              <w:right w:val="nil"/>
            </w:tcBorders>
            <w:shd w:val="clear" w:color="000000" w:fill="FFFFFF"/>
            <w:noWrap/>
            <w:vAlign w:val="bottom"/>
            <w:hideMark/>
          </w:tcPr>
          <w:p w14:paraId="6513E802" w14:textId="77777777" w:rsidR="00AF6DD0" w:rsidRPr="00AF6DD0" w:rsidRDefault="00AF6DD0" w:rsidP="00AF6DD0">
            <w:pPr>
              <w:spacing w:after="0"/>
              <w:jc w:val="right"/>
              <w:rPr>
                <w:rFonts w:ascii="Arial" w:hAnsi="Arial" w:cs="Arial"/>
                <w:sz w:val="16"/>
                <w:szCs w:val="16"/>
              </w:rPr>
            </w:pPr>
            <w:r w:rsidRPr="00AF6DD0">
              <w:rPr>
                <w:rFonts w:ascii="Arial" w:hAnsi="Arial" w:cs="Arial"/>
                <w:sz w:val="16"/>
                <w:szCs w:val="16"/>
              </w:rPr>
              <w:t> </w:t>
            </w:r>
          </w:p>
        </w:tc>
        <w:tc>
          <w:tcPr>
            <w:tcW w:w="883" w:type="dxa"/>
            <w:tcBorders>
              <w:top w:val="single" w:sz="4" w:space="0" w:color="auto"/>
              <w:left w:val="nil"/>
              <w:bottom w:val="nil"/>
              <w:right w:val="nil"/>
            </w:tcBorders>
            <w:shd w:val="clear" w:color="000000" w:fill="D9D9D9"/>
            <w:noWrap/>
            <w:vAlign w:val="center"/>
            <w:hideMark/>
          </w:tcPr>
          <w:p w14:paraId="47B87AC7" w14:textId="77777777" w:rsidR="00AF6DD0" w:rsidRPr="00AF6DD0" w:rsidRDefault="00AF6DD0" w:rsidP="00AF6DD0">
            <w:pPr>
              <w:spacing w:after="0"/>
              <w:jc w:val="right"/>
              <w:rPr>
                <w:rFonts w:ascii="Arial" w:hAnsi="Arial" w:cs="Arial"/>
                <w:sz w:val="16"/>
                <w:szCs w:val="16"/>
              </w:rPr>
            </w:pPr>
            <w:r w:rsidRPr="00AF6DD0">
              <w:rPr>
                <w:rFonts w:ascii="Arial" w:hAnsi="Arial" w:cs="Arial"/>
                <w:sz w:val="16"/>
                <w:szCs w:val="16"/>
              </w:rPr>
              <w:t> </w:t>
            </w:r>
          </w:p>
        </w:tc>
        <w:tc>
          <w:tcPr>
            <w:tcW w:w="888" w:type="dxa"/>
            <w:tcBorders>
              <w:top w:val="single" w:sz="4" w:space="0" w:color="auto"/>
              <w:left w:val="nil"/>
              <w:bottom w:val="nil"/>
              <w:right w:val="nil"/>
            </w:tcBorders>
            <w:shd w:val="clear" w:color="auto" w:fill="auto"/>
            <w:noWrap/>
            <w:vAlign w:val="center"/>
            <w:hideMark/>
          </w:tcPr>
          <w:p w14:paraId="0B4B0D45" w14:textId="77777777" w:rsidR="00AF6DD0" w:rsidRPr="00AF6DD0" w:rsidRDefault="00AF6DD0" w:rsidP="00AF6DD0">
            <w:pPr>
              <w:spacing w:after="0"/>
              <w:jc w:val="right"/>
              <w:rPr>
                <w:rFonts w:ascii="Arial" w:hAnsi="Arial" w:cs="Arial"/>
                <w:sz w:val="16"/>
                <w:szCs w:val="16"/>
              </w:rPr>
            </w:pPr>
            <w:r w:rsidRPr="00AF6DD0">
              <w:rPr>
                <w:rFonts w:ascii="Arial" w:hAnsi="Arial" w:cs="Arial"/>
                <w:sz w:val="16"/>
                <w:szCs w:val="16"/>
              </w:rPr>
              <w:t> </w:t>
            </w:r>
          </w:p>
        </w:tc>
        <w:tc>
          <w:tcPr>
            <w:tcW w:w="888" w:type="dxa"/>
            <w:tcBorders>
              <w:top w:val="single" w:sz="4" w:space="0" w:color="auto"/>
              <w:left w:val="nil"/>
              <w:bottom w:val="nil"/>
              <w:right w:val="nil"/>
            </w:tcBorders>
            <w:shd w:val="clear" w:color="000000" w:fill="FFFFFF"/>
            <w:noWrap/>
            <w:vAlign w:val="bottom"/>
            <w:hideMark/>
          </w:tcPr>
          <w:p w14:paraId="5948D5E6" w14:textId="77777777" w:rsidR="00AF6DD0" w:rsidRPr="00AF6DD0" w:rsidRDefault="00AF6DD0" w:rsidP="00AF6DD0">
            <w:pPr>
              <w:spacing w:after="0"/>
              <w:jc w:val="right"/>
              <w:rPr>
                <w:rFonts w:ascii="Arial" w:hAnsi="Arial" w:cs="Arial"/>
                <w:sz w:val="16"/>
                <w:szCs w:val="16"/>
              </w:rPr>
            </w:pPr>
            <w:r w:rsidRPr="00AF6DD0">
              <w:rPr>
                <w:rFonts w:ascii="Arial" w:hAnsi="Arial" w:cs="Arial"/>
                <w:sz w:val="16"/>
                <w:szCs w:val="16"/>
              </w:rPr>
              <w:t> </w:t>
            </w:r>
          </w:p>
        </w:tc>
        <w:tc>
          <w:tcPr>
            <w:tcW w:w="888" w:type="dxa"/>
            <w:tcBorders>
              <w:top w:val="single" w:sz="4" w:space="0" w:color="auto"/>
              <w:left w:val="nil"/>
              <w:bottom w:val="nil"/>
              <w:right w:val="nil"/>
            </w:tcBorders>
            <w:shd w:val="clear" w:color="000000" w:fill="FFFFFF"/>
            <w:noWrap/>
            <w:vAlign w:val="bottom"/>
            <w:hideMark/>
          </w:tcPr>
          <w:p w14:paraId="5A42BD7B" w14:textId="77777777" w:rsidR="00AF6DD0" w:rsidRPr="00AF6DD0" w:rsidRDefault="00AF6DD0" w:rsidP="00AF6DD0">
            <w:pPr>
              <w:spacing w:after="0"/>
              <w:jc w:val="right"/>
              <w:rPr>
                <w:rFonts w:ascii="Arial" w:hAnsi="Arial" w:cs="Arial"/>
                <w:sz w:val="16"/>
                <w:szCs w:val="16"/>
              </w:rPr>
            </w:pPr>
            <w:r w:rsidRPr="00AF6DD0">
              <w:rPr>
                <w:rFonts w:ascii="Arial" w:hAnsi="Arial" w:cs="Arial"/>
                <w:sz w:val="16"/>
                <w:szCs w:val="16"/>
              </w:rPr>
              <w:t> </w:t>
            </w:r>
          </w:p>
        </w:tc>
      </w:tr>
      <w:tr w:rsidR="00AF6DD0" w:rsidRPr="00AF6DD0" w14:paraId="2AE0DBF5" w14:textId="77777777" w:rsidTr="00AF6DD0">
        <w:trPr>
          <w:trHeight w:val="225"/>
        </w:trPr>
        <w:tc>
          <w:tcPr>
            <w:tcW w:w="2919" w:type="dxa"/>
            <w:tcBorders>
              <w:top w:val="nil"/>
              <w:left w:val="nil"/>
              <w:bottom w:val="nil"/>
              <w:right w:val="nil"/>
            </w:tcBorders>
            <w:shd w:val="clear" w:color="000000" w:fill="FFFFFF"/>
            <w:noWrap/>
            <w:vAlign w:val="bottom"/>
            <w:hideMark/>
          </w:tcPr>
          <w:p w14:paraId="44F766FE" w14:textId="77777777" w:rsidR="00AF6DD0" w:rsidRPr="00AF6DD0" w:rsidRDefault="00AF6DD0" w:rsidP="00AB0BBD">
            <w:pPr>
              <w:spacing w:after="0"/>
              <w:ind w:leftChars="75" w:left="143"/>
              <w:rPr>
                <w:rFonts w:ascii="Arial" w:hAnsi="Arial" w:cs="Arial"/>
                <w:sz w:val="16"/>
                <w:szCs w:val="16"/>
              </w:rPr>
            </w:pPr>
            <w:r w:rsidRPr="00AF6DD0">
              <w:rPr>
                <w:rFonts w:ascii="Arial" w:hAnsi="Arial" w:cs="Arial"/>
                <w:sz w:val="16"/>
                <w:szCs w:val="16"/>
              </w:rPr>
              <w:t>Capital budget - Bill 1 (DCB)</w:t>
            </w:r>
          </w:p>
        </w:tc>
        <w:tc>
          <w:tcPr>
            <w:tcW w:w="894" w:type="dxa"/>
            <w:tcBorders>
              <w:top w:val="nil"/>
              <w:left w:val="nil"/>
              <w:bottom w:val="nil"/>
              <w:right w:val="nil"/>
            </w:tcBorders>
            <w:shd w:val="clear" w:color="auto" w:fill="auto"/>
            <w:noWrap/>
            <w:vAlign w:val="bottom"/>
            <w:hideMark/>
          </w:tcPr>
          <w:p w14:paraId="6236FD95"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261</w:t>
            </w:r>
          </w:p>
        </w:tc>
        <w:tc>
          <w:tcPr>
            <w:tcW w:w="883" w:type="dxa"/>
            <w:tcBorders>
              <w:top w:val="nil"/>
              <w:left w:val="nil"/>
              <w:bottom w:val="nil"/>
              <w:right w:val="nil"/>
            </w:tcBorders>
            <w:shd w:val="clear" w:color="000000" w:fill="D9D9D9"/>
            <w:noWrap/>
            <w:vAlign w:val="bottom"/>
            <w:hideMark/>
          </w:tcPr>
          <w:p w14:paraId="72AB18C3"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264</w:t>
            </w:r>
          </w:p>
        </w:tc>
        <w:tc>
          <w:tcPr>
            <w:tcW w:w="888" w:type="dxa"/>
            <w:tcBorders>
              <w:top w:val="nil"/>
              <w:left w:val="nil"/>
              <w:bottom w:val="nil"/>
              <w:right w:val="nil"/>
            </w:tcBorders>
            <w:shd w:val="clear" w:color="auto" w:fill="auto"/>
            <w:noWrap/>
            <w:vAlign w:val="bottom"/>
            <w:hideMark/>
          </w:tcPr>
          <w:p w14:paraId="28E1F6AA"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265</w:t>
            </w:r>
          </w:p>
        </w:tc>
        <w:tc>
          <w:tcPr>
            <w:tcW w:w="888" w:type="dxa"/>
            <w:tcBorders>
              <w:top w:val="nil"/>
              <w:left w:val="nil"/>
              <w:bottom w:val="nil"/>
              <w:right w:val="nil"/>
            </w:tcBorders>
            <w:shd w:val="clear" w:color="auto" w:fill="auto"/>
            <w:noWrap/>
            <w:vAlign w:val="bottom"/>
            <w:hideMark/>
          </w:tcPr>
          <w:p w14:paraId="7FC09B1D"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267</w:t>
            </w:r>
          </w:p>
        </w:tc>
        <w:tc>
          <w:tcPr>
            <w:tcW w:w="888" w:type="dxa"/>
            <w:tcBorders>
              <w:top w:val="nil"/>
              <w:left w:val="nil"/>
              <w:bottom w:val="nil"/>
              <w:right w:val="nil"/>
            </w:tcBorders>
            <w:shd w:val="clear" w:color="auto" w:fill="auto"/>
            <w:noWrap/>
            <w:vAlign w:val="bottom"/>
            <w:hideMark/>
          </w:tcPr>
          <w:p w14:paraId="1B0BB30E"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266</w:t>
            </w:r>
          </w:p>
        </w:tc>
      </w:tr>
      <w:tr w:rsidR="00AF6DD0" w:rsidRPr="00AF6DD0" w14:paraId="6E869F9A" w14:textId="77777777" w:rsidTr="00AF6DD0">
        <w:trPr>
          <w:trHeight w:val="225"/>
        </w:trPr>
        <w:tc>
          <w:tcPr>
            <w:tcW w:w="2919" w:type="dxa"/>
            <w:tcBorders>
              <w:top w:val="nil"/>
              <w:left w:val="nil"/>
              <w:bottom w:val="nil"/>
              <w:right w:val="nil"/>
            </w:tcBorders>
            <w:shd w:val="clear" w:color="000000" w:fill="FFFFFF"/>
            <w:noWrap/>
            <w:vAlign w:val="bottom"/>
            <w:hideMark/>
          </w:tcPr>
          <w:p w14:paraId="0F62FE81" w14:textId="77777777" w:rsidR="00AF6DD0" w:rsidRPr="00AF6DD0" w:rsidRDefault="00AF6DD0" w:rsidP="00AB0BBD">
            <w:pPr>
              <w:spacing w:after="0"/>
              <w:ind w:leftChars="75" w:left="143"/>
              <w:rPr>
                <w:rFonts w:ascii="Arial" w:hAnsi="Arial" w:cs="Arial"/>
                <w:sz w:val="16"/>
                <w:szCs w:val="16"/>
              </w:rPr>
            </w:pPr>
            <w:r w:rsidRPr="00AF6DD0">
              <w:rPr>
                <w:rFonts w:ascii="Arial" w:hAnsi="Arial" w:cs="Arial"/>
                <w:sz w:val="16"/>
                <w:szCs w:val="16"/>
              </w:rPr>
              <w:t>Equity injections - Bill 2</w:t>
            </w:r>
          </w:p>
        </w:tc>
        <w:tc>
          <w:tcPr>
            <w:tcW w:w="894" w:type="dxa"/>
            <w:tcBorders>
              <w:top w:val="nil"/>
              <w:left w:val="nil"/>
              <w:bottom w:val="nil"/>
              <w:right w:val="nil"/>
            </w:tcBorders>
            <w:shd w:val="clear" w:color="auto" w:fill="auto"/>
            <w:noWrap/>
            <w:vAlign w:val="bottom"/>
            <w:hideMark/>
          </w:tcPr>
          <w:p w14:paraId="63CA4CB0"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c>
          <w:tcPr>
            <w:tcW w:w="883" w:type="dxa"/>
            <w:tcBorders>
              <w:top w:val="nil"/>
              <w:left w:val="nil"/>
              <w:bottom w:val="nil"/>
              <w:right w:val="nil"/>
            </w:tcBorders>
            <w:shd w:val="clear" w:color="000000" w:fill="D9D9D9"/>
            <w:noWrap/>
            <w:vAlign w:val="bottom"/>
            <w:hideMark/>
          </w:tcPr>
          <w:p w14:paraId="62ECF41F"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375E3097"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337AD6D7"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0A90C29C"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r>
      <w:tr w:rsidR="00AF6DD0" w:rsidRPr="00AF6DD0" w14:paraId="33823683" w14:textId="77777777" w:rsidTr="00AF6DD0">
        <w:trPr>
          <w:trHeight w:val="225"/>
        </w:trPr>
        <w:tc>
          <w:tcPr>
            <w:tcW w:w="2919" w:type="dxa"/>
            <w:tcBorders>
              <w:top w:val="nil"/>
              <w:left w:val="nil"/>
              <w:bottom w:val="nil"/>
              <w:right w:val="nil"/>
            </w:tcBorders>
            <w:shd w:val="clear" w:color="000000" w:fill="FFFFFF"/>
            <w:noWrap/>
            <w:vAlign w:val="bottom"/>
            <w:hideMark/>
          </w:tcPr>
          <w:p w14:paraId="3DA5DB58" w14:textId="77777777" w:rsidR="00AF6DD0" w:rsidRPr="00AF6DD0" w:rsidRDefault="00AF6DD0" w:rsidP="00AB0BBD">
            <w:pPr>
              <w:spacing w:after="0"/>
              <w:ind w:leftChars="75" w:left="143"/>
              <w:rPr>
                <w:rFonts w:ascii="Arial" w:hAnsi="Arial" w:cs="Arial"/>
                <w:b/>
                <w:bCs/>
                <w:sz w:val="16"/>
                <w:szCs w:val="16"/>
              </w:rPr>
            </w:pPr>
            <w:r w:rsidRPr="00AF6DD0">
              <w:rPr>
                <w:rFonts w:ascii="Arial" w:hAnsi="Arial" w:cs="Arial"/>
                <w:b/>
                <w:bCs/>
                <w:sz w:val="16"/>
                <w:szCs w:val="16"/>
              </w:rPr>
              <w:t>Total capital appropriations</w:t>
            </w:r>
          </w:p>
        </w:tc>
        <w:tc>
          <w:tcPr>
            <w:tcW w:w="894" w:type="dxa"/>
            <w:tcBorders>
              <w:top w:val="nil"/>
              <w:left w:val="nil"/>
              <w:bottom w:val="single" w:sz="4" w:space="0" w:color="auto"/>
              <w:right w:val="nil"/>
            </w:tcBorders>
            <w:shd w:val="clear" w:color="auto" w:fill="auto"/>
            <w:noWrap/>
            <w:vAlign w:val="bottom"/>
            <w:hideMark/>
          </w:tcPr>
          <w:p w14:paraId="1EDC9750"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261</w:t>
            </w:r>
          </w:p>
        </w:tc>
        <w:tc>
          <w:tcPr>
            <w:tcW w:w="883" w:type="dxa"/>
            <w:tcBorders>
              <w:top w:val="nil"/>
              <w:left w:val="nil"/>
              <w:bottom w:val="single" w:sz="4" w:space="0" w:color="auto"/>
              <w:right w:val="nil"/>
            </w:tcBorders>
            <w:shd w:val="clear" w:color="000000" w:fill="D9D9D9"/>
            <w:noWrap/>
            <w:vAlign w:val="bottom"/>
            <w:hideMark/>
          </w:tcPr>
          <w:p w14:paraId="0FA59176"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264</w:t>
            </w:r>
          </w:p>
        </w:tc>
        <w:tc>
          <w:tcPr>
            <w:tcW w:w="888" w:type="dxa"/>
            <w:tcBorders>
              <w:top w:val="nil"/>
              <w:left w:val="nil"/>
              <w:bottom w:val="single" w:sz="4" w:space="0" w:color="auto"/>
              <w:right w:val="nil"/>
            </w:tcBorders>
            <w:shd w:val="clear" w:color="auto" w:fill="auto"/>
            <w:noWrap/>
            <w:vAlign w:val="bottom"/>
            <w:hideMark/>
          </w:tcPr>
          <w:p w14:paraId="5DCA1496"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265</w:t>
            </w:r>
          </w:p>
        </w:tc>
        <w:tc>
          <w:tcPr>
            <w:tcW w:w="888" w:type="dxa"/>
            <w:tcBorders>
              <w:top w:val="nil"/>
              <w:left w:val="nil"/>
              <w:bottom w:val="single" w:sz="4" w:space="0" w:color="auto"/>
              <w:right w:val="nil"/>
            </w:tcBorders>
            <w:shd w:val="clear" w:color="auto" w:fill="auto"/>
            <w:noWrap/>
            <w:vAlign w:val="bottom"/>
            <w:hideMark/>
          </w:tcPr>
          <w:p w14:paraId="2C84AB97"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267</w:t>
            </w:r>
          </w:p>
        </w:tc>
        <w:tc>
          <w:tcPr>
            <w:tcW w:w="888" w:type="dxa"/>
            <w:tcBorders>
              <w:top w:val="nil"/>
              <w:left w:val="nil"/>
              <w:bottom w:val="single" w:sz="4" w:space="0" w:color="auto"/>
              <w:right w:val="nil"/>
            </w:tcBorders>
            <w:shd w:val="clear" w:color="auto" w:fill="auto"/>
            <w:noWrap/>
            <w:vAlign w:val="bottom"/>
            <w:hideMark/>
          </w:tcPr>
          <w:p w14:paraId="78B78550"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266</w:t>
            </w:r>
          </w:p>
        </w:tc>
      </w:tr>
      <w:tr w:rsidR="00AF6DD0" w:rsidRPr="00AF6DD0" w14:paraId="5387F4AB" w14:textId="77777777" w:rsidTr="00AF6DD0">
        <w:trPr>
          <w:trHeight w:val="525"/>
        </w:trPr>
        <w:tc>
          <w:tcPr>
            <w:tcW w:w="2919" w:type="dxa"/>
            <w:tcBorders>
              <w:top w:val="nil"/>
              <w:left w:val="nil"/>
              <w:bottom w:val="nil"/>
              <w:right w:val="nil"/>
            </w:tcBorders>
            <w:shd w:val="clear" w:color="000000" w:fill="FFFFFF"/>
            <w:vAlign w:val="bottom"/>
            <w:hideMark/>
          </w:tcPr>
          <w:p w14:paraId="25722186" w14:textId="77777777" w:rsidR="00AF6DD0" w:rsidRPr="00AF6DD0" w:rsidRDefault="00AF6DD0" w:rsidP="00AF6DD0">
            <w:pPr>
              <w:spacing w:after="0"/>
              <w:rPr>
                <w:rFonts w:ascii="Arial" w:hAnsi="Arial" w:cs="Arial"/>
                <w:b/>
                <w:bCs/>
                <w:sz w:val="16"/>
                <w:szCs w:val="16"/>
              </w:rPr>
            </w:pPr>
            <w:r w:rsidRPr="00AF6DD0">
              <w:rPr>
                <w:rFonts w:ascii="Arial" w:hAnsi="Arial" w:cs="Arial"/>
                <w:b/>
                <w:bCs/>
                <w:sz w:val="16"/>
                <w:szCs w:val="16"/>
              </w:rPr>
              <w:t>Total new capital appropriations represented by:</w:t>
            </w:r>
          </w:p>
        </w:tc>
        <w:tc>
          <w:tcPr>
            <w:tcW w:w="894" w:type="dxa"/>
            <w:tcBorders>
              <w:top w:val="nil"/>
              <w:left w:val="nil"/>
              <w:bottom w:val="nil"/>
              <w:right w:val="nil"/>
            </w:tcBorders>
            <w:shd w:val="clear" w:color="000000" w:fill="FFFFFF"/>
            <w:noWrap/>
            <w:vAlign w:val="bottom"/>
            <w:hideMark/>
          </w:tcPr>
          <w:p w14:paraId="267CD4AB"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 </w:t>
            </w:r>
          </w:p>
        </w:tc>
        <w:tc>
          <w:tcPr>
            <w:tcW w:w="883" w:type="dxa"/>
            <w:tcBorders>
              <w:top w:val="nil"/>
              <w:left w:val="nil"/>
              <w:bottom w:val="nil"/>
              <w:right w:val="nil"/>
            </w:tcBorders>
            <w:shd w:val="clear" w:color="000000" w:fill="D9D9D9"/>
            <w:noWrap/>
            <w:vAlign w:val="bottom"/>
            <w:hideMark/>
          </w:tcPr>
          <w:p w14:paraId="1DF7666F"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 </w:t>
            </w:r>
          </w:p>
        </w:tc>
        <w:tc>
          <w:tcPr>
            <w:tcW w:w="888" w:type="dxa"/>
            <w:tcBorders>
              <w:top w:val="nil"/>
              <w:left w:val="nil"/>
              <w:bottom w:val="nil"/>
              <w:right w:val="nil"/>
            </w:tcBorders>
            <w:shd w:val="clear" w:color="auto" w:fill="auto"/>
            <w:noWrap/>
            <w:vAlign w:val="bottom"/>
            <w:hideMark/>
          </w:tcPr>
          <w:p w14:paraId="372180A6" w14:textId="77777777" w:rsidR="00AF6DD0" w:rsidRPr="00AF6DD0" w:rsidRDefault="00AF6DD0" w:rsidP="00AF6DD0">
            <w:pPr>
              <w:spacing w:after="0"/>
              <w:jc w:val="right"/>
              <w:rPr>
                <w:rFonts w:ascii="Arial" w:hAnsi="Arial" w:cs="Arial"/>
                <w:color w:val="auto"/>
                <w:sz w:val="16"/>
                <w:szCs w:val="16"/>
              </w:rPr>
            </w:pPr>
          </w:p>
        </w:tc>
        <w:tc>
          <w:tcPr>
            <w:tcW w:w="888" w:type="dxa"/>
            <w:tcBorders>
              <w:top w:val="nil"/>
              <w:left w:val="nil"/>
              <w:bottom w:val="nil"/>
              <w:right w:val="nil"/>
            </w:tcBorders>
            <w:shd w:val="clear" w:color="000000" w:fill="FFFFFF"/>
            <w:noWrap/>
            <w:vAlign w:val="bottom"/>
            <w:hideMark/>
          </w:tcPr>
          <w:p w14:paraId="1B512F5B"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 </w:t>
            </w:r>
          </w:p>
        </w:tc>
        <w:tc>
          <w:tcPr>
            <w:tcW w:w="888" w:type="dxa"/>
            <w:tcBorders>
              <w:top w:val="nil"/>
              <w:left w:val="nil"/>
              <w:bottom w:val="nil"/>
              <w:right w:val="nil"/>
            </w:tcBorders>
            <w:shd w:val="clear" w:color="000000" w:fill="FFFFFF"/>
            <w:noWrap/>
            <w:vAlign w:val="bottom"/>
            <w:hideMark/>
          </w:tcPr>
          <w:p w14:paraId="149281BD"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 </w:t>
            </w:r>
          </w:p>
        </w:tc>
      </w:tr>
      <w:tr w:rsidR="00AF6DD0" w:rsidRPr="00AF6DD0" w14:paraId="5A48162C" w14:textId="77777777" w:rsidTr="00AF6DD0">
        <w:trPr>
          <w:trHeight w:val="225"/>
        </w:trPr>
        <w:tc>
          <w:tcPr>
            <w:tcW w:w="2919" w:type="dxa"/>
            <w:tcBorders>
              <w:top w:val="nil"/>
              <w:left w:val="nil"/>
              <w:bottom w:val="nil"/>
              <w:right w:val="nil"/>
            </w:tcBorders>
            <w:shd w:val="clear" w:color="000000" w:fill="FFFFFF"/>
            <w:noWrap/>
            <w:vAlign w:val="bottom"/>
            <w:hideMark/>
          </w:tcPr>
          <w:p w14:paraId="21C22920" w14:textId="77777777" w:rsidR="00AF6DD0" w:rsidRPr="00AF6DD0" w:rsidRDefault="00AF6DD0" w:rsidP="00AF6DD0">
            <w:pPr>
              <w:spacing w:after="0"/>
              <w:ind w:firstLineChars="200" w:firstLine="320"/>
              <w:rPr>
                <w:rFonts w:ascii="Arial" w:hAnsi="Arial" w:cs="Arial"/>
                <w:sz w:val="16"/>
                <w:szCs w:val="16"/>
              </w:rPr>
            </w:pPr>
            <w:r w:rsidRPr="00AF6DD0">
              <w:rPr>
                <w:rFonts w:ascii="Arial" w:hAnsi="Arial" w:cs="Arial"/>
                <w:sz w:val="16"/>
                <w:szCs w:val="16"/>
              </w:rPr>
              <w:t>Purchase of non-financial assets</w:t>
            </w:r>
          </w:p>
        </w:tc>
        <w:tc>
          <w:tcPr>
            <w:tcW w:w="894" w:type="dxa"/>
            <w:tcBorders>
              <w:top w:val="nil"/>
              <w:left w:val="nil"/>
              <w:bottom w:val="nil"/>
              <w:right w:val="nil"/>
            </w:tcBorders>
            <w:shd w:val="clear" w:color="auto" w:fill="auto"/>
            <w:noWrap/>
            <w:vAlign w:val="bottom"/>
            <w:hideMark/>
          </w:tcPr>
          <w:p w14:paraId="30B084C5"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261</w:t>
            </w:r>
          </w:p>
        </w:tc>
        <w:tc>
          <w:tcPr>
            <w:tcW w:w="883" w:type="dxa"/>
            <w:tcBorders>
              <w:top w:val="nil"/>
              <w:left w:val="nil"/>
              <w:bottom w:val="nil"/>
              <w:right w:val="nil"/>
            </w:tcBorders>
            <w:shd w:val="clear" w:color="000000" w:fill="D9D9D9"/>
            <w:noWrap/>
            <w:vAlign w:val="bottom"/>
            <w:hideMark/>
          </w:tcPr>
          <w:p w14:paraId="7EE252BA"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264</w:t>
            </w:r>
          </w:p>
        </w:tc>
        <w:tc>
          <w:tcPr>
            <w:tcW w:w="888" w:type="dxa"/>
            <w:tcBorders>
              <w:top w:val="nil"/>
              <w:left w:val="nil"/>
              <w:bottom w:val="nil"/>
              <w:right w:val="nil"/>
            </w:tcBorders>
            <w:shd w:val="clear" w:color="auto" w:fill="auto"/>
            <w:noWrap/>
            <w:vAlign w:val="bottom"/>
            <w:hideMark/>
          </w:tcPr>
          <w:p w14:paraId="4B8CAF9E"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265</w:t>
            </w:r>
          </w:p>
        </w:tc>
        <w:tc>
          <w:tcPr>
            <w:tcW w:w="888" w:type="dxa"/>
            <w:tcBorders>
              <w:top w:val="nil"/>
              <w:left w:val="nil"/>
              <w:bottom w:val="nil"/>
              <w:right w:val="nil"/>
            </w:tcBorders>
            <w:shd w:val="clear" w:color="auto" w:fill="auto"/>
            <w:noWrap/>
            <w:vAlign w:val="bottom"/>
            <w:hideMark/>
          </w:tcPr>
          <w:p w14:paraId="6F3A1896"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267</w:t>
            </w:r>
          </w:p>
        </w:tc>
        <w:tc>
          <w:tcPr>
            <w:tcW w:w="888" w:type="dxa"/>
            <w:tcBorders>
              <w:top w:val="nil"/>
              <w:left w:val="nil"/>
              <w:bottom w:val="nil"/>
              <w:right w:val="nil"/>
            </w:tcBorders>
            <w:shd w:val="clear" w:color="auto" w:fill="auto"/>
            <w:noWrap/>
            <w:vAlign w:val="bottom"/>
            <w:hideMark/>
          </w:tcPr>
          <w:p w14:paraId="22CE2AAE"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266</w:t>
            </w:r>
          </w:p>
        </w:tc>
      </w:tr>
      <w:tr w:rsidR="00AF6DD0" w:rsidRPr="00AF6DD0" w14:paraId="4B8CCA00" w14:textId="77777777" w:rsidTr="00AF6DD0">
        <w:trPr>
          <w:trHeight w:val="225"/>
        </w:trPr>
        <w:tc>
          <w:tcPr>
            <w:tcW w:w="2919" w:type="dxa"/>
            <w:tcBorders>
              <w:top w:val="nil"/>
              <w:left w:val="nil"/>
              <w:bottom w:val="nil"/>
              <w:right w:val="nil"/>
            </w:tcBorders>
            <w:shd w:val="clear" w:color="000000" w:fill="FFFFFF"/>
            <w:noWrap/>
            <w:vAlign w:val="bottom"/>
            <w:hideMark/>
          </w:tcPr>
          <w:p w14:paraId="1A878255" w14:textId="77777777" w:rsidR="00AF6DD0" w:rsidRPr="00AF6DD0" w:rsidRDefault="00AF6DD0" w:rsidP="00AF6DD0">
            <w:pPr>
              <w:spacing w:after="0"/>
              <w:ind w:firstLineChars="200" w:firstLine="320"/>
              <w:rPr>
                <w:rFonts w:ascii="Arial" w:hAnsi="Arial" w:cs="Arial"/>
                <w:b/>
                <w:bCs/>
                <w:sz w:val="16"/>
                <w:szCs w:val="16"/>
              </w:rPr>
            </w:pPr>
            <w:r w:rsidRPr="00AF6DD0">
              <w:rPr>
                <w:rFonts w:ascii="Arial" w:hAnsi="Arial" w:cs="Arial"/>
                <w:b/>
                <w:bCs/>
                <w:sz w:val="16"/>
                <w:szCs w:val="16"/>
              </w:rPr>
              <w:t>Total items</w:t>
            </w:r>
          </w:p>
        </w:tc>
        <w:tc>
          <w:tcPr>
            <w:tcW w:w="894" w:type="dxa"/>
            <w:tcBorders>
              <w:top w:val="nil"/>
              <w:left w:val="nil"/>
              <w:bottom w:val="single" w:sz="4" w:space="0" w:color="auto"/>
              <w:right w:val="nil"/>
            </w:tcBorders>
            <w:shd w:val="clear" w:color="auto" w:fill="auto"/>
            <w:noWrap/>
            <w:vAlign w:val="bottom"/>
            <w:hideMark/>
          </w:tcPr>
          <w:p w14:paraId="5B9FC361"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261</w:t>
            </w:r>
          </w:p>
        </w:tc>
        <w:tc>
          <w:tcPr>
            <w:tcW w:w="883" w:type="dxa"/>
            <w:tcBorders>
              <w:top w:val="nil"/>
              <w:left w:val="nil"/>
              <w:bottom w:val="single" w:sz="4" w:space="0" w:color="auto"/>
              <w:right w:val="nil"/>
            </w:tcBorders>
            <w:shd w:val="clear" w:color="000000" w:fill="D9D9D9"/>
            <w:noWrap/>
            <w:vAlign w:val="bottom"/>
            <w:hideMark/>
          </w:tcPr>
          <w:p w14:paraId="1B174B8A"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264</w:t>
            </w:r>
          </w:p>
        </w:tc>
        <w:tc>
          <w:tcPr>
            <w:tcW w:w="888" w:type="dxa"/>
            <w:tcBorders>
              <w:top w:val="nil"/>
              <w:left w:val="nil"/>
              <w:bottom w:val="single" w:sz="4" w:space="0" w:color="auto"/>
              <w:right w:val="nil"/>
            </w:tcBorders>
            <w:shd w:val="clear" w:color="auto" w:fill="auto"/>
            <w:noWrap/>
            <w:vAlign w:val="bottom"/>
            <w:hideMark/>
          </w:tcPr>
          <w:p w14:paraId="67B9A4CD"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265</w:t>
            </w:r>
          </w:p>
        </w:tc>
        <w:tc>
          <w:tcPr>
            <w:tcW w:w="888" w:type="dxa"/>
            <w:tcBorders>
              <w:top w:val="nil"/>
              <w:left w:val="nil"/>
              <w:bottom w:val="single" w:sz="4" w:space="0" w:color="auto"/>
              <w:right w:val="nil"/>
            </w:tcBorders>
            <w:shd w:val="clear" w:color="auto" w:fill="auto"/>
            <w:noWrap/>
            <w:vAlign w:val="bottom"/>
            <w:hideMark/>
          </w:tcPr>
          <w:p w14:paraId="57F44B1A"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267</w:t>
            </w:r>
          </w:p>
        </w:tc>
        <w:tc>
          <w:tcPr>
            <w:tcW w:w="888" w:type="dxa"/>
            <w:tcBorders>
              <w:top w:val="nil"/>
              <w:left w:val="nil"/>
              <w:bottom w:val="single" w:sz="4" w:space="0" w:color="auto"/>
              <w:right w:val="nil"/>
            </w:tcBorders>
            <w:shd w:val="clear" w:color="auto" w:fill="auto"/>
            <w:noWrap/>
            <w:vAlign w:val="bottom"/>
            <w:hideMark/>
          </w:tcPr>
          <w:p w14:paraId="51F1FD3C"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266</w:t>
            </w:r>
          </w:p>
        </w:tc>
      </w:tr>
      <w:tr w:rsidR="00AF6DD0" w:rsidRPr="00AF6DD0" w14:paraId="1C5765E8" w14:textId="77777777" w:rsidTr="00AF6DD0">
        <w:trPr>
          <w:trHeight w:val="525"/>
        </w:trPr>
        <w:tc>
          <w:tcPr>
            <w:tcW w:w="2919" w:type="dxa"/>
            <w:tcBorders>
              <w:top w:val="nil"/>
              <w:left w:val="nil"/>
              <w:bottom w:val="nil"/>
              <w:right w:val="nil"/>
            </w:tcBorders>
            <w:shd w:val="clear" w:color="000000" w:fill="FFFFFF"/>
            <w:vAlign w:val="bottom"/>
            <w:hideMark/>
          </w:tcPr>
          <w:p w14:paraId="732E4EB8" w14:textId="77777777" w:rsidR="00AF6DD0" w:rsidRPr="00AF6DD0" w:rsidRDefault="00AF6DD0" w:rsidP="00AF6DD0">
            <w:pPr>
              <w:spacing w:after="0"/>
              <w:rPr>
                <w:rFonts w:ascii="Arial" w:hAnsi="Arial" w:cs="Arial"/>
                <w:b/>
                <w:bCs/>
                <w:sz w:val="16"/>
                <w:szCs w:val="16"/>
              </w:rPr>
            </w:pPr>
            <w:r w:rsidRPr="00AF6DD0">
              <w:rPr>
                <w:rFonts w:ascii="Arial" w:hAnsi="Arial" w:cs="Arial"/>
                <w:b/>
                <w:bCs/>
                <w:sz w:val="16"/>
                <w:szCs w:val="16"/>
              </w:rPr>
              <w:t>PURCHASE OF NON-FINANCIAL ASSETS</w:t>
            </w:r>
          </w:p>
        </w:tc>
        <w:tc>
          <w:tcPr>
            <w:tcW w:w="894" w:type="dxa"/>
            <w:tcBorders>
              <w:top w:val="nil"/>
              <w:left w:val="nil"/>
              <w:bottom w:val="nil"/>
              <w:right w:val="nil"/>
            </w:tcBorders>
            <w:shd w:val="clear" w:color="000000" w:fill="FFFFFF"/>
            <w:noWrap/>
            <w:vAlign w:val="bottom"/>
            <w:hideMark/>
          </w:tcPr>
          <w:p w14:paraId="528ED830"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 </w:t>
            </w:r>
          </w:p>
        </w:tc>
        <w:tc>
          <w:tcPr>
            <w:tcW w:w="883" w:type="dxa"/>
            <w:tcBorders>
              <w:top w:val="nil"/>
              <w:left w:val="nil"/>
              <w:bottom w:val="nil"/>
              <w:right w:val="nil"/>
            </w:tcBorders>
            <w:shd w:val="clear" w:color="000000" w:fill="D9D9D9"/>
            <w:noWrap/>
            <w:vAlign w:val="bottom"/>
            <w:hideMark/>
          </w:tcPr>
          <w:p w14:paraId="4D088047"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 </w:t>
            </w:r>
          </w:p>
        </w:tc>
        <w:tc>
          <w:tcPr>
            <w:tcW w:w="888" w:type="dxa"/>
            <w:tcBorders>
              <w:top w:val="nil"/>
              <w:left w:val="nil"/>
              <w:bottom w:val="nil"/>
              <w:right w:val="nil"/>
            </w:tcBorders>
            <w:shd w:val="clear" w:color="auto" w:fill="auto"/>
            <w:noWrap/>
            <w:vAlign w:val="bottom"/>
            <w:hideMark/>
          </w:tcPr>
          <w:p w14:paraId="5A2E11A3" w14:textId="77777777" w:rsidR="00AF6DD0" w:rsidRPr="00AF6DD0" w:rsidRDefault="00AF6DD0" w:rsidP="00AF6DD0">
            <w:pPr>
              <w:spacing w:after="0"/>
              <w:jc w:val="right"/>
              <w:rPr>
                <w:rFonts w:ascii="Arial" w:hAnsi="Arial" w:cs="Arial"/>
                <w:color w:val="auto"/>
                <w:sz w:val="16"/>
                <w:szCs w:val="16"/>
              </w:rPr>
            </w:pPr>
          </w:p>
        </w:tc>
        <w:tc>
          <w:tcPr>
            <w:tcW w:w="888" w:type="dxa"/>
            <w:tcBorders>
              <w:top w:val="nil"/>
              <w:left w:val="nil"/>
              <w:bottom w:val="nil"/>
              <w:right w:val="nil"/>
            </w:tcBorders>
            <w:shd w:val="clear" w:color="000000" w:fill="FFFFFF"/>
            <w:noWrap/>
            <w:vAlign w:val="bottom"/>
            <w:hideMark/>
          </w:tcPr>
          <w:p w14:paraId="34677EFF"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 </w:t>
            </w:r>
          </w:p>
        </w:tc>
        <w:tc>
          <w:tcPr>
            <w:tcW w:w="888" w:type="dxa"/>
            <w:tcBorders>
              <w:top w:val="nil"/>
              <w:left w:val="nil"/>
              <w:bottom w:val="nil"/>
              <w:right w:val="nil"/>
            </w:tcBorders>
            <w:shd w:val="clear" w:color="000000" w:fill="FFFFFF"/>
            <w:noWrap/>
            <w:vAlign w:val="bottom"/>
            <w:hideMark/>
          </w:tcPr>
          <w:p w14:paraId="017FBBE1"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 </w:t>
            </w:r>
          </w:p>
        </w:tc>
      </w:tr>
      <w:tr w:rsidR="00AF6DD0" w:rsidRPr="00AF6DD0" w14:paraId="36A076BF" w14:textId="77777777" w:rsidTr="00AF6DD0">
        <w:trPr>
          <w:trHeight w:val="525"/>
        </w:trPr>
        <w:tc>
          <w:tcPr>
            <w:tcW w:w="2919" w:type="dxa"/>
            <w:tcBorders>
              <w:top w:val="nil"/>
              <w:left w:val="nil"/>
              <w:bottom w:val="nil"/>
              <w:right w:val="nil"/>
            </w:tcBorders>
            <w:shd w:val="clear" w:color="auto" w:fill="auto"/>
            <w:vAlign w:val="bottom"/>
            <w:hideMark/>
          </w:tcPr>
          <w:p w14:paraId="5FED2D7A" w14:textId="77777777" w:rsidR="00AF6DD0" w:rsidRPr="00AF6DD0" w:rsidRDefault="00AF6DD0" w:rsidP="00AB0BBD">
            <w:pPr>
              <w:spacing w:after="0"/>
              <w:ind w:leftChars="75" w:left="143"/>
              <w:rPr>
                <w:rFonts w:ascii="Arial" w:hAnsi="Arial" w:cs="Arial"/>
                <w:color w:val="auto"/>
                <w:sz w:val="16"/>
                <w:szCs w:val="16"/>
              </w:rPr>
            </w:pPr>
            <w:r w:rsidRPr="00AF6DD0">
              <w:rPr>
                <w:rFonts w:ascii="Arial" w:hAnsi="Arial" w:cs="Arial"/>
                <w:sz w:val="16"/>
                <w:szCs w:val="16"/>
              </w:rPr>
              <w:t>Funded</w:t>
            </w:r>
            <w:r w:rsidRPr="00AF6DD0">
              <w:rPr>
                <w:rFonts w:ascii="Arial" w:hAnsi="Arial" w:cs="Arial"/>
                <w:color w:val="auto"/>
                <w:sz w:val="16"/>
                <w:szCs w:val="16"/>
              </w:rPr>
              <w:t xml:space="preserve"> by capital appropriations</w:t>
            </w:r>
            <w:r w:rsidRPr="00AF6DD0">
              <w:rPr>
                <w:rFonts w:ascii="Arial" w:hAnsi="Arial" w:cs="Arial"/>
                <w:color w:val="auto"/>
                <w:sz w:val="16"/>
                <w:szCs w:val="16"/>
              </w:rPr>
              <w:br/>
              <w:t xml:space="preserve"> - equity injection</w:t>
            </w:r>
            <w:r w:rsidRPr="00AF6DD0">
              <w:rPr>
                <w:rFonts w:ascii="Arial" w:hAnsi="Arial" w:cs="Arial"/>
                <w:color w:val="auto"/>
                <w:sz w:val="16"/>
                <w:szCs w:val="16"/>
                <w:vertAlign w:val="superscript"/>
              </w:rPr>
              <w:t xml:space="preserve"> (a)</w:t>
            </w:r>
          </w:p>
        </w:tc>
        <w:tc>
          <w:tcPr>
            <w:tcW w:w="894" w:type="dxa"/>
            <w:tcBorders>
              <w:top w:val="nil"/>
              <w:left w:val="nil"/>
              <w:bottom w:val="nil"/>
              <w:right w:val="nil"/>
            </w:tcBorders>
            <w:shd w:val="clear" w:color="auto" w:fill="auto"/>
            <w:noWrap/>
            <w:vAlign w:val="bottom"/>
            <w:hideMark/>
          </w:tcPr>
          <w:p w14:paraId="28F68F81"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c>
          <w:tcPr>
            <w:tcW w:w="883" w:type="dxa"/>
            <w:tcBorders>
              <w:top w:val="nil"/>
              <w:left w:val="nil"/>
              <w:bottom w:val="nil"/>
              <w:right w:val="nil"/>
            </w:tcBorders>
            <w:shd w:val="clear" w:color="000000" w:fill="D9D9D9"/>
            <w:noWrap/>
            <w:vAlign w:val="bottom"/>
            <w:hideMark/>
          </w:tcPr>
          <w:p w14:paraId="15EC127F"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1C8E4251"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1892EF66"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57F6EAF4"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r>
      <w:tr w:rsidR="00AF6DD0" w:rsidRPr="00AF6DD0" w14:paraId="7276931C" w14:textId="77777777" w:rsidTr="00AF6DD0">
        <w:trPr>
          <w:trHeight w:val="525"/>
        </w:trPr>
        <w:tc>
          <w:tcPr>
            <w:tcW w:w="2919" w:type="dxa"/>
            <w:tcBorders>
              <w:top w:val="nil"/>
              <w:left w:val="nil"/>
              <w:bottom w:val="nil"/>
              <w:right w:val="nil"/>
            </w:tcBorders>
            <w:shd w:val="clear" w:color="000000" w:fill="FFFFFF"/>
            <w:vAlign w:val="bottom"/>
            <w:hideMark/>
          </w:tcPr>
          <w:p w14:paraId="44F84AA3" w14:textId="77777777" w:rsidR="00AF6DD0" w:rsidRPr="00AF6DD0" w:rsidRDefault="00AF6DD0" w:rsidP="00AB0BBD">
            <w:pPr>
              <w:spacing w:after="0"/>
              <w:ind w:leftChars="75" w:left="143"/>
              <w:rPr>
                <w:rFonts w:ascii="Arial" w:hAnsi="Arial" w:cs="Arial"/>
                <w:color w:val="auto"/>
                <w:sz w:val="16"/>
                <w:szCs w:val="16"/>
              </w:rPr>
            </w:pPr>
            <w:r w:rsidRPr="00AF6DD0">
              <w:rPr>
                <w:rFonts w:ascii="Arial" w:hAnsi="Arial" w:cs="Arial"/>
                <w:sz w:val="16"/>
                <w:szCs w:val="16"/>
              </w:rPr>
              <w:t>Funded</w:t>
            </w:r>
            <w:r w:rsidRPr="00AF6DD0">
              <w:rPr>
                <w:rFonts w:ascii="Arial" w:hAnsi="Arial" w:cs="Arial"/>
                <w:color w:val="auto"/>
                <w:sz w:val="16"/>
                <w:szCs w:val="16"/>
              </w:rPr>
              <w:t xml:space="preserve"> by capital appropriation</w:t>
            </w:r>
            <w:r w:rsidRPr="00AF6DD0">
              <w:rPr>
                <w:rFonts w:ascii="Arial" w:hAnsi="Arial" w:cs="Arial"/>
                <w:color w:val="auto"/>
                <w:sz w:val="16"/>
                <w:szCs w:val="16"/>
              </w:rPr>
              <w:br/>
              <w:t xml:space="preserve"> - DCB</w:t>
            </w:r>
            <w:r w:rsidRPr="00AF6DD0">
              <w:rPr>
                <w:rFonts w:ascii="Arial" w:hAnsi="Arial" w:cs="Arial"/>
                <w:color w:val="auto"/>
                <w:sz w:val="16"/>
                <w:szCs w:val="16"/>
                <w:vertAlign w:val="superscript"/>
              </w:rPr>
              <w:t xml:space="preserve"> (b)</w:t>
            </w:r>
          </w:p>
        </w:tc>
        <w:tc>
          <w:tcPr>
            <w:tcW w:w="894" w:type="dxa"/>
            <w:tcBorders>
              <w:top w:val="nil"/>
              <w:left w:val="nil"/>
              <w:bottom w:val="nil"/>
              <w:right w:val="nil"/>
            </w:tcBorders>
            <w:shd w:val="clear" w:color="auto" w:fill="auto"/>
            <w:noWrap/>
            <w:vAlign w:val="bottom"/>
            <w:hideMark/>
          </w:tcPr>
          <w:p w14:paraId="04543379"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c>
          <w:tcPr>
            <w:tcW w:w="883" w:type="dxa"/>
            <w:tcBorders>
              <w:top w:val="nil"/>
              <w:left w:val="nil"/>
              <w:bottom w:val="nil"/>
              <w:right w:val="nil"/>
            </w:tcBorders>
            <w:shd w:val="clear" w:color="000000" w:fill="D9D9D9"/>
            <w:noWrap/>
            <w:vAlign w:val="bottom"/>
            <w:hideMark/>
          </w:tcPr>
          <w:p w14:paraId="2D475DC8"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264</w:t>
            </w:r>
          </w:p>
        </w:tc>
        <w:tc>
          <w:tcPr>
            <w:tcW w:w="888" w:type="dxa"/>
            <w:tcBorders>
              <w:top w:val="nil"/>
              <w:left w:val="nil"/>
              <w:bottom w:val="nil"/>
              <w:right w:val="nil"/>
            </w:tcBorders>
            <w:shd w:val="clear" w:color="auto" w:fill="auto"/>
            <w:noWrap/>
            <w:vAlign w:val="bottom"/>
            <w:hideMark/>
          </w:tcPr>
          <w:p w14:paraId="25E59DAC"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265</w:t>
            </w:r>
          </w:p>
        </w:tc>
        <w:tc>
          <w:tcPr>
            <w:tcW w:w="888" w:type="dxa"/>
            <w:tcBorders>
              <w:top w:val="nil"/>
              <w:left w:val="nil"/>
              <w:bottom w:val="nil"/>
              <w:right w:val="nil"/>
            </w:tcBorders>
            <w:shd w:val="clear" w:color="auto" w:fill="auto"/>
            <w:noWrap/>
            <w:vAlign w:val="bottom"/>
            <w:hideMark/>
          </w:tcPr>
          <w:p w14:paraId="74DE850E"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267</w:t>
            </w:r>
          </w:p>
        </w:tc>
        <w:tc>
          <w:tcPr>
            <w:tcW w:w="888" w:type="dxa"/>
            <w:tcBorders>
              <w:top w:val="nil"/>
              <w:left w:val="nil"/>
              <w:bottom w:val="nil"/>
              <w:right w:val="nil"/>
            </w:tcBorders>
            <w:shd w:val="clear" w:color="auto" w:fill="auto"/>
            <w:noWrap/>
            <w:vAlign w:val="bottom"/>
            <w:hideMark/>
          </w:tcPr>
          <w:p w14:paraId="17A3656C"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266</w:t>
            </w:r>
          </w:p>
        </w:tc>
      </w:tr>
      <w:tr w:rsidR="00AF6DD0" w:rsidRPr="00AF6DD0" w14:paraId="0E8E93C4" w14:textId="77777777" w:rsidTr="00AF6DD0">
        <w:trPr>
          <w:trHeight w:val="525"/>
        </w:trPr>
        <w:tc>
          <w:tcPr>
            <w:tcW w:w="2919" w:type="dxa"/>
            <w:tcBorders>
              <w:top w:val="nil"/>
              <w:left w:val="nil"/>
              <w:bottom w:val="nil"/>
              <w:right w:val="nil"/>
            </w:tcBorders>
            <w:shd w:val="clear" w:color="000000" w:fill="FFFFFF"/>
            <w:vAlign w:val="bottom"/>
            <w:hideMark/>
          </w:tcPr>
          <w:p w14:paraId="49F67FD3" w14:textId="77777777" w:rsidR="00AF6DD0" w:rsidRPr="00AF6DD0" w:rsidRDefault="00AF6DD0" w:rsidP="00AB0BBD">
            <w:pPr>
              <w:spacing w:after="0"/>
              <w:ind w:leftChars="75" w:left="143"/>
              <w:rPr>
                <w:rFonts w:ascii="Arial" w:hAnsi="Arial" w:cs="Arial"/>
                <w:color w:val="auto"/>
                <w:sz w:val="16"/>
                <w:szCs w:val="16"/>
              </w:rPr>
            </w:pPr>
            <w:r w:rsidRPr="00AF6DD0">
              <w:rPr>
                <w:rFonts w:ascii="Arial" w:hAnsi="Arial" w:cs="Arial"/>
                <w:sz w:val="16"/>
                <w:szCs w:val="16"/>
              </w:rPr>
              <w:t>Funded</w:t>
            </w:r>
            <w:r w:rsidRPr="00AF6DD0">
              <w:rPr>
                <w:rFonts w:ascii="Arial" w:hAnsi="Arial" w:cs="Arial"/>
                <w:color w:val="auto"/>
                <w:sz w:val="16"/>
                <w:szCs w:val="16"/>
              </w:rPr>
              <w:t xml:space="preserve"> internally from departmental resources</w:t>
            </w:r>
          </w:p>
        </w:tc>
        <w:tc>
          <w:tcPr>
            <w:tcW w:w="894" w:type="dxa"/>
            <w:tcBorders>
              <w:top w:val="nil"/>
              <w:left w:val="nil"/>
              <w:bottom w:val="nil"/>
              <w:right w:val="nil"/>
            </w:tcBorders>
            <w:shd w:val="clear" w:color="auto" w:fill="auto"/>
            <w:noWrap/>
            <w:vAlign w:val="bottom"/>
            <w:hideMark/>
          </w:tcPr>
          <w:p w14:paraId="109295CD"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19</w:t>
            </w:r>
          </w:p>
        </w:tc>
        <w:tc>
          <w:tcPr>
            <w:tcW w:w="883" w:type="dxa"/>
            <w:tcBorders>
              <w:top w:val="nil"/>
              <w:left w:val="nil"/>
              <w:bottom w:val="nil"/>
              <w:right w:val="nil"/>
            </w:tcBorders>
            <w:shd w:val="clear" w:color="000000" w:fill="D9D9D9"/>
            <w:noWrap/>
            <w:vAlign w:val="bottom"/>
            <w:hideMark/>
          </w:tcPr>
          <w:p w14:paraId="62898C46"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51D7391D"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48B6E5A7"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c>
          <w:tcPr>
            <w:tcW w:w="888" w:type="dxa"/>
            <w:tcBorders>
              <w:top w:val="nil"/>
              <w:left w:val="nil"/>
              <w:bottom w:val="nil"/>
              <w:right w:val="nil"/>
            </w:tcBorders>
            <w:shd w:val="clear" w:color="auto" w:fill="auto"/>
            <w:noWrap/>
            <w:vAlign w:val="bottom"/>
            <w:hideMark/>
          </w:tcPr>
          <w:p w14:paraId="2B950286" w14:textId="77777777" w:rsidR="00AF6DD0" w:rsidRPr="00AF6DD0" w:rsidRDefault="00AF6DD0" w:rsidP="00AF6DD0">
            <w:pPr>
              <w:spacing w:after="0"/>
              <w:jc w:val="right"/>
              <w:rPr>
                <w:rFonts w:ascii="Arial" w:hAnsi="Arial" w:cs="Arial"/>
                <w:color w:val="auto"/>
                <w:sz w:val="16"/>
                <w:szCs w:val="16"/>
              </w:rPr>
            </w:pPr>
            <w:r w:rsidRPr="00AF6DD0">
              <w:rPr>
                <w:rFonts w:ascii="Arial" w:hAnsi="Arial" w:cs="Arial"/>
                <w:color w:val="auto"/>
                <w:sz w:val="16"/>
                <w:szCs w:val="16"/>
              </w:rPr>
              <w:t>-</w:t>
            </w:r>
          </w:p>
        </w:tc>
      </w:tr>
      <w:tr w:rsidR="00AF6DD0" w:rsidRPr="00AF6DD0" w14:paraId="692EEF9D" w14:textId="77777777" w:rsidTr="00AF6DD0">
        <w:trPr>
          <w:trHeight w:val="525"/>
        </w:trPr>
        <w:tc>
          <w:tcPr>
            <w:tcW w:w="2919" w:type="dxa"/>
            <w:tcBorders>
              <w:top w:val="nil"/>
              <w:left w:val="nil"/>
              <w:bottom w:val="nil"/>
              <w:right w:val="nil"/>
            </w:tcBorders>
            <w:shd w:val="clear" w:color="000000" w:fill="FFFFFF"/>
            <w:vAlign w:val="bottom"/>
            <w:hideMark/>
          </w:tcPr>
          <w:p w14:paraId="0EC78BD1" w14:textId="2CCAAFF0" w:rsidR="00AF6DD0" w:rsidRPr="00AF6DD0" w:rsidRDefault="00AF6DD0" w:rsidP="00AB0BBD">
            <w:pPr>
              <w:spacing w:after="0"/>
              <w:ind w:leftChars="75" w:left="143"/>
              <w:rPr>
                <w:rFonts w:ascii="Arial" w:hAnsi="Arial" w:cs="Arial"/>
                <w:b/>
                <w:bCs/>
                <w:sz w:val="16"/>
                <w:szCs w:val="16"/>
              </w:rPr>
            </w:pPr>
            <w:r w:rsidRPr="00AF6DD0">
              <w:rPr>
                <w:rFonts w:ascii="Arial" w:hAnsi="Arial" w:cs="Arial"/>
                <w:b/>
                <w:bCs/>
                <w:sz w:val="16"/>
                <w:szCs w:val="16"/>
              </w:rPr>
              <w:t>Total acquisitions of</w:t>
            </w:r>
            <w:r w:rsidRPr="00AF6DD0">
              <w:rPr>
                <w:rFonts w:ascii="Arial" w:hAnsi="Arial" w:cs="Arial"/>
                <w:b/>
                <w:bCs/>
                <w:sz w:val="16"/>
                <w:szCs w:val="16"/>
              </w:rPr>
              <w:br/>
              <w:t>non-financial assets</w:t>
            </w:r>
          </w:p>
        </w:tc>
        <w:tc>
          <w:tcPr>
            <w:tcW w:w="894" w:type="dxa"/>
            <w:tcBorders>
              <w:top w:val="nil"/>
              <w:left w:val="nil"/>
              <w:bottom w:val="single" w:sz="4" w:space="0" w:color="auto"/>
              <w:right w:val="nil"/>
            </w:tcBorders>
            <w:shd w:val="clear" w:color="auto" w:fill="auto"/>
            <w:noWrap/>
            <w:vAlign w:val="bottom"/>
            <w:hideMark/>
          </w:tcPr>
          <w:p w14:paraId="184B7A97"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19</w:t>
            </w:r>
          </w:p>
        </w:tc>
        <w:tc>
          <w:tcPr>
            <w:tcW w:w="883" w:type="dxa"/>
            <w:tcBorders>
              <w:top w:val="nil"/>
              <w:left w:val="nil"/>
              <w:bottom w:val="single" w:sz="4" w:space="0" w:color="auto"/>
              <w:right w:val="nil"/>
            </w:tcBorders>
            <w:shd w:val="clear" w:color="000000" w:fill="D9D9D9"/>
            <w:noWrap/>
            <w:vAlign w:val="bottom"/>
            <w:hideMark/>
          </w:tcPr>
          <w:p w14:paraId="22AAA609"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264</w:t>
            </w:r>
          </w:p>
        </w:tc>
        <w:tc>
          <w:tcPr>
            <w:tcW w:w="888" w:type="dxa"/>
            <w:tcBorders>
              <w:top w:val="nil"/>
              <w:left w:val="nil"/>
              <w:bottom w:val="single" w:sz="4" w:space="0" w:color="auto"/>
              <w:right w:val="nil"/>
            </w:tcBorders>
            <w:shd w:val="clear" w:color="auto" w:fill="auto"/>
            <w:noWrap/>
            <w:vAlign w:val="bottom"/>
            <w:hideMark/>
          </w:tcPr>
          <w:p w14:paraId="07B05D12"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265</w:t>
            </w:r>
          </w:p>
        </w:tc>
        <w:tc>
          <w:tcPr>
            <w:tcW w:w="888" w:type="dxa"/>
            <w:tcBorders>
              <w:top w:val="nil"/>
              <w:left w:val="nil"/>
              <w:bottom w:val="single" w:sz="4" w:space="0" w:color="auto"/>
              <w:right w:val="nil"/>
            </w:tcBorders>
            <w:shd w:val="clear" w:color="auto" w:fill="auto"/>
            <w:noWrap/>
            <w:vAlign w:val="bottom"/>
            <w:hideMark/>
          </w:tcPr>
          <w:p w14:paraId="13EF3F0D"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267</w:t>
            </w:r>
          </w:p>
        </w:tc>
        <w:tc>
          <w:tcPr>
            <w:tcW w:w="888" w:type="dxa"/>
            <w:tcBorders>
              <w:top w:val="nil"/>
              <w:left w:val="nil"/>
              <w:bottom w:val="single" w:sz="4" w:space="0" w:color="auto"/>
              <w:right w:val="nil"/>
            </w:tcBorders>
            <w:shd w:val="clear" w:color="auto" w:fill="auto"/>
            <w:noWrap/>
            <w:vAlign w:val="bottom"/>
            <w:hideMark/>
          </w:tcPr>
          <w:p w14:paraId="5C52A273"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266</w:t>
            </w:r>
          </w:p>
        </w:tc>
      </w:tr>
      <w:tr w:rsidR="00AF6DD0" w:rsidRPr="00AF6DD0" w14:paraId="0204E122" w14:textId="77777777" w:rsidTr="00AF6DD0">
        <w:trPr>
          <w:trHeight w:val="750"/>
        </w:trPr>
        <w:tc>
          <w:tcPr>
            <w:tcW w:w="2919" w:type="dxa"/>
            <w:tcBorders>
              <w:top w:val="nil"/>
              <w:left w:val="nil"/>
              <w:bottom w:val="nil"/>
              <w:right w:val="nil"/>
            </w:tcBorders>
            <w:shd w:val="clear" w:color="000000" w:fill="FFFFFF"/>
            <w:vAlign w:val="bottom"/>
            <w:hideMark/>
          </w:tcPr>
          <w:p w14:paraId="48AB5212" w14:textId="77777777" w:rsidR="00AF6DD0" w:rsidRPr="00AF6DD0" w:rsidRDefault="00AF6DD0" w:rsidP="00AF6DD0">
            <w:pPr>
              <w:spacing w:after="0"/>
              <w:rPr>
                <w:rFonts w:ascii="Arial" w:hAnsi="Arial" w:cs="Arial"/>
                <w:b/>
                <w:bCs/>
                <w:sz w:val="16"/>
                <w:szCs w:val="16"/>
              </w:rPr>
            </w:pPr>
            <w:r w:rsidRPr="00AF6DD0">
              <w:rPr>
                <w:rFonts w:ascii="Arial" w:hAnsi="Arial" w:cs="Arial"/>
                <w:b/>
                <w:bCs/>
                <w:sz w:val="16"/>
                <w:szCs w:val="16"/>
              </w:rPr>
              <w:t>RECONCILIATION OF CASH USED TO ACQUIRE ASSETS TO ASSET MOVEMENT TABLE</w:t>
            </w:r>
          </w:p>
        </w:tc>
        <w:tc>
          <w:tcPr>
            <w:tcW w:w="894" w:type="dxa"/>
            <w:tcBorders>
              <w:top w:val="nil"/>
              <w:left w:val="nil"/>
              <w:bottom w:val="nil"/>
              <w:right w:val="nil"/>
            </w:tcBorders>
            <w:shd w:val="clear" w:color="auto" w:fill="auto"/>
            <w:noWrap/>
            <w:vAlign w:val="bottom"/>
            <w:hideMark/>
          </w:tcPr>
          <w:p w14:paraId="6F7855ED" w14:textId="77777777" w:rsidR="00AF6DD0" w:rsidRPr="00AF6DD0" w:rsidRDefault="00AF6DD0" w:rsidP="00AF6DD0">
            <w:pPr>
              <w:spacing w:after="0"/>
              <w:rPr>
                <w:rFonts w:ascii="Arial" w:hAnsi="Arial" w:cs="Arial"/>
                <w:b/>
                <w:bCs/>
                <w:sz w:val="16"/>
                <w:szCs w:val="16"/>
              </w:rPr>
            </w:pPr>
          </w:p>
        </w:tc>
        <w:tc>
          <w:tcPr>
            <w:tcW w:w="883" w:type="dxa"/>
            <w:tcBorders>
              <w:top w:val="nil"/>
              <w:left w:val="nil"/>
              <w:bottom w:val="nil"/>
              <w:right w:val="nil"/>
            </w:tcBorders>
            <w:shd w:val="clear" w:color="000000" w:fill="D9D9D9"/>
            <w:noWrap/>
            <w:vAlign w:val="bottom"/>
            <w:hideMark/>
          </w:tcPr>
          <w:p w14:paraId="768559AF" w14:textId="77777777" w:rsidR="00AF6DD0" w:rsidRPr="00AF6DD0" w:rsidRDefault="00AF6DD0" w:rsidP="00AF6DD0">
            <w:pPr>
              <w:spacing w:after="0"/>
              <w:jc w:val="right"/>
              <w:rPr>
                <w:rFonts w:ascii="Arial" w:hAnsi="Arial" w:cs="Arial"/>
                <w:sz w:val="16"/>
                <w:szCs w:val="16"/>
              </w:rPr>
            </w:pPr>
            <w:r w:rsidRPr="00AF6DD0">
              <w:rPr>
                <w:rFonts w:ascii="Arial" w:hAnsi="Arial" w:cs="Arial"/>
                <w:sz w:val="16"/>
                <w:szCs w:val="16"/>
              </w:rPr>
              <w:t> </w:t>
            </w:r>
          </w:p>
        </w:tc>
        <w:tc>
          <w:tcPr>
            <w:tcW w:w="888" w:type="dxa"/>
            <w:tcBorders>
              <w:top w:val="nil"/>
              <w:left w:val="nil"/>
              <w:bottom w:val="nil"/>
              <w:right w:val="nil"/>
            </w:tcBorders>
            <w:shd w:val="clear" w:color="auto" w:fill="auto"/>
            <w:noWrap/>
            <w:vAlign w:val="bottom"/>
            <w:hideMark/>
          </w:tcPr>
          <w:p w14:paraId="74CE80B0" w14:textId="77777777" w:rsidR="00AF6DD0" w:rsidRPr="00AF6DD0" w:rsidRDefault="00AF6DD0" w:rsidP="00AF6DD0">
            <w:pPr>
              <w:spacing w:after="0"/>
              <w:jc w:val="right"/>
              <w:rPr>
                <w:rFonts w:ascii="Arial" w:hAnsi="Arial" w:cs="Arial"/>
                <w:sz w:val="16"/>
                <w:szCs w:val="16"/>
              </w:rPr>
            </w:pPr>
          </w:p>
        </w:tc>
        <w:tc>
          <w:tcPr>
            <w:tcW w:w="888" w:type="dxa"/>
            <w:tcBorders>
              <w:top w:val="nil"/>
              <w:left w:val="nil"/>
              <w:bottom w:val="nil"/>
              <w:right w:val="nil"/>
            </w:tcBorders>
            <w:shd w:val="clear" w:color="auto" w:fill="auto"/>
            <w:noWrap/>
            <w:vAlign w:val="bottom"/>
            <w:hideMark/>
          </w:tcPr>
          <w:p w14:paraId="312BD25B" w14:textId="77777777" w:rsidR="00AF6DD0" w:rsidRPr="00AF6DD0" w:rsidRDefault="00AF6DD0" w:rsidP="00AF6DD0">
            <w:pPr>
              <w:spacing w:after="0"/>
              <w:jc w:val="right"/>
              <w:rPr>
                <w:rFonts w:ascii="Times New Roman" w:hAnsi="Times New Roman"/>
                <w:color w:val="auto"/>
                <w:sz w:val="20"/>
              </w:rPr>
            </w:pPr>
          </w:p>
        </w:tc>
        <w:tc>
          <w:tcPr>
            <w:tcW w:w="888" w:type="dxa"/>
            <w:tcBorders>
              <w:top w:val="nil"/>
              <w:left w:val="nil"/>
              <w:bottom w:val="nil"/>
              <w:right w:val="nil"/>
            </w:tcBorders>
            <w:shd w:val="clear" w:color="auto" w:fill="auto"/>
            <w:noWrap/>
            <w:vAlign w:val="bottom"/>
            <w:hideMark/>
          </w:tcPr>
          <w:p w14:paraId="7931AE9E" w14:textId="77777777" w:rsidR="00AF6DD0" w:rsidRPr="00AF6DD0" w:rsidRDefault="00AF6DD0" w:rsidP="00AF6DD0">
            <w:pPr>
              <w:spacing w:after="0"/>
              <w:jc w:val="right"/>
              <w:rPr>
                <w:rFonts w:ascii="Times New Roman" w:hAnsi="Times New Roman"/>
                <w:color w:val="auto"/>
                <w:sz w:val="20"/>
              </w:rPr>
            </w:pPr>
          </w:p>
        </w:tc>
      </w:tr>
      <w:tr w:rsidR="00AF6DD0" w:rsidRPr="00AF6DD0" w14:paraId="27E0450F" w14:textId="77777777" w:rsidTr="00AF6DD0">
        <w:trPr>
          <w:trHeight w:val="225"/>
        </w:trPr>
        <w:tc>
          <w:tcPr>
            <w:tcW w:w="2919" w:type="dxa"/>
            <w:tcBorders>
              <w:top w:val="nil"/>
              <w:left w:val="nil"/>
              <w:bottom w:val="nil"/>
              <w:right w:val="nil"/>
            </w:tcBorders>
            <w:shd w:val="clear" w:color="000000" w:fill="FFFFFF"/>
            <w:noWrap/>
            <w:vAlign w:val="bottom"/>
            <w:hideMark/>
          </w:tcPr>
          <w:p w14:paraId="103D810A" w14:textId="77777777" w:rsidR="00AF6DD0" w:rsidRPr="00AF6DD0" w:rsidRDefault="00AF6DD0" w:rsidP="00AB0BBD">
            <w:pPr>
              <w:spacing w:after="0"/>
              <w:ind w:leftChars="75" w:left="143"/>
              <w:rPr>
                <w:rFonts w:ascii="Arial" w:hAnsi="Arial" w:cs="Arial"/>
                <w:sz w:val="16"/>
                <w:szCs w:val="16"/>
              </w:rPr>
            </w:pPr>
            <w:r w:rsidRPr="00AF6DD0">
              <w:rPr>
                <w:rFonts w:ascii="Arial" w:hAnsi="Arial" w:cs="Arial"/>
                <w:sz w:val="16"/>
                <w:szCs w:val="16"/>
              </w:rPr>
              <w:t>Total purchases</w:t>
            </w:r>
          </w:p>
        </w:tc>
        <w:tc>
          <w:tcPr>
            <w:tcW w:w="894" w:type="dxa"/>
            <w:tcBorders>
              <w:top w:val="nil"/>
              <w:left w:val="nil"/>
              <w:bottom w:val="nil"/>
              <w:right w:val="nil"/>
            </w:tcBorders>
            <w:shd w:val="clear" w:color="auto" w:fill="auto"/>
            <w:noWrap/>
            <w:vAlign w:val="bottom"/>
            <w:hideMark/>
          </w:tcPr>
          <w:p w14:paraId="228C0C24" w14:textId="77777777" w:rsidR="00AF6DD0" w:rsidRPr="00AF6DD0" w:rsidRDefault="00AF6DD0" w:rsidP="00AF6DD0">
            <w:pPr>
              <w:spacing w:after="0"/>
              <w:jc w:val="right"/>
              <w:rPr>
                <w:rFonts w:ascii="Arial" w:hAnsi="Arial" w:cs="Arial"/>
                <w:sz w:val="16"/>
                <w:szCs w:val="16"/>
              </w:rPr>
            </w:pPr>
            <w:r w:rsidRPr="00AF6DD0">
              <w:rPr>
                <w:rFonts w:ascii="Arial" w:hAnsi="Arial" w:cs="Arial"/>
                <w:sz w:val="16"/>
                <w:szCs w:val="16"/>
              </w:rPr>
              <w:t>19</w:t>
            </w:r>
          </w:p>
        </w:tc>
        <w:tc>
          <w:tcPr>
            <w:tcW w:w="883" w:type="dxa"/>
            <w:tcBorders>
              <w:top w:val="nil"/>
              <w:left w:val="nil"/>
              <w:bottom w:val="nil"/>
              <w:right w:val="nil"/>
            </w:tcBorders>
            <w:shd w:val="clear" w:color="000000" w:fill="D9D9D9"/>
            <w:noWrap/>
            <w:vAlign w:val="bottom"/>
            <w:hideMark/>
          </w:tcPr>
          <w:p w14:paraId="71BA91B3" w14:textId="77777777" w:rsidR="00AF6DD0" w:rsidRPr="00AF6DD0" w:rsidRDefault="00AF6DD0" w:rsidP="00AF6DD0">
            <w:pPr>
              <w:spacing w:after="0"/>
              <w:jc w:val="right"/>
              <w:rPr>
                <w:rFonts w:ascii="Arial" w:hAnsi="Arial" w:cs="Arial"/>
                <w:sz w:val="16"/>
                <w:szCs w:val="16"/>
              </w:rPr>
            </w:pPr>
            <w:r w:rsidRPr="00AF6DD0">
              <w:rPr>
                <w:rFonts w:ascii="Arial" w:hAnsi="Arial" w:cs="Arial"/>
                <w:sz w:val="16"/>
                <w:szCs w:val="16"/>
              </w:rPr>
              <w:t>264</w:t>
            </w:r>
          </w:p>
        </w:tc>
        <w:tc>
          <w:tcPr>
            <w:tcW w:w="888" w:type="dxa"/>
            <w:tcBorders>
              <w:top w:val="nil"/>
              <w:left w:val="nil"/>
              <w:bottom w:val="nil"/>
              <w:right w:val="nil"/>
            </w:tcBorders>
            <w:shd w:val="clear" w:color="auto" w:fill="auto"/>
            <w:noWrap/>
            <w:vAlign w:val="bottom"/>
            <w:hideMark/>
          </w:tcPr>
          <w:p w14:paraId="1D746AF4" w14:textId="77777777" w:rsidR="00AF6DD0" w:rsidRPr="00AF6DD0" w:rsidRDefault="00AF6DD0" w:rsidP="00AF6DD0">
            <w:pPr>
              <w:spacing w:after="0"/>
              <w:jc w:val="right"/>
              <w:rPr>
                <w:rFonts w:ascii="Arial" w:hAnsi="Arial" w:cs="Arial"/>
                <w:sz w:val="16"/>
                <w:szCs w:val="16"/>
              </w:rPr>
            </w:pPr>
            <w:r w:rsidRPr="00AF6DD0">
              <w:rPr>
                <w:rFonts w:ascii="Arial" w:hAnsi="Arial" w:cs="Arial"/>
                <w:sz w:val="16"/>
                <w:szCs w:val="16"/>
              </w:rPr>
              <w:t>265</w:t>
            </w:r>
          </w:p>
        </w:tc>
        <w:tc>
          <w:tcPr>
            <w:tcW w:w="888" w:type="dxa"/>
            <w:tcBorders>
              <w:top w:val="nil"/>
              <w:left w:val="nil"/>
              <w:bottom w:val="nil"/>
              <w:right w:val="nil"/>
            </w:tcBorders>
            <w:shd w:val="clear" w:color="auto" w:fill="auto"/>
            <w:noWrap/>
            <w:vAlign w:val="bottom"/>
            <w:hideMark/>
          </w:tcPr>
          <w:p w14:paraId="1637CDE9" w14:textId="77777777" w:rsidR="00AF6DD0" w:rsidRPr="00AF6DD0" w:rsidRDefault="00AF6DD0" w:rsidP="00AF6DD0">
            <w:pPr>
              <w:spacing w:after="0"/>
              <w:jc w:val="right"/>
              <w:rPr>
                <w:rFonts w:ascii="Arial" w:hAnsi="Arial" w:cs="Arial"/>
                <w:sz w:val="16"/>
                <w:szCs w:val="16"/>
              </w:rPr>
            </w:pPr>
            <w:r w:rsidRPr="00AF6DD0">
              <w:rPr>
                <w:rFonts w:ascii="Arial" w:hAnsi="Arial" w:cs="Arial"/>
                <w:sz w:val="16"/>
                <w:szCs w:val="16"/>
              </w:rPr>
              <w:t>267</w:t>
            </w:r>
          </w:p>
        </w:tc>
        <w:tc>
          <w:tcPr>
            <w:tcW w:w="888" w:type="dxa"/>
            <w:tcBorders>
              <w:top w:val="nil"/>
              <w:left w:val="nil"/>
              <w:bottom w:val="nil"/>
              <w:right w:val="nil"/>
            </w:tcBorders>
            <w:shd w:val="clear" w:color="auto" w:fill="auto"/>
            <w:noWrap/>
            <w:vAlign w:val="bottom"/>
            <w:hideMark/>
          </w:tcPr>
          <w:p w14:paraId="75E3311E" w14:textId="77777777" w:rsidR="00AF6DD0" w:rsidRPr="00AF6DD0" w:rsidRDefault="00AF6DD0" w:rsidP="00AF6DD0">
            <w:pPr>
              <w:spacing w:after="0"/>
              <w:jc w:val="right"/>
              <w:rPr>
                <w:rFonts w:ascii="Arial" w:hAnsi="Arial" w:cs="Arial"/>
                <w:sz w:val="16"/>
                <w:szCs w:val="16"/>
              </w:rPr>
            </w:pPr>
            <w:r w:rsidRPr="00AF6DD0">
              <w:rPr>
                <w:rFonts w:ascii="Arial" w:hAnsi="Arial" w:cs="Arial"/>
                <w:sz w:val="16"/>
                <w:szCs w:val="16"/>
              </w:rPr>
              <w:t>266</w:t>
            </w:r>
          </w:p>
        </w:tc>
      </w:tr>
      <w:tr w:rsidR="00AF6DD0" w:rsidRPr="00AF6DD0" w14:paraId="7C97F1BF" w14:textId="77777777" w:rsidTr="00AF6DD0">
        <w:trPr>
          <w:trHeight w:val="450"/>
        </w:trPr>
        <w:tc>
          <w:tcPr>
            <w:tcW w:w="2919" w:type="dxa"/>
            <w:tcBorders>
              <w:top w:val="nil"/>
              <w:left w:val="nil"/>
              <w:bottom w:val="single" w:sz="4" w:space="0" w:color="auto"/>
              <w:right w:val="nil"/>
            </w:tcBorders>
            <w:shd w:val="clear" w:color="000000" w:fill="FFFFFF"/>
            <w:vAlign w:val="bottom"/>
            <w:hideMark/>
          </w:tcPr>
          <w:p w14:paraId="61C61F59" w14:textId="77777777" w:rsidR="00AF6DD0" w:rsidRPr="00AF6DD0" w:rsidRDefault="00AF6DD0" w:rsidP="00AB0BBD">
            <w:pPr>
              <w:spacing w:after="0"/>
              <w:ind w:leftChars="75" w:left="143"/>
              <w:rPr>
                <w:rFonts w:ascii="Arial" w:hAnsi="Arial" w:cs="Arial"/>
                <w:b/>
                <w:bCs/>
                <w:color w:val="auto"/>
                <w:sz w:val="16"/>
                <w:szCs w:val="16"/>
              </w:rPr>
            </w:pPr>
            <w:r w:rsidRPr="00AF6DD0">
              <w:rPr>
                <w:rFonts w:ascii="Arial" w:hAnsi="Arial" w:cs="Arial"/>
                <w:b/>
                <w:bCs/>
                <w:color w:val="auto"/>
                <w:sz w:val="16"/>
                <w:szCs w:val="16"/>
              </w:rPr>
              <w:t>Total cash used to acquire assets</w:t>
            </w:r>
          </w:p>
        </w:tc>
        <w:tc>
          <w:tcPr>
            <w:tcW w:w="894" w:type="dxa"/>
            <w:tcBorders>
              <w:top w:val="nil"/>
              <w:left w:val="nil"/>
              <w:bottom w:val="single" w:sz="4" w:space="0" w:color="auto"/>
              <w:right w:val="nil"/>
            </w:tcBorders>
            <w:shd w:val="clear" w:color="auto" w:fill="auto"/>
            <w:noWrap/>
            <w:vAlign w:val="bottom"/>
            <w:hideMark/>
          </w:tcPr>
          <w:p w14:paraId="08AD7D71"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19</w:t>
            </w:r>
          </w:p>
        </w:tc>
        <w:tc>
          <w:tcPr>
            <w:tcW w:w="883" w:type="dxa"/>
            <w:tcBorders>
              <w:top w:val="nil"/>
              <w:left w:val="nil"/>
              <w:bottom w:val="single" w:sz="4" w:space="0" w:color="auto"/>
              <w:right w:val="nil"/>
            </w:tcBorders>
            <w:shd w:val="clear" w:color="000000" w:fill="D9D9D9"/>
            <w:noWrap/>
            <w:vAlign w:val="bottom"/>
            <w:hideMark/>
          </w:tcPr>
          <w:p w14:paraId="02B1FEF1" w14:textId="77777777" w:rsidR="00AF6DD0" w:rsidRPr="00AF6DD0" w:rsidRDefault="00AF6DD0" w:rsidP="00AF6DD0">
            <w:pPr>
              <w:spacing w:after="0"/>
              <w:jc w:val="right"/>
              <w:rPr>
                <w:rFonts w:ascii="Arial" w:hAnsi="Arial" w:cs="Arial"/>
                <w:b/>
                <w:bCs/>
                <w:sz w:val="16"/>
                <w:szCs w:val="16"/>
              </w:rPr>
            </w:pPr>
            <w:r w:rsidRPr="00AF6DD0">
              <w:rPr>
                <w:rFonts w:ascii="Arial" w:hAnsi="Arial" w:cs="Arial"/>
                <w:b/>
                <w:bCs/>
                <w:sz w:val="16"/>
                <w:szCs w:val="16"/>
              </w:rPr>
              <w:t>264</w:t>
            </w:r>
          </w:p>
        </w:tc>
        <w:tc>
          <w:tcPr>
            <w:tcW w:w="888" w:type="dxa"/>
            <w:tcBorders>
              <w:top w:val="nil"/>
              <w:left w:val="nil"/>
              <w:bottom w:val="single" w:sz="4" w:space="0" w:color="auto"/>
              <w:right w:val="nil"/>
            </w:tcBorders>
            <w:shd w:val="clear" w:color="auto" w:fill="auto"/>
            <w:noWrap/>
            <w:vAlign w:val="bottom"/>
            <w:hideMark/>
          </w:tcPr>
          <w:p w14:paraId="018E2172" w14:textId="77777777" w:rsidR="00AF6DD0" w:rsidRPr="00AF6DD0" w:rsidRDefault="00AF6DD0" w:rsidP="00AF6DD0">
            <w:pPr>
              <w:spacing w:after="0"/>
              <w:jc w:val="right"/>
              <w:rPr>
                <w:rFonts w:ascii="Arial" w:hAnsi="Arial" w:cs="Arial"/>
                <w:b/>
                <w:bCs/>
                <w:sz w:val="16"/>
                <w:szCs w:val="16"/>
              </w:rPr>
            </w:pPr>
            <w:r w:rsidRPr="00AF6DD0">
              <w:rPr>
                <w:rFonts w:ascii="Arial" w:hAnsi="Arial" w:cs="Arial"/>
                <w:b/>
                <w:bCs/>
                <w:sz w:val="16"/>
                <w:szCs w:val="16"/>
              </w:rPr>
              <w:t>265</w:t>
            </w:r>
          </w:p>
        </w:tc>
        <w:tc>
          <w:tcPr>
            <w:tcW w:w="888" w:type="dxa"/>
            <w:tcBorders>
              <w:top w:val="nil"/>
              <w:left w:val="nil"/>
              <w:bottom w:val="single" w:sz="4" w:space="0" w:color="auto"/>
              <w:right w:val="nil"/>
            </w:tcBorders>
            <w:shd w:val="clear" w:color="auto" w:fill="auto"/>
            <w:noWrap/>
            <w:vAlign w:val="bottom"/>
            <w:hideMark/>
          </w:tcPr>
          <w:p w14:paraId="44A5C73E"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267</w:t>
            </w:r>
          </w:p>
        </w:tc>
        <w:tc>
          <w:tcPr>
            <w:tcW w:w="888" w:type="dxa"/>
            <w:tcBorders>
              <w:top w:val="nil"/>
              <w:left w:val="nil"/>
              <w:bottom w:val="single" w:sz="4" w:space="0" w:color="auto"/>
              <w:right w:val="nil"/>
            </w:tcBorders>
            <w:shd w:val="clear" w:color="auto" w:fill="auto"/>
            <w:noWrap/>
            <w:vAlign w:val="bottom"/>
            <w:hideMark/>
          </w:tcPr>
          <w:p w14:paraId="26D9622C" w14:textId="77777777" w:rsidR="00AF6DD0" w:rsidRPr="00AF6DD0" w:rsidRDefault="00AF6DD0" w:rsidP="00AF6DD0">
            <w:pPr>
              <w:spacing w:after="0"/>
              <w:jc w:val="right"/>
              <w:rPr>
                <w:rFonts w:ascii="Arial" w:hAnsi="Arial" w:cs="Arial"/>
                <w:b/>
                <w:bCs/>
                <w:color w:val="auto"/>
                <w:sz w:val="16"/>
                <w:szCs w:val="16"/>
              </w:rPr>
            </w:pPr>
            <w:r w:rsidRPr="00AF6DD0">
              <w:rPr>
                <w:rFonts w:ascii="Arial" w:hAnsi="Arial" w:cs="Arial"/>
                <w:b/>
                <w:bCs/>
                <w:color w:val="auto"/>
                <w:sz w:val="16"/>
                <w:szCs w:val="16"/>
              </w:rPr>
              <w:t>266</w:t>
            </w:r>
          </w:p>
        </w:tc>
      </w:tr>
    </w:tbl>
    <w:p w14:paraId="664807F9" w14:textId="6E6A1CAC" w:rsidR="00980E62" w:rsidRPr="00980E62" w:rsidRDefault="00980E62" w:rsidP="00560871">
      <w:pPr>
        <w:pStyle w:val="FootnoteText"/>
        <w:spacing w:before="120"/>
        <w:rPr>
          <w:lang w:eastAsia="en-US"/>
        </w:rPr>
      </w:pPr>
      <w:r w:rsidRPr="00980E62">
        <w:rPr>
          <w:lang w:eastAsia="en-US"/>
        </w:rPr>
        <w:t>DCB = Departmental Capital Budget</w:t>
      </w:r>
    </w:p>
    <w:p w14:paraId="7466BA03" w14:textId="08D24542" w:rsidR="00980E62" w:rsidRPr="00980E62" w:rsidRDefault="00980E62" w:rsidP="00980E62">
      <w:pPr>
        <w:pStyle w:val="FootnoteText"/>
        <w:rPr>
          <w:lang w:eastAsia="en-US"/>
        </w:rPr>
      </w:pPr>
      <w:r w:rsidRPr="00560871">
        <w:rPr>
          <w:vertAlign w:val="superscript"/>
          <w:lang w:eastAsia="en-US"/>
        </w:rPr>
        <w:t>(a)</w:t>
      </w:r>
      <w:r w:rsidR="00560871">
        <w:rPr>
          <w:vertAlign w:val="superscript"/>
          <w:lang w:eastAsia="en-US"/>
        </w:rPr>
        <w:tab/>
      </w:r>
      <w:r w:rsidRPr="00980E62">
        <w:rPr>
          <w:lang w:eastAsia="en-US"/>
        </w:rPr>
        <w:t xml:space="preserve">Includes both current Bill 2 and prior </w:t>
      </w:r>
      <w:r w:rsidR="00560871">
        <w:rPr>
          <w:lang w:eastAsia="en-US"/>
        </w:rPr>
        <w:t>Act 2, 4, 6 appropriations.</w:t>
      </w:r>
    </w:p>
    <w:p w14:paraId="223A3F01" w14:textId="57020402" w:rsidR="005A6FA5" w:rsidRPr="005A6FA5" w:rsidRDefault="00980E62" w:rsidP="00560871">
      <w:pPr>
        <w:pStyle w:val="FootnoteText"/>
        <w:ind w:left="0" w:firstLine="0"/>
        <w:rPr>
          <w:lang w:eastAsia="en-US"/>
        </w:rPr>
      </w:pPr>
      <w:r w:rsidRPr="00560871">
        <w:rPr>
          <w:vertAlign w:val="superscript"/>
          <w:lang w:eastAsia="en-US"/>
        </w:rPr>
        <w:t>(b)</w:t>
      </w:r>
      <w:r w:rsidR="00560871">
        <w:rPr>
          <w:vertAlign w:val="superscript"/>
          <w:lang w:eastAsia="en-US"/>
        </w:rPr>
        <w:tab/>
      </w:r>
      <w:r w:rsidRPr="00980E62">
        <w:rPr>
          <w:lang w:eastAsia="en-US"/>
        </w:rPr>
        <w:t>Does not include annual finance lease costs. Includes purchases from current and previous years' DCB</w:t>
      </w:r>
      <w:r w:rsidR="00560871">
        <w:rPr>
          <w:lang w:eastAsia="en-US"/>
        </w:rPr>
        <w:t>.</w:t>
      </w:r>
    </w:p>
    <w:p w14:paraId="36751646" w14:textId="77777777" w:rsidR="00560871" w:rsidRDefault="00560871">
      <w:pPr>
        <w:spacing w:after="160" w:line="259" w:lineRule="auto"/>
        <w:rPr>
          <w:rFonts w:ascii="Arial" w:hAnsi="Arial"/>
          <w:b/>
          <w:color w:val="auto"/>
          <w:sz w:val="20"/>
        </w:rPr>
      </w:pPr>
      <w:r>
        <w:rPr>
          <w:rFonts w:ascii="Arial" w:hAnsi="Arial"/>
          <w:b/>
          <w:color w:val="auto"/>
          <w:sz w:val="20"/>
        </w:rPr>
        <w:br w:type="page"/>
      </w:r>
    </w:p>
    <w:p w14:paraId="766DAC79" w14:textId="3E2C623F" w:rsidR="00560871" w:rsidRDefault="005A6FA5" w:rsidP="00786EA4">
      <w:pPr>
        <w:keepNext/>
        <w:spacing w:before="120"/>
        <w:rPr>
          <w:rFonts w:ascii="Arial" w:hAnsi="Arial"/>
          <w:b/>
          <w:color w:val="auto"/>
          <w:sz w:val="20"/>
        </w:rPr>
      </w:pPr>
      <w:r w:rsidRPr="005A6FA5">
        <w:rPr>
          <w:rFonts w:ascii="Arial" w:hAnsi="Arial"/>
          <w:b/>
          <w:color w:val="auto"/>
          <w:sz w:val="20"/>
        </w:rPr>
        <w:lastRenderedPageBreak/>
        <w:t xml:space="preserve">Table 3.6: Statement of departmental asset movements </w:t>
      </w:r>
      <w:r w:rsidRPr="005A6FA5">
        <w:rPr>
          <w:rFonts w:ascii="Arial" w:hAnsi="Arial"/>
          <w:b/>
          <w:color w:val="auto"/>
          <w:sz w:val="20"/>
        </w:rPr>
        <w:br/>
        <w:t>(Budget year 2022–23)</w:t>
      </w:r>
    </w:p>
    <w:tbl>
      <w:tblPr>
        <w:tblW w:w="7400" w:type="dxa"/>
        <w:tblLayout w:type="fixed"/>
        <w:tblLook w:val="04A0" w:firstRow="1" w:lastRow="0" w:firstColumn="1" w:lastColumn="0" w:noHBand="0" w:noVBand="1"/>
      </w:tblPr>
      <w:tblGrid>
        <w:gridCol w:w="3160"/>
        <w:gridCol w:w="1060"/>
        <w:gridCol w:w="1060"/>
        <w:gridCol w:w="1060"/>
        <w:gridCol w:w="1060"/>
      </w:tblGrid>
      <w:tr w:rsidR="00786EA4" w:rsidRPr="00786EA4" w14:paraId="6216A5E1" w14:textId="77777777" w:rsidTr="00225236">
        <w:trPr>
          <w:trHeight w:val="765"/>
        </w:trPr>
        <w:tc>
          <w:tcPr>
            <w:tcW w:w="3160" w:type="dxa"/>
            <w:tcBorders>
              <w:top w:val="single" w:sz="4" w:space="0" w:color="auto"/>
              <w:left w:val="nil"/>
              <w:bottom w:val="nil"/>
              <w:right w:val="nil"/>
            </w:tcBorders>
            <w:shd w:val="clear" w:color="auto" w:fill="auto"/>
            <w:tcMar>
              <w:left w:w="0" w:type="dxa"/>
            </w:tcMar>
            <w:hideMark/>
          </w:tcPr>
          <w:p w14:paraId="471E40E6" w14:textId="77777777" w:rsidR="00786EA4" w:rsidRPr="00786EA4" w:rsidRDefault="00786EA4" w:rsidP="00786EA4">
            <w:pPr>
              <w:spacing w:before="40" w:after="0"/>
              <w:rPr>
                <w:rFonts w:ascii="Times New Roman" w:hAnsi="Times New Roman"/>
                <w:color w:val="auto"/>
                <w:sz w:val="20"/>
                <w:szCs w:val="24"/>
              </w:rPr>
            </w:pPr>
          </w:p>
        </w:tc>
        <w:tc>
          <w:tcPr>
            <w:tcW w:w="1060" w:type="dxa"/>
            <w:tcBorders>
              <w:top w:val="single" w:sz="4" w:space="0" w:color="auto"/>
              <w:left w:val="nil"/>
              <w:bottom w:val="single" w:sz="4" w:space="0" w:color="auto"/>
              <w:right w:val="nil"/>
            </w:tcBorders>
            <w:shd w:val="clear" w:color="auto" w:fill="auto"/>
            <w:tcMar>
              <w:left w:w="0" w:type="dxa"/>
            </w:tcMar>
            <w:hideMark/>
          </w:tcPr>
          <w:p w14:paraId="6EAC936A" w14:textId="77777777" w:rsidR="00786EA4" w:rsidRPr="00786EA4" w:rsidRDefault="00786EA4" w:rsidP="00786EA4">
            <w:pPr>
              <w:spacing w:before="40" w:after="0"/>
              <w:jc w:val="right"/>
              <w:rPr>
                <w:rFonts w:ascii="Arial" w:hAnsi="Arial" w:cs="Arial"/>
                <w:b/>
                <w:bCs/>
                <w:color w:val="auto"/>
                <w:sz w:val="16"/>
                <w:szCs w:val="16"/>
              </w:rPr>
            </w:pPr>
            <w:r w:rsidRPr="00786EA4">
              <w:rPr>
                <w:rFonts w:ascii="Arial" w:hAnsi="Arial" w:cs="Arial"/>
                <w:b/>
                <w:bCs/>
                <w:color w:val="auto"/>
                <w:sz w:val="16"/>
                <w:szCs w:val="16"/>
              </w:rPr>
              <w:t>Buildings</w:t>
            </w:r>
            <w:r w:rsidRPr="00786EA4">
              <w:rPr>
                <w:rFonts w:ascii="Arial" w:hAnsi="Arial" w:cs="Arial"/>
                <w:color w:val="auto"/>
                <w:sz w:val="16"/>
                <w:szCs w:val="16"/>
              </w:rPr>
              <w:t xml:space="preserve"> </w:t>
            </w:r>
            <w:r w:rsidRPr="00786EA4">
              <w:rPr>
                <w:rFonts w:ascii="Arial" w:hAnsi="Arial" w:cs="Arial"/>
                <w:color w:val="auto"/>
                <w:sz w:val="16"/>
                <w:szCs w:val="16"/>
              </w:rPr>
              <w:br/>
            </w:r>
            <w:r w:rsidRPr="00786EA4">
              <w:rPr>
                <w:rFonts w:ascii="Arial" w:hAnsi="Arial" w:cs="Arial"/>
                <w:color w:val="auto"/>
                <w:sz w:val="16"/>
                <w:szCs w:val="16"/>
              </w:rPr>
              <w:br/>
            </w:r>
            <w:r w:rsidRPr="00786EA4">
              <w:rPr>
                <w:rFonts w:ascii="Arial" w:hAnsi="Arial" w:cs="Arial"/>
                <w:color w:val="auto"/>
                <w:sz w:val="16"/>
                <w:szCs w:val="16"/>
              </w:rPr>
              <w:b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6DA03DDE" w14:textId="77777777" w:rsidR="00786EA4" w:rsidRPr="00786EA4" w:rsidRDefault="00786EA4" w:rsidP="00786EA4">
            <w:pPr>
              <w:spacing w:before="40" w:after="0"/>
              <w:jc w:val="right"/>
              <w:rPr>
                <w:rFonts w:ascii="Arial" w:hAnsi="Arial" w:cs="Arial"/>
                <w:b/>
                <w:bCs/>
                <w:color w:val="auto"/>
                <w:sz w:val="16"/>
                <w:szCs w:val="16"/>
              </w:rPr>
            </w:pPr>
            <w:r w:rsidRPr="00786EA4">
              <w:rPr>
                <w:rFonts w:ascii="Arial" w:hAnsi="Arial" w:cs="Arial"/>
                <w:b/>
                <w:bCs/>
                <w:color w:val="auto"/>
                <w:sz w:val="16"/>
                <w:szCs w:val="16"/>
              </w:rPr>
              <w:t xml:space="preserve">Property, plant and equipment </w:t>
            </w:r>
            <w:r w:rsidRPr="00786EA4">
              <w:rPr>
                <w:rFonts w:ascii="Arial" w:hAnsi="Arial" w:cs="Arial"/>
                <w:b/>
                <w:bCs/>
                <w:color w:val="auto"/>
                <w:sz w:val="16"/>
                <w:szCs w:val="16"/>
              </w:rPr>
              <w:br/>
            </w:r>
            <w:r w:rsidRPr="00786EA4">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3772714C" w14:textId="77777777" w:rsidR="00786EA4" w:rsidRPr="00786EA4" w:rsidRDefault="00786EA4" w:rsidP="00786EA4">
            <w:pPr>
              <w:spacing w:before="40" w:after="0"/>
              <w:jc w:val="right"/>
              <w:rPr>
                <w:rFonts w:ascii="Arial" w:hAnsi="Arial" w:cs="Arial"/>
                <w:b/>
                <w:bCs/>
                <w:color w:val="auto"/>
                <w:sz w:val="16"/>
                <w:szCs w:val="16"/>
              </w:rPr>
            </w:pPr>
            <w:r w:rsidRPr="00786EA4">
              <w:rPr>
                <w:rFonts w:ascii="Arial" w:hAnsi="Arial" w:cs="Arial"/>
                <w:b/>
                <w:bCs/>
                <w:color w:val="auto"/>
                <w:sz w:val="16"/>
                <w:szCs w:val="16"/>
              </w:rPr>
              <w:t xml:space="preserve">Intangibles </w:t>
            </w:r>
            <w:r w:rsidRPr="00786EA4">
              <w:rPr>
                <w:rFonts w:ascii="Arial" w:hAnsi="Arial" w:cs="Arial"/>
                <w:b/>
                <w:bCs/>
                <w:color w:val="auto"/>
                <w:sz w:val="16"/>
                <w:szCs w:val="16"/>
              </w:rPr>
              <w:br/>
            </w:r>
            <w:r w:rsidRPr="00786EA4">
              <w:rPr>
                <w:rFonts w:ascii="Arial" w:hAnsi="Arial" w:cs="Arial"/>
                <w:b/>
                <w:bCs/>
                <w:color w:val="auto"/>
                <w:sz w:val="16"/>
                <w:szCs w:val="16"/>
              </w:rPr>
              <w:br/>
            </w:r>
            <w:r w:rsidRPr="00786EA4">
              <w:rPr>
                <w:rFonts w:ascii="Arial" w:hAnsi="Arial" w:cs="Arial"/>
                <w:b/>
                <w:bCs/>
                <w:color w:val="auto"/>
                <w:sz w:val="16"/>
                <w:szCs w:val="16"/>
              </w:rPr>
              <w:br/>
            </w:r>
            <w:r w:rsidRPr="00786EA4">
              <w:rPr>
                <w:rFonts w:ascii="Arial" w:hAnsi="Arial" w:cs="Arial"/>
                <w:color w:val="auto"/>
                <w:sz w:val="16"/>
                <w:szCs w:val="16"/>
              </w:rPr>
              <w:t>$'000</w:t>
            </w:r>
          </w:p>
        </w:tc>
        <w:tc>
          <w:tcPr>
            <w:tcW w:w="1060" w:type="dxa"/>
            <w:tcBorders>
              <w:top w:val="single" w:sz="4" w:space="0" w:color="auto"/>
              <w:left w:val="nil"/>
              <w:bottom w:val="single" w:sz="4" w:space="0" w:color="auto"/>
              <w:right w:val="nil"/>
            </w:tcBorders>
            <w:shd w:val="clear" w:color="auto" w:fill="auto"/>
            <w:tcMar>
              <w:left w:w="0" w:type="dxa"/>
            </w:tcMar>
            <w:hideMark/>
          </w:tcPr>
          <w:p w14:paraId="3C714FFE" w14:textId="77777777" w:rsidR="00786EA4" w:rsidRPr="00786EA4" w:rsidRDefault="00786EA4" w:rsidP="00786EA4">
            <w:pPr>
              <w:spacing w:before="40" w:after="0"/>
              <w:jc w:val="right"/>
              <w:rPr>
                <w:rFonts w:ascii="Arial" w:hAnsi="Arial" w:cs="Arial"/>
                <w:b/>
                <w:bCs/>
                <w:color w:val="auto"/>
                <w:sz w:val="16"/>
                <w:szCs w:val="16"/>
              </w:rPr>
            </w:pPr>
            <w:r w:rsidRPr="00786EA4">
              <w:rPr>
                <w:rFonts w:ascii="Arial" w:hAnsi="Arial" w:cs="Arial"/>
                <w:b/>
                <w:bCs/>
                <w:color w:val="auto"/>
                <w:sz w:val="16"/>
                <w:szCs w:val="16"/>
              </w:rPr>
              <w:t xml:space="preserve">Total </w:t>
            </w:r>
            <w:r w:rsidRPr="00786EA4">
              <w:rPr>
                <w:rFonts w:ascii="Arial" w:hAnsi="Arial" w:cs="Arial"/>
                <w:b/>
                <w:bCs/>
                <w:color w:val="auto"/>
                <w:sz w:val="16"/>
                <w:szCs w:val="16"/>
              </w:rPr>
              <w:br/>
            </w:r>
            <w:r w:rsidRPr="00786EA4">
              <w:rPr>
                <w:rFonts w:ascii="Arial" w:hAnsi="Arial" w:cs="Arial"/>
                <w:b/>
                <w:bCs/>
                <w:color w:val="auto"/>
                <w:sz w:val="16"/>
                <w:szCs w:val="16"/>
              </w:rPr>
              <w:br/>
            </w:r>
            <w:r w:rsidRPr="00786EA4">
              <w:rPr>
                <w:rFonts w:ascii="Arial" w:hAnsi="Arial" w:cs="Arial"/>
                <w:b/>
                <w:bCs/>
                <w:color w:val="auto"/>
                <w:sz w:val="16"/>
                <w:szCs w:val="16"/>
              </w:rPr>
              <w:br/>
            </w:r>
            <w:r w:rsidRPr="00786EA4">
              <w:rPr>
                <w:rFonts w:ascii="Arial" w:hAnsi="Arial" w:cs="Arial"/>
                <w:color w:val="auto"/>
                <w:sz w:val="16"/>
                <w:szCs w:val="16"/>
              </w:rPr>
              <w:t>$'000</w:t>
            </w:r>
          </w:p>
        </w:tc>
      </w:tr>
      <w:tr w:rsidR="00786EA4" w:rsidRPr="00786EA4" w14:paraId="1C3CC227" w14:textId="77777777" w:rsidTr="00786EA4">
        <w:trPr>
          <w:trHeight w:val="225"/>
        </w:trPr>
        <w:tc>
          <w:tcPr>
            <w:tcW w:w="3160" w:type="dxa"/>
            <w:tcBorders>
              <w:top w:val="nil"/>
              <w:left w:val="nil"/>
              <w:bottom w:val="nil"/>
              <w:right w:val="nil"/>
            </w:tcBorders>
            <w:shd w:val="clear" w:color="auto" w:fill="auto"/>
            <w:noWrap/>
            <w:vAlign w:val="bottom"/>
            <w:hideMark/>
          </w:tcPr>
          <w:p w14:paraId="19E68414" w14:textId="77777777" w:rsidR="00786EA4" w:rsidRPr="00786EA4" w:rsidRDefault="00786EA4" w:rsidP="00786EA4">
            <w:pPr>
              <w:spacing w:after="0"/>
              <w:rPr>
                <w:rFonts w:ascii="Arial" w:hAnsi="Arial" w:cs="Arial"/>
                <w:b/>
                <w:bCs/>
                <w:sz w:val="16"/>
                <w:szCs w:val="16"/>
              </w:rPr>
            </w:pPr>
            <w:r w:rsidRPr="00786EA4">
              <w:rPr>
                <w:rFonts w:ascii="Arial" w:hAnsi="Arial" w:cs="Arial"/>
                <w:b/>
                <w:bCs/>
                <w:sz w:val="16"/>
                <w:szCs w:val="16"/>
              </w:rPr>
              <w:t>As at 1 July 2022</w:t>
            </w:r>
          </w:p>
        </w:tc>
        <w:tc>
          <w:tcPr>
            <w:tcW w:w="1060" w:type="dxa"/>
            <w:tcBorders>
              <w:top w:val="single" w:sz="4" w:space="0" w:color="auto"/>
              <w:left w:val="nil"/>
              <w:bottom w:val="nil"/>
              <w:right w:val="nil"/>
            </w:tcBorders>
            <w:shd w:val="clear" w:color="auto" w:fill="auto"/>
            <w:noWrap/>
            <w:vAlign w:val="bottom"/>
            <w:hideMark/>
          </w:tcPr>
          <w:p w14:paraId="3B65B6DA"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 </w:t>
            </w:r>
          </w:p>
        </w:tc>
        <w:tc>
          <w:tcPr>
            <w:tcW w:w="1060" w:type="dxa"/>
            <w:tcBorders>
              <w:top w:val="single" w:sz="4" w:space="0" w:color="auto"/>
              <w:left w:val="nil"/>
              <w:bottom w:val="nil"/>
              <w:right w:val="nil"/>
            </w:tcBorders>
            <w:shd w:val="clear" w:color="auto" w:fill="auto"/>
            <w:noWrap/>
            <w:vAlign w:val="bottom"/>
            <w:hideMark/>
          </w:tcPr>
          <w:p w14:paraId="48249CE4"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 </w:t>
            </w:r>
          </w:p>
        </w:tc>
        <w:tc>
          <w:tcPr>
            <w:tcW w:w="1060" w:type="dxa"/>
            <w:tcBorders>
              <w:top w:val="single" w:sz="4" w:space="0" w:color="auto"/>
              <w:left w:val="nil"/>
              <w:bottom w:val="nil"/>
              <w:right w:val="nil"/>
            </w:tcBorders>
            <w:shd w:val="clear" w:color="auto" w:fill="auto"/>
            <w:noWrap/>
            <w:vAlign w:val="bottom"/>
            <w:hideMark/>
          </w:tcPr>
          <w:p w14:paraId="3FA3AC8C"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 </w:t>
            </w:r>
          </w:p>
        </w:tc>
        <w:tc>
          <w:tcPr>
            <w:tcW w:w="1060" w:type="dxa"/>
            <w:tcBorders>
              <w:top w:val="single" w:sz="4" w:space="0" w:color="auto"/>
              <w:left w:val="nil"/>
              <w:bottom w:val="nil"/>
              <w:right w:val="nil"/>
            </w:tcBorders>
            <w:shd w:val="clear" w:color="auto" w:fill="auto"/>
            <w:noWrap/>
            <w:vAlign w:val="bottom"/>
            <w:hideMark/>
          </w:tcPr>
          <w:p w14:paraId="051F48E9"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 </w:t>
            </w:r>
          </w:p>
        </w:tc>
      </w:tr>
      <w:tr w:rsidR="00786EA4" w:rsidRPr="00786EA4" w14:paraId="63D412EC" w14:textId="77777777" w:rsidTr="00786EA4">
        <w:trPr>
          <w:trHeight w:val="225"/>
        </w:trPr>
        <w:tc>
          <w:tcPr>
            <w:tcW w:w="3160" w:type="dxa"/>
            <w:tcBorders>
              <w:top w:val="nil"/>
              <w:left w:val="nil"/>
              <w:bottom w:val="nil"/>
              <w:right w:val="nil"/>
            </w:tcBorders>
            <w:shd w:val="clear" w:color="auto" w:fill="auto"/>
            <w:noWrap/>
            <w:vAlign w:val="bottom"/>
            <w:hideMark/>
          </w:tcPr>
          <w:p w14:paraId="61F10BC9" w14:textId="77777777" w:rsidR="00786EA4" w:rsidRPr="00786EA4" w:rsidRDefault="00786EA4" w:rsidP="00786EA4">
            <w:pPr>
              <w:spacing w:after="0"/>
              <w:ind w:leftChars="75" w:left="143"/>
              <w:rPr>
                <w:rFonts w:ascii="Arial" w:hAnsi="Arial" w:cs="Arial"/>
                <w:sz w:val="16"/>
                <w:szCs w:val="16"/>
              </w:rPr>
            </w:pPr>
            <w:r w:rsidRPr="00786EA4">
              <w:rPr>
                <w:rFonts w:ascii="Arial" w:hAnsi="Arial" w:cs="Arial"/>
                <w:sz w:val="16"/>
                <w:szCs w:val="16"/>
              </w:rPr>
              <w:t xml:space="preserve">Gross </w:t>
            </w:r>
            <w:r w:rsidRPr="00786EA4">
              <w:rPr>
                <w:rFonts w:ascii="Arial" w:hAnsi="Arial" w:cs="Arial"/>
                <w:color w:val="auto"/>
                <w:sz w:val="16"/>
                <w:szCs w:val="16"/>
              </w:rPr>
              <w:t>book</w:t>
            </w:r>
            <w:r w:rsidRPr="00786EA4">
              <w:rPr>
                <w:rFonts w:ascii="Arial" w:hAnsi="Arial" w:cs="Arial"/>
                <w:sz w:val="16"/>
                <w:szCs w:val="16"/>
              </w:rPr>
              <w:t xml:space="preserve"> value </w:t>
            </w:r>
          </w:p>
        </w:tc>
        <w:tc>
          <w:tcPr>
            <w:tcW w:w="1060" w:type="dxa"/>
            <w:tcBorders>
              <w:top w:val="nil"/>
              <w:left w:val="nil"/>
              <w:bottom w:val="nil"/>
              <w:right w:val="nil"/>
            </w:tcBorders>
            <w:shd w:val="clear" w:color="auto" w:fill="auto"/>
            <w:noWrap/>
            <w:vAlign w:val="bottom"/>
            <w:hideMark/>
          </w:tcPr>
          <w:p w14:paraId="775E1201"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EE5B775"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209</w:t>
            </w:r>
          </w:p>
        </w:tc>
        <w:tc>
          <w:tcPr>
            <w:tcW w:w="1060" w:type="dxa"/>
            <w:tcBorders>
              <w:top w:val="nil"/>
              <w:left w:val="nil"/>
              <w:bottom w:val="nil"/>
              <w:right w:val="nil"/>
            </w:tcBorders>
            <w:shd w:val="clear" w:color="auto" w:fill="auto"/>
            <w:noWrap/>
            <w:vAlign w:val="bottom"/>
            <w:hideMark/>
          </w:tcPr>
          <w:p w14:paraId="7DBBF085"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504</w:t>
            </w:r>
          </w:p>
        </w:tc>
        <w:tc>
          <w:tcPr>
            <w:tcW w:w="1060" w:type="dxa"/>
            <w:tcBorders>
              <w:top w:val="nil"/>
              <w:left w:val="nil"/>
              <w:bottom w:val="nil"/>
              <w:right w:val="nil"/>
            </w:tcBorders>
            <w:shd w:val="clear" w:color="auto" w:fill="auto"/>
            <w:noWrap/>
            <w:vAlign w:val="bottom"/>
            <w:hideMark/>
          </w:tcPr>
          <w:p w14:paraId="2E07299C"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713</w:t>
            </w:r>
          </w:p>
        </w:tc>
      </w:tr>
      <w:tr w:rsidR="00786EA4" w:rsidRPr="00786EA4" w14:paraId="429851F6" w14:textId="77777777" w:rsidTr="00786EA4">
        <w:trPr>
          <w:trHeight w:val="225"/>
        </w:trPr>
        <w:tc>
          <w:tcPr>
            <w:tcW w:w="3160" w:type="dxa"/>
            <w:tcBorders>
              <w:top w:val="nil"/>
              <w:left w:val="nil"/>
              <w:bottom w:val="nil"/>
              <w:right w:val="nil"/>
            </w:tcBorders>
            <w:shd w:val="clear" w:color="auto" w:fill="auto"/>
            <w:vAlign w:val="bottom"/>
            <w:hideMark/>
          </w:tcPr>
          <w:p w14:paraId="59E6CBFD" w14:textId="77777777" w:rsidR="00786EA4" w:rsidRPr="00786EA4" w:rsidRDefault="00786EA4" w:rsidP="00786EA4">
            <w:pPr>
              <w:spacing w:after="0"/>
              <w:ind w:leftChars="75" w:left="143"/>
              <w:rPr>
                <w:rFonts w:ascii="Arial" w:hAnsi="Arial" w:cs="Arial"/>
                <w:color w:val="auto"/>
                <w:sz w:val="16"/>
                <w:szCs w:val="16"/>
              </w:rPr>
            </w:pPr>
            <w:r w:rsidRPr="00786EA4">
              <w:rPr>
                <w:rFonts w:ascii="Arial" w:hAnsi="Arial" w:cs="Arial"/>
                <w:color w:val="auto"/>
                <w:sz w:val="16"/>
                <w:szCs w:val="16"/>
              </w:rPr>
              <w:t xml:space="preserve">Gross book value - </w:t>
            </w:r>
            <w:proofErr w:type="spellStart"/>
            <w:r w:rsidRPr="00786EA4">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062C841A"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1,501</w:t>
            </w:r>
          </w:p>
        </w:tc>
        <w:tc>
          <w:tcPr>
            <w:tcW w:w="1060" w:type="dxa"/>
            <w:tcBorders>
              <w:top w:val="nil"/>
              <w:left w:val="nil"/>
              <w:bottom w:val="nil"/>
              <w:right w:val="nil"/>
            </w:tcBorders>
            <w:shd w:val="clear" w:color="auto" w:fill="auto"/>
            <w:noWrap/>
            <w:vAlign w:val="bottom"/>
            <w:hideMark/>
          </w:tcPr>
          <w:p w14:paraId="74D48F17"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198267A9"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ACF6D13"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1,501</w:t>
            </w:r>
          </w:p>
        </w:tc>
      </w:tr>
      <w:tr w:rsidR="00786EA4" w:rsidRPr="00786EA4" w14:paraId="13AD1AA0" w14:textId="77777777" w:rsidTr="00786EA4">
        <w:trPr>
          <w:trHeight w:val="450"/>
        </w:trPr>
        <w:tc>
          <w:tcPr>
            <w:tcW w:w="3160" w:type="dxa"/>
            <w:tcBorders>
              <w:top w:val="nil"/>
              <w:left w:val="nil"/>
              <w:bottom w:val="nil"/>
              <w:right w:val="nil"/>
            </w:tcBorders>
            <w:shd w:val="clear" w:color="auto" w:fill="auto"/>
            <w:vAlign w:val="bottom"/>
            <w:hideMark/>
          </w:tcPr>
          <w:p w14:paraId="688D1EF6" w14:textId="77777777" w:rsidR="00786EA4" w:rsidRPr="00786EA4" w:rsidRDefault="00786EA4" w:rsidP="00786EA4">
            <w:pPr>
              <w:spacing w:after="0"/>
              <w:ind w:leftChars="75" w:left="143"/>
              <w:rPr>
                <w:rFonts w:ascii="Arial" w:hAnsi="Arial" w:cs="Arial"/>
                <w:color w:val="auto"/>
                <w:sz w:val="16"/>
                <w:szCs w:val="16"/>
              </w:rPr>
            </w:pPr>
            <w:r w:rsidRPr="00786EA4">
              <w:rPr>
                <w:rFonts w:ascii="Arial" w:hAnsi="Arial" w:cs="Arial"/>
                <w:color w:val="auto"/>
                <w:sz w:val="16"/>
                <w:szCs w:val="16"/>
              </w:rPr>
              <w:t>Accumulated depreciation/amortisation and impairment</w:t>
            </w:r>
          </w:p>
        </w:tc>
        <w:tc>
          <w:tcPr>
            <w:tcW w:w="1060" w:type="dxa"/>
            <w:tcBorders>
              <w:top w:val="nil"/>
              <w:left w:val="nil"/>
              <w:bottom w:val="nil"/>
              <w:right w:val="nil"/>
            </w:tcBorders>
            <w:shd w:val="clear" w:color="auto" w:fill="auto"/>
            <w:noWrap/>
            <w:vAlign w:val="bottom"/>
            <w:hideMark/>
          </w:tcPr>
          <w:p w14:paraId="08E99FFB"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(74)</w:t>
            </w:r>
          </w:p>
        </w:tc>
        <w:tc>
          <w:tcPr>
            <w:tcW w:w="1060" w:type="dxa"/>
            <w:tcBorders>
              <w:top w:val="nil"/>
              <w:left w:val="nil"/>
              <w:bottom w:val="nil"/>
              <w:right w:val="nil"/>
            </w:tcBorders>
            <w:shd w:val="clear" w:color="auto" w:fill="auto"/>
            <w:noWrap/>
            <w:vAlign w:val="bottom"/>
            <w:hideMark/>
          </w:tcPr>
          <w:p w14:paraId="05AB2725"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(31)</w:t>
            </w:r>
          </w:p>
        </w:tc>
        <w:tc>
          <w:tcPr>
            <w:tcW w:w="1060" w:type="dxa"/>
            <w:tcBorders>
              <w:top w:val="nil"/>
              <w:left w:val="nil"/>
              <w:bottom w:val="nil"/>
              <w:right w:val="nil"/>
            </w:tcBorders>
            <w:shd w:val="clear" w:color="auto" w:fill="auto"/>
            <w:noWrap/>
            <w:vAlign w:val="bottom"/>
            <w:hideMark/>
          </w:tcPr>
          <w:p w14:paraId="12096A72"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(309)</w:t>
            </w:r>
          </w:p>
        </w:tc>
        <w:tc>
          <w:tcPr>
            <w:tcW w:w="1060" w:type="dxa"/>
            <w:tcBorders>
              <w:top w:val="nil"/>
              <w:left w:val="nil"/>
              <w:bottom w:val="nil"/>
              <w:right w:val="nil"/>
            </w:tcBorders>
            <w:shd w:val="clear" w:color="auto" w:fill="auto"/>
            <w:noWrap/>
            <w:vAlign w:val="bottom"/>
            <w:hideMark/>
          </w:tcPr>
          <w:p w14:paraId="0E454D24"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(414)</w:t>
            </w:r>
          </w:p>
        </w:tc>
      </w:tr>
      <w:tr w:rsidR="00786EA4" w:rsidRPr="00786EA4" w14:paraId="302A9235" w14:textId="77777777" w:rsidTr="00786EA4">
        <w:trPr>
          <w:trHeight w:val="450"/>
        </w:trPr>
        <w:tc>
          <w:tcPr>
            <w:tcW w:w="3160" w:type="dxa"/>
            <w:tcBorders>
              <w:top w:val="nil"/>
              <w:left w:val="nil"/>
              <w:bottom w:val="nil"/>
              <w:right w:val="nil"/>
            </w:tcBorders>
            <w:shd w:val="clear" w:color="auto" w:fill="auto"/>
            <w:vAlign w:val="bottom"/>
            <w:hideMark/>
          </w:tcPr>
          <w:p w14:paraId="72E3169B" w14:textId="77777777" w:rsidR="00786EA4" w:rsidRPr="00786EA4" w:rsidRDefault="00786EA4" w:rsidP="00786EA4">
            <w:pPr>
              <w:spacing w:after="0"/>
              <w:ind w:leftChars="75" w:left="143"/>
              <w:rPr>
                <w:rFonts w:ascii="Arial" w:hAnsi="Arial" w:cs="Arial"/>
                <w:sz w:val="16"/>
                <w:szCs w:val="16"/>
              </w:rPr>
            </w:pPr>
            <w:r w:rsidRPr="00786EA4">
              <w:rPr>
                <w:rFonts w:ascii="Arial" w:hAnsi="Arial" w:cs="Arial"/>
                <w:color w:val="auto"/>
                <w:sz w:val="16"/>
                <w:szCs w:val="16"/>
              </w:rPr>
              <w:t>Accumulated</w:t>
            </w:r>
            <w:r w:rsidRPr="00786EA4">
              <w:rPr>
                <w:rFonts w:ascii="Arial" w:hAnsi="Arial" w:cs="Arial"/>
                <w:sz w:val="16"/>
                <w:szCs w:val="16"/>
              </w:rPr>
              <w:t xml:space="preserve"> depreciation/ amortisation and impairment - </w:t>
            </w:r>
            <w:proofErr w:type="spellStart"/>
            <w:r w:rsidRPr="00786EA4">
              <w:rPr>
                <w:rFonts w:ascii="Arial" w:hAnsi="Arial" w:cs="Arial"/>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0CE73824"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(898)</w:t>
            </w:r>
          </w:p>
        </w:tc>
        <w:tc>
          <w:tcPr>
            <w:tcW w:w="1060" w:type="dxa"/>
            <w:tcBorders>
              <w:top w:val="nil"/>
              <w:left w:val="nil"/>
              <w:bottom w:val="single" w:sz="4" w:space="0" w:color="auto"/>
              <w:right w:val="nil"/>
            </w:tcBorders>
            <w:shd w:val="clear" w:color="auto" w:fill="auto"/>
            <w:noWrap/>
            <w:vAlign w:val="bottom"/>
            <w:hideMark/>
          </w:tcPr>
          <w:p w14:paraId="1D616C10"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3D7B5105"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EDFF0ED"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(898)</w:t>
            </w:r>
          </w:p>
        </w:tc>
      </w:tr>
      <w:tr w:rsidR="00786EA4" w:rsidRPr="00786EA4" w14:paraId="5F3B0DA2" w14:textId="77777777" w:rsidTr="00786EA4">
        <w:trPr>
          <w:trHeight w:val="225"/>
        </w:trPr>
        <w:tc>
          <w:tcPr>
            <w:tcW w:w="3160" w:type="dxa"/>
            <w:tcBorders>
              <w:top w:val="nil"/>
              <w:left w:val="nil"/>
              <w:bottom w:val="nil"/>
              <w:right w:val="nil"/>
            </w:tcBorders>
            <w:shd w:val="clear" w:color="auto" w:fill="auto"/>
            <w:noWrap/>
            <w:vAlign w:val="bottom"/>
            <w:hideMark/>
          </w:tcPr>
          <w:p w14:paraId="6C37DA7C" w14:textId="77777777" w:rsidR="00786EA4" w:rsidRPr="00786EA4" w:rsidRDefault="00786EA4" w:rsidP="00786EA4">
            <w:pPr>
              <w:spacing w:after="0"/>
              <w:ind w:leftChars="75" w:left="143"/>
              <w:rPr>
                <w:rFonts w:ascii="Arial" w:hAnsi="Arial" w:cs="Arial"/>
                <w:b/>
                <w:bCs/>
                <w:sz w:val="16"/>
                <w:szCs w:val="16"/>
              </w:rPr>
            </w:pPr>
            <w:r w:rsidRPr="00786EA4">
              <w:rPr>
                <w:rFonts w:ascii="Arial" w:hAnsi="Arial" w:cs="Arial"/>
                <w:b/>
                <w:bCs/>
                <w:sz w:val="16"/>
                <w:szCs w:val="16"/>
              </w:rPr>
              <w:t>Opening net book balance</w:t>
            </w:r>
          </w:p>
        </w:tc>
        <w:tc>
          <w:tcPr>
            <w:tcW w:w="1060" w:type="dxa"/>
            <w:tcBorders>
              <w:top w:val="nil"/>
              <w:left w:val="nil"/>
              <w:bottom w:val="single" w:sz="4" w:space="0" w:color="auto"/>
              <w:right w:val="nil"/>
            </w:tcBorders>
            <w:shd w:val="clear" w:color="auto" w:fill="auto"/>
            <w:noWrap/>
            <w:vAlign w:val="bottom"/>
            <w:hideMark/>
          </w:tcPr>
          <w:p w14:paraId="35C5C215"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529</w:t>
            </w:r>
          </w:p>
        </w:tc>
        <w:tc>
          <w:tcPr>
            <w:tcW w:w="1060" w:type="dxa"/>
            <w:tcBorders>
              <w:top w:val="nil"/>
              <w:left w:val="nil"/>
              <w:bottom w:val="single" w:sz="4" w:space="0" w:color="auto"/>
              <w:right w:val="nil"/>
            </w:tcBorders>
            <w:shd w:val="clear" w:color="auto" w:fill="auto"/>
            <w:noWrap/>
            <w:vAlign w:val="bottom"/>
            <w:hideMark/>
          </w:tcPr>
          <w:p w14:paraId="7EB35CFE"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178</w:t>
            </w:r>
          </w:p>
        </w:tc>
        <w:tc>
          <w:tcPr>
            <w:tcW w:w="1060" w:type="dxa"/>
            <w:tcBorders>
              <w:top w:val="nil"/>
              <w:left w:val="nil"/>
              <w:bottom w:val="single" w:sz="4" w:space="0" w:color="auto"/>
              <w:right w:val="nil"/>
            </w:tcBorders>
            <w:shd w:val="clear" w:color="auto" w:fill="auto"/>
            <w:noWrap/>
            <w:vAlign w:val="bottom"/>
            <w:hideMark/>
          </w:tcPr>
          <w:p w14:paraId="42037369"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195</w:t>
            </w:r>
          </w:p>
        </w:tc>
        <w:tc>
          <w:tcPr>
            <w:tcW w:w="1060" w:type="dxa"/>
            <w:tcBorders>
              <w:top w:val="single" w:sz="4" w:space="0" w:color="auto"/>
              <w:left w:val="nil"/>
              <w:bottom w:val="single" w:sz="4" w:space="0" w:color="auto"/>
              <w:right w:val="nil"/>
            </w:tcBorders>
            <w:shd w:val="clear" w:color="auto" w:fill="auto"/>
            <w:noWrap/>
            <w:vAlign w:val="bottom"/>
            <w:hideMark/>
          </w:tcPr>
          <w:p w14:paraId="196F55CB"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902</w:t>
            </w:r>
          </w:p>
        </w:tc>
      </w:tr>
      <w:tr w:rsidR="00786EA4" w:rsidRPr="00786EA4" w14:paraId="01E97935" w14:textId="77777777" w:rsidTr="00786EA4">
        <w:trPr>
          <w:trHeight w:val="300"/>
        </w:trPr>
        <w:tc>
          <w:tcPr>
            <w:tcW w:w="3160" w:type="dxa"/>
            <w:tcBorders>
              <w:top w:val="nil"/>
              <w:left w:val="nil"/>
              <w:bottom w:val="nil"/>
              <w:right w:val="nil"/>
            </w:tcBorders>
            <w:shd w:val="clear" w:color="auto" w:fill="auto"/>
            <w:noWrap/>
            <w:vAlign w:val="bottom"/>
            <w:hideMark/>
          </w:tcPr>
          <w:p w14:paraId="7786E53A" w14:textId="77777777" w:rsidR="00786EA4" w:rsidRPr="00786EA4" w:rsidRDefault="00786EA4" w:rsidP="00786EA4">
            <w:pPr>
              <w:spacing w:after="0"/>
              <w:rPr>
                <w:rFonts w:ascii="Arial" w:hAnsi="Arial" w:cs="Arial"/>
                <w:b/>
                <w:bCs/>
                <w:sz w:val="16"/>
                <w:szCs w:val="16"/>
              </w:rPr>
            </w:pPr>
            <w:r w:rsidRPr="00786EA4">
              <w:rPr>
                <w:rFonts w:ascii="Arial" w:hAnsi="Arial" w:cs="Arial"/>
                <w:b/>
                <w:bCs/>
                <w:sz w:val="16"/>
                <w:szCs w:val="16"/>
              </w:rPr>
              <w:t>CAPITAL ASSET ADDITIONS</w:t>
            </w:r>
          </w:p>
        </w:tc>
        <w:tc>
          <w:tcPr>
            <w:tcW w:w="1060" w:type="dxa"/>
            <w:tcBorders>
              <w:top w:val="nil"/>
              <w:left w:val="nil"/>
              <w:bottom w:val="nil"/>
              <w:right w:val="nil"/>
            </w:tcBorders>
            <w:shd w:val="clear" w:color="auto" w:fill="auto"/>
            <w:noWrap/>
            <w:vAlign w:val="bottom"/>
            <w:hideMark/>
          </w:tcPr>
          <w:p w14:paraId="0D14D90F" w14:textId="77777777" w:rsidR="00786EA4" w:rsidRPr="00786EA4" w:rsidRDefault="00786EA4" w:rsidP="00786EA4">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73D7D901" w14:textId="77777777" w:rsidR="00786EA4" w:rsidRPr="00786EA4" w:rsidRDefault="00786EA4" w:rsidP="00786EA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3AAD0349" w14:textId="77777777" w:rsidR="00786EA4" w:rsidRPr="00786EA4" w:rsidRDefault="00786EA4" w:rsidP="00786EA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1A63CE2E" w14:textId="77777777" w:rsidR="00786EA4" w:rsidRPr="00786EA4" w:rsidRDefault="00786EA4" w:rsidP="00786EA4">
            <w:pPr>
              <w:spacing w:after="0"/>
              <w:jc w:val="right"/>
              <w:rPr>
                <w:rFonts w:ascii="Times New Roman" w:hAnsi="Times New Roman"/>
                <w:color w:val="auto"/>
                <w:sz w:val="20"/>
              </w:rPr>
            </w:pPr>
          </w:p>
        </w:tc>
      </w:tr>
      <w:tr w:rsidR="00786EA4" w:rsidRPr="00786EA4" w14:paraId="28D0A018" w14:textId="77777777" w:rsidTr="00786EA4">
        <w:trPr>
          <w:trHeight w:val="525"/>
        </w:trPr>
        <w:tc>
          <w:tcPr>
            <w:tcW w:w="3160" w:type="dxa"/>
            <w:tcBorders>
              <w:top w:val="nil"/>
              <w:left w:val="nil"/>
              <w:bottom w:val="nil"/>
              <w:right w:val="nil"/>
            </w:tcBorders>
            <w:shd w:val="clear" w:color="auto" w:fill="auto"/>
            <w:vAlign w:val="bottom"/>
            <w:hideMark/>
          </w:tcPr>
          <w:p w14:paraId="74DB8618" w14:textId="77777777" w:rsidR="00786EA4" w:rsidRPr="00786EA4" w:rsidRDefault="00786EA4" w:rsidP="00786EA4">
            <w:pPr>
              <w:spacing w:after="0"/>
              <w:rPr>
                <w:rFonts w:ascii="Arial" w:hAnsi="Arial" w:cs="Arial"/>
                <w:b/>
                <w:bCs/>
                <w:sz w:val="16"/>
                <w:szCs w:val="16"/>
              </w:rPr>
            </w:pPr>
            <w:r w:rsidRPr="00786EA4">
              <w:rPr>
                <w:rFonts w:ascii="Arial" w:hAnsi="Arial" w:cs="Arial"/>
                <w:b/>
                <w:bCs/>
                <w:sz w:val="16"/>
                <w:szCs w:val="16"/>
              </w:rPr>
              <w:t>Estimated expenditure on new or replacement assets</w:t>
            </w:r>
          </w:p>
        </w:tc>
        <w:tc>
          <w:tcPr>
            <w:tcW w:w="1060" w:type="dxa"/>
            <w:tcBorders>
              <w:top w:val="nil"/>
              <w:left w:val="nil"/>
              <w:bottom w:val="nil"/>
              <w:right w:val="nil"/>
            </w:tcBorders>
            <w:shd w:val="clear" w:color="auto" w:fill="auto"/>
            <w:noWrap/>
            <w:vAlign w:val="bottom"/>
            <w:hideMark/>
          </w:tcPr>
          <w:p w14:paraId="24B44E7E" w14:textId="77777777" w:rsidR="00786EA4" w:rsidRPr="00786EA4" w:rsidRDefault="00786EA4" w:rsidP="00786EA4">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3434076C" w14:textId="77777777" w:rsidR="00786EA4" w:rsidRPr="00786EA4" w:rsidRDefault="00786EA4" w:rsidP="00786EA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B0D974C" w14:textId="77777777" w:rsidR="00786EA4" w:rsidRPr="00786EA4" w:rsidRDefault="00786EA4" w:rsidP="00786EA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63720903" w14:textId="77777777" w:rsidR="00786EA4" w:rsidRPr="00786EA4" w:rsidRDefault="00786EA4" w:rsidP="00786EA4">
            <w:pPr>
              <w:spacing w:after="0"/>
              <w:jc w:val="right"/>
              <w:rPr>
                <w:rFonts w:ascii="Times New Roman" w:hAnsi="Times New Roman"/>
                <w:color w:val="auto"/>
                <w:sz w:val="20"/>
              </w:rPr>
            </w:pPr>
          </w:p>
        </w:tc>
      </w:tr>
      <w:tr w:rsidR="00786EA4" w:rsidRPr="00786EA4" w14:paraId="75BA85AD" w14:textId="77777777" w:rsidTr="00786EA4">
        <w:trPr>
          <w:trHeight w:val="450"/>
        </w:trPr>
        <w:tc>
          <w:tcPr>
            <w:tcW w:w="3160" w:type="dxa"/>
            <w:tcBorders>
              <w:top w:val="nil"/>
              <w:left w:val="nil"/>
              <w:bottom w:val="nil"/>
              <w:right w:val="nil"/>
            </w:tcBorders>
            <w:shd w:val="clear" w:color="auto" w:fill="auto"/>
            <w:vAlign w:val="bottom"/>
            <w:hideMark/>
          </w:tcPr>
          <w:p w14:paraId="669A70B0" w14:textId="77777777" w:rsidR="00786EA4" w:rsidRPr="00786EA4" w:rsidRDefault="00786EA4" w:rsidP="00786EA4">
            <w:pPr>
              <w:spacing w:after="0"/>
              <w:ind w:leftChars="75" w:left="143"/>
              <w:rPr>
                <w:rFonts w:ascii="Arial" w:hAnsi="Arial" w:cs="Arial"/>
                <w:sz w:val="16"/>
                <w:szCs w:val="16"/>
              </w:rPr>
            </w:pPr>
            <w:r w:rsidRPr="00786EA4">
              <w:rPr>
                <w:rFonts w:ascii="Arial" w:hAnsi="Arial" w:cs="Arial"/>
                <w:sz w:val="16"/>
                <w:szCs w:val="16"/>
              </w:rPr>
              <w:t xml:space="preserve">By </w:t>
            </w:r>
            <w:r w:rsidRPr="00786EA4">
              <w:rPr>
                <w:rFonts w:ascii="Arial" w:hAnsi="Arial" w:cs="Arial"/>
                <w:color w:val="auto"/>
                <w:sz w:val="16"/>
                <w:szCs w:val="16"/>
              </w:rPr>
              <w:t>purchase</w:t>
            </w:r>
            <w:r w:rsidRPr="00786EA4">
              <w:rPr>
                <w:rFonts w:ascii="Arial" w:hAnsi="Arial" w:cs="Arial"/>
                <w:sz w:val="16"/>
                <w:szCs w:val="16"/>
              </w:rPr>
              <w:t xml:space="preserve"> - appropriation ordinary annual services</w:t>
            </w:r>
          </w:p>
        </w:tc>
        <w:tc>
          <w:tcPr>
            <w:tcW w:w="1060" w:type="dxa"/>
            <w:tcBorders>
              <w:top w:val="nil"/>
              <w:left w:val="nil"/>
              <w:bottom w:val="nil"/>
              <w:right w:val="nil"/>
            </w:tcBorders>
            <w:shd w:val="clear" w:color="auto" w:fill="auto"/>
            <w:noWrap/>
            <w:vAlign w:val="bottom"/>
            <w:hideMark/>
          </w:tcPr>
          <w:p w14:paraId="4DE20413"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50</w:t>
            </w:r>
          </w:p>
        </w:tc>
        <w:tc>
          <w:tcPr>
            <w:tcW w:w="1060" w:type="dxa"/>
            <w:tcBorders>
              <w:top w:val="nil"/>
              <w:left w:val="nil"/>
              <w:bottom w:val="nil"/>
              <w:right w:val="nil"/>
            </w:tcBorders>
            <w:shd w:val="clear" w:color="auto" w:fill="auto"/>
            <w:noWrap/>
            <w:vAlign w:val="bottom"/>
            <w:hideMark/>
          </w:tcPr>
          <w:p w14:paraId="72C33B92"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50</w:t>
            </w:r>
          </w:p>
        </w:tc>
        <w:tc>
          <w:tcPr>
            <w:tcW w:w="1060" w:type="dxa"/>
            <w:tcBorders>
              <w:top w:val="nil"/>
              <w:left w:val="nil"/>
              <w:bottom w:val="nil"/>
              <w:right w:val="nil"/>
            </w:tcBorders>
            <w:shd w:val="clear" w:color="auto" w:fill="auto"/>
            <w:noWrap/>
            <w:vAlign w:val="bottom"/>
            <w:hideMark/>
          </w:tcPr>
          <w:p w14:paraId="46D134BE"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164</w:t>
            </w:r>
          </w:p>
        </w:tc>
        <w:tc>
          <w:tcPr>
            <w:tcW w:w="1060" w:type="dxa"/>
            <w:tcBorders>
              <w:top w:val="nil"/>
              <w:left w:val="nil"/>
              <w:bottom w:val="nil"/>
              <w:right w:val="nil"/>
            </w:tcBorders>
            <w:shd w:val="clear" w:color="auto" w:fill="auto"/>
            <w:noWrap/>
            <w:vAlign w:val="bottom"/>
            <w:hideMark/>
          </w:tcPr>
          <w:p w14:paraId="62E13BA8"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264</w:t>
            </w:r>
          </w:p>
        </w:tc>
      </w:tr>
      <w:tr w:rsidR="00786EA4" w:rsidRPr="00786EA4" w14:paraId="1463F2FC" w14:textId="77777777" w:rsidTr="00786EA4">
        <w:trPr>
          <w:trHeight w:val="225"/>
        </w:trPr>
        <w:tc>
          <w:tcPr>
            <w:tcW w:w="3160" w:type="dxa"/>
            <w:tcBorders>
              <w:top w:val="nil"/>
              <w:left w:val="nil"/>
              <w:bottom w:val="nil"/>
              <w:right w:val="nil"/>
            </w:tcBorders>
            <w:shd w:val="clear" w:color="auto" w:fill="auto"/>
            <w:noWrap/>
            <w:vAlign w:val="bottom"/>
            <w:hideMark/>
          </w:tcPr>
          <w:p w14:paraId="0FA74266" w14:textId="77777777" w:rsidR="00786EA4" w:rsidRPr="00786EA4" w:rsidRDefault="00786EA4" w:rsidP="00786EA4">
            <w:pPr>
              <w:spacing w:after="0"/>
              <w:ind w:firstLineChars="100" w:firstLine="160"/>
              <w:rPr>
                <w:rFonts w:ascii="Arial" w:hAnsi="Arial" w:cs="Arial"/>
                <w:color w:val="auto"/>
                <w:sz w:val="16"/>
                <w:szCs w:val="16"/>
              </w:rPr>
            </w:pPr>
            <w:r w:rsidRPr="00786EA4">
              <w:rPr>
                <w:rFonts w:ascii="Arial" w:hAnsi="Arial" w:cs="Arial"/>
                <w:color w:val="auto"/>
                <w:sz w:val="16"/>
                <w:szCs w:val="16"/>
              </w:rPr>
              <w:t xml:space="preserve">By purchase - </w:t>
            </w:r>
            <w:proofErr w:type="spellStart"/>
            <w:r w:rsidRPr="00786EA4">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1EAB02F9"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19DBB9D"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B332F81"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35B24DEB"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w:t>
            </w:r>
          </w:p>
        </w:tc>
      </w:tr>
      <w:tr w:rsidR="00786EA4" w:rsidRPr="00786EA4" w14:paraId="3CD137A3" w14:textId="77777777" w:rsidTr="00786EA4">
        <w:trPr>
          <w:trHeight w:val="225"/>
        </w:trPr>
        <w:tc>
          <w:tcPr>
            <w:tcW w:w="3160" w:type="dxa"/>
            <w:tcBorders>
              <w:top w:val="nil"/>
              <w:left w:val="nil"/>
              <w:bottom w:val="nil"/>
              <w:right w:val="nil"/>
            </w:tcBorders>
            <w:shd w:val="clear" w:color="auto" w:fill="auto"/>
            <w:noWrap/>
            <w:vAlign w:val="bottom"/>
            <w:hideMark/>
          </w:tcPr>
          <w:p w14:paraId="596D7361" w14:textId="77777777" w:rsidR="00786EA4" w:rsidRPr="00786EA4" w:rsidRDefault="00786EA4" w:rsidP="00786EA4">
            <w:pPr>
              <w:spacing w:after="0"/>
              <w:ind w:leftChars="75" w:left="143"/>
              <w:rPr>
                <w:rFonts w:ascii="Arial" w:hAnsi="Arial" w:cs="Arial"/>
                <w:b/>
                <w:bCs/>
                <w:sz w:val="16"/>
                <w:szCs w:val="16"/>
              </w:rPr>
            </w:pPr>
            <w:r w:rsidRPr="00786EA4">
              <w:rPr>
                <w:rFonts w:ascii="Arial" w:hAnsi="Arial" w:cs="Arial"/>
                <w:b/>
                <w:bCs/>
                <w:sz w:val="16"/>
                <w:szCs w:val="16"/>
              </w:rPr>
              <w:t>Total additions</w:t>
            </w:r>
          </w:p>
        </w:tc>
        <w:tc>
          <w:tcPr>
            <w:tcW w:w="1060" w:type="dxa"/>
            <w:tcBorders>
              <w:top w:val="nil"/>
              <w:left w:val="nil"/>
              <w:bottom w:val="single" w:sz="4" w:space="0" w:color="auto"/>
              <w:right w:val="nil"/>
            </w:tcBorders>
            <w:shd w:val="clear" w:color="auto" w:fill="auto"/>
            <w:noWrap/>
            <w:vAlign w:val="bottom"/>
            <w:hideMark/>
          </w:tcPr>
          <w:p w14:paraId="56F0352A"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50</w:t>
            </w:r>
          </w:p>
        </w:tc>
        <w:tc>
          <w:tcPr>
            <w:tcW w:w="1060" w:type="dxa"/>
            <w:tcBorders>
              <w:top w:val="nil"/>
              <w:left w:val="nil"/>
              <w:bottom w:val="single" w:sz="4" w:space="0" w:color="auto"/>
              <w:right w:val="nil"/>
            </w:tcBorders>
            <w:shd w:val="clear" w:color="auto" w:fill="auto"/>
            <w:noWrap/>
            <w:vAlign w:val="bottom"/>
            <w:hideMark/>
          </w:tcPr>
          <w:p w14:paraId="58347FCC"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50</w:t>
            </w:r>
          </w:p>
        </w:tc>
        <w:tc>
          <w:tcPr>
            <w:tcW w:w="1060" w:type="dxa"/>
            <w:tcBorders>
              <w:top w:val="nil"/>
              <w:left w:val="nil"/>
              <w:bottom w:val="single" w:sz="4" w:space="0" w:color="auto"/>
              <w:right w:val="nil"/>
            </w:tcBorders>
            <w:shd w:val="clear" w:color="auto" w:fill="auto"/>
            <w:noWrap/>
            <w:vAlign w:val="bottom"/>
            <w:hideMark/>
          </w:tcPr>
          <w:p w14:paraId="71179264"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164</w:t>
            </w:r>
          </w:p>
        </w:tc>
        <w:tc>
          <w:tcPr>
            <w:tcW w:w="1060" w:type="dxa"/>
            <w:tcBorders>
              <w:top w:val="nil"/>
              <w:left w:val="nil"/>
              <w:bottom w:val="single" w:sz="4" w:space="0" w:color="auto"/>
              <w:right w:val="nil"/>
            </w:tcBorders>
            <w:shd w:val="clear" w:color="auto" w:fill="auto"/>
            <w:noWrap/>
            <w:vAlign w:val="bottom"/>
            <w:hideMark/>
          </w:tcPr>
          <w:p w14:paraId="30580C00"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264</w:t>
            </w:r>
          </w:p>
        </w:tc>
      </w:tr>
      <w:tr w:rsidR="00786EA4" w:rsidRPr="00786EA4" w14:paraId="6EA4FDF2" w14:textId="77777777" w:rsidTr="00786EA4">
        <w:trPr>
          <w:trHeight w:val="300"/>
        </w:trPr>
        <w:tc>
          <w:tcPr>
            <w:tcW w:w="3160" w:type="dxa"/>
            <w:tcBorders>
              <w:top w:val="nil"/>
              <w:left w:val="nil"/>
              <w:bottom w:val="nil"/>
              <w:right w:val="nil"/>
            </w:tcBorders>
            <w:shd w:val="clear" w:color="auto" w:fill="auto"/>
            <w:noWrap/>
            <w:vAlign w:val="bottom"/>
            <w:hideMark/>
          </w:tcPr>
          <w:p w14:paraId="415047AC" w14:textId="77777777" w:rsidR="00786EA4" w:rsidRPr="00786EA4" w:rsidRDefault="00786EA4" w:rsidP="00786EA4">
            <w:pPr>
              <w:spacing w:after="0"/>
              <w:rPr>
                <w:rFonts w:ascii="Arial" w:hAnsi="Arial" w:cs="Arial"/>
                <w:b/>
                <w:bCs/>
                <w:sz w:val="16"/>
                <w:szCs w:val="16"/>
              </w:rPr>
            </w:pPr>
            <w:r w:rsidRPr="00786EA4">
              <w:rPr>
                <w:rFonts w:ascii="Arial" w:hAnsi="Arial" w:cs="Arial"/>
                <w:b/>
                <w:bCs/>
                <w:sz w:val="16"/>
                <w:szCs w:val="16"/>
              </w:rPr>
              <w:t>Other movements</w:t>
            </w:r>
          </w:p>
        </w:tc>
        <w:tc>
          <w:tcPr>
            <w:tcW w:w="1060" w:type="dxa"/>
            <w:tcBorders>
              <w:top w:val="nil"/>
              <w:left w:val="nil"/>
              <w:bottom w:val="nil"/>
              <w:right w:val="nil"/>
            </w:tcBorders>
            <w:shd w:val="clear" w:color="auto" w:fill="auto"/>
            <w:noWrap/>
            <w:vAlign w:val="bottom"/>
            <w:hideMark/>
          </w:tcPr>
          <w:p w14:paraId="3FDA7B0F" w14:textId="77777777" w:rsidR="00786EA4" w:rsidRPr="00786EA4" w:rsidRDefault="00786EA4" w:rsidP="00786EA4">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3BAFC5AB" w14:textId="77777777" w:rsidR="00786EA4" w:rsidRPr="00786EA4" w:rsidRDefault="00786EA4" w:rsidP="00786EA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613EF514" w14:textId="77777777" w:rsidR="00786EA4" w:rsidRPr="00786EA4" w:rsidRDefault="00786EA4" w:rsidP="00786EA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74CF6CD" w14:textId="77777777" w:rsidR="00786EA4" w:rsidRPr="00786EA4" w:rsidRDefault="00786EA4" w:rsidP="00786EA4">
            <w:pPr>
              <w:spacing w:after="0"/>
              <w:jc w:val="right"/>
              <w:rPr>
                <w:rFonts w:ascii="Times New Roman" w:hAnsi="Times New Roman"/>
                <w:color w:val="auto"/>
                <w:sz w:val="20"/>
              </w:rPr>
            </w:pPr>
          </w:p>
        </w:tc>
      </w:tr>
      <w:tr w:rsidR="00786EA4" w:rsidRPr="00786EA4" w14:paraId="17801C2C" w14:textId="77777777" w:rsidTr="00786EA4">
        <w:trPr>
          <w:trHeight w:val="225"/>
        </w:trPr>
        <w:tc>
          <w:tcPr>
            <w:tcW w:w="3160" w:type="dxa"/>
            <w:tcBorders>
              <w:top w:val="nil"/>
              <w:left w:val="nil"/>
              <w:bottom w:val="nil"/>
              <w:right w:val="nil"/>
            </w:tcBorders>
            <w:shd w:val="clear" w:color="auto" w:fill="auto"/>
            <w:noWrap/>
            <w:vAlign w:val="bottom"/>
            <w:hideMark/>
          </w:tcPr>
          <w:p w14:paraId="4AAF2732" w14:textId="77777777" w:rsidR="00786EA4" w:rsidRPr="00786EA4" w:rsidRDefault="00786EA4" w:rsidP="00786EA4">
            <w:pPr>
              <w:spacing w:after="0"/>
              <w:ind w:firstLineChars="100" w:firstLine="160"/>
              <w:rPr>
                <w:rFonts w:ascii="Arial" w:hAnsi="Arial" w:cs="Arial"/>
                <w:sz w:val="16"/>
                <w:szCs w:val="16"/>
              </w:rPr>
            </w:pPr>
            <w:r w:rsidRPr="00786EA4">
              <w:rPr>
                <w:rFonts w:ascii="Arial" w:hAnsi="Arial" w:cs="Arial"/>
                <w:sz w:val="16"/>
                <w:szCs w:val="16"/>
              </w:rPr>
              <w:t>Depreciation/amortisation expense</w:t>
            </w:r>
          </w:p>
        </w:tc>
        <w:tc>
          <w:tcPr>
            <w:tcW w:w="1060" w:type="dxa"/>
            <w:tcBorders>
              <w:top w:val="nil"/>
              <w:left w:val="nil"/>
              <w:bottom w:val="nil"/>
              <w:right w:val="nil"/>
            </w:tcBorders>
            <w:shd w:val="clear" w:color="auto" w:fill="auto"/>
            <w:noWrap/>
            <w:vAlign w:val="bottom"/>
            <w:hideMark/>
          </w:tcPr>
          <w:p w14:paraId="3C7F93CA"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(130)</w:t>
            </w:r>
          </w:p>
        </w:tc>
        <w:tc>
          <w:tcPr>
            <w:tcW w:w="1060" w:type="dxa"/>
            <w:tcBorders>
              <w:top w:val="nil"/>
              <w:left w:val="nil"/>
              <w:bottom w:val="nil"/>
              <w:right w:val="nil"/>
            </w:tcBorders>
            <w:shd w:val="clear" w:color="auto" w:fill="auto"/>
            <w:noWrap/>
            <w:vAlign w:val="bottom"/>
            <w:hideMark/>
          </w:tcPr>
          <w:p w14:paraId="05557212"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(36)</w:t>
            </w:r>
          </w:p>
        </w:tc>
        <w:tc>
          <w:tcPr>
            <w:tcW w:w="1060" w:type="dxa"/>
            <w:tcBorders>
              <w:top w:val="nil"/>
              <w:left w:val="nil"/>
              <w:bottom w:val="nil"/>
              <w:right w:val="nil"/>
            </w:tcBorders>
            <w:shd w:val="clear" w:color="auto" w:fill="auto"/>
            <w:noWrap/>
            <w:vAlign w:val="bottom"/>
            <w:hideMark/>
          </w:tcPr>
          <w:p w14:paraId="3A05CD2B"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(204)</w:t>
            </w:r>
          </w:p>
        </w:tc>
        <w:tc>
          <w:tcPr>
            <w:tcW w:w="1060" w:type="dxa"/>
            <w:tcBorders>
              <w:top w:val="nil"/>
              <w:left w:val="nil"/>
              <w:bottom w:val="nil"/>
              <w:right w:val="nil"/>
            </w:tcBorders>
            <w:shd w:val="clear" w:color="auto" w:fill="auto"/>
            <w:noWrap/>
            <w:vAlign w:val="bottom"/>
            <w:hideMark/>
          </w:tcPr>
          <w:p w14:paraId="0B9CC00B"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(370)</w:t>
            </w:r>
          </w:p>
        </w:tc>
      </w:tr>
      <w:tr w:rsidR="00786EA4" w:rsidRPr="00786EA4" w14:paraId="02CFE621" w14:textId="77777777" w:rsidTr="00786EA4">
        <w:trPr>
          <w:trHeight w:val="450"/>
        </w:trPr>
        <w:tc>
          <w:tcPr>
            <w:tcW w:w="3160" w:type="dxa"/>
            <w:tcBorders>
              <w:top w:val="nil"/>
              <w:left w:val="nil"/>
              <w:bottom w:val="nil"/>
              <w:right w:val="nil"/>
            </w:tcBorders>
            <w:shd w:val="clear" w:color="auto" w:fill="auto"/>
            <w:vAlign w:val="bottom"/>
            <w:hideMark/>
          </w:tcPr>
          <w:p w14:paraId="28C583FA" w14:textId="77777777" w:rsidR="00786EA4" w:rsidRPr="00786EA4" w:rsidRDefault="00786EA4" w:rsidP="00786EA4">
            <w:pPr>
              <w:spacing w:after="0"/>
              <w:ind w:leftChars="75" w:left="143"/>
              <w:rPr>
                <w:rFonts w:ascii="Arial" w:hAnsi="Arial" w:cs="Arial"/>
                <w:sz w:val="16"/>
                <w:szCs w:val="16"/>
              </w:rPr>
            </w:pPr>
            <w:r w:rsidRPr="00786EA4">
              <w:rPr>
                <w:rFonts w:ascii="Arial" w:hAnsi="Arial" w:cs="Arial"/>
                <w:color w:val="auto"/>
                <w:sz w:val="16"/>
                <w:szCs w:val="16"/>
              </w:rPr>
              <w:t>Depreciation</w:t>
            </w:r>
            <w:r w:rsidRPr="00786EA4">
              <w:rPr>
                <w:rFonts w:ascii="Arial" w:hAnsi="Arial" w:cs="Arial"/>
                <w:sz w:val="16"/>
                <w:szCs w:val="16"/>
              </w:rPr>
              <w:t xml:space="preserve">/amortisation expense </w:t>
            </w:r>
            <w:r w:rsidRPr="00786EA4">
              <w:rPr>
                <w:rFonts w:ascii="Arial" w:hAnsi="Arial" w:cs="Arial"/>
                <w:sz w:val="16"/>
                <w:szCs w:val="16"/>
              </w:rPr>
              <w:br/>
              <w:t xml:space="preserve">- </w:t>
            </w:r>
            <w:proofErr w:type="spellStart"/>
            <w:r w:rsidRPr="00786EA4">
              <w:rPr>
                <w:rFonts w:ascii="Arial" w:hAnsi="Arial" w:cs="Arial"/>
                <w:sz w:val="16"/>
                <w:szCs w:val="16"/>
              </w:rPr>
              <w:t>RoU</w:t>
            </w:r>
            <w:proofErr w:type="spellEnd"/>
          </w:p>
        </w:tc>
        <w:tc>
          <w:tcPr>
            <w:tcW w:w="1060" w:type="dxa"/>
            <w:tcBorders>
              <w:top w:val="nil"/>
              <w:left w:val="nil"/>
              <w:bottom w:val="nil"/>
              <w:right w:val="nil"/>
            </w:tcBorders>
            <w:shd w:val="clear" w:color="auto" w:fill="auto"/>
            <w:noWrap/>
            <w:vAlign w:val="bottom"/>
            <w:hideMark/>
          </w:tcPr>
          <w:p w14:paraId="3C64C5F1"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(299)</w:t>
            </w:r>
          </w:p>
        </w:tc>
        <w:tc>
          <w:tcPr>
            <w:tcW w:w="1060" w:type="dxa"/>
            <w:tcBorders>
              <w:top w:val="nil"/>
              <w:left w:val="nil"/>
              <w:bottom w:val="nil"/>
              <w:right w:val="nil"/>
            </w:tcBorders>
            <w:shd w:val="clear" w:color="auto" w:fill="auto"/>
            <w:noWrap/>
            <w:vAlign w:val="bottom"/>
            <w:hideMark/>
          </w:tcPr>
          <w:p w14:paraId="010A8A44"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C6712C5"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6947CEA8"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(299)</w:t>
            </w:r>
          </w:p>
        </w:tc>
      </w:tr>
      <w:tr w:rsidR="00786EA4" w:rsidRPr="00786EA4" w14:paraId="42A9CCE0" w14:textId="77777777" w:rsidTr="00786EA4">
        <w:trPr>
          <w:trHeight w:val="225"/>
        </w:trPr>
        <w:tc>
          <w:tcPr>
            <w:tcW w:w="3160" w:type="dxa"/>
            <w:tcBorders>
              <w:top w:val="nil"/>
              <w:left w:val="nil"/>
              <w:bottom w:val="nil"/>
              <w:right w:val="nil"/>
            </w:tcBorders>
            <w:shd w:val="clear" w:color="auto" w:fill="auto"/>
            <w:noWrap/>
            <w:vAlign w:val="bottom"/>
            <w:hideMark/>
          </w:tcPr>
          <w:p w14:paraId="7CBC28BF" w14:textId="77777777" w:rsidR="00786EA4" w:rsidRPr="00786EA4" w:rsidRDefault="00786EA4" w:rsidP="00786EA4">
            <w:pPr>
              <w:spacing w:after="0"/>
              <w:ind w:leftChars="75" w:left="143"/>
              <w:rPr>
                <w:rFonts w:ascii="Arial" w:hAnsi="Arial" w:cs="Arial"/>
                <w:sz w:val="16"/>
                <w:szCs w:val="16"/>
              </w:rPr>
            </w:pPr>
            <w:r w:rsidRPr="00786EA4">
              <w:rPr>
                <w:rFonts w:ascii="Arial" w:hAnsi="Arial" w:cs="Arial"/>
                <w:sz w:val="16"/>
                <w:szCs w:val="16"/>
              </w:rPr>
              <w:t>Disposals</w:t>
            </w:r>
            <w:r w:rsidRPr="00786EA4">
              <w:rPr>
                <w:rFonts w:ascii="Arial" w:hAnsi="Arial" w:cs="Arial"/>
                <w:sz w:val="16"/>
                <w:szCs w:val="16"/>
                <w:vertAlign w:val="superscript"/>
              </w:rPr>
              <w:t xml:space="preserve"> (a)</w:t>
            </w:r>
          </w:p>
        </w:tc>
        <w:tc>
          <w:tcPr>
            <w:tcW w:w="1060" w:type="dxa"/>
            <w:tcBorders>
              <w:top w:val="nil"/>
              <w:left w:val="nil"/>
              <w:bottom w:val="nil"/>
              <w:right w:val="nil"/>
            </w:tcBorders>
            <w:shd w:val="clear" w:color="auto" w:fill="auto"/>
            <w:noWrap/>
            <w:vAlign w:val="bottom"/>
            <w:hideMark/>
          </w:tcPr>
          <w:p w14:paraId="59742066"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70BC0F2"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78F5E039"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BA7E285"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w:t>
            </w:r>
          </w:p>
        </w:tc>
      </w:tr>
      <w:tr w:rsidR="00786EA4" w:rsidRPr="00786EA4" w14:paraId="09F05229" w14:textId="77777777" w:rsidTr="00786EA4">
        <w:trPr>
          <w:trHeight w:val="225"/>
        </w:trPr>
        <w:tc>
          <w:tcPr>
            <w:tcW w:w="3160" w:type="dxa"/>
            <w:tcBorders>
              <w:top w:val="nil"/>
              <w:left w:val="nil"/>
              <w:bottom w:val="nil"/>
              <w:right w:val="nil"/>
            </w:tcBorders>
            <w:shd w:val="clear" w:color="auto" w:fill="auto"/>
            <w:noWrap/>
            <w:vAlign w:val="bottom"/>
            <w:hideMark/>
          </w:tcPr>
          <w:p w14:paraId="07258EEF" w14:textId="77777777" w:rsidR="00786EA4" w:rsidRPr="00786EA4" w:rsidRDefault="00786EA4" w:rsidP="00786EA4">
            <w:pPr>
              <w:spacing w:after="0"/>
              <w:ind w:leftChars="75" w:left="143"/>
              <w:rPr>
                <w:rFonts w:ascii="Arial" w:hAnsi="Arial" w:cs="Arial"/>
                <w:b/>
                <w:bCs/>
                <w:sz w:val="16"/>
                <w:szCs w:val="16"/>
              </w:rPr>
            </w:pPr>
            <w:r w:rsidRPr="00786EA4">
              <w:rPr>
                <w:rFonts w:ascii="Arial" w:hAnsi="Arial" w:cs="Arial"/>
                <w:b/>
                <w:bCs/>
                <w:sz w:val="16"/>
                <w:szCs w:val="16"/>
              </w:rPr>
              <w:t>Total other movements</w:t>
            </w:r>
          </w:p>
        </w:tc>
        <w:tc>
          <w:tcPr>
            <w:tcW w:w="1060" w:type="dxa"/>
            <w:tcBorders>
              <w:top w:val="single" w:sz="4" w:space="0" w:color="auto"/>
              <w:left w:val="nil"/>
              <w:bottom w:val="single" w:sz="4" w:space="0" w:color="auto"/>
              <w:right w:val="nil"/>
            </w:tcBorders>
            <w:shd w:val="clear" w:color="auto" w:fill="auto"/>
            <w:noWrap/>
            <w:vAlign w:val="bottom"/>
            <w:hideMark/>
          </w:tcPr>
          <w:p w14:paraId="46E92D55"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(429)</w:t>
            </w:r>
          </w:p>
        </w:tc>
        <w:tc>
          <w:tcPr>
            <w:tcW w:w="1060" w:type="dxa"/>
            <w:tcBorders>
              <w:top w:val="single" w:sz="4" w:space="0" w:color="auto"/>
              <w:left w:val="nil"/>
              <w:bottom w:val="single" w:sz="4" w:space="0" w:color="auto"/>
              <w:right w:val="nil"/>
            </w:tcBorders>
            <w:shd w:val="clear" w:color="auto" w:fill="auto"/>
            <w:noWrap/>
            <w:vAlign w:val="bottom"/>
            <w:hideMark/>
          </w:tcPr>
          <w:p w14:paraId="7A7CECCB"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(36)</w:t>
            </w:r>
          </w:p>
        </w:tc>
        <w:tc>
          <w:tcPr>
            <w:tcW w:w="1060" w:type="dxa"/>
            <w:tcBorders>
              <w:top w:val="single" w:sz="4" w:space="0" w:color="auto"/>
              <w:left w:val="nil"/>
              <w:bottom w:val="single" w:sz="4" w:space="0" w:color="auto"/>
              <w:right w:val="nil"/>
            </w:tcBorders>
            <w:shd w:val="clear" w:color="auto" w:fill="auto"/>
            <w:noWrap/>
            <w:vAlign w:val="bottom"/>
            <w:hideMark/>
          </w:tcPr>
          <w:p w14:paraId="25951C90"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(204)</w:t>
            </w:r>
          </w:p>
        </w:tc>
        <w:tc>
          <w:tcPr>
            <w:tcW w:w="1060" w:type="dxa"/>
            <w:tcBorders>
              <w:top w:val="single" w:sz="4" w:space="0" w:color="auto"/>
              <w:left w:val="nil"/>
              <w:bottom w:val="single" w:sz="4" w:space="0" w:color="auto"/>
              <w:right w:val="nil"/>
            </w:tcBorders>
            <w:shd w:val="clear" w:color="auto" w:fill="auto"/>
            <w:noWrap/>
            <w:vAlign w:val="bottom"/>
            <w:hideMark/>
          </w:tcPr>
          <w:p w14:paraId="64757AAE"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(669)</w:t>
            </w:r>
          </w:p>
        </w:tc>
      </w:tr>
      <w:tr w:rsidR="00786EA4" w:rsidRPr="00786EA4" w14:paraId="0EF027E8" w14:textId="77777777" w:rsidTr="00786EA4">
        <w:trPr>
          <w:trHeight w:val="300"/>
        </w:trPr>
        <w:tc>
          <w:tcPr>
            <w:tcW w:w="3160" w:type="dxa"/>
            <w:tcBorders>
              <w:top w:val="nil"/>
              <w:left w:val="nil"/>
              <w:bottom w:val="nil"/>
              <w:right w:val="nil"/>
            </w:tcBorders>
            <w:shd w:val="clear" w:color="auto" w:fill="auto"/>
            <w:noWrap/>
            <w:vAlign w:val="bottom"/>
            <w:hideMark/>
          </w:tcPr>
          <w:p w14:paraId="638CA66A" w14:textId="77777777" w:rsidR="00786EA4" w:rsidRPr="00786EA4" w:rsidRDefault="00786EA4" w:rsidP="00786EA4">
            <w:pPr>
              <w:spacing w:after="0"/>
              <w:rPr>
                <w:rFonts w:ascii="Arial" w:hAnsi="Arial" w:cs="Arial"/>
                <w:b/>
                <w:bCs/>
                <w:sz w:val="16"/>
                <w:szCs w:val="16"/>
              </w:rPr>
            </w:pPr>
            <w:r w:rsidRPr="00786EA4">
              <w:rPr>
                <w:rFonts w:ascii="Arial" w:hAnsi="Arial" w:cs="Arial"/>
                <w:b/>
                <w:bCs/>
                <w:sz w:val="16"/>
                <w:szCs w:val="16"/>
              </w:rPr>
              <w:t>As at 30 June 2023</w:t>
            </w:r>
          </w:p>
        </w:tc>
        <w:tc>
          <w:tcPr>
            <w:tcW w:w="1060" w:type="dxa"/>
            <w:tcBorders>
              <w:top w:val="nil"/>
              <w:left w:val="nil"/>
              <w:bottom w:val="nil"/>
              <w:right w:val="nil"/>
            </w:tcBorders>
            <w:shd w:val="clear" w:color="auto" w:fill="auto"/>
            <w:noWrap/>
            <w:vAlign w:val="bottom"/>
            <w:hideMark/>
          </w:tcPr>
          <w:p w14:paraId="25D92134" w14:textId="77777777" w:rsidR="00786EA4" w:rsidRPr="00786EA4" w:rsidRDefault="00786EA4" w:rsidP="00786EA4">
            <w:pPr>
              <w:spacing w:after="0"/>
              <w:rPr>
                <w:rFonts w:ascii="Arial" w:hAnsi="Arial" w:cs="Arial"/>
                <w:b/>
                <w:bCs/>
                <w:sz w:val="16"/>
                <w:szCs w:val="16"/>
              </w:rPr>
            </w:pPr>
          </w:p>
        </w:tc>
        <w:tc>
          <w:tcPr>
            <w:tcW w:w="1060" w:type="dxa"/>
            <w:tcBorders>
              <w:top w:val="nil"/>
              <w:left w:val="nil"/>
              <w:bottom w:val="nil"/>
              <w:right w:val="nil"/>
            </w:tcBorders>
            <w:shd w:val="clear" w:color="auto" w:fill="auto"/>
            <w:noWrap/>
            <w:vAlign w:val="bottom"/>
            <w:hideMark/>
          </w:tcPr>
          <w:p w14:paraId="15DB8290" w14:textId="77777777" w:rsidR="00786EA4" w:rsidRPr="00786EA4" w:rsidRDefault="00786EA4" w:rsidP="00786EA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212C8A68" w14:textId="77777777" w:rsidR="00786EA4" w:rsidRPr="00786EA4" w:rsidRDefault="00786EA4" w:rsidP="00786EA4">
            <w:pPr>
              <w:spacing w:after="0"/>
              <w:jc w:val="right"/>
              <w:rPr>
                <w:rFonts w:ascii="Times New Roman" w:hAnsi="Times New Roman"/>
                <w:color w:val="auto"/>
                <w:sz w:val="20"/>
              </w:rPr>
            </w:pPr>
          </w:p>
        </w:tc>
        <w:tc>
          <w:tcPr>
            <w:tcW w:w="1060" w:type="dxa"/>
            <w:tcBorders>
              <w:top w:val="nil"/>
              <w:left w:val="nil"/>
              <w:bottom w:val="nil"/>
              <w:right w:val="nil"/>
            </w:tcBorders>
            <w:shd w:val="clear" w:color="auto" w:fill="auto"/>
            <w:noWrap/>
            <w:vAlign w:val="bottom"/>
            <w:hideMark/>
          </w:tcPr>
          <w:p w14:paraId="44C6852F" w14:textId="77777777" w:rsidR="00786EA4" w:rsidRPr="00786EA4" w:rsidRDefault="00786EA4" w:rsidP="00786EA4">
            <w:pPr>
              <w:spacing w:after="0"/>
              <w:jc w:val="right"/>
              <w:rPr>
                <w:rFonts w:ascii="Times New Roman" w:hAnsi="Times New Roman"/>
                <w:color w:val="auto"/>
                <w:sz w:val="20"/>
              </w:rPr>
            </w:pPr>
          </w:p>
        </w:tc>
      </w:tr>
      <w:tr w:rsidR="00786EA4" w:rsidRPr="00786EA4" w14:paraId="5F800F36" w14:textId="77777777" w:rsidTr="00786EA4">
        <w:trPr>
          <w:trHeight w:val="225"/>
        </w:trPr>
        <w:tc>
          <w:tcPr>
            <w:tcW w:w="3160" w:type="dxa"/>
            <w:tcBorders>
              <w:top w:val="nil"/>
              <w:left w:val="nil"/>
              <w:bottom w:val="nil"/>
              <w:right w:val="nil"/>
            </w:tcBorders>
            <w:shd w:val="clear" w:color="auto" w:fill="auto"/>
            <w:noWrap/>
            <w:vAlign w:val="bottom"/>
            <w:hideMark/>
          </w:tcPr>
          <w:p w14:paraId="2E379BDD" w14:textId="77777777" w:rsidR="00786EA4" w:rsidRPr="00786EA4" w:rsidRDefault="00786EA4" w:rsidP="00786EA4">
            <w:pPr>
              <w:spacing w:after="0"/>
              <w:ind w:leftChars="75" w:left="143"/>
              <w:rPr>
                <w:rFonts w:ascii="Arial" w:hAnsi="Arial" w:cs="Arial"/>
                <w:color w:val="auto"/>
                <w:sz w:val="16"/>
                <w:szCs w:val="16"/>
              </w:rPr>
            </w:pPr>
            <w:r w:rsidRPr="00786EA4">
              <w:rPr>
                <w:rFonts w:ascii="Arial" w:hAnsi="Arial" w:cs="Arial"/>
                <w:color w:val="auto"/>
                <w:sz w:val="16"/>
                <w:szCs w:val="16"/>
              </w:rPr>
              <w:t>Gross book value</w:t>
            </w:r>
          </w:p>
        </w:tc>
        <w:tc>
          <w:tcPr>
            <w:tcW w:w="1060" w:type="dxa"/>
            <w:tcBorders>
              <w:top w:val="nil"/>
              <w:left w:val="nil"/>
              <w:bottom w:val="nil"/>
              <w:right w:val="nil"/>
            </w:tcBorders>
            <w:shd w:val="clear" w:color="auto" w:fill="auto"/>
            <w:noWrap/>
            <w:vAlign w:val="bottom"/>
            <w:hideMark/>
          </w:tcPr>
          <w:p w14:paraId="26634A0C"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50</w:t>
            </w:r>
          </w:p>
        </w:tc>
        <w:tc>
          <w:tcPr>
            <w:tcW w:w="1060" w:type="dxa"/>
            <w:tcBorders>
              <w:top w:val="nil"/>
              <w:left w:val="nil"/>
              <w:bottom w:val="nil"/>
              <w:right w:val="nil"/>
            </w:tcBorders>
            <w:shd w:val="clear" w:color="auto" w:fill="auto"/>
            <w:noWrap/>
            <w:vAlign w:val="bottom"/>
            <w:hideMark/>
          </w:tcPr>
          <w:p w14:paraId="4A1C8341"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259</w:t>
            </w:r>
          </w:p>
        </w:tc>
        <w:tc>
          <w:tcPr>
            <w:tcW w:w="1060" w:type="dxa"/>
            <w:tcBorders>
              <w:top w:val="nil"/>
              <w:left w:val="nil"/>
              <w:bottom w:val="nil"/>
              <w:right w:val="nil"/>
            </w:tcBorders>
            <w:shd w:val="clear" w:color="auto" w:fill="auto"/>
            <w:noWrap/>
            <w:vAlign w:val="bottom"/>
            <w:hideMark/>
          </w:tcPr>
          <w:p w14:paraId="42E426BC"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668</w:t>
            </w:r>
          </w:p>
        </w:tc>
        <w:tc>
          <w:tcPr>
            <w:tcW w:w="1060" w:type="dxa"/>
            <w:tcBorders>
              <w:top w:val="nil"/>
              <w:left w:val="nil"/>
              <w:bottom w:val="nil"/>
              <w:right w:val="nil"/>
            </w:tcBorders>
            <w:shd w:val="clear" w:color="auto" w:fill="auto"/>
            <w:noWrap/>
            <w:vAlign w:val="bottom"/>
            <w:hideMark/>
          </w:tcPr>
          <w:p w14:paraId="45AED722"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977</w:t>
            </w:r>
          </w:p>
        </w:tc>
      </w:tr>
      <w:tr w:rsidR="00786EA4" w:rsidRPr="00786EA4" w14:paraId="6BB16633" w14:textId="77777777" w:rsidTr="00786EA4">
        <w:trPr>
          <w:trHeight w:val="225"/>
        </w:trPr>
        <w:tc>
          <w:tcPr>
            <w:tcW w:w="3160" w:type="dxa"/>
            <w:tcBorders>
              <w:top w:val="nil"/>
              <w:left w:val="nil"/>
              <w:bottom w:val="nil"/>
              <w:right w:val="nil"/>
            </w:tcBorders>
            <w:shd w:val="clear" w:color="auto" w:fill="auto"/>
            <w:noWrap/>
            <w:vAlign w:val="bottom"/>
            <w:hideMark/>
          </w:tcPr>
          <w:p w14:paraId="4ED47EFB" w14:textId="77777777" w:rsidR="00786EA4" w:rsidRPr="00786EA4" w:rsidRDefault="00786EA4" w:rsidP="00786EA4">
            <w:pPr>
              <w:spacing w:after="0"/>
              <w:ind w:leftChars="75" w:left="143"/>
              <w:rPr>
                <w:rFonts w:ascii="Arial" w:hAnsi="Arial" w:cs="Arial"/>
                <w:color w:val="auto"/>
                <w:sz w:val="16"/>
                <w:szCs w:val="16"/>
              </w:rPr>
            </w:pPr>
            <w:r w:rsidRPr="00786EA4">
              <w:rPr>
                <w:rFonts w:ascii="Arial" w:hAnsi="Arial" w:cs="Arial"/>
                <w:color w:val="auto"/>
                <w:sz w:val="16"/>
                <w:szCs w:val="16"/>
              </w:rPr>
              <w:t xml:space="preserve">Gross book value - </w:t>
            </w:r>
            <w:proofErr w:type="spellStart"/>
            <w:r w:rsidRPr="00786EA4">
              <w:rPr>
                <w:rFonts w:ascii="Arial" w:hAnsi="Arial" w:cs="Arial"/>
                <w:color w:val="auto"/>
                <w:sz w:val="16"/>
                <w:szCs w:val="16"/>
              </w:rPr>
              <w:t>RoU</w:t>
            </w:r>
            <w:proofErr w:type="spellEnd"/>
          </w:p>
        </w:tc>
        <w:tc>
          <w:tcPr>
            <w:tcW w:w="1060" w:type="dxa"/>
            <w:tcBorders>
              <w:top w:val="nil"/>
              <w:left w:val="nil"/>
              <w:bottom w:val="nil"/>
              <w:right w:val="nil"/>
            </w:tcBorders>
            <w:shd w:val="clear" w:color="auto" w:fill="auto"/>
            <w:noWrap/>
            <w:vAlign w:val="bottom"/>
            <w:hideMark/>
          </w:tcPr>
          <w:p w14:paraId="49184065"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1,501</w:t>
            </w:r>
          </w:p>
        </w:tc>
        <w:tc>
          <w:tcPr>
            <w:tcW w:w="1060" w:type="dxa"/>
            <w:tcBorders>
              <w:top w:val="nil"/>
              <w:left w:val="nil"/>
              <w:bottom w:val="nil"/>
              <w:right w:val="nil"/>
            </w:tcBorders>
            <w:shd w:val="clear" w:color="auto" w:fill="auto"/>
            <w:noWrap/>
            <w:vAlign w:val="bottom"/>
            <w:hideMark/>
          </w:tcPr>
          <w:p w14:paraId="426B3B08"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26C481AB"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5BAF35D7"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1,501</w:t>
            </w:r>
          </w:p>
        </w:tc>
      </w:tr>
      <w:tr w:rsidR="00786EA4" w:rsidRPr="00786EA4" w14:paraId="49BB60D0" w14:textId="77777777" w:rsidTr="00786EA4">
        <w:trPr>
          <w:trHeight w:val="450"/>
        </w:trPr>
        <w:tc>
          <w:tcPr>
            <w:tcW w:w="3160" w:type="dxa"/>
            <w:tcBorders>
              <w:top w:val="nil"/>
              <w:left w:val="nil"/>
              <w:bottom w:val="nil"/>
              <w:right w:val="nil"/>
            </w:tcBorders>
            <w:shd w:val="clear" w:color="auto" w:fill="auto"/>
            <w:vAlign w:val="bottom"/>
            <w:hideMark/>
          </w:tcPr>
          <w:p w14:paraId="0FAA9E5A" w14:textId="77777777" w:rsidR="00786EA4" w:rsidRPr="00786EA4" w:rsidRDefault="00786EA4" w:rsidP="00786EA4">
            <w:pPr>
              <w:spacing w:after="0"/>
              <w:ind w:leftChars="75" w:left="143"/>
              <w:rPr>
                <w:rFonts w:ascii="Arial" w:hAnsi="Arial" w:cs="Arial"/>
                <w:color w:val="auto"/>
                <w:sz w:val="16"/>
                <w:szCs w:val="16"/>
              </w:rPr>
            </w:pPr>
            <w:r w:rsidRPr="00786EA4">
              <w:rPr>
                <w:rFonts w:ascii="Arial" w:hAnsi="Arial" w:cs="Arial"/>
                <w:color w:val="auto"/>
                <w:sz w:val="16"/>
                <w:szCs w:val="16"/>
              </w:rPr>
              <w:t>Accumulated depreciation/ amortisation and impairment</w:t>
            </w:r>
          </w:p>
        </w:tc>
        <w:tc>
          <w:tcPr>
            <w:tcW w:w="1060" w:type="dxa"/>
            <w:tcBorders>
              <w:top w:val="nil"/>
              <w:left w:val="nil"/>
              <w:bottom w:val="nil"/>
              <w:right w:val="nil"/>
            </w:tcBorders>
            <w:shd w:val="clear" w:color="auto" w:fill="auto"/>
            <w:noWrap/>
            <w:vAlign w:val="bottom"/>
            <w:hideMark/>
          </w:tcPr>
          <w:p w14:paraId="1F89A4DC"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(204)</w:t>
            </w:r>
          </w:p>
        </w:tc>
        <w:tc>
          <w:tcPr>
            <w:tcW w:w="1060" w:type="dxa"/>
            <w:tcBorders>
              <w:top w:val="nil"/>
              <w:left w:val="nil"/>
              <w:bottom w:val="nil"/>
              <w:right w:val="nil"/>
            </w:tcBorders>
            <w:shd w:val="clear" w:color="auto" w:fill="auto"/>
            <w:noWrap/>
            <w:vAlign w:val="bottom"/>
            <w:hideMark/>
          </w:tcPr>
          <w:p w14:paraId="7E864E4E"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(67)</w:t>
            </w:r>
          </w:p>
        </w:tc>
        <w:tc>
          <w:tcPr>
            <w:tcW w:w="1060" w:type="dxa"/>
            <w:tcBorders>
              <w:top w:val="nil"/>
              <w:left w:val="nil"/>
              <w:bottom w:val="nil"/>
              <w:right w:val="nil"/>
            </w:tcBorders>
            <w:shd w:val="clear" w:color="auto" w:fill="auto"/>
            <w:noWrap/>
            <w:vAlign w:val="bottom"/>
            <w:hideMark/>
          </w:tcPr>
          <w:p w14:paraId="017703FF"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(513)</w:t>
            </w:r>
          </w:p>
        </w:tc>
        <w:tc>
          <w:tcPr>
            <w:tcW w:w="1060" w:type="dxa"/>
            <w:tcBorders>
              <w:top w:val="nil"/>
              <w:left w:val="nil"/>
              <w:bottom w:val="nil"/>
              <w:right w:val="nil"/>
            </w:tcBorders>
            <w:shd w:val="clear" w:color="auto" w:fill="auto"/>
            <w:noWrap/>
            <w:vAlign w:val="bottom"/>
            <w:hideMark/>
          </w:tcPr>
          <w:p w14:paraId="4DE0F247"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(784)</w:t>
            </w:r>
          </w:p>
        </w:tc>
      </w:tr>
      <w:tr w:rsidR="00786EA4" w:rsidRPr="00786EA4" w14:paraId="173E5592" w14:textId="77777777" w:rsidTr="00786EA4">
        <w:trPr>
          <w:trHeight w:val="450"/>
        </w:trPr>
        <w:tc>
          <w:tcPr>
            <w:tcW w:w="3160" w:type="dxa"/>
            <w:tcBorders>
              <w:top w:val="nil"/>
              <w:left w:val="nil"/>
              <w:bottom w:val="nil"/>
              <w:right w:val="nil"/>
            </w:tcBorders>
            <w:shd w:val="clear" w:color="auto" w:fill="auto"/>
            <w:vAlign w:val="bottom"/>
            <w:hideMark/>
          </w:tcPr>
          <w:p w14:paraId="347DFAC2" w14:textId="77777777" w:rsidR="00786EA4" w:rsidRPr="00786EA4" w:rsidRDefault="00786EA4" w:rsidP="00786EA4">
            <w:pPr>
              <w:spacing w:after="0"/>
              <w:ind w:leftChars="75" w:left="143"/>
              <w:rPr>
                <w:rFonts w:ascii="Arial" w:hAnsi="Arial" w:cs="Arial"/>
                <w:color w:val="auto"/>
                <w:sz w:val="16"/>
                <w:szCs w:val="16"/>
              </w:rPr>
            </w:pPr>
            <w:r w:rsidRPr="00786EA4">
              <w:rPr>
                <w:rFonts w:ascii="Arial" w:hAnsi="Arial" w:cs="Arial"/>
                <w:color w:val="auto"/>
                <w:sz w:val="16"/>
                <w:szCs w:val="16"/>
              </w:rPr>
              <w:t xml:space="preserve">Accumulated depreciation/ amortisation and impairment - </w:t>
            </w:r>
            <w:proofErr w:type="spellStart"/>
            <w:r w:rsidRPr="00786EA4">
              <w:rPr>
                <w:rFonts w:ascii="Arial" w:hAnsi="Arial" w:cs="Arial"/>
                <w:color w:val="auto"/>
                <w:sz w:val="16"/>
                <w:szCs w:val="16"/>
              </w:rPr>
              <w:t>RoU</w:t>
            </w:r>
            <w:proofErr w:type="spellEnd"/>
          </w:p>
        </w:tc>
        <w:tc>
          <w:tcPr>
            <w:tcW w:w="1060" w:type="dxa"/>
            <w:tcBorders>
              <w:top w:val="nil"/>
              <w:left w:val="nil"/>
              <w:bottom w:val="single" w:sz="4" w:space="0" w:color="auto"/>
              <w:right w:val="nil"/>
            </w:tcBorders>
            <w:shd w:val="clear" w:color="auto" w:fill="auto"/>
            <w:noWrap/>
            <w:vAlign w:val="bottom"/>
            <w:hideMark/>
          </w:tcPr>
          <w:p w14:paraId="6009AD3B"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(1,197)</w:t>
            </w:r>
          </w:p>
        </w:tc>
        <w:tc>
          <w:tcPr>
            <w:tcW w:w="1060" w:type="dxa"/>
            <w:tcBorders>
              <w:top w:val="nil"/>
              <w:left w:val="nil"/>
              <w:bottom w:val="single" w:sz="4" w:space="0" w:color="auto"/>
              <w:right w:val="nil"/>
            </w:tcBorders>
            <w:shd w:val="clear" w:color="auto" w:fill="auto"/>
            <w:noWrap/>
            <w:vAlign w:val="bottom"/>
            <w:hideMark/>
          </w:tcPr>
          <w:p w14:paraId="6E479895"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single" w:sz="4" w:space="0" w:color="auto"/>
              <w:right w:val="nil"/>
            </w:tcBorders>
            <w:shd w:val="clear" w:color="auto" w:fill="auto"/>
            <w:noWrap/>
            <w:vAlign w:val="bottom"/>
            <w:hideMark/>
          </w:tcPr>
          <w:p w14:paraId="4BB57866" w14:textId="77777777" w:rsidR="00786EA4" w:rsidRPr="00786EA4" w:rsidRDefault="00786EA4" w:rsidP="00786EA4">
            <w:pPr>
              <w:spacing w:after="0"/>
              <w:jc w:val="right"/>
              <w:rPr>
                <w:rFonts w:ascii="Arial" w:hAnsi="Arial" w:cs="Arial"/>
                <w:sz w:val="16"/>
                <w:szCs w:val="16"/>
              </w:rPr>
            </w:pPr>
            <w:r w:rsidRPr="00786EA4">
              <w:rPr>
                <w:rFonts w:ascii="Arial" w:hAnsi="Arial" w:cs="Arial"/>
                <w:sz w:val="16"/>
                <w:szCs w:val="16"/>
              </w:rPr>
              <w:t>-</w:t>
            </w:r>
          </w:p>
        </w:tc>
        <w:tc>
          <w:tcPr>
            <w:tcW w:w="1060" w:type="dxa"/>
            <w:tcBorders>
              <w:top w:val="nil"/>
              <w:left w:val="nil"/>
              <w:bottom w:val="nil"/>
              <w:right w:val="nil"/>
            </w:tcBorders>
            <w:shd w:val="clear" w:color="auto" w:fill="auto"/>
            <w:noWrap/>
            <w:vAlign w:val="bottom"/>
            <w:hideMark/>
          </w:tcPr>
          <w:p w14:paraId="0BD8CD08"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(1,197)</w:t>
            </w:r>
          </w:p>
        </w:tc>
      </w:tr>
      <w:tr w:rsidR="00786EA4" w:rsidRPr="00786EA4" w14:paraId="48B5A495" w14:textId="77777777" w:rsidTr="00786EA4">
        <w:trPr>
          <w:trHeight w:val="225"/>
        </w:trPr>
        <w:tc>
          <w:tcPr>
            <w:tcW w:w="3160" w:type="dxa"/>
            <w:tcBorders>
              <w:top w:val="nil"/>
              <w:left w:val="nil"/>
              <w:bottom w:val="single" w:sz="4" w:space="0" w:color="auto"/>
              <w:right w:val="nil"/>
            </w:tcBorders>
            <w:shd w:val="clear" w:color="auto" w:fill="auto"/>
            <w:noWrap/>
            <w:vAlign w:val="bottom"/>
            <w:hideMark/>
          </w:tcPr>
          <w:p w14:paraId="4D657537" w14:textId="77777777" w:rsidR="00786EA4" w:rsidRPr="00786EA4" w:rsidRDefault="00786EA4" w:rsidP="00786EA4">
            <w:pPr>
              <w:spacing w:after="0"/>
              <w:ind w:leftChars="75" w:left="143"/>
              <w:rPr>
                <w:rFonts w:ascii="Arial" w:hAnsi="Arial" w:cs="Arial"/>
                <w:b/>
                <w:bCs/>
                <w:sz w:val="16"/>
                <w:szCs w:val="16"/>
              </w:rPr>
            </w:pPr>
            <w:r w:rsidRPr="00786EA4">
              <w:rPr>
                <w:rFonts w:ascii="Arial" w:hAnsi="Arial" w:cs="Arial"/>
                <w:b/>
                <w:bCs/>
                <w:sz w:val="16"/>
                <w:szCs w:val="16"/>
              </w:rPr>
              <w:t>Closing net book balance</w:t>
            </w:r>
          </w:p>
        </w:tc>
        <w:tc>
          <w:tcPr>
            <w:tcW w:w="1060" w:type="dxa"/>
            <w:tcBorders>
              <w:top w:val="nil"/>
              <w:left w:val="nil"/>
              <w:bottom w:val="single" w:sz="4" w:space="0" w:color="auto"/>
              <w:right w:val="nil"/>
            </w:tcBorders>
            <w:shd w:val="clear" w:color="auto" w:fill="auto"/>
            <w:noWrap/>
            <w:vAlign w:val="bottom"/>
            <w:hideMark/>
          </w:tcPr>
          <w:p w14:paraId="484E9B24"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150</w:t>
            </w:r>
          </w:p>
        </w:tc>
        <w:tc>
          <w:tcPr>
            <w:tcW w:w="1060" w:type="dxa"/>
            <w:tcBorders>
              <w:top w:val="nil"/>
              <w:left w:val="nil"/>
              <w:bottom w:val="single" w:sz="4" w:space="0" w:color="auto"/>
              <w:right w:val="nil"/>
            </w:tcBorders>
            <w:shd w:val="clear" w:color="auto" w:fill="auto"/>
            <w:noWrap/>
            <w:vAlign w:val="bottom"/>
            <w:hideMark/>
          </w:tcPr>
          <w:p w14:paraId="0AA29DF5"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192</w:t>
            </w:r>
          </w:p>
        </w:tc>
        <w:tc>
          <w:tcPr>
            <w:tcW w:w="1060" w:type="dxa"/>
            <w:tcBorders>
              <w:top w:val="nil"/>
              <w:left w:val="nil"/>
              <w:bottom w:val="single" w:sz="4" w:space="0" w:color="auto"/>
              <w:right w:val="nil"/>
            </w:tcBorders>
            <w:shd w:val="clear" w:color="auto" w:fill="auto"/>
            <w:noWrap/>
            <w:vAlign w:val="bottom"/>
            <w:hideMark/>
          </w:tcPr>
          <w:p w14:paraId="1B92665F"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155</w:t>
            </w:r>
          </w:p>
        </w:tc>
        <w:tc>
          <w:tcPr>
            <w:tcW w:w="1060" w:type="dxa"/>
            <w:tcBorders>
              <w:top w:val="single" w:sz="4" w:space="0" w:color="auto"/>
              <w:left w:val="nil"/>
              <w:bottom w:val="single" w:sz="4" w:space="0" w:color="auto"/>
              <w:right w:val="nil"/>
            </w:tcBorders>
            <w:shd w:val="clear" w:color="auto" w:fill="auto"/>
            <w:noWrap/>
            <w:vAlign w:val="bottom"/>
            <w:hideMark/>
          </w:tcPr>
          <w:p w14:paraId="5A6DFDFC" w14:textId="77777777" w:rsidR="00786EA4" w:rsidRPr="00786EA4" w:rsidRDefault="00786EA4" w:rsidP="00786EA4">
            <w:pPr>
              <w:spacing w:after="0"/>
              <w:jc w:val="right"/>
              <w:rPr>
                <w:rFonts w:ascii="Arial" w:hAnsi="Arial" w:cs="Arial"/>
                <w:b/>
                <w:bCs/>
                <w:sz w:val="16"/>
                <w:szCs w:val="16"/>
              </w:rPr>
            </w:pPr>
            <w:r w:rsidRPr="00786EA4">
              <w:rPr>
                <w:rFonts w:ascii="Arial" w:hAnsi="Arial" w:cs="Arial"/>
                <w:b/>
                <w:bCs/>
                <w:sz w:val="16"/>
                <w:szCs w:val="16"/>
              </w:rPr>
              <w:t>497</w:t>
            </w:r>
          </w:p>
        </w:tc>
      </w:tr>
    </w:tbl>
    <w:p w14:paraId="262F4531" w14:textId="77777777" w:rsidR="00560871" w:rsidRPr="00560871" w:rsidRDefault="00560871" w:rsidP="00560871">
      <w:pPr>
        <w:pStyle w:val="FootnoteText"/>
        <w:spacing w:before="120"/>
      </w:pPr>
      <w:proofErr w:type="spellStart"/>
      <w:r w:rsidRPr="00560871">
        <w:t>RoU</w:t>
      </w:r>
      <w:proofErr w:type="spellEnd"/>
      <w:r w:rsidRPr="00560871">
        <w:t xml:space="preserve"> = Right-of-Use asset</w:t>
      </w:r>
    </w:p>
    <w:p w14:paraId="62F27BE3" w14:textId="5E13C393" w:rsidR="00560871" w:rsidRDefault="00560871" w:rsidP="00560871">
      <w:pPr>
        <w:pStyle w:val="FootnoteText"/>
      </w:pPr>
      <w:r w:rsidRPr="00560871">
        <w:rPr>
          <w:vertAlign w:val="superscript"/>
        </w:rPr>
        <w:t>(a)</w:t>
      </w:r>
      <w:r>
        <w:rPr>
          <w:vertAlign w:val="superscript"/>
        </w:rPr>
        <w:tab/>
      </w:r>
      <w:r w:rsidRPr="00560871">
        <w:t>Net proceeds may be returned to the Official Public Account.</w:t>
      </w:r>
    </w:p>
    <w:p w14:paraId="6618428C" w14:textId="77777777" w:rsidR="00786EA4" w:rsidRDefault="00786EA4">
      <w:pPr>
        <w:spacing w:after="160" w:line="259" w:lineRule="auto"/>
        <w:rPr>
          <w:rFonts w:ascii="Arial" w:hAnsi="Arial"/>
          <w:b/>
          <w:color w:val="auto"/>
          <w:sz w:val="20"/>
        </w:rPr>
      </w:pPr>
      <w:r>
        <w:rPr>
          <w:rFonts w:ascii="Arial" w:hAnsi="Arial"/>
          <w:b/>
          <w:color w:val="auto"/>
          <w:sz w:val="20"/>
        </w:rPr>
        <w:br w:type="page"/>
      </w:r>
    </w:p>
    <w:p w14:paraId="4D409207" w14:textId="233B9CF1" w:rsidR="0049081F" w:rsidRDefault="005A6FA5" w:rsidP="005F58B8">
      <w:pPr>
        <w:keepNext/>
        <w:spacing w:before="120"/>
        <w:rPr>
          <w:rFonts w:ascii="Arial" w:hAnsi="Arial"/>
          <w:b/>
          <w:color w:val="auto"/>
          <w:sz w:val="20"/>
        </w:rPr>
      </w:pPr>
      <w:r w:rsidRPr="005A6FA5">
        <w:rPr>
          <w:rFonts w:ascii="Arial" w:hAnsi="Arial"/>
          <w:b/>
          <w:color w:val="auto"/>
          <w:sz w:val="20"/>
        </w:rPr>
        <w:lastRenderedPageBreak/>
        <w:t>Table 3.7: Schedule of budgeted income and expenses administered on behalf of Government (for the period ended 30 June)</w:t>
      </w:r>
    </w:p>
    <w:tbl>
      <w:tblPr>
        <w:tblW w:w="7360" w:type="dxa"/>
        <w:tblLook w:val="04A0" w:firstRow="1" w:lastRow="0" w:firstColumn="1" w:lastColumn="0" w:noHBand="0" w:noVBand="1"/>
      </w:tblPr>
      <w:tblGrid>
        <w:gridCol w:w="2860"/>
        <w:gridCol w:w="900"/>
        <w:gridCol w:w="900"/>
        <w:gridCol w:w="900"/>
        <w:gridCol w:w="900"/>
        <w:gridCol w:w="900"/>
      </w:tblGrid>
      <w:tr w:rsidR="005F58B8" w:rsidRPr="005F58B8" w14:paraId="5AC24B03" w14:textId="77777777" w:rsidTr="005F58B8">
        <w:trPr>
          <w:trHeight w:val="765"/>
        </w:trPr>
        <w:tc>
          <w:tcPr>
            <w:tcW w:w="2860" w:type="dxa"/>
            <w:tcBorders>
              <w:top w:val="single" w:sz="4" w:space="0" w:color="auto"/>
              <w:left w:val="nil"/>
              <w:bottom w:val="nil"/>
              <w:right w:val="nil"/>
            </w:tcBorders>
            <w:shd w:val="clear" w:color="auto" w:fill="auto"/>
            <w:tcMar>
              <w:left w:w="0" w:type="dxa"/>
            </w:tcMar>
            <w:hideMark/>
          </w:tcPr>
          <w:p w14:paraId="30857876" w14:textId="77777777" w:rsidR="005F58B8" w:rsidRPr="005F58B8" w:rsidRDefault="005F58B8" w:rsidP="005F58B8">
            <w:pPr>
              <w:spacing w:before="40" w:after="0"/>
              <w:jc w:val="right"/>
              <w:rPr>
                <w:rFonts w:ascii="Arial" w:hAnsi="Arial" w:cs="Arial"/>
                <w:b/>
                <w:bCs/>
                <w:color w:val="auto"/>
                <w:sz w:val="16"/>
                <w:szCs w:val="16"/>
              </w:rPr>
            </w:pPr>
            <w:r w:rsidRPr="005F58B8">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0B6B268E" w14:textId="77777777" w:rsidR="005F58B8" w:rsidRPr="005F58B8" w:rsidRDefault="005F58B8" w:rsidP="005F58B8">
            <w:pPr>
              <w:spacing w:before="40" w:after="0"/>
              <w:jc w:val="right"/>
              <w:rPr>
                <w:rFonts w:ascii="Arial" w:hAnsi="Arial" w:cs="Arial"/>
                <w:b/>
                <w:bCs/>
                <w:color w:val="auto"/>
                <w:sz w:val="16"/>
                <w:szCs w:val="16"/>
              </w:rPr>
            </w:pPr>
            <w:r w:rsidRPr="005F58B8">
              <w:rPr>
                <w:rFonts w:ascii="Arial" w:hAnsi="Arial" w:cs="Arial"/>
                <w:b/>
                <w:bCs/>
                <w:color w:val="auto"/>
                <w:sz w:val="16"/>
                <w:szCs w:val="16"/>
              </w:rPr>
              <w:t>2021–22 Estimated actual</w:t>
            </w:r>
            <w:r w:rsidRPr="005F58B8">
              <w:rPr>
                <w:rFonts w:ascii="Arial" w:hAnsi="Arial" w:cs="Arial"/>
                <w:b/>
                <w:bCs/>
                <w:color w:val="auto"/>
                <w:sz w:val="16"/>
                <w:szCs w:val="16"/>
              </w:rPr>
              <w:br/>
            </w:r>
            <w:r w:rsidRPr="005F58B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28B2C757" w14:textId="77777777" w:rsidR="005F58B8" w:rsidRPr="005F58B8" w:rsidRDefault="005F58B8" w:rsidP="005F58B8">
            <w:pPr>
              <w:spacing w:before="40" w:after="0"/>
              <w:jc w:val="right"/>
              <w:rPr>
                <w:rFonts w:ascii="Arial" w:hAnsi="Arial" w:cs="Arial"/>
                <w:b/>
                <w:bCs/>
                <w:color w:val="auto"/>
                <w:sz w:val="16"/>
                <w:szCs w:val="16"/>
              </w:rPr>
            </w:pPr>
            <w:r w:rsidRPr="005F58B8">
              <w:rPr>
                <w:rFonts w:ascii="Arial" w:hAnsi="Arial" w:cs="Arial"/>
                <w:b/>
                <w:bCs/>
                <w:color w:val="auto"/>
                <w:sz w:val="16"/>
                <w:szCs w:val="16"/>
              </w:rPr>
              <w:t xml:space="preserve">2022–23 Budget </w:t>
            </w:r>
            <w:r w:rsidRPr="005F58B8">
              <w:rPr>
                <w:rFonts w:ascii="Arial" w:hAnsi="Arial" w:cs="Arial"/>
                <w:b/>
                <w:bCs/>
                <w:color w:val="auto"/>
                <w:sz w:val="16"/>
                <w:szCs w:val="16"/>
              </w:rPr>
              <w:br/>
            </w:r>
            <w:r w:rsidRPr="005F58B8">
              <w:rPr>
                <w:rFonts w:ascii="Arial" w:hAnsi="Arial" w:cs="Arial"/>
                <w:b/>
                <w:bCs/>
                <w:color w:val="auto"/>
                <w:sz w:val="16"/>
                <w:szCs w:val="16"/>
              </w:rPr>
              <w:br/>
            </w:r>
            <w:r w:rsidRPr="005F58B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6D961F75" w14:textId="77777777" w:rsidR="005F58B8" w:rsidRPr="005F58B8" w:rsidRDefault="005F58B8" w:rsidP="005F58B8">
            <w:pPr>
              <w:spacing w:before="40" w:after="0"/>
              <w:jc w:val="right"/>
              <w:rPr>
                <w:rFonts w:ascii="Arial" w:hAnsi="Arial" w:cs="Arial"/>
                <w:b/>
                <w:bCs/>
                <w:color w:val="auto"/>
                <w:sz w:val="16"/>
                <w:szCs w:val="16"/>
              </w:rPr>
            </w:pPr>
            <w:r w:rsidRPr="005F58B8">
              <w:rPr>
                <w:rFonts w:ascii="Arial" w:hAnsi="Arial" w:cs="Arial"/>
                <w:b/>
                <w:bCs/>
                <w:color w:val="auto"/>
                <w:sz w:val="16"/>
                <w:szCs w:val="16"/>
              </w:rPr>
              <w:t>2023–24 Forward estimate</w:t>
            </w:r>
            <w:r w:rsidRPr="005F58B8">
              <w:rPr>
                <w:rFonts w:ascii="Arial" w:hAnsi="Arial" w:cs="Arial"/>
                <w:b/>
                <w:bCs/>
                <w:color w:val="auto"/>
                <w:sz w:val="16"/>
                <w:szCs w:val="16"/>
              </w:rPr>
              <w:br/>
            </w:r>
            <w:r w:rsidRPr="005F58B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3341B6F4" w14:textId="77777777" w:rsidR="005F58B8" w:rsidRPr="005F58B8" w:rsidRDefault="005F58B8" w:rsidP="005F58B8">
            <w:pPr>
              <w:spacing w:before="40" w:after="0"/>
              <w:jc w:val="right"/>
              <w:rPr>
                <w:rFonts w:ascii="Arial" w:hAnsi="Arial" w:cs="Arial"/>
                <w:b/>
                <w:bCs/>
                <w:color w:val="auto"/>
                <w:sz w:val="16"/>
                <w:szCs w:val="16"/>
              </w:rPr>
            </w:pPr>
            <w:r w:rsidRPr="005F58B8">
              <w:rPr>
                <w:rFonts w:ascii="Arial" w:hAnsi="Arial" w:cs="Arial"/>
                <w:b/>
                <w:bCs/>
                <w:color w:val="auto"/>
                <w:sz w:val="16"/>
                <w:szCs w:val="16"/>
              </w:rPr>
              <w:t>2024–25 Forward estimate</w:t>
            </w:r>
            <w:r w:rsidRPr="005F58B8">
              <w:rPr>
                <w:rFonts w:ascii="Arial" w:hAnsi="Arial" w:cs="Arial"/>
                <w:b/>
                <w:bCs/>
                <w:color w:val="auto"/>
                <w:sz w:val="16"/>
                <w:szCs w:val="16"/>
              </w:rPr>
              <w:br/>
            </w:r>
            <w:r w:rsidRPr="005F58B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7B147465" w14:textId="77777777" w:rsidR="005F58B8" w:rsidRPr="005F58B8" w:rsidRDefault="005F58B8" w:rsidP="005F58B8">
            <w:pPr>
              <w:spacing w:before="40" w:after="0"/>
              <w:jc w:val="right"/>
              <w:rPr>
                <w:rFonts w:ascii="Arial" w:hAnsi="Arial" w:cs="Arial"/>
                <w:b/>
                <w:bCs/>
                <w:color w:val="auto"/>
                <w:sz w:val="16"/>
                <w:szCs w:val="16"/>
              </w:rPr>
            </w:pPr>
            <w:r w:rsidRPr="005F58B8">
              <w:rPr>
                <w:rFonts w:ascii="Arial" w:hAnsi="Arial" w:cs="Arial"/>
                <w:b/>
                <w:bCs/>
                <w:color w:val="auto"/>
                <w:sz w:val="16"/>
                <w:szCs w:val="16"/>
              </w:rPr>
              <w:t>2025–26 Forward estimate</w:t>
            </w:r>
            <w:r w:rsidRPr="005F58B8">
              <w:rPr>
                <w:rFonts w:ascii="Arial" w:hAnsi="Arial" w:cs="Arial"/>
                <w:b/>
                <w:bCs/>
                <w:color w:val="auto"/>
                <w:sz w:val="16"/>
                <w:szCs w:val="16"/>
              </w:rPr>
              <w:br/>
            </w:r>
            <w:r w:rsidRPr="005F58B8">
              <w:rPr>
                <w:rFonts w:ascii="Arial" w:hAnsi="Arial" w:cs="Arial"/>
                <w:color w:val="auto"/>
                <w:sz w:val="16"/>
                <w:szCs w:val="16"/>
              </w:rPr>
              <w:t>$'000</w:t>
            </w:r>
          </w:p>
        </w:tc>
      </w:tr>
      <w:tr w:rsidR="005F58B8" w:rsidRPr="005F58B8" w14:paraId="75C8506B" w14:textId="77777777" w:rsidTr="005F58B8">
        <w:trPr>
          <w:trHeight w:val="525"/>
        </w:trPr>
        <w:tc>
          <w:tcPr>
            <w:tcW w:w="2860" w:type="dxa"/>
            <w:tcBorders>
              <w:top w:val="nil"/>
              <w:left w:val="nil"/>
              <w:bottom w:val="nil"/>
              <w:right w:val="nil"/>
            </w:tcBorders>
            <w:shd w:val="clear" w:color="auto" w:fill="auto"/>
            <w:vAlign w:val="bottom"/>
            <w:hideMark/>
          </w:tcPr>
          <w:p w14:paraId="6AC4A9E6" w14:textId="77777777" w:rsidR="005F58B8" w:rsidRPr="005F58B8" w:rsidRDefault="005F58B8" w:rsidP="005F58B8">
            <w:pPr>
              <w:spacing w:after="0"/>
              <w:rPr>
                <w:rFonts w:ascii="Arial" w:hAnsi="Arial" w:cs="Arial"/>
                <w:b/>
                <w:bCs/>
                <w:color w:val="auto"/>
                <w:sz w:val="16"/>
                <w:szCs w:val="16"/>
              </w:rPr>
            </w:pPr>
            <w:r w:rsidRPr="005F58B8">
              <w:rPr>
                <w:rFonts w:ascii="Arial" w:hAnsi="Arial" w:cs="Arial"/>
                <w:b/>
                <w:bCs/>
                <w:color w:val="auto"/>
                <w:sz w:val="16"/>
                <w:szCs w:val="16"/>
              </w:rPr>
              <w:t>EXPENSES ADMINISTERED ON BEHALF OF GOVERNMENT</w:t>
            </w:r>
          </w:p>
        </w:tc>
        <w:tc>
          <w:tcPr>
            <w:tcW w:w="900" w:type="dxa"/>
            <w:tcBorders>
              <w:top w:val="nil"/>
              <w:left w:val="nil"/>
              <w:bottom w:val="nil"/>
              <w:right w:val="nil"/>
            </w:tcBorders>
            <w:shd w:val="clear" w:color="auto" w:fill="auto"/>
            <w:noWrap/>
            <w:vAlign w:val="bottom"/>
            <w:hideMark/>
          </w:tcPr>
          <w:p w14:paraId="15B6C768" w14:textId="77777777" w:rsidR="005F58B8" w:rsidRPr="005F58B8" w:rsidRDefault="005F58B8" w:rsidP="005F58B8">
            <w:pPr>
              <w:spacing w:after="0"/>
              <w:rPr>
                <w:rFonts w:ascii="Arial" w:hAnsi="Arial" w:cs="Arial"/>
                <w:b/>
                <w:bCs/>
                <w:color w:val="auto"/>
                <w:sz w:val="16"/>
                <w:szCs w:val="16"/>
              </w:rPr>
            </w:pPr>
          </w:p>
        </w:tc>
        <w:tc>
          <w:tcPr>
            <w:tcW w:w="900" w:type="dxa"/>
            <w:tcBorders>
              <w:top w:val="nil"/>
              <w:left w:val="nil"/>
              <w:bottom w:val="nil"/>
              <w:right w:val="nil"/>
            </w:tcBorders>
            <w:shd w:val="clear" w:color="000000" w:fill="D9D9D9"/>
            <w:noWrap/>
            <w:vAlign w:val="bottom"/>
            <w:hideMark/>
          </w:tcPr>
          <w:p w14:paraId="200C9502"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DBD385C" w14:textId="77777777" w:rsidR="005F58B8" w:rsidRPr="005F58B8" w:rsidRDefault="005F58B8" w:rsidP="005F58B8">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7F27D199" w14:textId="77777777" w:rsidR="005F58B8" w:rsidRPr="005F58B8" w:rsidRDefault="005F58B8" w:rsidP="005F58B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5A0D2EB" w14:textId="77777777" w:rsidR="005F58B8" w:rsidRPr="005F58B8" w:rsidRDefault="005F58B8" w:rsidP="005F58B8">
            <w:pPr>
              <w:spacing w:after="0"/>
              <w:jc w:val="right"/>
              <w:rPr>
                <w:rFonts w:ascii="Times New Roman" w:hAnsi="Times New Roman"/>
                <w:color w:val="auto"/>
                <w:sz w:val="20"/>
              </w:rPr>
            </w:pPr>
          </w:p>
        </w:tc>
      </w:tr>
      <w:tr w:rsidR="005F58B8" w:rsidRPr="005F58B8" w14:paraId="708093B8" w14:textId="77777777" w:rsidTr="005F58B8">
        <w:trPr>
          <w:trHeight w:val="300"/>
        </w:trPr>
        <w:tc>
          <w:tcPr>
            <w:tcW w:w="2860" w:type="dxa"/>
            <w:tcBorders>
              <w:top w:val="nil"/>
              <w:left w:val="nil"/>
              <w:bottom w:val="nil"/>
              <w:right w:val="nil"/>
            </w:tcBorders>
            <w:shd w:val="clear" w:color="auto" w:fill="auto"/>
            <w:noWrap/>
            <w:vAlign w:val="bottom"/>
            <w:hideMark/>
          </w:tcPr>
          <w:p w14:paraId="20C20AEA" w14:textId="77777777" w:rsidR="005F58B8" w:rsidRPr="005F58B8" w:rsidRDefault="005F58B8" w:rsidP="005F58B8">
            <w:pPr>
              <w:spacing w:after="0"/>
              <w:ind w:firstLineChars="100" w:firstLine="160"/>
              <w:rPr>
                <w:rFonts w:ascii="Arial" w:hAnsi="Arial" w:cs="Arial"/>
                <w:color w:val="auto"/>
                <w:sz w:val="16"/>
                <w:szCs w:val="16"/>
              </w:rPr>
            </w:pPr>
            <w:r w:rsidRPr="005F58B8">
              <w:rPr>
                <w:rFonts w:ascii="Arial" w:hAnsi="Arial" w:cs="Arial"/>
                <w:color w:val="auto"/>
                <w:sz w:val="16"/>
                <w:szCs w:val="16"/>
              </w:rPr>
              <w:t>Grants</w:t>
            </w:r>
          </w:p>
        </w:tc>
        <w:tc>
          <w:tcPr>
            <w:tcW w:w="900" w:type="dxa"/>
            <w:tcBorders>
              <w:top w:val="nil"/>
              <w:left w:val="nil"/>
              <w:bottom w:val="nil"/>
              <w:right w:val="nil"/>
            </w:tcBorders>
            <w:shd w:val="clear" w:color="auto" w:fill="auto"/>
            <w:noWrap/>
            <w:vAlign w:val="bottom"/>
            <w:hideMark/>
          </w:tcPr>
          <w:p w14:paraId="4F29782B"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46,471</w:t>
            </w:r>
          </w:p>
        </w:tc>
        <w:tc>
          <w:tcPr>
            <w:tcW w:w="900" w:type="dxa"/>
            <w:tcBorders>
              <w:top w:val="nil"/>
              <w:left w:val="nil"/>
              <w:bottom w:val="nil"/>
              <w:right w:val="nil"/>
            </w:tcBorders>
            <w:shd w:val="clear" w:color="000000" w:fill="D9D9D9"/>
            <w:noWrap/>
            <w:vAlign w:val="bottom"/>
            <w:hideMark/>
          </w:tcPr>
          <w:p w14:paraId="04F3D634"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43,882</w:t>
            </w:r>
          </w:p>
        </w:tc>
        <w:tc>
          <w:tcPr>
            <w:tcW w:w="900" w:type="dxa"/>
            <w:tcBorders>
              <w:top w:val="nil"/>
              <w:left w:val="nil"/>
              <w:bottom w:val="nil"/>
              <w:right w:val="nil"/>
            </w:tcBorders>
            <w:shd w:val="clear" w:color="auto" w:fill="auto"/>
            <w:noWrap/>
            <w:vAlign w:val="bottom"/>
            <w:hideMark/>
          </w:tcPr>
          <w:p w14:paraId="196D2E6F"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46,369</w:t>
            </w:r>
          </w:p>
        </w:tc>
        <w:tc>
          <w:tcPr>
            <w:tcW w:w="900" w:type="dxa"/>
            <w:tcBorders>
              <w:top w:val="nil"/>
              <w:left w:val="nil"/>
              <w:bottom w:val="nil"/>
              <w:right w:val="nil"/>
            </w:tcBorders>
            <w:shd w:val="clear" w:color="auto" w:fill="auto"/>
            <w:noWrap/>
            <w:vAlign w:val="bottom"/>
            <w:hideMark/>
          </w:tcPr>
          <w:p w14:paraId="0C9B0BE1"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47,811</w:t>
            </w:r>
          </w:p>
        </w:tc>
        <w:tc>
          <w:tcPr>
            <w:tcW w:w="900" w:type="dxa"/>
            <w:tcBorders>
              <w:top w:val="nil"/>
              <w:left w:val="nil"/>
              <w:bottom w:val="nil"/>
              <w:right w:val="nil"/>
            </w:tcBorders>
            <w:shd w:val="clear" w:color="auto" w:fill="auto"/>
            <w:noWrap/>
            <w:vAlign w:val="bottom"/>
            <w:hideMark/>
          </w:tcPr>
          <w:p w14:paraId="33236904"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48,687</w:t>
            </w:r>
          </w:p>
        </w:tc>
      </w:tr>
      <w:tr w:rsidR="005F58B8" w:rsidRPr="005F58B8" w14:paraId="51A5DF28" w14:textId="77777777" w:rsidTr="005F58B8">
        <w:trPr>
          <w:trHeight w:val="300"/>
        </w:trPr>
        <w:tc>
          <w:tcPr>
            <w:tcW w:w="2860" w:type="dxa"/>
            <w:tcBorders>
              <w:top w:val="nil"/>
              <w:left w:val="nil"/>
              <w:bottom w:val="nil"/>
              <w:right w:val="nil"/>
            </w:tcBorders>
            <w:shd w:val="clear" w:color="auto" w:fill="auto"/>
            <w:noWrap/>
            <w:vAlign w:val="bottom"/>
            <w:hideMark/>
          </w:tcPr>
          <w:p w14:paraId="0FAFEECF" w14:textId="77777777" w:rsidR="005F58B8" w:rsidRPr="005F58B8" w:rsidRDefault="005F58B8" w:rsidP="005F58B8">
            <w:pPr>
              <w:spacing w:after="0"/>
              <w:ind w:firstLineChars="100" w:firstLine="160"/>
              <w:rPr>
                <w:rFonts w:ascii="Arial" w:hAnsi="Arial" w:cs="Arial"/>
                <w:color w:val="auto"/>
                <w:sz w:val="16"/>
                <w:szCs w:val="16"/>
              </w:rPr>
            </w:pPr>
            <w:r w:rsidRPr="005F58B8">
              <w:rPr>
                <w:rFonts w:ascii="Arial" w:hAnsi="Arial" w:cs="Arial"/>
                <w:color w:val="auto"/>
                <w:sz w:val="16"/>
                <w:szCs w:val="16"/>
              </w:rPr>
              <w:t>Supplier expenses</w:t>
            </w:r>
          </w:p>
        </w:tc>
        <w:tc>
          <w:tcPr>
            <w:tcW w:w="900" w:type="dxa"/>
            <w:tcBorders>
              <w:top w:val="nil"/>
              <w:left w:val="nil"/>
              <w:bottom w:val="nil"/>
              <w:right w:val="nil"/>
            </w:tcBorders>
            <w:shd w:val="clear" w:color="auto" w:fill="auto"/>
            <w:noWrap/>
            <w:vAlign w:val="bottom"/>
            <w:hideMark/>
          </w:tcPr>
          <w:p w14:paraId="6B694381"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1,769</w:t>
            </w:r>
          </w:p>
        </w:tc>
        <w:tc>
          <w:tcPr>
            <w:tcW w:w="900" w:type="dxa"/>
            <w:tcBorders>
              <w:top w:val="nil"/>
              <w:left w:val="nil"/>
              <w:bottom w:val="nil"/>
              <w:right w:val="nil"/>
            </w:tcBorders>
            <w:shd w:val="clear" w:color="000000" w:fill="D9D9D9"/>
            <w:noWrap/>
            <w:vAlign w:val="bottom"/>
            <w:hideMark/>
          </w:tcPr>
          <w:p w14:paraId="404F9091"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5,249</w:t>
            </w:r>
          </w:p>
        </w:tc>
        <w:tc>
          <w:tcPr>
            <w:tcW w:w="900" w:type="dxa"/>
            <w:tcBorders>
              <w:top w:val="nil"/>
              <w:left w:val="nil"/>
              <w:bottom w:val="nil"/>
              <w:right w:val="nil"/>
            </w:tcBorders>
            <w:shd w:val="clear" w:color="auto" w:fill="auto"/>
            <w:noWrap/>
            <w:vAlign w:val="bottom"/>
            <w:hideMark/>
          </w:tcPr>
          <w:p w14:paraId="4769E94F"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5,488</w:t>
            </w:r>
          </w:p>
        </w:tc>
        <w:tc>
          <w:tcPr>
            <w:tcW w:w="900" w:type="dxa"/>
            <w:tcBorders>
              <w:top w:val="nil"/>
              <w:left w:val="nil"/>
              <w:bottom w:val="nil"/>
              <w:right w:val="nil"/>
            </w:tcBorders>
            <w:shd w:val="clear" w:color="auto" w:fill="auto"/>
            <w:noWrap/>
            <w:vAlign w:val="bottom"/>
            <w:hideMark/>
          </w:tcPr>
          <w:p w14:paraId="45286559"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5,265</w:t>
            </w:r>
          </w:p>
        </w:tc>
        <w:tc>
          <w:tcPr>
            <w:tcW w:w="900" w:type="dxa"/>
            <w:tcBorders>
              <w:top w:val="nil"/>
              <w:left w:val="nil"/>
              <w:bottom w:val="nil"/>
              <w:right w:val="nil"/>
            </w:tcBorders>
            <w:shd w:val="clear" w:color="auto" w:fill="auto"/>
            <w:noWrap/>
            <w:vAlign w:val="bottom"/>
            <w:hideMark/>
          </w:tcPr>
          <w:p w14:paraId="39C4E585"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5,201</w:t>
            </w:r>
          </w:p>
        </w:tc>
      </w:tr>
      <w:tr w:rsidR="005F58B8" w:rsidRPr="005F58B8" w14:paraId="02319160" w14:textId="77777777" w:rsidTr="005F58B8">
        <w:trPr>
          <w:trHeight w:val="525"/>
        </w:trPr>
        <w:tc>
          <w:tcPr>
            <w:tcW w:w="2860" w:type="dxa"/>
            <w:tcBorders>
              <w:top w:val="nil"/>
              <w:left w:val="nil"/>
              <w:bottom w:val="single" w:sz="4" w:space="0" w:color="auto"/>
              <w:right w:val="nil"/>
            </w:tcBorders>
            <w:shd w:val="clear" w:color="auto" w:fill="auto"/>
            <w:vAlign w:val="bottom"/>
            <w:hideMark/>
          </w:tcPr>
          <w:p w14:paraId="636ED214" w14:textId="77777777" w:rsidR="005F58B8" w:rsidRPr="005F58B8" w:rsidRDefault="005F58B8" w:rsidP="005F58B8">
            <w:pPr>
              <w:spacing w:after="0"/>
              <w:ind w:leftChars="75" w:left="143"/>
              <w:rPr>
                <w:rFonts w:ascii="Arial" w:hAnsi="Arial" w:cs="Arial"/>
                <w:b/>
                <w:bCs/>
                <w:color w:val="auto"/>
                <w:sz w:val="16"/>
                <w:szCs w:val="16"/>
              </w:rPr>
            </w:pPr>
            <w:r w:rsidRPr="005F58B8">
              <w:rPr>
                <w:rFonts w:ascii="Arial" w:hAnsi="Arial" w:cs="Arial"/>
                <w:b/>
                <w:bCs/>
                <w:color w:val="auto"/>
                <w:sz w:val="16"/>
                <w:szCs w:val="16"/>
              </w:rPr>
              <w:t>Total expenses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2D7E2D39"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48,240</w:t>
            </w:r>
          </w:p>
        </w:tc>
        <w:tc>
          <w:tcPr>
            <w:tcW w:w="900" w:type="dxa"/>
            <w:tcBorders>
              <w:top w:val="nil"/>
              <w:left w:val="nil"/>
              <w:bottom w:val="single" w:sz="4" w:space="0" w:color="auto"/>
              <w:right w:val="nil"/>
            </w:tcBorders>
            <w:shd w:val="clear" w:color="000000" w:fill="D9D9D9"/>
            <w:noWrap/>
            <w:vAlign w:val="bottom"/>
            <w:hideMark/>
          </w:tcPr>
          <w:p w14:paraId="5C99A305"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49,131</w:t>
            </w:r>
          </w:p>
        </w:tc>
        <w:tc>
          <w:tcPr>
            <w:tcW w:w="900" w:type="dxa"/>
            <w:tcBorders>
              <w:top w:val="nil"/>
              <w:left w:val="nil"/>
              <w:bottom w:val="single" w:sz="4" w:space="0" w:color="auto"/>
              <w:right w:val="nil"/>
            </w:tcBorders>
            <w:shd w:val="clear" w:color="auto" w:fill="auto"/>
            <w:noWrap/>
            <w:vAlign w:val="bottom"/>
            <w:hideMark/>
          </w:tcPr>
          <w:p w14:paraId="0D0FE351"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51,857</w:t>
            </w:r>
          </w:p>
        </w:tc>
        <w:tc>
          <w:tcPr>
            <w:tcW w:w="900" w:type="dxa"/>
            <w:tcBorders>
              <w:top w:val="nil"/>
              <w:left w:val="nil"/>
              <w:bottom w:val="single" w:sz="4" w:space="0" w:color="auto"/>
              <w:right w:val="nil"/>
            </w:tcBorders>
            <w:shd w:val="clear" w:color="auto" w:fill="auto"/>
            <w:noWrap/>
            <w:vAlign w:val="bottom"/>
            <w:hideMark/>
          </w:tcPr>
          <w:p w14:paraId="35904E80"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53,076</w:t>
            </w:r>
          </w:p>
        </w:tc>
        <w:tc>
          <w:tcPr>
            <w:tcW w:w="900" w:type="dxa"/>
            <w:tcBorders>
              <w:top w:val="nil"/>
              <w:left w:val="nil"/>
              <w:bottom w:val="single" w:sz="4" w:space="0" w:color="auto"/>
              <w:right w:val="nil"/>
            </w:tcBorders>
            <w:shd w:val="clear" w:color="auto" w:fill="auto"/>
            <w:noWrap/>
            <w:vAlign w:val="bottom"/>
            <w:hideMark/>
          </w:tcPr>
          <w:p w14:paraId="7C20678D"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53,888</w:t>
            </w:r>
          </w:p>
        </w:tc>
      </w:tr>
    </w:tbl>
    <w:p w14:paraId="2D950430" w14:textId="77777777" w:rsidR="009B5ABA" w:rsidRPr="005A6FA5" w:rsidRDefault="005A6FA5" w:rsidP="005F58B8">
      <w:pPr>
        <w:keepNext/>
        <w:spacing w:before="120"/>
        <w:rPr>
          <w:rFonts w:ascii="Arial" w:hAnsi="Arial"/>
          <w:b/>
          <w:color w:val="auto"/>
          <w:sz w:val="20"/>
        </w:rPr>
      </w:pPr>
      <w:r w:rsidRPr="005A6FA5">
        <w:rPr>
          <w:rFonts w:ascii="Arial" w:hAnsi="Arial"/>
          <w:b/>
          <w:color w:val="auto"/>
          <w:sz w:val="20"/>
        </w:rPr>
        <w:t>Table 3.8: Schedule of budgeted assets and liabilities administered on behalf of Government (as at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5F58B8" w:rsidRPr="005F58B8" w14:paraId="529E8F1C" w14:textId="77777777" w:rsidTr="005F58B8">
        <w:trPr>
          <w:trHeight w:val="765"/>
        </w:trPr>
        <w:tc>
          <w:tcPr>
            <w:tcW w:w="2860" w:type="dxa"/>
            <w:tcBorders>
              <w:top w:val="single" w:sz="4" w:space="0" w:color="auto"/>
              <w:left w:val="nil"/>
              <w:bottom w:val="nil"/>
              <w:right w:val="nil"/>
            </w:tcBorders>
            <w:shd w:val="clear" w:color="auto" w:fill="auto"/>
            <w:tcMar>
              <w:left w:w="0" w:type="dxa"/>
            </w:tcMar>
            <w:hideMark/>
          </w:tcPr>
          <w:p w14:paraId="374FC2BA" w14:textId="77777777" w:rsidR="005F58B8" w:rsidRPr="005F58B8" w:rsidRDefault="005F58B8" w:rsidP="005F58B8">
            <w:pPr>
              <w:spacing w:after="0"/>
              <w:jc w:val="right"/>
              <w:rPr>
                <w:rFonts w:ascii="Arial" w:hAnsi="Arial" w:cs="Arial"/>
                <w:b/>
                <w:bCs/>
                <w:color w:val="auto"/>
                <w:sz w:val="16"/>
                <w:szCs w:val="16"/>
              </w:rPr>
            </w:pPr>
            <w:r w:rsidRPr="005F58B8">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09EE3117" w14:textId="77777777" w:rsidR="005F58B8" w:rsidRPr="005F58B8" w:rsidRDefault="005F58B8" w:rsidP="00953F5F">
            <w:pPr>
              <w:spacing w:before="40" w:after="0"/>
              <w:jc w:val="right"/>
              <w:rPr>
                <w:rFonts w:ascii="Arial" w:hAnsi="Arial" w:cs="Arial"/>
                <w:b/>
                <w:bCs/>
                <w:color w:val="auto"/>
                <w:sz w:val="16"/>
                <w:szCs w:val="16"/>
              </w:rPr>
            </w:pPr>
            <w:r w:rsidRPr="005F58B8">
              <w:rPr>
                <w:rFonts w:ascii="Arial" w:hAnsi="Arial" w:cs="Arial"/>
                <w:b/>
                <w:bCs/>
                <w:color w:val="auto"/>
                <w:sz w:val="16"/>
                <w:szCs w:val="16"/>
              </w:rPr>
              <w:t>2021–22 Estimated actual</w:t>
            </w:r>
            <w:r w:rsidRPr="005F58B8">
              <w:rPr>
                <w:rFonts w:ascii="Arial" w:hAnsi="Arial" w:cs="Arial"/>
                <w:b/>
                <w:bCs/>
                <w:color w:val="auto"/>
                <w:sz w:val="16"/>
                <w:szCs w:val="16"/>
              </w:rPr>
              <w:br/>
            </w:r>
            <w:r w:rsidRPr="005F58B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11DDF8D4" w14:textId="77777777" w:rsidR="005F58B8" w:rsidRPr="005F58B8" w:rsidRDefault="005F58B8" w:rsidP="00953F5F">
            <w:pPr>
              <w:spacing w:before="40" w:after="0"/>
              <w:jc w:val="right"/>
              <w:rPr>
                <w:rFonts w:ascii="Arial" w:hAnsi="Arial" w:cs="Arial"/>
                <w:b/>
                <w:bCs/>
                <w:color w:val="auto"/>
                <w:sz w:val="16"/>
                <w:szCs w:val="16"/>
              </w:rPr>
            </w:pPr>
            <w:r w:rsidRPr="005F58B8">
              <w:rPr>
                <w:rFonts w:ascii="Arial" w:hAnsi="Arial" w:cs="Arial"/>
                <w:b/>
                <w:bCs/>
                <w:color w:val="auto"/>
                <w:sz w:val="16"/>
                <w:szCs w:val="16"/>
              </w:rPr>
              <w:t xml:space="preserve">2022–23 Budget </w:t>
            </w:r>
            <w:r w:rsidRPr="005F58B8">
              <w:rPr>
                <w:rFonts w:ascii="Arial" w:hAnsi="Arial" w:cs="Arial"/>
                <w:b/>
                <w:bCs/>
                <w:color w:val="auto"/>
                <w:sz w:val="16"/>
                <w:szCs w:val="16"/>
              </w:rPr>
              <w:br/>
            </w:r>
            <w:r w:rsidRPr="005F58B8">
              <w:rPr>
                <w:rFonts w:ascii="Arial" w:hAnsi="Arial" w:cs="Arial"/>
                <w:b/>
                <w:bCs/>
                <w:color w:val="auto"/>
                <w:sz w:val="16"/>
                <w:szCs w:val="16"/>
              </w:rPr>
              <w:br/>
            </w:r>
            <w:r w:rsidRPr="005F58B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0B9F9CB5" w14:textId="77777777" w:rsidR="005F58B8" w:rsidRPr="005F58B8" w:rsidRDefault="005F58B8" w:rsidP="00953F5F">
            <w:pPr>
              <w:spacing w:before="40" w:after="0"/>
              <w:jc w:val="right"/>
              <w:rPr>
                <w:rFonts w:ascii="Arial" w:hAnsi="Arial" w:cs="Arial"/>
                <w:b/>
                <w:bCs/>
                <w:color w:val="auto"/>
                <w:sz w:val="16"/>
                <w:szCs w:val="16"/>
              </w:rPr>
            </w:pPr>
            <w:r w:rsidRPr="005F58B8">
              <w:rPr>
                <w:rFonts w:ascii="Arial" w:hAnsi="Arial" w:cs="Arial"/>
                <w:b/>
                <w:bCs/>
                <w:color w:val="auto"/>
                <w:sz w:val="16"/>
                <w:szCs w:val="16"/>
              </w:rPr>
              <w:t>2023–24 Forward estimate</w:t>
            </w:r>
            <w:r w:rsidRPr="005F58B8">
              <w:rPr>
                <w:rFonts w:ascii="Arial" w:hAnsi="Arial" w:cs="Arial"/>
                <w:b/>
                <w:bCs/>
                <w:color w:val="auto"/>
                <w:sz w:val="16"/>
                <w:szCs w:val="16"/>
              </w:rPr>
              <w:br/>
            </w:r>
            <w:r w:rsidRPr="005F58B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054B8E5E" w14:textId="77777777" w:rsidR="005F58B8" w:rsidRPr="005F58B8" w:rsidRDefault="005F58B8" w:rsidP="00953F5F">
            <w:pPr>
              <w:spacing w:before="40" w:after="0"/>
              <w:jc w:val="right"/>
              <w:rPr>
                <w:rFonts w:ascii="Arial" w:hAnsi="Arial" w:cs="Arial"/>
                <w:b/>
                <w:bCs/>
                <w:color w:val="auto"/>
                <w:sz w:val="16"/>
                <w:szCs w:val="16"/>
              </w:rPr>
            </w:pPr>
            <w:r w:rsidRPr="005F58B8">
              <w:rPr>
                <w:rFonts w:ascii="Arial" w:hAnsi="Arial" w:cs="Arial"/>
                <w:b/>
                <w:bCs/>
                <w:color w:val="auto"/>
                <w:sz w:val="16"/>
                <w:szCs w:val="16"/>
              </w:rPr>
              <w:t>2024–25 Forward estimate</w:t>
            </w:r>
            <w:r w:rsidRPr="005F58B8">
              <w:rPr>
                <w:rFonts w:ascii="Arial" w:hAnsi="Arial" w:cs="Arial"/>
                <w:b/>
                <w:bCs/>
                <w:color w:val="auto"/>
                <w:sz w:val="16"/>
                <w:szCs w:val="16"/>
              </w:rPr>
              <w:br/>
            </w:r>
            <w:r w:rsidRPr="005F58B8">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3EA171FB" w14:textId="77777777" w:rsidR="005F58B8" w:rsidRPr="005F58B8" w:rsidRDefault="005F58B8" w:rsidP="00953F5F">
            <w:pPr>
              <w:spacing w:before="40" w:after="0"/>
              <w:jc w:val="right"/>
              <w:rPr>
                <w:rFonts w:ascii="Arial" w:hAnsi="Arial" w:cs="Arial"/>
                <w:b/>
                <w:bCs/>
                <w:color w:val="auto"/>
                <w:sz w:val="16"/>
                <w:szCs w:val="16"/>
              </w:rPr>
            </w:pPr>
            <w:r w:rsidRPr="005F58B8">
              <w:rPr>
                <w:rFonts w:ascii="Arial" w:hAnsi="Arial" w:cs="Arial"/>
                <w:b/>
                <w:bCs/>
                <w:color w:val="auto"/>
                <w:sz w:val="16"/>
                <w:szCs w:val="16"/>
              </w:rPr>
              <w:t>2025–26 Forward estimate</w:t>
            </w:r>
            <w:r w:rsidRPr="005F58B8">
              <w:rPr>
                <w:rFonts w:ascii="Arial" w:hAnsi="Arial" w:cs="Arial"/>
                <w:b/>
                <w:bCs/>
                <w:color w:val="auto"/>
                <w:sz w:val="16"/>
                <w:szCs w:val="16"/>
              </w:rPr>
              <w:br/>
            </w:r>
            <w:r w:rsidRPr="005F58B8">
              <w:rPr>
                <w:rFonts w:ascii="Arial" w:hAnsi="Arial" w:cs="Arial"/>
                <w:color w:val="auto"/>
                <w:sz w:val="16"/>
                <w:szCs w:val="16"/>
              </w:rPr>
              <w:t>$'000</w:t>
            </w:r>
          </w:p>
        </w:tc>
      </w:tr>
      <w:tr w:rsidR="005F58B8" w:rsidRPr="005F58B8" w14:paraId="69BED484" w14:textId="77777777" w:rsidTr="005F58B8">
        <w:trPr>
          <w:trHeight w:val="525"/>
        </w:trPr>
        <w:tc>
          <w:tcPr>
            <w:tcW w:w="2860" w:type="dxa"/>
            <w:tcBorders>
              <w:top w:val="nil"/>
              <w:left w:val="nil"/>
              <w:bottom w:val="nil"/>
              <w:right w:val="nil"/>
            </w:tcBorders>
            <w:shd w:val="clear" w:color="auto" w:fill="auto"/>
            <w:vAlign w:val="bottom"/>
            <w:hideMark/>
          </w:tcPr>
          <w:p w14:paraId="27E518B7" w14:textId="77777777" w:rsidR="005F58B8" w:rsidRPr="005F58B8" w:rsidRDefault="005F58B8" w:rsidP="005F58B8">
            <w:pPr>
              <w:spacing w:after="0"/>
              <w:rPr>
                <w:rFonts w:ascii="Arial" w:hAnsi="Arial" w:cs="Arial"/>
                <w:b/>
                <w:bCs/>
                <w:sz w:val="16"/>
                <w:szCs w:val="16"/>
              </w:rPr>
            </w:pPr>
            <w:r w:rsidRPr="005F58B8">
              <w:rPr>
                <w:rFonts w:ascii="Arial" w:hAnsi="Arial" w:cs="Arial"/>
                <w:b/>
                <w:bCs/>
                <w:sz w:val="16"/>
                <w:szCs w:val="16"/>
              </w:rPr>
              <w:t>ASSETS ADMINISTERED ON BEHALF OF GOVERNMENT</w:t>
            </w:r>
          </w:p>
        </w:tc>
        <w:tc>
          <w:tcPr>
            <w:tcW w:w="900" w:type="dxa"/>
            <w:tcBorders>
              <w:top w:val="nil"/>
              <w:left w:val="nil"/>
              <w:bottom w:val="nil"/>
              <w:right w:val="nil"/>
            </w:tcBorders>
            <w:shd w:val="clear" w:color="auto" w:fill="auto"/>
            <w:noWrap/>
            <w:vAlign w:val="bottom"/>
            <w:hideMark/>
          </w:tcPr>
          <w:p w14:paraId="1AF1DB68" w14:textId="77777777" w:rsidR="005F58B8" w:rsidRPr="005F58B8" w:rsidRDefault="005F58B8" w:rsidP="005F58B8">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4B7ADDBA"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3990435" w14:textId="77777777" w:rsidR="005F58B8" w:rsidRPr="005F58B8" w:rsidRDefault="005F58B8" w:rsidP="005F58B8">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04344B6" w14:textId="77777777" w:rsidR="005F58B8" w:rsidRPr="005F58B8" w:rsidRDefault="005F58B8" w:rsidP="005F58B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FAFE3B2" w14:textId="77777777" w:rsidR="005F58B8" w:rsidRPr="005F58B8" w:rsidRDefault="005F58B8" w:rsidP="005F58B8">
            <w:pPr>
              <w:spacing w:after="0"/>
              <w:jc w:val="right"/>
              <w:rPr>
                <w:rFonts w:ascii="Times New Roman" w:hAnsi="Times New Roman"/>
                <w:color w:val="auto"/>
                <w:sz w:val="20"/>
              </w:rPr>
            </w:pPr>
          </w:p>
        </w:tc>
      </w:tr>
      <w:tr w:rsidR="005F58B8" w:rsidRPr="005F58B8" w14:paraId="7DD74B0C" w14:textId="77777777" w:rsidTr="005F58B8">
        <w:trPr>
          <w:trHeight w:val="300"/>
        </w:trPr>
        <w:tc>
          <w:tcPr>
            <w:tcW w:w="2860" w:type="dxa"/>
            <w:tcBorders>
              <w:top w:val="nil"/>
              <w:left w:val="nil"/>
              <w:bottom w:val="nil"/>
              <w:right w:val="nil"/>
            </w:tcBorders>
            <w:shd w:val="clear" w:color="auto" w:fill="auto"/>
            <w:noWrap/>
            <w:vAlign w:val="bottom"/>
            <w:hideMark/>
          </w:tcPr>
          <w:p w14:paraId="58EBB646" w14:textId="77777777" w:rsidR="005F58B8" w:rsidRPr="005F58B8" w:rsidRDefault="005F58B8" w:rsidP="005F58B8">
            <w:pPr>
              <w:spacing w:after="0"/>
              <w:ind w:leftChars="75" w:left="143"/>
              <w:rPr>
                <w:rFonts w:ascii="Arial" w:hAnsi="Arial" w:cs="Arial"/>
                <w:b/>
                <w:bCs/>
                <w:sz w:val="16"/>
                <w:szCs w:val="16"/>
              </w:rPr>
            </w:pPr>
            <w:r w:rsidRPr="005F58B8">
              <w:rPr>
                <w:rFonts w:ascii="Arial" w:hAnsi="Arial" w:cs="Arial"/>
                <w:b/>
                <w:bCs/>
                <w:sz w:val="16"/>
                <w:szCs w:val="16"/>
              </w:rPr>
              <w:t>Financial assets</w:t>
            </w:r>
          </w:p>
        </w:tc>
        <w:tc>
          <w:tcPr>
            <w:tcW w:w="900" w:type="dxa"/>
            <w:tcBorders>
              <w:top w:val="nil"/>
              <w:left w:val="nil"/>
              <w:bottom w:val="nil"/>
              <w:right w:val="nil"/>
            </w:tcBorders>
            <w:shd w:val="clear" w:color="auto" w:fill="auto"/>
            <w:noWrap/>
            <w:vAlign w:val="bottom"/>
            <w:hideMark/>
          </w:tcPr>
          <w:p w14:paraId="65BC91F7" w14:textId="77777777" w:rsidR="005F58B8" w:rsidRPr="005F58B8" w:rsidRDefault="005F58B8" w:rsidP="005F58B8">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0E389836"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C33FD2D" w14:textId="77777777" w:rsidR="005F58B8" w:rsidRPr="005F58B8" w:rsidRDefault="005F58B8" w:rsidP="005F58B8">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1846B9B" w14:textId="77777777" w:rsidR="005F58B8" w:rsidRPr="005F58B8" w:rsidRDefault="005F58B8" w:rsidP="005F58B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3021055B" w14:textId="77777777" w:rsidR="005F58B8" w:rsidRPr="005F58B8" w:rsidRDefault="005F58B8" w:rsidP="005F58B8">
            <w:pPr>
              <w:spacing w:after="0"/>
              <w:jc w:val="right"/>
              <w:rPr>
                <w:rFonts w:ascii="Times New Roman" w:hAnsi="Times New Roman"/>
                <w:color w:val="auto"/>
                <w:sz w:val="20"/>
              </w:rPr>
            </w:pPr>
          </w:p>
        </w:tc>
      </w:tr>
      <w:tr w:rsidR="005F58B8" w:rsidRPr="005F58B8" w14:paraId="30964A16" w14:textId="77777777" w:rsidTr="005F58B8">
        <w:trPr>
          <w:trHeight w:val="225"/>
        </w:trPr>
        <w:tc>
          <w:tcPr>
            <w:tcW w:w="2860" w:type="dxa"/>
            <w:tcBorders>
              <w:top w:val="nil"/>
              <w:left w:val="nil"/>
              <w:bottom w:val="nil"/>
              <w:right w:val="nil"/>
            </w:tcBorders>
            <w:shd w:val="clear" w:color="auto" w:fill="auto"/>
            <w:noWrap/>
            <w:vAlign w:val="bottom"/>
            <w:hideMark/>
          </w:tcPr>
          <w:p w14:paraId="47670724" w14:textId="77777777" w:rsidR="005F58B8" w:rsidRPr="005F58B8" w:rsidRDefault="005F58B8" w:rsidP="005F58B8">
            <w:pPr>
              <w:spacing w:after="0"/>
              <w:ind w:firstLineChars="200" w:firstLine="320"/>
              <w:rPr>
                <w:rFonts w:ascii="Arial" w:hAnsi="Arial" w:cs="Arial"/>
                <w:color w:val="auto"/>
                <w:sz w:val="16"/>
                <w:szCs w:val="16"/>
              </w:rPr>
            </w:pPr>
            <w:r w:rsidRPr="005F58B8">
              <w:rPr>
                <w:rFonts w:ascii="Arial" w:hAnsi="Arial" w:cs="Arial"/>
                <w:color w:val="auto"/>
                <w:sz w:val="16"/>
                <w:szCs w:val="16"/>
              </w:rPr>
              <w:t>Cash and cash equivalents</w:t>
            </w:r>
          </w:p>
        </w:tc>
        <w:tc>
          <w:tcPr>
            <w:tcW w:w="900" w:type="dxa"/>
            <w:tcBorders>
              <w:top w:val="nil"/>
              <w:left w:val="nil"/>
              <w:bottom w:val="nil"/>
              <w:right w:val="nil"/>
            </w:tcBorders>
            <w:shd w:val="clear" w:color="auto" w:fill="auto"/>
            <w:noWrap/>
            <w:vAlign w:val="bottom"/>
            <w:hideMark/>
          </w:tcPr>
          <w:p w14:paraId="5689CC9D"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143</w:t>
            </w:r>
          </w:p>
        </w:tc>
        <w:tc>
          <w:tcPr>
            <w:tcW w:w="900" w:type="dxa"/>
            <w:tcBorders>
              <w:top w:val="nil"/>
              <w:left w:val="nil"/>
              <w:bottom w:val="nil"/>
              <w:right w:val="nil"/>
            </w:tcBorders>
            <w:shd w:val="clear" w:color="000000" w:fill="D9D9D9"/>
            <w:noWrap/>
            <w:vAlign w:val="bottom"/>
            <w:hideMark/>
          </w:tcPr>
          <w:p w14:paraId="7F7B8962"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143</w:t>
            </w:r>
          </w:p>
        </w:tc>
        <w:tc>
          <w:tcPr>
            <w:tcW w:w="900" w:type="dxa"/>
            <w:tcBorders>
              <w:top w:val="nil"/>
              <w:left w:val="nil"/>
              <w:bottom w:val="nil"/>
              <w:right w:val="nil"/>
            </w:tcBorders>
            <w:shd w:val="clear" w:color="auto" w:fill="auto"/>
            <w:noWrap/>
            <w:vAlign w:val="bottom"/>
            <w:hideMark/>
          </w:tcPr>
          <w:p w14:paraId="41527973"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143</w:t>
            </w:r>
          </w:p>
        </w:tc>
        <w:tc>
          <w:tcPr>
            <w:tcW w:w="900" w:type="dxa"/>
            <w:tcBorders>
              <w:top w:val="nil"/>
              <w:left w:val="nil"/>
              <w:bottom w:val="nil"/>
              <w:right w:val="nil"/>
            </w:tcBorders>
            <w:shd w:val="clear" w:color="auto" w:fill="auto"/>
            <w:noWrap/>
            <w:vAlign w:val="bottom"/>
            <w:hideMark/>
          </w:tcPr>
          <w:p w14:paraId="140A0C91"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143</w:t>
            </w:r>
          </w:p>
        </w:tc>
        <w:tc>
          <w:tcPr>
            <w:tcW w:w="900" w:type="dxa"/>
            <w:tcBorders>
              <w:top w:val="nil"/>
              <w:left w:val="nil"/>
              <w:bottom w:val="nil"/>
              <w:right w:val="nil"/>
            </w:tcBorders>
            <w:shd w:val="clear" w:color="auto" w:fill="auto"/>
            <w:noWrap/>
            <w:vAlign w:val="bottom"/>
            <w:hideMark/>
          </w:tcPr>
          <w:p w14:paraId="6090DDB5"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143</w:t>
            </w:r>
          </w:p>
        </w:tc>
      </w:tr>
      <w:tr w:rsidR="005F58B8" w:rsidRPr="005F58B8" w14:paraId="19368214" w14:textId="77777777" w:rsidTr="005F58B8">
        <w:trPr>
          <w:trHeight w:val="225"/>
        </w:trPr>
        <w:tc>
          <w:tcPr>
            <w:tcW w:w="2860" w:type="dxa"/>
            <w:tcBorders>
              <w:top w:val="nil"/>
              <w:left w:val="nil"/>
              <w:bottom w:val="nil"/>
              <w:right w:val="nil"/>
            </w:tcBorders>
            <w:shd w:val="clear" w:color="auto" w:fill="auto"/>
            <w:noWrap/>
            <w:vAlign w:val="bottom"/>
            <w:hideMark/>
          </w:tcPr>
          <w:p w14:paraId="10A505F6" w14:textId="77777777" w:rsidR="005F58B8" w:rsidRPr="005F58B8" w:rsidRDefault="005F58B8" w:rsidP="005F58B8">
            <w:pPr>
              <w:spacing w:after="0"/>
              <w:ind w:firstLineChars="200" w:firstLine="320"/>
              <w:rPr>
                <w:rFonts w:ascii="Arial" w:hAnsi="Arial" w:cs="Arial"/>
                <w:sz w:val="16"/>
                <w:szCs w:val="16"/>
              </w:rPr>
            </w:pPr>
            <w:r w:rsidRPr="005F58B8">
              <w:rPr>
                <w:rFonts w:ascii="Arial" w:hAnsi="Arial" w:cs="Arial"/>
                <w:sz w:val="16"/>
                <w:szCs w:val="16"/>
              </w:rPr>
              <w:t>Receivables</w:t>
            </w:r>
          </w:p>
        </w:tc>
        <w:tc>
          <w:tcPr>
            <w:tcW w:w="900" w:type="dxa"/>
            <w:tcBorders>
              <w:top w:val="nil"/>
              <w:left w:val="nil"/>
              <w:bottom w:val="nil"/>
              <w:right w:val="nil"/>
            </w:tcBorders>
            <w:shd w:val="clear" w:color="auto" w:fill="auto"/>
            <w:noWrap/>
            <w:vAlign w:val="bottom"/>
            <w:hideMark/>
          </w:tcPr>
          <w:p w14:paraId="25E26B49"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723</w:t>
            </w:r>
          </w:p>
        </w:tc>
        <w:tc>
          <w:tcPr>
            <w:tcW w:w="900" w:type="dxa"/>
            <w:tcBorders>
              <w:top w:val="nil"/>
              <w:left w:val="nil"/>
              <w:bottom w:val="nil"/>
              <w:right w:val="nil"/>
            </w:tcBorders>
            <w:shd w:val="clear" w:color="000000" w:fill="D9D9D9"/>
            <w:noWrap/>
            <w:vAlign w:val="bottom"/>
            <w:hideMark/>
          </w:tcPr>
          <w:p w14:paraId="7A3A9CD8"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723</w:t>
            </w:r>
          </w:p>
        </w:tc>
        <w:tc>
          <w:tcPr>
            <w:tcW w:w="900" w:type="dxa"/>
            <w:tcBorders>
              <w:top w:val="nil"/>
              <w:left w:val="nil"/>
              <w:bottom w:val="nil"/>
              <w:right w:val="nil"/>
            </w:tcBorders>
            <w:shd w:val="clear" w:color="auto" w:fill="auto"/>
            <w:noWrap/>
            <w:vAlign w:val="bottom"/>
            <w:hideMark/>
          </w:tcPr>
          <w:p w14:paraId="359FF5B1"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723</w:t>
            </w:r>
          </w:p>
        </w:tc>
        <w:tc>
          <w:tcPr>
            <w:tcW w:w="900" w:type="dxa"/>
            <w:tcBorders>
              <w:top w:val="nil"/>
              <w:left w:val="nil"/>
              <w:bottom w:val="nil"/>
              <w:right w:val="nil"/>
            </w:tcBorders>
            <w:shd w:val="clear" w:color="auto" w:fill="auto"/>
            <w:noWrap/>
            <w:vAlign w:val="bottom"/>
            <w:hideMark/>
          </w:tcPr>
          <w:p w14:paraId="54A15E71"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723</w:t>
            </w:r>
          </w:p>
        </w:tc>
        <w:tc>
          <w:tcPr>
            <w:tcW w:w="900" w:type="dxa"/>
            <w:tcBorders>
              <w:top w:val="nil"/>
              <w:left w:val="nil"/>
              <w:bottom w:val="nil"/>
              <w:right w:val="nil"/>
            </w:tcBorders>
            <w:shd w:val="clear" w:color="auto" w:fill="auto"/>
            <w:noWrap/>
            <w:vAlign w:val="bottom"/>
            <w:hideMark/>
          </w:tcPr>
          <w:p w14:paraId="4DB0F868"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723</w:t>
            </w:r>
          </w:p>
        </w:tc>
      </w:tr>
      <w:tr w:rsidR="005F58B8" w:rsidRPr="005F58B8" w14:paraId="533B6223" w14:textId="77777777" w:rsidTr="005F58B8">
        <w:trPr>
          <w:trHeight w:val="225"/>
        </w:trPr>
        <w:tc>
          <w:tcPr>
            <w:tcW w:w="2860" w:type="dxa"/>
            <w:tcBorders>
              <w:top w:val="nil"/>
              <w:left w:val="nil"/>
              <w:bottom w:val="nil"/>
              <w:right w:val="nil"/>
            </w:tcBorders>
            <w:shd w:val="clear" w:color="auto" w:fill="auto"/>
            <w:noWrap/>
            <w:vAlign w:val="bottom"/>
            <w:hideMark/>
          </w:tcPr>
          <w:p w14:paraId="5B28FA01" w14:textId="77777777" w:rsidR="005F58B8" w:rsidRPr="005F58B8" w:rsidRDefault="005F58B8" w:rsidP="005F58B8">
            <w:pPr>
              <w:spacing w:after="0"/>
              <w:ind w:firstLineChars="200" w:firstLine="320"/>
              <w:rPr>
                <w:rFonts w:ascii="Arial" w:hAnsi="Arial" w:cs="Arial"/>
                <w:b/>
                <w:bCs/>
                <w:sz w:val="16"/>
                <w:szCs w:val="16"/>
              </w:rPr>
            </w:pPr>
            <w:r w:rsidRPr="005F58B8">
              <w:rPr>
                <w:rFonts w:ascii="Arial" w:hAnsi="Arial" w:cs="Arial"/>
                <w:b/>
                <w:bCs/>
                <w:sz w:val="16"/>
                <w:szCs w:val="16"/>
              </w:rPr>
              <w:t>Total financial assets</w:t>
            </w:r>
          </w:p>
        </w:tc>
        <w:tc>
          <w:tcPr>
            <w:tcW w:w="900" w:type="dxa"/>
            <w:tcBorders>
              <w:top w:val="nil"/>
              <w:left w:val="nil"/>
              <w:bottom w:val="single" w:sz="4" w:space="0" w:color="auto"/>
              <w:right w:val="nil"/>
            </w:tcBorders>
            <w:shd w:val="clear" w:color="auto" w:fill="auto"/>
            <w:noWrap/>
            <w:vAlign w:val="bottom"/>
            <w:hideMark/>
          </w:tcPr>
          <w:p w14:paraId="4E0BCFCE"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866</w:t>
            </w:r>
          </w:p>
        </w:tc>
        <w:tc>
          <w:tcPr>
            <w:tcW w:w="900" w:type="dxa"/>
            <w:tcBorders>
              <w:top w:val="nil"/>
              <w:left w:val="nil"/>
              <w:bottom w:val="single" w:sz="4" w:space="0" w:color="auto"/>
              <w:right w:val="nil"/>
            </w:tcBorders>
            <w:shd w:val="clear" w:color="000000" w:fill="D9D9D9"/>
            <w:noWrap/>
            <w:vAlign w:val="bottom"/>
            <w:hideMark/>
          </w:tcPr>
          <w:p w14:paraId="362FEAB4"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866</w:t>
            </w:r>
          </w:p>
        </w:tc>
        <w:tc>
          <w:tcPr>
            <w:tcW w:w="900" w:type="dxa"/>
            <w:tcBorders>
              <w:top w:val="nil"/>
              <w:left w:val="nil"/>
              <w:bottom w:val="single" w:sz="4" w:space="0" w:color="auto"/>
              <w:right w:val="nil"/>
            </w:tcBorders>
            <w:shd w:val="clear" w:color="auto" w:fill="auto"/>
            <w:noWrap/>
            <w:vAlign w:val="bottom"/>
            <w:hideMark/>
          </w:tcPr>
          <w:p w14:paraId="674BBF33"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866</w:t>
            </w:r>
          </w:p>
        </w:tc>
        <w:tc>
          <w:tcPr>
            <w:tcW w:w="900" w:type="dxa"/>
            <w:tcBorders>
              <w:top w:val="nil"/>
              <w:left w:val="nil"/>
              <w:bottom w:val="single" w:sz="4" w:space="0" w:color="auto"/>
              <w:right w:val="nil"/>
            </w:tcBorders>
            <w:shd w:val="clear" w:color="auto" w:fill="auto"/>
            <w:noWrap/>
            <w:vAlign w:val="bottom"/>
            <w:hideMark/>
          </w:tcPr>
          <w:p w14:paraId="5FF2F020"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866</w:t>
            </w:r>
          </w:p>
        </w:tc>
        <w:tc>
          <w:tcPr>
            <w:tcW w:w="900" w:type="dxa"/>
            <w:tcBorders>
              <w:top w:val="nil"/>
              <w:left w:val="nil"/>
              <w:bottom w:val="single" w:sz="4" w:space="0" w:color="auto"/>
              <w:right w:val="nil"/>
            </w:tcBorders>
            <w:shd w:val="clear" w:color="auto" w:fill="auto"/>
            <w:noWrap/>
            <w:vAlign w:val="bottom"/>
            <w:hideMark/>
          </w:tcPr>
          <w:p w14:paraId="05F2EB59"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866</w:t>
            </w:r>
          </w:p>
        </w:tc>
      </w:tr>
      <w:tr w:rsidR="005F58B8" w:rsidRPr="005F58B8" w14:paraId="7C80D96E" w14:textId="77777777" w:rsidTr="005F58B8">
        <w:trPr>
          <w:trHeight w:val="300"/>
        </w:trPr>
        <w:tc>
          <w:tcPr>
            <w:tcW w:w="2860" w:type="dxa"/>
            <w:tcBorders>
              <w:top w:val="nil"/>
              <w:left w:val="nil"/>
              <w:bottom w:val="nil"/>
              <w:right w:val="nil"/>
            </w:tcBorders>
            <w:shd w:val="clear" w:color="auto" w:fill="auto"/>
            <w:noWrap/>
            <w:vAlign w:val="bottom"/>
            <w:hideMark/>
          </w:tcPr>
          <w:p w14:paraId="2830CA62" w14:textId="77777777" w:rsidR="005F58B8" w:rsidRPr="005F58B8" w:rsidRDefault="005F58B8" w:rsidP="005F58B8">
            <w:pPr>
              <w:spacing w:after="0"/>
              <w:ind w:leftChars="75" w:left="143"/>
              <w:rPr>
                <w:rFonts w:ascii="Arial" w:hAnsi="Arial" w:cs="Arial"/>
                <w:b/>
                <w:bCs/>
                <w:sz w:val="16"/>
                <w:szCs w:val="16"/>
              </w:rPr>
            </w:pPr>
            <w:r w:rsidRPr="005F58B8">
              <w:rPr>
                <w:rFonts w:ascii="Arial" w:hAnsi="Arial" w:cs="Arial"/>
                <w:b/>
                <w:bCs/>
                <w:sz w:val="16"/>
                <w:szCs w:val="16"/>
              </w:rPr>
              <w:t>Non-financial assets</w:t>
            </w:r>
          </w:p>
        </w:tc>
        <w:tc>
          <w:tcPr>
            <w:tcW w:w="900" w:type="dxa"/>
            <w:tcBorders>
              <w:top w:val="nil"/>
              <w:left w:val="nil"/>
              <w:bottom w:val="nil"/>
              <w:right w:val="nil"/>
            </w:tcBorders>
            <w:shd w:val="clear" w:color="auto" w:fill="auto"/>
            <w:noWrap/>
            <w:vAlign w:val="bottom"/>
            <w:hideMark/>
          </w:tcPr>
          <w:p w14:paraId="72D0DA21" w14:textId="77777777" w:rsidR="005F58B8" w:rsidRPr="005F58B8" w:rsidRDefault="005F58B8" w:rsidP="005F58B8">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514D1D99"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 </w:t>
            </w:r>
          </w:p>
        </w:tc>
        <w:tc>
          <w:tcPr>
            <w:tcW w:w="900" w:type="dxa"/>
            <w:tcBorders>
              <w:top w:val="nil"/>
              <w:left w:val="nil"/>
              <w:bottom w:val="nil"/>
              <w:right w:val="nil"/>
            </w:tcBorders>
            <w:shd w:val="clear" w:color="auto" w:fill="auto"/>
            <w:noWrap/>
            <w:vAlign w:val="bottom"/>
            <w:hideMark/>
          </w:tcPr>
          <w:p w14:paraId="167548EE" w14:textId="77777777" w:rsidR="005F58B8" w:rsidRPr="005F58B8" w:rsidRDefault="005F58B8" w:rsidP="005F58B8">
            <w:pPr>
              <w:spacing w:after="0"/>
              <w:jc w:val="right"/>
              <w:rPr>
                <w:rFonts w:ascii="Arial" w:hAnsi="Arial" w:cs="Arial"/>
                <w:b/>
                <w:bCs/>
                <w:sz w:val="16"/>
                <w:szCs w:val="16"/>
              </w:rPr>
            </w:pPr>
          </w:p>
        </w:tc>
        <w:tc>
          <w:tcPr>
            <w:tcW w:w="900" w:type="dxa"/>
            <w:tcBorders>
              <w:top w:val="nil"/>
              <w:left w:val="nil"/>
              <w:bottom w:val="nil"/>
              <w:right w:val="nil"/>
            </w:tcBorders>
            <w:shd w:val="clear" w:color="auto" w:fill="auto"/>
            <w:noWrap/>
            <w:vAlign w:val="bottom"/>
            <w:hideMark/>
          </w:tcPr>
          <w:p w14:paraId="2C7B9DD7" w14:textId="77777777" w:rsidR="005F58B8" w:rsidRPr="005F58B8" w:rsidRDefault="005F58B8" w:rsidP="005F58B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1D63109B" w14:textId="77777777" w:rsidR="005F58B8" w:rsidRPr="005F58B8" w:rsidRDefault="005F58B8" w:rsidP="005F58B8">
            <w:pPr>
              <w:spacing w:after="0"/>
              <w:jc w:val="right"/>
              <w:rPr>
                <w:rFonts w:ascii="Times New Roman" w:hAnsi="Times New Roman"/>
                <w:color w:val="auto"/>
                <w:sz w:val="20"/>
              </w:rPr>
            </w:pPr>
          </w:p>
        </w:tc>
      </w:tr>
      <w:tr w:rsidR="005F58B8" w:rsidRPr="005F58B8" w14:paraId="3DBCF494" w14:textId="77777777" w:rsidTr="005F58B8">
        <w:trPr>
          <w:trHeight w:val="225"/>
        </w:trPr>
        <w:tc>
          <w:tcPr>
            <w:tcW w:w="2860" w:type="dxa"/>
            <w:tcBorders>
              <w:top w:val="nil"/>
              <w:left w:val="nil"/>
              <w:bottom w:val="nil"/>
              <w:right w:val="nil"/>
            </w:tcBorders>
            <w:shd w:val="clear" w:color="auto" w:fill="auto"/>
            <w:noWrap/>
            <w:vAlign w:val="bottom"/>
            <w:hideMark/>
          </w:tcPr>
          <w:p w14:paraId="762249F8" w14:textId="77777777" w:rsidR="005F58B8" w:rsidRPr="005F58B8" w:rsidRDefault="005F58B8" w:rsidP="005F58B8">
            <w:pPr>
              <w:spacing w:after="0"/>
              <w:ind w:firstLineChars="200" w:firstLine="320"/>
              <w:rPr>
                <w:rFonts w:ascii="Arial" w:hAnsi="Arial" w:cs="Arial"/>
                <w:sz w:val="16"/>
                <w:szCs w:val="16"/>
              </w:rPr>
            </w:pPr>
            <w:r w:rsidRPr="005F58B8">
              <w:rPr>
                <w:rFonts w:ascii="Arial" w:hAnsi="Arial" w:cs="Arial"/>
                <w:sz w:val="16"/>
                <w:szCs w:val="16"/>
              </w:rPr>
              <w:t>Prepayments</w:t>
            </w:r>
          </w:p>
        </w:tc>
        <w:tc>
          <w:tcPr>
            <w:tcW w:w="900" w:type="dxa"/>
            <w:tcBorders>
              <w:top w:val="nil"/>
              <w:left w:val="nil"/>
              <w:bottom w:val="nil"/>
              <w:right w:val="nil"/>
            </w:tcBorders>
            <w:shd w:val="clear" w:color="auto" w:fill="auto"/>
            <w:noWrap/>
            <w:vAlign w:val="bottom"/>
            <w:hideMark/>
          </w:tcPr>
          <w:p w14:paraId="1C7C966C"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55</w:t>
            </w:r>
          </w:p>
        </w:tc>
        <w:tc>
          <w:tcPr>
            <w:tcW w:w="900" w:type="dxa"/>
            <w:tcBorders>
              <w:top w:val="nil"/>
              <w:left w:val="nil"/>
              <w:bottom w:val="nil"/>
              <w:right w:val="nil"/>
            </w:tcBorders>
            <w:shd w:val="clear" w:color="000000" w:fill="D9D9D9"/>
            <w:noWrap/>
            <w:vAlign w:val="bottom"/>
            <w:hideMark/>
          </w:tcPr>
          <w:p w14:paraId="72A3734A"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55</w:t>
            </w:r>
          </w:p>
        </w:tc>
        <w:tc>
          <w:tcPr>
            <w:tcW w:w="900" w:type="dxa"/>
            <w:tcBorders>
              <w:top w:val="nil"/>
              <w:left w:val="nil"/>
              <w:bottom w:val="nil"/>
              <w:right w:val="nil"/>
            </w:tcBorders>
            <w:shd w:val="clear" w:color="auto" w:fill="auto"/>
            <w:noWrap/>
            <w:vAlign w:val="bottom"/>
            <w:hideMark/>
          </w:tcPr>
          <w:p w14:paraId="038AD7B8"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55</w:t>
            </w:r>
          </w:p>
        </w:tc>
        <w:tc>
          <w:tcPr>
            <w:tcW w:w="900" w:type="dxa"/>
            <w:tcBorders>
              <w:top w:val="nil"/>
              <w:left w:val="nil"/>
              <w:bottom w:val="nil"/>
              <w:right w:val="nil"/>
            </w:tcBorders>
            <w:shd w:val="clear" w:color="auto" w:fill="auto"/>
            <w:noWrap/>
            <w:vAlign w:val="bottom"/>
            <w:hideMark/>
          </w:tcPr>
          <w:p w14:paraId="00826ED0"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55</w:t>
            </w:r>
          </w:p>
        </w:tc>
        <w:tc>
          <w:tcPr>
            <w:tcW w:w="900" w:type="dxa"/>
            <w:tcBorders>
              <w:top w:val="nil"/>
              <w:left w:val="nil"/>
              <w:bottom w:val="nil"/>
              <w:right w:val="nil"/>
            </w:tcBorders>
            <w:shd w:val="clear" w:color="auto" w:fill="auto"/>
            <w:noWrap/>
            <w:vAlign w:val="bottom"/>
            <w:hideMark/>
          </w:tcPr>
          <w:p w14:paraId="26E1C12F" w14:textId="77777777" w:rsidR="005F58B8" w:rsidRPr="005F58B8" w:rsidRDefault="005F58B8" w:rsidP="005F58B8">
            <w:pPr>
              <w:spacing w:after="0"/>
              <w:jc w:val="right"/>
              <w:rPr>
                <w:rFonts w:ascii="Arial" w:hAnsi="Arial" w:cs="Arial"/>
                <w:color w:val="auto"/>
                <w:sz w:val="16"/>
                <w:szCs w:val="16"/>
              </w:rPr>
            </w:pPr>
            <w:r w:rsidRPr="005F58B8">
              <w:rPr>
                <w:rFonts w:ascii="Arial" w:hAnsi="Arial" w:cs="Arial"/>
                <w:color w:val="auto"/>
                <w:sz w:val="16"/>
                <w:szCs w:val="16"/>
              </w:rPr>
              <w:t>55</w:t>
            </w:r>
          </w:p>
        </w:tc>
      </w:tr>
      <w:tr w:rsidR="005F58B8" w:rsidRPr="005F58B8" w14:paraId="24E0658C" w14:textId="77777777" w:rsidTr="005F58B8">
        <w:trPr>
          <w:trHeight w:val="225"/>
        </w:trPr>
        <w:tc>
          <w:tcPr>
            <w:tcW w:w="2860" w:type="dxa"/>
            <w:tcBorders>
              <w:top w:val="nil"/>
              <w:left w:val="nil"/>
              <w:bottom w:val="nil"/>
              <w:right w:val="nil"/>
            </w:tcBorders>
            <w:shd w:val="clear" w:color="auto" w:fill="auto"/>
            <w:noWrap/>
            <w:vAlign w:val="bottom"/>
            <w:hideMark/>
          </w:tcPr>
          <w:p w14:paraId="14FFA234" w14:textId="77777777" w:rsidR="005F58B8" w:rsidRPr="005F58B8" w:rsidRDefault="005F58B8" w:rsidP="005F58B8">
            <w:pPr>
              <w:spacing w:after="0"/>
              <w:ind w:firstLineChars="200" w:firstLine="320"/>
              <w:rPr>
                <w:rFonts w:ascii="Arial" w:hAnsi="Arial" w:cs="Arial"/>
                <w:b/>
                <w:bCs/>
                <w:sz w:val="16"/>
                <w:szCs w:val="16"/>
              </w:rPr>
            </w:pPr>
            <w:r w:rsidRPr="005F58B8">
              <w:rPr>
                <w:rFonts w:ascii="Arial" w:hAnsi="Arial" w:cs="Arial"/>
                <w:b/>
                <w:bCs/>
                <w:sz w:val="16"/>
                <w:szCs w:val="16"/>
              </w:rPr>
              <w:t>Total non-financial assets</w:t>
            </w:r>
          </w:p>
        </w:tc>
        <w:tc>
          <w:tcPr>
            <w:tcW w:w="900" w:type="dxa"/>
            <w:tcBorders>
              <w:top w:val="nil"/>
              <w:left w:val="nil"/>
              <w:bottom w:val="single" w:sz="4" w:space="0" w:color="auto"/>
              <w:right w:val="nil"/>
            </w:tcBorders>
            <w:shd w:val="clear" w:color="auto" w:fill="auto"/>
            <w:noWrap/>
            <w:vAlign w:val="bottom"/>
            <w:hideMark/>
          </w:tcPr>
          <w:p w14:paraId="2DFE6B2D"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55</w:t>
            </w:r>
          </w:p>
        </w:tc>
        <w:tc>
          <w:tcPr>
            <w:tcW w:w="900" w:type="dxa"/>
            <w:tcBorders>
              <w:top w:val="nil"/>
              <w:left w:val="nil"/>
              <w:bottom w:val="single" w:sz="4" w:space="0" w:color="auto"/>
              <w:right w:val="nil"/>
            </w:tcBorders>
            <w:shd w:val="clear" w:color="000000" w:fill="D9D9D9"/>
            <w:noWrap/>
            <w:vAlign w:val="bottom"/>
            <w:hideMark/>
          </w:tcPr>
          <w:p w14:paraId="14625F5D"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55</w:t>
            </w:r>
          </w:p>
        </w:tc>
        <w:tc>
          <w:tcPr>
            <w:tcW w:w="900" w:type="dxa"/>
            <w:tcBorders>
              <w:top w:val="nil"/>
              <w:left w:val="nil"/>
              <w:bottom w:val="single" w:sz="4" w:space="0" w:color="auto"/>
              <w:right w:val="nil"/>
            </w:tcBorders>
            <w:shd w:val="clear" w:color="auto" w:fill="auto"/>
            <w:noWrap/>
            <w:vAlign w:val="bottom"/>
            <w:hideMark/>
          </w:tcPr>
          <w:p w14:paraId="1CF1273D"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55</w:t>
            </w:r>
          </w:p>
        </w:tc>
        <w:tc>
          <w:tcPr>
            <w:tcW w:w="900" w:type="dxa"/>
            <w:tcBorders>
              <w:top w:val="nil"/>
              <w:left w:val="nil"/>
              <w:bottom w:val="single" w:sz="4" w:space="0" w:color="auto"/>
              <w:right w:val="nil"/>
            </w:tcBorders>
            <w:shd w:val="clear" w:color="auto" w:fill="auto"/>
            <w:noWrap/>
            <w:vAlign w:val="bottom"/>
            <w:hideMark/>
          </w:tcPr>
          <w:p w14:paraId="6A7B0854"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55</w:t>
            </w:r>
          </w:p>
        </w:tc>
        <w:tc>
          <w:tcPr>
            <w:tcW w:w="900" w:type="dxa"/>
            <w:tcBorders>
              <w:top w:val="nil"/>
              <w:left w:val="nil"/>
              <w:bottom w:val="single" w:sz="4" w:space="0" w:color="auto"/>
              <w:right w:val="nil"/>
            </w:tcBorders>
            <w:shd w:val="clear" w:color="auto" w:fill="auto"/>
            <w:noWrap/>
            <w:vAlign w:val="bottom"/>
            <w:hideMark/>
          </w:tcPr>
          <w:p w14:paraId="0CFB6F10"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55</w:t>
            </w:r>
          </w:p>
        </w:tc>
      </w:tr>
      <w:tr w:rsidR="005F58B8" w:rsidRPr="005F58B8" w14:paraId="322024B2" w14:textId="77777777" w:rsidTr="005F58B8">
        <w:trPr>
          <w:trHeight w:val="525"/>
        </w:trPr>
        <w:tc>
          <w:tcPr>
            <w:tcW w:w="2860" w:type="dxa"/>
            <w:tcBorders>
              <w:top w:val="nil"/>
              <w:left w:val="nil"/>
              <w:bottom w:val="nil"/>
              <w:right w:val="nil"/>
            </w:tcBorders>
            <w:shd w:val="clear" w:color="auto" w:fill="auto"/>
            <w:vAlign w:val="bottom"/>
            <w:hideMark/>
          </w:tcPr>
          <w:p w14:paraId="4FA47031" w14:textId="77777777" w:rsidR="005F58B8" w:rsidRPr="005F58B8" w:rsidRDefault="005F58B8" w:rsidP="005F58B8">
            <w:pPr>
              <w:spacing w:after="0"/>
              <w:ind w:leftChars="75" w:left="143"/>
              <w:rPr>
                <w:rFonts w:ascii="Arial" w:hAnsi="Arial" w:cs="Arial"/>
                <w:b/>
                <w:bCs/>
                <w:sz w:val="16"/>
                <w:szCs w:val="16"/>
              </w:rPr>
            </w:pPr>
            <w:r w:rsidRPr="005F58B8">
              <w:rPr>
                <w:rFonts w:ascii="Arial" w:hAnsi="Arial" w:cs="Arial"/>
                <w:b/>
                <w:bCs/>
                <w:sz w:val="16"/>
                <w:szCs w:val="16"/>
              </w:rPr>
              <w:t>Total assets administered on behalf of Government</w:t>
            </w:r>
          </w:p>
        </w:tc>
        <w:tc>
          <w:tcPr>
            <w:tcW w:w="900" w:type="dxa"/>
            <w:tcBorders>
              <w:top w:val="nil"/>
              <w:left w:val="nil"/>
              <w:bottom w:val="single" w:sz="4" w:space="0" w:color="auto"/>
              <w:right w:val="nil"/>
            </w:tcBorders>
            <w:shd w:val="clear" w:color="auto" w:fill="auto"/>
            <w:noWrap/>
            <w:vAlign w:val="bottom"/>
            <w:hideMark/>
          </w:tcPr>
          <w:p w14:paraId="7270FAD0"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921</w:t>
            </w:r>
          </w:p>
        </w:tc>
        <w:tc>
          <w:tcPr>
            <w:tcW w:w="900" w:type="dxa"/>
            <w:tcBorders>
              <w:top w:val="nil"/>
              <w:left w:val="nil"/>
              <w:bottom w:val="single" w:sz="4" w:space="0" w:color="auto"/>
              <w:right w:val="nil"/>
            </w:tcBorders>
            <w:shd w:val="clear" w:color="000000" w:fill="D9D9D9"/>
            <w:noWrap/>
            <w:vAlign w:val="bottom"/>
            <w:hideMark/>
          </w:tcPr>
          <w:p w14:paraId="7352F6CB" w14:textId="77777777" w:rsidR="005F58B8" w:rsidRPr="005F58B8" w:rsidRDefault="005F58B8" w:rsidP="005F58B8">
            <w:pPr>
              <w:spacing w:after="0"/>
              <w:jc w:val="right"/>
              <w:rPr>
                <w:rFonts w:ascii="Arial" w:hAnsi="Arial" w:cs="Arial"/>
                <w:b/>
                <w:bCs/>
                <w:color w:val="auto"/>
                <w:sz w:val="16"/>
                <w:szCs w:val="16"/>
              </w:rPr>
            </w:pPr>
            <w:r w:rsidRPr="005F58B8">
              <w:rPr>
                <w:rFonts w:ascii="Arial" w:hAnsi="Arial" w:cs="Arial"/>
                <w:b/>
                <w:bCs/>
                <w:color w:val="auto"/>
                <w:sz w:val="16"/>
                <w:szCs w:val="16"/>
              </w:rPr>
              <w:t>921</w:t>
            </w:r>
          </w:p>
        </w:tc>
        <w:tc>
          <w:tcPr>
            <w:tcW w:w="900" w:type="dxa"/>
            <w:tcBorders>
              <w:top w:val="nil"/>
              <w:left w:val="nil"/>
              <w:bottom w:val="single" w:sz="4" w:space="0" w:color="auto"/>
              <w:right w:val="nil"/>
            </w:tcBorders>
            <w:shd w:val="clear" w:color="auto" w:fill="auto"/>
            <w:noWrap/>
            <w:vAlign w:val="bottom"/>
            <w:hideMark/>
          </w:tcPr>
          <w:p w14:paraId="50D2C60D"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921</w:t>
            </w:r>
          </w:p>
        </w:tc>
        <w:tc>
          <w:tcPr>
            <w:tcW w:w="900" w:type="dxa"/>
            <w:tcBorders>
              <w:top w:val="nil"/>
              <w:left w:val="nil"/>
              <w:bottom w:val="single" w:sz="4" w:space="0" w:color="auto"/>
              <w:right w:val="nil"/>
            </w:tcBorders>
            <w:shd w:val="clear" w:color="auto" w:fill="auto"/>
            <w:noWrap/>
            <w:vAlign w:val="bottom"/>
            <w:hideMark/>
          </w:tcPr>
          <w:p w14:paraId="4104C7C0"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921</w:t>
            </w:r>
          </w:p>
        </w:tc>
        <w:tc>
          <w:tcPr>
            <w:tcW w:w="900" w:type="dxa"/>
            <w:tcBorders>
              <w:top w:val="nil"/>
              <w:left w:val="nil"/>
              <w:bottom w:val="single" w:sz="4" w:space="0" w:color="auto"/>
              <w:right w:val="nil"/>
            </w:tcBorders>
            <w:shd w:val="clear" w:color="auto" w:fill="auto"/>
            <w:noWrap/>
            <w:vAlign w:val="bottom"/>
            <w:hideMark/>
          </w:tcPr>
          <w:p w14:paraId="6F6FE138"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921</w:t>
            </w:r>
          </w:p>
        </w:tc>
      </w:tr>
      <w:tr w:rsidR="005F58B8" w:rsidRPr="005F58B8" w14:paraId="5E9440D0" w14:textId="77777777" w:rsidTr="005F58B8">
        <w:trPr>
          <w:trHeight w:val="525"/>
        </w:trPr>
        <w:tc>
          <w:tcPr>
            <w:tcW w:w="2860" w:type="dxa"/>
            <w:tcBorders>
              <w:top w:val="nil"/>
              <w:left w:val="nil"/>
              <w:bottom w:val="nil"/>
              <w:right w:val="nil"/>
            </w:tcBorders>
            <w:shd w:val="clear" w:color="auto" w:fill="auto"/>
            <w:vAlign w:val="bottom"/>
            <w:hideMark/>
          </w:tcPr>
          <w:p w14:paraId="162C842D" w14:textId="77777777" w:rsidR="005F58B8" w:rsidRPr="005F58B8" w:rsidRDefault="005F58B8" w:rsidP="005F58B8">
            <w:pPr>
              <w:spacing w:after="0"/>
              <w:rPr>
                <w:rFonts w:ascii="Arial" w:hAnsi="Arial" w:cs="Arial"/>
                <w:b/>
                <w:bCs/>
                <w:sz w:val="16"/>
                <w:szCs w:val="16"/>
              </w:rPr>
            </w:pPr>
            <w:r w:rsidRPr="005F58B8">
              <w:rPr>
                <w:rFonts w:ascii="Arial" w:hAnsi="Arial" w:cs="Arial"/>
                <w:b/>
                <w:bCs/>
                <w:sz w:val="16"/>
                <w:szCs w:val="16"/>
              </w:rPr>
              <w:t>LIABILITIES ADMINISTERED ON BEHALF OF GOVERNMENT</w:t>
            </w:r>
          </w:p>
        </w:tc>
        <w:tc>
          <w:tcPr>
            <w:tcW w:w="900" w:type="dxa"/>
            <w:tcBorders>
              <w:top w:val="nil"/>
              <w:left w:val="nil"/>
              <w:bottom w:val="nil"/>
              <w:right w:val="nil"/>
            </w:tcBorders>
            <w:shd w:val="clear" w:color="auto" w:fill="auto"/>
            <w:noWrap/>
            <w:vAlign w:val="bottom"/>
            <w:hideMark/>
          </w:tcPr>
          <w:p w14:paraId="44D77F13" w14:textId="77777777" w:rsidR="005F58B8" w:rsidRPr="005F58B8" w:rsidRDefault="005F58B8" w:rsidP="005F58B8">
            <w:pPr>
              <w:spacing w:after="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1A32D5BE"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2B3EABB2" w14:textId="77777777" w:rsidR="005F58B8" w:rsidRPr="005F58B8" w:rsidRDefault="005F58B8" w:rsidP="005F58B8">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1E4DA50E" w14:textId="77777777" w:rsidR="005F58B8" w:rsidRPr="005F58B8" w:rsidRDefault="005F58B8" w:rsidP="005F58B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23C1D850" w14:textId="77777777" w:rsidR="005F58B8" w:rsidRPr="005F58B8" w:rsidRDefault="005F58B8" w:rsidP="005F58B8">
            <w:pPr>
              <w:spacing w:after="0"/>
              <w:jc w:val="right"/>
              <w:rPr>
                <w:rFonts w:ascii="Times New Roman" w:hAnsi="Times New Roman"/>
                <w:color w:val="auto"/>
                <w:sz w:val="20"/>
              </w:rPr>
            </w:pPr>
          </w:p>
        </w:tc>
      </w:tr>
      <w:tr w:rsidR="005F58B8" w:rsidRPr="005F58B8" w14:paraId="2BA48347" w14:textId="77777777" w:rsidTr="005F58B8">
        <w:trPr>
          <w:trHeight w:val="300"/>
        </w:trPr>
        <w:tc>
          <w:tcPr>
            <w:tcW w:w="2860" w:type="dxa"/>
            <w:tcBorders>
              <w:top w:val="nil"/>
              <w:left w:val="nil"/>
              <w:bottom w:val="nil"/>
              <w:right w:val="nil"/>
            </w:tcBorders>
            <w:shd w:val="clear" w:color="auto" w:fill="auto"/>
            <w:noWrap/>
            <w:vAlign w:val="bottom"/>
            <w:hideMark/>
          </w:tcPr>
          <w:p w14:paraId="78875DE6" w14:textId="77777777" w:rsidR="005F58B8" w:rsidRPr="005F58B8" w:rsidRDefault="005F58B8" w:rsidP="005F58B8">
            <w:pPr>
              <w:spacing w:after="0"/>
              <w:ind w:leftChars="75" w:left="143"/>
              <w:rPr>
                <w:rFonts w:ascii="Arial" w:hAnsi="Arial" w:cs="Arial"/>
                <w:b/>
                <w:bCs/>
                <w:sz w:val="16"/>
                <w:szCs w:val="16"/>
              </w:rPr>
            </w:pPr>
            <w:r w:rsidRPr="005F58B8">
              <w:rPr>
                <w:rFonts w:ascii="Arial" w:hAnsi="Arial" w:cs="Arial"/>
                <w:b/>
                <w:bCs/>
                <w:sz w:val="16"/>
                <w:szCs w:val="16"/>
              </w:rPr>
              <w:t>Payables</w:t>
            </w:r>
          </w:p>
        </w:tc>
        <w:tc>
          <w:tcPr>
            <w:tcW w:w="900" w:type="dxa"/>
            <w:tcBorders>
              <w:top w:val="nil"/>
              <w:left w:val="nil"/>
              <w:bottom w:val="nil"/>
              <w:right w:val="nil"/>
            </w:tcBorders>
            <w:shd w:val="clear" w:color="auto" w:fill="auto"/>
            <w:noWrap/>
            <w:vAlign w:val="bottom"/>
            <w:hideMark/>
          </w:tcPr>
          <w:p w14:paraId="7C2A47CC" w14:textId="77777777" w:rsidR="005F58B8" w:rsidRPr="005F58B8" w:rsidRDefault="005F58B8" w:rsidP="005F58B8">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D115810"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1D6C60DD" w14:textId="77777777" w:rsidR="005F58B8" w:rsidRPr="005F58B8" w:rsidRDefault="005F58B8" w:rsidP="005F58B8">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1CCCC49" w14:textId="77777777" w:rsidR="005F58B8" w:rsidRPr="005F58B8" w:rsidRDefault="005F58B8" w:rsidP="005F58B8">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8C5E9BC" w14:textId="77777777" w:rsidR="005F58B8" w:rsidRPr="005F58B8" w:rsidRDefault="005F58B8" w:rsidP="005F58B8">
            <w:pPr>
              <w:spacing w:after="0"/>
              <w:jc w:val="right"/>
              <w:rPr>
                <w:rFonts w:ascii="Times New Roman" w:hAnsi="Times New Roman"/>
                <w:color w:val="auto"/>
                <w:sz w:val="20"/>
              </w:rPr>
            </w:pPr>
          </w:p>
        </w:tc>
      </w:tr>
      <w:tr w:rsidR="005F58B8" w:rsidRPr="005F58B8" w14:paraId="6F346900" w14:textId="77777777" w:rsidTr="005F58B8">
        <w:trPr>
          <w:trHeight w:val="225"/>
        </w:trPr>
        <w:tc>
          <w:tcPr>
            <w:tcW w:w="2860" w:type="dxa"/>
            <w:tcBorders>
              <w:top w:val="nil"/>
              <w:left w:val="nil"/>
              <w:bottom w:val="nil"/>
              <w:right w:val="nil"/>
            </w:tcBorders>
            <w:shd w:val="clear" w:color="auto" w:fill="auto"/>
            <w:noWrap/>
            <w:vAlign w:val="bottom"/>
            <w:hideMark/>
          </w:tcPr>
          <w:p w14:paraId="614CF430" w14:textId="77777777" w:rsidR="005F58B8" w:rsidRPr="005F58B8" w:rsidRDefault="005F58B8" w:rsidP="005F58B8">
            <w:pPr>
              <w:spacing w:after="0"/>
              <w:ind w:firstLineChars="200" w:firstLine="320"/>
              <w:rPr>
                <w:rFonts w:ascii="Arial" w:hAnsi="Arial" w:cs="Arial"/>
                <w:color w:val="auto"/>
                <w:sz w:val="16"/>
                <w:szCs w:val="16"/>
              </w:rPr>
            </w:pPr>
            <w:r w:rsidRPr="005F58B8">
              <w:rPr>
                <w:rFonts w:ascii="Arial" w:hAnsi="Arial" w:cs="Arial"/>
                <w:color w:val="auto"/>
                <w:sz w:val="16"/>
                <w:szCs w:val="16"/>
              </w:rPr>
              <w:t>Grants</w:t>
            </w:r>
          </w:p>
        </w:tc>
        <w:tc>
          <w:tcPr>
            <w:tcW w:w="900" w:type="dxa"/>
            <w:tcBorders>
              <w:top w:val="nil"/>
              <w:left w:val="nil"/>
              <w:bottom w:val="nil"/>
              <w:right w:val="nil"/>
            </w:tcBorders>
            <w:shd w:val="clear" w:color="auto" w:fill="auto"/>
            <w:noWrap/>
            <w:vAlign w:val="bottom"/>
            <w:hideMark/>
          </w:tcPr>
          <w:p w14:paraId="6040B485"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8,506</w:t>
            </w:r>
          </w:p>
        </w:tc>
        <w:tc>
          <w:tcPr>
            <w:tcW w:w="900" w:type="dxa"/>
            <w:tcBorders>
              <w:top w:val="nil"/>
              <w:left w:val="nil"/>
              <w:bottom w:val="nil"/>
              <w:right w:val="nil"/>
            </w:tcBorders>
            <w:shd w:val="clear" w:color="000000" w:fill="D9D9D9"/>
            <w:noWrap/>
            <w:vAlign w:val="bottom"/>
            <w:hideMark/>
          </w:tcPr>
          <w:p w14:paraId="2D5A3F6A"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8,546</w:t>
            </w:r>
          </w:p>
        </w:tc>
        <w:tc>
          <w:tcPr>
            <w:tcW w:w="900" w:type="dxa"/>
            <w:tcBorders>
              <w:top w:val="nil"/>
              <w:left w:val="nil"/>
              <w:bottom w:val="nil"/>
              <w:right w:val="nil"/>
            </w:tcBorders>
            <w:shd w:val="clear" w:color="auto" w:fill="auto"/>
            <w:noWrap/>
            <w:vAlign w:val="bottom"/>
            <w:hideMark/>
          </w:tcPr>
          <w:p w14:paraId="7A3F8AF7"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8,546</w:t>
            </w:r>
          </w:p>
        </w:tc>
        <w:tc>
          <w:tcPr>
            <w:tcW w:w="900" w:type="dxa"/>
            <w:tcBorders>
              <w:top w:val="nil"/>
              <w:left w:val="nil"/>
              <w:bottom w:val="nil"/>
              <w:right w:val="nil"/>
            </w:tcBorders>
            <w:shd w:val="clear" w:color="auto" w:fill="auto"/>
            <w:noWrap/>
            <w:vAlign w:val="bottom"/>
            <w:hideMark/>
          </w:tcPr>
          <w:p w14:paraId="72C30E2E"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8,546</w:t>
            </w:r>
          </w:p>
        </w:tc>
        <w:tc>
          <w:tcPr>
            <w:tcW w:w="900" w:type="dxa"/>
            <w:tcBorders>
              <w:top w:val="nil"/>
              <w:left w:val="nil"/>
              <w:bottom w:val="nil"/>
              <w:right w:val="nil"/>
            </w:tcBorders>
            <w:shd w:val="clear" w:color="auto" w:fill="auto"/>
            <w:noWrap/>
            <w:vAlign w:val="bottom"/>
            <w:hideMark/>
          </w:tcPr>
          <w:p w14:paraId="4003DCA4"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8,546</w:t>
            </w:r>
          </w:p>
        </w:tc>
      </w:tr>
      <w:tr w:rsidR="005F58B8" w:rsidRPr="005F58B8" w14:paraId="06DC8E01" w14:textId="77777777" w:rsidTr="005F58B8">
        <w:trPr>
          <w:trHeight w:val="225"/>
        </w:trPr>
        <w:tc>
          <w:tcPr>
            <w:tcW w:w="2860" w:type="dxa"/>
            <w:tcBorders>
              <w:top w:val="nil"/>
              <w:left w:val="nil"/>
              <w:bottom w:val="nil"/>
              <w:right w:val="nil"/>
            </w:tcBorders>
            <w:shd w:val="clear" w:color="auto" w:fill="auto"/>
            <w:noWrap/>
            <w:vAlign w:val="bottom"/>
            <w:hideMark/>
          </w:tcPr>
          <w:p w14:paraId="48AD14A5" w14:textId="77777777" w:rsidR="005F58B8" w:rsidRPr="005F58B8" w:rsidRDefault="005F58B8" w:rsidP="005F58B8">
            <w:pPr>
              <w:spacing w:after="0"/>
              <w:ind w:firstLineChars="200" w:firstLine="320"/>
              <w:rPr>
                <w:rFonts w:ascii="Arial" w:hAnsi="Arial" w:cs="Arial"/>
                <w:sz w:val="16"/>
                <w:szCs w:val="16"/>
              </w:rPr>
            </w:pPr>
            <w:r w:rsidRPr="005F58B8">
              <w:rPr>
                <w:rFonts w:ascii="Arial" w:hAnsi="Arial" w:cs="Arial"/>
                <w:sz w:val="16"/>
                <w:szCs w:val="16"/>
              </w:rPr>
              <w:t>Suppliers</w:t>
            </w:r>
          </w:p>
        </w:tc>
        <w:tc>
          <w:tcPr>
            <w:tcW w:w="900" w:type="dxa"/>
            <w:tcBorders>
              <w:top w:val="nil"/>
              <w:left w:val="nil"/>
              <w:bottom w:val="nil"/>
              <w:right w:val="nil"/>
            </w:tcBorders>
            <w:shd w:val="clear" w:color="auto" w:fill="auto"/>
            <w:noWrap/>
            <w:vAlign w:val="bottom"/>
            <w:hideMark/>
          </w:tcPr>
          <w:p w14:paraId="32FDCA4B"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148</w:t>
            </w:r>
          </w:p>
        </w:tc>
        <w:tc>
          <w:tcPr>
            <w:tcW w:w="900" w:type="dxa"/>
            <w:tcBorders>
              <w:top w:val="nil"/>
              <w:left w:val="nil"/>
              <w:bottom w:val="nil"/>
              <w:right w:val="nil"/>
            </w:tcBorders>
            <w:shd w:val="clear" w:color="000000" w:fill="D9D9D9"/>
            <w:noWrap/>
            <w:vAlign w:val="bottom"/>
            <w:hideMark/>
          </w:tcPr>
          <w:p w14:paraId="4D467C9B"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148</w:t>
            </w:r>
          </w:p>
        </w:tc>
        <w:tc>
          <w:tcPr>
            <w:tcW w:w="900" w:type="dxa"/>
            <w:tcBorders>
              <w:top w:val="nil"/>
              <w:left w:val="nil"/>
              <w:bottom w:val="nil"/>
              <w:right w:val="nil"/>
            </w:tcBorders>
            <w:shd w:val="clear" w:color="auto" w:fill="auto"/>
            <w:noWrap/>
            <w:vAlign w:val="bottom"/>
            <w:hideMark/>
          </w:tcPr>
          <w:p w14:paraId="24272C96"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148</w:t>
            </w:r>
          </w:p>
        </w:tc>
        <w:tc>
          <w:tcPr>
            <w:tcW w:w="900" w:type="dxa"/>
            <w:tcBorders>
              <w:top w:val="nil"/>
              <w:left w:val="nil"/>
              <w:bottom w:val="nil"/>
              <w:right w:val="nil"/>
            </w:tcBorders>
            <w:shd w:val="clear" w:color="auto" w:fill="auto"/>
            <w:noWrap/>
            <w:vAlign w:val="bottom"/>
            <w:hideMark/>
          </w:tcPr>
          <w:p w14:paraId="0DE64E03"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148</w:t>
            </w:r>
          </w:p>
        </w:tc>
        <w:tc>
          <w:tcPr>
            <w:tcW w:w="900" w:type="dxa"/>
            <w:tcBorders>
              <w:top w:val="nil"/>
              <w:left w:val="nil"/>
              <w:bottom w:val="nil"/>
              <w:right w:val="nil"/>
            </w:tcBorders>
            <w:shd w:val="clear" w:color="auto" w:fill="auto"/>
            <w:noWrap/>
            <w:vAlign w:val="bottom"/>
            <w:hideMark/>
          </w:tcPr>
          <w:p w14:paraId="574B828F" w14:textId="77777777" w:rsidR="005F58B8" w:rsidRPr="005F58B8" w:rsidRDefault="005F58B8" w:rsidP="005F58B8">
            <w:pPr>
              <w:spacing w:after="0"/>
              <w:jc w:val="right"/>
              <w:rPr>
                <w:rFonts w:ascii="Arial" w:hAnsi="Arial" w:cs="Arial"/>
                <w:sz w:val="16"/>
                <w:szCs w:val="16"/>
              </w:rPr>
            </w:pPr>
            <w:r w:rsidRPr="005F58B8">
              <w:rPr>
                <w:rFonts w:ascii="Arial" w:hAnsi="Arial" w:cs="Arial"/>
                <w:sz w:val="16"/>
                <w:szCs w:val="16"/>
              </w:rPr>
              <w:t>148</w:t>
            </w:r>
          </w:p>
        </w:tc>
      </w:tr>
      <w:tr w:rsidR="005F58B8" w:rsidRPr="005F58B8" w14:paraId="3E803FE0" w14:textId="77777777" w:rsidTr="005F58B8">
        <w:trPr>
          <w:trHeight w:val="225"/>
        </w:trPr>
        <w:tc>
          <w:tcPr>
            <w:tcW w:w="2860" w:type="dxa"/>
            <w:tcBorders>
              <w:top w:val="nil"/>
              <w:left w:val="nil"/>
              <w:bottom w:val="nil"/>
              <w:right w:val="nil"/>
            </w:tcBorders>
            <w:shd w:val="clear" w:color="auto" w:fill="auto"/>
            <w:noWrap/>
            <w:vAlign w:val="bottom"/>
            <w:hideMark/>
          </w:tcPr>
          <w:p w14:paraId="56407EF9" w14:textId="77777777" w:rsidR="005F58B8" w:rsidRPr="005F58B8" w:rsidRDefault="005F58B8" w:rsidP="005F58B8">
            <w:pPr>
              <w:spacing w:after="0"/>
              <w:ind w:firstLineChars="200" w:firstLine="320"/>
              <w:rPr>
                <w:rFonts w:ascii="Arial" w:hAnsi="Arial" w:cs="Arial"/>
                <w:b/>
                <w:bCs/>
                <w:sz w:val="16"/>
                <w:szCs w:val="16"/>
              </w:rPr>
            </w:pPr>
            <w:r w:rsidRPr="005F58B8">
              <w:rPr>
                <w:rFonts w:ascii="Arial" w:hAnsi="Arial" w:cs="Arial"/>
                <w:b/>
                <w:bCs/>
                <w:sz w:val="16"/>
                <w:szCs w:val="16"/>
              </w:rPr>
              <w:t>Total payables</w:t>
            </w:r>
          </w:p>
        </w:tc>
        <w:tc>
          <w:tcPr>
            <w:tcW w:w="900" w:type="dxa"/>
            <w:tcBorders>
              <w:top w:val="nil"/>
              <w:left w:val="nil"/>
              <w:bottom w:val="single" w:sz="4" w:space="0" w:color="auto"/>
              <w:right w:val="nil"/>
            </w:tcBorders>
            <w:shd w:val="clear" w:color="auto" w:fill="auto"/>
            <w:noWrap/>
            <w:vAlign w:val="bottom"/>
            <w:hideMark/>
          </w:tcPr>
          <w:p w14:paraId="035402A8"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8,654</w:t>
            </w:r>
          </w:p>
        </w:tc>
        <w:tc>
          <w:tcPr>
            <w:tcW w:w="900" w:type="dxa"/>
            <w:tcBorders>
              <w:top w:val="nil"/>
              <w:left w:val="nil"/>
              <w:bottom w:val="single" w:sz="4" w:space="0" w:color="auto"/>
              <w:right w:val="nil"/>
            </w:tcBorders>
            <w:shd w:val="clear" w:color="000000" w:fill="D9D9D9"/>
            <w:noWrap/>
            <w:vAlign w:val="bottom"/>
            <w:hideMark/>
          </w:tcPr>
          <w:p w14:paraId="48F6A599"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8,694</w:t>
            </w:r>
          </w:p>
        </w:tc>
        <w:tc>
          <w:tcPr>
            <w:tcW w:w="900" w:type="dxa"/>
            <w:tcBorders>
              <w:top w:val="nil"/>
              <w:left w:val="nil"/>
              <w:bottom w:val="single" w:sz="4" w:space="0" w:color="auto"/>
              <w:right w:val="nil"/>
            </w:tcBorders>
            <w:shd w:val="clear" w:color="auto" w:fill="auto"/>
            <w:noWrap/>
            <w:vAlign w:val="bottom"/>
            <w:hideMark/>
          </w:tcPr>
          <w:p w14:paraId="393BABC3"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8,694</w:t>
            </w:r>
          </w:p>
        </w:tc>
        <w:tc>
          <w:tcPr>
            <w:tcW w:w="900" w:type="dxa"/>
            <w:tcBorders>
              <w:top w:val="nil"/>
              <w:left w:val="nil"/>
              <w:bottom w:val="single" w:sz="4" w:space="0" w:color="auto"/>
              <w:right w:val="nil"/>
            </w:tcBorders>
            <w:shd w:val="clear" w:color="auto" w:fill="auto"/>
            <w:noWrap/>
            <w:vAlign w:val="bottom"/>
            <w:hideMark/>
          </w:tcPr>
          <w:p w14:paraId="413925C4"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8,694</w:t>
            </w:r>
          </w:p>
        </w:tc>
        <w:tc>
          <w:tcPr>
            <w:tcW w:w="900" w:type="dxa"/>
            <w:tcBorders>
              <w:top w:val="nil"/>
              <w:left w:val="nil"/>
              <w:bottom w:val="single" w:sz="4" w:space="0" w:color="auto"/>
              <w:right w:val="nil"/>
            </w:tcBorders>
            <w:shd w:val="clear" w:color="auto" w:fill="auto"/>
            <w:noWrap/>
            <w:vAlign w:val="bottom"/>
            <w:hideMark/>
          </w:tcPr>
          <w:p w14:paraId="486AA672"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8,694</w:t>
            </w:r>
          </w:p>
        </w:tc>
      </w:tr>
      <w:tr w:rsidR="005F58B8" w:rsidRPr="005F58B8" w14:paraId="5A00E70C" w14:textId="77777777" w:rsidTr="005F58B8">
        <w:trPr>
          <w:trHeight w:val="525"/>
        </w:trPr>
        <w:tc>
          <w:tcPr>
            <w:tcW w:w="2860" w:type="dxa"/>
            <w:tcBorders>
              <w:top w:val="nil"/>
              <w:left w:val="nil"/>
              <w:bottom w:val="single" w:sz="4" w:space="0" w:color="auto"/>
              <w:right w:val="nil"/>
            </w:tcBorders>
            <w:shd w:val="clear" w:color="auto" w:fill="auto"/>
            <w:vAlign w:val="bottom"/>
            <w:hideMark/>
          </w:tcPr>
          <w:p w14:paraId="591F53C2" w14:textId="77777777" w:rsidR="005F58B8" w:rsidRPr="005F58B8" w:rsidRDefault="005F58B8" w:rsidP="005F58B8">
            <w:pPr>
              <w:spacing w:after="0"/>
              <w:ind w:leftChars="75" w:left="143"/>
              <w:rPr>
                <w:rFonts w:ascii="Arial" w:hAnsi="Arial" w:cs="Arial"/>
                <w:b/>
                <w:bCs/>
                <w:sz w:val="16"/>
                <w:szCs w:val="16"/>
              </w:rPr>
            </w:pPr>
            <w:r w:rsidRPr="005F58B8">
              <w:rPr>
                <w:rFonts w:ascii="Arial" w:hAnsi="Arial" w:cs="Arial"/>
                <w:b/>
                <w:bCs/>
                <w:sz w:val="16"/>
                <w:szCs w:val="16"/>
              </w:rPr>
              <w:t>Total liabilities administered on behalf of Government</w:t>
            </w:r>
          </w:p>
        </w:tc>
        <w:tc>
          <w:tcPr>
            <w:tcW w:w="900" w:type="dxa"/>
            <w:tcBorders>
              <w:top w:val="nil"/>
              <w:left w:val="nil"/>
              <w:bottom w:val="single" w:sz="4" w:space="0" w:color="auto"/>
              <w:right w:val="nil"/>
            </w:tcBorders>
            <w:shd w:val="clear" w:color="auto" w:fill="auto"/>
            <w:noWrap/>
            <w:vAlign w:val="bottom"/>
            <w:hideMark/>
          </w:tcPr>
          <w:p w14:paraId="21DD1C16"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8,654</w:t>
            </w:r>
          </w:p>
        </w:tc>
        <w:tc>
          <w:tcPr>
            <w:tcW w:w="900" w:type="dxa"/>
            <w:tcBorders>
              <w:top w:val="nil"/>
              <w:left w:val="nil"/>
              <w:bottom w:val="single" w:sz="4" w:space="0" w:color="auto"/>
              <w:right w:val="nil"/>
            </w:tcBorders>
            <w:shd w:val="clear" w:color="000000" w:fill="D9D9D9"/>
            <w:noWrap/>
            <w:vAlign w:val="bottom"/>
            <w:hideMark/>
          </w:tcPr>
          <w:p w14:paraId="3A8B2CF8"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8,694</w:t>
            </w:r>
          </w:p>
        </w:tc>
        <w:tc>
          <w:tcPr>
            <w:tcW w:w="900" w:type="dxa"/>
            <w:tcBorders>
              <w:top w:val="nil"/>
              <w:left w:val="nil"/>
              <w:bottom w:val="single" w:sz="4" w:space="0" w:color="auto"/>
              <w:right w:val="nil"/>
            </w:tcBorders>
            <w:shd w:val="clear" w:color="auto" w:fill="auto"/>
            <w:noWrap/>
            <w:vAlign w:val="bottom"/>
            <w:hideMark/>
          </w:tcPr>
          <w:p w14:paraId="0848E9AF"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8,694</w:t>
            </w:r>
          </w:p>
        </w:tc>
        <w:tc>
          <w:tcPr>
            <w:tcW w:w="900" w:type="dxa"/>
            <w:tcBorders>
              <w:top w:val="nil"/>
              <w:left w:val="nil"/>
              <w:bottom w:val="single" w:sz="4" w:space="0" w:color="auto"/>
              <w:right w:val="nil"/>
            </w:tcBorders>
            <w:shd w:val="clear" w:color="auto" w:fill="auto"/>
            <w:noWrap/>
            <w:vAlign w:val="bottom"/>
            <w:hideMark/>
          </w:tcPr>
          <w:p w14:paraId="70398BE7"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8,694</w:t>
            </w:r>
          </w:p>
        </w:tc>
        <w:tc>
          <w:tcPr>
            <w:tcW w:w="900" w:type="dxa"/>
            <w:tcBorders>
              <w:top w:val="nil"/>
              <w:left w:val="nil"/>
              <w:bottom w:val="single" w:sz="4" w:space="0" w:color="auto"/>
              <w:right w:val="nil"/>
            </w:tcBorders>
            <w:shd w:val="clear" w:color="auto" w:fill="auto"/>
            <w:noWrap/>
            <w:vAlign w:val="bottom"/>
            <w:hideMark/>
          </w:tcPr>
          <w:p w14:paraId="6AB918FF" w14:textId="77777777" w:rsidR="005F58B8" w:rsidRPr="005F58B8" w:rsidRDefault="005F58B8" w:rsidP="005F58B8">
            <w:pPr>
              <w:spacing w:after="0"/>
              <w:jc w:val="right"/>
              <w:rPr>
                <w:rFonts w:ascii="Arial" w:hAnsi="Arial" w:cs="Arial"/>
                <w:b/>
                <w:bCs/>
                <w:sz w:val="16"/>
                <w:szCs w:val="16"/>
              </w:rPr>
            </w:pPr>
            <w:r w:rsidRPr="005F58B8">
              <w:rPr>
                <w:rFonts w:ascii="Arial" w:hAnsi="Arial" w:cs="Arial"/>
                <w:b/>
                <w:bCs/>
                <w:sz w:val="16"/>
                <w:szCs w:val="16"/>
              </w:rPr>
              <w:t>8,694</w:t>
            </w:r>
          </w:p>
        </w:tc>
      </w:tr>
    </w:tbl>
    <w:p w14:paraId="7D9B82C5" w14:textId="77777777" w:rsidR="009B5ABA" w:rsidRDefault="009B5ABA">
      <w:pPr>
        <w:spacing w:after="160" w:line="259" w:lineRule="auto"/>
        <w:rPr>
          <w:rFonts w:ascii="Arial" w:hAnsi="Arial"/>
          <w:b/>
          <w:color w:val="auto"/>
          <w:sz w:val="20"/>
        </w:rPr>
      </w:pPr>
      <w:r>
        <w:rPr>
          <w:rFonts w:ascii="Arial" w:hAnsi="Arial"/>
          <w:b/>
          <w:color w:val="auto"/>
          <w:sz w:val="20"/>
        </w:rPr>
        <w:br w:type="page"/>
      </w:r>
    </w:p>
    <w:p w14:paraId="2EBE641D" w14:textId="65F5887F" w:rsidR="009B5ABA" w:rsidRDefault="005A6FA5" w:rsidP="006B7882">
      <w:pPr>
        <w:keepNext/>
        <w:spacing w:before="120"/>
        <w:rPr>
          <w:rFonts w:ascii="Arial" w:hAnsi="Arial"/>
          <w:b/>
          <w:color w:val="auto"/>
          <w:sz w:val="20"/>
        </w:rPr>
      </w:pPr>
      <w:r w:rsidRPr="005A6FA5">
        <w:rPr>
          <w:rFonts w:ascii="Arial" w:hAnsi="Arial"/>
          <w:b/>
          <w:color w:val="auto"/>
          <w:sz w:val="20"/>
        </w:rPr>
        <w:lastRenderedPageBreak/>
        <w:t>Table 3.9: Schedule of budgeted administered cash flows (for the period ended 30 June)</w:t>
      </w:r>
    </w:p>
    <w:tbl>
      <w:tblPr>
        <w:tblW w:w="7360" w:type="dxa"/>
        <w:tblLayout w:type="fixed"/>
        <w:tblLook w:val="04A0" w:firstRow="1" w:lastRow="0" w:firstColumn="1" w:lastColumn="0" w:noHBand="0" w:noVBand="1"/>
      </w:tblPr>
      <w:tblGrid>
        <w:gridCol w:w="2860"/>
        <w:gridCol w:w="900"/>
        <w:gridCol w:w="900"/>
        <w:gridCol w:w="900"/>
        <w:gridCol w:w="900"/>
        <w:gridCol w:w="900"/>
      </w:tblGrid>
      <w:tr w:rsidR="00765C3D" w:rsidRPr="00765C3D" w14:paraId="03B823A5" w14:textId="77777777" w:rsidTr="00765C3D">
        <w:trPr>
          <w:trHeight w:val="765"/>
        </w:trPr>
        <w:tc>
          <w:tcPr>
            <w:tcW w:w="2860" w:type="dxa"/>
            <w:tcBorders>
              <w:top w:val="single" w:sz="4" w:space="0" w:color="auto"/>
              <w:left w:val="nil"/>
              <w:bottom w:val="nil"/>
              <w:right w:val="nil"/>
            </w:tcBorders>
            <w:shd w:val="clear" w:color="auto" w:fill="auto"/>
            <w:tcMar>
              <w:left w:w="0" w:type="dxa"/>
            </w:tcMar>
            <w:hideMark/>
          </w:tcPr>
          <w:p w14:paraId="17B99C39" w14:textId="77777777" w:rsidR="00765C3D" w:rsidRPr="00765C3D" w:rsidRDefault="00765C3D" w:rsidP="00765C3D">
            <w:pPr>
              <w:spacing w:after="0"/>
              <w:jc w:val="right"/>
              <w:rPr>
                <w:rFonts w:ascii="Arial" w:hAnsi="Arial" w:cs="Arial"/>
                <w:b/>
                <w:bCs/>
                <w:color w:val="auto"/>
                <w:sz w:val="16"/>
                <w:szCs w:val="16"/>
              </w:rPr>
            </w:pPr>
            <w:r w:rsidRPr="00765C3D">
              <w:rPr>
                <w:rFonts w:ascii="Arial" w:hAnsi="Arial" w:cs="Arial"/>
                <w:b/>
                <w:bCs/>
                <w:color w:val="auto"/>
                <w:sz w:val="16"/>
                <w:szCs w:val="16"/>
              </w:rPr>
              <w:t> </w:t>
            </w:r>
          </w:p>
        </w:tc>
        <w:tc>
          <w:tcPr>
            <w:tcW w:w="900" w:type="dxa"/>
            <w:tcBorders>
              <w:top w:val="single" w:sz="4" w:space="0" w:color="auto"/>
              <w:left w:val="nil"/>
              <w:bottom w:val="single" w:sz="4" w:space="0" w:color="auto"/>
              <w:right w:val="nil"/>
            </w:tcBorders>
            <w:shd w:val="clear" w:color="auto" w:fill="auto"/>
            <w:tcMar>
              <w:left w:w="0" w:type="dxa"/>
            </w:tcMar>
            <w:hideMark/>
          </w:tcPr>
          <w:p w14:paraId="46AAE949" w14:textId="77777777" w:rsidR="00765C3D" w:rsidRPr="00765C3D" w:rsidRDefault="00765C3D" w:rsidP="00953F5F">
            <w:pPr>
              <w:spacing w:before="40" w:after="0"/>
              <w:jc w:val="right"/>
              <w:rPr>
                <w:rFonts w:ascii="Arial" w:hAnsi="Arial" w:cs="Arial"/>
                <w:b/>
                <w:bCs/>
                <w:color w:val="auto"/>
                <w:sz w:val="16"/>
                <w:szCs w:val="16"/>
              </w:rPr>
            </w:pPr>
            <w:r w:rsidRPr="00765C3D">
              <w:rPr>
                <w:rFonts w:ascii="Arial" w:hAnsi="Arial" w:cs="Arial"/>
                <w:b/>
                <w:bCs/>
                <w:color w:val="auto"/>
                <w:sz w:val="16"/>
                <w:szCs w:val="16"/>
              </w:rPr>
              <w:t>2021–22 Estimated actual</w:t>
            </w:r>
            <w:r w:rsidRPr="00765C3D">
              <w:rPr>
                <w:rFonts w:ascii="Arial" w:hAnsi="Arial" w:cs="Arial"/>
                <w:b/>
                <w:bCs/>
                <w:color w:val="auto"/>
                <w:sz w:val="16"/>
                <w:szCs w:val="16"/>
              </w:rPr>
              <w:br/>
            </w:r>
            <w:r w:rsidRPr="00765C3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000000" w:fill="D9D9D9"/>
            <w:tcMar>
              <w:left w:w="0" w:type="dxa"/>
            </w:tcMar>
            <w:hideMark/>
          </w:tcPr>
          <w:p w14:paraId="25C4604D" w14:textId="77777777" w:rsidR="00765C3D" w:rsidRPr="00765C3D" w:rsidRDefault="00765C3D" w:rsidP="00953F5F">
            <w:pPr>
              <w:spacing w:before="40" w:after="0"/>
              <w:jc w:val="right"/>
              <w:rPr>
                <w:rFonts w:ascii="Arial" w:hAnsi="Arial" w:cs="Arial"/>
                <w:b/>
                <w:bCs/>
                <w:color w:val="auto"/>
                <w:sz w:val="16"/>
                <w:szCs w:val="16"/>
              </w:rPr>
            </w:pPr>
            <w:r w:rsidRPr="00765C3D">
              <w:rPr>
                <w:rFonts w:ascii="Arial" w:hAnsi="Arial" w:cs="Arial"/>
                <w:b/>
                <w:bCs/>
                <w:color w:val="auto"/>
                <w:sz w:val="16"/>
                <w:szCs w:val="16"/>
              </w:rPr>
              <w:t xml:space="preserve">2022–23 Budget </w:t>
            </w:r>
            <w:r w:rsidRPr="00765C3D">
              <w:rPr>
                <w:rFonts w:ascii="Arial" w:hAnsi="Arial" w:cs="Arial"/>
                <w:b/>
                <w:bCs/>
                <w:color w:val="auto"/>
                <w:sz w:val="16"/>
                <w:szCs w:val="16"/>
              </w:rPr>
              <w:br/>
            </w:r>
            <w:r w:rsidRPr="00765C3D">
              <w:rPr>
                <w:rFonts w:ascii="Arial" w:hAnsi="Arial" w:cs="Arial"/>
                <w:b/>
                <w:bCs/>
                <w:color w:val="auto"/>
                <w:sz w:val="16"/>
                <w:szCs w:val="16"/>
              </w:rPr>
              <w:br/>
            </w:r>
            <w:r w:rsidRPr="00765C3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79AF2816" w14:textId="77777777" w:rsidR="00765C3D" w:rsidRPr="00765C3D" w:rsidRDefault="00765C3D" w:rsidP="00953F5F">
            <w:pPr>
              <w:spacing w:before="40" w:after="0"/>
              <w:jc w:val="right"/>
              <w:rPr>
                <w:rFonts w:ascii="Arial" w:hAnsi="Arial" w:cs="Arial"/>
                <w:b/>
                <w:bCs/>
                <w:color w:val="auto"/>
                <w:sz w:val="16"/>
                <w:szCs w:val="16"/>
              </w:rPr>
            </w:pPr>
            <w:r w:rsidRPr="00765C3D">
              <w:rPr>
                <w:rFonts w:ascii="Arial" w:hAnsi="Arial" w:cs="Arial"/>
                <w:b/>
                <w:bCs/>
                <w:color w:val="auto"/>
                <w:sz w:val="16"/>
                <w:szCs w:val="16"/>
              </w:rPr>
              <w:t>2023–24 Forward estimate</w:t>
            </w:r>
            <w:r w:rsidRPr="00765C3D">
              <w:rPr>
                <w:rFonts w:ascii="Arial" w:hAnsi="Arial" w:cs="Arial"/>
                <w:b/>
                <w:bCs/>
                <w:color w:val="auto"/>
                <w:sz w:val="16"/>
                <w:szCs w:val="16"/>
              </w:rPr>
              <w:br/>
            </w:r>
            <w:r w:rsidRPr="00765C3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4FA1C416" w14:textId="77777777" w:rsidR="00765C3D" w:rsidRPr="00765C3D" w:rsidRDefault="00765C3D" w:rsidP="00953F5F">
            <w:pPr>
              <w:spacing w:before="40" w:after="0"/>
              <w:jc w:val="right"/>
              <w:rPr>
                <w:rFonts w:ascii="Arial" w:hAnsi="Arial" w:cs="Arial"/>
                <w:b/>
                <w:bCs/>
                <w:color w:val="auto"/>
                <w:sz w:val="16"/>
                <w:szCs w:val="16"/>
              </w:rPr>
            </w:pPr>
            <w:r w:rsidRPr="00765C3D">
              <w:rPr>
                <w:rFonts w:ascii="Arial" w:hAnsi="Arial" w:cs="Arial"/>
                <w:b/>
                <w:bCs/>
                <w:color w:val="auto"/>
                <w:sz w:val="16"/>
                <w:szCs w:val="16"/>
              </w:rPr>
              <w:t>2024–25 Forward estimate</w:t>
            </w:r>
            <w:r w:rsidRPr="00765C3D">
              <w:rPr>
                <w:rFonts w:ascii="Arial" w:hAnsi="Arial" w:cs="Arial"/>
                <w:b/>
                <w:bCs/>
                <w:color w:val="auto"/>
                <w:sz w:val="16"/>
                <w:szCs w:val="16"/>
              </w:rPr>
              <w:br/>
            </w:r>
            <w:r w:rsidRPr="00765C3D">
              <w:rPr>
                <w:rFonts w:ascii="Arial" w:hAnsi="Arial" w:cs="Arial"/>
                <w:color w:val="auto"/>
                <w:sz w:val="16"/>
                <w:szCs w:val="16"/>
              </w:rPr>
              <w:t>$'000</w:t>
            </w:r>
          </w:p>
        </w:tc>
        <w:tc>
          <w:tcPr>
            <w:tcW w:w="900" w:type="dxa"/>
            <w:tcBorders>
              <w:top w:val="single" w:sz="4" w:space="0" w:color="auto"/>
              <w:left w:val="nil"/>
              <w:bottom w:val="single" w:sz="4" w:space="0" w:color="auto"/>
              <w:right w:val="nil"/>
            </w:tcBorders>
            <w:shd w:val="clear" w:color="auto" w:fill="auto"/>
            <w:tcMar>
              <w:left w:w="0" w:type="dxa"/>
            </w:tcMar>
            <w:hideMark/>
          </w:tcPr>
          <w:p w14:paraId="0BEC4FA5" w14:textId="77777777" w:rsidR="00765C3D" w:rsidRPr="00765C3D" w:rsidRDefault="00765C3D" w:rsidP="00953F5F">
            <w:pPr>
              <w:spacing w:before="40" w:after="0"/>
              <w:jc w:val="right"/>
              <w:rPr>
                <w:rFonts w:ascii="Arial" w:hAnsi="Arial" w:cs="Arial"/>
                <w:b/>
                <w:bCs/>
                <w:color w:val="auto"/>
                <w:sz w:val="16"/>
                <w:szCs w:val="16"/>
              </w:rPr>
            </w:pPr>
            <w:r w:rsidRPr="00765C3D">
              <w:rPr>
                <w:rFonts w:ascii="Arial" w:hAnsi="Arial" w:cs="Arial"/>
                <w:b/>
                <w:bCs/>
                <w:color w:val="auto"/>
                <w:sz w:val="16"/>
                <w:szCs w:val="16"/>
              </w:rPr>
              <w:t>2025–26 Forward estimate</w:t>
            </w:r>
            <w:r w:rsidRPr="00765C3D">
              <w:rPr>
                <w:rFonts w:ascii="Arial" w:hAnsi="Arial" w:cs="Arial"/>
                <w:b/>
                <w:bCs/>
                <w:color w:val="auto"/>
                <w:sz w:val="16"/>
                <w:szCs w:val="16"/>
              </w:rPr>
              <w:br/>
            </w:r>
            <w:r w:rsidRPr="00765C3D">
              <w:rPr>
                <w:rFonts w:ascii="Arial" w:hAnsi="Arial" w:cs="Arial"/>
                <w:color w:val="auto"/>
                <w:sz w:val="16"/>
                <w:szCs w:val="16"/>
              </w:rPr>
              <w:t>$'000</w:t>
            </w:r>
          </w:p>
        </w:tc>
      </w:tr>
      <w:tr w:rsidR="00765C3D" w:rsidRPr="00765C3D" w14:paraId="717A3714" w14:textId="77777777" w:rsidTr="00765C3D">
        <w:trPr>
          <w:trHeight w:val="225"/>
        </w:trPr>
        <w:tc>
          <w:tcPr>
            <w:tcW w:w="2860" w:type="dxa"/>
            <w:tcBorders>
              <w:top w:val="nil"/>
              <w:left w:val="nil"/>
              <w:bottom w:val="nil"/>
              <w:right w:val="nil"/>
            </w:tcBorders>
            <w:shd w:val="clear" w:color="auto" w:fill="auto"/>
            <w:noWrap/>
            <w:vAlign w:val="bottom"/>
            <w:hideMark/>
          </w:tcPr>
          <w:p w14:paraId="4A3C14FB" w14:textId="77777777" w:rsidR="00765C3D" w:rsidRPr="00765C3D" w:rsidRDefault="00765C3D" w:rsidP="00765C3D">
            <w:pPr>
              <w:spacing w:after="0"/>
              <w:rPr>
                <w:rFonts w:ascii="Arial" w:hAnsi="Arial" w:cs="Arial"/>
                <w:b/>
                <w:bCs/>
                <w:sz w:val="16"/>
                <w:szCs w:val="16"/>
              </w:rPr>
            </w:pPr>
            <w:r w:rsidRPr="00765C3D">
              <w:rPr>
                <w:rFonts w:ascii="Arial" w:hAnsi="Arial" w:cs="Arial"/>
                <w:b/>
                <w:bCs/>
                <w:sz w:val="16"/>
                <w:szCs w:val="16"/>
              </w:rPr>
              <w:t>OPERATING ACTIVITIES</w:t>
            </w:r>
          </w:p>
        </w:tc>
        <w:tc>
          <w:tcPr>
            <w:tcW w:w="900" w:type="dxa"/>
            <w:tcBorders>
              <w:top w:val="single" w:sz="4" w:space="0" w:color="auto"/>
              <w:left w:val="nil"/>
              <w:bottom w:val="nil"/>
              <w:right w:val="nil"/>
            </w:tcBorders>
            <w:shd w:val="clear" w:color="auto" w:fill="auto"/>
            <w:noWrap/>
            <w:vAlign w:val="bottom"/>
            <w:hideMark/>
          </w:tcPr>
          <w:p w14:paraId="7DFDC92E"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 </w:t>
            </w:r>
          </w:p>
        </w:tc>
        <w:tc>
          <w:tcPr>
            <w:tcW w:w="900" w:type="dxa"/>
            <w:tcBorders>
              <w:top w:val="single" w:sz="4" w:space="0" w:color="auto"/>
              <w:left w:val="nil"/>
              <w:bottom w:val="nil"/>
              <w:right w:val="nil"/>
            </w:tcBorders>
            <w:shd w:val="clear" w:color="000000" w:fill="D9D9D9"/>
            <w:noWrap/>
            <w:vAlign w:val="bottom"/>
            <w:hideMark/>
          </w:tcPr>
          <w:p w14:paraId="0C1BEE6A"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2695FFFF"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638AA8E9"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 </w:t>
            </w:r>
          </w:p>
        </w:tc>
        <w:tc>
          <w:tcPr>
            <w:tcW w:w="900" w:type="dxa"/>
            <w:tcBorders>
              <w:top w:val="single" w:sz="4" w:space="0" w:color="auto"/>
              <w:left w:val="nil"/>
              <w:bottom w:val="nil"/>
              <w:right w:val="nil"/>
            </w:tcBorders>
            <w:shd w:val="clear" w:color="auto" w:fill="auto"/>
            <w:noWrap/>
            <w:vAlign w:val="bottom"/>
            <w:hideMark/>
          </w:tcPr>
          <w:p w14:paraId="597ED33A"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 </w:t>
            </w:r>
          </w:p>
        </w:tc>
      </w:tr>
      <w:tr w:rsidR="00765C3D" w:rsidRPr="00765C3D" w14:paraId="0AAAB646" w14:textId="77777777" w:rsidTr="00765C3D">
        <w:trPr>
          <w:trHeight w:val="225"/>
        </w:trPr>
        <w:tc>
          <w:tcPr>
            <w:tcW w:w="2860" w:type="dxa"/>
            <w:tcBorders>
              <w:top w:val="nil"/>
              <w:left w:val="nil"/>
              <w:bottom w:val="nil"/>
              <w:right w:val="nil"/>
            </w:tcBorders>
            <w:shd w:val="clear" w:color="auto" w:fill="auto"/>
            <w:noWrap/>
            <w:vAlign w:val="bottom"/>
            <w:hideMark/>
          </w:tcPr>
          <w:p w14:paraId="789FE064" w14:textId="77777777" w:rsidR="00765C3D" w:rsidRPr="00765C3D" w:rsidRDefault="00765C3D" w:rsidP="00765C3D">
            <w:pPr>
              <w:spacing w:after="0"/>
              <w:ind w:firstLineChars="100" w:firstLine="160"/>
              <w:rPr>
                <w:rFonts w:ascii="Arial" w:hAnsi="Arial" w:cs="Arial"/>
                <w:b/>
                <w:bCs/>
                <w:sz w:val="16"/>
                <w:szCs w:val="16"/>
              </w:rPr>
            </w:pPr>
            <w:r w:rsidRPr="00765C3D">
              <w:rPr>
                <w:rFonts w:ascii="Arial" w:hAnsi="Arial" w:cs="Arial"/>
                <w:b/>
                <w:bCs/>
                <w:sz w:val="16"/>
                <w:szCs w:val="16"/>
              </w:rPr>
              <w:t>Cash received</w:t>
            </w:r>
          </w:p>
        </w:tc>
        <w:tc>
          <w:tcPr>
            <w:tcW w:w="900" w:type="dxa"/>
            <w:tcBorders>
              <w:top w:val="nil"/>
              <w:left w:val="nil"/>
              <w:bottom w:val="nil"/>
              <w:right w:val="nil"/>
            </w:tcBorders>
            <w:shd w:val="clear" w:color="auto" w:fill="auto"/>
            <w:noWrap/>
            <w:vAlign w:val="bottom"/>
            <w:hideMark/>
          </w:tcPr>
          <w:p w14:paraId="28704C59" w14:textId="77777777" w:rsidR="00765C3D" w:rsidRPr="00765C3D" w:rsidRDefault="00765C3D" w:rsidP="00765C3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772DBB16"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306F2325" w14:textId="77777777" w:rsidR="00765C3D" w:rsidRPr="00765C3D" w:rsidRDefault="00765C3D" w:rsidP="00765C3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32A40880" w14:textId="77777777" w:rsidR="00765C3D" w:rsidRPr="00765C3D" w:rsidRDefault="00765C3D" w:rsidP="00765C3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59E6E9F8" w14:textId="77777777" w:rsidR="00765C3D" w:rsidRPr="00765C3D" w:rsidRDefault="00765C3D" w:rsidP="00765C3D">
            <w:pPr>
              <w:spacing w:after="0"/>
              <w:jc w:val="right"/>
              <w:rPr>
                <w:rFonts w:ascii="Times New Roman" w:hAnsi="Times New Roman"/>
                <w:color w:val="auto"/>
                <w:sz w:val="20"/>
              </w:rPr>
            </w:pPr>
          </w:p>
        </w:tc>
      </w:tr>
      <w:tr w:rsidR="00765C3D" w:rsidRPr="00765C3D" w14:paraId="53780653" w14:textId="77777777" w:rsidTr="00765C3D">
        <w:trPr>
          <w:trHeight w:val="225"/>
        </w:trPr>
        <w:tc>
          <w:tcPr>
            <w:tcW w:w="2860" w:type="dxa"/>
            <w:tcBorders>
              <w:top w:val="nil"/>
              <w:left w:val="nil"/>
              <w:bottom w:val="nil"/>
              <w:right w:val="nil"/>
            </w:tcBorders>
            <w:shd w:val="clear" w:color="auto" w:fill="auto"/>
            <w:noWrap/>
            <w:vAlign w:val="bottom"/>
            <w:hideMark/>
          </w:tcPr>
          <w:p w14:paraId="521F537A" w14:textId="77777777" w:rsidR="00765C3D" w:rsidRPr="00765C3D" w:rsidRDefault="00765C3D" w:rsidP="00765C3D">
            <w:pPr>
              <w:spacing w:after="0"/>
              <w:ind w:firstLineChars="200" w:firstLine="320"/>
              <w:rPr>
                <w:rFonts w:ascii="Arial" w:hAnsi="Arial" w:cs="Arial"/>
                <w:color w:val="auto"/>
                <w:sz w:val="16"/>
                <w:szCs w:val="16"/>
              </w:rPr>
            </w:pPr>
            <w:r w:rsidRPr="00765C3D">
              <w:rPr>
                <w:rFonts w:ascii="Arial" w:hAnsi="Arial" w:cs="Arial"/>
                <w:color w:val="auto"/>
                <w:sz w:val="16"/>
                <w:szCs w:val="16"/>
              </w:rPr>
              <w:t>GST received</w:t>
            </w:r>
          </w:p>
        </w:tc>
        <w:tc>
          <w:tcPr>
            <w:tcW w:w="900" w:type="dxa"/>
            <w:tcBorders>
              <w:top w:val="nil"/>
              <w:left w:val="nil"/>
              <w:bottom w:val="nil"/>
              <w:right w:val="nil"/>
            </w:tcBorders>
            <w:shd w:val="clear" w:color="auto" w:fill="auto"/>
            <w:noWrap/>
            <w:vAlign w:val="bottom"/>
            <w:hideMark/>
          </w:tcPr>
          <w:p w14:paraId="16D24411"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1,085</w:t>
            </w:r>
          </w:p>
        </w:tc>
        <w:tc>
          <w:tcPr>
            <w:tcW w:w="900" w:type="dxa"/>
            <w:tcBorders>
              <w:top w:val="nil"/>
              <w:left w:val="nil"/>
              <w:bottom w:val="nil"/>
              <w:right w:val="nil"/>
            </w:tcBorders>
            <w:shd w:val="clear" w:color="000000" w:fill="D9D9D9"/>
            <w:noWrap/>
            <w:vAlign w:val="bottom"/>
            <w:hideMark/>
          </w:tcPr>
          <w:p w14:paraId="1B8A045D"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18D62281"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69F6639C"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2C585315"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750</w:t>
            </w:r>
          </w:p>
        </w:tc>
      </w:tr>
      <w:tr w:rsidR="00765C3D" w:rsidRPr="00765C3D" w14:paraId="7165953C" w14:textId="77777777" w:rsidTr="00765C3D">
        <w:trPr>
          <w:trHeight w:val="225"/>
        </w:trPr>
        <w:tc>
          <w:tcPr>
            <w:tcW w:w="2860" w:type="dxa"/>
            <w:tcBorders>
              <w:top w:val="nil"/>
              <w:left w:val="nil"/>
              <w:bottom w:val="nil"/>
              <w:right w:val="nil"/>
            </w:tcBorders>
            <w:shd w:val="clear" w:color="auto" w:fill="auto"/>
            <w:noWrap/>
            <w:vAlign w:val="bottom"/>
            <w:hideMark/>
          </w:tcPr>
          <w:p w14:paraId="3E9772BF" w14:textId="77777777" w:rsidR="00765C3D" w:rsidRPr="00765C3D" w:rsidRDefault="00765C3D" w:rsidP="00765C3D">
            <w:pPr>
              <w:spacing w:after="0"/>
              <w:ind w:firstLineChars="200" w:firstLine="320"/>
              <w:rPr>
                <w:rFonts w:ascii="Arial" w:hAnsi="Arial" w:cs="Arial"/>
                <w:color w:val="auto"/>
                <w:sz w:val="16"/>
                <w:szCs w:val="16"/>
              </w:rPr>
            </w:pPr>
            <w:r w:rsidRPr="00765C3D">
              <w:rPr>
                <w:rFonts w:ascii="Arial" w:hAnsi="Arial" w:cs="Arial"/>
                <w:color w:val="auto"/>
                <w:sz w:val="16"/>
                <w:szCs w:val="16"/>
              </w:rPr>
              <w:t>Other</w:t>
            </w:r>
          </w:p>
        </w:tc>
        <w:tc>
          <w:tcPr>
            <w:tcW w:w="900" w:type="dxa"/>
            <w:tcBorders>
              <w:top w:val="nil"/>
              <w:left w:val="nil"/>
              <w:bottom w:val="nil"/>
              <w:right w:val="nil"/>
            </w:tcBorders>
            <w:shd w:val="clear" w:color="auto" w:fill="auto"/>
            <w:noWrap/>
            <w:vAlign w:val="bottom"/>
            <w:hideMark/>
          </w:tcPr>
          <w:p w14:paraId="5319E5FF"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w:t>
            </w:r>
          </w:p>
        </w:tc>
        <w:tc>
          <w:tcPr>
            <w:tcW w:w="900" w:type="dxa"/>
            <w:tcBorders>
              <w:top w:val="nil"/>
              <w:left w:val="nil"/>
              <w:bottom w:val="nil"/>
              <w:right w:val="nil"/>
            </w:tcBorders>
            <w:shd w:val="clear" w:color="000000" w:fill="D9D9D9"/>
            <w:noWrap/>
            <w:vAlign w:val="bottom"/>
            <w:hideMark/>
          </w:tcPr>
          <w:p w14:paraId="239954F6"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C5D155E"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2A09933D"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w:t>
            </w:r>
          </w:p>
        </w:tc>
        <w:tc>
          <w:tcPr>
            <w:tcW w:w="900" w:type="dxa"/>
            <w:tcBorders>
              <w:top w:val="nil"/>
              <w:left w:val="nil"/>
              <w:bottom w:val="nil"/>
              <w:right w:val="nil"/>
            </w:tcBorders>
            <w:shd w:val="clear" w:color="auto" w:fill="auto"/>
            <w:noWrap/>
            <w:vAlign w:val="bottom"/>
            <w:hideMark/>
          </w:tcPr>
          <w:p w14:paraId="4C6247B4"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w:t>
            </w:r>
          </w:p>
        </w:tc>
      </w:tr>
      <w:tr w:rsidR="00765C3D" w:rsidRPr="00765C3D" w14:paraId="750DD449" w14:textId="77777777" w:rsidTr="00765C3D">
        <w:trPr>
          <w:trHeight w:val="225"/>
        </w:trPr>
        <w:tc>
          <w:tcPr>
            <w:tcW w:w="2860" w:type="dxa"/>
            <w:tcBorders>
              <w:top w:val="nil"/>
              <w:left w:val="nil"/>
              <w:bottom w:val="nil"/>
              <w:right w:val="nil"/>
            </w:tcBorders>
            <w:shd w:val="clear" w:color="auto" w:fill="auto"/>
            <w:noWrap/>
            <w:vAlign w:val="bottom"/>
            <w:hideMark/>
          </w:tcPr>
          <w:p w14:paraId="611B1E9F" w14:textId="77777777" w:rsidR="00765C3D" w:rsidRPr="00765C3D" w:rsidRDefault="00765C3D" w:rsidP="00765C3D">
            <w:pPr>
              <w:spacing w:after="0"/>
              <w:ind w:firstLineChars="200" w:firstLine="320"/>
              <w:rPr>
                <w:rFonts w:ascii="Arial" w:hAnsi="Arial" w:cs="Arial"/>
                <w:b/>
                <w:bCs/>
                <w:sz w:val="16"/>
                <w:szCs w:val="16"/>
              </w:rPr>
            </w:pPr>
            <w:r w:rsidRPr="00765C3D">
              <w:rPr>
                <w:rFonts w:ascii="Arial" w:hAnsi="Arial" w:cs="Arial"/>
                <w:b/>
                <w:bCs/>
                <w:sz w:val="16"/>
                <w:szCs w:val="16"/>
              </w:rPr>
              <w:t>Total cash received</w:t>
            </w:r>
          </w:p>
        </w:tc>
        <w:tc>
          <w:tcPr>
            <w:tcW w:w="900" w:type="dxa"/>
            <w:tcBorders>
              <w:top w:val="nil"/>
              <w:left w:val="nil"/>
              <w:bottom w:val="single" w:sz="4" w:space="0" w:color="auto"/>
              <w:right w:val="nil"/>
            </w:tcBorders>
            <w:shd w:val="clear" w:color="auto" w:fill="auto"/>
            <w:noWrap/>
            <w:vAlign w:val="bottom"/>
            <w:hideMark/>
          </w:tcPr>
          <w:p w14:paraId="6872B577"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1,085</w:t>
            </w:r>
          </w:p>
        </w:tc>
        <w:tc>
          <w:tcPr>
            <w:tcW w:w="900" w:type="dxa"/>
            <w:tcBorders>
              <w:top w:val="nil"/>
              <w:left w:val="nil"/>
              <w:bottom w:val="single" w:sz="4" w:space="0" w:color="auto"/>
              <w:right w:val="nil"/>
            </w:tcBorders>
            <w:shd w:val="clear" w:color="000000" w:fill="D9D9D9"/>
            <w:noWrap/>
            <w:vAlign w:val="bottom"/>
            <w:hideMark/>
          </w:tcPr>
          <w:p w14:paraId="13A8922A"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750</w:t>
            </w:r>
          </w:p>
        </w:tc>
        <w:tc>
          <w:tcPr>
            <w:tcW w:w="900" w:type="dxa"/>
            <w:tcBorders>
              <w:top w:val="nil"/>
              <w:left w:val="nil"/>
              <w:bottom w:val="single" w:sz="4" w:space="0" w:color="auto"/>
              <w:right w:val="nil"/>
            </w:tcBorders>
            <w:shd w:val="clear" w:color="auto" w:fill="auto"/>
            <w:noWrap/>
            <w:vAlign w:val="bottom"/>
            <w:hideMark/>
          </w:tcPr>
          <w:p w14:paraId="44FC195E"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750</w:t>
            </w:r>
          </w:p>
        </w:tc>
        <w:tc>
          <w:tcPr>
            <w:tcW w:w="900" w:type="dxa"/>
            <w:tcBorders>
              <w:top w:val="nil"/>
              <w:left w:val="nil"/>
              <w:bottom w:val="single" w:sz="4" w:space="0" w:color="auto"/>
              <w:right w:val="nil"/>
            </w:tcBorders>
            <w:shd w:val="clear" w:color="auto" w:fill="auto"/>
            <w:noWrap/>
            <w:vAlign w:val="bottom"/>
            <w:hideMark/>
          </w:tcPr>
          <w:p w14:paraId="16660943"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750</w:t>
            </w:r>
          </w:p>
        </w:tc>
        <w:tc>
          <w:tcPr>
            <w:tcW w:w="900" w:type="dxa"/>
            <w:tcBorders>
              <w:top w:val="nil"/>
              <w:left w:val="nil"/>
              <w:bottom w:val="single" w:sz="4" w:space="0" w:color="auto"/>
              <w:right w:val="nil"/>
            </w:tcBorders>
            <w:shd w:val="clear" w:color="auto" w:fill="auto"/>
            <w:noWrap/>
            <w:vAlign w:val="bottom"/>
            <w:hideMark/>
          </w:tcPr>
          <w:p w14:paraId="637E0835"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750</w:t>
            </w:r>
          </w:p>
        </w:tc>
      </w:tr>
      <w:tr w:rsidR="00765C3D" w:rsidRPr="00765C3D" w14:paraId="3EDAC637" w14:textId="77777777" w:rsidTr="00765C3D">
        <w:trPr>
          <w:trHeight w:val="300"/>
        </w:trPr>
        <w:tc>
          <w:tcPr>
            <w:tcW w:w="2860" w:type="dxa"/>
            <w:tcBorders>
              <w:top w:val="nil"/>
              <w:left w:val="nil"/>
              <w:bottom w:val="nil"/>
              <w:right w:val="nil"/>
            </w:tcBorders>
            <w:shd w:val="clear" w:color="auto" w:fill="auto"/>
            <w:noWrap/>
            <w:vAlign w:val="bottom"/>
            <w:hideMark/>
          </w:tcPr>
          <w:p w14:paraId="2E95D81A" w14:textId="77777777" w:rsidR="00765C3D" w:rsidRPr="00765C3D" w:rsidRDefault="00765C3D" w:rsidP="00765C3D">
            <w:pPr>
              <w:spacing w:after="0"/>
              <w:ind w:firstLineChars="100" w:firstLine="160"/>
              <w:rPr>
                <w:rFonts w:ascii="Arial" w:hAnsi="Arial" w:cs="Arial"/>
                <w:b/>
                <w:bCs/>
                <w:sz w:val="16"/>
                <w:szCs w:val="16"/>
              </w:rPr>
            </w:pPr>
            <w:r w:rsidRPr="00765C3D">
              <w:rPr>
                <w:rFonts w:ascii="Arial" w:hAnsi="Arial" w:cs="Arial"/>
                <w:b/>
                <w:bCs/>
                <w:sz w:val="16"/>
                <w:szCs w:val="16"/>
              </w:rPr>
              <w:t>Cash used</w:t>
            </w:r>
          </w:p>
        </w:tc>
        <w:tc>
          <w:tcPr>
            <w:tcW w:w="900" w:type="dxa"/>
            <w:tcBorders>
              <w:top w:val="nil"/>
              <w:left w:val="nil"/>
              <w:bottom w:val="nil"/>
              <w:right w:val="nil"/>
            </w:tcBorders>
            <w:shd w:val="clear" w:color="auto" w:fill="auto"/>
            <w:noWrap/>
            <w:vAlign w:val="bottom"/>
            <w:hideMark/>
          </w:tcPr>
          <w:p w14:paraId="4590205B" w14:textId="77777777" w:rsidR="00765C3D" w:rsidRPr="00765C3D" w:rsidRDefault="00765C3D" w:rsidP="00765C3D">
            <w:pPr>
              <w:spacing w:after="0"/>
              <w:ind w:firstLineChars="100" w:firstLine="160"/>
              <w:rPr>
                <w:rFonts w:ascii="Arial" w:hAnsi="Arial" w:cs="Arial"/>
                <w:b/>
                <w:bCs/>
                <w:sz w:val="16"/>
                <w:szCs w:val="16"/>
              </w:rPr>
            </w:pPr>
          </w:p>
        </w:tc>
        <w:tc>
          <w:tcPr>
            <w:tcW w:w="900" w:type="dxa"/>
            <w:tcBorders>
              <w:top w:val="nil"/>
              <w:left w:val="nil"/>
              <w:bottom w:val="nil"/>
              <w:right w:val="nil"/>
            </w:tcBorders>
            <w:shd w:val="clear" w:color="000000" w:fill="D9D9D9"/>
            <w:noWrap/>
            <w:vAlign w:val="bottom"/>
            <w:hideMark/>
          </w:tcPr>
          <w:p w14:paraId="453624C4"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492D47A6" w14:textId="77777777" w:rsidR="00765C3D" w:rsidRPr="00765C3D" w:rsidRDefault="00765C3D" w:rsidP="00765C3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692279FA" w14:textId="77777777" w:rsidR="00765C3D" w:rsidRPr="00765C3D" w:rsidRDefault="00765C3D" w:rsidP="00765C3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6AAE6161" w14:textId="77777777" w:rsidR="00765C3D" w:rsidRPr="00765C3D" w:rsidRDefault="00765C3D" w:rsidP="00765C3D">
            <w:pPr>
              <w:spacing w:after="0"/>
              <w:jc w:val="right"/>
              <w:rPr>
                <w:rFonts w:ascii="Times New Roman" w:hAnsi="Times New Roman"/>
                <w:color w:val="auto"/>
                <w:sz w:val="20"/>
              </w:rPr>
            </w:pPr>
          </w:p>
        </w:tc>
      </w:tr>
      <w:tr w:rsidR="00765C3D" w:rsidRPr="00765C3D" w14:paraId="75705871" w14:textId="77777777" w:rsidTr="00765C3D">
        <w:trPr>
          <w:trHeight w:val="225"/>
        </w:trPr>
        <w:tc>
          <w:tcPr>
            <w:tcW w:w="2860" w:type="dxa"/>
            <w:tcBorders>
              <w:top w:val="nil"/>
              <w:left w:val="nil"/>
              <w:bottom w:val="nil"/>
              <w:right w:val="nil"/>
            </w:tcBorders>
            <w:shd w:val="clear" w:color="auto" w:fill="auto"/>
            <w:noWrap/>
            <w:vAlign w:val="bottom"/>
            <w:hideMark/>
          </w:tcPr>
          <w:p w14:paraId="69F30F1C" w14:textId="77777777" w:rsidR="00765C3D" w:rsidRPr="00765C3D" w:rsidRDefault="00765C3D" w:rsidP="00765C3D">
            <w:pPr>
              <w:spacing w:after="0"/>
              <w:ind w:firstLineChars="200" w:firstLine="320"/>
              <w:rPr>
                <w:rFonts w:ascii="Arial" w:hAnsi="Arial" w:cs="Arial"/>
                <w:color w:val="auto"/>
                <w:sz w:val="16"/>
                <w:szCs w:val="16"/>
              </w:rPr>
            </w:pPr>
            <w:r w:rsidRPr="00765C3D">
              <w:rPr>
                <w:rFonts w:ascii="Arial" w:hAnsi="Arial" w:cs="Arial"/>
                <w:color w:val="auto"/>
                <w:sz w:val="16"/>
                <w:szCs w:val="16"/>
              </w:rPr>
              <w:t>Grant payments</w:t>
            </w:r>
          </w:p>
        </w:tc>
        <w:tc>
          <w:tcPr>
            <w:tcW w:w="900" w:type="dxa"/>
            <w:tcBorders>
              <w:top w:val="nil"/>
              <w:left w:val="nil"/>
              <w:bottom w:val="nil"/>
              <w:right w:val="nil"/>
            </w:tcBorders>
            <w:shd w:val="clear" w:color="auto" w:fill="auto"/>
            <w:noWrap/>
            <w:vAlign w:val="bottom"/>
            <w:hideMark/>
          </w:tcPr>
          <w:p w14:paraId="2C978AED"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49,269</w:t>
            </w:r>
          </w:p>
        </w:tc>
        <w:tc>
          <w:tcPr>
            <w:tcW w:w="900" w:type="dxa"/>
            <w:tcBorders>
              <w:top w:val="nil"/>
              <w:left w:val="nil"/>
              <w:bottom w:val="nil"/>
              <w:right w:val="nil"/>
            </w:tcBorders>
            <w:shd w:val="clear" w:color="000000" w:fill="D9D9D9"/>
            <w:noWrap/>
            <w:vAlign w:val="bottom"/>
            <w:hideMark/>
          </w:tcPr>
          <w:p w14:paraId="4CB97333"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43,882</w:t>
            </w:r>
          </w:p>
        </w:tc>
        <w:tc>
          <w:tcPr>
            <w:tcW w:w="900" w:type="dxa"/>
            <w:tcBorders>
              <w:top w:val="nil"/>
              <w:left w:val="nil"/>
              <w:bottom w:val="nil"/>
              <w:right w:val="nil"/>
            </w:tcBorders>
            <w:shd w:val="clear" w:color="auto" w:fill="auto"/>
            <w:noWrap/>
            <w:vAlign w:val="bottom"/>
            <w:hideMark/>
          </w:tcPr>
          <w:p w14:paraId="018541D9"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46,369</w:t>
            </w:r>
          </w:p>
        </w:tc>
        <w:tc>
          <w:tcPr>
            <w:tcW w:w="900" w:type="dxa"/>
            <w:tcBorders>
              <w:top w:val="nil"/>
              <w:left w:val="nil"/>
              <w:bottom w:val="nil"/>
              <w:right w:val="nil"/>
            </w:tcBorders>
            <w:shd w:val="clear" w:color="auto" w:fill="auto"/>
            <w:noWrap/>
            <w:vAlign w:val="bottom"/>
            <w:hideMark/>
          </w:tcPr>
          <w:p w14:paraId="703BDEE5"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47,811</w:t>
            </w:r>
          </w:p>
        </w:tc>
        <w:tc>
          <w:tcPr>
            <w:tcW w:w="900" w:type="dxa"/>
            <w:tcBorders>
              <w:top w:val="nil"/>
              <w:left w:val="nil"/>
              <w:bottom w:val="nil"/>
              <w:right w:val="nil"/>
            </w:tcBorders>
            <w:shd w:val="clear" w:color="auto" w:fill="auto"/>
            <w:noWrap/>
            <w:vAlign w:val="bottom"/>
            <w:hideMark/>
          </w:tcPr>
          <w:p w14:paraId="43E2F8D2"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48,687</w:t>
            </w:r>
          </w:p>
        </w:tc>
      </w:tr>
      <w:tr w:rsidR="00765C3D" w:rsidRPr="00765C3D" w14:paraId="47EFD839" w14:textId="77777777" w:rsidTr="00765C3D">
        <w:trPr>
          <w:trHeight w:val="225"/>
        </w:trPr>
        <w:tc>
          <w:tcPr>
            <w:tcW w:w="2860" w:type="dxa"/>
            <w:tcBorders>
              <w:top w:val="nil"/>
              <w:left w:val="nil"/>
              <w:bottom w:val="nil"/>
              <w:right w:val="nil"/>
            </w:tcBorders>
            <w:shd w:val="clear" w:color="auto" w:fill="auto"/>
            <w:noWrap/>
            <w:vAlign w:val="bottom"/>
            <w:hideMark/>
          </w:tcPr>
          <w:p w14:paraId="71FDE42E" w14:textId="77777777" w:rsidR="00765C3D" w:rsidRPr="00765C3D" w:rsidRDefault="00765C3D" w:rsidP="00765C3D">
            <w:pPr>
              <w:spacing w:after="0"/>
              <w:ind w:firstLineChars="200" w:firstLine="320"/>
              <w:rPr>
                <w:rFonts w:ascii="Arial" w:hAnsi="Arial" w:cs="Arial"/>
                <w:color w:val="auto"/>
                <w:sz w:val="16"/>
                <w:szCs w:val="16"/>
              </w:rPr>
            </w:pPr>
            <w:r w:rsidRPr="00765C3D">
              <w:rPr>
                <w:rFonts w:ascii="Arial" w:hAnsi="Arial" w:cs="Arial"/>
                <w:color w:val="auto"/>
                <w:sz w:val="16"/>
                <w:szCs w:val="16"/>
              </w:rPr>
              <w:t>Suppliers</w:t>
            </w:r>
          </w:p>
        </w:tc>
        <w:tc>
          <w:tcPr>
            <w:tcW w:w="900" w:type="dxa"/>
            <w:tcBorders>
              <w:top w:val="nil"/>
              <w:left w:val="nil"/>
              <w:bottom w:val="nil"/>
              <w:right w:val="nil"/>
            </w:tcBorders>
            <w:shd w:val="clear" w:color="auto" w:fill="auto"/>
            <w:noWrap/>
            <w:vAlign w:val="bottom"/>
            <w:hideMark/>
          </w:tcPr>
          <w:p w14:paraId="34279FBD"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1,391</w:t>
            </w:r>
          </w:p>
        </w:tc>
        <w:tc>
          <w:tcPr>
            <w:tcW w:w="900" w:type="dxa"/>
            <w:tcBorders>
              <w:top w:val="nil"/>
              <w:left w:val="nil"/>
              <w:bottom w:val="nil"/>
              <w:right w:val="nil"/>
            </w:tcBorders>
            <w:shd w:val="clear" w:color="000000" w:fill="D9D9D9"/>
            <w:noWrap/>
            <w:vAlign w:val="bottom"/>
            <w:hideMark/>
          </w:tcPr>
          <w:p w14:paraId="6F27E635"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5,249</w:t>
            </w:r>
          </w:p>
        </w:tc>
        <w:tc>
          <w:tcPr>
            <w:tcW w:w="900" w:type="dxa"/>
            <w:tcBorders>
              <w:top w:val="nil"/>
              <w:left w:val="nil"/>
              <w:bottom w:val="nil"/>
              <w:right w:val="nil"/>
            </w:tcBorders>
            <w:shd w:val="clear" w:color="auto" w:fill="auto"/>
            <w:noWrap/>
            <w:vAlign w:val="bottom"/>
            <w:hideMark/>
          </w:tcPr>
          <w:p w14:paraId="68B76335"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5,488</w:t>
            </w:r>
          </w:p>
        </w:tc>
        <w:tc>
          <w:tcPr>
            <w:tcW w:w="900" w:type="dxa"/>
            <w:tcBorders>
              <w:top w:val="nil"/>
              <w:left w:val="nil"/>
              <w:bottom w:val="nil"/>
              <w:right w:val="nil"/>
            </w:tcBorders>
            <w:shd w:val="clear" w:color="auto" w:fill="auto"/>
            <w:noWrap/>
            <w:vAlign w:val="bottom"/>
            <w:hideMark/>
          </w:tcPr>
          <w:p w14:paraId="5E65CE14"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5,265</w:t>
            </w:r>
          </w:p>
        </w:tc>
        <w:tc>
          <w:tcPr>
            <w:tcW w:w="900" w:type="dxa"/>
            <w:tcBorders>
              <w:top w:val="nil"/>
              <w:left w:val="nil"/>
              <w:bottom w:val="nil"/>
              <w:right w:val="nil"/>
            </w:tcBorders>
            <w:shd w:val="clear" w:color="auto" w:fill="auto"/>
            <w:noWrap/>
            <w:vAlign w:val="bottom"/>
            <w:hideMark/>
          </w:tcPr>
          <w:p w14:paraId="029FCFB4"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5,201</w:t>
            </w:r>
          </w:p>
        </w:tc>
      </w:tr>
      <w:tr w:rsidR="00765C3D" w:rsidRPr="00765C3D" w14:paraId="2E1662BD" w14:textId="77777777" w:rsidTr="00765C3D">
        <w:trPr>
          <w:trHeight w:val="225"/>
        </w:trPr>
        <w:tc>
          <w:tcPr>
            <w:tcW w:w="2860" w:type="dxa"/>
            <w:tcBorders>
              <w:top w:val="nil"/>
              <w:left w:val="nil"/>
              <w:bottom w:val="nil"/>
              <w:right w:val="nil"/>
            </w:tcBorders>
            <w:shd w:val="clear" w:color="auto" w:fill="auto"/>
            <w:noWrap/>
            <w:vAlign w:val="bottom"/>
            <w:hideMark/>
          </w:tcPr>
          <w:p w14:paraId="5746E683" w14:textId="77777777" w:rsidR="00765C3D" w:rsidRPr="00765C3D" w:rsidRDefault="00765C3D" w:rsidP="00765C3D">
            <w:pPr>
              <w:spacing w:after="0"/>
              <w:ind w:firstLineChars="200" w:firstLine="320"/>
              <w:rPr>
                <w:rFonts w:ascii="Arial" w:hAnsi="Arial" w:cs="Arial"/>
                <w:color w:val="auto"/>
                <w:sz w:val="16"/>
                <w:szCs w:val="16"/>
              </w:rPr>
            </w:pPr>
            <w:r w:rsidRPr="00765C3D">
              <w:rPr>
                <w:rFonts w:ascii="Arial" w:hAnsi="Arial" w:cs="Arial"/>
                <w:color w:val="auto"/>
                <w:sz w:val="16"/>
                <w:szCs w:val="16"/>
              </w:rPr>
              <w:t>GST paid</w:t>
            </w:r>
          </w:p>
        </w:tc>
        <w:tc>
          <w:tcPr>
            <w:tcW w:w="900" w:type="dxa"/>
            <w:tcBorders>
              <w:top w:val="nil"/>
              <w:left w:val="nil"/>
              <w:bottom w:val="nil"/>
              <w:right w:val="nil"/>
            </w:tcBorders>
            <w:shd w:val="clear" w:color="auto" w:fill="auto"/>
            <w:noWrap/>
            <w:vAlign w:val="bottom"/>
            <w:hideMark/>
          </w:tcPr>
          <w:p w14:paraId="56061E55"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1,393</w:t>
            </w:r>
          </w:p>
        </w:tc>
        <w:tc>
          <w:tcPr>
            <w:tcW w:w="900" w:type="dxa"/>
            <w:tcBorders>
              <w:top w:val="nil"/>
              <w:left w:val="nil"/>
              <w:bottom w:val="nil"/>
              <w:right w:val="nil"/>
            </w:tcBorders>
            <w:shd w:val="clear" w:color="000000" w:fill="D9D9D9"/>
            <w:noWrap/>
            <w:vAlign w:val="bottom"/>
            <w:hideMark/>
          </w:tcPr>
          <w:p w14:paraId="43C68E8D"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335791BD"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417EC352"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3717FB74"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750</w:t>
            </w:r>
          </w:p>
        </w:tc>
      </w:tr>
      <w:tr w:rsidR="00765C3D" w:rsidRPr="00765C3D" w14:paraId="7C8E1B73" w14:textId="77777777" w:rsidTr="00765C3D">
        <w:trPr>
          <w:trHeight w:val="225"/>
        </w:trPr>
        <w:tc>
          <w:tcPr>
            <w:tcW w:w="2860" w:type="dxa"/>
            <w:tcBorders>
              <w:top w:val="nil"/>
              <w:left w:val="nil"/>
              <w:bottom w:val="nil"/>
              <w:right w:val="nil"/>
            </w:tcBorders>
            <w:shd w:val="clear" w:color="auto" w:fill="auto"/>
            <w:noWrap/>
            <w:vAlign w:val="bottom"/>
            <w:hideMark/>
          </w:tcPr>
          <w:p w14:paraId="2BD6BF15" w14:textId="77777777" w:rsidR="00765C3D" w:rsidRPr="00765C3D" w:rsidRDefault="00765C3D" w:rsidP="00765C3D">
            <w:pPr>
              <w:spacing w:after="0"/>
              <w:ind w:firstLineChars="200" w:firstLine="320"/>
              <w:rPr>
                <w:rFonts w:ascii="Arial" w:hAnsi="Arial" w:cs="Arial"/>
                <w:b/>
                <w:bCs/>
                <w:sz w:val="16"/>
                <w:szCs w:val="16"/>
              </w:rPr>
            </w:pPr>
            <w:r w:rsidRPr="00765C3D">
              <w:rPr>
                <w:rFonts w:ascii="Arial" w:hAnsi="Arial" w:cs="Arial"/>
                <w:b/>
                <w:bCs/>
                <w:sz w:val="16"/>
                <w:szCs w:val="16"/>
              </w:rPr>
              <w:t>Total cash used</w:t>
            </w:r>
          </w:p>
        </w:tc>
        <w:tc>
          <w:tcPr>
            <w:tcW w:w="900" w:type="dxa"/>
            <w:tcBorders>
              <w:top w:val="nil"/>
              <w:left w:val="nil"/>
              <w:bottom w:val="single" w:sz="4" w:space="0" w:color="auto"/>
              <w:right w:val="nil"/>
            </w:tcBorders>
            <w:shd w:val="clear" w:color="auto" w:fill="auto"/>
            <w:noWrap/>
            <w:vAlign w:val="bottom"/>
            <w:hideMark/>
          </w:tcPr>
          <w:p w14:paraId="686D5AF9"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52,053</w:t>
            </w:r>
          </w:p>
        </w:tc>
        <w:tc>
          <w:tcPr>
            <w:tcW w:w="900" w:type="dxa"/>
            <w:tcBorders>
              <w:top w:val="nil"/>
              <w:left w:val="nil"/>
              <w:bottom w:val="single" w:sz="4" w:space="0" w:color="auto"/>
              <w:right w:val="nil"/>
            </w:tcBorders>
            <w:shd w:val="clear" w:color="000000" w:fill="D9D9D9"/>
            <w:noWrap/>
            <w:vAlign w:val="bottom"/>
            <w:hideMark/>
          </w:tcPr>
          <w:p w14:paraId="4647F433"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49,881</w:t>
            </w:r>
          </w:p>
        </w:tc>
        <w:tc>
          <w:tcPr>
            <w:tcW w:w="900" w:type="dxa"/>
            <w:tcBorders>
              <w:top w:val="nil"/>
              <w:left w:val="nil"/>
              <w:bottom w:val="single" w:sz="4" w:space="0" w:color="auto"/>
              <w:right w:val="nil"/>
            </w:tcBorders>
            <w:shd w:val="clear" w:color="auto" w:fill="auto"/>
            <w:noWrap/>
            <w:vAlign w:val="bottom"/>
            <w:hideMark/>
          </w:tcPr>
          <w:p w14:paraId="51701807"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52,607</w:t>
            </w:r>
          </w:p>
        </w:tc>
        <w:tc>
          <w:tcPr>
            <w:tcW w:w="900" w:type="dxa"/>
            <w:tcBorders>
              <w:top w:val="nil"/>
              <w:left w:val="nil"/>
              <w:bottom w:val="single" w:sz="4" w:space="0" w:color="auto"/>
              <w:right w:val="nil"/>
            </w:tcBorders>
            <w:shd w:val="clear" w:color="auto" w:fill="auto"/>
            <w:noWrap/>
            <w:vAlign w:val="bottom"/>
            <w:hideMark/>
          </w:tcPr>
          <w:p w14:paraId="545693AB"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53,826</w:t>
            </w:r>
          </w:p>
        </w:tc>
        <w:tc>
          <w:tcPr>
            <w:tcW w:w="900" w:type="dxa"/>
            <w:tcBorders>
              <w:top w:val="nil"/>
              <w:left w:val="nil"/>
              <w:bottom w:val="single" w:sz="4" w:space="0" w:color="auto"/>
              <w:right w:val="nil"/>
            </w:tcBorders>
            <w:shd w:val="clear" w:color="auto" w:fill="auto"/>
            <w:noWrap/>
            <w:vAlign w:val="bottom"/>
            <w:hideMark/>
          </w:tcPr>
          <w:p w14:paraId="186BD9C5"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54,638</w:t>
            </w:r>
          </w:p>
        </w:tc>
      </w:tr>
      <w:tr w:rsidR="00765C3D" w:rsidRPr="00765C3D" w14:paraId="7B69BCD1" w14:textId="77777777" w:rsidTr="00765C3D">
        <w:trPr>
          <w:trHeight w:val="525"/>
        </w:trPr>
        <w:tc>
          <w:tcPr>
            <w:tcW w:w="2860" w:type="dxa"/>
            <w:tcBorders>
              <w:top w:val="nil"/>
              <w:left w:val="nil"/>
              <w:bottom w:val="nil"/>
              <w:right w:val="nil"/>
            </w:tcBorders>
            <w:shd w:val="clear" w:color="auto" w:fill="auto"/>
            <w:vAlign w:val="bottom"/>
            <w:hideMark/>
          </w:tcPr>
          <w:p w14:paraId="72C01684" w14:textId="77777777" w:rsidR="00765C3D" w:rsidRPr="00765C3D" w:rsidRDefault="00765C3D" w:rsidP="00765C3D">
            <w:pPr>
              <w:spacing w:after="0"/>
              <w:rPr>
                <w:rFonts w:ascii="Arial" w:hAnsi="Arial" w:cs="Arial"/>
                <w:b/>
                <w:bCs/>
                <w:sz w:val="16"/>
                <w:szCs w:val="16"/>
              </w:rPr>
            </w:pPr>
            <w:r w:rsidRPr="00765C3D">
              <w:rPr>
                <w:rFonts w:ascii="Arial" w:hAnsi="Arial" w:cs="Arial"/>
                <w:b/>
                <w:bCs/>
                <w:sz w:val="16"/>
                <w:szCs w:val="16"/>
              </w:rPr>
              <w:t>Net cash from (or used by) operating activities</w:t>
            </w:r>
          </w:p>
        </w:tc>
        <w:tc>
          <w:tcPr>
            <w:tcW w:w="900" w:type="dxa"/>
            <w:tcBorders>
              <w:top w:val="nil"/>
              <w:left w:val="nil"/>
              <w:bottom w:val="single" w:sz="4" w:space="0" w:color="auto"/>
              <w:right w:val="nil"/>
            </w:tcBorders>
            <w:shd w:val="clear" w:color="auto" w:fill="auto"/>
            <w:noWrap/>
            <w:vAlign w:val="bottom"/>
            <w:hideMark/>
          </w:tcPr>
          <w:p w14:paraId="4E2CBD03"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(50,968)</w:t>
            </w:r>
          </w:p>
        </w:tc>
        <w:tc>
          <w:tcPr>
            <w:tcW w:w="900" w:type="dxa"/>
            <w:tcBorders>
              <w:top w:val="nil"/>
              <w:left w:val="nil"/>
              <w:bottom w:val="single" w:sz="4" w:space="0" w:color="auto"/>
              <w:right w:val="nil"/>
            </w:tcBorders>
            <w:shd w:val="clear" w:color="000000" w:fill="D9D9D9"/>
            <w:noWrap/>
            <w:vAlign w:val="bottom"/>
            <w:hideMark/>
          </w:tcPr>
          <w:p w14:paraId="255C0E0F"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(49,131)</w:t>
            </w:r>
          </w:p>
        </w:tc>
        <w:tc>
          <w:tcPr>
            <w:tcW w:w="900" w:type="dxa"/>
            <w:tcBorders>
              <w:top w:val="nil"/>
              <w:left w:val="nil"/>
              <w:bottom w:val="single" w:sz="4" w:space="0" w:color="auto"/>
              <w:right w:val="nil"/>
            </w:tcBorders>
            <w:shd w:val="clear" w:color="auto" w:fill="auto"/>
            <w:noWrap/>
            <w:vAlign w:val="bottom"/>
            <w:hideMark/>
          </w:tcPr>
          <w:p w14:paraId="5794137D"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(51,857)</w:t>
            </w:r>
          </w:p>
        </w:tc>
        <w:tc>
          <w:tcPr>
            <w:tcW w:w="900" w:type="dxa"/>
            <w:tcBorders>
              <w:top w:val="nil"/>
              <w:left w:val="nil"/>
              <w:bottom w:val="single" w:sz="4" w:space="0" w:color="auto"/>
              <w:right w:val="nil"/>
            </w:tcBorders>
            <w:shd w:val="clear" w:color="auto" w:fill="auto"/>
            <w:noWrap/>
            <w:vAlign w:val="bottom"/>
            <w:hideMark/>
          </w:tcPr>
          <w:p w14:paraId="66BC8B88"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(53,076)</w:t>
            </w:r>
          </w:p>
        </w:tc>
        <w:tc>
          <w:tcPr>
            <w:tcW w:w="900" w:type="dxa"/>
            <w:tcBorders>
              <w:top w:val="nil"/>
              <w:left w:val="nil"/>
              <w:bottom w:val="single" w:sz="4" w:space="0" w:color="auto"/>
              <w:right w:val="nil"/>
            </w:tcBorders>
            <w:shd w:val="clear" w:color="auto" w:fill="auto"/>
            <w:noWrap/>
            <w:vAlign w:val="bottom"/>
            <w:hideMark/>
          </w:tcPr>
          <w:p w14:paraId="6A41DA89"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(53,888)</w:t>
            </w:r>
          </w:p>
        </w:tc>
      </w:tr>
      <w:tr w:rsidR="00765C3D" w:rsidRPr="00765C3D" w14:paraId="1BD3F0E9" w14:textId="77777777" w:rsidTr="00765C3D">
        <w:trPr>
          <w:trHeight w:val="525"/>
        </w:trPr>
        <w:tc>
          <w:tcPr>
            <w:tcW w:w="2860" w:type="dxa"/>
            <w:tcBorders>
              <w:top w:val="nil"/>
              <w:left w:val="nil"/>
              <w:bottom w:val="nil"/>
              <w:right w:val="nil"/>
            </w:tcBorders>
            <w:shd w:val="clear" w:color="auto" w:fill="auto"/>
            <w:vAlign w:val="bottom"/>
            <w:hideMark/>
          </w:tcPr>
          <w:p w14:paraId="227D9237" w14:textId="77777777" w:rsidR="00765C3D" w:rsidRPr="00765C3D" w:rsidRDefault="00765C3D" w:rsidP="00765C3D">
            <w:pPr>
              <w:spacing w:after="0"/>
              <w:rPr>
                <w:rFonts w:ascii="Arial" w:hAnsi="Arial" w:cs="Arial"/>
                <w:b/>
                <w:bCs/>
                <w:sz w:val="16"/>
                <w:szCs w:val="16"/>
              </w:rPr>
            </w:pPr>
            <w:r w:rsidRPr="00765C3D">
              <w:rPr>
                <w:rFonts w:ascii="Arial" w:hAnsi="Arial" w:cs="Arial"/>
                <w:b/>
                <w:bCs/>
                <w:sz w:val="16"/>
                <w:szCs w:val="16"/>
              </w:rPr>
              <w:t>Net increase (or decrease) in cash held</w:t>
            </w:r>
          </w:p>
        </w:tc>
        <w:tc>
          <w:tcPr>
            <w:tcW w:w="900" w:type="dxa"/>
            <w:tcBorders>
              <w:top w:val="nil"/>
              <w:left w:val="nil"/>
              <w:bottom w:val="single" w:sz="4" w:space="0" w:color="auto"/>
              <w:right w:val="nil"/>
            </w:tcBorders>
            <w:shd w:val="clear" w:color="auto" w:fill="auto"/>
            <w:noWrap/>
            <w:vAlign w:val="bottom"/>
            <w:hideMark/>
          </w:tcPr>
          <w:p w14:paraId="465F1E39"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(50,968)</w:t>
            </w:r>
          </w:p>
        </w:tc>
        <w:tc>
          <w:tcPr>
            <w:tcW w:w="900" w:type="dxa"/>
            <w:tcBorders>
              <w:top w:val="nil"/>
              <w:left w:val="nil"/>
              <w:bottom w:val="single" w:sz="4" w:space="0" w:color="auto"/>
              <w:right w:val="nil"/>
            </w:tcBorders>
            <w:shd w:val="clear" w:color="000000" w:fill="D9D9D9"/>
            <w:noWrap/>
            <w:vAlign w:val="bottom"/>
            <w:hideMark/>
          </w:tcPr>
          <w:p w14:paraId="4A174D2B"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(49,131)</w:t>
            </w:r>
          </w:p>
        </w:tc>
        <w:tc>
          <w:tcPr>
            <w:tcW w:w="900" w:type="dxa"/>
            <w:tcBorders>
              <w:top w:val="nil"/>
              <w:left w:val="nil"/>
              <w:bottom w:val="single" w:sz="4" w:space="0" w:color="auto"/>
              <w:right w:val="nil"/>
            </w:tcBorders>
            <w:shd w:val="clear" w:color="auto" w:fill="auto"/>
            <w:noWrap/>
            <w:vAlign w:val="bottom"/>
            <w:hideMark/>
          </w:tcPr>
          <w:p w14:paraId="7AF84A00"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(51,857)</w:t>
            </w:r>
          </w:p>
        </w:tc>
        <w:tc>
          <w:tcPr>
            <w:tcW w:w="900" w:type="dxa"/>
            <w:tcBorders>
              <w:top w:val="nil"/>
              <w:left w:val="nil"/>
              <w:bottom w:val="single" w:sz="4" w:space="0" w:color="auto"/>
              <w:right w:val="nil"/>
            </w:tcBorders>
            <w:shd w:val="clear" w:color="auto" w:fill="auto"/>
            <w:noWrap/>
            <w:vAlign w:val="bottom"/>
            <w:hideMark/>
          </w:tcPr>
          <w:p w14:paraId="223BEAF9"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(53,076)</w:t>
            </w:r>
          </w:p>
        </w:tc>
        <w:tc>
          <w:tcPr>
            <w:tcW w:w="900" w:type="dxa"/>
            <w:tcBorders>
              <w:top w:val="nil"/>
              <w:left w:val="nil"/>
              <w:bottom w:val="single" w:sz="4" w:space="0" w:color="auto"/>
              <w:right w:val="nil"/>
            </w:tcBorders>
            <w:shd w:val="clear" w:color="auto" w:fill="auto"/>
            <w:noWrap/>
            <w:vAlign w:val="bottom"/>
            <w:hideMark/>
          </w:tcPr>
          <w:p w14:paraId="6FB2076E"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(53,888)</w:t>
            </w:r>
          </w:p>
        </w:tc>
      </w:tr>
      <w:tr w:rsidR="00765C3D" w:rsidRPr="00765C3D" w14:paraId="32175618" w14:textId="77777777" w:rsidTr="00765C3D">
        <w:trPr>
          <w:trHeight w:val="450"/>
        </w:trPr>
        <w:tc>
          <w:tcPr>
            <w:tcW w:w="2860" w:type="dxa"/>
            <w:tcBorders>
              <w:top w:val="nil"/>
              <w:left w:val="nil"/>
              <w:bottom w:val="nil"/>
              <w:right w:val="nil"/>
            </w:tcBorders>
            <w:shd w:val="clear" w:color="auto" w:fill="auto"/>
            <w:vAlign w:val="bottom"/>
            <w:hideMark/>
          </w:tcPr>
          <w:p w14:paraId="2CCDEE7E" w14:textId="77777777" w:rsidR="00765C3D" w:rsidRPr="00765C3D" w:rsidRDefault="00765C3D" w:rsidP="00765C3D">
            <w:pPr>
              <w:spacing w:after="0"/>
              <w:ind w:leftChars="75" w:left="143"/>
              <w:rPr>
                <w:rFonts w:ascii="Arial" w:hAnsi="Arial" w:cs="Arial"/>
                <w:sz w:val="16"/>
                <w:szCs w:val="16"/>
              </w:rPr>
            </w:pPr>
            <w:r w:rsidRPr="00765C3D">
              <w:rPr>
                <w:rFonts w:ascii="Arial" w:hAnsi="Arial" w:cs="Arial"/>
                <w:sz w:val="16"/>
                <w:szCs w:val="16"/>
              </w:rPr>
              <w:t>Cash at beginning of reporting period</w:t>
            </w:r>
          </w:p>
        </w:tc>
        <w:tc>
          <w:tcPr>
            <w:tcW w:w="900" w:type="dxa"/>
            <w:tcBorders>
              <w:top w:val="nil"/>
              <w:left w:val="nil"/>
              <w:bottom w:val="nil"/>
              <w:right w:val="nil"/>
            </w:tcBorders>
            <w:shd w:val="clear" w:color="auto" w:fill="auto"/>
            <w:noWrap/>
            <w:vAlign w:val="bottom"/>
            <w:hideMark/>
          </w:tcPr>
          <w:p w14:paraId="73431510"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65</w:t>
            </w:r>
          </w:p>
        </w:tc>
        <w:tc>
          <w:tcPr>
            <w:tcW w:w="900" w:type="dxa"/>
            <w:tcBorders>
              <w:top w:val="nil"/>
              <w:left w:val="nil"/>
              <w:bottom w:val="nil"/>
              <w:right w:val="nil"/>
            </w:tcBorders>
            <w:shd w:val="clear" w:color="000000" w:fill="D9D9D9"/>
            <w:noWrap/>
            <w:vAlign w:val="bottom"/>
            <w:hideMark/>
          </w:tcPr>
          <w:p w14:paraId="6F8BF6FA"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143</w:t>
            </w:r>
          </w:p>
        </w:tc>
        <w:tc>
          <w:tcPr>
            <w:tcW w:w="900" w:type="dxa"/>
            <w:tcBorders>
              <w:top w:val="nil"/>
              <w:left w:val="nil"/>
              <w:bottom w:val="nil"/>
              <w:right w:val="nil"/>
            </w:tcBorders>
            <w:shd w:val="clear" w:color="auto" w:fill="auto"/>
            <w:noWrap/>
            <w:vAlign w:val="bottom"/>
            <w:hideMark/>
          </w:tcPr>
          <w:p w14:paraId="678ED1E0"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143</w:t>
            </w:r>
          </w:p>
        </w:tc>
        <w:tc>
          <w:tcPr>
            <w:tcW w:w="900" w:type="dxa"/>
            <w:tcBorders>
              <w:top w:val="nil"/>
              <w:left w:val="nil"/>
              <w:bottom w:val="nil"/>
              <w:right w:val="nil"/>
            </w:tcBorders>
            <w:shd w:val="clear" w:color="auto" w:fill="auto"/>
            <w:noWrap/>
            <w:vAlign w:val="bottom"/>
            <w:hideMark/>
          </w:tcPr>
          <w:p w14:paraId="6D165E5B"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143</w:t>
            </w:r>
          </w:p>
        </w:tc>
        <w:tc>
          <w:tcPr>
            <w:tcW w:w="900" w:type="dxa"/>
            <w:tcBorders>
              <w:top w:val="nil"/>
              <w:left w:val="nil"/>
              <w:bottom w:val="nil"/>
              <w:right w:val="nil"/>
            </w:tcBorders>
            <w:shd w:val="clear" w:color="auto" w:fill="auto"/>
            <w:noWrap/>
            <w:vAlign w:val="bottom"/>
            <w:hideMark/>
          </w:tcPr>
          <w:p w14:paraId="0E2EBD0D"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143</w:t>
            </w:r>
          </w:p>
        </w:tc>
      </w:tr>
      <w:tr w:rsidR="00765C3D" w:rsidRPr="00765C3D" w14:paraId="656C8E83" w14:textId="77777777" w:rsidTr="00765C3D">
        <w:trPr>
          <w:trHeight w:val="300"/>
        </w:trPr>
        <w:tc>
          <w:tcPr>
            <w:tcW w:w="2860" w:type="dxa"/>
            <w:tcBorders>
              <w:top w:val="nil"/>
              <w:left w:val="nil"/>
              <w:bottom w:val="nil"/>
              <w:right w:val="nil"/>
            </w:tcBorders>
            <w:shd w:val="clear" w:color="auto" w:fill="auto"/>
            <w:vAlign w:val="bottom"/>
            <w:hideMark/>
          </w:tcPr>
          <w:p w14:paraId="444E9D4D" w14:textId="77777777" w:rsidR="00765C3D" w:rsidRPr="00765C3D" w:rsidRDefault="00765C3D" w:rsidP="00765C3D">
            <w:pPr>
              <w:spacing w:after="0"/>
              <w:ind w:leftChars="75" w:left="143"/>
              <w:rPr>
                <w:rFonts w:ascii="Arial" w:hAnsi="Arial" w:cs="Arial"/>
                <w:sz w:val="16"/>
                <w:szCs w:val="16"/>
              </w:rPr>
            </w:pPr>
            <w:r w:rsidRPr="00765C3D">
              <w:rPr>
                <w:rFonts w:ascii="Arial" w:hAnsi="Arial" w:cs="Arial"/>
                <w:sz w:val="16"/>
                <w:szCs w:val="16"/>
              </w:rPr>
              <w:t>Cash from the OPA for:</w:t>
            </w:r>
          </w:p>
        </w:tc>
        <w:tc>
          <w:tcPr>
            <w:tcW w:w="900" w:type="dxa"/>
            <w:tcBorders>
              <w:top w:val="nil"/>
              <w:left w:val="nil"/>
              <w:bottom w:val="nil"/>
              <w:right w:val="nil"/>
            </w:tcBorders>
            <w:shd w:val="clear" w:color="auto" w:fill="auto"/>
            <w:noWrap/>
            <w:vAlign w:val="bottom"/>
            <w:hideMark/>
          </w:tcPr>
          <w:p w14:paraId="16F570DC" w14:textId="77777777" w:rsidR="00765C3D" w:rsidRPr="00765C3D" w:rsidRDefault="00765C3D" w:rsidP="00765C3D">
            <w:pPr>
              <w:spacing w:after="0"/>
              <w:ind w:firstLineChars="100" w:firstLine="160"/>
              <w:rPr>
                <w:rFonts w:ascii="Arial" w:hAnsi="Arial" w:cs="Arial"/>
                <w:sz w:val="16"/>
                <w:szCs w:val="16"/>
              </w:rPr>
            </w:pPr>
          </w:p>
        </w:tc>
        <w:tc>
          <w:tcPr>
            <w:tcW w:w="900" w:type="dxa"/>
            <w:tcBorders>
              <w:top w:val="nil"/>
              <w:left w:val="nil"/>
              <w:bottom w:val="nil"/>
              <w:right w:val="nil"/>
            </w:tcBorders>
            <w:shd w:val="clear" w:color="000000" w:fill="D9D9D9"/>
            <w:noWrap/>
            <w:vAlign w:val="bottom"/>
            <w:hideMark/>
          </w:tcPr>
          <w:p w14:paraId="60F77240"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 </w:t>
            </w:r>
          </w:p>
        </w:tc>
        <w:tc>
          <w:tcPr>
            <w:tcW w:w="900" w:type="dxa"/>
            <w:tcBorders>
              <w:top w:val="nil"/>
              <w:left w:val="nil"/>
              <w:bottom w:val="nil"/>
              <w:right w:val="nil"/>
            </w:tcBorders>
            <w:shd w:val="clear" w:color="auto" w:fill="auto"/>
            <w:noWrap/>
            <w:vAlign w:val="bottom"/>
            <w:hideMark/>
          </w:tcPr>
          <w:p w14:paraId="0FE6E249" w14:textId="77777777" w:rsidR="00765C3D" w:rsidRPr="00765C3D" w:rsidRDefault="00765C3D" w:rsidP="00765C3D">
            <w:pPr>
              <w:spacing w:after="0"/>
              <w:jc w:val="right"/>
              <w:rPr>
                <w:rFonts w:ascii="Arial" w:hAnsi="Arial" w:cs="Arial"/>
                <w:sz w:val="16"/>
                <w:szCs w:val="16"/>
              </w:rPr>
            </w:pPr>
          </w:p>
        </w:tc>
        <w:tc>
          <w:tcPr>
            <w:tcW w:w="900" w:type="dxa"/>
            <w:tcBorders>
              <w:top w:val="nil"/>
              <w:left w:val="nil"/>
              <w:bottom w:val="nil"/>
              <w:right w:val="nil"/>
            </w:tcBorders>
            <w:shd w:val="clear" w:color="auto" w:fill="auto"/>
            <w:noWrap/>
            <w:vAlign w:val="bottom"/>
            <w:hideMark/>
          </w:tcPr>
          <w:p w14:paraId="2783C69D" w14:textId="77777777" w:rsidR="00765C3D" w:rsidRPr="00765C3D" w:rsidRDefault="00765C3D" w:rsidP="00765C3D">
            <w:pPr>
              <w:spacing w:after="0"/>
              <w:jc w:val="right"/>
              <w:rPr>
                <w:rFonts w:ascii="Times New Roman" w:hAnsi="Times New Roman"/>
                <w:color w:val="auto"/>
                <w:sz w:val="20"/>
              </w:rPr>
            </w:pPr>
          </w:p>
        </w:tc>
        <w:tc>
          <w:tcPr>
            <w:tcW w:w="900" w:type="dxa"/>
            <w:tcBorders>
              <w:top w:val="nil"/>
              <w:left w:val="nil"/>
              <w:bottom w:val="nil"/>
              <w:right w:val="nil"/>
            </w:tcBorders>
            <w:shd w:val="clear" w:color="auto" w:fill="auto"/>
            <w:noWrap/>
            <w:vAlign w:val="bottom"/>
            <w:hideMark/>
          </w:tcPr>
          <w:p w14:paraId="05674271" w14:textId="77777777" w:rsidR="00765C3D" w:rsidRPr="00765C3D" w:rsidRDefault="00765C3D" w:rsidP="00765C3D">
            <w:pPr>
              <w:spacing w:after="0"/>
              <w:jc w:val="right"/>
              <w:rPr>
                <w:rFonts w:ascii="Times New Roman" w:hAnsi="Times New Roman"/>
                <w:color w:val="auto"/>
                <w:sz w:val="20"/>
              </w:rPr>
            </w:pPr>
          </w:p>
        </w:tc>
      </w:tr>
      <w:tr w:rsidR="00765C3D" w:rsidRPr="00765C3D" w14:paraId="3E335CDC" w14:textId="77777777" w:rsidTr="00765C3D">
        <w:trPr>
          <w:trHeight w:val="225"/>
        </w:trPr>
        <w:tc>
          <w:tcPr>
            <w:tcW w:w="2860" w:type="dxa"/>
            <w:tcBorders>
              <w:top w:val="nil"/>
              <w:left w:val="nil"/>
              <w:bottom w:val="nil"/>
              <w:right w:val="nil"/>
            </w:tcBorders>
            <w:shd w:val="clear" w:color="auto" w:fill="auto"/>
            <w:noWrap/>
            <w:vAlign w:val="bottom"/>
            <w:hideMark/>
          </w:tcPr>
          <w:p w14:paraId="10A430E7" w14:textId="77777777" w:rsidR="00765C3D" w:rsidRPr="00765C3D" w:rsidRDefault="00765C3D" w:rsidP="00765C3D">
            <w:pPr>
              <w:spacing w:after="0"/>
              <w:ind w:leftChars="150" w:left="285"/>
              <w:rPr>
                <w:rFonts w:ascii="Arial" w:hAnsi="Arial" w:cs="Arial"/>
                <w:sz w:val="16"/>
                <w:szCs w:val="16"/>
              </w:rPr>
            </w:pPr>
            <w:r w:rsidRPr="00765C3D">
              <w:rPr>
                <w:rFonts w:ascii="Arial" w:hAnsi="Arial" w:cs="Arial"/>
                <w:sz w:val="16"/>
                <w:szCs w:val="16"/>
              </w:rPr>
              <w:t>- appropriations</w:t>
            </w:r>
          </w:p>
        </w:tc>
        <w:tc>
          <w:tcPr>
            <w:tcW w:w="900" w:type="dxa"/>
            <w:tcBorders>
              <w:top w:val="nil"/>
              <w:left w:val="nil"/>
              <w:bottom w:val="nil"/>
              <w:right w:val="nil"/>
            </w:tcBorders>
            <w:shd w:val="clear" w:color="auto" w:fill="auto"/>
            <w:noWrap/>
            <w:vAlign w:val="bottom"/>
            <w:hideMark/>
          </w:tcPr>
          <w:p w14:paraId="05F4C452"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51,962</w:t>
            </w:r>
          </w:p>
        </w:tc>
        <w:tc>
          <w:tcPr>
            <w:tcW w:w="900" w:type="dxa"/>
            <w:tcBorders>
              <w:top w:val="nil"/>
              <w:left w:val="nil"/>
              <w:bottom w:val="nil"/>
              <w:right w:val="nil"/>
            </w:tcBorders>
            <w:shd w:val="clear" w:color="000000" w:fill="D9D9D9"/>
            <w:noWrap/>
            <w:vAlign w:val="bottom"/>
            <w:hideMark/>
          </w:tcPr>
          <w:p w14:paraId="1A1C2C52"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49,881</w:t>
            </w:r>
          </w:p>
        </w:tc>
        <w:tc>
          <w:tcPr>
            <w:tcW w:w="900" w:type="dxa"/>
            <w:tcBorders>
              <w:top w:val="nil"/>
              <w:left w:val="nil"/>
              <w:bottom w:val="nil"/>
              <w:right w:val="nil"/>
            </w:tcBorders>
            <w:shd w:val="clear" w:color="auto" w:fill="auto"/>
            <w:noWrap/>
            <w:vAlign w:val="bottom"/>
            <w:hideMark/>
          </w:tcPr>
          <w:p w14:paraId="45DD17E9"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52,607</w:t>
            </w:r>
          </w:p>
        </w:tc>
        <w:tc>
          <w:tcPr>
            <w:tcW w:w="900" w:type="dxa"/>
            <w:tcBorders>
              <w:top w:val="nil"/>
              <w:left w:val="nil"/>
              <w:bottom w:val="nil"/>
              <w:right w:val="nil"/>
            </w:tcBorders>
            <w:shd w:val="clear" w:color="auto" w:fill="auto"/>
            <w:noWrap/>
            <w:vAlign w:val="bottom"/>
            <w:hideMark/>
          </w:tcPr>
          <w:p w14:paraId="4DEB227B"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53,826</w:t>
            </w:r>
          </w:p>
        </w:tc>
        <w:tc>
          <w:tcPr>
            <w:tcW w:w="900" w:type="dxa"/>
            <w:tcBorders>
              <w:top w:val="nil"/>
              <w:left w:val="nil"/>
              <w:bottom w:val="nil"/>
              <w:right w:val="nil"/>
            </w:tcBorders>
            <w:shd w:val="clear" w:color="000000" w:fill="FFFFFF"/>
            <w:noWrap/>
            <w:vAlign w:val="bottom"/>
            <w:hideMark/>
          </w:tcPr>
          <w:p w14:paraId="5096A48C"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54,638</w:t>
            </w:r>
          </w:p>
        </w:tc>
      </w:tr>
      <w:tr w:rsidR="00765C3D" w:rsidRPr="00765C3D" w14:paraId="024A473E" w14:textId="77777777" w:rsidTr="00765C3D">
        <w:trPr>
          <w:trHeight w:val="300"/>
        </w:trPr>
        <w:tc>
          <w:tcPr>
            <w:tcW w:w="2860" w:type="dxa"/>
            <w:tcBorders>
              <w:top w:val="nil"/>
              <w:left w:val="nil"/>
              <w:bottom w:val="nil"/>
              <w:right w:val="nil"/>
            </w:tcBorders>
            <w:shd w:val="clear" w:color="auto" w:fill="auto"/>
            <w:vAlign w:val="bottom"/>
            <w:hideMark/>
          </w:tcPr>
          <w:p w14:paraId="537E4122" w14:textId="77777777" w:rsidR="00765C3D" w:rsidRPr="00765C3D" w:rsidRDefault="00765C3D" w:rsidP="00765C3D">
            <w:pPr>
              <w:spacing w:after="0"/>
              <w:ind w:leftChars="75" w:left="143"/>
              <w:rPr>
                <w:rFonts w:ascii="Arial" w:hAnsi="Arial" w:cs="Arial"/>
                <w:sz w:val="16"/>
                <w:szCs w:val="16"/>
              </w:rPr>
            </w:pPr>
            <w:r w:rsidRPr="00765C3D">
              <w:rPr>
                <w:rFonts w:ascii="Arial" w:hAnsi="Arial" w:cs="Arial"/>
                <w:sz w:val="16"/>
                <w:szCs w:val="16"/>
              </w:rPr>
              <w:t>Cash to the OPA</w:t>
            </w:r>
          </w:p>
        </w:tc>
        <w:tc>
          <w:tcPr>
            <w:tcW w:w="900" w:type="dxa"/>
            <w:tcBorders>
              <w:top w:val="nil"/>
              <w:left w:val="nil"/>
              <w:bottom w:val="nil"/>
              <w:right w:val="nil"/>
            </w:tcBorders>
            <w:shd w:val="clear" w:color="auto" w:fill="auto"/>
            <w:noWrap/>
            <w:vAlign w:val="bottom"/>
            <w:hideMark/>
          </w:tcPr>
          <w:p w14:paraId="2D958DB2"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(916)</w:t>
            </w:r>
          </w:p>
        </w:tc>
        <w:tc>
          <w:tcPr>
            <w:tcW w:w="900" w:type="dxa"/>
            <w:tcBorders>
              <w:top w:val="nil"/>
              <w:left w:val="nil"/>
              <w:bottom w:val="nil"/>
              <w:right w:val="nil"/>
            </w:tcBorders>
            <w:shd w:val="clear" w:color="000000" w:fill="D9D9D9"/>
            <w:noWrap/>
            <w:vAlign w:val="bottom"/>
            <w:hideMark/>
          </w:tcPr>
          <w:p w14:paraId="5D699F0F"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3807E189"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21640B81"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(750)</w:t>
            </w:r>
          </w:p>
        </w:tc>
        <w:tc>
          <w:tcPr>
            <w:tcW w:w="900" w:type="dxa"/>
            <w:tcBorders>
              <w:top w:val="nil"/>
              <w:left w:val="nil"/>
              <w:bottom w:val="nil"/>
              <w:right w:val="nil"/>
            </w:tcBorders>
            <w:shd w:val="clear" w:color="auto" w:fill="auto"/>
            <w:noWrap/>
            <w:vAlign w:val="bottom"/>
            <w:hideMark/>
          </w:tcPr>
          <w:p w14:paraId="161A1953" w14:textId="77777777" w:rsidR="00765C3D" w:rsidRPr="00765C3D" w:rsidRDefault="00765C3D" w:rsidP="00765C3D">
            <w:pPr>
              <w:spacing w:after="0"/>
              <w:jc w:val="right"/>
              <w:rPr>
                <w:rFonts w:ascii="Arial" w:hAnsi="Arial" w:cs="Arial"/>
                <w:sz w:val="16"/>
                <w:szCs w:val="16"/>
              </w:rPr>
            </w:pPr>
            <w:r w:rsidRPr="00765C3D">
              <w:rPr>
                <w:rFonts w:ascii="Arial" w:hAnsi="Arial" w:cs="Arial"/>
                <w:sz w:val="16"/>
                <w:szCs w:val="16"/>
              </w:rPr>
              <w:t>(750)</w:t>
            </w:r>
          </w:p>
        </w:tc>
      </w:tr>
      <w:tr w:rsidR="00765C3D" w:rsidRPr="00765C3D" w14:paraId="31745745" w14:textId="77777777" w:rsidTr="00765C3D">
        <w:trPr>
          <w:trHeight w:val="450"/>
        </w:trPr>
        <w:tc>
          <w:tcPr>
            <w:tcW w:w="2860" w:type="dxa"/>
            <w:tcBorders>
              <w:top w:val="nil"/>
              <w:left w:val="nil"/>
              <w:bottom w:val="single" w:sz="4" w:space="0" w:color="auto"/>
              <w:right w:val="nil"/>
            </w:tcBorders>
            <w:shd w:val="clear" w:color="auto" w:fill="auto"/>
            <w:vAlign w:val="bottom"/>
            <w:hideMark/>
          </w:tcPr>
          <w:p w14:paraId="769BD0F0" w14:textId="77777777" w:rsidR="00765C3D" w:rsidRPr="00765C3D" w:rsidRDefault="00765C3D" w:rsidP="00765C3D">
            <w:pPr>
              <w:spacing w:after="0"/>
              <w:rPr>
                <w:rFonts w:ascii="Arial" w:hAnsi="Arial" w:cs="Arial"/>
                <w:b/>
                <w:bCs/>
                <w:sz w:val="16"/>
                <w:szCs w:val="16"/>
              </w:rPr>
            </w:pPr>
            <w:r w:rsidRPr="00765C3D">
              <w:rPr>
                <w:rFonts w:ascii="Arial" w:hAnsi="Arial" w:cs="Arial"/>
                <w:b/>
                <w:bCs/>
                <w:sz w:val="16"/>
                <w:szCs w:val="16"/>
              </w:rPr>
              <w:t>Cash at end of reporting period</w:t>
            </w:r>
          </w:p>
        </w:tc>
        <w:tc>
          <w:tcPr>
            <w:tcW w:w="900" w:type="dxa"/>
            <w:tcBorders>
              <w:top w:val="nil"/>
              <w:left w:val="nil"/>
              <w:bottom w:val="single" w:sz="4" w:space="0" w:color="auto"/>
              <w:right w:val="nil"/>
            </w:tcBorders>
            <w:shd w:val="clear" w:color="auto" w:fill="auto"/>
            <w:noWrap/>
            <w:vAlign w:val="bottom"/>
            <w:hideMark/>
          </w:tcPr>
          <w:p w14:paraId="52AB88F7"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143</w:t>
            </w:r>
          </w:p>
        </w:tc>
        <w:tc>
          <w:tcPr>
            <w:tcW w:w="900" w:type="dxa"/>
            <w:tcBorders>
              <w:top w:val="nil"/>
              <w:left w:val="nil"/>
              <w:bottom w:val="single" w:sz="4" w:space="0" w:color="auto"/>
              <w:right w:val="nil"/>
            </w:tcBorders>
            <w:shd w:val="clear" w:color="000000" w:fill="D9D9D9"/>
            <w:noWrap/>
            <w:vAlign w:val="bottom"/>
            <w:hideMark/>
          </w:tcPr>
          <w:p w14:paraId="19B24D5D"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143</w:t>
            </w:r>
          </w:p>
        </w:tc>
        <w:tc>
          <w:tcPr>
            <w:tcW w:w="900" w:type="dxa"/>
            <w:tcBorders>
              <w:top w:val="nil"/>
              <w:left w:val="nil"/>
              <w:bottom w:val="single" w:sz="4" w:space="0" w:color="auto"/>
              <w:right w:val="nil"/>
            </w:tcBorders>
            <w:shd w:val="clear" w:color="auto" w:fill="auto"/>
            <w:noWrap/>
            <w:vAlign w:val="bottom"/>
            <w:hideMark/>
          </w:tcPr>
          <w:p w14:paraId="684EB642"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143</w:t>
            </w:r>
          </w:p>
        </w:tc>
        <w:tc>
          <w:tcPr>
            <w:tcW w:w="900" w:type="dxa"/>
            <w:tcBorders>
              <w:top w:val="nil"/>
              <w:left w:val="nil"/>
              <w:bottom w:val="single" w:sz="4" w:space="0" w:color="auto"/>
              <w:right w:val="nil"/>
            </w:tcBorders>
            <w:shd w:val="clear" w:color="auto" w:fill="auto"/>
            <w:noWrap/>
            <w:vAlign w:val="bottom"/>
            <w:hideMark/>
          </w:tcPr>
          <w:p w14:paraId="2EB2FB23"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143</w:t>
            </w:r>
          </w:p>
        </w:tc>
        <w:tc>
          <w:tcPr>
            <w:tcW w:w="900" w:type="dxa"/>
            <w:tcBorders>
              <w:top w:val="nil"/>
              <w:left w:val="nil"/>
              <w:bottom w:val="single" w:sz="4" w:space="0" w:color="auto"/>
              <w:right w:val="nil"/>
            </w:tcBorders>
            <w:shd w:val="clear" w:color="auto" w:fill="auto"/>
            <w:noWrap/>
            <w:vAlign w:val="bottom"/>
            <w:hideMark/>
          </w:tcPr>
          <w:p w14:paraId="23593C8B" w14:textId="77777777" w:rsidR="00765C3D" w:rsidRPr="00765C3D" w:rsidRDefault="00765C3D" w:rsidP="00765C3D">
            <w:pPr>
              <w:spacing w:after="0"/>
              <w:jc w:val="right"/>
              <w:rPr>
                <w:rFonts w:ascii="Arial" w:hAnsi="Arial" w:cs="Arial"/>
                <w:b/>
                <w:bCs/>
                <w:sz w:val="16"/>
                <w:szCs w:val="16"/>
              </w:rPr>
            </w:pPr>
            <w:r w:rsidRPr="00765C3D">
              <w:rPr>
                <w:rFonts w:ascii="Arial" w:hAnsi="Arial" w:cs="Arial"/>
                <w:b/>
                <w:bCs/>
                <w:sz w:val="16"/>
                <w:szCs w:val="16"/>
              </w:rPr>
              <w:t>143</w:t>
            </w:r>
          </w:p>
        </w:tc>
      </w:tr>
    </w:tbl>
    <w:p w14:paraId="69C4EB11" w14:textId="635A32FF" w:rsidR="00335A4B" w:rsidRPr="00EE76CA" w:rsidRDefault="00471541" w:rsidP="006B7882">
      <w:pPr>
        <w:pStyle w:val="FootnoteText"/>
        <w:spacing w:before="120"/>
        <w:rPr>
          <w:color w:val="000000" w:themeColor="text1"/>
        </w:rPr>
      </w:pPr>
      <w:r w:rsidRPr="00471541">
        <w:t>OPA = Official Public Account</w:t>
      </w:r>
    </w:p>
    <w:sectPr w:rsidR="00335A4B" w:rsidRPr="00EE76CA" w:rsidSect="00357948">
      <w:headerReference w:type="even" r:id="rId27"/>
      <w:headerReference w:type="default" r:id="rId28"/>
      <w:footerReference w:type="default" r:id="rId29"/>
      <w:pgSz w:w="11906" w:h="16838"/>
      <w:pgMar w:top="2466" w:right="2268" w:bottom="2126" w:left="2268" w:header="1899" w:footer="18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EAB8A" w14:textId="77777777" w:rsidR="0070001C" w:rsidRDefault="0070001C" w:rsidP="00913388">
      <w:pPr>
        <w:spacing w:after="0"/>
      </w:pPr>
      <w:r>
        <w:separator/>
      </w:r>
    </w:p>
  </w:endnote>
  <w:endnote w:type="continuationSeparator" w:id="0">
    <w:p w14:paraId="429C9254" w14:textId="77777777" w:rsidR="0070001C" w:rsidRDefault="0070001C" w:rsidP="009133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3D3B23" w14:textId="49711050" w:rsidR="0070001C" w:rsidRPr="00913388" w:rsidRDefault="0070001C" w:rsidP="00F701FD">
    <w:pPr>
      <w:pStyle w:val="FooterEven"/>
      <w:rPr>
        <w:rFonts w:cs="Arial"/>
        <w:szCs w:val="18"/>
      </w:rPr>
    </w:pPr>
    <w:r w:rsidRPr="001C6402">
      <w:rPr>
        <w:rStyle w:val="PageNumber"/>
        <w:b/>
        <w:bCs/>
        <w:color w:val="000000"/>
      </w:rPr>
      <w:t xml:space="preserve">Page </w:t>
    </w:r>
    <w:r w:rsidRPr="001C6402">
      <w:rPr>
        <w:rStyle w:val="PageNumber"/>
        <w:b/>
        <w:bCs/>
        <w:color w:val="000000"/>
      </w:rPr>
      <w:fldChar w:fldCharType="begin"/>
    </w:r>
    <w:r w:rsidRPr="001C6402">
      <w:rPr>
        <w:rStyle w:val="PageNumber"/>
        <w:b/>
        <w:bCs/>
        <w:color w:val="000000"/>
      </w:rPr>
      <w:instrText xml:space="preserve"> PAGE </w:instrText>
    </w:r>
    <w:r w:rsidRPr="001C6402">
      <w:rPr>
        <w:rStyle w:val="PageNumber"/>
        <w:b/>
        <w:bCs/>
        <w:color w:val="000000"/>
      </w:rPr>
      <w:fldChar w:fldCharType="separate"/>
    </w:r>
    <w:r w:rsidR="0074587F">
      <w:rPr>
        <w:rStyle w:val="PageNumber"/>
        <w:b/>
        <w:bCs/>
        <w:noProof/>
        <w:color w:val="000000"/>
      </w:rPr>
      <w:t>404</w:t>
    </w:r>
    <w:r w:rsidRPr="001C6402">
      <w:rPr>
        <w:rStyle w:val="PageNumber"/>
        <w:b/>
        <w:bCs/>
        <w:color w:val="000000"/>
      </w:rPr>
      <w:fldChar w:fldCharType="end"/>
    </w:r>
    <w:r w:rsidRPr="001C6402">
      <w:rPr>
        <w:rStyle w:val="PageNumber"/>
        <w:color w:val="000000"/>
      </w:rPr>
      <w:t xml:space="preserve">  </w:t>
    </w:r>
    <w:proofErr w:type="gramStart"/>
    <w:r w:rsidRPr="001C6402">
      <w:rPr>
        <w:rStyle w:val="PageNumber"/>
        <w:color w:val="000000"/>
      </w:rPr>
      <w:t xml:space="preserve">|  </w:t>
    </w:r>
    <w:proofErr w:type="gramEnd"/>
    <w:r w:rsidRPr="001C6402">
      <w:rPr>
        <w:rStyle w:val="PageNumber"/>
        <w:color w:val="000000"/>
      </w:rPr>
      <w:fldChar w:fldCharType="begin"/>
    </w:r>
    <w:r w:rsidRPr="001C6402">
      <w:rPr>
        <w:rStyle w:val="PageNumber"/>
        <w:color w:val="000000"/>
      </w:rPr>
      <w:instrText xml:space="preserve"> STYLEREF  "Heading 1"  \* MERGEFORMAT </w:instrText>
    </w:r>
    <w:r w:rsidRPr="001C6402">
      <w:rPr>
        <w:rStyle w:val="PageNumber"/>
        <w:color w:val="000000"/>
      </w:rPr>
      <w:fldChar w:fldCharType="separate"/>
    </w:r>
    <w:r w:rsidR="0074587F">
      <w:rPr>
        <w:rStyle w:val="PageNumber"/>
        <w:noProof/>
        <w:color w:val="000000"/>
      </w:rPr>
      <w:t>Organ and Tissue Authority</w:t>
    </w:r>
    <w:r w:rsidRPr="001C6402">
      <w:rPr>
        <w:rStyle w:val="PageNumbe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810364"/>
      <w:docPartObj>
        <w:docPartGallery w:val="Page Numbers (Bottom of Page)"/>
        <w:docPartUnique/>
      </w:docPartObj>
    </w:sdtPr>
    <w:sdtEndPr>
      <w:rPr>
        <w:noProof/>
      </w:rPr>
    </w:sdtEndPr>
    <w:sdtContent>
      <w:p w14:paraId="233517F4" w14:textId="220C03F5" w:rsidR="0070001C" w:rsidRDefault="0070001C" w:rsidP="00F701FD">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74587F" w:rsidRPr="0074587F">
          <w:rPr>
            <w:rStyle w:val="PageNumber"/>
            <w:bCs/>
            <w:noProof/>
            <w:lang w:val="en-US"/>
          </w:rPr>
          <w:t>Organ and Tissue</w:t>
        </w:r>
        <w:r w:rsidR="0074587F">
          <w:rPr>
            <w:rStyle w:val="PageNumber"/>
            <w:noProof/>
          </w:rPr>
          <w:t xml:space="preserve"> Authority</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74587F">
          <w:rPr>
            <w:rStyle w:val="PageNumber"/>
            <w:b/>
            <w:bCs/>
            <w:noProof/>
          </w:rPr>
          <w:t>385</w:t>
        </w:r>
        <w:r w:rsidRPr="00B628E8">
          <w:rPr>
            <w:rStyle w:val="PageNumber"/>
            <w:b/>
            <w:bCs/>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309C1" w14:textId="77777777" w:rsidR="0074587F" w:rsidRDefault="007458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C5A93" w14:textId="77777777" w:rsidR="0070001C" w:rsidRPr="005D4F1D" w:rsidRDefault="0070001C" w:rsidP="00871062">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5D4F1D">
      <w:rPr>
        <w:rFonts w:ascii="Arial" w:hAnsi="Arial" w:cs="Arial"/>
        <w:b/>
        <w:color w:val="FFFFFF" w:themeColor="background1"/>
        <w:spacing w:val="10"/>
        <w:sz w:val="24"/>
      </w:rPr>
      <w:t>OTA</w:t>
    </w:r>
  </w:p>
  <w:sdt>
    <w:sdtPr>
      <w:id w:val="-664703318"/>
      <w:docPartObj>
        <w:docPartGallery w:val="Page Numbers (Bottom of Page)"/>
        <w:docPartUnique/>
      </w:docPartObj>
    </w:sdtPr>
    <w:sdtEndPr>
      <w:rPr>
        <w:noProof/>
      </w:rPr>
    </w:sdtEndPr>
    <w:sdtContent>
      <w:p w14:paraId="15B272FD" w14:textId="2B0AA8FF" w:rsidR="0070001C" w:rsidRDefault="0070001C" w:rsidP="00F701FD">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74587F" w:rsidRPr="0074587F">
          <w:rPr>
            <w:rStyle w:val="PageNumber"/>
            <w:bCs/>
            <w:noProof/>
            <w:lang w:val="en-US"/>
          </w:rPr>
          <w:t>Organ and Tissue</w:t>
        </w:r>
        <w:r w:rsidR="0074587F">
          <w:rPr>
            <w:rStyle w:val="PageNumber"/>
            <w:noProof/>
          </w:rPr>
          <w:t xml:space="preserve"> Authority</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74587F">
          <w:rPr>
            <w:rStyle w:val="PageNumber"/>
            <w:b/>
            <w:bCs/>
            <w:noProof/>
          </w:rPr>
          <w:t>395</w:t>
        </w:r>
        <w:r w:rsidRPr="00B628E8">
          <w:rPr>
            <w:rStyle w:val="PageNumber"/>
            <w:b/>
            <w:bCs/>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0E60B" w14:textId="77777777" w:rsidR="006B7882" w:rsidRPr="005D4F1D" w:rsidRDefault="006B7882" w:rsidP="00871062">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5D4F1D">
      <w:rPr>
        <w:rFonts w:ascii="Arial" w:hAnsi="Arial" w:cs="Arial"/>
        <w:b/>
        <w:color w:val="FFFFFF" w:themeColor="background1"/>
        <w:spacing w:val="10"/>
        <w:sz w:val="24"/>
      </w:rPr>
      <w:t>OTA</w:t>
    </w:r>
  </w:p>
  <w:sdt>
    <w:sdtPr>
      <w:id w:val="315609873"/>
      <w:docPartObj>
        <w:docPartGallery w:val="Page Numbers (Bottom of Page)"/>
        <w:docPartUnique/>
      </w:docPartObj>
    </w:sdtPr>
    <w:sdtEndPr>
      <w:rPr>
        <w:noProof/>
      </w:rPr>
    </w:sdtEndPr>
    <w:sdtContent>
      <w:p w14:paraId="47E604EB" w14:textId="3CBD2EF5" w:rsidR="006B7882" w:rsidRDefault="006B7882" w:rsidP="00F701FD">
        <w:pPr>
          <w:pStyle w:val="FooterOdd"/>
        </w:pPr>
        <w:r w:rsidRPr="00B24417">
          <w:rPr>
            <w:rStyle w:val="PageNumber"/>
          </w:rPr>
          <w:fldChar w:fldCharType="begin"/>
        </w:r>
        <w:r w:rsidRPr="00B24417">
          <w:rPr>
            <w:rStyle w:val="PageNumber"/>
          </w:rPr>
          <w:instrText xml:space="preserve"> STYLEREF  "Heading 1"  \* MERGEFORMAT </w:instrText>
        </w:r>
        <w:r w:rsidRPr="00B24417">
          <w:rPr>
            <w:rStyle w:val="PageNumber"/>
          </w:rPr>
          <w:fldChar w:fldCharType="separate"/>
        </w:r>
        <w:r w:rsidR="0074587F" w:rsidRPr="0074587F">
          <w:rPr>
            <w:rStyle w:val="PageNumber"/>
            <w:bCs/>
            <w:noProof/>
            <w:lang w:val="en-US"/>
          </w:rPr>
          <w:t>Organ and Tissue</w:t>
        </w:r>
        <w:r w:rsidR="0074587F">
          <w:rPr>
            <w:rStyle w:val="PageNumber"/>
            <w:noProof/>
          </w:rPr>
          <w:t xml:space="preserve"> Authority</w:t>
        </w:r>
        <w:r w:rsidRPr="00B24417">
          <w:rPr>
            <w:rStyle w:val="PageNumber"/>
          </w:rPr>
          <w:fldChar w:fldCharType="end"/>
        </w:r>
        <w:r w:rsidRPr="00B628E8">
          <w:rPr>
            <w:rStyle w:val="PageNumber"/>
          </w:rPr>
          <w:t xml:space="preserve"> </w:t>
        </w:r>
        <w:r>
          <w:rPr>
            <w:rStyle w:val="PageNumber"/>
          </w:rPr>
          <w:t xml:space="preserve"> </w:t>
        </w:r>
        <w:proofErr w:type="gramStart"/>
        <w:r w:rsidRPr="00B628E8">
          <w:rPr>
            <w:rStyle w:val="PageNumber"/>
          </w:rPr>
          <w:t>|</w:t>
        </w:r>
        <w:r>
          <w:rPr>
            <w:rStyle w:val="PageNumber"/>
          </w:rPr>
          <w:t xml:space="preserve"> </w:t>
        </w:r>
        <w:r w:rsidRPr="00B628E8">
          <w:rPr>
            <w:rStyle w:val="PageNumber"/>
          </w:rPr>
          <w:t xml:space="preserve"> </w:t>
        </w:r>
        <w:r w:rsidRPr="00B628E8">
          <w:rPr>
            <w:rStyle w:val="PageNumber"/>
            <w:b/>
            <w:bCs/>
          </w:rPr>
          <w:t>Page</w:t>
        </w:r>
        <w:proofErr w:type="gramEnd"/>
        <w:r w:rsidRPr="00B628E8">
          <w:rPr>
            <w:rStyle w:val="PageNumber"/>
            <w:b/>
            <w:bCs/>
          </w:rPr>
          <w:t xml:space="preserv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sidR="0074587F">
          <w:rPr>
            <w:rStyle w:val="PageNumber"/>
            <w:b/>
            <w:bCs/>
            <w:noProof/>
          </w:rPr>
          <w:t>399</w:t>
        </w:r>
        <w:r w:rsidRPr="00B628E8">
          <w:rPr>
            <w:rStyle w:val="PageNumber"/>
            <w:b/>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5E2CA" w14:textId="77777777" w:rsidR="0070001C" w:rsidRDefault="0070001C" w:rsidP="00913388">
      <w:pPr>
        <w:spacing w:after="0"/>
      </w:pPr>
      <w:r>
        <w:separator/>
      </w:r>
    </w:p>
  </w:footnote>
  <w:footnote w:type="continuationSeparator" w:id="0">
    <w:p w14:paraId="7E4B7816" w14:textId="77777777" w:rsidR="0070001C" w:rsidRDefault="0070001C" w:rsidP="00913388">
      <w:pPr>
        <w:spacing w:after="0"/>
      </w:pPr>
      <w:r>
        <w:continuationSeparator/>
      </w:r>
    </w:p>
  </w:footnote>
  <w:footnote w:id="1">
    <w:p w14:paraId="200DD5F5" w14:textId="036A4C58" w:rsidR="0070001C" w:rsidRPr="007D7165" w:rsidRDefault="0070001C" w:rsidP="00F42D55">
      <w:pPr>
        <w:pStyle w:val="FootnoteText"/>
        <w:rPr>
          <w:color w:val="auto"/>
        </w:rPr>
      </w:pPr>
      <w:r>
        <w:rPr>
          <w:rStyle w:val="FootnoteReference"/>
        </w:rPr>
        <w:footnoteRef/>
      </w:r>
      <w:r>
        <w:tab/>
      </w:r>
      <w:r w:rsidRPr="00AE0682">
        <w:t xml:space="preserve">For more information about the strategic direction of the </w:t>
      </w:r>
      <w:r>
        <w:t>OTA</w:t>
      </w:r>
      <w:r w:rsidRPr="00AE0682">
        <w:t xml:space="preserve">, refer to the current Corporate Plan, available at: </w:t>
      </w:r>
      <w:r w:rsidRPr="00BD5549">
        <w:rPr>
          <w:color w:val="auto"/>
        </w:rPr>
        <w:t>www.donatelife.gov.au/about-us/strategy-and-performance/corporate-plan</w:t>
      </w:r>
      <w:r w:rsidRPr="00295539">
        <w:rPr>
          <w:rFonts w:cs="Arial"/>
          <w:color w:val="FF0000"/>
        </w:rPr>
        <w:t xml:space="preserve"> </w:t>
      </w:r>
    </w:p>
  </w:footnote>
  <w:footnote w:id="2">
    <w:p w14:paraId="4DD5E4E1" w14:textId="5D50B588" w:rsidR="0070001C" w:rsidRDefault="0070001C" w:rsidP="0070001C">
      <w:pPr>
        <w:pStyle w:val="FootnoteText"/>
        <w:spacing w:before="30"/>
      </w:pPr>
      <w:r>
        <w:rPr>
          <w:rStyle w:val="FootnoteReference"/>
        </w:rPr>
        <w:footnoteRef/>
      </w:r>
      <w:r>
        <w:t xml:space="preserve"> </w:t>
      </w:r>
      <w:r>
        <w:tab/>
        <w:t xml:space="preserve">Performance measures are reported by calendar year to align with Australian and international donation and performance reporting practice. Annual data reports can be accessed at: </w:t>
      </w:r>
      <w:r w:rsidRPr="001940BD">
        <w:t>www.donatelife.gov.au/about-us/</w:t>
      </w:r>
      <w:r>
        <w:t>data-and-research/data-reports</w:t>
      </w:r>
    </w:p>
  </w:footnote>
  <w:footnote w:id="3">
    <w:p w14:paraId="461FB26C" w14:textId="529C9F74" w:rsidR="0070001C" w:rsidRDefault="0070001C" w:rsidP="0070001C">
      <w:pPr>
        <w:pStyle w:val="FootnoteText"/>
        <w:spacing w:before="30"/>
      </w:pPr>
      <w:r>
        <w:rPr>
          <w:rStyle w:val="FootnoteReference"/>
        </w:rPr>
        <w:footnoteRef/>
      </w:r>
      <w:r>
        <w:t xml:space="preserve"> </w:t>
      </w:r>
      <w:r>
        <w:tab/>
      </w:r>
      <w:r w:rsidRPr="00695676">
        <w:t>Targets for this performance measure have been adjusted to reflect a significant decrease in donation activity. Revised targets reflect a gradual increase towards an agreed national target of 25 dpmp.</w:t>
      </w:r>
    </w:p>
  </w:footnote>
  <w:footnote w:id="4">
    <w:p w14:paraId="2A5A4BF2" w14:textId="3B090886" w:rsidR="0070001C" w:rsidRDefault="0070001C" w:rsidP="0070001C">
      <w:pPr>
        <w:pStyle w:val="FootnoteText"/>
        <w:spacing w:before="30"/>
      </w:pPr>
      <w:r w:rsidRPr="00474AC3">
        <w:rPr>
          <w:rStyle w:val="FootnoteReference"/>
        </w:rPr>
        <w:footnoteRef/>
      </w:r>
      <w:r w:rsidRPr="00474AC3">
        <w:t xml:space="preserve"> </w:t>
      </w:r>
      <w:r w:rsidRPr="00474AC3">
        <w:tab/>
      </w:r>
      <w:r>
        <w:t>This is a new performance measure not previously published in the Health and Aged Care Portfolio Budget Statements.</w:t>
      </w:r>
    </w:p>
  </w:footnote>
  <w:footnote w:id="5">
    <w:p w14:paraId="75F28E32" w14:textId="77777777" w:rsidR="0070001C" w:rsidRPr="00474AC3" w:rsidRDefault="0070001C" w:rsidP="0070001C">
      <w:pPr>
        <w:pStyle w:val="FootnoteText"/>
        <w:spacing w:before="30"/>
      </w:pPr>
      <w:r>
        <w:rPr>
          <w:rStyle w:val="FootnoteReference"/>
        </w:rPr>
        <w:footnoteRef/>
      </w:r>
      <w:r>
        <w:t xml:space="preserve"> </w:t>
      </w:r>
      <w:r>
        <w:tab/>
      </w:r>
      <w:r w:rsidRPr="008161ED">
        <w:t>The COVID-19 pandemic has had a significant impact on the health system, the health workforce, and the community, causing a significant decrease in donation and transplantation activity</w:t>
      </w:r>
      <w:r w:rsidRPr="00474AC3">
        <w:t>.</w:t>
      </w:r>
    </w:p>
  </w:footnote>
  <w:footnote w:id="6">
    <w:p w14:paraId="7546029B" w14:textId="65B4CAEC" w:rsidR="0070001C" w:rsidRDefault="0070001C" w:rsidP="0070001C">
      <w:pPr>
        <w:pStyle w:val="FootnoteText"/>
        <w:spacing w:before="30"/>
      </w:pPr>
      <w:r w:rsidRPr="0094264B">
        <w:rPr>
          <w:rStyle w:val="FootnoteReference"/>
        </w:rPr>
        <w:footnoteRef/>
      </w:r>
      <w:r w:rsidRPr="0094264B">
        <w:t xml:space="preserve"> </w:t>
      </w:r>
      <w:r w:rsidRPr="0094264B">
        <w:tab/>
      </w:r>
      <w:r>
        <w:rPr>
          <w:snapToGrid w:val="0"/>
          <w:color w:val="000000" w:themeColor="text1"/>
        </w:rPr>
        <w:t>Ibid.</w:t>
      </w:r>
    </w:p>
  </w:footnote>
  <w:footnote w:id="7">
    <w:p w14:paraId="5400507E" w14:textId="068C306B" w:rsidR="0070001C" w:rsidRDefault="0070001C" w:rsidP="0070001C">
      <w:pPr>
        <w:pStyle w:val="FootnoteText"/>
        <w:spacing w:before="30"/>
      </w:pPr>
      <w:r w:rsidRPr="00474AC3">
        <w:rPr>
          <w:rStyle w:val="FootnoteReference"/>
        </w:rPr>
        <w:footnoteRef/>
      </w:r>
      <w:r w:rsidRPr="00474AC3">
        <w:t xml:space="preserve"> </w:t>
      </w:r>
      <w:r w:rsidRPr="00474AC3">
        <w:tab/>
      </w:r>
      <w:r>
        <w:t>This is a new performance measure not previously published in the Health and Aged Care Portfolio Budget Statements.</w:t>
      </w:r>
    </w:p>
  </w:footnote>
  <w:footnote w:id="8">
    <w:p w14:paraId="45FEADF1" w14:textId="426B5CDD" w:rsidR="0070001C" w:rsidRDefault="0070001C" w:rsidP="0070001C">
      <w:pPr>
        <w:pStyle w:val="FootnoteText"/>
        <w:spacing w:before="30"/>
      </w:pPr>
      <w:r w:rsidRPr="00474AC3">
        <w:rPr>
          <w:rStyle w:val="FootnoteReference"/>
        </w:rPr>
        <w:footnoteRef/>
      </w:r>
      <w:r w:rsidRPr="00474AC3">
        <w:t xml:space="preserve"> </w:t>
      </w:r>
      <w:r w:rsidRPr="00474AC3">
        <w:tab/>
      </w:r>
      <w:r w:rsidRPr="002B68ED">
        <w:t>This is a new performance measure not previously published in the Health and Aged Care Portfolio Budget Statements.</w:t>
      </w:r>
    </w:p>
  </w:footnote>
  <w:footnote w:id="9">
    <w:p w14:paraId="42BDD0ED" w14:textId="77777777" w:rsidR="0070001C" w:rsidRDefault="0070001C" w:rsidP="0070001C">
      <w:pPr>
        <w:pStyle w:val="FootnoteText"/>
        <w:spacing w:before="30"/>
      </w:pPr>
      <w:r w:rsidRPr="00474AC3">
        <w:rPr>
          <w:rStyle w:val="FootnoteReference"/>
        </w:rPr>
        <w:footnoteRef/>
      </w:r>
      <w:r w:rsidRPr="00474AC3">
        <w:t xml:space="preserve"> </w:t>
      </w:r>
      <w:r w:rsidRPr="00474AC3">
        <w:tab/>
      </w:r>
      <w:r>
        <w:rPr>
          <w:snapToGrid w:val="0"/>
          <w:color w:val="000000" w:themeColor="text1"/>
        </w:rPr>
        <w:t>The COVID-19 pandemic has had a significant impact on the health system, the health workforce, and the community, causing a significant decrease in donation and transplantation activity.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C5053" w14:textId="563CF96D" w:rsidR="0070001C" w:rsidRPr="003A526F" w:rsidRDefault="0070001C" w:rsidP="00E724F7">
    <w:pPr>
      <w:pStyle w:val="Header"/>
      <w:tabs>
        <w:tab w:val="clear" w:pos="4513"/>
        <w:tab w:val="clear" w:pos="9026"/>
        <w:tab w:val="left" w:pos="1851"/>
      </w:tabs>
      <w:jc w:val="center"/>
      <w:rPr>
        <w:rFonts w:ascii="Arial" w:hAnsi="Arial" w:cs="Arial"/>
        <w:b/>
        <w:color w:val="auto"/>
        <w:sz w:val="24"/>
        <w:szCs w:val="24"/>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DF6F8" w14:textId="77777777" w:rsidR="0070001C" w:rsidRPr="00B24417" w:rsidRDefault="0070001C" w:rsidP="002D3107">
    <w:pPr>
      <w:tabs>
        <w:tab w:val="center" w:pos="4513"/>
        <w:tab w:val="right" w:pos="9026"/>
      </w:tabs>
      <w:spacing w:before="40" w:after="0"/>
      <w:rPr>
        <w:rFonts w:ascii="Arial" w:hAnsi="Arial" w:cs="Arial"/>
        <w:sz w:val="18"/>
        <w:szCs w:val="18"/>
      </w:rPr>
    </w:pPr>
    <w:r w:rsidRPr="00B24417">
      <w:rPr>
        <w:rFonts w:ascii="Arial" w:hAnsi="Arial" w:cs="Arial"/>
        <w:noProof/>
        <w:position w:val="-6"/>
        <w:sz w:val="18"/>
        <w:szCs w:val="18"/>
      </w:rPr>
      <w:drawing>
        <wp:inline distT="0" distB="0" distL="0" distR="0" wp14:anchorId="1FB87591" wp14:editId="0D05ED2C">
          <wp:extent cx="1358265" cy="170815"/>
          <wp:effectExtent l="0" t="0" r="0" b="635"/>
          <wp:docPr id="1" name="Picture 1"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300D32" w14:textId="14625032" w:rsidR="0070001C" w:rsidRPr="0099178B" w:rsidRDefault="0070001C" w:rsidP="0099178B">
    <w:pPr>
      <w:tabs>
        <w:tab w:val="center" w:pos="4150"/>
        <w:tab w:val="right" w:pos="8306"/>
      </w:tabs>
      <w:spacing w:after="0"/>
      <w:jc w:val="right"/>
    </w:pPr>
    <w:r w:rsidRPr="0099178B">
      <w:rPr>
        <w:rFonts w:ascii="Arial" w:hAnsi="Arial" w:cs="Arial"/>
        <w:sz w:val="18"/>
        <w:szCs w:val="18"/>
      </w:rPr>
      <w:t xml:space="preserve">Portfolio Budget </w:t>
    </w:r>
    <w:proofErr w:type="gramStart"/>
    <w:r w:rsidRPr="0099178B">
      <w:rPr>
        <w:rFonts w:ascii="Arial" w:hAnsi="Arial" w:cs="Arial"/>
        <w:sz w:val="18"/>
        <w:szCs w:val="18"/>
      </w:rPr>
      <w:t>Statements</w:t>
    </w:r>
    <w:r w:rsidRPr="0099178B">
      <w:t xml:space="preserve">  |</w:t>
    </w:r>
    <w:proofErr w:type="gramEnd"/>
    <w:r w:rsidRPr="0099178B">
      <w:t xml:space="preserve">  </w:t>
    </w:r>
    <w:r w:rsidRPr="0099178B">
      <w:rPr>
        <w:noProof/>
        <w:position w:val="-6"/>
      </w:rPr>
      <w:drawing>
        <wp:inline distT="0" distB="0" distL="0" distR="0" wp14:anchorId="678813E0" wp14:editId="0D4DB61E">
          <wp:extent cx="1358265" cy="170815"/>
          <wp:effectExtent l="0" t="0" r="0" b="635"/>
          <wp:docPr id="6" name="Picture 6"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862D" w14:textId="73BE541B" w:rsidR="0070001C" w:rsidRDefault="0070001C">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E691A" w14:textId="77777777" w:rsidR="0070001C" w:rsidRPr="00B24417" w:rsidRDefault="0070001C" w:rsidP="002D3107">
    <w:pPr>
      <w:tabs>
        <w:tab w:val="center" w:pos="4513"/>
        <w:tab w:val="right" w:pos="9026"/>
      </w:tabs>
      <w:spacing w:before="40" w:after="0"/>
      <w:rPr>
        <w:rFonts w:ascii="Arial" w:hAnsi="Arial" w:cs="Arial"/>
        <w:sz w:val="18"/>
        <w:szCs w:val="18"/>
      </w:rPr>
    </w:pPr>
    <w:r w:rsidRPr="00B24417">
      <w:rPr>
        <w:rFonts w:ascii="Arial" w:hAnsi="Arial" w:cs="Arial"/>
        <w:noProof/>
        <w:position w:val="-6"/>
        <w:sz w:val="18"/>
        <w:szCs w:val="18"/>
      </w:rPr>
      <w:drawing>
        <wp:inline distT="0" distB="0" distL="0" distR="0" wp14:anchorId="19B2E0D7" wp14:editId="1F095250">
          <wp:extent cx="1358265" cy="170815"/>
          <wp:effectExtent l="0" t="0" r="0" b="635"/>
          <wp:docPr id="2" name="Picture 2"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594A8" w14:textId="7E533CA8" w:rsidR="0070001C" w:rsidRDefault="0070001C" w:rsidP="007C5E49">
    <w:pPr>
      <w:pStyle w:val="Header1-Right"/>
    </w:pPr>
    <w:r>
      <w:t>OTA – Section 3 – Budgeted Financial Statements</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629D5" w14:textId="2C82D3A5" w:rsidR="0070001C" w:rsidRDefault="0070001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21466" w14:textId="3E08175C" w:rsidR="0070001C" w:rsidRPr="006B7882" w:rsidRDefault="006B7882" w:rsidP="006B7882">
    <w:pPr>
      <w:tabs>
        <w:tab w:val="center" w:pos="4513"/>
        <w:tab w:val="right" w:pos="9026"/>
      </w:tabs>
      <w:spacing w:before="40" w:after="0"/>
    </w:pPr>
    <w:r w:rsidRPr="00B24417">
      <w:rPr>
        <w:rFonts w:ascii="Arial" w:hAnsi="Arial" w:cs="Arial"/>
        <w:noProof/>
        <w:position w:val="-6"/>
        <w:sz w:val="18"/>
        <w:szCs w:val="18"/>
      </w:rPr>
      <w:drawing>
        <wp:inline distT="0" distB="0" distL="0" distR="0" wp14:anchorId="213D0AE4" wp14:editId="33D49E82">
          <wp:extent cx="1358265" cy="170815"/>
          <wp:effectExtent l="0" t="0" r="0" b="635"/>
          <wp:docPr id="4" name="Picture 4"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09850" w14:textId="77777777" w:rsidR="006B7882" w:rsidRPr="0099178B" w:rsidRDefault="006B7882" w:rsidP="0099178B">
    <w:pPr>
      <w:tabs>
        <w:tab w:val="center" w:pos="4150"/>
        <w:tab w:val="right" w:pos="8306"/>
      </w:tabs>
      <w:spacing w:after="0"/>
      <w:jc w:val="right"/>
    </w:pPr>
    <w:r w:rsidRPr="0099178B">
      <w:rPr>
        <w:rFonts w:ascii="Arial" w:hAnsi="Arial" w:cs="Arial"/>
        <w:sz w:val="18"/>
        <w:szCs w:val="18"/>
      </w:rPr>
      <w:t xml:space="preserve">Portfolio Budget </w:t>
    </w:r>
    <w:proofErr w:type="gramStart"/>
    <w:r w:rsidRPr="0099178B">
      <w:rPr>
        <w:rFonts w:ascii="Arial" w:hAnsi="Arial" w:cs="Arial"/>
        <w:sz w:val="18"/>
        <w:szCs w:val="18"/>
      </w:rPr>
      <w:t>Statements</w:t>
    </w:r>
    <w:r w:rsidRPr="0099178B">
      <w:t xml:space="preserve">  |</w:t>
    </w:r>
    <w:proofErr w:type="gramEnd"/>
    <w:r w:rsidRPr="0099178B">
      <w:t xml:space="preserve">  </w:t>
    </w:r>
    <w:bookmarkStart w:id="12" w:name="_GoBack"/>
    <w:r w:rsidRPr="0099178B">
      <w:rPr>
        <w:noProof/>
        <w:position w:val="-6"/>
      </w:rPr>
      <w:drawing>
        <wp:inline distT="0" distB="0" distL="0" distR="0" wp14:anchorId="2B300024" wp14:editId="2215761B">
          <wp:extent cx="1358265" cy="170815"/>
          <wp:effectExtent l="0" t="0" r="0" b="635"/>
          <wp:docPr id="3" name="Picture 3"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bookmarkEnd w:id="1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5B8E2" w14:textId="27EA25DC" w:rsidR="0070001C" w:rsidRPr="005D4F1D" w:rsidRDefault="0070001C" w:rsidP="00F85362">
    <w:pPr>
      <w:framePr w:w="851" w:h="1701" w:hRule="exact" w:wrap="around" w:vAnchor="page" w:hAnchor="margin" w:x="7939" w:y="9753" w:anchorLock="1"/>
      <w:shd w:val="pct95" w:color="auto" w:fill="auto"/>
      <w:spacing w:before="280"/>
      <w:textDirection w:val="btLr"/>
      <w:rPr>
        <w:rFonts w:ascii="Arial" w:hAnsi="Arial" w:cs="Arial"/>
        <w:b/>
        <w:color w:val="FFFFFF" w:themeColor="background1"/>
        <w:spacing w:val="10"/>
        <w:sz w:val="24"/>
      </w:rPr>
    </w:pPr>
    <w:r>
      <w:rPr>
        <w:rFonts w:ascii="Arial" w:hAnsi="Arial" w:cs="Arial"/>
        <w:b/>
        <w:color w:val="FFFFFF" w:themeColor="background1"/>
        <w:spacing w:val="10"/>
        <w:sz w:val="24"/>
      </w:rPr>
      <w:t xml:space="preserve">       </w:t>
    </w:r>
    <w:r w:rsidRPr="005D4F1D">
      <w:rPr>
        <w:rFonts w:ascii="Arial" w:hAnsi="Arial" w:cs="Arial"/>
        <w:b/>
        <w:color w:val="FFFFFF" w:themeColor="background1"/>
        <w:spacing w:val="10"/>
        <w:sz w:val="24"/>
      </w:rPr>
      <w:t>OTA</w:t>
    </w:r>
  </w:p>
  <w:p w14:paraId="03B3F41E" w14:textId="7C39C002" w:rsidR="0070001C" w:rsidRPr="003A526F" w:rsidRDefault="0070001C" w:rsidP="003A526F">
    <w:pPr>
      <w:pStyle w:val="Header"/>
      <w:tabs>
        <w:tab w:val="clear" w:pos="4513"/>
        <w:tab w:val="clear" w:pos="9026"/>
        <w:tab w:val="left" w:pos="1140"/>
      </w:tabs>
      <w:rPr>
        <w:rFonts w:ascii="Arial" w:hAnsi="Arial" w:cs="Arial"/>
        <w:b/>
        <w:color w:val="auto"/>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353D4" w14:textId="77777777" w:rsidR="0074587F" w:rsidRDefault="007458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2F692" w14:textId="524590B9" w:rsidR="0070001C" w:rsidRDefault="007000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A4982" w14:textId="3E9BA04C" w:rsidR="0070001C" w:rsidRPr="00A614F8" w:rsidRDefault="0070001C" w:rsidP="00A614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56097" w14:textId="4E87FEC4" w:rsidR="0070001C" w:rsidRDefault="0070001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B3CE0" w14:textId="77777777" w:rsidR="0070001C" w:rsidRPr="00B24417" w:rsidRDefault="0070001C" w:rsidP="002D3107">
    <w:pPr>
      <w:tabs>
        <w:tab w:val="center" w:pos="4513"/>
        <w:tab w:val="right" w:pos="9026"/>
      </w:tabs>
      <w:spacing w:before="40" w:after="0"/>
      <w:rPr>
        <w:rFonts w:ascii="Arial" w:hAnsi="Arial" w:cs="Arial"/>
        <w:sz w:val="18"/>
        <w:szCs w:val="18"/>
      </w:rPr>
    </w:pPr>
    <w:r w:rsidRPr="00B24417">
      <w:rPr>
        <w:rFonts w:ascii="Arial" w:hAnsi="Arial" w:cs="Arial"/>
        <w:noProof/>
        <w:position w:val="-6"/>
        <w:sz w:val="18"/>
        <w:szCs w:val="18"/>
      </w:rPr>
      <w:drawing>
        <wp:inline distT="0" distB="0" distL="0" distR="0" wp14:anchorId="783B5435" wp14:editId="316D04FA">
          <wp:extent cx="1358265" cy="170815"/>
          <wp:effectExtent l="0" t="0" r="0" b="635"/>
          <wp:docPr id="13" name="Picture 13"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r w:rsidRPr="00B24417">
      <w:rPr>
        <w:rFonts w:ascii="Arial" w:hAnsi="Arial" w:cs="Arial"/>
        <w:sz w:val="18"/>
        <w:szCs w:val="18"/>
      </w:rPr>
      <w:t xml:space="preserve">  </w:t>
    </w:r>
    <w:proofErr w:type="gramStart"/>
    <w:r w:rsidRPr="00B24417">
      <w:rPr>
        <w:rFonts w:ascii="Arial" w:hAnsi="Arial" w:cs="Arial"/>
        <w:sz w:val="18"/>
        <w:szCs w:val="18"/>
      </w:rPr>
      <w:t>|  Portfolio</w:t>
    </w:r>
    <w:proofErr w:type="gramEnd"/>
    <w:r w:rsidRPr="00B24417">
      <w:rPr>
        <w:rFonts w:ascii="Arial" w:hAnsi="Arial" w:cs="Arial"/>
        <w:sz w:val="18"/>
        <w:szCs w:val="18"/>
      </w:rPr>
      <w:t xml:space="preserve"> Budget Statements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3297E" w14:textId="2FD6E478" w:rsidR="0070001C" w:rsidRPr="0099178B" w:rsidRDefault="0070001C" w:rsidP="0099178B">
    <w:pPr>
      <w:tabs>
        <w:tab w:val="center" w:pos="4150"/>
        <w:tab w:val="right" w:pos="8306"/>
      </w:tabs>
      <w:spacing w:after="0"/>
      <w:jc w:val="right"/>
    </w:pPr>
    <w:r w:rsidRPr="0099178B">
      <w:rPr>
        <w:rFonts w:ascii="Arial" w:hAnsi="Arial" w:cs="Arial"/>
        <w:sz w:val="18"/>
        <w:szCs w:val="18"/>
      </w:rPr>
      <w:t xml:space="preserve">Portfolio Budget </w:t>
    </w:r>
    <w:proofErr w:type="gramStart"/>
    <w:r w:rsidRPr="0099178B">
      <w:rPr>
        <w:rFonts w:ascii="Arial" w:hAnsi="Arial" w:cs="Arial"/>
        <w:sz w:val="18"/>
        <w:szCs w:val="18"/>
      </w:rPr>
      <w:t>Statements</w:t>
    </w:r>
    <w:r w:rsidRPr="0099178B">
      <w:t xml:space="preserve">  |</w:t>
    </w:r>
    <w:proofErr w:type="gramEnd"/>
    <w:r w:rsidRPr="0099178B">
      <w:t xml:space="preserve">  </w:t>
    </w:r>
    <w:r w:rsidRPr="0099178B">
      <w:rPr>
        <w:noProof/>
        <w:position w:val="-6"/>
      </w:rPr>
      <w:drawing>
        <wp:inline distT="0" distB="0" distL="0" distR="0" wp14:anchorId="0DC5443D" wp14:editId="4955DA37">
          <wp:extent cx="1358265" cy="170815"/>
          <wp:effectExtent l="0" t="0" r="0" b="635"/>
          <wp:docPr id="5" name="Picture 5" descr="Budget October 2022-23" title="Budg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70815"/>
                  </a:xfrm>
                  <a:prstGeom prst="rect">
                    <a:avLst/>
                  </a:prstGeom>
                  <a:noFill/>
                  <a:ln>
                    <a:noFill/>
                  </a:ln>
                </pic:spPr>
              </pic:pic>
            </a:graphicData>
          </a:graphic>
        </wp:inline>
      </w:drawing>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4D6C7" w14:textId="664F09B4" w:rsidR="0070001C" w:rsidRDefault="00700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50BB4"/>
    <w:multiLevelType w:val="hybridMultilevel"/>
    <w:tmpl w:val="353C9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A1540"/>
    <w:multiLevelType w:val="hybridMultilevel"/>
    <w:tmpl w:val="DEE6D04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0C7A5EA8"/>
    <w:multiLevelType w:val="hybridMultilevel"/>
    <w:tmpl w:val="A5CC17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9379EC"/>
    <w:multiLevelType w:val="hybridMultilevel"/>
    <w:tmpl w:val="2EB4181E"/>
    <w:lvl w:ilvl="0" w:tplc="085E5AA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5A8484E"/>
    <w:multiLevelType w:val="hybridMultilevel"/>
    <w:tmpl w:val="53C404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F0E6212"/>
    <w:multiLevelType w:val="hybridMultilevel"/>
    <w:tmpl w:val="115C7084"/>
    <w:lvl w:ilvl="0" w:tplc="3CB452D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8B4E78"/>
    <w:multiLevelType w:val="hybridMultilevel"/>
    <w:tmpl w:val="A5CC172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C246C15"/>
    <w:multiLevelType w:val="hybridMultilevel"/>
    <w:tmpl w:val="775EB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6947060"/>
    <w:multiLevelType w:val="hybridMultilevel"/>
    <w:tmpl w:val="5C662B3E"/>
    <w:lvl w:ilvl="0" w:tplc="F502179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E3065"/>
    <w:multiLevelType w:val="hybridMultilevel"/>
    <w:tmpl w:val="5FF82336"/>
    <w:lvl w:ilvl="0" w:tplc="76ECD804">
      <w:start w:val="1"/>
      <w:numFmt w:val="bullet"/>
      <w:lvlText w:val="­"/>
      <w:lvlJc w:val="left"/>
      <w:pPr>
        <w:ind w:left="644" w:hanging="360"/>
      </w:pPr>
      <w:rPr>
        <w:rFonts w:ascii="Courier New" w:hAnsi="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0" w15:restartNumberingAfterBreak="0">
    <w:nsid w:val="48244A5B"/>
    <w:multiLevelType w:val="hybridMultilevel"/>
    <w:tmpl w:val="F3FEE248"/>
    <w:lvl w:ilvl="0" w:tplc="76ECD804">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424F4C"/>
    <w:multiLevelType w:val="multilevel"/>
    <w:tmpl w:val="CBEE070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7E7BFC"/>
    <w:multiLevelType w:val="hybridMultilevel"/>
    <w:tmpl w:val="9FD2C11C"/>
    <w:lvl w:ilvl="0" w:tplc="6A5A89C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6A7B5F"/>
    <w:multiLevelType w:val="hybridMultilevel"/>
    <w:tmpl w:val="3C8073FA"/>
    <w:lvl w:ilvl="0" w:tplc="76ECD804">
      <w:start w:val="1"/>
      <w:numFmt w:val="bullet"/>
      <w:lvlText w:val="­"/>
      <w:lvlJc w:val="left"/>
      <w:pPr>
        <w:ind w:left="720" w:hanging="360"/>
      </w:pPr>
      <w:rPr>
        <w:rFonts w:ascii="Courier New" w:hAnsi="Courier New"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E21D41"/>
    <w:multiLevelType w:val="hybridMultilevel"/>
    <w:tmpl w:val="98BCD84C"/>
    <w:lvl w:ilvl="0" w:tplc="76ECD804">
      <w:start w:val="1"/>
      <w:numFmt w:val="bullet"/>
      <w:lvlText w:val="­"/>
      <w:lvlJc w:val="left"/>
      <w:pPr>
        <w:ind w:left="785"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ED5E35"/>
    <w:multiLevelType w:val="hybridMultilevel"/>
    <w:tmpl w:val="4FA4B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C7A0C08"/>
    <w:multiLevelType w:val="hybridMultilevel"/>
    <w:tmpl w:val="39608C00"/>
    <w:lvl w:ilvl="0" w:tplc="0C090001">
      <w:start w:val="1"/>
      <w:numFmt w:val="bullet"/>
      <w:lvlText w:val=""/>
      <w:lvlJc w:val="left"/>
      <w:pPr>
        <w:ind w:left="1027" w:hanging="360"/>
      </w:pPr>
      <w:rPr>
        <w:rFonts w:ascii="Symbol" w:hAnsi="Symbol" w:hint="default"/>
      </w:rPr>
    </w:lvl>
    <w:lvl w:ilvl="1" w:tplc="0C090003" w:tentative="1">
      <w:start w:val="1"/>
      <w:numFmt w:val="bullet"/>
      <w:lvlText w:val="o"/>
      <w:lvlJc w:val="left"/>
      <w:pPr>
        <w:ind w:left="1747" w:hanging="360"/>
      </w:pPr>
      <w:rPr>
        <w:rFonts w:ascii="Courier New" w:hAnsi="Courier New" w:cs="Courier New" w:hint="default"/>
      </w:rPr>
    </w:lvl>
    <w:lvl w:ilvl="2" w:tplc="0C090005" w:tentative="1">
      <w:start w:val="1"/>
      <w:numFmt w:val="bullet"/>
      <w:lvlText w:val=""/>
      <w:lvlJc w:val="left"/>
      <w:pPr>
        <w:ind w:left="2467" w:hanging="360"/>
      </w:pPr>
      <w:rPr>
        <w:rFonts w:ascii="Wingdings" w:hAnsi="Wingdings" w:hint="default"/>
      </w:rPr>
    </w:lvl>
    <w:lvl w:ilvl="3" w:tplc="0C090001" w:tentative="1">
      <w:start w:val="1"/>
      <w:numFmt w:val="bullet"/>
      <w:lvlText w:val=""/>
      <w:lvlJc w:val="left"/>
      <w:pPr>
        <w:ind w:left="3187" w:hanging="360"/>
      </w:pPr>
      <w:rPr>
        <w:rFonts w:ascii="Symbol" w:hAnsi="Symbol" w:hint="default"/>
      </w:rPr>
    </w:lvl>
    <w:lvl w:ilvl="4" w:tplc="0C090003" w:tentative="1">
      <w:start w:val="1"/>
      <w:numFmt w:val="bullet"/>
      <w:lvlText w:val="o"/>
      <w:lvlJc w:val="left"/>
      <w:pPr>
        <w:ind w:left="3907" w:hanging="360"/>
      </w:pPr>
      <w:rPr>
        <w:rFonts w:ascii="Courier New" w:hAnsi="Courier New" w:cs="Courier New" w:hint="default"/>
      </w:rPr>
    </w:lvl>
    <w:lvl w:ilvl="5" w:tplc="0C090005" w:tentative="1">
      <w:start w:val="1"/>
      <w:numFmt w:val="bullet"/>
      <w:lvlText w:val=""/>
      <w:lvlJc w:val="left"/>
      <w:pPr>
        <w:ind w:left="4627" w:hanging="360"/>
      </w:pPr>
      <w:rPr>
        <w:rFonts w:ascii="Wingdings" w:hAnsi="Wingdings" w:hint="default"/>
      </w:rPr>
    </w:lvl>
    <w:lvl w:ilvl="6" w:tplc="0C090001" w:tentative="1">
      <w:start w:val="1"/>
      <w:numFmt w:val="bullet"/>
      <w:lvlText w:val=""/>
      <w:lvlJc w:val="left"/>
      <w:pPr>
        <w:ind w:left="5347" w:hanging="360"/>
      </w:pPr>
      <w:rPr>
        <w:rFonts w:ascii="Symbol" w:hAnsi="Symbol" w:hint="default"/>
      </w:rPr>
    </w:lvl>
    <w:lvl w:ilvl="7" w:tplc="0C090003" w:tentative="1">
      <w:start w:val="1"/>
      <w:numFmt w:val="bullet"/>
      <w:lvlText w:val="o"/>
      <w:lvlJc w:val="left"/>
      <w:pPr>
        <w:ind w:left="6067" w:hanging="360"/>
      </w:pPr>
      <w:rPr>
        <w:rFonts w:ascii="Courier New" w:hAnsi="Courier New" w:cs="Courier New" w:hint="default"/>
      </w:rPr>
    </w:lvl>
    <w:lvl w:ilvl="8" w:tplc="0C090005" w:tentative="1">
      <w:start w:val="1"/>
      <w:numFmt w:val="bullet"/>
      <w:lvlText w:val=""/>
      <w:lvlJc w:val="left"/>
      <w:pPr>
        <w:ind w:left="6787" w:hanging="360"/>
      </w:pPr>
      <w:rPr>
        <w:rFonts w:ascii="Wingdings" w:hAnsi="Wingdings" w:hint="default"/>
      </w:rPr>
    </w:lvl>
  </w:abstractNum>
  <w:abstractNum w:abstractNumId="17" w15:restartNumberingAfterBreak="0">
    <w:nsid w:val="677F31A2"/>
    <w:multiLevelType w:val="hybridMultilevel"/>
    <w:tmpl w:val="6F708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AE05269"/>
    <w:multiLevelType w:val="hybridMultilevel"/>
    <w:tmpl w:val="1196E3D0"/>
    <w:lvl w:ilvl="0" w:tplc="3996C034">
      <w:numFmt w:val="bullet"/>
      <w:lvlText w:val="•"/>
      <w:lvlJc w:val="left"/>
      <w:pPr>
        <w:ind w:left="1080" w:hanging="72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385831"/>
    <w:multiLevelType w:val="hybridMultilevel"/>
    <w:tmpl w:val="70D409F0"/>
    <w:lvl w:ilvl="0" w:tplc="83107C34">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F203D5"/>
    <w:multiLevelType w:val="hybridMultilevel"/>
    <w:tmpl w:val="D6B21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99126D"/>
    <w:multiLevelType w:val="hybridMultilevel"/>
    <w:tmpl w:val="24147104"/>
    <w:lvl w:ilvl="0" w:tplc="F5021796">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46211E1"/>
    <w:multiLevelType w:val="hybridMultilevel"/>
    <w:tmpl w:val="DAF0A354"/>
    <w:lvl w:ilvl="0" w:tplc="709A2794">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18"/>
  </w:num>
  <w:num w:numId="3">
    <w:abstractNumId w:val="19"/>
  </w:num>
  <w:num w:numId="4">
    <w:abstractNumId w:val="12"/>
  </w:num>
  <w:num w:numId="5">
    <w:abstractNumId w:val="16"/>
  </w:num>
  <w:num w:numId="6">
    <w:abstractNumId w:val="1"/>
  </w:num>
  <w:num w:numId="7">
    <w:abstractNumId w:val="20"/>
  </w:num>
  <w:num w:numId="8">
    <w:abstractNumId w:val="7"/>
  </w:num>
  <w:num w:numId="9">
    <w:abstractNumId w:val="8"/>
  </w:num>
  <w:num w:numId="10">
    <w:abstractNumId w:val="0"/>
  </w:num>
  <w:num w:numId="11">
    <w:abstractNumId w:val="15"/>
  </w:num>
  <w:num w:numId="12">
    <w:abstractNumId w:val="13"/>
  </w:num>
  <w:num w:numId="13">
    <w:abstractNumId w:val="21"/>
  </w:num>
  <w:num w:numId="14">
    <w:abstractNumId w:val="14"/>
  </w:num>
  <w:num w:numId="15">
    <w:abstractNumId w:val="9"/>
  </w:num>
  <w:num w:numId="16">
    <w:abstractNumId w:val="10"/>
  </w:num>
  <w:num w:numId="17">
    <w:abstractNumId w:val="17"/>
  </w:num>
  <w:num w:numId="18">
    <w:abstractNumId w:val="3"/>
  </w:num>
  <w:num w:numId="19">
    <w:abstractNumId w:val="3"/>
  </w:num>
  <w:num w:numId="20">
    <w:abstractNumId w:val="3"/>
  </w:num>
  <w:num w:numId="21">
    <w:abstractNumId w:val="3"/>
  </w:num>
  <w:num w:numId="22">
    <w:abstractNumId w:val="5"/>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22"/>
  </w:num>
  <w:num w:numId="32">
    <w:abstractNumId w:val="2"/>
  </w:num>
  <w:num w:numId="33">
    <w:abstractNumId w:val="4"/>
  </w:num>
  <w:num w:numId="34">
    <w:abstractNumId w:val="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trackedChanges" w:enforcement="0"/>
  <w:defaultTabStop w:val="720"/>
  <w:evenAndOddHeaders/>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388"/>
    <w:rsid w:val="00001B12"/>
    <w:rsid w:val="00005E03"/>
    <w:rsid w:val="000136DC"/>
    <w:rsid w:val="000139C3"/>
    <w:rsid w:val="0002065B"/>
    <w:rsid w:val="00020D19"/>
    <w:rsid w:val="00043127"/>
    <w:rsid w:val="000459A6"/>
    <w:rsid w:val="0005776C"/>
    <w:rsid w:val="00060542"/>
    <w:rsid w:val="00063C30"/>
    <w:rsid w:val="0006479D"/>
    <w:rsid w:val="00083724"/>
    <w:rsid w:val="000975A2"/>
    <w:rsid w:val="00097814"/>
    <w:rsid w:val="000A21AB"/>
    <w:rsid w:val="000A3011"/>
    <w:rsid w:val="000B033D"/>
    <w:rsid w:val="000B23C9"/>
    <w:rsid w:val="000C027D"/>
    <w:rsid w:val="000D51A6"/>
    <w:rsid w:val="000E3678"/>
    <w:rsid w:val="00104D31"/>
    <w:rsid w:val="00113191"/>
    <w:rsid w:val="00113BD7"/>
    <w:rsid w:val="00117748"/>
    <w:rsid w:val="0012685B"/>
    <w:rsid w:val="00132254"/>
    <w:rsid w:val="0013391B"/>
    <w:rsid w:val="00134DD1"/>
    <w:rsid w:val="00135BFB"/>
    <w:rsid w:val="001479BF"/>
    <w:rsid w:val="00160029"/>
    <w:rsid w:val="0016061B"/>
    <w:rsid w:val="001622B4"/>
    <w:rsid w:val="0017078A"/>
    <w:rsid w:val="0017305E"/>
    <w:rsid w:val="00181F2E"/>
    <w:rsid w:val="00185581"/>
    <w:rsid w:val="00190EEA"/>
    <w:rsid w:val="001940BD"/>
    <w:rsid w:val="001A1FCB"/>
    <w:rsid w:val="001A279B"/>
    <w:rsid w:val="001C1883"/>
    <w:rsid w:val="001C2799"/>
    <w:rsid w:val="001C78E9"/>
    <w:rsid w:val="001D362C"/>
    <w:rsid w:val="001D665A"/>
    <w:rsid w:val="001E2498"/>
    <w:rsid w:val="001E2F27"/>
    <w:rsid w:val="001E31BC"/>
    <w:rsid w:val="0020232E"/>
    <w:rsid w:val="00206A99"/>
    <w:rsid w:val="00210F0B"/>
    <w:rsid w:val="00211BC8"/>
    <w:rsid w:val="00225236"/>
    <w:rsid w:val="00230BB0"/>
    <w:rsid w:val="00241416"/>
    <w:rsid w:val="00244905"/>
    <w:rsid w:val="0024539A"/>
    <w:rsid w:val="00254C4C"/>
    <w:rsid w:val="002616CA"/>
    <w:rsid w:val="00280050"/>
    <w:rsid w:val="0028412E"/>
    <w:rsid w:val="00291D03"/>
    <w:rsid w:val="00295539"/>
    <w:rsid w:val="002958C8"/>
    <w:rsid w:val="002A15D4"/>
    <w:rsid w:val="002B0585"/>
    <w:rsid w:val="002B0F4E"/>
    <w:rsid w:val="002B68ED"/>
    <w:rsid w:val="002D3107"/>
    <w:rsid w:val="002D3D25"/>
    <w:rsid w:val="002D6C1C"/>
    <w:rsid w:val="002D77F8"/>
    <w:rsid w:val="002E0591"/>
    <w:rsid w:val="002F5B08"/>
    <w:rsid w:val="00311E74"/>
    <w:rsid w:val="003163D1"/>
    <w:rsid w:val="003221D0"/>
    <w:rsid w:val="0032224D"/>
    <w:rsid w:val="003230EB"/>
    <w:rsid w:val="00334111"/>
    <w:rsid w:val="00335A4B"/>
    <w:rsid w:val="00337788"/>
    <w:rsid w:val="0034555A"/>
    <w:rsid w:val="0035220E"/>
    <w:rsid w:val="003556E0"/>
    <w:rsid w:val="00357948"/>
    <w:rsid w:val="0037037F"/>
    <w:rsid w:val="00394EE3"/>
    <w:rsid w:val="003967EF"/>
    <w:rsid w:val="003A526F"/>
    <w:rsid w:val="003B0A03"/>
    <w:rsid w:val="003B4AA6"/>
    <w:rsid w:val="003B64FF"/>
    <w:rsid w:val="003B65F2"/>
    <w:rsid w:val="003B737E"/>
    <w:rsid w:val="003D3EB0"/>
    <w:rsid w:val="003E2F0D"/>
    <w:rsid w:val="003E4B82"/>
    <w:rsid w:val="003E6028"/>
    <w:rsid w:val="003F2264"/>
    <w:rsid w:val="003F67B4"/>
    <w:rsid w:val="00400843"/>
    <w:rsid w:val="00407741"/>
    <w:rsid w:val="004200AA"/>
    <w:rsid w:val="00432E1C"/>
    <w:rsid w:val="00435932"/>
    <w:rsid w:val="00441B38"/>
    <w:rsid w:val="00445052"/>
    <w:rsid w:val="00446F88"/>
    <w:rsid w:val="00461397"/>
    <w:rsid w:val="0046604A"/>
    <w:rsid w:val="004679D7"/>
    <w:rsid w:val="00471541"/>
    <w:rsid w:val="00471932"/>
    <w:rsid w:val="004756DF"/>
    <w:rsid w:val="0049081F"/>
    <w:rsid w:val="00490D6D"/>
    <w:rsid w:val="004A449A"/>
    <w:rsid w:val="004A6975"/>
    <w:rsid w:val="004B0050"/>
    <w:rsid w:val="004B3927"/>
    <w:rsid w:val="004B67F9"/>
    <w:rsid w:val="004C3217"/>
    <w:rsid w:val="004C4B05"/>
    <w:rsid w:val="004D2314"/>
    <w:rsid w:val="004E19FF"/>
    <w:rsid w:val="004F3E3A"/>
    <w:rsid w:val="004F7FD0"/>
    <w:rsid w:val="005016B9"/>
    <w:rsid w:val="00503B33"/>
    <w:rsid w:val="00514917"/>
    <w:rsid w:val="00515E92"/>
    <w:rsid w:val="005161F9"/>
    <w:rsid w:val="0052128F"/>
    <w:rsid w:val="0052180A"/>
    <w:rsid w:val="00527466"/>
    <w:rsid w:val="00545690"/>
    <w:rsid w:val="005545FC"/>
    <w:rsid w:val="005550CB"/>
    <w:rsid w:val="00560871"/>
    <w:rsid w:val="00561668"/>
    <w:rsid w:val="00572489"/>
    <w:rsid w:val="005831DD"/>
    <w:rsid w:val="00584912"/>
    <w:rsid w:val="00585800"/>
    <w:rsid w:val="005918E7"/>
    <w:rsid w:val="005A6FA5"/>
    <w:rsid w:val="005B4917"/>
    <w:rsid w:val="005C0161"/>
    <w:rsid w:val="005C0FEB"/>
    <w:rsid w:val="005C201D"/>
    <w:rsid w:val="005C4972"/>
    <w:rsid w:val="005D52B5"/>
    <w:rsid w:val="005E0CBE"/>
    <w:rsid w:val="005E24D0"/>
    <w:rsid w:val="005F301F"/>
    <w:rsid w:val="005F482A"/>
    <w:rsid w:val="005F54C8"/>
    <w:rsid w:val="005F58B8"/>
    <w:rsid w:val="0060433F"/>
    <w:rsid w:val="0061017A"/>
    <w:rsid w:val="00620B93"/>
    <w:rsid w:val="00631903"/>
    <w:rsid w:val="006414E4"/>
    <w:rsid w:val="00642488"/>
    <w:rsid w:val="0065561D"/>
    <w:rsid w:val="006604A5"/>
    <w:rsid w:val="00664A49"/>
    <w:rsid w:val="006666D4"/>
    <w:rsid w:val="0067564F"/>
    <w:rsid w:val="00695676"/>
    <w:rsid w:val="006972EC"/>
    <w:rsid w:val="006A0E0E"/>
    <w:rsid w:val="006A12E7"/>
    <w:rsid w:val="006B03E9"/>
    <w:rsid w:val="006B0F59"/>
    <w:rsid w:val="006B262B"/>
    <w:rsid w:val="006B7882"/>
    <w:rsid w:val="006C41E1"/>
    <w:rsid w:val="006D160A"/>
    <w:rsid w:val="006D51F6"/>
    <w:rsid w:val="006D6502"/>
    <w:rsid w:val="006D7974"/>
    <w:rsid w:val="006E20BC"/>
    <w:rsid w:val="006E633E"/>
    <w:rsid w:val="006F7BFE"/>
    <w:rsid w:val="0070001C"/>
    <w:rsid w:val="007027D7"/>
    <w:rsid w:val="00710586"/>
    <w:rsid w:val="0071631F"/>
    <w:rsid w:val="007209F6"/>
    <w:rsid w:val="0074587F"/>
    <w:rsid w:val="007556D7"/>
    <w:rsid w:val="00755B7F"/>
    <w:rsid w:val="00756BE7"/>
    <w:rsid w:val="00765C3D"/>
    <w:rsid w:val="00773FAE"/>
    <w:rsid w:val="00775D04"/>
    <w:rsid w:val="00786AC2"/>
    <w:rsid w:val="00786EA4"/>
    <w:rsid w:val="007A0E6D"/>
    <w:rsid w:val="007A47C2"/>
    <w:rsid w:val="007A788C"/>
    <w:rsid w:val="007C17A5"/>
    <w:rsid w:val="007C5E49"/>
    <w:rsid w:val="007D41CB"/>
    <w:rsid w:val="007E5B8B"/>
    <w:rsid w:val="007E6988"/>
    <w:rsid w:val="007E75EA"/>
    <w:rsid w:val="00801BB7"/>
    <w:rsid w:val="0080219A"/>
    <w:rsid w:val="00806B50"/>
    <w:rsid w:val="00824D84"/>
    <w:rsid w:val="008250BA"/>
    <w:rsid w:val="00840561"/>
    <w:rsid w:val="00841D0B"/>
    <w:rsid w:val="00851DCD"/>
    <w:rsid w:val="00857D61"/>
    <w:rsid w:val="00871062"/>
    <w:rsid w:val="00890C4C"/>
    <w:rsid w:val="008A3C7F"/>
    <w:rsid w:val="008B5237"/>
    <w:rsid w:val="008C54CC"/>
    <w:rsid w:val="008C5D8B"/>
    <w:rsid w:val="008C745E"/>
    <w:rsid w:val="008C7AF2"/>
    <w:rsid w:val="008E0AA0"/>
    <w:rsid w:val="008E25E8"/>
    <w:rsid w:val="008F283C"/>
    <w:rsid w:val="008F4B8B"/>
    <w:rsid w:val="009002B3"/>
    <w:rsid w:val="00901522"/>
    <w:rsid w:val="0090170F"/>
    <w:rsid w:val="009022A8"/>
    <w:rsid w:val="00905A13"/>
    <w:rsid w:val="009060EF"/>
    <w:rsid w:val="00913388"/>
    <w:rsid w:val="009144D3"/>
    <w:rsid w:val="009346EA"/>
    <w:rsid w:val="00935922"/>
    <w:rsid w:val="009420B6"/>
    <w:rsid w:val="00953F5F"/>
    <w:rsid w:val="00954A5F"/>
    <w:rsid w:val="00971A60"/>
    <w:rsid w:val="00980E62"/>
    <w:rsid w:val="00982B46"/>
    <w:rsid w:val="00982EA4"/>
    <w:rsid w:val="0099178B"/>
    <w:rsid w:val="009A1747"/>
    <w:rsid w:val="009A2450"/>
    <w:rsid w:val="009A3D76"/>
    <w:rsid w:val="009B3BEB"/>
    <w:rsid w:val="009B4DD5"/>
    <w:rsid w:val="009B5ABA"/>
    <w:rsid w:val="009D75C1"/>
    <w:rsid w:val="00A0354B"/>
    <w:rsid w:val="00A063DA"/>
    <w:rsid w:val="00A12C21"/>
    <w:rsid w:val="00A15739"/>
    <w:rsid w:val="00A163DA"/>
    <w:rsid w:val="00A379E3"/>
    <w:rsid w:val="00A4403D"/>
    <w:rsid w:val="00A47C5D"/>
    <w:rsid w:val="00A532A6"/>
    <w:rsid w:val="00A5453E"/>
    <w:rsid w:val="00A54836"/>
    <w:rsid w:val="00A56552"/>
    <w:rsid w:val="00A614F8"/>
    <w:rsid w:val="00A668BF"/>
    <w:rsid w:val="00A830AC"/>
    <w:rsid w:val="00A86EE3"/>
    <w:rsid w:val="00A956F7"/>
    <w:rsid w:val="00AA44F1"/>
    <w:rsid w:val="00AA6323"/>
    <w:rsid w:val="00AB0BBD"/>
    <w:rsid w:val="00AC1122"/>
    <w:rsid w:val="00AC2CD2"/>
    <w:rsid w:val="00AC46FA"/>
    <w:rsid w:val="00AE0897"/>
    <w:rsid w:val="00AE1329"/>
    <w:rsid w:val="00AE3800"/>
    <w:rsid w:val="00AE5DD9"/>
    <w:rsid w:val="00AF2FE6"/>
    <w:rsid w:val="00AF6DD0"/>
    <w:rsid w:val="00B02F8B"/>
    <w:rsid w:val="00B1463B"/>
    <w:rsid w:val="00B32726"/>
    <w:rsid w:val="00B34C79"/>
    <w:rsid w:val="00B51A75"/>
    <w:rsid w:val="00B51B51"/>
    <w:rsid w:val="00B642FC"/>
    <w:rsid w:val="00B6469B"/>
    <w:rsid w:val="00B85230"/>
    <w:rsid w:val="00B87B5E"/>
    <w:rsid w:val="00BB0DAD"/>
    <w:rsid w:val="00BB331A"/>
    <w:rsid w:val="00BB5F3D"/>
    <w:rsid w:val="00BB788E"/>
    <w:rsid w:val="00BC0659"/>
    <w:rsid w:val="00BC2D80"/>
    <w:rsid w:val="00BC51CC"/>
    <w:rsid w:val="00BC526D"/>
    <w:rsid w:val="00BD30AA"/>
    <w:rsid w:val="00BD5549"/>
    <w:rsid w:val="00BD7B5E"/>
    <w:rsid w:val="00BE1B5E"/>
    <w:rsid w:val="00C04C5C"/>
    <w:rsid w:val="00C259E6"/>
    <w:rsid w:val="00C35267"/>
    <w:rsid w:val="00C51804"/>
    <w:rsid w:val="00C55C09"/>
    <w:rsid w:val="00C62D7D"/>
    <w:rsid w:val="00C7781B"/>
    <w:rsid w:val="00C954AB"/>
    <w:rsid w:val="00C97294"/>
    <w:rsid w:val="00CA1F7E"/>
    <w:rsid w:val="00CA7C44"/>
    <w:rsid w:val="00CB22F4"/>
    <w:rsid w:val="00CB71D0"/>
    <w:rsid w:val="00CD2798"/>
    <w:rsid w:val="00CD7EDE"/>
    <w:rsid w:val="00CE1C72"/>
    <w:rsid w:val="00CE2D18"/>
    <w:rsid w:val="00CE2F67"/>
    <w:rsid w:val="00CF1BD8"/>
    <w:rsid w:val="00CF2E99"/>
    <w:rsid w:val="00CF3C53"/>
    <w:rsid w:val="00CF40C3"/>
    <w:rsid w:val="00CF515F"/>
    <w:rsid w:val="00D2378E"/>
    <w:rsid w:val="00D317BD"/>
    <w:rsid w:val="00D40ED4"/>
    <w:rsid w:val="00D44A98"/>
    <w:rsid w:val="00D7664B"/>
    <w:rsid w:val="00D80DF5"/>
    <w:rsid w:val="00D81F4F"/>
    <w:rsid w:val="00D83623"/>
    <w:rsid w:val="00D916F3"/>
    <w:rsid w:val="00D921B7"/>
    <w:rsid w:val="00DA2B8D"/>
    <w:rsid w:val="00DB2AE6"/>
    <w:rsid w:val="00DC4CA3"/>
    <w:rsid w:val="00DC4E90"/>
    <w:rsid w:val="00DC5CC6"/>
    <w:rsid w:val="00DF2302"/>
    <w:rsid w:val="00DF40C5"/>
    <w:rsid w:val="00E025A1"/>
    <w:rsid w:val="00E10372"/>
    <w:rsid w:val="00E1572A"/>
    <w:rsid w:val="00E22BFA"/>
    <w:rsid w:val="00E26AB1"/>
    <w:rsid w:val="00E4289F"/>
    <w:rsid w:val="00E50F0D"/>
    <w:rsid w:val="00E66CC7"/>
    <w:rsid w:val="00E724F7"/>
    <w:rsid w:val="00E9560E"/>
    <w:rsid w:val="00EA0D0E"/>
    <w:rsid w:val="00EB0910"/>
    <w:rsid w:val="00EB5EDE"/>
    <w:rsid w:val="00EC7006"/>
    <w:rsid w:val="00ED6F54"/>
    <w:rsid w:val="00EE2577"/>
    <w:rsid w:val="00EE76CA"/>
    <w:rsid w:val="00EF5690"/>
    <w:rsid w:val="00EF7595"/>
    <w:rsid w:val="00F06C31"/>
    <w:rsid w:val="00F0722E"/>
    <w:rsid w:val="00F14D6C"/>
    <w:rsid w:val="00F35E28"/>
    <w:rsid w:val="00F35E34"/>
    <w:rsid w:val="00F374AF"/>
    <w:rsid w:val="00F4035F"/>
    <w:rsid w:val="00F4050F"/>
    <w:rsid w:val="00F4156D"/>
    <w:rsid w:val="00F42247"/>
    <w:rsid w:val="00F42D55"/>
    <w:rsid w:val="00F441BB"/>
    <w:rsid w:val="00F446D2"/>
    <w:rsid w:val="00F44AB7"/>
    <w:rsid w:val="00F451D3"/>
    <w:rsid w:val="00F46E5E"/>
    <w:rsid w:val="00F56A84"/>
    <w:rsid w:val="00F701FD"/>
    <w:rsid w:val="00F72131"/>
    <w:rsid w:val="00F74A90"/>
    <w:rsid w:val="00F77DC1"/>
    <w:rsid w:val="00F820ED"/>
    <w:rsid w:val="00F84E44"/>
    <w:rsid w:val="00F85362"/>
    <w:rsid w:val="00F915C4"/>
    <w:rsid w:val="00F9192D"/>
    <w:rsid w:val="00F9194F"/>
    <w:rsid w:val="00F94B67"/>
    <w:rsid w:val="00FA06C5"/>
    <w:rsid w:val="00FA2DBB"/>
    <w:rsid w:val="00FA3D67"/>
    <w:rsid w:val="00FC4239"/>
    <w:rsid w:val="00FC5A1B"/>
    <w:rsid w:val="00FC671C"/>
    <w:rsid w:val="00FF04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19137"/>
    <o:shapelayout v:ext="edit">
      <o:idmap v:ext="edit" data="1"/>
    </o:shapelayout>
  </w:shapeDefaults>
  <w:decimalSymbol w:val="."/>
  <w:listSeparator w:val=","/>
  <w14:docId w14:val="55BC4328"/>
  <w15:chartTrackingRefBased/>
  <w15:docId w15:val="{2F518D2A-6FB8-42A1-A454-7A4B74737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E7"/>
    <w:pPr>
      <w:spacing w:after="120" w:line="240" w:lineRule="auto"/>
    </w:pPr>
    <w:rPr>
      <w:rFonts w:ascii="Book Antiqua" w:eastAsia="Times New Roman" w:hAnsi="Book Antiqua"/>
      <w:color w:val="000000"/>
      <w:sz w:val="19"/>
      <w:szCs w:val="20"/>
      <w:lang w:eastAsia="en-AU"/>
    </w:rPr>
  </w:style>
  <w:style w:type="paragraph" w:styleId="Heading1">
    <w:name w:val="heading 1"/>
    <w:basedOn w:val="Normal"/>
    <w:next w:val="Normal"/>
    <w:link w:val="Heading1Char"/>
    <w:qFormat/>
    <w:rsid w:val="005918E7"/>
    <w:pPr>
      <w:keepNext/>
      <w:spacing w:after="720"/>
      <w:outlineLvl w:val="0"/>
    </w:pPr>
    <w:rPr>
      <w:rFonts w:ascii="Arial" w:hAnsi="Arial"/>
      <w:b/>
      <w:bCs/>
      <w:snapToGrid w:val="0"/>
      <w:color w:val="auto"/>
      <w:sz w:val="36"/>
    </w:rPr>
  </w:style>
  <w:style w:type="paragraph" w:styleId="Heading2">
    <w:name w:val="heading 2"/>
    <w:basedOn w:val="Normal"/>
    <w:next w:val="Normal"/>
    <w:link w:val="Heading2Char"/>
    <w:uiPriority w:val="9"/>
    <w:unhideWhenUsed/>
    <w:qFormat/>
    <w:rsid w:val="00664A49"/>
    <w:pPr>
      <w:keepNext/>
      <w:keepLines/>
      <w:spacing w:after="240"/>
      <w:outlineLvl w:val="1"/>
    </w:pPr>
    <w:rPr>
      <w:rFonts w:ascii="Arial" w:hAnsi="Arial" w:cs="Arial"/>
      <w:b/>
      <w:iCs/>
      <w:sz w:val="26"/>
      <w:szCs w:val="26"/>
    </w:rPr>
  </w:style>
  <w:style w:type="paragraph" w:styleId="Heading3">
    <w:name w:val="heading 3"/>
    <w:basedOn w:val="Normal"/>
    <w:next w:val="Normal"/>
    <w:link w:val="Heading3Char"/>
    <w:unhideWhenUsed/>
    <w:qFormat/>
    <w:rsid w:val="00F4050F"/>
    <w:pPr>
      <w:keepNext/>
      <w:spacing w:before="120"/>
      <w:outlineLvl w:val="2"/>
    </w:pPr>
    <w:rPr>
      <w:rFonts w:ascii="Arial Bold" w:hAnsi="Arial Bold"/>
      <w:b/>
      <w:color w:val="auto"/>
      <w:sz w:val="22"/>
    </w:rPr>
  </w:style>
  <w:style w:type="paragraph" w:styleId="Heading4">
    <w:name w:val="heading 4"/>
    <w:basedOn w:val="Normal"/>
    <w:next w:val="Normal"/>
    <w:link w:val="Heading4Char"/>
    <w:unhideWhenUsed/>
    <w:qFormat/>
    <w:rsid w:val="0034555A"/>
    <w:pPr>
      <w:keepNext/>
      <w:keepLines/>
      <w:spacing w:before="240"/>
      <w:outlineLvl w:val="3"/>
    </w:pPr>
    <w:rPr>
      <w:rFonts w:ascii="Arial" w:hAnsi="Arial"/>
      <w:b/>
      <w:sz w:val="20"/>
    </w:rPr>
  </w:style>
  <w:style w:type="paragraph" w:styleId="Heading5">
    <w:name w:val="heading 5"/>
    <w:basedOn w:val="Normal"/>
    <w:next w:val="Normal"/>
    <w:link w:val="Heading5Char"/>
    <w:uiPriority w:val="9"/>
    <w:semiHidden/>
    <w:unhideWhenUsed/>
    <w:qFormat/>
    <w:rsid w:val="00BC065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18E7"/>
    <w:rPr>
      <w:rFonts w:ascii="Arial" w:eastAsia="Times New Roman" w:hAnsi="Arial"/>
      <w:b/>
      <w:bCs/>
      <w:snapToGrid w:val="0"/>
      <w:sz w:val="36"/>
      <w:szCs w:val="20"/>
      <w:lang w:eastAsia="en-AU"/>
    </w:rPr>
  </w:style>
  <w:style w:type="paragraph" w:customStyle="1" w:styleId="EntitySubtitle">
    <w:name w:val="Entity Subtitle"/>
    <w:basedOn w:val="Normal"/>
    <w:link w:val="EntitySubtitleChar"/>
    <w:qFormat/>
    <w:rsid w:val="00913388"/>
    <w:pPr>
      <w:keepNext/>
      <w:tabs>
        <w:tab w:val="left" w:pos="5830"/>
      </w:tabs>
      <w:spacing w:before="440"/>
      <w:ind w:right="-68"/>
      <w:jc w:val="center"/>
      <w:outlineLvl w:val="0"/>
    </w:pPr>
    <w:rPr>
      <w:rFonts w:ascii="Arial Bold" w:hAnsi="Arial Bold" w:cs="Arial"/>
      <w:b/>
      <w:bCs/>
      <w:sz w:val="44"/>
      <w:szCs w:val="56"/>
    </w:rPr>
  </w:style>
  <w:style w:type="character" w:customStyle="1" w:styleId="EntitySubtitleChar">
    <w:name w:val="Entity Subtitle Char"/>
    <w:basedOn w:val="DefaultParagraphFont"/>
    <w:link w:val="EntitySubtitle"/>
    <w:rsid w:val="00913388"/>
    <w:rPr>
      <w:rFonts w:ascii="Arial Bold" w:eastAsia="Times New Roman" w:hAnsi="Arial Bold" w:cs="Arial"/>
      <w:b/>
      <w:bCs/>
      <w:color w:val="000000"/>
      <w:sz w:val="44"/>
      <w:szCs w:val="56"/>
      <w:lang w:eastAsia="en-AU"/>
    </w:rPr>
  </w:style>
  <w:style w:type="paragraph" w:styleId="Header">
    <w:name w:val="header"/>
    <w:basedOn w:val="Normal"/>
    <w:link w:val="HeaderChar"/>
    <w:uiPriority w:val="99"/>
    <w:unhideWhenUsed/>
    <w:rsid w:val="00913388"/>
    <w:pPr>
      <w:tabs>
        <w:tab w:val="center" w:pos="4513"/>
        <w:tab w:val="right" w:pos="9026"/>
      </w:tabs>
      <w:spacing w:after="0"/>
    </w:pPr>
  </w:style>
  <w:style w:type="character" w:customStyle="1" w:styleId="HeaderChar">
    <w:name w:val="Header Char"/>
    <w:basedOn w:val="DefaultParagraphFont"/>
    <w:link w:val="Header"/>
    <w:uiPriority w:val="99"/>
    <w:rsid w:val="00913388"/>
    <w:rPr>
      <w:rFonts w:ascii="Book Antiqua" w:eastAsia="Times New Roman" w:hAnsi="Book Antiqua"/>
      <w:color w:val="000000"/>
      <w:sz w:val="20"/>
      <w:szCs w:val="20"/>
      <w:lang w:eastAsia="en-AU"/>
    </w:rPr>
  </w:style>
  <w:style w:type="paragraph" w:styleId="Footer">
    <w:name w:val="footer"/>
    <w:basedOn w:val="Normal"/>
    <w:link w:val="FooterChar"/>
    <w:uiPriority w:val="99"/>
    <w:unhideWhenUsed/>
    <w:rsid w:val="00913388"/>
    <w:pPr>
      <w:tabs>
        <w:tab w:val="center" w:pos="4513"/>
        <w:tab w:val="right" w:pos="9026"/>
      </w:tabs>
      <w:spacing w:after="0"/>
    </w:pPr>
  </w:style>
  <w:style w:type="character" w:customStyle="1" w:styleId="FooterChar">
    <w:name w:val="Footer Char"/>
    <w:basedOn w:val="DefaultParagraphFont"/>
    <w:link w:val="Footer"/>
    <w:uiPriority w:val="99"/>
    <w:rsid w:val="00913388"/>
    <w:rPr>
      <w:rFonts w:ascii="Book Antiqua" w:eastAsia="Times New Roman" w:hAnsi="Book Antiqua"/>
      <w:color w:val="000000"/>
      <w:sz w:val="20"/>
      <w:szCs w:val="20"/>
      <w:lang w:eastAsia="en-AU"/>
    </w:rPr>
  </w:style>
  <w:style w:type="character" w:styleId="Hyperlink">
    <w:name w:val="Hyperlink"/>
    <w:basedOn w:val="DefaultParagraphFont"/>
    <w:uiPriority w:val="99"/>
    <w:unhideWhenUsed/>
    <w:rsid w:val="00913388"/>
    <w:rPr>
      <w:color w:val="0563C1" w:themeColor="hyperlink"/>
      <w:u w:val="single"/>
    </w:rPr>
  </w:style>
  <w:style w:type="paragraph" w:styleId="TOC1">
    <w:name w:val="toc 1"/>
    <w:next w:val="Normal"/>
    <w:autoRedefine/>
    <w:uiPriority w:val="39"/>
    <w:qFormat/>
    <w:rsid w:val="00913388"/>
    <w:pPr>
      <w:tabs>
        <w:tab w:val="right" w:leader="dot" w:pos="7360"/>
      </w:tabs>
      <w:spacing w:before="360" w:after="120" w:line="240" w:lineRule="auto"/>
    </w:pPr>
    <w:rPr>
      <w:rFonts w:ascii="Arial Bold" w:eastAsia="Times New Roman" w:hAnsi="Arial Bold"/>
      <w:b/>
      <w:noProof/>
      <w:color w:val="000000"/>
      <w:sz w:val="20"/>
      <w:szCs w:val="20"/>
      <w:lang w:eastAsia="en-AU"/>
    </w:rPr>
  </w:style>
  <w:style w:type="paragraph" w:styleId="TOC2">
    <w:name w:val="toc 2"/>
    <w:next w:val="Normal"/>
    <w:autoRedefine/>
    <w:uiPriority w:val="39"/>
    <w:qFormat/>
    <w:rsid w:val="00913388"/>
    <w:pPr>
      <w:tabs>
        <w:tab w:val="left" w:pos="993"/>
        <w:tab w:val="right" w:leader="dot" w:pos="7360"/>
      </w:tabs>
      <w:spacing w:before="60" w:after="120" w:line="240" w:lineRule="auto"/>
    </w:pPr>
    <w:rPr>
      <w:rFonts w:ascii="Arial" w:eastAsia="Times New Roman" w:hAnsi="Arial"/>
      <w:color w:val="000000"/>
      <w:sz w:val="20"/>
      <w:szCs w:val="20"/>
      <w:lang w:eastAsia="en-AU"/>
    </w:rPr>
  </w:style>
  <w:style w:type="paragraph" w:customStyle="1" w:styleId="Header2-Left">
    <w:name w:val="Header 2 - Left"/>
    <w:basedOn w:val="Normal"/>
    <w:link w:val="Header2-LeftChar"/>
    <w:qFormat/>
    <w:locked/>
    <w:rsid w:val="0024539A"/>
    <w:pPr>
      <w:pBdr>
        <w:bottom w:val="single" w:sz="4" w:space="1" w:color="auto"/>
      </w:pBdr>
    </w:pPr>
    <w:rPr>
      <w:rFonts w:ascii="Arial" w:hAnsi="Arial"/>
      <w:sz w:val="18"/>
    </w:rPr>
  </w:style>
  <w:style w:type="character" w:customStyle="1" w:styleId="Header2-LeftChar">
    <w:name w:val="Header 2 - Left Char"/>
    <w:basedOn w:val="DefaultParagraphFont"/>
    <w:link w:val="Header2-Left"/>
    <w:rsid w:val="0024539A"/>
    <w:rPr>
      <w:rFonts w:ascii="Arial" w:eastAsia="Times New Roman" w:hAnsi="Arial"/>
      <w:color w:val="000000"/>
      <w:sz w:val="18"/>
      <w:szCs w:val="20"/>
      <w:lang w:eastAsia="en-AU"/>
    </w:rPr>
  </w:style>
  <w:style w:type="character" w:customStyle="1" w:styleId="Heading2Char">
    <w:name w:val="Heading 2 Char"/>
    <w:basedOn w:val="DefaultParagraphFont"/>
    <w:link w:val="Heading2"/>
    <w:uiPriority w:val="9"/>
    <w:rsid w:val="00664A49"/>
    <w:rPr>
      <w:rFonts w:ascii="Arial" w:eastAsia="Times New Roman" w:hAnsi="Arial" w:cs="Arial"/>
      <w:b/>
      <w:iCs/>
      <w:color w:val="000000"/>
      <w:sz w:val="26"/>
      <w:szCs w:val="26"/>
      <w:lang w:eastAsia="en-AU"/>
    </w:rPr>
  </w:style>
  <w:style w:type="character" w:customStyle="1" w:styleId="Heading3Char">
    <w:name w:val="Heading 3 Char"/>
    <w:basedOn w:val="DefaultParagraphFont"/>
    <w:link w:val="Heading3"/>
    <w:rsid w:val="00F4050F"/>
    <w:rPr>
      <w:rFonts w:ascii="Arial Bold" w:eastAsia="Times New Roman" w:hAnsi="Arial Bold"/>
      <w:b/>
      <w:sz w:val="22"/>
      <w:szCs w:val="20"/>
      <w:lang w:eastAsia="en-AU"/>
    </w:rPr>
  </w:style>
  <w:style w:type="paragraph" w:styleId="FootnoteText">
    <w:name w:val="footnote text"/>
    <w:aliases w:val="(NECG) Footnote Text"/>
    <w:basedOn w:val="Normal"/>
    <w:link w:val="FootnoteTextChar"/>
    <w:qFormat/>
    <w:rsid w:val="0024539A"/>
    <w:pPr>
      <w:tabs>
        <w:tab w:val="left" w:pos="284"/>
      </w:tabs>
      <w:spacing w:after="0"/>
      <w:ind w:left="284" w:hanging="284"/>
    </w:pPr>
    <w:rPr>
      <w:rFonts w:ascii="Arial" w:hAnsi="Arial"/>
      <w:sz w:val="15"/>
    </w:rPr>
  </w:style>
  <w:style w:type="character" w:customStyle="1" w:styleId="FootnoteTextChar">
    <w:name w:val="Footnote Text Char"/>
    <w:aliases w:val="(NECG) Footnote Text Char"/>
    <w:basedOn w:val="DefaultParagraphFont"/>
    <w:link w:val="FootnoteText"/>
    <w:rsid w:val="0024539A"/>
    <w:rPr>
      <w:rFonts w:ascii="Arial" w:eastAsia="Times New Roman" w:hAnsi="Arial"/>
      <w:color w:val="000000"/>
      <w:sz w:val="15"/>
      <w:szCs w:val="20"/>
      <w:lang w:eastAsia="en-AU"/>
    </w:rPr>
  </w:style>
  <w:style w:type="character" w:styleId="FootnoteReference">
    <w:name w:val="footnote reference"/>
    <w:aliases w:val="(NECG) Footnote Reference"/>
    <w:basedOn w:val="DefaultParagraphFont"/>
    <w:rsid w:val="0024539A"/>
    <w:rPr>
      <w:rFonts w:ascii="Arial" w:hAnsi="Arial"/>
      <w:caps w:val="0"/>
      <w:smallCaps w:val="0"/>
      <w:strike w:val="0"/>
      <w:dstrike w:val="0"/>
      <w:vanish w:val="0"/>
      <w:sz w:val="15"/>
      <w:vertAlign w:val="superscript"/>
    </w:rPr>
  </w:style>
  <w:style w:type="paragraph" w:styleId="ListParagraph">
    <w:name w:val="List Paragraph"/>
    <w:aliases w:val="Bullet List Paragraph,Bullet Point,Bullet point,Bulletr List Paragraph,Content descriptions,FooterText,L,List Bullet 1,List Paragraph1,List Paragraph11,List Paragraph2,List Paragraph21,Listeafsnit1,NFP GP Bulleted List,Recommendation"/>
    <w:basedOn w:val="Normal"/>
    <w:link w:val="ListParagraphChar"/>
    <w:uiPriority w:val="34"/>
    <w:qFormat/>
    <w:rsid w:val="0024539A"/>
    <w:pPr>
      <w:numPr>
        <w:numId w:val="1"/>
      </w:numPr>
      <w:contextualSpacing/>
    </w:pPr>
  </w:style>
  <w:style w:type="character" w:customStyle="1" w:styleId="ListParagraphChar">
    <w:name w:val="List Paragraph Char"/>
    <w:aliases w:val="Bullet List Paragraph Char,Bullet Point Char,Bullet point Char,Bulletr List Paragraph Char,Content descriptions Char,FooterText Char,L Char,List Bullet 1 Char,List Paragraph1 Char,List Paragraph11 Char,List Paragraph2 Char"/>
    <w:basedOn w:val="DefaultParagraphFont"/>
    <w:link w:val="ListParagraph"/>
    <w:uiPriority w:val="34"/>
    <w:qFormat/>
    <w:rsid w:val="0024539A"/>
    <w:rPr>
      <w:rFonts w:ascii="Book Antiqua" w:eastAsia="Times New Roman" w:hAnsi="Book Antiqua"/>
      <w:color w:val="000000"/>
      <w:sz w:val="20"/>
      <w:szCs w:val="20"/>
      <w:lang w:eastAsia="en-AU"/>
    </w:rPr>
  </w:style>
  <w:style w:type="paragraph" w:customStyle="1" w:styleId="Tablenumberandreference">
    <w:name w:val="Table number and reference"/>
    <w:qFormat/>
    <w:rsid w:val="0024539A"/>
    <w:pPr>
      <w:spacing w:after="120" w:line="240" w:lineRule="auto"/>
    </w:pPr>
    <w:rPr>
      <w:rFonts w:ascii="Arial" w:eastAsia="Times New Roman" w:hAnsi="Arial" w:cs="Arial"/>
      <w:b/>
      <w:color w:val="000000"/>
      <w:sz w:val="20"/>
      <w:szCs w:val="18"/>
    </w:rPr>
  </w:style>
  <w:style w:type="paragraph" w:customStyle="1" w:styleId="Header1-Right">
    <w:name w:val="Header 1 - Right"/>
    <w:basedOn w:val="Normal"/>
    <w:next w:val="Normal"/>
    <w:link w:val="Header1-RightChar"/>
    <w:qFormat/>
    <w:locked/>
    <w:rsid w:val="0024539A"/>
    <w:pPr>
      <w:pBdr>
        <w:bottom w:val="single" w:sz="4" w:space="1" w:color="auto"/>
      </w:pBdr>
      <w:tabs>
        <w:tab w:val="center" w:pos="4513"/>
        <w:tab w:val="right" w:pos="9026"/>
      </w:tabs>
      <w:spacing w:after="0"/>
      <w:jc w:val="right"/>
    </w:pPr>
    <w:rPr>
      <w:rFonts w:ascii="Arial" w:hAnsi="Arial" w:cs="Arial"/>
      <w:sz w:val="18"/>
      <w:szCs w:val="18"/>
      <w:lang w:val="en-US" w:eastAsia="en-US"/>
    </w:rPr>
  </w:style>
  <w:style w:type="character" w:customStyle="1" w:styleId="Header1-RightChar">
    <w:name w:val="Header 1 - Right Char"/>
    <w:basedOn w:val="DefaultParagraphFont"/>
    <w:link w:val="Header1-Right"/>
    <w:rsid w:val="0024539A"/>
    <w:rPr>
      <w:rFonts w:ascii="Arial" w:eastAsia="Times New Roman" w:hAnsi="Arial" w:cs="Arial"/>
      <w:color w:val="000000"/>
      <w:sz w:val="18"/>
      <w:szCs w:val="18"/>
      <w:lang w:val="en-US"/>
    </w:rPr>
  </w:style>
  <w:style w:type="table" w:styleId="TableGrid">
    <w:name w:val="Table Grid"/>
    <w:basedOn w:val="TableNormal"/>
    <w:rsid w:val="00245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34555A"/>
    <w:rPr>
      <w:rFonts w:ascii="Arial" w:eastAsia="Times New Roman" w:hAnsi="Arial"/>
      <w:b/>
      <w:color w:val="000000"/>
      <w:sz w:val="20"/>
      <w:szCs w:val="20"/>
      <w:lang w:eastAsia="en-AU"/>
    </w:rPr>
  </w:style>
  <w:style w:type="paragraph" w:customStyle="1" w:styleId="OutcomeStatement">
    <w:name w:val="Outcome Statement"/>
    <w:basedOn w:val="Normal"/>
    <w:link w:val="OutcomeStatementChar"/>
    <w:qFormat/>
    <w:locked/>
    <w:rsid w:val="00BC0659"/>
    <w:pPr>
      <w:widowControl w:val="0"/>
      <w:pBdr>
        <w:top w:val="single" w:sz="4" w:space="4" w:color="auto"/>
        <w:left w:val="single" w:sz="4" w:space="4" w:color="auto"/>
        <w:bottom w:val="single" w:sz="4" w:space="2" w:color="auto"/>
        <w:right w:val="single" w:sz="4" w:space="4" w:color="auto"/>
      </w:pBdr>
      <w:shd w:val="clear" w:color="auto" w:fill="D9D9D9"/>
      <w:tabs>
        <w:tab w:val="left" w:pos="1134"/>
      </w:tabs>
      <w:spacing w:after="0"/>
    </w:pPr>
    <w:rPr>
      <w:rFonts w:ascii="Arial" w:hAnsi="Arial"/>
      <w:bCs/>
      <w:iCs/>
      <w:snapToGrid w:val="0"/>
      <w:sz w:val="18"/>
      <w:szCs w:val="26"/>
    </w:rPr>
  </w:style>
  <w:style w:type="character" w:customStyle="1" w:styleId="OutcomeStatementChar">
    <w:name w:val="Outcome Statement Char"/>
    <w:basedOn w:val="DefaultParagraphFont"/>
    <w:link w:val="OutcomeStatement"/>
    <w:rsid w:val="00BC0659"/>
    <w:rPr>
      <w:rFonts w:ascii="Arial" w:eastAsia="Times New Roman" w:hAnsi="Arial"/>
      <w:bCs/>
      <w:iCs/>
      <w:snapToGrid w:val="0"/>
      <w:color w:val="000000"/>
      <w:sz w:val="18"/>
      <w:szCs w:val="26"/>
      <w:shd w:val="clear" w:color="auto" w:fill="D9D9D9"/>
      <w:lang w:eastAsia="en-AU"/>
    </w:rPr>
  </w:style>
  <w:style w:type="paragraph" w:customStyle="1" w:styleId="Tabletextnormal9pt">
    <w:name w:val="Table text (normal) 9pt"/>
    <w:basedOn w:val="Normal"/>
    <w:qFormat/>
    <w:locked/>
    <w:rsid w:val="00BC0659"/>
    <w:pPr>
      <w:spacing w:before="40" w:after="40"/>
    </w:pPr>
    <w:rPr>
      <w:rFonts w:ascii="Arial" w:hAnsi="Arial" w:cs="Arial"/>
      <w:sz w:val="18"/>
      <w:szCs w:val="18"/>
    </w:rPr>
  </w:style>
  <w:style w:type="paragraph" w:customStyle="1" w:styleId="Tableheadingrow9pt">
    <w:name w:val="Table heading row 9pt"/>
    <w:basedOn w:val="Normal"/>
    <w:link w:val="Tableheadingrow9ptChar"/>
    <w:qFormat/>
    <w:locked/>
    <w:rsid w:val="00BC0659"/>
    <w:pPr>
      <w:spacing w:before="40" w:after="40"/>
    </w:pPr>
    <w:rPr>
      <w:rFonts w:ascii="Arial" w:hAnsi="Arial" w:cs="Arial"/>
      <w:b/>
      <w:sz w:val="18"/>
      <w:szCs w:val="18"/>
    </w:rPr>
  </w:style>
  <w:style w:type="character" w:customStyle="1" w:styleId="Tableheadingrow9ptChar">
    <w:name w:val="Table heading row 9pt Char"/>
    <w:basedOn w:val="DefaultParagraphFont"/>
    <w:link w:val="Tableheadingrow9pt"/>
    <w:rsid w:val="00BC0659"/>
    <w:rPr>
      <w:rFonts w:ascii="Arial" w:eastAsia="Times New Roman" w:hAnsi="Arial" w:cs="Arial"/>
      <w:b/>
      <w:color w:val="000000"/>
      <w:sz w:val="18"/>
      <w:szCs w:val="18"/>
      <w:lang w:eastAsia="en-AU"/>
    </w:rPr>
  </w:style>
  <w:style w:type="paragraph" w:customStyle="1" w:styleId="Tableheadingrowmeasures85pt">
    <w:name w:val="Table heading row (measures) 8.5pt"/>
    <w:basedOn w:val="Tabletextnormal9pt"/>
    <w:qFormat/>
    <w:rsid w:val="00BC0659"/>
    <w:rPr>
      <w:b/>
      <w:sz w:val="17"/>
      <w:szCs w:val="17"/>
      <w:lang w:eastAsia="en-US"/>
    </w:rPr>
  </w:style>
  <w:style w:type="paragraph" w:customStyle="1" w:styleId="Tabletextmeasures85pt">
    <w:name w:val="Table text (measures) 8.5pt"/>
    <w:basedOn w:val="Tabletextnormal9pt"/>
    <w:qFormat/>
    <w:rsid w:val="00BC0659"/>
    <w:rPr>
      <w:sz w:val="17"/>
      <w:szCs w:val="17"/>
    </w:rPr>
  </w:style>
  <w:style w:type="character" w:customStyle="1" w:styleId="Heading5Char">
    <w:name w:val="Heading 5 Char"/>
    <w:basedOn w:val="DefaultParagraphFont"/>
    <w:link w:val="Heading5"/>
    <w:uiPriority w:val="9"/>
    <w:semiHidden/>
    <w:rsid w:val="00BC0659"/>
    <w:rPr>
      <w:rFonts w:asciiTheme="majorHAnsi" w:eastAsiaTheme="majorEastAsia" w:hAnsiTheme="majorHAnsi" w:cstheme="majorBidi"/>
      <w:color w:val="2E74B5" w:themeColor="accent1" w:themeShade="BF"/>
      <w:sz w:val="20"/>
      <w:szCs w:val="20"/>
      <w:lang w:eastAsia="en-AU"/>
    </w:rPr>
  </w:style>
  <w:style w:type="paragraph" w:customStyle="1" w:styleId="StyleTableGraphicItalicRed">
    <w:name w:val="Style Table Graphic + Italic Red"/>
    <w:basedOn w:val="Normal"/>
    <w:rsid w:val="00CF40C3"/>
    <w:pPr>
      <w:spacing w:after="60" w:line="200" w:lineRule="exact"/>
    </w:pPr>
    <w:rPr>
      <w:i/>
      <w:iCs/>
      <w:color w:val="FF0000"/>
    </w:rPr>
  </w:style>
  <w:style w:type="paragraph" w:customStyle="1" w:styleId="DepartmentalResources">
    <w:name w:val="Departmental Resources"/>
    <w:basedOn w:val="Normal"/>
    <w:link w:val="DepartmentalResourcesChar"/>
    <w:qFormat/>
    <w:rsid w:val="00CF2E99"/>
    <w:pPr>
      <w:keepNext/>
      <w:spacing w:before="120"/>
    </w:pPr>
    <w:rPr>
      <w:rFonts w:cs="Arial"/>
      <w:b/>
      <w:sz w:val="18"/>
      <w:szCs w:val="18"/>
    </w:rPr>
  </w:style>
  <w:style w:type="character" w:customStyle="1" w:styleId="DepartmentalResourcesChar">
    <w:name w:val="Departmental Resources Char"/>
    <w:basedOn w:val="DefaultParagraphFont"/>
    <w:link w:val="DepartmentalResources"/>
    <w:rsid w:val="00CF2E99"/>
    <w:rPr>
      <w:rFonts w:ascii="Book Antiqua" w:eastAsia="Times New Roman" w:hAnsi="Book Antiqua" w:cs="Arial"/>
      <w:b/>
      <w:color w:val="000000"/>
      <w:sz w:val="18"/>
      <w:szCs w:val="18"/>
      <w:lang w:eastAsia="en-AU"/>
    </w:rPr>
  </w:style>
  <w:style w:type="paragraph" w:styleId="BalloonText">
    <w:name w:val="Balloon Text"/>
    <w:basedOn w:val="Normal"/>
    <w:link w:val="BalloonTextChar"/>
    <w:uiPriority w:val="99"/>
    <w:semiHidden/>
    <w:unhideWhenUsed/>
    <w:rsid w:val="002616C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6CA"/>
    <w:rPr>
      <w:rFonts w:ascii="Segoe UI" w:eastAsia="Times New Roman" w:hAnsi="Segoe UI" w:cs="Segoe UI"/>
      <w:color w:val="000000"/>
      <w:sz w:val="18"/>
      <w:szCs w:val="18"/>
      <w:lang w:eastAsia="en-AU"/>
    </w:rPr>
  </w:style>
  <w:style w:type="character" w:styleId="CommentReference">
    <w:name w:val="annotation reference"/>
    <w:basedOn w:val="DefaultParagraphFont"/>
    <w:uiPriority w:val="99"/>
    <w:semiHidden/>
    <w:unhideWhenUsed/>
    <w:rsid w:val="00F35E28"/>
    <w:rPr>
      <w:sz w:val="16"/>
      <w:szCs w:val="16"/>
    </w:rPr>
  </w:style>
  <w:style w:type="paragraph" w:styleId="CommentText">
    <w:name w:val="annotation text"/>
    <w:basedOn w:val="Normal"/>
    <w:link w:val="CommentTextChar"/>
    <w:uiPriority w:val="99"/>
    <w:unhideWhenUsed/>
    <w:rsid w:val="00F35E28"/>
  </w:style>
  <w:style w:type="character" w:customStyle="1" w:styleId="CommentTextChar">
    <w:name w:val="Comment Text Char"/>
    <w:basedOn w:val="DefaultParagraphFont"/>
    <w:link w:val="CommentText"/>
    <w:uiPriority w:val="99"/>
    <w:rsid w:val="00F35E28"/>
    <w:rPr>
      <w:rFonts w:ascii="Book Antiqua" w:eastAsia="Times New Roman" w:hAnsi="Book Antiqua"/>
      <w:color w:val="000000"/>
      <w:sz w:val="20"/>
      <w:szCs w:val="20"/>
      <w:lang w:eastAsia="en-AU"/>
    </w:rPr>
  </w:style>
  <w:style w:type="paragraph" w:styleId="CommentSubject">
    <w:name w:val="annotation subject"/>
    <w:basedOn w:val="CommentText"/>
    <w:next w:val="CommentText"/>
    <w:link w:val="CommentSubjectChar"/>
    <w:uiPriority w:val="99"/>
    <w:semiHidden/>
    <w:unhideWhenUsed/>
    <w:rsid w:val="00F35E28"/>
    <w:rPr>
      <w:b/>
      <w:bCs/>
    </w:rPr>
  </w:style>
  <w:style w:type="character" w:customStyle="1" w:styleId="CommentSubjectChar">
    <w:name w:val="Comment Subject Char"/>
    <w:basedOn w:val="CommentTextChar"/>
    <w:link w:val="CommentSubject"/>
    <w:uiPriority w:val="99"/>
    <w:semiHidden/>
    <w:rsid w:val="00F35E28"/>
    <w:rPr>
      <w:rFonts w:ascii="Book Antiqua" w:eastAsia="Times New Roman" w:hAnsi="Book Antiqua"/>
      <w:b/>
      <w:bCs/>
      <w:color w:val="000000"/>
      <w:sz w:val="20"/>
      <w:szCs w:val="20"/>
      <w:lang w:eastAsia="en-AU"/>
    </w:rPr>
  </w:style>
  <w:style w:type="paragraph" w:styleId="EndnoteText">
    <w:name w:val="endnote text"/>
    <w:basedOn w:val="Normal"/>
    <w:link w:val="EndnoteTextChar"/>
    <w:uiPriority w:val="99"/>
    <w:semiHidden/>
    <w:unhideWhenUsed/>
    <w:rsid w:val="006F7BFE"/>
    <w:pPr>
      <w:spacing w:after="0"/>
    </w:pPr>
  </w:style>
  <w:style w:type="character" w:customStyle="1" w:styleId="EndnoteTextChar">
    <w:name w:val="Endnote Text Char"/>
    <w:basedOn w:val="DefaultParagraphFont"/>
    <w:link w:val="EndnoteText"/>
    <w:uiPriority w:val="99"/>
    <w:semiHidden/>
    <w:rsid w:val="006F7BFE"/>
    <w:rPr>
      <w:rFonts w:ascii="Book Antiqua" w:eastAsia="Times New Roman" w:hAnsi="Book Antiqua"/>
      <w:color w:val="000000"/>
      <w:sz w:val="20"/>
      <w:szCs w:val="20"/>
      <w:lang w:eastAsia="en-AU"/>
    </w:rPr>
  </w:style>
  <w:style w:type="character" w:styleId="EndnoteReference">
    <w:name w:val="endnote reference"/>
    <w:basedOn w:val="DefaultParagraphFont"/>
    <w:uiPriority w:val="99"/>
    <w:semiHidden/>
    <w:unhideWhenUsed/>
    <w:rsid w:val="006F7BFE"/>
    <w:rPr>
      <w:vertAlign w:val="superscript"/>
    </w:rPr>
  </w:style>
  <w:style w:type="paragraph" w:styleId="Revision">
    <w:name w:val="Revision"/>
    <w:hidden/>
    <w:uiPriority w:val="99"/>
    <w:semiHidden/>
    <w:rsid w:val="005E24D0"/>
    <w:pPr>
      <w:spacing w:after="0" w:line="240" w:lineRule="auto"/>
    </w:pPr>
    <w:rPr>
      <w:rFonts w:ascii="Book Antiqua" w:eastAsia="Times New Roman" w:hAnsi="Book Antiqua"/>
      <w:color w:val="000000"/>
      <w:sz w:val="20"/>
      <w:szCs w:val="20"/>
      <w:lang w:eastAsia="en-AU"/>
    </w:rPr>
  </w:style>
  <w:style w:type="character" w:customStyle="1" w:styleId="Header1-Right-OddChar">
    <w:name w:val="Header 1 - Right - Odd Char"/>
    <w:basedOn w:val="DefaultParagraphFont"/>
    <w:link w:val="Header1-Right-Odd"/>
    <w:locked/>
    <w:rsid w:val="002B0585"/>
    <w:rPr>
      <w:rFonts w:ascii="Arial" w:eastAsia="Times New Roman" w:hAnsi="Arial" w:cs="Arial"/>
      <w:color w:val="000000" w:themeColor="text1"/>
      <w:sz w:val="18"/>
      <w:szCs w:val="18"/>
      <w:lang w:val="en-US"/>
    </w:rPr>
  </w:style>
  <w:style w:type="paragraph" w:customStyle="1" w:styleId="Header1-Right-Odd">
    <w:name w:val="Header 1 - Right - Odd"/>
    <w:basedOn w:val="Normal"/>
    <w:next w:val="Normal"/>
    <w:link w:val="Header1-Right-OddChar"/>
    <w:qFormat/>
    <w:locked/>
    <w:rsid w:val="002B0585"/>
    <w:pPr>
      <w:pBdr>
        <w:bottom w:val="single" w:sz="4" w:space="1" w:color="auto"/>
      </w:pBdr>
      <w:tabs>
        <w:tab w:val="center" w:pos="4513"/>
        <w:tab w:val="right" w:pos="9026"/>
      </w:tabs>
      <w:spacing w:before="40"/>
      <w:jc w:val="right"/>
    </w:pPr>
    <w:rPr>
      <w:rFonts w:ascii="Arial" w:hAnsi="Arial" w:cs="Arial"/>
      <w:color w:val="000000" w:themeColor="text1"/>
      <w:sz w:val="18"/>
      <w:szCs w:val="18"/>
      <w:lang w:val="en-US" w:eastAsia="en-US"/>
    </w:rPr>
  </w:style>
  <w:style w:type="character" w:styleId="PageNumber">
    <w:name w:val="page number"/>
    <w:rsid w:val="00F701FD"/>
    <w:rPr>
      <w:rFonts w:ascii="Arial" w:hAnsi="Arial" w:cs="Arial"/>
      <w:color w:val="auto"/>
    </w:rPr>
  </w:style>
  <w:style w:type="paragraph" w:customStyle="1" w:styleId="FooterOdd">
    <w:name w:val="Footer Odd"/>
    <w:basedOn w:val="Footer"/>
    <w:qFormat/>
    <w:rsid w:val="00F701FD"/>
    <w:pPr>
      <w:pBdr>
        <w:top w:val="single" w:sz="4" w:space="10" w:color="000000"/>
      </w:pBdr>
      <w:tabs>
        <w:tab w:val="clear" w:pos="4513"/>
        <w:tab w:val="clear" w:pos="9026"/>
        <w:tab w:val="center" w:pos="4153"/>
        <w:tab w:val="right" w:pos="8306"/>
      </w:tabs>
      <w:jc w:val="right"/>
    </w:pPr>
    <w:rPr>
      <w:rFonts w:ascii="Arial" w:hAnsi="Arial"/>
      <w:sz w:val="18"/>
    </w:rPr>
  </w:style>
  <w:style w:type="paragraph" w:customStyle="1" w:styleId="FooterEven">
    <w:name w:val="Footer Even"/>
    <w:basedOn w:val="Footer"/>
    <w:qFormat/>
    <w:rsid w:val="00F701FD"/>
    <w:pPr>
      <w:pBdr>
        <w:top w:val="single" w:sz="4" w:space="10" w:color="000000"/>
      </w:pBdr>
      <w:tabs>
        <w:tab w:val="clear" w:pos="4513"/>
        <w:tab w:val="clear" w:pos="9026"/>
        <w:tab w:val="center" w:pos="4153"/>
        <w:tab w:val="right" w:pos="8306"/>
      </w:tabs>
    </w:pPr>
    <w:rPr>
      <w:rFonts w:ascii="Arial" w:hAnsi="Arial"/>
      <w:color w:val="auto"/>
      <w:sz w:val="18"/>
    </w:rPr>
  </w:style>
  <w:style w:type="paragraph" w:customStyle="1" w:styleId="PartHeading-TOC">
    <w:name w:val="Part Heading - TOC"/>
    <w:basedOn w:val="Normal"/>
    <w:rsid w:val="00B85230"/>
    <w:pPr>
      <w:spacing w:before="240" w:after="480"/>
      <w:jc w:val="center"/>
    </w:pPr>
    <w:rPr>
      <w:rFonts w:ascii="Arial Bold" w:hAnsi="Arial Bold" w:cs="Arial"/>
      <w:b/>
      <w:bCs/>
      <w:color w:val="auto"/>
      <w:kern w:val="28"/>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6139">
      <w:bodyDiv w:val="1"/>
      <w:marLeft w:val="0"/>
      <w:marRight w:val="0"/>
      <w:marTop w:val="0"/>
      <w:marBottom w:val="0"/>
      <w:divBdr>
        <w:top w:val="none" w:sz="0" w:space="0" w:color="auto"/>
        <w:left w:val="none" w:sz="0" w:space="0" w:color="auto"/>
        <w:bottom w:val="none" w:sz="0" w:space="0" w:color="auto"/>
        <w:right w:val="none" w:sz="0" w:space="0" w:color="auto"/>
      </w:divBdr>
    </w:div>
    <w:div w:id="91779812">
      <w:bodyDiv w:val="1"/>
      <w:marLeft w:val="0"/>
      <w:marRight w:val="0"/>
      <w:marTop w:val="0"/>
      <w:marBottom w:val="0"/>
      <w:divBdr>
        <w:top w:val="none" w:sz="0" w:space="0" w:color="auto"/>
        <w:left w:val="none" w:sz="0" w:space="0" w:color="auto"/>
        <w:bottom w:val="none" w:sz="0" w:space="0" w:color="auto"/>
        <w:right w:val="none" w:sz="0" w:space="0" w:color="auto"/>
      </w:divBdr>
    </w:div>
    <w:div w:id="131558616">
      <w:bodyDiv w:val="1"/>
      <w:marLeft w:val="0"/>
      <w:marRight w:val="0"/>
      <w:marTop w:val="0"/>
      <w:marBottom w:val="0"/>
      <w:divBdr>
        <w:top w:val="none" w:sz="0" w:space="0" w:color="auto"/>
        <w:left w:val="none" w:sz="0" w:space="0" w:color="auto"/>
        <w:bottom w:val="none" w:sz="0" w:space="0" w:color="auto"/>
        <w:right w:val="none" w:sz="0" w:space="0" w:color="auto"/>
      </w:divBdr>
    </w:div>
    <w:div w:id="199628595">
      <w:bodyDiv w:val="1"/>
      <w:marLeft w:val="0"/>
      <w:marRight w:val="0"/>
      <w:marTop w:val="0"/>
      <w:marBottom w:val="0"/>
      <w:divBdr>
        <w:top w:val="none" w:sz="0" w:space="0" w:color="auto"/>
        <w:left w:val="none" w:sz="0" w:space="0" w:color="auto"/>
        <w:bottom w:val="none" w:sz="0" w:space="0" w:color="auto"/>
        <w:right w:val="none" w:sz="0" w:space="0" w:color="auto"/>
      </w:divBdr>
    </w:div>
    <w:div w:id="216550738">
      <w:bodyDiv w:val="1"/>
      <w:marLeft w:val="0"/>
      <w:marRight w:val="0"/>
      <w:marTop w:val="0"/>
      <w:marBottom w:val="0"/>
      <w:divBdr>
        <w:top w:val="none" w:sz="0" w:space="0" w:color="auto"/>
        <w:left w:val="none" w:sz="0" w:space="0" w:color="auto"/>
        <w:bottom w:val="none" w:sz="0" w:space="0" w:color="auto"/>
        <w:right w:val="none" w:sz="0" w:space="0" w:color="auto"/>
      </w:divBdr>
    </w:div>
    <w:div w:id="255597652">
      <w:bodyDiv w:val="1"/>
      <w:marLeft w:val="0"/>
      <w:marRight w:val="0"/>
      <w:marTop w:val="0"/>
      <w:marBottom w:val="0"/>
      <w:divBdr>
        <w:top w:val="none" w:sz="0" w:space="0" w:color="auto"/>
        <w:left w:val="none" w:sz="0" w:space="0" w:color="auto"/>
        <w:bottom w:val="none" w:sz="0" w:space="0" w:color="auto"/>
        <w:right w:val="none" w:sz="0" w:space="0" w:color="auto"/>
      </w:divBdr>
    </w:div>
    <w:div w:id="272326381">
      <w:bodyDiv w:val="1"/>
      <w:marLeft w:val="0"/>
      <w:marRight w:val="0"/>
      <w:marTop w:val="0"/>
      <w:marBottom w:val="0"/>
      <w:divBdr>
        <w:top w:val="none" w:sz="0" w:space="0" w:color="auto"/>
        <w:left w:val="none" w:sz="0" w:space="0" w:color="auto"/>
        <w:bottom w:val="none" w:sz="0" w:space="0" w:color="auto"/>
        <w:right w:val="none" w:sz="0" w:space="0" w:color="auto"/>
      </w:divBdr>
    </w:div>
    <w:div w:id="277876709">
      <w:bodyDiv w:val="1"/>
      <w:marLeft w:val="0"/>
      <w:marRight w:val="0"/>
      <w:marTop w:val="0"/>
      <w:marBottom w:val="0"/>
      <w:divBdr>
        <w:top w:val="none" w:sz="0" w:space="0" w:color="auto"/>
        <w:left w:val="none" w:sz="0" w:space="0" w:color="auto"/>
        <w:bottom w:val="none" w:sz="0" w:space="0" w:color="auto"/>
        <w:right w:val="none" w:sz="0" w:space="0" w:color="auto"/>
      </w:divBdr>
    </w:div>
    <w:div w:id="282620241">
      <w:bodyDiv w:val="1"/>
      <w:marLeft w:val="0"/>
      <w:marRight w:val="0"/>
      <w:marTop w:val="0"/>
      <w:marBottom w:val="0"/>
      <w:divBdr>
        <w:top w:val="none" w:sz="0" w:space="0" w:color="auto"/>
        <w:left w:val="none" w:sz="0" w:space="0" w:color="auto"/>
        <w:bottom w:val="none" w:sz="0" w:space="0" w:color="auto"/>
        <w:right w:val="none" w:sz="0" w:space="0" w:color="auto"/>
      </w:divBdr>
    </w:div>
    <w:div w:id="305209983">
      <w:bodyDiv w:val="1"/>
      <w:marLeft w:val="0"/>
      <w:marRight w:val="0"/>
      <w:marTop w:val="0"/>
      <w:marBottom w:val="0"/>
      <w:divBdr>
        <w:top w:val="none" w:sz="0" w:space="0" w:color="auto"/>
        <w:left w:val="none" w:sz="0" w:space="0" w:color="auto"/>
        <w:bottom w:val="none" w:sz="0" w:space="0" w:color="auto"/>
        <w:right w:val="none" w:sz="0" w:space="0" w:color="auto"/>
      </w:divBdr>
    </w:div>
    <w:div w:id="307711508">
      <w:bodyDiv w:val="1"/>
      <w:marLeft w:val="0"/>
      <w:marRight w:val="0"/>
      <w:marTop w:val="0"/>
      <w:marBottom w:val="0"/>
      <w:divBdr>
        <w:top w:val="none" w:sz="0" w:space="0" w:color="auto"/>
        <w:left w:val="none" w:sz="0" w:space="0" w:color="auto"/>
        <w:bottom w:val="none" w:sz="0" w:space="0" w:color="auto"/>
        <w:right w:val="none" w:sz="0" w:space="0" w:color="auto"/>
      </w:divBdr>
    </w:div>
    <w:div w:id="355890596">
      <w:bodyDiv w:val="1"/>
      <w:marLeft w:val="0"/>
      <w:marRight w:val="0"/>
      <w:marTop w:val="0"/>
      <w:marBottom w:val="0"/>
      <w:divBdr>
        <w:top w:val="none" w:sz="0" w:space="0" w:color="auto"/>
        <w:left w:val="none" w:sz="0" w:space="0" w:color="auto"/>
        <w:bottom w:val="none" w:sz="0" w:space="0" w:color="auto"/>
        <w:right w:val="none" w:sz="0" w:space="0" w:color="auto"/>
      </w:divBdr>
    </w:div>
    <w:div w:id="367028324">
      <w:bodyDiv w:val="1"/>
      <w:marLeft w:val="0"/>
      <w:marRight w:val="0"/>
      <w:marTop w:val="0"/>
      <w:marBottom w:val="0"/>
      <w:divBdr>
        <w:top w:val="none" w:sz="0" w:space="0" w:color="auto"/>
        <w:left w:val="none" w:sz="0" w:space="0" w:color="auto"/>
        <w:bottom w:val="none" w:sz="0" w:space="0" w:color="auto"/>
        <w:right w:val="none" w:sz="0" w:space="0" w:color="auto"/>
      </w:divBdr>
    </w:div>
    <w:div w:id="399402622">
      <w:bodyDiv w:val="1"/>
      <w:marLeft w:val="0"/>
      <w:marRight w:val="0"/>
      <w:marTop w:val="0"/>
      <w:marBottom w:val="0"/>
      <w:divBdr>
        <w:top w:val="none" w:sz="0" w:space="0" w:color="auto"/>
        <w:left w:val="none" w:sz="0" w:space="0" w:color="auto"/>
        <w:bottom w:val="none" w:sz="0" w:space="0" w:color="auto"/>
        <w:right w:val="none" w:sz="0" w:space="0" w:color="auto"/>
      </w:divBdr>
    </w:div>
    <w:div w:id="406995907">
      <w:bodyDiv w:val="1"/>
      <w:marLeft w:val="0"/>
      <w:marRight w:val="0"/>
      <w:marTop w:val="0"/>
      <w:marBottom w:val="0"/>
      <w:divBdr>
        <w:top w:val="none" w:sz="0" w:space="0" w:color="auto"/>
        <w:left w:val="none" w:sz="0" w:space="0" w:color="auto"/>
        <w:bottom w:val="none" w:sz="0" w:space="0" w:color="auto"/>
        <w:right w:val="none" w:sz="0" w:space="0" w:color="auto"/>
      </w:divBdr>
    </w:div>
    <w:div w:id="490830723">
      <w:bodyDiv w:val="1"/>
      <w:marLeft w:val="0"/>
      <w:marRight w:val="0"/>
      <w:marTop w:val="0"/>
      <w:marBottom w:val="0"/>
      <w:divBdr>
        <w:top w:val="none" w:sz="0" w:space="0" w:color="auto"/>
        <w:left w:val="none" w:sz="0" w:space="0" w:color="auto"/>
        <w:bottom w:val="none" w:sz="0" w:space="0" w:color="auto"/>
        <w:right w:val="none" w:sz="0" w:space="0" w:color="auto"/>
      </w:divBdr>
    </w:div>
    <w:div w:id="508373653">
      <w:bodyDiv w:val="1"/>
      <w:marLeft w:val="0"/>
      <w:marRight w:val="0"/>
      <w:marTop w:val="0"/>
      <w:marBottom w:val="0"/>
      <w:divBdr>
        <w:top w:val="none" w:sz="0" w:space="0" w:color="auto"/>
        <w:left w:val="none" w:sz="0" w:space="0" w:color="auto"/>
        <w:bottom w:val="none" w:sz="0" w:space="0" w:color="auto"/>
        <w:right w:val="none" w:sz="0" w:space="0" w:color="auto"/>
      </w:divBdr>
    </w:div>
    <w:div w:id="539584996">
      <w:bodyDiv w:val="1"/>
      <w:marLeft w:val="0"/>
      <w:marRight w:val="0"/>
      <w:marTop w:val="0"/>
      <w:marBottom w:val="0"/>
      <w:divBdr>
        <w:top w:val="none" w:sz="0" w:space="0" w:color="auto"/>
        <w:left w:val="none" w:sz="0" w:space="0" w:color="auto"/>
        <w:bottom w:val="none" w:sz="0" w:space="0" w:color="auto"/>
        <w:right w:val="none" w:sz="0" w:space="0" w:color="auto"/>
      </w:divBdr>
    </w:div>
    <w:div w:id="552740864">
      <w:bodyDiv w:val="1"/>
      <w:marLeft w:val="0"/>
      <w:marRight w:val="0"/>
      <w:marTop w:val="0"/>
      <w:marBottom w:val="0"/>
      <w:divBdr>
        <w:top w:val="none" w:sz="0" w:space="0" w:color="auto"/>
        <w:left w:val="none" w:sz="0" w:space="0" w:color="auto"/>
        <w:bottom w:val="none" w:sz="0" w:space="0" w:color="auto"/>
        <w:right w:val="none" w:sz="0" w:space="0" w:color="auto"/>
      </w:divBdr>
    </w:div>
    <w:div w:id="597712701">
      <w:bodyDiv w:val="1"/>
      <w:marLeft w:val="0"/>
      <w:marRight w:val="0"/>
      <w:marTop w:val="0"/>
      <w:marBottom w:val="0"/>
      <w:divBdr>
        <w:top w:val="none" w:sz="0" w:space="0" w:color="auto"/>
        <w:left w:val="none" w:sz="0" w:space="0" w:color="auto"/>
        <w:bottom w:val="none" w:sz="0" w:space="0" w:color="auto"/>
        <w:right w:val="none" w:sz="0" w:space="0" w:color="auto"/>
      </w:divBdr>
    </w:div>
    <w:div w:id="681589562">
      <w:bodyDiv w:val="1"/>
      <w:marLeft w:val="0"/>
      <w:marRight w:val="0"/>
      <w:marTop w:val="0"/>
      <w:marBottom w:val="0"/>
      <w:divBdr>
        <w:top w:val="none" w:sz="0" w:space="0" w:color="auto"/>
        <w:left w:val="none" w:sz="0" w:space="0" w:color="auto"/>
        <w:bottom w:val="none" w:sz="0" w:space="0" w:color="auto"/>
        <w:right w:val="none" w:sz="0" w:space="0" w:color="auto"/>
      </w:divBdr>
    </w:div>
    <w:div w:id="705761815">
      <w:bodyDiv w:val="1"/>
      <w:marLeft w:val="0"/>
      <w:marRight w:val="0"/>
      <w:marTop w:val="0"/>
      <w:marBottom w:val="0"/>
      <w:divBdr>
        <w:top w:val="none" w:sz="0" w:space="0" w:color="auto"/>
        <w:left w:val="none" w:sz="0" w:space="0" w:color="auto"/>
        <w:bottom w:val="none" w:sz="0" w:space="0" w:color="auto"/>
        <w:right w:val="none" w:sz="0" w:space="0" w:color="auto"/>
      </w:divBdr>
    </w:div>
    <w:div w:id="722800832">
      <w:bodyDiv w:val="1"/>
      <w:marLeft w:val="0"/>
      <w:marRight w:val="0"/>
      <w:marTop w:val="0"/>
      <w:marBottom w:val="0"/>
      <w:divBdr>
        <w:top w:val="none" w:sz="0" w:space="0" w:color="auto"/>
        <w:left w:val="none" w:sz="0" w:space="0" w:color="auto"/>
        <w:bottom w:val="none" w:sz="0" w:space="0" w:color="auto"/>
        <w:right w:val="none" w:sz="0" w:space="0" w:color="auto"/>
      </w:divBdr>
    </w:div>
    <w:div w:id="768236375">
      <w:bodyDiv w:val="1"/>
      <w:marLeft w:val="0"/>
      <w:marRight w:val="0"/>
      <w:marTop w:val="0"/>
      <w:marBottom w:val="0"/>
      <w:divBdr>
        <w:top w:val="none" w:sz="0" w:space="0" w:color="auto"/>
        <w:left w:val="none" w:sz="0" w:space="0" w:color="auto"/>
        <w:bottom w:val="none" w:sz="0" w:space="0" w:color="auto"/>
        <w:right w:val="none" w:sz="0" w:space="0" w:color="auto"/>
      </w:divBdr>
    </w:div>
    <w:div w:id="918292769">
      <w:bodyDiv w:val="1"/>
      <w:marLeft w:val="0"/>
      <w:marRight w:val="0"/>
      <w:marTop w:val="0"/>
      <w:marBottom w:val="0"/>
      <w:divBdr>
        <w:top w:val="none" w:sz="0" w:space="0" w:color="auto"/>
        <w:left w:val="none" w:sz="0" w:space="0" w:color="auto"/>
        <w:bottom w:val="none" w:sz="0" w:space="0" w:color="auto"/>
        <w:right w:val="none" w:sz="0" w:space="0" w:color="auto"/>
      </w:divBdr>
    </w:div>
    <w:div w:id="919291713">
      <w:bodyDiv w:val="1"/>
      <w:marLeft w:val="0"/>
      <w:marRight w:val="0"/>
      <w:marTop w:val="0"/>
      <w:marBottom w:val="0"/>
      <w:divBdr>
        <w:top w:val="none" w:sz="0" w:space="0" w:color="auto"/>
        <w:left w:val="none" w:sz="0" w:space="0" w:color="auto"/>
        <w:bottom w:val="none" w:sz="0" w:space="0" w:color="auto"/>
        <w:right w:val="none" w:sz="0" w:space="0" w:color="auto"/>
      </w:divBdr>
    </w:div>
    <w:div w:id="922569926">
      <w:bodyDiv w:val="1"/>
      <w:marLeft w:val="0"/>
      <w:marRight w:val="0"/>
      <w:marTop w:val="0"/>
      <w:marBottom w:val="0"/>
      <w:divBdr>
        <w:top w:val="none" w:sz="0" w:space="0" w:color="auto"/>
        <w:left w:val="none" w:sz="0" w:space="0" w:color="auto"/>
        <w:bottom w:val="none" w:sz="0" w:space="0" w:color="auto"/>
        <w:right w:val="none" w:sz="0" w:space="0" w:color="auto"/>
      </w:divBdr>
    </w:div>
    <w:div w:id="926957403">
      <w:bodyDiv w:val="1"/>
      <w:marLeft w:val="0"/>
      <w:marRight w:val="0"/>
      <w:marTop w:val="0"/>
      <w:marBottom w:val="0"/>
      <w:divBdr>
        <w:top w:val="none" w:sz="0" w:space="0" w:color="auto"/>
        <w:left w:val="none" w:sz="0" w:space="0" w:color="auto"/>
        <w:bottom w:val="none" w:sz="0" w:space="0" w:color="auto"/>
        <w:right w:val="none" w:sz="0" w:space="0" w:color="auto"/>
      </w:divBdr>
    </w:div>
    <w:div w:id="942877061">
      <w:bodyDiv w:val="1"/>
      <w:marLeft w:val="0"/>
      <w:marRight w:val="0"/>
      <w:marTop w:val="0"/>
      <w:marBottom w:val="0"/>
      <w:divBdr>
        <w:top w:val="none" w:sz="0" w:space="0" w:color="auto"/>
        <w:left w:val="none" w:sz="0" w:space="0" w:color="auto"/>
        <w:bottom w:val="none" w:sz="0" w:space="0" w:color="auto"/>
        <w:right w:val="none" w:sz="0" w:space="0" w:color="auto"/>
      </w:divBdr>
    </w:div>
    <w:div w:id="953826601">
      <w:bodyDiv w:val="1"/>
      <w:marLeft w:val="0"/>
      <w:marRight w:val="0"/>
      <w:marTop w:val="0"/>
      <w:marBottom w:val="0"/>
      <w:divBdr>
        <w:top w:val="none" w:sz="0" w:space="0" w:color="auto"/>
        <w:left w:val="none" w:sz="0" w:space="0" w:color="auto"/>
        <w:bottom w:val="none" w:sz="0" w:space="0" w:color="auto"/>
        <w:right w:val="none" w:sz="0" w:space="0" w:color="auto"/>
      </w:divBdr>
    </w:div>
    <w:div w:id="979311788">
      <w:bodyDiv w:val="1"/>
      <w:marLeft w:val="0"/>
      <w:marRight w:val="0"/>
      <w:marTop w:val="0"/>
      <w:marBottom w:val="0"/>
      <w:divBdr>
        <w:top w:val="none" w:sz="0" w:space="0" w:color="auto"/>
        <w:left w:val="none" w:sz="0" w:space="0" w:color="auto"/>
        <w:bottom w:val="none" w:sz="0" w:space="0" w:color="auto"/>
        <w:right w:val="none" w:sz="0" w:space="0" w:color="auto"/>
      </w:divBdr>
    </w:div>
    <w:div w:id="1002197790">
      <w:bodyDiv w:val="1"/>
      <w:marLeft w:val="0"/>
      <w:marRight w:val="0"/>
      <w:marTop w:val="0"/>
      <w:marBottom w:val="0"/>
      <w:divBdr>
        <w:top w:val="none" w:sz="0" w:space="0" w:color="auto"/>
        <w:left w:val="none" w:sz="0" w:space="0" w:color="auto"/>
        <w:bottom w:val="none" w:sz="0" w:space="0" w:color="auto"/>
        <w:right w:val="none" w:sz="0" w:space="0" w:color="auto"/>
      </w:divBdr>
    </w:div>
    <w:div w:id="1032263266">
      <w:bodyDiv w:val="1"/>
      <w:marLeft w:val="0"/>
      <w:marRight w:val="0"/>
      <w:marTop w:val="0"/>
      <w:marBottom w:val="0"/>
      <w:divBdr>
        <w:top w:val="none" w:sz="0" w:space="0" w:color="auto"/>
        <w:left w:val="none" w:sz="0" w:space="0" w:color="auto"/>
        <w:bottom w:val="none" w:sz="0" w:space="0" w:color="auto"/>
        <w:right w:val="none" w:sz="0" w:space="0" w:color="auto"/>
      </w:divBdr>
    </w:div>
    <w:div w:id="1063723397">
      <w:bodyDiv w:val="1"/>
      <w:marLeft w:val="0"/>
      <w:marRight w:val="0"/>
      <w:marTop w:val="0"/>
      <w:marBottom w:val="0"/>
      <w:divBdr>
        <w:top w:val="none" w:sz="0" w:space="0" w:color="auto"/>
        <w:left w:val="none" w:sz="0" w:space="0" w:color="auto"/>
        <w:bottom w:val="none" w:sz="0" w:space="0" w:color="auto"/>
        <w:right w:val="none" w:sz="0" w:space="0" w:color="auto"/>
      </w:divBdr>
    </w:div>
    <w:div w:id="1110583822">
      <w:bodyDiv w:val="1"/>
      <w:marLeft w:val="0"/>
      <w:marRight w:val="0"/>
      <w:marTop w:val="0"/>
      <w:marBottom w:val="0"/>
      <w:divBdr>
        <w:top w:val="none" w:sz="0" w:space="0" w:color="auto"/>
        <w:left w:val="none" w:sz="0" w:space="0" w:color="auto"/>
        <w:bottom w:val="none" w:sz="0" w:space="0" w:color="auto"/>
        <w:right w:val="none" w:sz="0" w:space="0" w:color="auto"/>
      </w:divBdr>
    </w:div>
    <w:div w:id="1168519371">
      <w:bodyDiv w:val="1"/>
      <w:marLeft w:val="0"/>
      <w:marRight w:val="0"/>
      <w:marTop w:val="0"/>
      <w:marBottom w:val="0"/>
      <w:divBdr>
        <w:top w:val="none" w:sz="0" w:space="0" w:color="auto"/>
        <w:left w:val="none" w:sz="0" w:space="0" w:color="auto"/>
        <w:bottom w:val="none" w:sz="0" w:space="0" w:color="auto"/>
        <w:right w:val="none" w:sz="0" w:space="0" w:color="auto"/>
      </w:divBdr>
    </w:div>
    <w:div w:id="1192646934">
      <w:bodyDiv w:val="1"/>
      <w:marLeft w:val="0"/>
      <w:marRight w:val="0"/>
      <w:marTop w:val="0"/>
      <w:marBottom w:val="0"/>
      <w:divBdr>
        <w:top w:val="none" w:sz="0" w:space="0" w:color="auto"/>
        <w:left w:val="none" w:sz="0" w:space="0" w:color="auto"/>
        <w:bottom w:val="none" w:sz="0" w:space="0" w:color="auto"/>
        <w:right w:val="none" w:sz="0" w:space="0" w:color="auto"/>
      </w:divBdr>
    </w:div>
    <w:div w:id="1198619868">
      <w:bodyDiv w:val="1"/>
      <w:marLeft w:val="0"/>
      <w:marRight w:val="0"/>
      <w:marTop w:val="0"/>
      <w:marBottom w:val="0"/>
      <w:divBdr>
        <w:top w:val="none" w:sz="0" w:space="0" w:color="auto"/>
        <w:left w:val="none" w:sz="0" w:space="0" w:color="auto"/>
        <w:bottom w:val="none" w:sz="0" w:space="0" w:color="auto"/>
        <w:right w:val="none" w:sz="0" w:space="0" w:color="auto"/>
      </w:divBdr>
    </w:div>
    <w:div w:id="1224172898">
      <w:bodyDiv w:val="1"/>
      <w:marLeft w:val="0"/>
      <w:marRight w:val="0"/>
      <w:marTop w:val="0"/>
      <w:marBottom w:val="0"/>
      <w:divBdr>
        <w:top w:val="none" w:sz="0" w:space="0" w:color="auto"/>
        <w:left w:val="none" w:sz="0" w:space="0" w:color="auto"/>
        <w:bottom w:val="none" w:sz="0" w:space="0" w:color="auto"/>
        <w:right w:val="none" w:sz="0" w:space="0" w:color="auto"/>
      </w:divBdr>
    </w:div>
    <w:div w:id="1241283179">
      <w:bodyDiv w:val="1"/>
      <w:marLeft w:val="0"/>
      <w:marRight w:val="0"/>
      <w:marTop w:val="0"/>
      <w:marBottom w:val="0"/>
      <w:divBdr>
        <w:top w:val="none" w:sz="0" w:space="0" w:color="auto"/>
        <w:left w:val="none" w:sz="0" w:space="0" w:color="auto"/>
        <w:bottom w:val="none" w:sz="0" w:space="0" w:color="auto"/>
        <w:right w:val="none" w:sz="0" w:space="0" w:color="auto"/>
      </w:divBdr>
    </w:div>
    <w:div w:id="1259168862">
      <w:bodyDiv w:val="1"/>
      <w:marLeft w:val="0"/>
      <w:marRight w:val="0"/>
      <w:marTop w:val="0"/>
      <w:marBottom w:val="0"/>
      <w:divBdr>
        <w:top w:val="none" w:sz="0" w:space="0" w:color="auto"/>
        <w:left w:val="none" w:sz="0" w:space="0" w:color="auto"/>
        <w:bottom w:val="none" w:sz="0" w:space="0" w:color="auto"/>
        <w:right w:val="none" w:sz="0" w:space="0" w:color="auto"/>
      </w:divBdr>
    </w:div>
    <w:div w:id="1279486802">
      <w:bodyDiv w:val="1"/>
      <w:marLeft w:val="0"/>
      <w:marRight w:val="0"/>
      <w:marTop w:val="0"/>
      <w:marBottom w:val="0"/>
      <w:divBdr>
        <w:top w:val="none" w:sz="0" w:space="0" w:color="auto"/>
        <w:left w:val="none" w:sz="0" w:space="0" w:color="auto"/>
        <w:bottom w:val="none" w:sz="0" w:space="0" w:color="auto"/>
        <w:right w:val="none" w:sz="0" w:space="0" w:color="auto"/>
      </w:divBdr>
    </w:div>
    <w:div w:id="1344819012">
      <w:bodyDiv w:val="1"/>
      <w:marLeft w:val="0"/>
      <w:marRight w:val="0"/>
      <w:marTop w:val="0"/>
      <w:marBottom w:val="0"/>
      <w:divBdr>
        <w:top w:val="none" w:sz="0" w:space="0" w:color="auto"/>
        <w:left w:val="none" w:sz="0" w:space="0" w:color="auto"/>
        <w:bottom w:val="none" w:sz="0" w:space="0" w:color="auto"/>
        <w:right w:val="none" w:sz="0" w:space="0" w:color="auto"/>
      </w:divBdr>
    </w:div>
    <w:div w:id="1347946575">
      <w:bodyDiv w:val="1"/>
      <w:marLeft w:val="0"/>
      <w:marRight w:val="0"/>
      <w:marTop w:val="0"/>
      <w:marBottom w:val="0"/>
      <w:divBdr>
        <w:top w:val="none" w:sz="0" w:space="0" w:color="auto"/>
        <w:left w:val="none" w:sz="0" w:space="0" w:color="auto"/>
        <w:bottom w:val="none" w:sz="0" w:space="0" w:color="auto"/>
        <w:right w:val="none" w:sz="0" w:space="0" w:color="auto"/>
      </w:divBdr>
    </w:div>
    <w:div w:id="1349988280">
      <w:bodyDiv w:val="1"/>
      <w:marLeft w:val="0"/>
      <w:marRight w:val="0"/>
      <w:marTop w:val="0"/>
      <w:marBottom w:val="0"/>
      <w:divBdr>
        <w:top w:val="none" w:sz="0" w:space="0" w:color="auto"/>
        <w:left w:val="none" w:sz="0" w:space="0" w:color="auto"/>
        <w:bottom w:val="none" w:sz="0" w:space="0" w:color="auto"/>
        <w:right w:val="none" w:sz="0" w:space="0" w:color="auto"/>
      </w:divBdr>
    </w:div>
    <w:div w:id="1355422323">
      <w:bodyDiv w:val="1"/>
      <w:marLeft w:val="0"/>
      <w:marRight w:val="0"/>
      <w:marTop w:val="0"/>
      <w:marBottom w:val="0"/>
      <w:divBdr>
        <w:top w:val="none" w:sz="0" w:space="0" w:color="auto"/>
        <w:left w:val="none" w:sz="0" w:space="0" w:color="auto"/>
        <w:bottom w:val="none" w:sz="0" w:space="0" w:color="auto"/>
        <w:right w:val="none" w:sz="0" w:space="0" w:color="auto"/>
      </w:divBdr>
    </w:div>
    <w:div w:id="1396660797">
      <w:bodyDiv w:val="1"/>
      <w:marLeft w:val="0"/>
      <w:marRight w:val="0"/>
      <w:marTop w:val="0"/>
      <w:marBottom w:val="0"/>
      <w:divBdr>
        <w:top w:val="none" w:sz="0" w:space="0" w:color="auto"/>
        <w:left w:val="none" w:sz="0" w:space="0" w:color="auto"/>
        <w:bottom w:val="none" w:sz="0" w:space="0" w:color="auto"/>
        <w:right w:val="none" w:sz="0" w:space="0" w:color="auto"/>
      </w:divBdr>
    </w:div>
    <w:div w:id="1404252188">
      <w:bodyDiv w:val="1"/>
      <w:marLeft w:val="0"/>
      <w:marRight w:val="0"/>
      <w:marTop w:val="0"/>
      <w:marBottom w:val="0"/>
      <w:divBdr>
        <w:top w:val="none" w:sz="0" w:space="0" w:color="auto"/>
        <w:left w:val="none" w:sz="0" w:space="0" w:color="auto"/>
        <w:bottom w:val="none" w:sz="0" w:space="0" w:color="auto"/>
        <w:right w:val="none" w:sz="0" w:space="0" w:color="auto"/>
      </w:divBdr>
    </w:div>
    <w:div w:id="1412242130">
      <w:bodyDiv w:val="1"/>
      <w:marLeft w:val="0"/>
      <w:marRight w:val="0"/>
      <w:marTop w:val="0"/>
      <w:marBottom w:val="0"/>
      <w:divBdr>
        <w:top w:val="none" w:sz="0" w:space="0" w:color="auto"/>
        <w:left w:val="none" w:sz="0" w:space="0" w:color="auto"/>
        <w:bottom w:val="none" w:sz="0" w:space="0" w:color="auto"/>
        <w:right w:val="none" w:sz="0" w:space="0" w:color="auto"/>
      </w:divBdr>
    </w:div>
    <w:div w:id="1459448466">
      <w:bodyDiv w:val="1"/>
      <w:marLeft w:val="0"/>
      <w:marRight w:val="0"/>
      <w:marTop w:val="0"/>
      <w:marBottom w:val="0"/>
      <w:divBdr>
        <w:top w:val="none" w:sz="0" w:space="0" w:color="auto"/>
        <w:left w:val="none" w:sz="0" w:space="0" w:color="auto"/>
        <w:bottom w:val="none" w:sz="0" w:space="0" w:color="auto"/>
        <w:right w:val="none" w:sz="0" w:space="0" w:color="auto"/>
      </w:divBdr>
    </w:div>
    <w:div w:id="1526285074">
      <w:bodyDiv w:val="1"/>
      <w:marLeft w:val="0"/>
      <w:marRight w:val="0"/>
      <w:marTop w:val="0"/>
      <w:marBottom w:val="0"/>
      <w:divBdr>
        <w:top w:val="none" w:sz="0" w:space="0" w:color="auto"/>
        <w:left w:val="none" w:sz="0" w:space="0" w:color="auto"/>
        <w:bottom w:val="none" w:sz="0" w:space="0" w:color="auto"/>
        <w:right w:val="none" w:sz="0" w:space="0" w:color="auto"/>
      </w:divBdr>
    </w:div>
    <w:div w:id="1641882031">
      <w:bodyDiv w:val="1"/>
      <w:marLeft w:val="0"/>
      <w:marRight w:val="0"/>
      <w:marTop w:val="0"/>
      <w:marBottom w:val="0"/>
      <w:divBdr>
        <w:top w:val="none" w:sz="0" w:space="0" w:color="auto"/>
        <w:left w:val="none" w:sz="0" w:space="0" w:color="auto"/>
        <w:bottom w:val="none" w:sz="0" w:space="0" w:color="auto"/>
        <w:right w:val="none" w:sz="0" w:space="0" w:color="auto"/>
      </w:divBdr>
    </w:div>
    <w:div w:id="1662780087">
      <w:bodyDiv w:val="1"/>
      <w:marLeft w:val="0"/>
      <w:marRight w:val="0"/>
      <w:marTop w:val="0"/>
      <w:marBottom w:val="0"/>
      <w:divBdr>
        <w:top w:val="none" w:sz="0" w:space="0" w:color="auto"/>
        <w:left w:val="none" w:sz="0" w:space="0" w:color="auto"/>
        <w:bottom w:val="none" w:sz="0" w:space="0" w:color="auto"/>
        <w:right w:val="none" w:sz="0" w:space="0" w:color="auto"/>
      </w:divBdr>
    </w:div>
    <w:div w:id="1678343425">
      <w:bodyDiv w:val="1"/>
      <w:marLeft w:val="0"/>
      <w:marRight w:val="0"/>
      <w:marTop w:val="0"/>
      <w:marBottom w:val="0"/>
      <w:divBdr>
        <w:top w:val="none" w:sz="0" w:space="0" w:color="auto"/>
        <w:left w:val="none" w:sz="0" w:space="0" w:color="auto"/>
        <w:bottom w:val="none" w:sz="0" w:space="0" w:color="auto"/>
        <w:right w:val="none" w:sz="0" w:space="0" w:color="auto"/>
      </w:divBdr>
    </w:div>
    <w:div w:id="1682850472">
      <w:bodyDiv w:val="1"/>
      <w:marLeft w:val="0"/>
      <w:marRight w:val="0"/>
      <w:marTop w:val="0"/>
      <w:marBottom w:val="0"/>
      <w:divBdr>
        <w:top w:val="none" w:sz="0" w:space="0" w:color="auto"/>
        <w:left w:val="none" w:sz="0" w:space="0" w:color="auto"/>
        <w:bottom w:val="none" w:sz="0" w:space="0" w:color="auto"/>
        <w:right w:val="none" w:sz="0" w:space="0" w:color="auto"/>
      </w:divBdr>
    </w:div>
    <w:div w:id="1685401676">
      <w:bodyDiv w:val="1"/>
      <w:marLeft w:val="0"/>
      <w:marRight w:val="0"/>
      <w:marTop w:val="0"/>
      <w:marBottom w:val="0"/>
      <w:divBdr>
        <w:top w:val="none" w:sz="0" w:space="0" w:color="auto"/>
        <w:left w:val="none" w:sz="0" w:space="0" w:color="auto"/>
        <w:bottom w:val="none" w:sz="0" w:space="0" w:color="auto"/>
        <w:right w:val="none" w:sz="0" w:space="0" w:color="auto"/>
      </w:divBdr>
    </w:div>
    <w:div w:id="1737779997">
      <w:bodyDiv w:val="1"/>
      <w:marLeft w:val="0"/>
      <w:marRight w:val="0"/>
      <w:marTop w:val="0"/>
      <w:marBottom w:val="0"/>
      <w:divBdr>
        <w:top w:val="none" w:sz="0" w:space="0" w:color="auto"/>
        <w:left w:val="none" w:sz="0" w:space="0" w:color="auto"/>
        <w:bottom w:val="none" w:sz="0" w:space="0" w:color="auto"/>
        <w:right w:val="none" w:sz="0" w:space="0" w:color="auto"/>
      </w:divBdr>
    </w:div>
    <w:div w:id="1770662742">
      <w:bodyDiv w:val="1"/>
      <w:marLeft w:val="0"/>
      <w:marRight w:val="0"/>
      <w:marTop w:val="0"/>
      <w:marBottom w:val="0"/>
      <w:divBdr>
        <w:top w:val="none" w:sz="0" w:space="0" w:color="auto"/>
        <w:left w:val="none" w:sz="0" w:space="0" w:color="auto"/>
        <w:bottom w:val="none" w:sz="0" w:space="0" w:color="auto"/>
        <w:right w:val="none" w:sz="0" w:space="0" w:color="auto"/>
      </w:divBdr>
    </w:div>
    <w:div w:id="1844860873">
      <w:bodyDiv w:val="1"/>
      <w:marLeft w:val="0"/>
      <w:marRight w:val="0"/>
      <w:marTop w:val="0"/>
      <w:marBottom w:val="0"/>
      <w:divBdr>
        <w:top w:val="none" w:sz="0" w:space="0" w:color="auto"/>
        <w:left w:val="none" w:sz="0" w:space="0" w:color="auto"/>
        <w:bottom w:val="none" w:sz="0" w:space="0" w:color="auto"/>
        <w:right w:val="none" w:sz="0" w:space="0" w:color="auto"/>
      </w:divBdr>
    </w:div>
    <w:div w:id="1891653422">
      <w:bodyDiv w:val="1"/>
      <w:marLeft w:val="0"/>
      <w:marRight w:val="0"/>
      <w:marTop w:val="0"/>
      <w:marBottom w:val="0"/>
      <w:divBdr>
        <w:top w:val="none" w:sz="0" w:space="0" w:color="auto"/>
        <w:left w:val="none" w:sz="0" w:space="0" w:color="auto"/>
        <w:bottom w:val="none" w:sz="0" w:space="0" w:color="auto"/>
        <w:right w:val="none" w:sz="0" w:space="0" w:color="auto"/>
      </w:divBdr>
    </w:div>
    <w:div w:id="1951011556">
      <w:bodyDiv w:val="1"/>
      <w:marLeft w:val="0"/>
      <w:marRight w:val="0"/>
      <w:marTop w:val="0"/>
      <w:marBottom w:val="0"/>
      <w:divBdr>
        <w:top w:val="none" w:sz="0" w:space="0" w:color="auto"/>
        <w:left w:val="none" w:sz="0" w:space="0" w:color="auto"/>
        <w:bottom w:val="none" w:sz="0" w:space="0" w:color="auto"/>
        <w:right w:val="none" w:sz="0" w:space="0" w:color="auto"/>
      </w:divBdr>
    </w:div>
    <w:div w:id="1978678646">
      <w:bodyDiv w:val="1"/>
      <w:marLeft w:val="0"/>
      <w:marRight w:val="0"/>
      <w:marTop w:val="0"/>
      <w:marBottom w:val="0"/>
      <w:divBdr>
        <w:top w:val="none" w:sz="0" w:space="0" w:color="auto"/>
        <w:left w:val="none" w:sz="0" w:space="0" w:color="auto"/>
        <w:bottom w:val="none" w:sz="0" w:space="0" w:color="auto"/>
        <w:right w:val="none" w:sz="0" w:space="0" w:color="auto"/>
      </w:divBdr>
    </w:div>
    <w:div w:id="1979992268">
      <w:bodyDiv w:val="1"/>
      <w:marLeft w:val="0"/>
      <w:marRight w:val="0"/>
      <w:marTop w:val="0"/>
      <w:marBottom w:val="0"/>
      <w:divBdr>
        <w:top w:val="none" w:sz="0" w:space="0" w:color="auto"/>
        <w:left w:val="none" w:sz="0" w:space="0" w:color="auto"/>
        <w:bottom w:val="none" w:sz="0" w:space="0" w:color="auto"/>
        <w:right w:val="none" w:sz="0" w:space="0" w:color="auto"/>
      </w:divBdr>
    </w:div>
    <w:div w:id="2019581394">
      <w:bodyDiv w:val="1"/>
      <w:marLeft w:val="0"/>
      <w:marRight w:val="0"/>
      <w:marTop w:val="0"/>
      <w:marBottom w:val="0"/>
      <w:divBdr>
        <w:top w:val="none" w:sz="0" w:space="0" w:color="auto"/>
        <w:left w:val="none" w:sz="0" w:space="0" w:color="auto"/>
        <w:bottom w:val="none" w:sz="0" w:space="0" w:color="auto"/>
        <w:right w:val="none" w:sz="0" w:space="0" w:color="auto"/>
      </w:divBdr>
    </w:div>
    <w:div w:id="206597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9.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fontTable" Target="fontTable.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D7AB-33C0-4634-A747-E1C950C1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1682</TotalTime>
  <Pages>20</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Aiden</dc:creator>
  <cp:keywords/>
  <dc:description/>
  <cp:lastModifiedBy>Packwood, Nigel</cp:lastModifiedBy>
  <cp:revision>329</cp:revision>
  <cp:lastPrinted>2022-10-18T04:29:00Z</cp:lastPrinted>
  <dcterms:created xsi:type="dcterms:W3CDTF">2021-02-05T00:46:00Z</dcterms:created>
  <dcterms:modified xsi:type="dcterms:W3CDTF">2022-10-25T03:34:00Z</dcterms:modified>
</cp:coreProperties>
</file>