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FD9C" w14:textId="2ACE961A" w:rsidR="00006D3A" w:rsidRPr="00103800" w:rsidRDefault="00006D3A" w:rsidP="00103800">
      <w:pPr>
        <w:pStyle w:val="PartHeading-TOC"/>
      </w:pPr>
      <w:r w:rsidRPr="00103800">
        <w:t>National Blood Authority</w:t>
      </w:r>
    </w:p>
    <w:p w14:paraId="0E921906" w14:textId="5BC526C8" w:rsidR="00913388" w:rsidRPr="00103800" w:rsidRDefault="00913388" w:rsidP="00103800">
      <w:pPr>
        <w:pStyle w:val="PartHeading-TOC"/>
      </w:pPr>
      <w:r w:rsidRPr="00103800">
        <w:t xml:space="preserve">Entity </w:t>
      </w:r>
      <w:r w:rsidR="0087777C">
        <w:t>r</w:t>
      </w:r>
      <w:r w:rsidRPr="00103800">
        <w:t xml:space="preserve">esources and </w:t>
      </w:r>
      <w:r w:rsidR="0087777C">
        <w:t>p</w:t>
      </w:r>
      <w:r w:rsidRPr="00103800">
        <w:t>lanned </w:t>
      </w:r>
      <w:r w:rsidR="0087777C">
        <w:t>p</w:t>
      </w:r>
      <w:r w:rsidRPr="00103800">
        <w:t>erformance</w:t>
      </w:r>
    </w:p>
    <w:p w14:paraId="15D6BC5F" w14:textId="77777777" w:rsidR="00913388" w:rsidRPr="00D55B3A" w:rsidRDefault="00913388" w:rsidP="00913388">
      <w:pPr>
        <w:rPr>
          <w:color w:val="000000" w:themeColor="text1"/>
        </w:rPr>
      </w:pPr>
      <w:r w:rsidRPr="00D55B3A">
        <w:rPr>
          <w:color w:val="000000" w:themeColor="text1"/>
        </w:rPr>
        <w:br w:type="page"/>
      </w:r>
    </w:p>
    <w:p w14:paraId="6A053D09" w14:textId="77777777" w:rsidR="00913388" w:rsidRPr="00D55B3A" w:rsidRDefault="00913388" w:rsidP="00913388">
      <w:pPr>
        <w:rPr>
          <w:color w:val="000000" w:themeColor="text1"/>
        </w:rPr>
      </w:pPr>
    </w:p>
    <w:p w14:paraId="660368C5" w14:textId="77777777" w:rsidR="00913388" w:rsidRPr="00D55B3A" w:rsidRDefault="00913388">
      <w:pPr>
        <w:rPr>
          <w:color w:val="000000" w:themeColor="text1"/>
        </w:rPr>
        <w:sectPr w:rsidR="00913388" w:rsidRPr="00D55B3A" w:rsidSect="00C17B91">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301"/>
          <w:cols w:space="708"/>
          <w:docGrid w:linePitch="360"/>
        </w:sectPr>
      </w:pPr>
    </w:p>
    <w:p w14:paraId="2BD739FD" w14:textId="427AAEB2" w:rsidR="00006D3A" w:rsidRDefault="00006D3A" w:rsidP="00F67DA5">
      <w:pPr>
        <w:pStyle w:val="Heading1"/>
      </w:pPr>
      <w:r w:rsidRPr="00D55B3A">
        <w:lastRenderedPageBreak/>
        <w:t>National Blood Authority</w:t>
      </w:r>
    </w:p>
    <w:p w14:paraId="015E9545" w14:textId="63C7C1B1" w:rsidR="00C17B91" w:rsidRDefault="00913388">
      <w:pPr>
        <w:pStyle w:val="TOC1"/>
        <w:rPr>
          <w:rFonts w:asciiTheme="minorHAnsi" w:eastAsiaTheme="minorEastAsia" w:hAnsiTheme="minorHAnsi" w:cstheme="minorBidi"/>
          <w:b w:val="0"/>
          <w:color w:val="auto"/>
          <w:sz w:val="22"/>
          <w:szCs w:val="22"/>
        </w:rPr>
      </w:pPr>
      <w:r w:rsidRPr="00D55B3A">
        <w:rPr>
          <w:rFonts w:ascii="Arial" w:hAnsi="Arial" w:cs="Arial"/>
          <w:color w:val="000000" w:themeColor="text1"/>
        </w:rPr>
        <w:fldChar w:fldCharType="begin"/>
      </w:r>
      <w:r w:rsidRPr="00D55B3A">
        <w:rPr>
          <w:rFonts w:ascii="Arial" w:hAnsi="Arial" w:cs="Arial"/>
          <w:color w:val="000000" w:themeColor="text1"/>
        </w:rPr>
        <w:instrText xml:space="preserve"> TOC \h \z \t "Heading 2,1,Heading 3,2" </w:instrText>
      </w:r>
      <w:r w:rsidRPr="00D55B3A">
        <w:rPr>
          <w:rFonts w:ascii="Arial" w:hAnsi="Arial" w:cs="Arial"/>
          <w:color w:val="000000" w:themeColor="text1"/>
        </w:rPr>
        <w:fldChar w:fldCharType="separate"/>
      </w:r>
      <w:hyperlink w:anchor="_Toc117407391" w:history="1">
        <w:r w:rsidR="00C17B91" w:rsidRPr="00F34B23">
          <w:rPr>
            <w:rStyle w:val="Hyperlink"/>
          </w:rPr>
          <w:t>Section 1: Entity overview and resources</w:t>
        </w:r>
        <w:r w:rsidR="00C17B91">
          <w:rPr>
            <w:webHidden/>
          </w:rPr>
          <w:tab/>
        </w:r>
        <w:r w:rsidR="00C17B91">
          <w:rPr>
            <w:webHidden/>
          </w:rPr>
          <w:fldChar w:fldCharType="begin"/>
        </w:r>
        <w:r w:rsidR="00C17B91">
          <w:rPr>
            <w:webHidden/>
          </w:rPr>
          <w:instrText xml:space="preserve"> PAGEREF _Toc117407391 \h </w:instrText>
        </w:r>
        <w:r w:rsidR="00C17B91">
          <w:rPr>
            <w:webHidden/>
          </w:rPr>
        </w:r>
        <w:r w:rsidR="00C17B91">
          <w:rPr>
            <w:webHidden/>
          </w:rPr>
          <w:fldChar w:fldCharType="separate"/>
        </w:r>
        <w:r w:rsidR="00C17B91">
          <w:rPr>
            <w:webHidden/>
          </w:rPr>
          <w:t>304</w:t>
        </w:r>
        <w:r w:rsidR="00C17B91">
          <w:rPr>
            <w:webHidden/>
          </w:rPr>
          <w:fldChar w:fldCharType="end"/>
        </w:r>
      </w:hyperlink>
    </w:p>
    <w:p w14:paraId="2491361C" w14:textId="3EF27D6B" w:rsidR="00C17B91" w:rsidRDefault="00F3095E">
      <w:pPr>
        <w:pStyle w:val="TOC2"/>
        <w:rPr>
          <w:rFonts w:asciiTheme="minorHAnsi" w:eastAsiaTheme="minorEastAsia" w:hAnsiTheme="minorHAnsi" w:cstheme="minorBidi"/>
          <w:noProof/>
          <w:color w:val="auto"/>
          <w:sz w:val="22"/>
          <w:szCs w:val="22"/>
        </w:rPr>
      </w:pPr>
      <w:hyperlink w:anchor="_Toc117407392" w:history="1">
        <w:r w:rsidR="00C17B91" w:rsidRPr="00F34B23">
          <w:rPr>
            <w:rStyle w:val="Hyperlink"/>
            <w:noProof/>
          </w:rPr>
          <w:t>1.1</w:t>
        </w:r>
        <w:r w:rsidR="00C17B91">
          <w:rPr>
            <w:rFonts w:asciiTheme="minorHAnsi" w:eastAsiaTheme="minorEastAsia" w:hAnsiTheme="minorHAnsi" w:cstheme="minorBidi"/>
            <w:noProof/>
            <w:color w:val="auto"/>
            <w:sz w:val="22"/>
            <w:szCs w:val="22"/>
          </w:rPr>
          <w:tab/>
        </w:r>
        <w:r w:rsidR="00C17B91" w:rsidRPr="00F34B23">
          <w:rPr>
            <w:rStyle w:val="Hyperlink"/>
            <w:noProof/>
          </w:rPr>
          <w:t>Strategic direction statement</w:t>
        </w:r>
        <w:r w:rsidR="00C17B91">
          <w:rPr>
            <w:noProof/>
            <w:webHidden/>
          </w:rPr>
          <w:tab/>
        </w:r>
        <w:r w:rsidR="00C17B91">
          <w:rPr>
            <w:noProof/>
            <w:webHidden/>
          </w:rPr>
          <w:fldChar w:fldCharType="begin"/>
        </w:r>
        <w:r w:rsidR="00C17B91">
          <w:rPr>
            <w:noProof/>
            <w:webHidden/>
          </w:rPr>
          <w:instrText xml:space="preserve"> PAGEREF _Toc117407392 \h </w:instrText>
        </w:r>
        <w:r w:rsidR="00C17B91">
          <w:rPr>
            <w:noProof/>
            <w:webHidden/>
          </w:rPr>
        </w:r>
        <w:r w:rsidR="00C17B91">
          <w:rPr>
            <w:noProof/>
            <w:webHidden/>
          </w:rPr>
          <w:fldChar w:fldCharType="separate"/>
        </w:r>
        <w:r w:rsidR="00C17B91">
          <w:rPr>
            <w:noProof/>
            <w:webHidden/>
          </w:rPr>
          <w:t>304</w:t>
        </w:r>
        <w:r w:rsidR="00C17B91">
          <w:rPr>
            <w:noProof/>
            <w:webHidden/>
          </w:rPr>
          <w:fldChar w:fldCharType="end"/>
        </w:r>
      </w:hyperlink>
    </w:p>
    <w:p w14:paraId="71D592EE" w14:textId="1ADCC332" w:rsidR="00C17B91" w:rsidRDefault="00F3095E">
      <w:pPr>
        <w:pStyle w:val="TOC2"/>
        <w:rPr>
          <w:rFonts w:asciiTheme="minorHAnsi" w:eastAsiaTheme="minorEastAsia" w:hAnsiTheme="minorHAnsi" w:cstheme="minorBidi"/>
          <w:noProof/>
          <w:color w:val="auto"/>
          <w:sz w:val="22"/>
          <w:szCs w:val="22"/>
        </w:rPr>
      </w:pPr>
      <w:hyperlink w:anchor="_Toc117407393" w:history="1">
        <w:r w:rsidR="00C17B91" w:rsidRPr="00F34B23">
          <w:rPr>
            <w:rStyle w:val="Hyperlink"/>
            <w:noProof/>
          </w:rPr>
          <w:t>1.2</w:t>
        </w:r>
        <w:r w:rsidR="00C17B91">
          <w:rPr>
            <w:rFonts w:asciiTheme="minorHAnsi" w:eastAsiaTheme="minorEastAsia" w:hAnsiTheme="minorHAnsi" w:cstheme="minorBidi"/>
            <w:noProof/>
            <w:color w:val="auto"/>
            <w:sz w:val="22"/>
            <w:szCs w:val="22"/>
          </w:rPr>
          <w:tab/>
        </w:r>
        <w:r w:rsidR="00C17B91" w:rsidRPr="00F34B23">
          <w:rPr>
            <w:rStyle w:val="Hyperlink"/>
            <w:noProof/>
          </w:rPr>
          <w:t>Entity resource statement</w:t>
        </w:r>
        <w:r w:rsidR="00C17B91">
          <w:rPr>
            <w:noProof/>
            <w:webHidden/>
          </w:rPr>
          <w:tab/>
        </w:r>
        <w:r w:rsidR="00C17B91">
          <w:rPr>
            <w:noProof/>
            <w:webHidden/>
          </w:rPr>
          <w:fldChar w:fldCharType="begin"/>
        </w:r>
        <w:r w:rsidR="00C17B91">
          <w:rPr>
            <w:noProof/>
            <w:webHidden/>
          </w:rPr>
          <w:instrText xml:space="preserve"> PAGEREF _Toc117407393 \h </w:instrText>
        </w:r>
        <w:r w:rsidR="00C17B91">
          <w:rPr>
            <w:noProof/>
            <w:webHidden/>
          </w:rPr>
        </w:r>
        <w:r w:rsidR="00C17B91">
          <w:rPr>
            <w:noProof/>
            <w:webHidden/>
          </w:rPr>
          <w:fldChar w:fldCharType="separate"/>
        </w:r>
        <w:r w:rsidR="00C17B91">
          <w:rPr>
            <w:noProof/>
            <w:webHidden/>
          </w:rPr>
          <w:t>305</w:t>
        </w:r>
        <w:r w:rsidR="00C17B91">
          <w:rPr>
            <w:noProof/>
            <w:webHidden/>
          </w:rPr>
          <w:fldChar w:fldCharType="end"/>
        </w:r>
      </w:hyperlink>
    </w:p>
    <w:p w14:paraId="2972BA19" w14:textId="699D1DBD" w:rsidR="00C17B91" w:rsidRDefault="00F3095E">
      <w:pPr>
        <w:pStyle w:val="TOC2"/>
        <w:rPr>
          <w:rFonts w:asciiTheme="minorHAnsi" w:eastAsiaTheme="minorEastAsia" w:hAnsiTheme="minorHAnsi" w:cstheme="minorBidi"/>
          <w:noProof/>
          <w:color w:val="auto"/>
          <w:sz w:val="22"/>
          <w:szCs w:val="22"/>
        </w:rPr>
      </w:pPr>
      <w:hyperlink w:anchor="_Toc117407394" w:history="1">
        <w:r w:rsidR="00C17B91" w:rsidRPr="00F34B23">
          <w:rPr>
            <w:rStyle w:val="Hyperlink"/>
            <w:noProof/>
          </w:rPr>
          <w:t>1.3</w:t>
        </w:r>
        <w:r w:rsidR="00C17B91">
          <w:rPr>
            <w:rFonts w:asciiTheme="minorHAnsi" w:eastAsiaTheme="minorEastAsia" w:hAnsiTheme="minorHAnsi" w:cstheme="minorBidi"/>
            <w:noProof/>
            <w:color w:val="auto"/>
            <w:sz w:val="22"/>
            <w:szCs w:val="22"/>
          </w:rPr>
          <w:tab/>
        </w:r>
        <w:r w:rsidR="00C17B91" w:rsidRPr="00F34B23">
          <w:rPr>
            <w:rStyle w:val="Hyperlink"/>
            <w:noProof/>
          </w:rPr>
          <w:t>Budget measures</w:t>
        </w:r>
        <w:r w:rsidR="00C17B91">
          <w:rPr>
            <w:noProof/>
            <w:webHidden/>
          </w:rPr>
          <w:tab/>
        </w:r>
        <w:r w:rsidR="00C17B91">
          <w:rPr>
            <w:noProof/>
            <w:webHidden/>
          </w:rPr>
          <w:fldChar w:fldCharType="begin"/>
        </w:r>
        <w:r w:rsidR="00C17B91">
          <w:rPr>
            <w:noProof/>
            <w:webHidden/>
          </w:rPr>
          <w:instrText xml:space="preserve"> PAGEREF _Toc117407394 \h </w:instrText>
        </w:r>
        <w:r w:rsidR="00C17B91">
          <w:rPr>
            <w:noProof/>
            <w:webHidden/>
          </w:rPr>
        </w:r>
        <w:r w:rsidR="00C17B91">
          <w:rPr>
            <w:noProof/>
            <w:webHidden/>
          </w:rPr>
          <w:fldChar w:fldCharType="separate"/>
        </w:r>
        <w:r w:rsidR="00C17B91">
          <w:rPr>
            <w:noProof/>
            <w:webHidden/>
          </w:rPr>
          <w:t>307</w:t>
        </w:r>
        <w:r w:rsidR="00C17B91">
          <w:rPr>
            <w:noProof/>
            <w:webHidden/>
          </w:rPr>
          <w:fldChar w:fldCharType="end"/>
        </w:r>
      </w:hyperlink>
    </w:p>
    <w:p w14:paraId="315A1618" w14:textId="14BAA2F6" w:rsidR="00C17B91" w:rsidRDefault="00F3095E">
      <w:pPr>
        <w:pStyle w:val="TOC1"/>
        <w:rPr>
          <w:rFonts w:asciiTheme="minorHAnsi" w:eastAsiaTheme="minorEastAsia" w:hAnsiTheme="minorHAnsi" w:cstheme="minorBidi"/>
          <w:b w:val="0"/>
          <w:color w:val="auto"/>
          <w:sz w:val="22"/>
          <w:szCs w:val="22"/>
        </w:rPr>
      </w:pPr>
      <w:hyperlink w:anchor="_Toc117407395" w:history="1">
        <w:r w:rsidR="00C17B91" w:rsidRPr="00F34B23">
          <w:rPr>
            <w:rStyle w:val="Hyperlink"/>
          </w:rPr>
          <w:t>Section 2: Outcomes and planned performance</w:t>
        </w:r>
        <w:r w:rsidR="00C17B91">
          <w:rPr>
            <w:webHidden/>
          </w:rPr>
          <w:tab/>
        </w:r>
        <w:r w:rsidR="00C17B91">
          <w:rPr>
            <w:webHidden/>
          </w:rPr>
          <w:fldChar w:fldCharType="begin"/>
        </w:r>
        <w:r w:rsidR="00C17B91">
          <w:rPr>
            <w:webHidden/>
          </w:rPr>
          <w:instrText xml:space="preserve"> PAGEREF _Toc117407395 \h </w:instrText>
        </w:r>
        <w:r w:rsidR="00C17B91">
          <w:rPr>
            <w:webHidden/>
          </w:rPr>
        </w:r>
        <w:r w:rsidR="00C17B91">
          <w:rPr>
            <w:webHidden/>
          </w:rPr>
          <w:fldChar w:fldCharType="separate"/>
        </w:r>
        <w:r w:rsidR="00C17B91">
          <w:rPr>
            <w:webHidden/>
          </w:rPr>
          <w:t>308</w:t>
        </w:r>
        <w:r w:rsidR="00C17B91">
          <w:rPr>
            <w:webHidden/>
          </w:rPr>
          <w:fldChar w:fldCharType="end"/>
        </w:r>
      </w:hyperlink>
    </w:p>
    <w:p w14:paraId="680E555B" w14:textId="7374E730" w:rsidR="00C17B91" w:rsidRDefault="00F3095E">
      <w:pPr>
        <w:pStyle w:val="TOC2"/>
        <w:rPr>
          <w:rFonts w:asciiTheme="minorHAnsi" w:eastAsiaTheme="minorEastAsia" w:hAnsiTheme="minorHAnsi" w:cstheme="minorBidi"/>
          <w:noProof/>
          <w:color w:val="auto"/>
          <w:sz w:val="22"/>
          <w:szCs w:val="22"/>
        </w:rPr>
      </w:pPr>
      <w:hyperlink w:anchor="_Toc117407396" w:history="1">
        <w:r w:rsidR="00C17B91" w:rsidRPr="00F34B23">
          <w:rPr>
            <w:rStyle w:val="Hyperlink"/>
            <w:noProof/>
          </w:rPr>
          <w:t>2.1</w:t>
        </w:r>
        <w:r w:rsidR="00C17B91">
          <w:rPr>
            <w:rFonts w:asciiTheme="minorHAnsi" w:eastAsiaTheme="minorEastAsia" w:hAnsiTheme="minorHAnsi" w:cstheme="minorBidi"/>
            <w:noProof/>
            <w:color w:val="auto"/>
            <w:sz w:val="22"/>
            <w:szCs w:val="22"/>
          </w:rPr>
          <w:tab/>
        </w:r>
        <w:r w:rsidR="00C17B91" w:rsidRPr="00F34B23">
          <w:rPr>
            <w:rStyle w:val="Hyperlink"/>
            <w:noProof/>
          </w:rPr>
          <w:t>Budgeted expenses and performance</w:t>
        </w:r>
        <w:r w:rsidR="00C17B91">
          <w:rPr>
            <w:noProof/>
            <w:webHidden/>
          </w:rPr>
          <w:tab/>
        </w:r>
        <w:r w:rsidR="00C17B91">
          <w:rPr>
            <w:noProof/>
            <w:webHidden/>
          </w:rPr>
          <w:fldChar w:fldCharType="begin"/>
        </w:r>
        <w:r w:rsidR="00C17B91">
          <w:rPr>
            <w:noProof/>
            <w:webHidden/>
          </w:rPr>
          <w:instrText xml:space="preserve"> PAGEREF _Toc117407396 \h </w:instrText>
        </w:r>
        <w:r w:rsidR="00C17B91">
          <w:rPr>
            <w:noProof/>
            <w:webHidden/>
          </w:rPr>
        </w:r>
        <w:r w:rsidR="00C17B91">
          <w:rPr>
            <w:noProof/>
            <w:webHidden/>
          </w:rPr>
          <w:fldChar w:fldCharType="separate"/>
        </w:r>
        <w:r w:rsidR="00C17B91">
          <w:rPr>
            <w:noProof/>
            <w:webHidden/>
          </w:rPr>
          <w:t>308</w:t>
        </w:r>
        <w:r w:rsidR="00C17B91">
          <w:rPr>
            <w:noProof/>
            <w:webHidden/>
          </w:rPr>
          <w:fldChar w:fldCharType="end"/>
        </w:r>
      </w:hyperlink>
    </w:p>
    <w:p w14:paraId="08ED7E92" w14:textId="430D29E8" w:rsidR="00C17B91" w:rsidRDefault="00F3095E">
      <w:pPr>
        <w:pStyle w:val="TOC1"/>
        <w:rPr>
          <w:rFonts w:asciiTheme="minorHAnsi" w:eastAsiaTheme="minorEastAsia" w:hAnsiTheme="minorHAnsi" w:cstheme="minorBidi"/>
          <w:b w:val="0"/>
          <w:color w:val="auto"/>
          <w:sz w:val="22"/>
          <w:szCs w:val="22"/>
        </w:rPr>
      </w:pPr>
      <w:hyperlink w:anchor="_Toc117407397" w:history="1">
        <w:r w:rsidR="00C17B91" w:rsidRPr="00F34B23">
          <w:rPr>
            <w:rStyle w:val="Hyperlink"/>
          </w:rPr>
          <w:t>Section 3: Budgeted financial statements</w:t>
        </w:r>
        <w:r w:rsidR="00C17B91">
          <w:rPr>
            <w:webHidden/>
          </w:rPr>
          <w:tab/>
        </w:r>
        <w:r w:rsidR="00C17B91">
          <w:rPr>
            <w:webHidden/>
          </w:rPr>
          <w:fldChar w:fldCharType="begin"/>
        </w:r>
        <w:r w:rsidR="00C17B91">
          <w:rPr>
            <w:webHidden/>
          </w:rPr>
          <w:instrText xml:space="preserve"> PAGEREF _Toc117407397 \h </w:instrText>
        </w:r>
        <w:r w:rsidR="00C17B91">
          <w:rPr>
            <w:webHidden/>
          </w:rPr>
        </w:r>
        <w:r w:rsidR="00C17B91">
          <w:rPr>
            <w:webHidden/>
          </w:rPr>
          <w:fldChar w:fldCharType="separate"/>
        </w:r>
        <w:r w:rsidR="00C17B91">
          <w:rPr>
            <w:webHidden/>
          </w:rPr>
          <w:t>314</w:t>
        </w:r>
        <w:r w:rsidR="00C17B91">
          <w:rPr>
            <w:webHidden/>
          </w:rPr>
          <w:fldChar w:fldCharType="end"/>
        </w:r>
      </w:hyperlink>
    </w:p>
    <w:p w14:paraId="1A1D59D8" w14:textId="311A20D2" w:rsidR="00C17B91" w:rsidRDefault="00F3095E">
      <w:pPr>
        <w:pStyle w:val="TOC2"/>
        <w:rPr>
          <w:rFonts w:asciiTheme="minorHAnsi" w:eastAsiaTheme="minorEastAsia" w:hAnsiTheme="minorHAnsi" w:cstheme="minorBidi"/>
          <w:noProof/>
          <w:color w:val="auto"/>
          <w:sz w:val="22"/>
          <w:szCs w:val="22"/>
        </w:rPr>
      </w:pPr>
      <w:hyperlink w:anchor="_Toc117407398" w:history="1">
        <w:r w:rsidR="00C17B91" w:rsidRPr="00F34B23">
          <w:rPr>
            <w:rStyle w:val="Hyperlink"/>
            <w:noProof/>
          </w:rPr>
          <w:t>3.1</w:t>
        </w:r>
        <w:r w:rsidR="00C17B91">
          <w:rPr>
            <w:rFonts w:asciiTheme="minorHAnsi" w:eastAsiaTheme="minorEastAsia" w:hAnsiTheme="minorHAnsi" w:cstheme="minorBidi"/>
            <w:noProof/>
            <w:color w:val="auto"/>
            <w:sz w:val="22"/>
            <w:szCs w:val="22"/>
          </w:rPr>
          <w:tab/>
        </w:r>
        <w:r w:rsidR="00C17B91" w:rsidRPr="00F34B23">
          <w:rPr>
            <w:rStyle w:val="Hyperlink"/>
            <w:noProof/>
          </w:rPr>
          <w:t>Budgeted financial statements</w:t>
        </w:r>
        <w:r w:rsidR="00C17B91">
          <w:rPr>
            <w:noProof/>
            <w:webHidden/>
          </w:rPr>
          <w:tab/>
        </w:r>
        <w:r w:rsidR="00C17B91">
          <w:rPr>
            <w:noProof/>
            <w:webHidden/>
          </w:rPr>
          <w:fldChar w:fldCharType="begin"/>
        </w:r>
        <w:r w:rsidR="00C17B91">
          <w:rPr>
            <w:noProof/>
            <w:webHidden/>
          </w:rPr>
          <w:instrText xml:space="preserve"> PAGEREF _Toc117407398 \h </w:instrText>
        </w:r>
        <w:r w:rsidR="00C17B91">
          <w:rPr>
            <w:noProof/>
            <w:webHidden/>
          </w:rPr>
        </w:r>
        <w:r w:rsidR="00C17B91">
          <w:rPr>
            <w:noProof/>
            <w:webHidden/>
          </w:rPr>
          <w:fldChar w:fldCharType="separate"/>
        </w:r>
        <w:r w:rsidR="00C17B91">
          <w:rPr>
            <w:noProof/>
            <w:webHidden/>
          </w:rPr>
          <w:t>314</w:t>
        </w:r>
        <w:r w:rsidR="00C17B91">
          <w:rPr>
            <w:noProof/>
            <w:webHidden/>
          </w:rPr>
          <w:fldChar w:fldCharType="end"/>
        </w:r>
      </w:hyperlink>
    </w:p>
    <w:p w14:paraId="730C6CC9" w14:textId="12BE7AA4" w:rsidR="00C17B91" w:rsidRDefault="00F3095E">
      <w:pPr>
        <w:pStyle w:val="TOC2"/>
        <w:rPr>
          <w:rFonts w:asciiTheme="minorHAnsi" w:eastAsiaTheme="minorEastAsia" w:hAnsiTheme="minorHAnsi" w:cstheme="minorBidi"/>
          <w:noProof/>
          <w:color w:val="auto"/>
          <w:sz w:val="22"/>
          <w:szCs w:val="22"/>
        </w:rPr>
      </w:pPr>
      <w:hyperlink w:anchor="_Toc117407399" w:history="1">
        <w:r w:rsidR="00C17B91" w:rsidRPr="00F34B23">
          <w:rPr>
            <w:rStyle w:val="Hyperlink"/>
            <w:noProof/>
          </w:rPr>
          <w:t>3.2</w:t>
        </w:r>
        <w:r w:rsidR="00C17B91">
          <w:rPr>
            <w:rFonts w:asciiTheme="minorHAnsi" w:eastAsiaTheme="minorEastAsia" w:hAnsiTheme="minorHAnsi" w:cstheme="minorBidi"/>
            <w:noProof/>
            <w:color w:val="auto"/>
            <w:sz w:val="22"/>
            <w:szCs w:val="22"/>
          </w:rPr>
          <w:tab/>
        </w:r>
        <w:r w:rsidR="00C17B91" w:rsidRPr="00F34B23">
          <w:rPr>
            <w:rStyle w:val="Hyperlink"/>
            <w:noProof/>
          </w:rPr>
          <w:t>Budgeted financial statements tables</w:t>
        </w:r>
        <w:r w:rsidR="00C17B91">
          <w:rPr>
            <w:noProof/>
            <w:webHidden/>
          </w:rPr>
          <w:tab/>
        </w:r>
        <w:r w:rsidR="00C17B91">
          <w:rPr>
            <w:noProof/>
            <w:webHidden/>
          </w:rPr>
          <w:fldChar w:fldCharType="begin"/>
        </w:r>
        <w:r w:rsidR="00C17B91">
          <w:rPr>
            <w:noProof/>
            <w:webHidden/>
          </w:rPr>
          <w:instrText xml:space="preserve"> PAGEREF _Toc117407399 \h </w:instrText>
        </w:r>
        <w:r w:rsidR="00C17B91">
          <w:rPr>
            <w:noProof/>
            <w:webHidden/>
          </w:rPr>
        </w:r>
        <w:r w:rsidR="00C17B91">
          <w:rPr>
            <w:noProof/>
            <w:webHidden/>
          </w:rPr>
          <w:fldChar w:fldCharType="separate"/>
        </w:r>
        <w:r w:rsidR="00C17B91">
          <w:rPr>
            <w:noProof/>
            <w:webHidden/>
          </w:rPr>
          <w:t>315</w:t>
        </w:r>
        <w:r w:rsidR="00C17B91">
          <w:rPr>
            <w:noProof/>
            <w:webHidden/>
          </w:rPr>
          <w:fldChar w:fldCharType="end"/>
        </w:r>
      </w:hyperlink>
    </w:p>
    <w:p w14:paraId="14D812F1" w14:textId="63C7C1B1" w:rsidR="0024539A" w:rsidRPr="00D55B3A" w:rsidRDefault="00913388" w:rsidP="00913388">
      <w:pPr>
        <w:rPr>
          <w:rFonts w:ascii="Arial" w:hAnsi="Arial" w:cs="Arial"/>
          <w:b/>
          <w:color w:val="000000" w:themeColor="text1"/>
        </w:rPr>
        <w:sectPr w:rsidR="0024539A" w:rsidRPr="00D55B3A"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D55B3A">
        <w:rPr>
          <w:rFonts w:ascii="Arial" w:hAnsi="Arial" w:cs="Arial"/>
          <w:b/>
          <w:color w:val="000000" w:themeColor="text1"/>
        </w:rPr>
        <w:fldChar w:fldCharType="end"/>
      </w:r>
    </w:p>
    <w:p w14:paraId="0DFED35A" w14:textId="1CCB7763" w:rsidR="0024539A" w:rsidRPr="00D55B3A" w:rsidRDefault="0024539A" w:rsidP="00F779C7">
      <w:pPr>
        <w:pStyle w:val="Heading2"/>
      </w:pPr>
      <w:bookmarkStart w:id="0" w:name="_Toc117407391"/>
      <w:r w:rsidRPr="00D55B3A">
        <w:lastRenderedPageBreak/>
        <w:t xml:space="preserve">Section 1: Entity </w:t>
      </w:r>
      <w:r w:rsidR="00F779C7">
        <w:t>o</w:t>
      </w:r>
      <w:r w:rsidRPr="00D55B3A">
        <w:t xml:space="preserve">verview and </w:t>
      </w:r>
      <w:r w:rsidR="00F779C7">
        <w:t>r</w:t>
      </w:r>
      <w:r w:rsidRPr="00D55B3A">
        <w:t>esources</w:t>
      </w:r>
      <w:bookmarkEnd w:id="0"/>
    </w:p>
    <w:p w14:paraId="03FEEA82" w14:textId="37AB525A" w:rsidR="0024539A" w:rsidRPr="00D55B3A" w:rsidRDefault="0024539A" w:rsidP="00F779C7">
      <w:pPr>
        <w:pStyle w:val="Heading3"/>
      </w:pPr>
      <w:bookmarkStart w:id="1" w:name="_Toc117407392"/>
      <w:r w:rsidRPr="00D55B3A">
        <w:t>1.1</w:t>
      </w:r>
      <w:r w:rsidRPr="00D55B3A">
        <w:tab/>
        <w:t xml:space="preserve">Strategic </w:t>
      </w:r>
      <w:r w:rsidR="00C73F17">
        <w:t>d</w:t>
      </w:r>
      <w:r w:rsidRPr="00D55B3A">
        <w:t xml:space="preserve">irection </w:t>
      </w:r>
      <w:r w:rsidR="00C73F17">
        <w:t>s</w:t>
      </w:r>
      <w:r w:rsidRPr="00D55B3A">
        <w:t>tatement</w:t>
      </w:r>
      <w:r w:rsidRPr="00D55B3A">
        <w:rPr>
          <w:vertAlign w:val="superscript"/>
        </w:rPr>
        <w:footnoteReference w:id="1"/>
      </w:r>
      <w:bookmarkEnd w:id="1"/>
    </w:p>
    <w:p w14:paraId="6577234A" w14:textId="744BF2E7" w:rsidR="00006D3A" w:rsidRDefault="00006D3A" w:rsidP="001954BE">
      <w:pPr>
        <w:rPr>
          <w:color w:val="000000" w:themeColor="text1"/>
        </w:rPr>
      </w:pPr>
      <w:r w:rsidRPr="00D55B3A">
        <w:rPr>
          <w:color w:val="000000" w:themeColor="text1"/>
        </w:rPr>
        <w:t xml:space="preserve">The focus of the National Blood Authority (NBA) is saving and improving Australian lives through a world-class blood supply. On behalf of all Australian governments, the NBA pursues this focus through the following </w:t>
      </w:r>
      <w:r w:rsidR="0023657E" w:rsidRPr="00D55B3A">
        <w:rPr>
          <w:color w:val="000000" w:themeColor="text1"/>
        </w:rPr>
        <w:t>5</w:t>
      </w:r>
      <w:r w:rsidRPr="00D55B3A">
        <w:rPr>
          <w:color w:val="000000" w:themeColor="text1"/>
        </w:rPr>
        <w:t xml:space="preserve"> strategies:</w:t>
      </w:r>
    </w:p>
    <w:p w14:paraId="2691B237"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P</w:t>
      </w:r>
      <w:r w:rsidR="00006D3A" w:rsidRPr="00D55B3A">
        <w:rPr>
          <w:color w:val="000000" w:themeColor="text1"/>
        </w:rPr>
        <w:t>rovide a safe, secure and affordable supply of blood and bloo</w:t>
      </w:r>
      <w:r>
        <w:rPr>
          <w:color w:val="000000" w:themeColor="text1"/>
        </w:rPr>
        <w:t>d-related products and services.</w:t>
      </w:r>
    </w:p>
    <w:p w14:paraId="3E6EA3C6"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D</w:t>
      </w:r>
      <w:r w:rsidR="00006D3A" w:rsidRPr="00D55B3A">
        <w:rPr>
          <w:color w:val="000000" w:themeColor="text1"/>
        </w:rPr>
        <w:t>rive performance improvement</w:t>
      </w:r>
      <w:r>
        <w:rPr>
          <w:color w:val="000000" w:themeColor="text1"/>
        </w:rPr>
        <w:t xml:space="preserve"> in the Australian blood sector.</w:t>
      </w:r>
    </w:p>
    <w:p w14:paraId="358DBAD2"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P</w:t>
      </w:r>
      <w:r w:rsidR="00006D3A" w:rsidRPr="00D55B3A">
        <w:rPr>
          <w:color w:val="000000" w:themeColor="text1"/>
        </w:rPr>
        <w:t>romote a best practice model of management and use of blood and</w:t>
      </w:r>
      <w:r w:rsidR="00006D3A" w:rsidRPr="00D55B3A">
        <w:rPr>
          <w:color w:val="000000" w:themeColor="text1"/>
        </w:rPr>
        <w:br/>
        <w:t>bloo</w:t>
      </w:r>
      <w:r>
        <w:rPr>
          <w:color w:val="000000" w:themeColor="text1"/>
        </w:rPr>
        <w:t>d-related products and services.</w:t>
      </w:r>
    </w:p>
    <w:p w14:paraId="1944E69A"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D</w:t>
      </w:r>
      <w:r w:rsidR="00006D3A" w:rsidRPr="00D55B3A">
        <w:rPr>
          <w:color w:val="000000" w:themeColor="text1"/>
        </w:rPr>
        <w:t>evelop policy and provide policy advice on the sustain</w:t>
      </w:r>
      <w:r>
        <w:rPr>
          <w:color w:val="000000" w:themeColor="text1"/>
        </w:rPr>
        <w:t>ability of the blood sector.</w:t>
      </w:r>
    </w:p>
    <w:p w14:paraId="034F7365" w14:textId="05C0E8F3" w:rsidR="00006D3A" w:rsidRPr="00D55B3A" w:rsidRDefault="002C5730" w:rsidP="0087547C">
      <w:pPr>
        <w:pStyle w:val="ListParagraph"/>
        <w:numPr>
          <w:ilvl w:val="0"/>
          <w:numId w:val="6"/>
        </w:numPr>
        <w:spacing w:before="40"/>
        <w:ind w:left="284" w:hanging="284"/>
        <w:contextualSpacing w:val="0"/>
        <w:rPr>
          <w:color w:val="000000" w:themeColor="text1"/>
        </w:rPr>
      </w:pPr>
      <w:r>
        <w:rPr>
          <w:color w:val="000000" w:themeColor="text1"/>
        </w:rPr>
        <w:t>B</w:t>
      </w:r>
      <w:r w:rsidR="00006D3A" w:rsidRPr="00D55B3A">
        <w:rPr>
          <w:color w:val="000000" w:themeColor="text1"/>
        </w:rPr>
        <w:t>e a high</w:t>
      </w:r>
      <w:r w:rsidR="00753120">
        <w:rPr>
          <w:color w:val="000000" w:themeColor="text1"/>
        </w:rPr>
        <w:t xml:space="preserve"> </w:t>
      </w:r>
      <w:r w:rsidR="00006D3A" w:rsidRPr="00D55B3A">
        <w:rPr>
          <w:color w:val="000000" w:themeColor="text1"/>
        </w:rPr>
        <w:t>performing organisation.</w:t>
      </w:r>
    </w:p>
    <w:p w14:paraId="1A0AAE2E" w14:textId="10DADDEA" w:rsidR="00006D3A" w:rsidRPr="00D55B3A" w:rsidRDefault="0095414A" w:rsidP="001954BE">
      <w:pPr>
        <w:spacing w:before="120"/>
        <w:rPr>
          <w:color w:val="000000" w:themeColor="text1"/>
        </w:rPr>
      </w:pPr>
      <w:r w:rsidRPr="00D55B3A">
        <w:rPr>
          <w:color w:val="000000" w:themeColor="text1"/>
        </w:rPr>
        <w:t xml:space="preserve">In </w:t>
      </w:r>
      <w:r w:rsidR="00C063A0">
        <w:rPr>
          <w:color w:val="000000" w:themeColor="text1"/>
        </w:rPr>
        <w:t>2022–</w:t>
      </w:r>
      <w:r w:rsidR="00566EBD">
        <w:rPr>
          <w:color w:val="000000" w:themeColor="text1"/>
        </w:rPr>
        <w:t>23</w:t>
      </w:r>
      <w:r w:rsidR="00006D3A" w:rsidRPr="00D55B3A">
        <w:rPr>
          <w:color w:val="000000" w:themeColor="text1"/>
        </w:rPr>
        <w:t>, the NBA will continue to negotiate and manage critical contracts for the ongoing supply of fresh blood, as well as for products including fractionated and recombinant blood products</w:t>
      </w:r>
      <w:r w:rsidR="00006D3A" w:rsidRPr="00D55B3A">
        <w:rPr>
          <w:rStyle w:val="FootnoteReference"/>
          <w:rFonts w:ascii="Book Antiqua" w:hAnsi="Book Antiqua"/>
          <w:color w:val="000000" w:themeColor="text1"/>
          <w:sz w:val="20"/>
        </w:rPr>
        <w:footnoteReference w:id="2"/>
      </w:r>
      <w:r w:rsidR="00006D3A" w:rsidRPr="00D55B3A">
        <w:rPr>
          <w:color w:val="000000" w:themeColor="text1"/>
        </w:rPr>
        <w:t>. This includes managing the Deed of Agreement for all blood and related services from the Australian Red Cross Lifeblood (Lifeblood), and managing the substantial funding provided by the Australian Government and state and territory governments for Lifeblood’s operations. It also includes substantial contracts with domestic and multi-national commercial suppliers of blood-related products.</w:t>
      </w:r>
    </w:p>
    <w:p w14:paraId="26C8CEF1" w14:textId="77777777" w:rsidR="00006D3A" w:rsidRPr="00D55B3A" w:rsidRDefault="00006D3A" w:rsidP="00006D3A">
      <w:pPr>
        <w:rPr>
          <w:color w:val="000000" w:themeColor="text1"/>
        </w:rPr>
      </w:pPr>
      <w:r w:rsidRPr="00D55B3A">
        <w:rPr>
          <w:color w:val="000000" w:themeColor="text1"/>
        </w:rPr>
        <w:t xml:space="preserve">The NBA will continue to work with all Australian governments and stakeholders to implement an efficient, demand-driven blood supply system that is highly responsive to clinical needs and based on evidence </w:t>
      </w:r>
      <w:r w:rsidR="000900D8" w:rsidRPr="00D55B3A">
        <w:rPr>
          <w:color w:val="000000" w:themeColor="text1"/>
        </w:rPr>
        <w:t>and good clinical practice. The </w:t>
      </w:r>
      <w:r w:rsidRPr="00D55B3A">
        <w:rPr>
          <w:color w:val="000000" w:themeColor="text1"/>
        </w:rPr>
        <w:t xml:space="preserve">NBA will undertake work to improve the </w:t>
      </w:r>
      <w:r w:rsidR="000900D8" w:rsidRPr="00D55B3A">
        <w:rPr>
          <w:color w:val="000000" w:themeColor="text1"/>
        </w:rPr>
        <w:t>clinical use of blood and blood</w:t>
      </w:r>
      <w:r w:rsidR="000900D8" w:rsidRPr="00D55B3A">
        <w:rPr>
          <w:color w:val="000000" w:themeColor="text1"/>
        </w:rPr>
        <w:noBreakHyphen/>
      </w:r>
      <w:r w:rsidRPr="00D55B3A">
        <w:rPr>
          <w:color w:val="000000" w:themeColor="text1"/>
        </w:rPr>
        <w:t>related products, respond to new and emerging evidence, assess and review new products and therapies</w:t>
      </w:r>
      <w:r w:rsidR="00F53296" w:rsidRPr="00D55B3A">
        <w:rPr>
          <w:color w:val="000000" w:themeColor="text1"/>
        </w:rPr>
        <w:t>,</w:t>
      </w:r>
      <w:r w:rsidRPr="00D55B3A">
        <w:rPr>
          <w:color w:val="000000" w:themeColor="text1"/>
        </w:rPr>
        <w:t xml:space="preserve"> and recognise the growing cost of blood products and the challenges of global supply and demand issues for plasma-derived products.</w:t>
      </w:r>
    </w:p>
    <w:p w14:paraId="00B7AED3" w14:textId="77777777" w:rsidR="00006D3A" w:rsidRPr="00D55B3A" w:rsidRDefault="00006D3A" w:rsidP="00F54982">
      <w:pPr>
        <w:rPr>
          <w:color w:val="000000" w:themeColor="text1"/>
        </w:rPr>
      </w:pPr>
      <w:r w:rsidRPr="00D55B3A">
        <w:rPr>
          <w:color w:val="000000" w:themeColor="text1"/>
        </w:rPr>
        <w:t xml:space="preserve">The role and functions of the NBA are set out in the </w:t>
      </w:r>
      <w:r w:rsidRPr="00D55B3A">
        <w:rPr>
          <w:i/>
          <w:color w:val="000000" w:themeColor="text1"/>
        </w:rPr>
        <w:t>National Blood Authority Act 2003</w:t>
      </w:r>
      <w:r w:rsidRPr="00D55B3A">
        <w:rPr>
          <w:color w:val="000000" w:themeColor="text1"/>
        </w:rPr>
        <w:t xml:space="preserve">. The NBA is a non-corporate Commonwealth entity under the </w:t>
      </w:r>
      <w:r w:rsidRPr="00D55B3A">
        <w:rPr>
          <w:i/>
          <w:color w:val="000000" w:themeColor="text1"/>
        </w:rPr>
        <w:t>Public Governance, Performance and Accountability Act 2013</w:t>
      </w:r>
      <w:r w:rsidRPr="00D55B3A">
        <w:rPr>
          <w:color w:val="000000" w:themeColor="text1"/>
        </w:rPr>
        <w:t xml:space="preserve">. </w:t>
      </w:r>
    </w:p>
    <w:p w14:paraId="21BA7BC4" w14:textId="45F00A8A" w:rsidR="0024539A" w:rsidRPr="00D55B3A" w:rsidRDefault="0024539A" w:rsidP="009A0E67">
      <w:pPr>
        <w:pStyle w:val="Heading3"/>
        <w:pageBreakBefore/>
      </w:pPr>
      <w:bookmarkStart w:id="2" w:name="_Toc117407393"/>
      <w:r w:rsidRPr="00D55B3A">
        <w:lastRenderedPageBreak/>
        <w:t>1.2</w:t>
      </w:r>
      <w:r w:rsidRPr="00D55B3A">
        <w:tab/>
        <w:t xml:space="preserve">Entity </w:t>
      </w:r>
      <w:r w:rsidR="009A0E67">
        <w:t>r</w:t>
      </w:r>
      <w:r w:rsidRPr="00D55B3A">
        <w:t xml:space="preserve">esource </w:t>
      </w:r>
      <w:r w:rsidR="009A0E67">
        <w:t>s</w:t>
      </w:r>
      <w:r w:rsidRPr="00D55B3A">
        <w:t>tatement</w:t>
      </w:r>
      <w:bookmarkEnd w:id="2"/>
    </w:p>
    <w:p w14:paraId="16ECA98F" w14:textId="77777777" w:rsidR="0028784E" w:rsidRPr="0028784E" w:rsidRDefault="0028784E" w:rsidP="0028784E">
      <w:pPr>
        <w:rPr>
          <w:szCs w:val="19"/>
        </w:rPr>
      </w:pPr>
      <w:r w:rsidRPr="0028784E">
        <w:rPr>
          <w:szCs w:val="19"/>
        </w:rPr>
        <w:t>Table 1.1 shows the total funding from all sources available to the entity for its operations and to deliver programs and services on behalf of the Government.</w:t>
      </w:r>
    </w:p>
    <w:p w14:paraId="10319A22" w14:textId="77777777" w:rsidR="0028784E" w:rsidRPr="0028784E" w:rsidRDefault="0028784E" w:rsidP="0028784E">
      <w:pPr>
        <w:rPr>
          <w:szCs w:val="19"/>
        </w:rPr>
      </w:pPr>
      <w:r w:rsidRPr="0028784E">
        <w:rPr>
          <w:szCs w:val="19"/>
        </w:rPr>
        <w:t>The table summarises how resources will be applied by outcome (government strategic policy objectives) and by administered (on behalf of the Government or the public) and departmental (for the entity’s operations) classification.</w:t>
      </w:r>
    </w:p>
    <w:p w14:paraId="59F2D341" w14:textId="77777777" w:rsidR="0028784E" w:rsidRPr="0028784E" w:rsidRDefault="0028784E" w:rsidP="0028784E">
      <w:pPr>
        <w:rPr>
          <w:szCs w:val="19"/>
        </w:rPr>
      </w:pPr>
      <w:r w:rsidRPr="0028784E">
        <w:rPr>
          <w:szCs w:val="19"/>
        </w:rPr>
        <w:t xml:space="preserve">For more detailed information on special accounts and special appropriations, refer to </w:t>
      </w:r>
      <w:r w:rsidRPr="0028784E">
        <w:rPr>
          <w:i/>
          <w:szCs w:val="19"/>
        </w:rPr>
        <w:t>Budget Paper No. 4 – Agency Resourcing</w:t>
      </w:r>
      <w:r w:rsidRPr="0028784E">
        <w:rPr>
          <w:szCs w:val="19"/>
        </w:rPr>
        <w:t>.</w:t>
      </w:r>
    </w:p>
    <w:p w14:paraId="539F5AB3" w14:textId="77777777" w:rsidR="0028784E" w:rsidRPr="0028784E" w:rsidRDefault="0028784E" w:rsidP="0028784E">
      <w:pPr>
        <w:rPr>
          <w:szCs w:val="19"/>
        </w:rPr>
      </w:pPr>
      <w:r w:rsidRPr="0028784E">
        <w:rPr>
          <w:szCs w:val="19"/>
        </w:rPr>
        <w:t>Information in this table is presented on a resourcing (that is, appropriations/cash available) basis, whilst the ‛Budgeted expenses by outcome’ tables in Section 2 and the financial statements in Section 3 are presented on an accrual basis.</w:t>
      </w:r>
    </w:p>
    <w:p w14:paraId="2BB4E216" w14:textId="77777777" w:rsidR="00EA4CB4" w:rsidRDefault="0024539A" w:rsidP="00EA4CB4">
      <w:pPr>
        <w:pStyle w:val="Tablenumberandreference"/>
      </w:pPr>
      <w:r w:rsidRPr="00D55B3A">
        <w:rPr>
          <w:color w:val="000000" w:themeColor="text1"/>
        </w:rPr>
        <w:t xml:space="preserve">Table 1.1: </w:t>
      </w:r>
      <w:r w:rsidR="00006D3A" w:rsidRPr="00D55B3A">
        <w:rPr>
          <w:color w:val="000000" w:themeColor="text1"/>
        </w:rPr>
        <w:t>NBA</w:t>
      </w:r>
      <w:r w:rsidRPr="00D55B3A">
        <w:rPr>
          <w:color w:val="000000" w:themeColor="text1"/>
        </w:rPr>
        <w:t xml:space="preserve"> </w:t>
      </w:r>
      <w:r w:rsidR="00EA4CB4">
        <w:t>r</w:t>
      </w:r>
      <w:r w:rsidR="00EA4CB4" w:rsidRPr="003322E9">
        <w:t xml:space="preserve">esource </w:t>
      </w:r>
      <w:r w:rsidR="00EA4CB4">
        <w:t>s</w:t>
      </w:r>
      <w:r w:rsidR="00EA4CB4" w:rsidRPr="003322E9">
        <w:t xml:space="preserve">tatement – Budget </w:t>
      </w:r>
      <w:r w:rsidR="00EA4CB4">
        <w:t>e</w:t>
      </w:r>
      <w:r w:rsidR="00EA4CB4" w:rsidRPr="003322E9">
        <w:t xml:space="preserve">stimates </w:t>
      </w:r>
      <w:r w:rsidR="00EA4CB4" w:rsidRPr="00626350">
        <w:t>for 2022</w:t>
      </w:r>
      <w:r w:rsidR="00EA4CB4">
        <w:t>–</w:t>
      </w:r>
      <w:r w:rsidR="00EA4CB4" w:rsidRPr="00626350">
        <w:t xml:space="preserve">23 as at </w:t>
      </w:r>
      <w:r w:rsidR="00EA4CB4">
        <w:t xml:space="preserve">October </w:t>
      </w:r>
      <w:r w:rsidR="00EA4CB4" w:rsidRPr="00626350">
        <w:t>Budget 2022</w:t>
      </w:r>
    </w:p>
    <w:tbl>
      <w:tblPr>
        <w:tblW w:w="7380" w:type="dxa"/>
        <w:tblLayout w:type="fixed"/>
        <w:tblLook w:val="04A0" w:firstRow="1" w:lastRow="0" w:firstColumn="1" w:lastColumn="0" w:noHBand="0" w:noVBand="1"/>
      </w:tblPr>
      <w:tblGrid>
        <w:gridCol w:w="4660"/>
        <w:gridCol w:w="1360"/>
        <w:gridCol w:w="1360"/>
      </w:tblGrid>
      <w:tr w:rsidR="002B51D4" w:rsidRPr="002B51D4" w14:paraId="6A3C7532" w14:textId="77777777" w:rsidTr="002B51D4">
        <w:trPr>
          <w:trHeight w:val="765"/>
        </w:trPr>
        <w:tc>
          <w:tcPr>
            <w:tcW w:w="4660" w:type="dxa"/>
            <w:tcBorders>
              <w:top w:val="single" w:sz="4" w:space="0" w:color="auto"/>
              <w:left w:val="nil"/>
              <w:bottom w:val="nil"/>
              <w:right w:val="nil"/>
            </w:tcBorders>
            <w:shd w:val="clear" w:color="auto" w:fill="auto"/>
            <w:vAlign w:val="bottom"/>
            <w:hideMark/>
          </w:tcPr>
          <w:p w14:paraId="3680FD90" w14:textId="77777777" w:rsidR="002B51D4" w:rsidRPr="002B51D4" w:rsidRDefault="002B51D4" w:rsidP="002B51D4">
            <w:pPr>
              <w:spacing w:before="40" w:after="0"/>
              <w:jc w:val="right"/>
              <w:rPr>
                <w:rFonts w:ascii="Arial" w:hAnsi="Arial" w:cs="Arial"/>
                <w:b/>
                <w:bCs/>
                <w:color w:val="auto"/>
                <w:sz w:val="16"/>
                <w:szCs w:val="16"/>
              </w:rPr>
            </w:pPr>
            <w:r w:rsidRPr="002B51D4">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vAlign w:val="bottom"/>
            <w:hideMark/>
          </w:tcPr>
          <w:p w14:paraId="0D8C58BA" w14:textId="77777777" w:rsidR="002B51D4" w:rsidRPr="002B51D4" w:rsidRDefault="002B51D4" w:rsidP="002B51D4">
            <w:pPr>
              <w:spacing w:before="40" w:after="0"/>
              <w:jc w:val="right"/>
              <w:rPr>
                <w:rFonts w:ascii="Arial" w:hAnsi="Arial" w:cs="Arial"/>
                <w:b/>
                <w:bCs/>
                <w:color w:val="auto"/>
                <w:sz w:val="16"/>
                <w:szCs w:val="16"/>
              </w:rPr>
            </w:pPr>
            <w:r w:rsidRPr="002B51D4">
              <w:rPr>
                <w:rFonts w:ascii="Arial" w:hAnsi="Arial" w:cs="Arial"/>
                <w:b/>
                <w:bCs/>
                <w:color w:val="auto"/>
                <w:sz w:val="16"/>
                <w:szCs w:val="16"/>
              </w:rPr>
              <w:t>2021–22 Estimated actual</w:t>
            </w:r>
            <w:r w:rsidRPr="002B51D4">
              <w:rPr>
                <w:rFonts w:ascii="Arial" w:hAnsi="Arial" w:cs="Arial"/>
                <w:b/>
                <w:bCs/>
                <w:color w:val="auto"/>
                <w:sz w:val="16"/>
                <w:szCs w:val="16"/>
              </w:rPr>
              <w:br/>
            </w:r>
            <w:r w:rsidRPr="002B51D4">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vAlign w:val="bottom"/>
            <w:hideMark/>
          </w:tcPr>
          <w:p w14:paraId="5C34A21F" w14:textId="77777777" w:rsidR="002B51D4" w:rsidRPr="002B51D4" w:rsidRDefault="002B51D4" w:rsidP="002B51D4">
            <w:pPr>
              <w:spacing w:before="40" w:after="0"/>
              <w:jc w:val="right"/>
              <w:rPr>
                <w:rFonts w:ascii="Arial" w:hAnsi="Arial" w:cs="Arial"/>
                <w:b/>
                <w:bCs/>
                <w:color w:val="auto"/>
                <w:sz w:val="16"/>
                <w:szCs w:val="16"/>
              </w:rPr>
            </w:pPr>
            <w:r w:rsidRPr="002B51D4">
              <w:rPr>
                <w:rFonts w:ascii="Arial" w:hAnsi="Arial" w:cs="Arial"/>
                <w:b/>
                <w:bCs/>
                <w:color w:val="auto"/>
                <w:sz w:val="16"/>
                <w:szCs w:val="16"/>
              </w:rPr>
              <w:t>2022–23</w:t>
            </w:r>
            <w:r w:rsidRPr="002B51D4">
              <w:rPr>
                <w:rFonts w:ascii="Arial" w:hAnsi="Arial" w:cs="Arial"/>
                <w:b/>
                <w:bCs/>
                <w:color w:val="auto"/>
                <w:sz w:val="16"/>
                <w:szCs w:val="16"/>
              </w:rPr>
              <w:br/>
              <w:t>Estimate</w:t>
            </w:r>
            <w:r w:rsidRPr="002B51D4">
              <w:rPr>
                <w:rFonts w:ascii="Arial" w:hAnsi="Arial" w:cs="Arial"/>
                <w:b/>
                <w:bCs/>
                <w:color w:val="auto"/>
                <w:sz w:val="16"/>
                <w:szCs w:val="16"/>
              </w:rPr>
              <w:br/>
            </w:r>
            <w:r w:rsidRPr="002B51D4">
              <w:rPr>
                <w:rFonts w:ascii="Arial" w:hAnsi="Arial" w:cs="Arial"/>
                <w:b/>
                <w:bCs/>
                <w:color w:val="auto"/>
                <w:sz w:val="16"/>
                <w:szCs w:val="16"/>
              </w:rPr>
              <w:br/>
            </w:r>
            <w:r w:rsidRPr="002B51D4">
              <w:rPr>
                <w:rFonts w:ascii="Arial" w:hAnsi="Arial" w:cs="Arial"/>
                <w:color w:val="auto"/>
                <w:sz w:val="16"/>
                <w:szCs w:val="16"/>
              </w:rPr>
              <w:t>$'000</w:t>
            </w:r>
          </w:p>
        </w:tc>
      </w:tr>
      <w:tr w:rsidR="002B51D4" w:rsidRPr="002B51D4" w14:paraId="794DFE4B" w14:textId="77777777" w:rsidTr="002B51D4">
        <w:trPr>
          <w:trHeight w:val="225"/>
        </w:trPr>
        <w:tc>
          <w:tcPr>
            <w:tcW w:w="4660" w:type="dxa"/>
            <w:tcBorders>
              <w:top w:val="nil"/>
              <w:left w:val="nil"/>
              <w:bottom w:val="nil"/>
              <w:right w:val="nil"/>
            </w:tcBorders>
            <w:shd w:val="clear" w:color="auto" w:fill="auto"/>
            <w:noWrap/>
            <w:vAlign w:val="bottom"/>
            <w:hideMark/>
          </w:tcPr>
          <w:p w14:paraId="2C68FB9F"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5289D149" w14:textId="77777777" w:rsidR="002B51D4" w:rsidRPr="002B51D4" w:rsidRDefault="002B51D4" w:rsidP="002B51D4">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C2EC526"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 </w:t>
            </w:r>
          </w:p>
        </w:tc>
      </w:tr>
      <w:tr w:rsidR="002B51D4" w:rsidRPr="002B51D4" w14:paraId="6791C5DA" w14:textId="77777777" w:rsidTr="002B51D4">
        <w:trPr>
          <w:trHeight w:val="225"/>
        </w:trPr>
        <w:tc>
          <w:tcPr>
            <w:tcW w:w="4660" w:type="dxa"/>
            <w:tcBorders>
              <w:top w:val="nil"/>
              <w:left w:val="nil"/>
              <w:bottom w:val="nil"/>
              <w:right w:val="nil"/>
            </w:tcBorders>
            <w:shd w:val="clear" w:color="auto" w:fill="auto"/>
            <w:noWrap/>
            <w:vAlign w:val="bottom"/>
            <w:hideMark/>
          </w:tcPr>
          <w:p w14:paraId="40218BFE"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620455C7"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1,339</w:t>
            </w:r>
          </w:p>
        </w:tc>
        <w:tc>
          <w:tcPr>
            <w:tcW w:w="1360" w:type="dxa"/>
            <w:tcBorders>
              <w:top w:val="nil"/>
              <w:left w:val="nil"/>
              <w:bottom w:val="nil"/>
              <w:right w:val="nil"/>
            </w:tcBorders>
            <w:shd w:val="clear" w:color="000000" w:fill="D9D9D9"/>
            <w:noWrap/>
            <w:vAlign w:val="bottom"/>
            <w:hideMark/>
          </w:tcPr>
          <w:p w14:paraId="5B5BB092"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1,339</w:t>
            </w:r>
          </w:p>
        </w:tc>
      </w:tr>
      <w:tr w:rsidR="002B51D4" w:rsidRPr="002B51D4" w14:paraId="00D0343B" w14:textId="77777777" w:rsidTr="00382939">
        <w:trPr>
          <w:trHeight w:val="283"/>
        </w:trPr>
        <w:tc>
          <w:tcPr>
            <w:tcW w:w="4660" w:type="dxa"/>
            <w:tcBorders>
              <w:top w:val="nil"/>
              <w:left w:val="nil"/>
              <w:bottom w:val="nil"/>
              <w:right w:val="nil"/>
            </w:tcBorders>
            <w:shd w:val="clear" w:color="auto" w:fill="auto"/>
            <w:noWrap/>
            <w:vAlign w:val="bottom"/>
            <w:hideMark/>
          </w:tcPr>
          <w:p w14:paraId="5E601CDA"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283FBD2D" w14:textId="77777777" w:rsidR="002B51D4" w:rsidRPr="002B51D4" w:rsidRDefault="002B51D4" w:rsidP="002B51D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04922FE"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 </w:t>
            </w:r>
          </w:p>
        </w:tc>
      </w:tr>
      <w:tr w:rsidR="002B51D4" w:rsidRPr="002B51D4" w14:paraId="6469075C" w14:textId="77777777" w:rsidTr="00382939">
        <w:trPr>
          <w:trHeight w:val="283"/>
        </w:trPr>
        <w:tc>
          <w:tcPr>
            <w:tcW w:w="4660" w:type="dxa"/>
            <w:tcBorders>
              <w:top w:val="nil"/>
              <w:left w:val="nil"/>
              <w:bottom w:val="nil"/>
              <w:right w:val="nil"/>
            </w:tcBorders>
            <w:shd w:val="clear" w:color="auto" w:fill="auto"/>
            <w:noWrap/>
            <w:vAlign w:val="bottom"/>
            <w:hideMark/>
          </w:tcPr>
          <w:p w14:paraId="4E7079A0"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Ordinary annual services</w:t>
            </w:r>
            <w:r w:rsidRPr="002B51D4">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4BF6BFD3" w14:textId="77777777" w:rsidR="002B51D4" w:rsidRPr="002B51D4" w:rsidRDefault="002B51D4" w:rsidP="002B51D4">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5429D8A5"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 </w:t>
            </w:r>
          </w:p>
        </w:tc>
      </w:tr>
      <w:tr w:rsidR="002B51D4" w:rsidRPr="002B51D4" w14:paraId="73C2C235" w14:textId="77777777" w:rsidTr="002B51D4">
        <w:trPr>
          <w:trHeight w:val="225"/>
        </w:trPr>
        <w:tc>
          <w:tcPr>
            <w:tcW w:w="4660" w:type="dxa"/>
            <w:tcBorders>
              <w:top w:val="nil"/>
              <w:left w:val="nil"/>
              <w:bottom w:val="nil"/>
              <w:right w:val="nil"/>
            </w:tcBorders>
            <w:shd w:val="clear" w:color="auto" w:fill="auto"/>
            <w:noWrap/>
            <w:vAlign w:val="bottom"/>
            <w:hideMark/>
          </w:tcPr>
          <w:p w14:paraId="2C4C30F6" w14:textId="77777777" w:rsidR="002B51D4" w:rsidRPr="002B51D4" w:rsidRDefault="002B51D4" w:rsidP="002B51D4">
            <w:pPr>
              <w:spacing w:after="0"/>
              <w:ind w:firstLineChars="200" w:firstLine="320"/>
              <w:rPr>
                <w:rFonts w:ascii="Arial" w:hAnsi="Arial" w:cs="Arial"/>
                <w:color w:val="auto"/>
                <w:sz w:val="16"/>
                <w:szCs w:val="16"/>
              </w:rPr>
            </w:pPr>
            <w:r w:rsidRPr="002B51D4">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01FF0D5C"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5,513</w:t>
            </w:r>
          </w:p>
        </w:tc>
        <w:tc>
          <w:tcPr>
            <w:tcW w:w="1360" w:type="dxa"/>
            <w:tcBorders>
              <w:top w:val="nil"/>
              <w:left w:val="nil"/>
              <w:bottom w:val="nil"/>
              <w:right w:val="nil"/>
            </w:tcBorders>
            <w:shd w:val="clear" w:color="000000" w:fill="D9D9D9"/>
            <w:noWrap/>
            <w:vAlign w:val="bottom"/>
            <w:hideMark/>
          </w:tcPr>
          <w:p w14:paraId="30B03A8B"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5,479</w:t>
            </w:r>
          </w:p>
        </w:tc>
      </w:tr>
      <w:tr w:rsidR="002B51D4" w:rsidRPr="002B51D4" w14:paraId="3A3BF951" w14:textId="77777777" w:rsidTr="002B51D4">
        <w:trPr>
          <w:trHeight w:val="225"/>
        </w:trPr>
        <w:tc>
          <w:tcPr>
            <w:tcW w:w="4660" w:type="dxa"/>
            <w:tcBorders>
              <w:top w:val="nil"/>
              <w:left w:val="nil"/>
              <w:bottom w:val="nil"/>
              <w:right w:val="nil"/>
            </w:tcBorders>
            <w:shd w:val="clear" w:color="auto" w:fill="auto"/>
            <w:noWrap/>
            <w:vAlign w:val="bottom"/>
            <w:hideMark/>
          </w:tcPr>
          <w:p w14:paraId="11A168B0" w14:textId="77777777" w:rsidR="002B51D4" w:rsidRPr="002B51D4" w:rsidRDefault="002B51D4" w:rsidP="002B51D4">
            <w:pPr>
              <w:spacing w:after="0"/>
              <w:ind w:firstLineChars="200" w:firstLine="320"/>
              <w:rPr>
                <w:rFonts w:ascii="Arial" w:hAnsi="Arial" w:cs="Arial"/>
                <w:color w:val="auto"/>
                <w:sz w:val="16"/>
                <w:szCs w:val="16"/>
              </w:rPr>
            </w:pPr>
            <w:r w:rsidRPr="002B51D4">
              <w:rPr>
                <w:rFonts w:ascii="Arial" w:hAnsi="Arial" w:cs="Arial"/>
                <w:color w:val="auto"/>
                <w:sz w:val="16"/>
                <w:szCs w:val="16"/>
              </w:rPr>
              <w:t>s74 retained revenue receipts</w:t>
            </w:r>
            <w:r w:rsidRPr="002B51D4">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7839DE1C"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255</w:t>
            </w:r>
          </w:p>
        </w:tc>
        <w:tc>
          <w:tcPr>
            <w:tcW w:w="1360" w:type="dxa"/>
            <w:tcBorders>
              <w:top w:val="nil"/>
              <w:left w:val="nil"/>
              <w:bottom w:val="nil"/>
              <w:right w:val="nil"/>
            </w:tcBorders>
            <w:shd w:val="clear" w:color="000000" w:fill="D9D9D9"/>
            <w:noWrap/>
            <w:vAlign w:val="bottom"/>
            <w:hideMark/>
          </w:tcPr>
          <w:p w14:paraId="5F0ABE86"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250</w:t>
            </w:r>
          </w:p>
        </w:tc>
      </w:tr>
      <w:tr w:rsidR="002B51D4" w:rsidRPr="002B51D4" w14:paraId="3DFE49E5" w14:textId="77777777" w:rsidTr="002B51D4">
        <w:trPr>
          <w:trHeight w:val="225"/>
        </w:trPr>
        <w:tc>
          <w:tcPr>
            <w:tcW w:w="4660" w:type="dxa"/>
            <w:tcBorders>
              <w:top w:val="nil"/>
              <w:left w:val="nil"/>
              <w:bottom w:val="nil"/>
              <w:right w:val="nil"/>
            </w:tcBorders>
            <w:shd w:val="clear" w:color="auto" w:fill="auto"/>
            <w:noWrap/>
            <w:vAlign w:val="bottom"/>
            <w:hideMark/>
          </w:tcPr>
          <w:p w14:paraId="29D85BB7" w14:textId="77777777" w:rsidR="002B51D4" w:rsidRPr="002B51D4" w:rsidRDefault="002B51D4" w:rsidP="002B51D4">
            <w:pPr>
              <w:spacing w:after="0"/>
              <w:ind w:firstLineChars="200" w:firstLine="320"/>
              <w:rPr>
                <w:rFonts w:ascii="Arial" w:hAnsi="Arial" w:cs="Arial"/>
                <w:color w:val="auto"/>
                <w:sz w:val="16"/>
                <w:szCs w:val="16"/>
              </w:rPr>
            </w:pPr>
            <w:r w:rsidRPr="002B51D4">
              <w:rPr>
                <w:rFonts w:ascii="Arial" w:hAnsi="Arial" w:cs="Arial"/>
                <w:color w:val="auto"/>
                <w:sz w:val="16"/>
                <w:szCs w:val="16"/>
              </w:rPr>
              <w:t xml:space="preserve">Departmental Capital Budget </w:t>
            </w:r>
            <w:r w:rsidRPr="002B51D4">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6C43334D"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645</w:t>
            </w:r>
          </w:p>
        </w:tc>
        <w:tc>
          <w:tcPr>
            <w:tcW w:w="1360" w:type="dxa"/>
            <w:tcBorders>
              <w:top w:val="nil"/>
              <w:left w:val="nil"/>
              <w:bottom w:val="nil"/>
              <w:right w:val="nil"/>
            </w:tcBorders>
            <w:shd w:val="clear" w:color="000000" w:fill="D9D9D9"/>
            <w:noWrap/>
            <w:vAlign w:val="bottom"/>
            <w:hideMark/>
          </w:tcPr>
          <w:p w14:paraId="6913F72C"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651</w:t>
            </w:r>
          </w:p>
        </w:tc>
      </w:tr>
      <w:tr w:rsidR="002B51D4" w:rsidRPr="002B51D4" w14:paraId="58863721" w14:textId="77777777" w:rsidTr="00382939">
        <w:trPr>
          <w:trHeight w:val="283"/>
        </w:trPr>
        <w:tc>
          <w:tcPr>
            <w:tcW w:w="4660" w:type="dxa"/>
            <w:tcBorders>
              <w:top w:val="nil"/>
              <w:left w:val="nil"/>
              <w:bottom w:val="nil"/>
              <w:right w:val="nil"/>
            </w:tcBorders>
            <w:shd w:val="clear" w:color="auto" w:fill="auto"/>
            <w:noWrap/>
            <w:vAlign w:val="bottom"/>
            <w:hideMark/>
          </w:tcPr>
          <w:p w14:paraId="5F65BA25"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Other services</w:t>
            </w:r>
            <w:r w:rsidRPr="002B51D4">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5CA3031E" w14:textId="77777777" w:rsidR="002B51D4" w:rsidRPr="002B51D4" w:rsidRDefault="002B51D4" w:rsidP="002B51D4">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4BB8264"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 </w:t>
            </w:r>
          </w:p>
        </w:tc>
      </w:tr>
      <w:tr w:rsidR="002B51D4" w:rsidRPr="002B51D4" w14:paraId="732A96E2" w14:textId="77777777" w:rsidTr="00382939">
        <w:trPr>
          <w:trHeight w:val="227"/>
        </w:trPr>
        <w:tc>
          <w:tcPr>
            <w:tcW w:w="4660" w:type="dxa"/>
            <w:tcBorders>
              <w:top w:val="nil"/>
              <w:left w:val="nil"/>
              <w:bottom w:val="nil"/>
              <w:right w:val="nil"/>
            </w:tcBorders>
            <w:shd w:val="clear" w:color="auto" w:fill="auto"/>
            <w:noWrap/>
            <w:vAlign w:val="bottom"/>
            <w:hideMark/>
          </w:tcPr>
          <w:p w14:paraId="2FFDD01F" w14:textId="77777777" w:rsidR="002B51D4" w:rsidRPr="002B51D4" w:rsidRDefault="002B51D4" w:rsidP="002B51D4">
            <w:pPr>
              <w:spacing w:after="0"/>
              <w:ind w:firstLineChars="200" w:firstLine="320"/>
              <w:rPr>
                <w:rFonts w:ascii="Arial" w:hAnsi="Arial" w:cs="Arial"/>
                <w:color w:val="auto"/>
                <w:sz w:val="16"/>
                <w:szCs w:val="16"/>
              </w:rPr>
            </w:pPr>
            <w:r w:rsidRPr="002B51D4">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3725F4A7"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62777C5"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w:t>
            </w:r>
          </w:p>
        </w:tc>
      </w:tr>
      <w:tr w:rsidR="002B51D4" w:rsidRPr="002B51D4" w14:paraId="41FB1527" w14:textId="77777777" w:rsidTr="002B51D4">
        <w:trPr>
          <w:trHeight w:val="225"/>
        </w:trPr>
        <w:tc>
          <w:tcPr>
            <w:tcW w:w="4660" w:type="dxa"/>
            <w:tcBorders>
              <w:top w:val="nil"/>
              <w:left w:val="nil"/>
              <w:bottom w:val="nil"/>
              <w:right w:val="nil"/>
            </w:tcBorders>
            <w:shd w:val="clear" w:color="auto" w:fill="auto"/>
            <w:noWrap/>
            <w:vAlign w:val="bottom"/>
            <w:hideMark/>
          </w:tcPr>
          <w:p w14:paraId="43EB3F88" w14:textId="77777777" w:rsidR="002B51D4" w:rsidRPr="002B51D4" w:rsidRDefault="002B51D4" w:rsidP="002B51D4">
            <w:pPr>
              <w:spacing w:after="0"/>
              <w:ind w:leftChars="75" w:left="143"/>
              <w:rPr>
                <w:rFonts w:ascii="Arial" w:hAnsi="Arial" w:cs="Arial"/>
                <w:b/>
                <w:bCs/>
                <w:color w:val="auto"/>
                <w:sz w:val="16"/>
                <w:szCs w:val="16"/>
              </w:rPr>
            </w:pPr>
            <w:r w:rsidRPr="002B51D4">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32F11FBF"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6,413</w:t>
            </w:r>
          </w:p>
        </w:tc>
        <w:tc>
          <w:tcPr>
            <w:tcW w:w="1360" w:type="dxa"/>
            <w:tcBorders>
              <w:top w:val="nil"/>
              <w:left w:val="nil"/>
              <w:bottom w:val="single" w:sz="4" w:space="0" w:color="auto"/>
              <w:right w:val="nil"/>
            </w:tcBorders>
            <w:shd w:val="clear" w:color="000000" w:fill="D9D9D9"/>
            <w:noWrap/>
            <w:vAlign w:val="bottom"/>
            <w:hideMark/>
          </w:tcPr>
          <w:p w14:paraId="675BA5F8"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6,380</w:t>
            </w:r>
          </w:p>
        </w:tc>
      </w:tr>
      <w:tr w:rsidR="002B51D4" w:rsidRPr="002B51D4" w14:paraId="164C2F7D" w14:textId="77777777" w:rsidTr="00382939">
        <w:trPr>
          <w:trHeight w:val="283"/>
        </w:trPr>
        <w:tc>
          <w:tcPr>
            <w:tcW w:w="4660" w:type="dxa"/>
            <w:tcBorders>
              <w:top w:val="nil"/>
              <w:left w:val="nil"/>
              <w:bottom w:val="nil"/>
              <w:right w:val="nil"/>
            </w:tcBorders>
            <w:shd w:val="clear" w:color="auto" w:fill="auto"/>
            <w:noWrap/>
            <w:vAlign w:val="bottom"/>
            <w:hideMark/>
          </w:tcPr>
          <w:p w14:paraId="58674EE3"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Special accounts</w:t>
            </w:r>
            <w:r w:rsidRPr="002B51D4">
              <w:rPr>
                <w:rFonts w:ascii="Arial" w:hAnsi="Arial" w:cs="Arial"/>
                <w:b/>
                <w:bCs/>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0E4A2C84" w14:textId="77777777" w:rsidR="002B51D4" w:rsidRPr="002B51D4" w:rsidRDefault="002B51D4" w:rsidP="002B51D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4E9A7375"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 </w:t>
            </w:r>
          </w:p>
        </w:tc>
      </w:tr>
      <w:tr w:rsidR="002B51D4" w:rsidRPr="002B51D4" w14:paraId="2FA973F3" w14:textId="77777777" w:rsidTr="002B51D4">
        <w:trPr>
          <w:trHeight w:val="225"/>
        </w:trPr>
        <w:tc>
          <w:tcPr>
            <w:tcW w:w="4660" w:type="dxa"/>
            <w:tcBorders>
              <w:top w:val="nil"/>
              <w:left w:val="nil"/>
              <w:bottom w:val="nil"/>
              <w:right w:val="nil"/>
            </w:tcBorders>
            <w:shd w:val="clear" w:color="auto" w:fill="auto"/>
            <w:noWrap/>
            <w:vAlign w:val="bottom"/>
            <w:hideMark/>
          </w:tcPr>
          <w:p w14:paraId="03C69C0A"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Opening balance</w:t>
            </w:r>
          </w:p>
        </w:tc>
        <w:tc>
          <w:tcPr>
            <w:tcW w:w="1360" w:type="dxa"/>
            <w:tcBorders>
              <w:top w:val="nil"/>
              <w:left w:val="nil"/>
              <w:bottom w:val="nil"/>
              <w:right w:val="nil"/>
            </w:tcBorders>
            <w:shd w:val="clear" w:color="auto" w:fill="auto"/>
            <w:noWrap/>
            <w:vAlign w:val="bottom"/>
            <w:hideMark/>
          </w:tcPr>
          <w:p w14:paraId="755CE600"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7,710</w:t>
            </w:r>
          </w:p>
        </w:tc>
        <w:tc>
          <w:tcPr>
            <w:tcW w:w="1360" w:type="dxa"/>
            <w:tcBorders>
              <w:top w:val="nil"/>
              <w:left w:val="nil"/>
              <w:bottom w:val="nil"/>
              <w:right w:val="nil"/>
            </w:tcBorders>
            <w:shd w:val="clear" w:color="000000" w:fill="D9D9D9"/>
            <w:noWrap/>
            <w:vAlign w:val="bottom"/>
            <w:hideMark/>
          </w:tcPr>
          <w:p w14:paraId="07F07AF3"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6,990</w:t>
            </w:r>
          </w:p>
        </w:tc>
      </w:tr>
      <w:tr w:rsidR="002B51D4" w:rsidRPr="002B51D4" w14:paraId="196E4EEE" w14:textId="77777777" w:rsidTr="002B51D4">
        <w:trPr>
          <w:trHeight w:val="225"/>
        </w:trPr>
        <w:tc>
          <w:tcPr>
            <w:tcW w:w="4660" w:type="dxa"/>
            <w:tcBorders>
              <w:top w:val="nil"/>
              <w:left w:val="nil"/>
              <w:bottom w:val="nil"/>
              <w:right w:val="nil"/>
            </w:tcBorders>
            <w:shd w:val="clear" w:color="auto" w:fill="auto"/>
            <w:noWrap/>
            <w:vAlign w:val="bottom"/>
            <w:hideMark/>
          </w:tcPr>
          <w:p w14:paraId="12D2098C"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Appropriation receipts</w:t>
            </w:r>
          </w:p>
        </w:tc>
        <w:tc>
          <w:tcPr>
            <w:tcW w:w="1360" w:type="dxa"/>
            <w:tcBorders>
              <w:top w:val="nil"/>
              <w:left w:val="nil"/>
              <w:bottom w:val="nil"/>
              <w:right w:val="nil"/>
            </w:tcBorders>
            <w:shd w:val="clear" w:color="auto" w:fill="auto"/>
            <w:noWrap/>
            <w:vAlign w:val="bottom"/>
            <w:hideMark/>
          </w:tcPr>
          <w:p w14:paraId="1EC4F24A"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6,413</w:t>
            </w:r>
          </w:p>
        </w:tc>
        <w:tc>
          <w:tcPr>
            <w:tcW w:w="1360" w:type="dxa"/>
            <w:tcBorders>
              <w:top w:val="nil"/>
              <w:left w:val="nil"/>
              <w:bottom w:val="nil"/>
              <w:right w:val="nil"/>
            </w:tcBorders>
            <w:shd w:val="clear" w:color="000000" w:fill="D9D9D9"/>
            <w:noWrap/>
            <w:vAlign w:val="bottom"/>
            <w:hideMark/>
          </w:tcPr>
          <w:p w14:paraId="048FBDBB"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6,380</w:t>
            </w:r>
          </w:p>
        </w:tc>
      </w:tr>
      <w:tr w:rsidR="002B51D4" w:rsidRPr="002B51D4" w14:paraId="6B50297B" w14:textId="77777777" w:rsidTr="002B51D4">
        <w:trPr>
          <w:trHeight w:val="225"/>
        </w:trPr>
        <w:tc>
          <w:tcPr>
            <w:tcW w:w="4660" w:type="dxa"/>
            <w:tcBorders>
              <w:top w:val="nil"/>
              <w:left w:val="nil"/>
              <w:bottom w:val="nil"/>
              <w:right w:val="nil"/>
            </w:tcBorders>
            <w:shd w:val="clear" w:color="auto" w:fill="auto"/>
            <w:noWrap/>
            <w:vAlign w:val="bottom"/>
            <w:hideMark/>
          </w:tcPr>
          <w:p w14:paraId="37D6C971"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14:paraId="45FACABE"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4,943</w:t>
            </w:r>
          </w:p>
        </w:tc>
        <w:tc>
          <w:tcPr>
            <w:tcW w:w="1360" w:type="dxa"/>
            <w:tcBorders>
              <w:top w:val="nil"/>
              <w:left w:val="nil"/>
              <w:bottom w:val="nil"/>
              <w:right w:val="nil"/>
            </w:tcBorders>
            <w:shd w:val="clear" w:color="000000" w:fill="D9D9D9"/>
            <w:noWrap/>
            <w:vAlign w:val="bottom"/>
            <w:hideMark/>
          </w:tcPr>
          <w:p w14:paraId="4140BAEF"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3,566</w:t>
            </w:r>
          </w:p>
        </w:tc>
      </w:tr>
      <w:tr w:rsidR="002B51D4" w:rsidRPr="002B51D4" w14:paraId="1B3690AE" w14:textId="77777777" w:rsidTr="00382939">
        <w:trPr>
          <w:trHeight w:val="283"/>
        </w:trPr>
        <w:tc>
          <w:tcPr>
            <w:tcW w:w="4660" w:type="dxa"/>
            <w:tcBorders>
              <w:top w:val="nil"/>
              <w:left w:val="nil"/>
              <w:bottom w:val="nil"/>
              <w:right w:val="nil"/>
            </w:tcBorders>
            <w:shd w:val="clear" w:color="auto" w:fill="auto"/>
            <w:noWrap/>
            <w:vAlign w:val="bottom"/>
            <w:hideMark/>
          </w:tcPr>
          <w:p w14:paraId="7D543889" w14:textId="77777777" w:rsidR="002B51D4" w:rsidRPr="002B51D4" w:rsidRDefault="002B51D4" w:rsidP="002B51D4">
            <w:pPr>
              <w:spacing w:after="0"/>
              <w:ind w:leftChars="75" w:left="143"/>
              <w:rPr>
                <w:rFonts w:ascii="Arial" w:hAnsi="Arial" w:cs="Arial"/>
                <w:b/>
                <w:bCs/>
                <w:color w:val="auto"/>
                <w:sz w:val="16"/>
                <w:szCs w:val="16"/>
              </w:rPr>
            </w:pPr>
            <w:r w:rsidRPr="002B51D4">
              <w:rPr>
                <w:rFonts w:ascii="Arial" w:hAnsi="Arial" w:cs="Arial"/>
                <w:b/>
                <w:bCs/>
                <w:color w:val="auto"/>
                <w:sz w:val="16"/>
                <w:szCs w:val="16"/>
              </w:rPr>
              <w:t>Total special account</w:t>
            </w:r>
          </w:p>
        </w:tc>
        <w:tc>
          <w:tcPr>
            <w:tcW w:w="1360" w:type="dxa"/>
            <w:tcBorders>
              <w:top w:val="nil"/>
              <w:left w:val="nil"/>
              <w:bottom w:val="single" w:sz="4" w:space="0" w:color="auto"/>
              <w:right w:val="nil"/>
            </w:tcBorders>
            <w:shd w:val="clear" w:color="auto" w:fill="auto"/>
            <w:noWrap/>
            <w:vAlign w:val="bottom"/>
            <w:hideMark/>
          </w:tcPr>
          <w:p w14:paraId="2309CC7E"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11,356</w:t>
            </w:r>
          </w:p>
        </w:tc>
        <w:tc>
          <w:tcPr>
            <w:tcW w:w="1360" w:type="dxa"/>
            <w:tcBorders>
              <w:top w:val="nil"/>
              <w:left w:val="nil"/>
              <w:bottom w:val="single" w:sz="4" w:space="0" w:color="auto"/>
              <w:right w:val="nil"/>
            </w:tcBorders>
            <w:shd w:val="clear" w:color="000000" w:fill="D9D9D9"/>
            <w:noWrap/>
            <w:vAlign w:val="bottom"/>
            <w:hideMark/>
          </w:tcPr>
          <w:p w14:paraId="49F6C6D4"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9,946</w:t>
            </w:r>
          </w:p>
        </w:tc>
      </w:tr>
      <w:tr w:rsidR="002B51D4" w:rsidRPr="002B51D4" w14:paraId="2D745250" w14:textId="77777777" w:rsidTr="00382939">
        <w:trPr>
          <w:trHeight w:val="454"/>
        </w:trPr>
        <w:tc>
          <w:tcPr>
            <w:tcW w:w="4660" w:type="dxa"/>
            <w:tcBorders>
              <w:top w:val="nil"/>
              <w:left w:val="nil"/>
              <w:bottom w:val="nil"/>
              <w:right w:val="nil"/>
            </w:tcBorders>
            <w:shd w:val="clear" w:color="auto" w:fill="auto"/>
            <w:vAlign w:val="bottom"/>
            <w:hideMark/>
          </w:tcPr>
          <w:p w14:paraId="175918A3"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Less appropriations drawn from annual or special appropriations above and credited to special accounts</w:t>
            </w:r>
            <w:r w:rsidRPr="002B51D4">
              <w:rPr>
                <w:rFonts w:ascii="Arial" w:hAnsi="Arial" w:cs="Arial"/>
                <w:color w:val="auto"/>
                <w:sz w:val="16"/>
                <w:szCs w:val="16"/>
                <w:vertAlign w:val="superscript"/>
              </w:rPr>
              <w:t xml:space="preserve"> (f)</w:t>
            </w:r>
          </w:p>
        </w:tc>
        <w:tc>
          <w:tcPr>
            <w:tcW w:w="1360" w:type="dxa"/>
            <w:tcBorders>
              <w:top w:val="nil"/>
              <w:left w:val="nil"/>
              <w:bottom w:val="single" w:sz="4" w:space="0" w:color="auto"/>
              <w:right w:val="nil"/>
            </w:tcBorders>
            <w:shd w:val="clear" w:color="auto" w:fill="auto"/>
            <w:noWrap/>
            <w:vAlign w:val="bottom"/>
            <w:hideMark/>
          </w:tcPr>
          <w:p w14:paraId="5012EC3F"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(6,413)</w:t>
            </w:r>
          </w:p>
        </w:tc>
        <w:tc>
          <w:tcPr>
            <w:tcW w:w="1360" w:type="dxa"/>
            <w:tcBorders>
              <w:top w:val="nil"/>
              <w:left w:val="nil"/>
              <w:bottom w:val="single" w:sz="4" w:space="0" w:color="auto"/>
              <w:right w:val="nil"/>
            </w:tcBorders>
            <w:shd w:val="clear" w:color="000000" w:fill="D9D9D9"/>
            <w:noWrap/>
            <w:vAlign w:val="bottom"/>
            <w:hideMark/>
          </w:tcPr>
          <w:p w14:paraId="00FE0E39"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(6,380)</w:t>
            </w:r>
          </w:p>
        </w:tc>
      </w:tr>
      <w:tr w:rsidR="002B51D4" w:rsidRPr="002B51D4" w14:paraId="090DF821" w14:textId="77777777" w:rsidTr="00382939">
        <w:trPr>
          <w:trHeight w:val="283"/>
        </w:trPr>
        <w:tc>
          <w:tcPr>
            <w:tcW w:w="4660" w:type="dxa"/>
            <w:tcBorders>
              <w:top w:val="nil"/>
              <w:left w:val="nil"/>
              <w:bottom w:val="nil"/>
              <w:right w:val="nil"/>
            </w:tcBorders>
            <w:shd w:val="clear" w:color="auto" w:fill="auto"/>
            <w:noWrap/>
            <w:vAlign w:val="bottom"/>
            <w:hideMark/>
          </w:tcPr>
          <w:p w14:paraId="628683FB"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 xml:space="preserve">Total departmental resourcing </w:t>
            </w:r>
          </w:p>
        </w:tc>
        <w:tc>
          <w:tcPr>
            <w:tcW w:w="1360" w:type="dxa"/>
            <w:tcBorders>
              <w:top w:val="nil"/>
              <w:left w:val="nil"/>
              <w:bottom w:val="single" w:sz="4" w:space="0" w:color="auto"/>
              <w:right w:val="nil"/>
            </w:tcBorders>
            <w:shd w:val="clear" w:color="auto" w:fill="auto"/>
            <w:noWrap/>
            <w:vAlign w:val="bottom"/>
            <w:hideMark/>
          </w:tcPr>
          <w:p w14:paraId="5D820D02"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12,695</w:t>
            </w:r>
          </w:p>
        </w:tc>
        <w:tc>
          <w:tcPr>
            <w:tcW w:w="1360" w:type="dxa"/>
            <w:tcBorders>
              <w:top w:val="nil"/>
              <w:left w:val="nil"/>
              <w:bottom w:val="single" w:sz="4" w:space="0" w:color="auto"/>
              <w:right w:val="nil"/>
            </w:tcBorders>
            <w:shd w:val="clear" w:color="000000" w:fill="D9D9D9"/>
            <w:noWrap/>
            <w:vAlign w:val="bottom"/>
            <w:hideMark/>
          </w:tcPr>
          <w:p w14:paraId="6139FF8F"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11,285</w:t>
            </w:r>
          </w:p>
        </w:tc>
      </w:tr>
    </w:tbl>
    <w:p w14:paraId="71EF1E9B" w14:textId="77777777" w:rsidR="008B5876" w:rsidRDefault="008B5876">
      <w:pPr>
        <w:spacing w:after="160" w:line="259" w:lineRule="auto"/>
        <w:rPr>
          <w:rFonts w:ascii="Arial" w:hAnsi="Arial"/>
          <w:b/>
          <w:smallCaps/>
          <w:color w:val="000000" w:themeColor="text1"/>
          <w:sz w:val="26"/>
          <w:szCs w:val="26"/>
        </w:rPr>
      </w:pPr>
      <w:r>
        <w:rPr>
          <w:color w:val="000000" w:themeColor="text1"/>
        </w:rPr>
        <w:br w:type="page"/>
      </w:r>
    </w:p>
    <w:p w14:paraId="4744FFB9" w14:textId="3CF6DD55" w:rsidR="008B5876" w:rsidRDefault="008B5876" w:rsidP="008B5876">
      <w:pPr>
        <w:pStyle w:val="Tablenumberandreference"/>
        <w:rPr>
          <w:color w:val="000000" w:themeColor="text1"/>
        </w:rPr>
      </w:pPr>
      <w:r w:rsidRPr="00D55B3A">
        <w:rPr>
          <w:color w:val="000000" w:themeColor="text1"/>
        </w:rPr>
        <w:lastRenderedPageBreak/>
        <w:t xml:space="preserve">Table 1.1: NBA </w:t>
      </w:r>
      <w:r w:rsidR="009A18B3">
        <w:t>r</w:t>
      </w:r>
      <w:r w:rsidR="009A18B3" w:rsidRPr="003322E9">
        <w:t xml:space="preserve">esource </w:t>
      </w:r>
      <w:r w:rsidR="009A18B3">
        <w:t>s</w:t>
      </w:r>
      <w:r w:rsidR="009A18B3" w:rsidRPr="003322E9">
        <w:t xml:space="preserve">tatement – Budget </w:t>
      </w:r>
      <w:r w:rsidR="009A18B3">
        <w:t>e</w:t>
      </w:r>
      <w:r w:rsidR="009A18B3" w:rsidRPr="003322E9">
        <w:t xml:space="preserve">stimates </w:t>
      </w:r>
      <w:r w:rsidR="009A18B3" w:rsidRPr="00626350">
        <w:t>for 2022</w:t>
      </w:r>
      <w:r w:rsidR="009A18B3">
        <w:t>–</w:t>
      </w:r>
      <w:r w:rsidR="009A18B3" w:rsidRPr="00626350">
        <w:t xml:space="preserve">23 as at </w:t>
      </w:r>
      <w:r w:rsidR="009A18B3">
        <w:t xml:space="preserve">October </w:t>
      </w:r>
      <w:r w:rsidR="009A18B3" w:rsidRPr="00626350">
        <w:t>Budget 2022</w:t>
      </w:r>
      <w:r w:rsidR="009A18B3">
        <w:rPr>
          <w:color w:val="000000" w:themeColor="text1"/>
        </w:rPr>
        <w:t xml:space="preserve"> </w:t>
      </w:r>
      <w:r>
        <w:rPr>
          <w:color w:val="000000" w:themeColor="text1"/>
        </w:rPr>
        <w:t>(continued)</w:t>
      </w:r>
    </w:p>
    <w:tbl>
      <w:tblPr>
        <w:tblW w:w="7380" w:type="dxa"/>
        <w:tblLook w:val="04A0" w:firstRow="1" w:lastRow="0" w:firstColumn="1" w:lastColumn="0" w:noHBand="0" w:noVBand="1"/>
      </w:tblPr>
      <w:tblGrid>
        <w:gridCol w:w="4660"/>
        <w:gridCol w:w="1360"/>
        <w:gridCol w:w="1360"/>
      </w:tblGrid>
      <w:tr w:rsidR="002B51D4" w:rsidRPr="002B51D4" w14:paraId="1F93075B" w14:textId="77777777" w:rsidTr="002B51D4">
        <w:trPr>
          <w:trHeight w:val="765"/>
        </w:trPr>
        <w:tc>
          <w:tcPr>
            <w:tcW w:w="4660" w:type="dxa"/>
            <w:tcBorders>
              <w:top w:val="single" w:sz="4" w:space="0" w:color="auto"/>
              <w:left w:val="nil"/>
              <w:bottom w:val="nil"/>
              <w:right w:val="nil"/>
            </w:tcBorders>
            <w:shd w:val="clear" w:color="auto" w:fill="auto"/>
            <w:hideMark/>
          </w:tcPr>
          <w:p w14:paraId="554C5194" w14:textId="77777777" w:rsidR="002B51D4" w:rsidRPr="002B51D4" w:rsidRDefault="002B51D4" w:rsidP="002B51D4">
            <w:pPr>
              <w:spacing w:before="40" w:after="0"/>
              <w:jc w:val="right"/>
              <w:rPr>
                <w:rFonts w:ascii="Arial" w:hAnsi="Arial" w:cs="Arial"/>
                <w:b/>
                <w:bCs/>
                <w:color w:val="auto"/>
                <w:sz w:val="16"/>
                <w:szCs w:val="16"/>
              </w:rPr>
            </w:pPr>
            <w:r w:rsidRPr="002B51D4">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6BE28131" w14:textId="77777777" w:rsidR="002B51D4" w:rsidRPr="002B51D4" w:rsidRDefault="002B51D4" w:rsidP="002B51D4">
            <w:pPr>
              <w:spacing w:before="40" w:after="0"/>
              <w:jc w:val="right"/>
              <w:rPr>
                <w:rFonts w:ascii="Arial" w:hAnsi="Arial" w:cs="Arial"/>
                <w:b/>
                <w:bCs/>
                <w:color w:val="auto"/>
                <w:sz w:val="16"/>
                <w:szCs w:val="16"/>
              </w:rPr>
            </w:pPr>
            <w:r w:rsidRPr="002B51D4">
              <w:rPr>
                <w:rFonts w:ascii="Arial" w:hAnsi="Arial" w:cs="Arial"/>
                <w:b/>
                <w:bCs/>
                <w:color w:val="auto"/>
                <w:sz w:val="16"/>
                <w:szCs w:val="16"/>
              </w:rPr>
              <w:t>2021–22 Estimated actual</w:t>
            </w:r>
            <w:r w:rsidRPr="002B51D4">
              <w:rPr>
                <w:rFonts w:ascii="Arial" w:hAnsi="Arial" w:cs="Arial"/>
                <w:b/>
                <w:bCs/>
                <w:color w:val="auto"/>
                <w:sz w:val="16"/>
                <w:szCs w:val="16"/>
              </w:rPr>
              <w:br/>
            </w:r>
            <w:r w:rsidRPr="002B51D4">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6B831A40" w14:textId="77777777" w:rsidR="002B51D4" w:rsidRPr="002B51D4" w:rsidRDefault="002B51D4" w:rsidP="002B51D4">
            <w:pPr>
              <w:spacing w:before="40" w:after="0"/>
              <w:jc w:val="right"/>
              <w:rPr>
                <w:rFonts w:ascii="Arial" w:hAnsi="Arial" w:cs="Arial"/>
                <w:b/>
                <w:bCs/>
                <w:color w:val="auto"/>
                <w:sz w:val="16"/>
                <w:szCs w:val="16"/>
              </w:rPr>
            </w:pPr>
            <w:r w:rsidRPr="002B51D4">
              <w:rPr>
                <w:rFonts w:ascii="Arial" w:hAnsi="Arial" w:cs="Arial"/>
                <w:b/>
                <w:bCs/>
                <w:color w:val="auto"/>
                <w:sz w:val="16"/>
                <w:szCs w:val="16"/>
              </w:rPr>
              <w:t>2022–23</w:t>
            </w:r>
            <w:r w:rsidRPr="002B51D4">
              <w:rPr>
                <w:rFonts w:ascii="Arial" w:hAnsi="Arial" w:cs="Arial"/>
                <w:b/>
                <w:bCs/>
                <w:color w:val="auto"/>
                <w:sz w:val="16"/>
                <w:szCs w:val="16"/>
              </w:rPr>
              <w:br/>
              <w:t>Estimate</w:t>
            </w:r>
            <w:r w:rsidRPr="002B51D4">
              <w:rPr>
                <w:rFonts w:ascii="Arial" w:hAnsi="Arial" w:cs="Arial"/>
                <w:b/>
                <w:bCs/>
                <w:color w:val="auto"/>
                <w:sz w:val="16"/>
                <w:szCs w:val="16"/>
              </w:rPr>
              <w:br/>
            </w:r>
            <w:r w:rsidRPr="002B51D4">
              <w:rPr>
                <w:rFonts w:ascii="Arial" w:hAnsi="Arial" w:cs="Arial"/>
                <w:b/>
                <w:bCs/>
                <w:color w:val="auto"/>
                <w:sz w:val="16"/>
                <w:szCs w:val="16"/>
              </w:rPr>
              <w:br/>
            </w:r>
            <w:r w:rsidRPr="002B51D4">
              <w:rPr>
                <w:rFonts w:ascii="Arial" w:hAnsi="Arial" w:cs="Arial"/>
                <w:color w:val="auto"/>
                <w:sz w:val="16"/>
                <w:szCs w:val="16"/>
              </w:rPr>
              <w:t>$'000</w:t>
            </w:r>
          </w:p>
        </w:tc>
      </w:tr>
      <w:tr w:rsidR="002B51D4" w:rsidRPr="002B51D4" w14:paraId="22617459" w14:textId="77777777" w:rsidTr="00382939">
        <w:trPr>
          <w:trHeight w:val="283"/>
        </w:trPr>
        <w:tc>
          <w:tcPr>
            <w:tcW w:w="4660" w:type="dxa"/>
            <w:tcBorders>
              <w:top w:val="nil"/>
              <w:left w:val="nil"/>
              <w:bottom w:val="nil"/>
              <w:right w:val="nil"/>
            </w:tcBorders>
            <w:shd w:val="clear" w:color="auto" w:fill="auto"/>
            <w:noWrap/>
            <w:vAlign w:val="bottom"/>
            <w:hideMark/>
          </w:tcPr>
          <w:p w14:paraId="668DFC82"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701CE7E2" w14:textId="77777777" w:rsidR="002B51D4" w:rsidRPr="002B51D4" w:rsidRDefault="002B51D4" w:rsidP="002B51D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1FF8AF15"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 </w:t>
            </w:r>
          </w:p>
        </w:tc>
      </w:tr>
      <w:tr w:rsidR="002B51D4" w:rsidRPr="002B51D4" w14:paraId="5658F854" w14:textId="77777777" w:rsidTr="00382939">
        <w:trPr>
          <w:trHeight w:val="283"/>
        </w:trPr>
        <w:tc>
          <w:tcPr>
            <w:tcW w:w="4660" w:type="dxa"/>
            <w:tcBorders>
              <w:top w:val="nil"/>
              <w:left w:val="nil"/>
              <w:bottom w:val="nil"/>
              <w:right w:val="nil"/>
            </w:tcBorders>
            <w:shd w:val="clear" w:color="auto" w:fill="auto"/>
            <w:noWrap/>
            <w:vAlign w:val="bottom"/>
            <w:hideMark/>
          </w:tcPr>
          <w:p w14:paraId="0FB94B42"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5288DD0C" w14:textId="77777777" w:rsidR="002B51D4" w:rsidRPr="002B51D4" w:rsidRDefault="002B51D4" w:rsidP="002B51D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6794E66E"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 </w:t>
            </w:r>
          </w:p>
        </w:tc>
      </w:tr>
      <w:tr w:rsidR="002B51D4" w:rsidRPr="002B51D4" w14:paraId="12D4472B" w14:textId="77777777" w:rsidTr="00382939">
        <w:trPr>
          <w:trHeight w:val="283"/>
        </w:trPr>
        <w:tc>
          <w:tcPr>
            <w:tcW w:w="4660" w:type="dxa"/>
            <w:tcBorders>
              <w:top w:val="nil"/>
              <w:left w:val="nil"/>
              <w:bottom w:val="nil"/>
              <w:right w:val="nil"/>
            </w:tcBorders>
            <w:shd w:val="clear" w:color="auto" w:fill="auto"/>
            <w:noWrap/>
            <w:vAlign w:val="bottom"/>
            <w:hideMark/>
          </w:tcPr>
          <w:p w14:paraId="2E3B9DB6"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 xml:space="preserve">Ordinary annual services </w:t>
            </w:r>
            <w:r w:rsidRPr="002B51D4">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401E17DF" w14:textId="77777777" w:rsidR="002B51D4" w:rsidRPr="002B51D4" w:rsidRDefault="002B51D4" w:rsidP="002B51D4">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5D86AE29"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 </w:t>
            </w:r>
          </w:p>
        </w:tc>
      </w:tr>
      <w:tr w:rsidR="002B51D4" w:rsidRPr="002B51D4" w14:paraId="54DCD4D3" w14:textId="77777777" w:rsidTr="002B51D4">
        <w:trPr>
          <w:trHeight w:val="225"/>
        </w:trPr>
        <w:tc>
          <w:tcPr>
            <w:tcW w:w="4660" w:type="dxa"/>
            <w:tcBorders>
              <w:top w:val="nil"/>
              <w:left w:val="nil"/>
              <w:bottom w:val="nil"/>
              <w:right w:val="nil"/>
            </w:tcBorders>
            <w:shd w:val="clear" w:color="auto" w:fill="auto"/>
            <w:noWrap/>
            <w:vAlign w:val="bottom"/>
            <w:hideMark/>
          </w:tcPr>
          <w:p w14:paraId="74BB0227" w14:textId="77777777" w:rsidR="002B51D4" w:rsidRPr="002B51D4" w:rsidRDefault="002B51D4" w:rsidP="002B51D4">
            <w:pPr>
              <w:spacing w:after="0"/>
              <w:ind w:firstLineChars="200" w:firstLine="320"/>
              <w:rPr>
                <w:rFonts w:ascii="Arial" w:hAnsi="Arial" w:cs="Arial"/>
                <w:color w:val="auto"/>
                <w:sz w:val="16"/>
                <w:szCs w:val="16"/>
              </w:rPr>
            </w:pPr>
            <w:r w:rsidRPr="002B51D4">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454E8196"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343</w:t>
            </w:r>
          </w:p>
        </w:tc>
        <w:tc>
          <w:tcPr>
            <w:tcW w:w="1360" w:type="dxa"/>
            <w:tcBorders>
              <w:top w:val="nil"/>
              <w:left w:val="nil"/>
              <w:bottom w:val="nil"/>
              <w:right w:val="nil"/>
            </w:tcBorders>
            <w:shd w:val="clear" w:color="000000" w:fill="D9D9D9"/>
            <w:vAlign w:val="bottom"/>
            <w:hideMark/>
          </w:tcPr>
          <w:p w14:paraId="6FCE353A"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184</w:t>
            </w:r>
          </w:p>
        </w:tc>
      </w:tr>
      <w:tr w:rsidR="002B51D4" w:rsidRPr="002B51D4" w14:paraId="239E4450" w14:textId="77777777" w:rsidTr="00382939">
        <w:trPr>
          <w:trHeight w:val="283"/>
        </w:trPr>
        <w:tc>
          <w:tcPr>
            <w:tcW w:w="4660" w:type="dxa"/>
            <w:tcBorders>
              <w:top w:val="nil"/>
              <w:left w:val="nil"/>
              <w:bottom w:val="nil"/>
              <w:right w:val="nil"/>
            </w:tcBorders>
            <w:shd w:val="clear" w:color="auto" w:fill="auto"/>
            <w:noWrap/>
            <w:vAlign w:val="bottom"/>
            <w:hideMark/>
          </w:tcPr>
          <w:p w14:paraId="36DD8C14"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Other services</w:t>
            </w:r>
            <w:r w:rsidRPr="002B51D4">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6C53A48B" w14:textId="77777777" w:rsidR="002B51D4" w:rsidRPr="002B51D4" w:rsidRDefault="002B51D4" w:rsidP="002B51D4">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5FDC5B0F"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 </w:t>
            </w:r>
          </w:p>
        </w:tc>
      </w:tr>
      <w:tr w:rsidR="002B51D4" w:rsidRPr="002B51D4" w14:paraId="23E39D1E" w14:textId="77777777" w:rsidTr="002B51D4">
        <w:trPr>
          <w:trHeight w:val="225"/>
        </w:trPr>
        <w:tc>
          <w:tcPr>
            <w:tcW w:w="4660" w:type="dxa"/>
            <w:tcBorders>
              <w:top w:val="nil"/>
              <w:left w:val="nil"/>
              <w:bottom w:val="nil"/>
              <w:right w:val="nil"/>
            </w:tcBorders>
            <w:shd w:val="clear" w:color="auto" w:fill="auto"/>
            <w:noWrap/>
            <w:vAlign w:val="bottom"/>
            <w:hideMark/>
          </w:tcPr>
          <w:p w14:paraId="09AF8031" w14:textId="77777777" w:rsidR="002B51D4" w:rsidRPr="002B51D4" w:rsidRDefault="002B51D4" w:rsidP="002B51D4">
            <w:pPr>
              <w:spacing w:after="0"/>
              <w:ind w:firstLineChars="200" w:firstLine="320"/>
              <w:rPr>
                <w:rFonts w:ascii="Arial" w:hAnsi="Arial" w:cs="Arial"/>
                <w:color w:val="auto"/>
                <w:sz w:val="16"/>
                <w:szCs w:val="16"/>
              </w:rPr>
            </w:pPr>
            <w:r w:rsidRPr="002B51D4">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2CD58416"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163900E2"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w:t>
            </w:r>
          </w:p>
        </w:tc>
      </w:tr>
      <w:tr w:rsidR="002B51D4" w:rsidRPr="002B51D4" w14:paraId="55F52339" w14:textId="77777777" w:rsidTr="002B51D4">
        <w:trPr>
          <w:trHeight w:val="225"/>
        </w:trPr>
        <w:tc>
          <w:tcPr>
            <w:tcW w:w="4660" w:type="dxa"/>
            <w:tcBorders>
              <w:top w:val="nil"/>
              <w:left w:val="nil"/>
              <w:bottom w:val="nil"/>
              <w:right w:val="nil"/>
            </w:tcBorders>
            <w:shd w:val="clear" w:color="auto" w:fill="auto"/>
            <w:noWrap/>
            <w:vAlign w:val="bottom"/>
            <w:hideMark/>
          </w:tcPr>
          <w:p w14:paraId="6E0F5885" w14:textId="77777777" w:rsidR="002B51D4" w:rsidRPr="002B51D4" w:rsidRDefault="002B51D4" w:rsidP="002B51D4">
            <w:pPr>
              <w:spacing w:after="0"/>
              <w:ind w:leftChars="75" w:left="143"/>
              <w:rPr>
                <w:rFonts w:ascii="Arial" w:hAnsi="Arial" w:cs="Arial"/>
                <w:b/>
                <w:bCs/>
                <w:color w:val="auto"/>
                <w:sz w:val="16"/>
                <w:szCs w:val="16"/>
              </w:rPr>
            </w:pPr>
            <w:r w:rsidRPr="002B51D4">
              <w:rPr>
                <w:rFonts w:ascii="Arial" w:hAnsi="Arial" w:cs="Arial"/>
                <w:b/>
                <w:bCs/>
                <w:color w:val="auto"/>
                <w:sz w:val="16"/>
                <w:szCs w:val="16"/>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14:paraId="5DC3D13D"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343</w:t>
            </w:r>
          </w:p>
        </w:tc>
        <w:tc>
          <w:tcPr>
            <w:tcW w:w="1360" w:type="dxa"/>
            <w:tcBorders>
              <w:top w:val="nil"/>
              <w:left w:val="nil"/>
              <w:bottom w:val="single" w:sz="4" w:space="0" w:color="auto"/>
              <w:right w:val="nil"/>
            </w:tcBorders>
            <w:shd w:val="clear" w:color="000000" w:fill="D9D9D9"/>
            <w:noWrap/>
            <w:vAlign w:val="bottom"/>
            <w:hideMark/>
          </w:tcPr>
          <w:p w14:paraId="3C3EF2CB"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184</w:t>
            </w:r>
          </w:p>
        </w:tc>
      </w:tr>
      <w:tr w:rsidR="002B51D4" w:rsidRPr="002B51D4" w14:paraId="7BBAB245" w14:textId="77777777" w:rsidTr="00382939">
        <w:trPr>
          <w:trHeight w:val="283"/>
        </w:trPr>
        <w:tc>
          <w:tcPr>
            <w:tcW w:w="4660" w:type="dxa"/>
            <w:tcBorders>
              <w:top w:val="nil"/>
              <w:left w:val="nil"/>
              <w:bottom w:val="nil"/>
              <w:right w:val="nil"/>
            </w:tcBorders>
            <w:shd w:val="clear" w:color="auto" w:fill="auto"/>
            <w:noWrap/>
            <w:vAlign w:val="bottom"/>
            <w:hideMark/>
          </w:tcPr>
          <w:p w14:paraId="38551481"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Special accounts</w:t>
            </w:r>
            <w:r w:rsidRPr="002B51D4">
              <w:rPr>
                <w:rFonts w:ascii="Arial" w:hAnsi="Arial" w:cs="Arial"/>
                <w:b/>
                <w:bCs/>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330067B0" w14:textId="77777777" w:rsidR="002B51D4" w:rsidRPr="002B51D4" w:rsidRDefault="002B51D4" w:rsidP="002B51D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196A813"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 </w:t>
            </w:r>
          </w:p>
        </w:tc>
      </w:tr>
      <w:tr w:rsidR="002B51D4" w:rsidRPr="002B51D4" w14:paraId="4CF08F02" w14:textId="77777777" w:rsidTr="00382939">
        <w:trPr>
          <w:trHeight w:val="283"/>
        </w:trPr>
        <w:tc>
          <w:tcPr>
            <w:tcW w:w="4660" w:type="dxa"/>
            <w:tcBorders>
              <w:top w:val="nil"/>
              <w:left w:val="nil"/>
              <w:bottom w:val="nil"/>
              <w:right w:val="nil"/>
            </w:tcBorders>
            <w:shd w:val="clear" w:color="auto" w:fill="auto"/>
            <w:noWrap/>
            <w:vAlign w:val="bottom"/>
            <w:hideMark/>
          </w:tcPr>
          <w:p w14:paraId="44560B4F"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 xml:space="preserve">Opening balance </w:t>
            </w:r>
          </w:p>
        </w:tc>
        <w:tc>
          <w:tcPr>
            <w:tcW w:w="1360" w:type="dxa"/>
            <w:tcBorders>
              <w:top w:val="nil"/>
              <w:left w:val="nil"/>
              <w:bottom w:val="nil"/>
              <w:right w:val="nil"/>
            </w:tcBorders>
            <w:shd w:val="clear" w:color="auto" w:fill="auto"/>
            <w:noWrap/>
            <w:vAlign w:val="bottom"/>
            <w:hideMark/>
          </w:tcPr>
          <w:p w14:paraId="33FCB47C"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138,786</w:t>
            </w:r>
          </w:p>
        </w:tc>
        <w:tc>
          <w:tcPr>
            <w:tcW w:w="1360" w:type="dxa"/>
            <w:tcBorders>
              <w:top w:val="nil"/>
              <w:left w:val="nil"/>
              <w:bottom w:val="nil"/>
              <w:right w:val="nil"/>
            </w:tcBorders>
            <w:shd w:val="clear" w:color="000000" w:fill="D9D9D9"/>
            <w:noWrap/>
            <w:vAlign w:val="bottom"/>
            <w:hideMark/>
          </w:tcPr>
          <w:p w14:paraId="00A4CA46"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182,356</w:t>
            </w:r>
          </w:p>
        </w:tc>
      </w:tr>
      <w:tr w:rsidR="002B51D4" w:rsidRPr="002B51D4" w14:paraId="5C412030" w14:textId="77777777" w:rsidTr="002B51D4">
        <w:trPr>
          <w:trHeight w:val="225"/>
        </w:trPr>
        <w:tc>
          <w:tcPr>
            <w:tcW w:w="4660" w:type="dxa"/>
            <w:tcBorders>
              <w:top w:val="nil"/>
              <w:left w:val="nil"/>
              <w:bottom w:val="nil"/>
              <w:right w:val="nil"/>
            </w:tcBorders>
            <w:shd w:val="clear" w:color="auto" w:fill="auto"/>
            <w:noWrap/>
            <w:vAlign w:val="bottom"/>
            <w:hideMark/>
          </w:tcPr>
          <w:p w14:paraId="43AB26AE"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Appropriation receipts</w:t>
            </w:r>
          </w:p>
        </w:tc>
        <w:tc>
          <w:tcPr>
            <w:tcW w:w="1360" w:type="dxa"/>
            <w:tcBorders>
              <w:top w:val="nil"/>
              <w:left w:val="nil"/>
              <w:bottom w:val="nil"/>
              <w:right w:val="nil"/>
            </w:tcBorders>
            <w:shd w:val="clear" w:color="auto" w:fill="auto"/>
            <w:noWrap/>
            <w:vAlign w:val="bottom"/>
            <w:hideMark/>
          </w:tcPr>
          <w:p w14:paraId="17F7B62F"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343</w:t>
            </w:r>
          </w:p>
        </w:tc>
        <w:tc>
          <w:tcPr>
            <w:tcW w:w="1360" w:type="dxa"/>
            <w:tcBorders>
              <w:top w:val="nil"/>
              <w:left w:val="nil"/>
              <w:bottom w:val="nil"/>
              <w:right w:val="nil"/>
            </w:tcBorders>
            <w:shd w:val="clear" w:color="000000" w:fill="D9D9D9"/>
            <w:noWrap/>
            <w:vAlign w:val="bottom"/>
            <w:hideMark/>
          </w:tcPr>
          <w:p w14:paraId="1514DBCE"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184</w:t>
            </w:r>
          </w:p>
        </w:tc>
      </w:tr>
      <w:tr w:rsidR="002B51D4" w:rsidRPr="002B51D4" w14:paraId="147B127A" w14:textId="77777777" w:rsidTr="002B51D4">
        <w:trPr>
          <w:trHeight w:val="225"/>
        </w:trPr>
        <w:tc>
          <w:tcPr>
            <w:tcW w:w="4660" w:type="dxa"/>
            <w:tcBorders>
              <w:top w:val="nil"/>
              <w:left w:val="nil"/>
              <w:bottom w:val="nil"/>
              <w:right w:val="nil"/>
            </w:tcBorders>
            <w:shd w:val="clear" w:color="auto" w:fill="auto"/>
            <w:noWrap/>
            <w:vAlign w:val="bottom"/>
            <w:hideMark/>
          </w:tcPr>
          <w:p w14:paraId="497CADAD"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Appropriation receipts - other entities</w:t>
            </w:r>
            <w:r w:rsidRPr="002B51D4">
              <w:rPr>
                <w:rFonts w:ascii="Arial" w:hAnsi="Arial" w:cs="Arial"/>
                <w:color w:val="auto"/>
                <w:sz w:val="16"/>
                <w:szCs w:val="16"/>
                <w:vertAlign w:val="superscript"/>
              </w:rPr>
              <w:t xml:space="preserve"> (g)</w:t>
            </w:r>
          </w:p>
        </w:tc>
        <w:tc>
          <w:tcPr>
            <w:tcW w:w="1360" w:type="dxa"/>
            <w:tcBorders>
              <w:top w:val="nil"/>
              <w:left w:val="nil"/>
              <w:bottom w:val="nil"/>
              <w:right w:val="nil"/>
            </w:tcBorders>
            <w:shd w:val="clear" w:color="auto" w:fill="auto"/>
            <w:noWrap/>
            <w:vAlign w:val="bottom"/>
            <w:hideMark/>
          </w:tcPr>
          <w:p w14:paraId="4F1F9053"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8F0AF20"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531</w:t>
            </w:r>
          </w:p>
        </w:tc>
      </w:tr>
      <w:tr w:rsidR="002B51D4" w:rsidRPr="002B51D4" w14:paraId="3E7AC0D8" w14:textId="77777777" w:rsidTr="002B51D4">
        <w:trPr>
          <w:trHeight w:val="225"/>
        </w:trPr>
        <w:tc>
          <w:tcPr>
            <w:tcW w:w="4660" w:type="dxa"/>
            <w:tcBorders>
              <w:top w:val="nil"/>
              <w:left w:val="nil"/>
              <w:bottom w:val="nil"/>
              <w:right w:val="nil"/>
            </w:tcBorders>
            <w:shd w:val="clear" w:color="auto" w:fill="auto"/>
            <w:noWrap/>
            <w:vAlign w:val="bottom"/>
            <w:hideMark/>
          </w:tcPr>
          <w:p w14:paraId="5080A078"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14:paraId="719906BD"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1,536,635</w:t>
            </w:r>
          </w:p>
        </w:tc>
        <w:tc>
          <w:tcPr>
            <w:tcW w:w="1360" w:type="dxa"/>
            <w:tcBorders>
              <w:top w:val="nil"/>
              <w:left w:val="nil"/>
              <w:bottom w:val="nil"/>
              <w:right w:val="nil"/>
            </w:tcBorders>
            <w:shd w:val="clear" w:color="000000" w:fill="D9D9D9"/>
            <w:noWrap/>
            <w:vAlign w:val="bottom"/>
            <w:hideMark/>
          </w:tcPr>
          <w:p w14:paraId="16A47720"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1,564,180</w:t>
            </w:r>
          </w:p>
        </w:tc>
      </w:tr>
      <w:tr w:rsidR="002B51D4" w:rsidRPr="002B51D4" w14:paraId="18326B23" w14:textId="77777777" w:rsidTr="002B51D4">
        <w:trPr>
          <w:trHeight w:val="225"/>
        </w:trPr>
        <w:tc>
          <w:tcPr>
            <w:tcW w:w="4660" w:type="dxa"/>
            <w:tcBorders>
              <w:top w:val="nil"/>
              <w:left w:val="nil"/>
              <w:bottom w:val="nil"/>
              <w:right w:val="nil"/>
            </w:tcBorders>
            <w:shd w:val="clear" w:color="auto" w:fill="auto"/>
            <w:noWrap/>
            <w:vAlign w:val="bottom"/>
            <w:hideMark/>
          </w:tcPr>
          <w:p w14:paraId="0644FD7B" w14:textId="77777777" w:rsidR="002B51D4" w:rsidRPr="002B51D4" w:rsidRDefault="002B51D4" w:rsidP="002B51D4">
            <w:pPr>
              <w:spacing w:after="0"/>
              <w:ind w:leftChars="75" w:left="143"/>
              <w:rPr>
                <w:rFonts w:ascii="Arial" w:hAnsi="Arial" w:cs="Arial"/>
                <w:b/>
                <w:bCs/>
                <w:color w:val="auto"/>
                <w:sz w:val="16"/>
                <w:szCs w:val="16"/>
              </w:rPr>
            </w:pPr>
            <w:r w:rsidRPr="002B51D4">
              <w:rPr>
                <w:rFonts w:ascii="Arial" w:hAnsi="Arial" w:cs="Arial"/>
                <w:b/>
                <w:bCs/>
                <w:color w:val="auto"/>
                <w:sz w:val="16"/>
                <w:szCs w:val="16"/>
              </w:rPr>
              <w:t>Total special accounts</w:t>
            </w:r>
          </w:p>
        </w:tc>
        <w:tc>
          <w:tcPr>
            <w:tcW w:w="1360" w:type="dxa"/>
            <w:tcBorders>
              <w:top w:val="nil"/>
              <w:left w:val="nil"/>
              <w:bottom w:val="single" w:sz="4" w:space="0" w:color="auto"/>
              <w:right w:val="nil"/>
            </w:tcBorders>
            <w:shd w:val="clear" w:color="auto" w:fill="auto"/>
            <w:noWrap/>
            <w:vAlign w:val="bottom"/>
            <w:hideMark/>
          </w:tcPr>
          <w:p w14:paraId="1FBD1773"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1,536,978</w:t>
            </w:r>
          </w:p>
        </w:tc>
        <w:tc>
          <w:tcPr>
            <w:tcW w:w="1360" w:type="dxa"/>
            <w:tcBorders>
              <w:top w:val="nil"/>
              <w:left w:val="nil"/>
              <w:bottom w:val="single" w:sz="4" w:space="0" w:color="auto"/>
              <w:right w:val="nil"/>
            </w:tcBorders>
            <w:shd w:val="clear" w:color="000000" w:fill="D9D9D9"/>
            <w:noWrap/>
            <w:vAlign w:val="bottom"/>
            <w:hideMark/>
          </w:tcPr>
          <w:p w14:paraId="3439605C"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1,564,895</w:t>
            </w:r>
          </w:p>
        </w:tc>
      </w:tr>
      <w:tr w:rsidR="002B51D4" w:rsidRPr="002B51D4" w14:paraId="2FF28895" w14:textId="77777777" w:rsidTr="00382939">
        <w:trPr>
          <w:trHeight w:val="454"/>
        </w:trPr>
        <w:tc>
          <w:tcPr>
            <w:tcW w:w="4660" w:type="dxa"/>
            <w:tcBorders>
              <w:top w:val="nil"/>
              <w:left w:val="nil"/>
              <w:bottom w:val="nil"/>
              <w:right w:val="nil"/>
            </w:tcBorders>
            <w:shd w:val="clear" w:color="auto" w:fill="auto"/>
            <w:vAlign w:val="bottom"/>
            <w:hideMark/>
          </w:tcPr>
          <w:p w14:paraId="6144DCA7" w14:textId="77777777" w:rsidR="002B51D4" w:rsidRPr="002B51D4" w:rsidRDefault="002B51D4" w:rsidP="002B51D4">
            <w:pPr>
              <w:spacing w:after="0"/>
              <w:ind w:leftChars="75" w:left="143"/>
              <w:rPr>
                <w:rFonts w:ascii="Arial" w:hAnsi="Arial" w:cs="Arial"/>
                <w:color w:val="auto"/>
                <w:sz w:val="16"/>
                <w:szCs w:val="16"/>
              </w:rPr>
            </w:pPr>
            <w:r w:rsidRPr="002B51D4">
              <w:rPr>
                <w:rFonts w:ascii="Arial" w:hAnsi="Arial" w:cs="Arial"/>
                <w:color w:val="auto"/>
                <w:sz w:val="16"/>
                <w:szCs w:val="16"/>
              </w:rPr>
              <w:t>Less appropriations drawn from annual or special appropriations above and credited to special accounts</w:t>
            </w:r>
            <w:r w:rsidRPr="002B51D4">
              <w:rPr>
                <w:rFonts w:ascii="Arial" w:hAnsi="Arial" w:cs="Arial"/>
                <w:color w:val="auto"/>
                <w:sz w:val="16"/>
                <w:szCs w:val="16"/>
                <w:vertAlign w:val="superscript"/>
              </w:rPr>
              <w:t xml:space="preserve"> (f)</w:t>
            </w:r>
          </w:p>
        </w:tc>
        <w:tc>
          <w:tcPr>
            <w:tcW w:w="1360" w:type="dxa"/>
            <w:tcBorders>
              <w:top w:val="nil"/>
              <w:left w:val="nil"/>
              <w:bottom w:val="nil"/>
              <w:right w:val="nil"/>
            </w:tcBorders>
            <w:shd w:val="clear" w:color="auto" w:fill="auto"/>
            <w:noWrap/>
            <w:vAlign w:val="bottom"/>
            <w:hideMark/>
          </w:tcPr>
          <w:p w14:paraId="29D1E2B0"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(343)</w:t>
            </w:r>
          </w:p>
        </w:tc>
        <w:tc>
          <w:tcPr>
            <w:tcW w:w="1360" w:type="dxa"/>
            <w:tcBorders>
              <w:top w:val="nil"/>
              <w:left w:val="nil"/>
              <w:bottom w:val="nil"/>
              <w:right w:val="nil"/>
            </w:tcBorders>
            <w:shd w:val="clear" w:color="000000" w:fill="D9D9D9"/>
            <w:noWrap/>
            <w:vAlign w:val="bottom"/>
            <w:hideMark/>
          </w:tcPr>
          <w:p w14:paraId="73F2429D"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(184)</w:t>
            </w:r>
          </w:p>
        </w:tc>
      </w:tr>
      <w:tr w:rsidR="002B51D4" w:rsidRPr="002B51D4" w14:paraId="624E1EDC" w14:textId="77777777" w:rsidTr="00382939">
        <w:trPr>
          <w:trHeight w:val="283"/>
        </w:trPr>
        <w:tc>
          <w:tcPr>
            <w:tcW w:w="4660" w:type="dxa"/>
            <w:tcBorders>
              <w:top w:val="nil"/>
              <w:left w:val="nil"/>
              <w:bottom w:val="nil"/>
              <w:right w:val="nil"/>
            </w:tcBorders>
            <w:shd w:val="clear" w:color="auto" w:fill="auto"/>
            <w:noWrap/>
            <w:vAlign w:val="bottom"/>
            <w:hideMark/>
          </w:tcPr>
          <w:p w14:paraId="066E863D"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592077EC"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1,536,978</w:t>
            </w:r>
          </w:p>
        </w:tc>
        <w:tc>
          <w:tcPr>
            <w:tcW w:w="1360" w:type="dxa"/>
            <w:tcBorders>
              <w:top w:val="nil"/>
              <w:left w:val="nil"/>
              <w:bottom w:val="single" w:sz="4" w:space="0" w:color="auto"/>
              <w:right w:val="nil"/>
            </w:tcBorders>
            <w:shd w:val="clear" w:color="000000" w:fill="D9D9D9"/>
            <w:noWrap/>
            <w:vAlign w:val="bottom"/>
            <w:hideMark/>
          </w:tcPr>
          <w:p w14:paraId="4DA5878E"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1,564,895</w:t>
            </w:r>
          </w:p>
        </w:tc>
      </w:tr>
      <w:tr w:rsidR="002B51D4" w:rsidRPr="002B51D4" w14:paraId="226E28E6" w14:textId="77777777" w:rsidTr="00382939">
        <w:trPr>
          <w:trHeight w:val="283"/>
        </w:trPr>
        <w:tc>
          <w:tcPr>
            <w:tcW w:w="4660" w:type="dxa"/>
            <w:tcBorders>
              <w:top w:val="nil"/>
              <w:left w:val="nil"/>
              <w:bottom w:val="single" w:sz="4" w:space="0" w:color="auto"/>
              <w:right w:val="nil"/>
            </w:tcBorders>
            <w:shd w:val="clear" w:color="auto" w:fill="auto"/>
            <w:noWrap/>
            <w:vAlign w:val="bottom"/>
            <w:hideMark/>
          </w:tcPr>
          <w:p w14:paraId="6A02DAAD"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Total resourcing for NBA</w:t>
            </w:r>
          </w:p>
        </w:tc>
        <w:tc>
          <w:tcPr>
            <w:tcW w:w="1360" w:type="dxa"/>
            <w:tcBorders>
              <w:top w:val="nil"/>
              <w:left w:val="nil"/>
              <w:bottom w:val="single" w:sz="4" w:space="0" w:color="auto"/>
              <w:right w:val="nil"/>
            </w:tcBorders>
            <w:shd w:val="clear" w:color="auto" w:fill="auto"/>
            <w:noWrap/>
            <w:vAlign w:val="bottom"/>
            <w:hideMark/>
          </w:tcPr>
          <w:p w14:paraId="0A8C0940"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1,549,673</w:t>
            </w:r>
          </w:p>
        </w:tc>
        <w:tc>
          <w:tcPr>
            <w:tcW w:w="1360" w:type="dxa"/>
            <w:tcBorders>
              <w:top w:val="nil"/>
              <w:left w:val="nil"/>
              <w:bottom w:val="single" w:sz="4" w:space="0" w:color="auto"/>
              <w:right w:val="nil"/>
            </w:tcBorders>
            <w:shd w:val="clear" w:color="000000" w:fill="D9D9D9"/>
            <w:noWrap/>
            <w:vAlign w:val="bottom"/>
            <w:hideMark/>
          </w:tcPr>
          <w:p w14:paraId="394B8D07"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1,576,180</w:t>
            </w:r>
          </w:p>
        </w:tc>
      </w:tr>
      <w:tr w:rsidR="002B51D4" w:rsidRPr="002B51D4" w14:paraId="21E73392" w14:textId="77777777" w:rsidTr="00382939">
        <w:trPr>
          <w:trHeight w:val="283"/>
        </w:trPr>
        <w:tc>
          <w:tcPr>
            <w:tcW w:w="4660" w:type="dxa"/>
            <w:tcBorders>
              <w:top w:val="nil"/>
              <w:left w:val="nil"/>
              <w:bottom w:val="single" w:sz="4" w:space="0" w:color="auto"/>
              <w:right w:val="nil"/>
            </w:tcBorders>
            <w:shd w:val="clear" w:color="auto" w:fill="auto"/>
            <w:noWrap/>
            <w:vAlign w:val="bottom"/>
            <w:hideMark/>
          </w:tcPr>
          <w:p w14:paraId="7723D3D9" w14:textId="77777777" w:rsidR="002B51D4" w:rsidRPr="002B51D4" w:rsidRDefault="002B51D4" w:rsidP="002B51D4">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48312EF" w14:textId="77777777" w:rsidR="002B51D4" w:rsidRPr="002B51D4" w:rsidRDefault="002B51D4" w:rsidP="002B51D4">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237A3245" w14:textId="77777777" w:rsidR="002B51D4" w:rsidRPr="002B51D4" w:rsidRDefault="002B51D4" w:rsidP="002B51D4">
            <w:pPr>
              <w:spacing w:after="0"/>
              <w:rPr>
                <w:rFonts w:ascii="Times New Roman" w:hAnsi="Times New Roman"/>
                <w:color w:val="auto"/>
                <w:sz w:val="20"/>
              </w:rPr>
            </w:pPr>
          </w:p>
        </w:tc>
      </w:tr>
      <w:tr w:rsidR="002B51D4" w:rsidRPr="002B51D4" w14:paraId="5CEF3174" w14:textId="77777777" w:rsidTr="00382939">
        <w:trPr>
          <w:trHeight w:val="283"/>
        </w:trPr>
        <w:tc>
          <w:tcPr>
            <w:tcW w:w="4660" w:type="dxa"/>
            <w:tcBorders>
              <w:top w:val="single" w:sz="4" w:space="0" w:color="auto"/>
              <w:left w:val="nil"/>
              <w:bottom w:val="nil"/>
              <w:right w:val="nil"/>
            </w:tcBorders>
            <w:shd w:val="clear" w:color="auto" w:fill="auto"/>
            <w:noWrap/>
            <w:vAlign w:val="bottom"/>
            <w:hideMark/>
          </w:tcPr>
          <w:p w14:paraId="3DB22BDA" w14:textId="77777777" w:rsidR="002B51D4" w:rsidRPr="002B51D4" w:rsidRDefault="002B51D4" w:rsidP="002B51D4">
            <w:pPr>
              <w:spacing w:after="0"/>
              <w:jc w:val="right"/>
              <w:rPr>
                <w:rFonts w:ascii="Times New Roman" w:hAnsi="Times New Roman"/>
                <w:color w:val="auto"/>
                <w:sz w:val="20"/>
              </w:rPr>
            </w:pPr>
          </w:p>
        </w:tc>
        <w:tc>
          <w:tcPr>
            <w:tcW w:w="1360" w:type="dxa"/>
            <w:tcBorders>
              <w:top w:val="single" w:sz="4" w:space="0" w:color="auto"/>
              <w:left w:val="nil"/>
              <w:bottom w:val="nil"/>
              <w:right w:val="nil"/>
            </w:tcBorders>
            <w:shd w:val="clear" w:color="auto" w:fill="auto"/>
            <w:noWrap/>
            <w:vAlign w:val="bottom"/>
            <w:hideMark/>
          </w:tcPr>
          <w:p w14:paraId="77490C6E"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vAlign w:val="bottom"/>
            <w:hideMark/>
          </w:tcPr>
          <w:p w14:paraId="486EC7AE" w14:textId="77777777" w:rsidR="002B51D4" w:rsidRPr="002B51D4" w:rsidRDefault="002B51D4" w:rsidP="002B51D4">
            <w:pPr>
              <w:spacing w:after="0"/>
              <w:jc w:val="right"/>
              <w:rPr>
                <w:rFonts w:ascii="Arial" w:hAnsi="Arial" w:cs="Arial"/>
                <w:b/>
                <w:bCs/>
                <w:color w:val="auto"/>
                <w:sz w:val="16"/>
                <w:szCs w:val="16"/>
              </w:rPr>
            </w:pPr>
            <w:r w:rsidRPr="002B51D4">
              <w:rPr>
                <w:rFonts w:ascii="Arial" w:hAnsi="Arial" w:cs="Arial"/>
                <w:b/>
                <w:bCs/>
                <w:color w:val="auto"/>
                <w:sz w:val="16"/>
                <w:szCs w:val="16"/>
              </w:rPr>
              <w:t>2022–23</w:t>
            </w:r>
          </w:p>
        </w:tc>
      </w:tr>
      <w:tr w:rsidR="002B51D4" w:rsidRPr="002B51D4" w14:paraId="380443D7" w14:textId="77777777" w:rsidTr="00382939">
        <w:trPr>
          <w:trHeight w:val="283"/>
        </w:trPr>
        <w:tc>
          <w:tcPr>
            <w:tcW w:w="4660" w:type="dxa"/>
            <w:tcBorders>
              <w:top w:val="nil"/>
              <w:left w:val="nil"/>
              <w:bottom w:val="single" w:sz="4" w:space="0" w:color="auto"/>
              <w:right w:val="nil"/>
            </w:tcBorders>
            <w:shd w:val="clear" w:color="auto" w:fill="auto"/>
            <w:noWrap/>
            <w:vAlign w:val="bottom"/>
            <w:hideMark/>
          </w:tcPr>
          <w:p w14:paraId="5F4927C6" w14:textId="77777777" w:rsidR="002B51D4" w:rsidRPr="002B51D4" w:rsidRDefault="002B51D4" w:rsidP="002B51D4">
            <w:pPr>
              <w:spacing w:after="0"/>
              <w:rPr>
                <w:rFonts w:ascii="Arial" w:hAnsi="Arial" w:cs="Arial"/>
                <w:b/>
                <w:bCs/>
                <w:color w:val="auto"/>
                <w:sz w:val="16"/>
                <w:szCs w:val="16"/>
              </w:rPr>
            </w:pPr>
            <w:r w:rsidRPr="002B51D4">
              <w:rPr>
                <w:rFonts w:ascii="Arial" w:hAnsi="Arial" w:cs="Arial"/>
                <w:b/>
                <w:bCs/>
                <w:color w:val="auto"/>
                <w:sz w:val="16"/>
                <w:szCs w:val="16"/>
              </w:rPr>
              <w:t>Average staffing level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1487C1B5"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60</w:t>
            </w:r>
          </w:p>
        </w:tc>
        <w:tc>
          <w:tcPr>
            <w:tcW w:w="1360" w:type="dxa"/>
            <w:tcBorders>
              <w:top w:val="single" w:sz="4" w:space="0" w:color="auto"/>
              <w:left w:val="nil"/>
              <w:bottom w:val="single" w:sz="4" w:space="0" w:color="auto"/>
              <w:right w:val="nil"/>
            </w:tcBorders>
            <w:shd w:val="clear" w:color="000000" w:fill="D9D9D9"/>
            <w:noWrap/>
            <w:vAlign w:val="bottom"/>
            <w:hideMark/>
          </w:tcPr>
          <w:p w14:paraId="371EEA03" w14:textId="77777777" w:rsidR="002B51D4" w:rsidRPr="002B51D4" w:rsidRDefault="002B51D4" w:rsidP="002B51D4">
            <w:pPr>
              <w:spacing w:after="0"/>
              <w:jc w:val="right"/>
              <w:rPr>
                <w:rFonts w:ascii="Arial" w:hAnsi="Arial" w:cs="Arial"/>
                <w:color w:val="auto"/>
                <w:sz w:val="16"/>
                <w:szCs w:val="16"/>
              </w:rPr>
            </w:pPr>
            <w:r w:rsidRPr="002B51D4">
              <w:rPr>
                <w:rFonts w:ascii="Arial" w:hAnsi="Arial" w:cs="Arial"/>
                <w:color w:val="auto"/>
                <w:sz w:val="16"/>
                <w:szCs w:val="16"/>
              </w:rPr>
              <w:t>52</w:t>
            </w:r>
          </w:p>
        </w:tc>
      </w:tr>
    </w:tbl>
    <w:p w14:paraId="4C2CD133" w14:textId="2433B827" w:rsidR="00723981" w:rsidRDefault="00723981" w:rsidP="00723981">
      <w:pPr>
        <w:pStyle w:val="FootnoteText"/>
        <w:spacing w:before="120"/>
      </w:pPr>
      <w:r>
        <w:t>All figures are GST exclusive.</w:t>
      </w:r>
    </w:p>
    <w:p w14:paraId="6E6271CF" w14:textId="0927E509" w:rsidR="00723981" w:rsidRDefault="00723981" w:rsidP="005F0E38">
      <w:pPr>
        <w:pStyle w:val="FooterEven"/>
      </w:pPr>
      <w:r w:rsidRPr="00723981">
        <w:rPr>
          <w:vertAlign w:val="superscript"/>
        </w:rPr>
        <w:t>(a)</w:t>
      </w:r>
      <w:r>
        <w:tab/>
      </w:r>
      <w:r w:rsidRPr="005F0E38">
        <w:t>Appropriation</w:t>
      </w:r>
      <w:r>
        <w:t xml:space="preserve"> Bill (No. 1) 2022–23, Supply Bill (No.3) 2022–23 and </w:t>
      </w:r>
      <w:r w:rsidRPr="0020547B">
        <w:rPr>
          <w:i/>
        </w:rPr>
        <w:t>Supply Act (No.1) 2022–23</w:t>
      </w:r>
      <w:r>
        <w:t>.</w:t>
      </w:r>
    </w:p>
    <w:p w14:paraId="51B4FBB3" w14:textId="604337E0" w:rsidR="00723981" w:rsidRDefault="00723981" w:rsidP="00723981">
      <w:pPr>
        <w:pStyle w:val="FootnoteText"/>
      </w:pPr>
      <w:r w:rsidRPr="00723981">
        <w:rPr>
          <w:vertAlign w:val="superscript"/>
        </w:rPr>
        <w:t>(b)</w:t>
      </w:r>
      <w:r>
        <w:tab/>
        <w:t xml:space="preserve">Estimated retained revenue receipts under section 74 of the </w:t>
      </w:r>
      <w:r w:rsidRPr="00723981">
        <w:rPr>
          <w:i/>
        </w:rPr>
        <w:t>Public Governance, Performance and Accountability Act 2013</w:t>
      </w:r>
      <w:r>
        <w:t xml:space="preserve"> (PGPA Act).</w:t>
      </w:r>
    </w:p>
    <w:p w14:paraId="2728D247" w14:textId="75122867" w:rsidR="00723981" w:rsidRDefault="00723981" w:rsidP="00723981">
      <w:pPr>
        <w:pStyle w:val="FootnoteText"/>
      </w:pPr>
      <w:r w:rsidRPr="00723981">
        <w:rPr>
          <w:vertAlign w:val="superscript"/>
        </w:rPr>
        <w:t>(c)</w:t>
      </w:r>
      <w:r>
        <w:tab/>
        <w:t xml:space="preserve">Departmental Capital Budgets (DCB) are not separately identified in </w:t>
      </w:r>
      <w:r w:rsidRPr="00E65541">
        <w:t xml:space="preserve">Appropriation </w:t>
      </w:r>
      <w:r w:rsidR="00E65541" w:rsidRPr="00E65541">
        <w:t>Bill</w:t>
      </w:r>
      <w:r w:rsidR="00491676" w:rsidRPr="00E65541">
        <w:t xml:space="preserve"> (No.</w:t>
      </w:r>
      <w:r w:rsidRPr="00E65541">
        <w:t>1)</w:t>
      </w:r>
      <w:r>
        <w:t xml:space="preserve"> and form part of ordinary annual services items. Please refer to Table 3.5 within this chapter for further details. For accounting purposes, this amount has been designated as a 'contribution by owner'.</w:t>
      </w:r>
    </w:p>
    <w:p w14:paraId="6417B5DF" w14:textId="1570E0E5" w:rsidR="00723981" w:rsidRDefault="00723981" w:rsidP="00723981">
      <w:pPr>
        <w:pStyle w:val="FootnoteText"/>
      </w:pPr>
      <w:r w:rsidRPr="00723981">
        <w:rPr>
          <w:vertAlign w:val="superscript"/>
        </w:rPr>
        <w:t>(d)</w:t>
      </w:r>
      <w:r>
        <w:tab/>
        <w:t>Appropriation Bill (No. 2) 2022–23.</w:t>
      </w:r>
    </w:p>
    <w:p w14:paraId="7CA9222C" w14:textId="2329BB3D" w:rsidR="00723981" w:rsidRDefault="00723981" w:rsidP="00723981">
      <w:pPr>
        <w:pStyle w:val="FootnoteText"/>
      </w:pPr>
      <w:r w:rsidRPr="00723981">
        <w:rPr>
          <w:vertAlign w:val="superscript"/>
        </w:rPr>
        <w:t>(e)</w:t>
      </w:r>
      <w:r>
        <w:tab/>
        <w:t xml:space="preserve">For further information on special appropriations and special accounts, please refer to </w:t>
      </w:r>
      <w:r w:rsidRPr="002B51D4">
        <w:rPr>
          <w:i/>
        </w:rPr>
        <w:t>Budget Paper No. 4 - Agency Resourcing</w:t>
      </w:r>
      <w:r>
        <w:t>. Also see Table 2.1 within this chapter for further information on outcome and program expenses broken down by various funding sources, e.g. annual appropriations, special appropriations and special accounts.</w:t>
      </w:r>
    </w:p>
    <w:p w14:paraId="7F90DCFA" w14:textId="4AD6BB50" w:rsidR="00723981" w:rsidRDefault="00723981" w:rsidP="00723981">
      <w:pPr>
        <w:pStyle w:val="FootnoteText"/>
      </w:pPr>
      <w:r w:rsidRPr="00723981">
        <w:rPr>
          <w:vertAlign w:val="superscript"/>
        </w:rPr>
        <w:t>(f)</w:t>
      </w:r>
      <w:r>
        <w:tab/>
        <w:t>Appropriation receipts included above.</w:t>
      </w:r>
    </w:p>
    <w:p w14:paraId="338ECAD5" w14:textId="09FAB3BD" w:rsidR="0020547B" w:rsidRDefault="00723981" w:rsidP="0020547B">
      <w:pPr>
        <w:pStyle w:val="FootnoteText"/>
      </w:pPr>
      <w:r w:rsidRPr="00723981">
        <w:rPr>
          <w:vertAlign w:val="superscript"/>
        </w:rPr>
        <w:t>(g)</w:t>
      </w:r>
      <w:r w:rsidRPr="00723981">
        <w:rPr>
          <w:vertAlign w:val="superscript"/>
        </w:rPr>
        <w:tab/>
      </w:r>
      <w:r>
        <w:t>Appropriation receipts from the Department of Health</w:t>
      </w:r>
      <w:r w:rsidR="0020547B" w:rsidRPr="0020547B">
        <w:t xml:space="preserve"> </w:t>
      </w:r>
      <w:r w:rsidR="0020547B">
        <w:t>and Aged Care</w:t>
      </w:r>
      <w:r>
        <w:t>.</w:t>
      </w:r>
    </w:p>
    <w:p w14:paraId="0EAA467E" w14:textId="0154F6DA" w:rsidR="00723981" w:rsidRDefault="00723981" w:rsidP="0020547B">
      <w:pPr>
        <w:pStyle w:val="FootnoteText"/>
        <w:rPr>
          <w:rFonts w:ascii="Arial Bold" w:hAnsi="Arial Bold"/>
          <w:b/>
          <w:color w:val="auto"/>
          <w:sz w:val="22"/>
        </w:rPr>
      </w:pPr>
      <w:r>
        <w:br w:type="page"/>
      </w:r>
    </w:p>
    <w:p w14:paraId="58D2FBFE" w14:textId="419866BD" w:rsidR="0024539A" w:rsidRPr="00D55B3A" w:rsidRDefault="0024539A" w:rsidP="00F779C7">
      <w:pPr>
        <w:pStyle w:val="Heading3"/>
      </w:pPr>
      <w:bookmarkStart w:id="3" w:name="_Toc117407394"/>
      <w:r w:rsidRPr="00D55B3A">
        <w:lastRenderedPageBreak/>
        <w:t>1.3</w:t>
      </w:r>
      <w:r w:rsidRPr="00D55B3A">
        <w:tab/>
        <w:t xml:space="preserve">Budget </w:t>
      </w:r>
      <w:r w:rsidR="009A18B3">
        <w:t>m</w:t>
      </w:r>
      <w:r w:rsidRPr="00D55B3A">
        <w:t>easures</w:t>
      </w:r>
      <w:bookmarkEnd w:id="3"/>
    </w:p>
    <w:p w14:paraId="7590FF2A" w14:textId="0435B47D" w:rsidR="001A0641" w:rsidRPr="00B92555" w:rsidRDefault="001A0641" w:rsidP="001A0641">
      <w:pPr>
        <w:rPr>
          <w:color w:val="auto"/>
        </w:rPr>
      </w:pPr>
      <w:r w:rsidRPr="00B92555">
        <w:rPr>
          <w:color w:val="auto"/>
        </w:rPr>
        <w:t xml:space="preserve">Budget measures in Part 1 relating to the </w:t>
      </w:r>
      <w:r>
        <w:rPr>
          <w:color w:val="auto"/>
        </w:rPr>
        <w:t>NBA</w:t>
      </w:r>
      <w:r w:rsidRPr="00B92555">
        <w:rPr>
          <w:color w:val="auto"/>
        </w:rPr>
        <w:t xml:space="preserve"> are detailed in </w:t>
      </w:r>
      <w:r w:rsidRPr="00F81858">
        <w:rPr>
          <w:i/>
          <w:color w:val="auto"/>
        </w:rPr>
        <w:t xml:space="preserve">Budget Paper No. 2 </w:t>
      </w:r>
      <w:r w:rsidRPr="00B92555">
        <w:rPr>
          <w:color w:val="auto"/>
        </w:rPr>
        <w:t>and are summarised below.</w:t>
      </w:r>
    </w:p>
    <w:p w14:paraId="5699F80D" w14:textId="2E24A02E" w:rsidR="001A0641" w:rsidRDefault="001A0641" w:rsidP="001A0641">
      <w:pPr>
        <w:pStyle w:val="Tablenumberandreference"/>
        <w:rPr>
          <w:color w:val="auto"/>
        </w:rPr>
      </w:pPr>
      <w:r>
        <w:rPr>
          <w:color w:val="auto"/>
        </w:rPr>
        <w:t xml:space="preserve">Table 1.2: NBA </w:t>
      </w:r>
      <w:r w:rsidR="001D5D3E">
        <w:rPr>
          <w:color w:val="auto"/>
        </w:rPr>
        <w:t xml:space="preserve">October </w:t>
      </w:r>
      <w:r>
        <w:rPr>
          <w:color w:val="auto"/>
        </w:rPr>
        <w:t>20</w:t>
      </w:r>
      <w:r w:rsidRPr="00B92555">
        <w:rPr>
          <w:color w:val="auto"/>
        </w:rPr>
        <w:t>22</w:t>
      </w:r>
      <w:r>
        <w:rPr>
          <w:color w:val="auto"/>
        </w:rPr>
        <w:t>–23</w:t>
      </w:r>
      <w:r w:rsidRPr="00B92555">
        <w:rPr>
          <w:color w:val="auto"/>
        </w:rPr>
        <w:t xml:space="preserve"> Budget </w:t>
      </w:r>
      <w:r w:rsidR="009A18B3">
        <w:rPr>
          <w:color w:val="auto"/>
        </w:rPr>
        <w:t>m</w:t>
      </w:r>
      <w:r w:rsidRPr="00B92555">
        <w:rPr>
          <w:color w:val="auto"/>
        </w:rPr>
        <w:t>easures</w:t>
      </w:r>
    </w:p>
    <w:p w14:paraId="171977FC" w14:textId="77777777" w:rsidR="00BF00DF" w:rsidRPr="000751B6" w:rsidRDefault="005F0E38" w:rsidP="005F0E38">
      <w:pPr>
        <w:pStyle w:val="Tablenumberandreference"/>
        <w:rPr>
          <w:color w:val="auto"/>
          <w:sz w:val="19"/>
          <w:szCs w:val="19"/>
        </w:rPr>
      </w:pPr>
      <w:r w:rsidRPr="000751B6">
        <w:rPr>
          <w:color w:val="auto"/>
          <w:sz w:val="19"/>
          <w:szCs w:val="19"/>
        </w:rPr>
        <w:t>Part 1. Measures announced since the March 2022–23 Budget</w:t>
      </w:r>
    </w:p>
    <w:tbl>
      <w:tblPr>
        <w:tblW w:w="7360" w:type="dxa"/>
        <w:jc w:val="center"/>
        <w:tblLayout w:type="fixed"/>
        <w:tblLook w:val="04A0" w:firstRow="1" w:lastRow="0" w:firstColumn="1" w:lastColumn="0" w:noHBand="0" w:noVBand="1"/>
      </w:tblPr>
      <w:tblGrid>
        <w:gridCol w:w="2010"/>
        <w:gridCol w:w="900"/>
        <w:gridCol w:w="890"/>
        <w:gridCol w:w="890"/>
        <w:gridCol w:w="890"/>
        <w:gridCol w:w="890"/>
        <w:gridCol w:w="890"/>
      </w:tblGrid>
      <w:tr w:rsidR="00BF00DF" w:rsidRPr="00BF00DF" w14:paraId="4B1B6149" w14:textId="77777777" w:rsidTr="00BF00DF">
        <w:trPr>
          <w:trHeight w:val="283"/>
          <w:jc w:val="center"/>
        </w:trPr>
        <w:tc>
          <w:tcPr>
            <w:tcW w:w="2010" w:type="dxa"/>
            <w:tcBorders>
              <w:top w:val="single" w:sz="4" w:space="0" w:color="auto"/>
              <w:left w:val="nil"/>
              <w:bottom w:val="nil"/>
              <w:right w:val="nil"/>
            </w:tcBorders>
            <w:shd w:val="clear" w:color="auto" w:fill="auto"/>
            <w:noWrap/>
            <w:vAlign w:val="bottom"/>
            <w:hideMark/>
          </w:tcPr>
          <w:p w14:paraId="471CB58B" w14:textId="77777777" w:rsidR="00BF00DF" w:rsidRPr="00BF00DF" w:rsidRDefault="00BF00DF" w:rsidP="00BF00DF">
            <w:pPr>
              <w:spacing w:before="40" w:after="0"/>
              <w:jc w:val="right"/>
              <w:rPr>
                <w:rFonts w:ascii="Arial" w:hAnsi="Arial" w:cs="Arial"/>
                <w:color w:val="auto"/>
                <w:sz w:val="16"/>
                <w:szCs w:val="16"/>
              </w:rPr>
            </w:pPr>
            <w:r w:rsidRPr="00BF00DF">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336D7BC6" w14:textId="77777777" w:rsidR="00BF00DF" w:rsidRPr="00BF00DF" w:rsidRDefault="00BF00DF" w:rsidP="00BF00DF">
            <w:pPr>
              <w:spacing w:before="40" w:after="0"/>
              <w:jc w:val="right"/>
              <w:rPr>
                <w:rFonts w:ascii="Arial" w:hAnsi="Arial" w:cs="Arial"/>
                <w:b/>
                <w:bCs/>
                <w:color w:val="auto"/>
                <w:sz w:val="16"/>
                <w:szCs w:val="16"/>
              </w:rPr>
            </w:pPr>
            <w:r w:rsidRPr="00BF00DF">
              <w:rPr>
                <w:rFonts w:ascii="Arial" w:hAnsi="Arial" w:cs="Arial"/>
                <w:b/>
                <w:bCs/>
                <w:color w:val="auto"/>
                <w:sz w:val="16"/>
                <w:szCs w:val="16"/>
              </w:rPr>
              <w:t>Program</w:t>
            </w:r>
          </w:p>
        </w:tc>
        <w:tc>
          <w:tcPr>
            <w:tcW w:w="890" w:type="dxa"/>
            <w:tcBorders>
              <w:top w:val="single" w:sz="4" w:space="0" w:color="000000"/>
              <w:left w:val="nil"/>
              <w:bottom w:val="single" w:sz="4" w:space="0" w:color="000000"/>
              <w:right w:val="nil"/>
            </w:tcBorders>
            <w:shd w:val="clear" w:color="auto" w:fill="auto"/>
            <w:vAlign w:val="bottom"/>
            <w:hideMark/>
          </w:tcPr>
          <w:p w14:paraId="0A323273" w14:textId="77777777" w:rsidR="00BF00DF" w:rsidRPr="00BF00DF" w:rsidRDefault="00BF00DF" w:rsidP="00BF00DF">
            <w:pPr>
              <w:spacing w:before="40" w:after="0"/>
              <w:jc w:val="right"/>
              <w:rPr>
                <w:rFonts w:ascii="Arial" w:hAnsi="Arial" w:cs="Arial"/>
                <w:b/>
                <w:bCs/>
                <w:color w:val="auto"/>
                <w:sz w:val="16"/>
                <w:szCs w:val="16"/>
              </w:rPr>
            </w:pPr>
            <w:r w:rsidRPr="00BF00DF">
              <w:rPr>
                <w:rFonts w:ascii="Arial" w:hAnsi="Arial" w:cs="Arial"/>
                <w:b/>
                <w:bCs/>
                <w:color w:val="auto"/>
                <w:sz w:val="16"/>
                <w:szCs w:val="16"/>
              </w:rPr>
              <w:t>2021–22</w:t>
            </w:r>
            <w:r w:rsidRPr="00BF00DF">
              <w:rPr>
                <w:rFonts w:ascii="Arial" w:hAnsi="Arial" w:cs="Arial"/>
                <w:b/>
                <w:bCs/>
                <w:color w:val="auto"/>
                <w:sz w:val="16"/>
                <w:szCs w:val="16"/>
              </w:rPr>
              <w:br/>
            </w:r>
            <w:r w:rsidRPr="00BF00DF">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000000" w:fill="D9D9D9"/>
            <w:vAlign w:val="bottom"/>
            <w:hideMark/>
          </w:tcPr>
          <w:p w14:paraId="42C61F3F" w14:textId="77777777" w:rsidR="00BF00DF" w:rsidRPr="00BF00DF" w:rsidRDefault="00BF00DF" w:rsidP="00BF00DF">
            <w:pPr>
              <w:spacing w:before="40" w:after="0"/>
              <w:jc w:val="right"/>
              <w:rPr>
                <w:rFonts w:ascii="Arial" w:hAnsi="Arial" w:cs="Arial"/>
                <w:b/>
                <w:bCs/>
                <w:color w:val="auto"/>
                <w:sz w:val="16"/>
                <w:szCs w:val="16"/>
              </w:rPr>
            </w:pPr>
            <w:r w:rsidRPr="00BF00DF">
              <w:rPr>
                <w:rFonts w:ascii="Arial" w:hAnsi="Arial" w:cs="Arial"/>
                <w:b/>
                <w:bCs/>
                <w:color w:val="auto"/>
                <w:sz w:val="16"/>
                <w:szCs w:val="16"/>
              </w:rPr>
              <w:t>2022–23</w:t>
            </w:r>
            <w:r w:rsidRPr="00BF00DF">
              <w:rPr>
                <w:rFonts w:ascii="Arial" w:hAnsi="Arial" w:cs="Arial"/>
                <w:b/>
                <w:bCs/>
                <w:color w:val="auto"/>
                <w:sz w:val="16"/>
                <w:szCs w:val="16"/>
              </w:rPr>
              <w:br/>
            </w:r>
            <w:r w:rsidRPr="00BF00DF">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45A999F0" w14:textId="77777777" w:rsidR="00BF00DF" w:rsidRPr="00BF00DF" w:rsidRDefault="00BF00DF" w:rsidP="00BF00DF">
            <w:pPr>
              <w:spacing w:before="40" w:after="0"/>
              <w:jc w:val="right"/>
              <w:rPr>
                <w:rFonts w:ascii="Arial" w:hAnsi="Arial" w:cs="Arial"/>
                <w:b/>
                <w:bCs/>
                <w:color w:val="auto"/>
                <w:sz w:val="16"/>
                <w:szCs w:val="16"/>
              </w:rPr>
            </w:pPr>
            <w:r w:rsidRPr="00BF00DF">
              <w:rPr>
                <w:rFonts w:ascii="Arial" w:hAnsi="Arial" w:cs="Arial"/>
                <w:b/>
                <w:bCs/>
                <w:color w:val="auto"/>
                <w:sz w:val="16"/>
                <w:szCs w:val="16"/>
              </w:rPr>
              <w:t>2023–24</w:t>
            </w:r>
            <w:r w:rsidRPr="00BF00DF">
              <w:rPr>
                <w:rFonts w:ascii="Arial" w:hAnsi="Arial" w:cs="Arial"/>
                <w:b/>
                <w:bCs/>
                <w:color w:val="auto"/>
                <w:sz w:val="16"/>
                <w:szCs w:val="16"/>
              </w:rPr>
              <w:br/>
            </w:r>
            <w:r w:rsidRPr="00BF00DF">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1683752A" w14:textId="77777777" w:rsidR="00BF00DF" w:rsidRPr="00BF00DF" w:rsidRDefault="00BF00DF" w:rsidP="00BF00DF">
            <w:pPr>
              <w:spacing w:before="40" w:after="0"/>
              <w:jc w:val="right"/>
              <w:rPr>
                <w:rFonts w:ascii="Arial" w:hAnsi="Arial" w:cs="Arial"/>
                <w:b/>
                <w:bCs/>
                <w:color w:val="auto"/>
                <w:sz w:val="16"/>
                <w:szCs w:val="16"/>
              </w:rPr>
            </w:pPr>
            <w:r w:rsidRPr="00BF00DF">
              <w:rPr>
                <w:rFonts w:ascii="Arial" w:hAnsi="Arial" w:cs="Arial"/>
                <w:b/>
                <w:bCs/>
                <w:color w:val="auto"/>
                <w:sz w:val="16"/>
                <w:szCs w:val="16"/>
              </w:rPr>
              <w:t>2024–25</w:t>
            </w:r>
            <w:r w:rsidRPr="00BF00DF">
              <w:rPr>
                <w:rFonts w:ascii="Arial" w:hAnsi="Arial" w:cs="Arial"/>
                <w:b/>
                <w:bCs/>
                <w:color w:val="auto"/>
                <w:sz w:val="16"/>
                <w:szCs w:val="16"/>
              </w:rPr>
              <w:br/>
            </w:r>
            <w:r w:rsidRPr="00BF00DF">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4C329217" w14:textId="77777777" w:rsidR="00BF00DF" w:rsidRPr="00BF00DF" w:rsidRDefault="00BF00DF" w:rsidP="00BF00DF">
            <w:pPr>
              <w:spacing w:before="40" w:after="0"/>
              <w:jc w:val="right"/>
              <w:rPr>
                <w:rFonts w:ascii="Arial" w:hAnsi="Arial" w:cs="Arial"/>
                <w:b/>
                <w:bCs/>
                <w:color w:val="auto"/>
                <w:sz w:val="16"/>
                <w:szCs w:val="16"/>
              </w:rPr>
            </w:pPr>
            <w:r w:rsidRPr="00BF00DF">
              <w:rPr>
                <w:rFonts w:ascii="Arial" w:hAnsi="Arial" w:cs="Arial"/>
                <w:b/>
                <w:bCs/>
                <w:color w:val="auto"/>
                <w:sz w:val="16"/>
                <w:szCs w:val="16"/>
              </w:rPr>
              <w:t>2025–26</w:t>
            </w:r>
            <w:r w:rsidRPr="00BF00DF">
              <w:rPr>
                <w:rFonts w:ascii="Arial" w:hAnsi="Arial" w:cs="Arial"/>
                <w:b/>
                <w:bCs/>
                <w:color w:val="auto"/>
                <w:sz w:val="16"/>
                <w:szCs w:val="16"/>
              </w:rPr>
              <w:br/>
            </w:r>
            <w:r w:rsidRPr="00BF00DF">
              <w:rPr>
                <w:rFonts w:ascii="Arial" w:hAnsi="Arial" w:cs="Arial"/>
                <w:color w:val="auto"/>
                <w:sz w:val="16"/>
                <w:szCs w:val="16"/>
              </w:rPr>
              <w:t>$'000</w:t>
            </w:r>
          </w:p>
        </w:tc>
      </w:tr>
      <w:tr w:rsidR="00BF00DF" w:rsidRPr="00BF00DF" w14:paraId="0A589157" w14:textId="77777777" w:rsidTr="00BF00DF">
        <w:trPr>
          <w:trHeight w:val="283"/>
          <w:jc w:val="center"/>
        </w:trPr>
        <w:tc>
          <w:tcPr>
            <w:tcW w:w="4690" w:type="dxa"/>
            <w:gridSpan w:val="4"/>
            <w:tcBorders>
              <w:top w:val="nil"/>
              <w:left w:val="nil"/>
              <w:bottom w:val="nil"/>
              <w:right w:val="nil"/>
            </w:tcBorders>
            <w:shd w:val="clear" w:color="auto" w:fill="auto"/>
            <w:noWrap/>
            <w:vAlign w:val="bottom"/>
            <w:hideMark/>
          </w:tcPr>
          <w:p w14:paraId="746FFAB1" w14:textId="77777777" w:rsidR="00BF00DF" w:rsidRPr="00BF00DF" w:rsidRDefault="00BF00DF" w:rsidP="00BF00DF">
            <w:pPr>
              <w:spacing w:after="0"/>
              <w:rPr>
                <w:rFonts w:ascii="Arial" w:hAnsi="Arial" w:cs="Arial"/>
                <w:b/>
                <w:bCs/>
                <w:color w:val="auto"/>
                <w:sz w:val="16"/>
                <w:szCs w:val="16"/>
              </w:rPr>
            </w:pPr>
            <w:r w:rsidRPr="00BF00DF">
              <w:rPr>
                <w:rFonts w:ascii="Arial" w:hAnsi="Arial" w:cs="Arial"/>
                <w:b/>
                <w:bCs/>
                <w:color w:val="auto"/>
                <w:sz w:val="16"/>
                <w:szCs w:val="16"/>
              </w:rPr>
              <w:t>An Ambitious and Enduring APS Reform Plan</w:t>
            </w:r>
            <w:r w:rsidRPr="00BF00DF">
              <w:rPr>
                <w:rFonts w:ascii="Arial" w:hAnsi="Arial" w:cs="Arial"/>
                <w:b/>
                <w:bCs/>
                <w:color w:val="auto"/>
                <w:sz w:val="16"/>
                <w:szCs w:val="16"/>
                <w:vertAlign w:val="superscript"/>
              </w:rPr>
              <w:t xml:space="preserve"> (a)</w:t>
            </w:r>
          </w:p>
        </w:tc>
        <w:tc>
          <w:tcPr>
            <w:tcW w:w="890" w:type="dxa"/>
            <w:tcBorders>
              <w:top w:val="nil"/>
              <w:left w:val="nil"/>
              <w:bottom w:val="nil"/>
              <w:right w:val="nil"/>
            </w:tcBorders>
            <w:shd w:val="clear" w:color="auto" w:fill="auto"/>
            <w:vAlign w:val="bottom"/>
            <w:hideMark/>
          </w:tcPr>
          <w:p w14:paraId="06F15BF4" w14:textId="77777777" w:rsidR="00BF00DF" w:rsidRPr="00BF00DF" w:rsidRDefault="00BF00DF" w:rsidP="00BF00DF">
            <w:pPr>
              <w:spacing w:after="0"/>
              <w:rPr>
                <w:rFonts w:ascii="Arial" w:hAnsi="Arial" w:cs="Arial"/>
                <w:b/>
                <w:bCs/>
                <w:color w:val="auto"/>
                <w:sz w:val="16"/>
                <w:szCs w:val="16"/>
              </w:rPr>
            </w:pPr>
          </w:p>
        </w:tc>
        <w:tc>
          <w:tcPr>
            <w:tcW w:w="890" w:type="dxa"/>
            <w:tcBorders>
              <w:top w:val="nil"/>
              <w:left w:val="nil"/>
              <w:bottom w:val="nil"/>
              <w:right w:val="nil"/>
            </w:tcBorders>
            <w:shd w:val="clear" w:color="auto" w:fill="auto"/>
            <w:vAlign w:val="bottom"/>
            <w:hideMark/>
          </w:tcPr>
          <w:p w14:paraId="746158A8" w14:textId="77777777" w:rsidR="00BF00DF" w:rsidRPr="00BF00DF" w:rsidRDefault="00BF00DF" w:rsidP="00BF00DF">
            <w:pPr>
              <w:spacing w:after="0"/>
              <w:jc w:val="right"/>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55932E00" w14:textId="77777777" w:rsidR="00BF00DF" w:rsidRPr="00BF00DF" w:rsidRDefault="00BF00DF" w:rsidP="00BF00DF">
            <w:pPr>
              <w:spacing w:after="0"/>
              <w:jc w:val="right"/>
              <w:rPr>
                <w:rFonts w:ascii="Times New Roman" w:hAnsi="Times New Roman"/>
                <w:color w:val="auto"/>
                <w:sz w:val="20"/>
              </w:rPr>
            </w:pPr>
          </w:p>
        </w:tc>
      </w:tr>
      <w:tr w:rsidR="00BF00DF" w:rsidRPr="00BF00DF" w14:paraId="149EBFCA" w14:textId="77777777" w:rsidTr="00BF00DF">
        <w:trPr>
          <w:trHeight w:val="225"/>
          <w:jc w:val="center"/>
        </w:trPr>
        <w:tc>
          <w:tcPr>
            <w:tcW w:w="2010" w:type="dxa"/>
            <w:tcBorders>
              <w:top w:val="nil"/>
              <w:left w:val="nil"/>
              <w:bottom w:val="nil"/>
              <w:right w:val="nil"/>
            </w:tcBorders>
            <w:shd w:val="clear" w:color="auto" w:fill="auto"/>
            <w:noWrap/>
            <w:vAlign w:val="bottom"/>
            <w:hideMark/>
          </w:tcPr>
          <w:p w14:paraId="02CC7A32" w14:textId="77777777" w:rsidR="00BF00DF" w:rsidRPr="00BF00DF" w:rsidRDefault="00BF00DF" w:rsidP="00BF00DF">
            <w:pPr>
              <w:spacing w:after="0"/>
              <w:rPr>
                <w:rFonts w:ascii="Arial" w:hAnsi="Arial" w:cs="Arial"/>
                <w:color w:val="auto"/>
                <w:sz w:val="16"/>
                <w:szCs w:val="16"/>
              </w:rPr>
            </w:pPr>
            <w:r w:rsidRPr="00BF00DF">
              <w:rPr>
                <w:rFonts w:ascii="Arial" w:hAnsi="Arial" w:cs="Arial"/>
                <w:color w:val="auto"/>
                <w:sz w:val="16"/>
                <w:szCs w:val="16"/>
              </w:rPr>
              <w:t>National Blood Authority</w:t>
            </w:r>
          </w:p>
        </w:tc>
        <w:tc>
          <w:tcPr>
            <w:tcW w:w="900" w:type="dxa"/>
            <w:tcBorders>
              <w:top w:val="nil"/>
              <w:left w:val="nil"/>
              <w:bottom w:val="nil"/>
              <w:right w:val="nil"/>
            </w:tcBorders>
            <w:shd w:val="clear" w:color="auto" w:fill="auto"/>
            <w:noWrap/>
            <w:hideMark/>
          </w:tcPr>
          <w:p w14:paraId="79787D7E" w14:textId="77777777" w:rsidR="00BF00DF" w:rsidRPr="00BF00DF" w:rsidRDefault="00BF00DF" w:rsidP="00BF00DF">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1E7346DC" w14:textId="77777777" w:rsidR="00BF00DF" w:rsidRPr="00BF00DF" w:rsidRDefault="00BF00DF" w:rsidP="00BF00DF">
            <w:pPr>
              <w:spacing w:after="0"/>
              <w:jc w:val="right"/>
              <w:rPr>
                <w:rFonts w:ascii="Times New Roman" w:hAnsi="Times New Roman"/>
                <w:color w:val="auto"/>
                <w:sz w:val="20"/>
              </w:rPr>
            </w:pPr>
          </w:p>
        </w:tc>
        <w:tc>
          <w:tcPr>
            <w:tcW w:w="890" w:type="dxa"/>
            <w:tcBorders>
              <w:top w:val="nil"/>
              <w:left w:val="nil"/>
              <w:bottom w:val="nil"/>
              <w:right w:val="nil"/>
            </w:tcBorders>
            <w:shd w:val="clear" w:color="000000" w:fill="D9D9D9"/>
            <w:noWrap/>
            <w:vAlign w:val="bottom"/>
            <w:hideMark/>
          </w:tcPr>
          <w:p w14:paraId="477228AF" w14:textId="77777777" w:rsidR="00BF00DF" w:rsidRPr="00BF00DF" w:rsidRDefault="00BF00DF" w:rsidP="00BF00DF">
            <w:pPr>
              <w:spacing w:after="0"/>
              <w:rPr>
                <w:rFonts w:ascii="Arial" w:hAnsi="Arial" w:cs="Arial"/>
                <w:color w:val="auto"/>
                <w:sz w:val="16"/>
                <w:szCs w:val="16"/>
              </w:rPr>
            </w:pPr>
            <w:r w:rsidRPr="00BF00DF">
              <w:rPr>
                <w:rFonts w:ascii="Arial" w:hAnsi="Arial" w:cs="Arial"/>
                <w:color w:val="auto"/>
                <w:sz w:val="16"/>
                <w:szCs w:val="16"/>
              </w:rPr>
              <w:t> </w:t>
            </w:r>
          </w:p>
        </w:tc>
        <w:tc>
          <w:tcPr>
            <w:tcW w:w="890" w:type="dxa"/>
            <w:tcBorders>
              <w:top w:val="nil"/>
              <w:left w:val="nil"/>
              <w:bottom w:val="nil"/>
              <w:right w:val="nil"/>
            </w:tcBorders>
            <w:shd w:val="clear" w:color="auto" w:fill="auto"/>
            <w:noWrap/>
            <w:vAlign w:val="bottom"/>
            <w:hideMark/>
          </w:tcPr>
          <w:p w14:paraId="018F9559" w14:textId="77777777" w:rsidR="00BF00DF" w:rsidRPr="00BF00DF" w:rsidRDefault="00BF00DF" w:rsidP="00BF00DF">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7C612DA7" w14:textId="77777777" w:rsidR="00BF00DF" w:rsidRPr="00BF00DF" w:rsidRDefault="00BF00DF" w:rsidP="00BF00DF">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372153F5" w14:textId="77777777" w:rsidR="00BF00DF" w:rsidRPr="00BF00DF" w:rsidRDefault="00BF00DF" w:rsidP="00BF00DF">
            <w:pPr>
              <w:spacing w:after="0"/>
              <w:rPr>
                <w:rFonts w:ascii="Times New Roman" w:hAnsi="Times New Roman"/>
                <w:color w:val="auto"/>
                <w:sz w:val="20"/>
              </w:rPr>
            </w:pPr>
          </w:p>
        </w:tc>
      </w:tr>
      <w:tr w:rsidR="00BF00DF" w:rsidRPr="00BF00DF" w14:paraId="7989C9D6" w14:textId="77777777" w:rsidTr="00CE0EBB">
        <w:trPr>
          <w:trHeight w:val="225"/>
          <w:jc w:val="center"/>
        </w:trPr>
        <w:tc>
          <w:tcPr>
            <w:tcW w:w="2010" w:type="dxa"/>
            <w:tcBorders>
              <w:top w:val="nil"/>
              <w:left w:val="nil"/>
              <w:bottom w:val="nil"/>
              <w:right w:val="nil"/>
            </w:tcBorders>
            <w:shd w:val="clear" w:color="auto" w:fill="auto"/>
            <w:noWrap/>
            <w:tcMar>
              <w:right w:w="0" w:type="dxa"/>
            </w:tcMar>
            <w:vAlign w:val="bottom"/>
            <w:hideMark/>
          </w:tcPr>
          <w:p w14:paraId="29305D6F" w14:textId="77777777" w:rsidR="00BF00DF" w:rsidRPr="00BF00DF" w:rsidRDefault="00BF00DF" w:rsidP="00BF00DF">
            <w:pPr>
              <w:spacing w:after="0"/>
              <w:ind w:leftChars="75" w:left="143"/>
              <w:rPr>
                <w:rFonts w:ascii="Arial" w:hAnsi="Arial" w:cs="Arial"/>
                <w:color w:val="auto"/>
                <w:sz w:val="16"/>
                <w:szCs w:val="16"/>
              </w:rPr>
            </w:pPr>
            <w:r w:rsidRPr="00BF00DF">
              <w:rPr>
                <w:rFonts w:ascii="Arial" w:hAnsi="Arial" w:cs="Arial"/>
                <w:color w:val="auto"/>
                <w:sz w:val="16"/>
                <w:szCs w:val="16"/>
              </w:rPr>
              <w:t>Departmental payments</w:t>
            </w:r>
          </w:p>
        </w:tc>
        <w:tc>
          <w:tcPr>
            <w:tcW w:w="900" w:type="dxa"/>
            <w:tcBorders>
              <w:top w:val="nil"/>
              <w:left w:val="nil"/>
              <w:bottom w:val="nil"/>
              <w:right w:val="nil"/>
            </w:tcBorders>
            <w:shd w:val="clear" w:color="auto" w:fill="auto"/>
            <w:noWrap/>
            <w:vAlign w:val="bottom"/>
            <w:hideMark/>
          </w:tcPr>
          <w:p w14:paraId="3F7D35E1"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1.1</w:t>
            </w:r>
          </w:p>
        </w:tc>
        <w:tc>
          <w:tcPr>
            <w:tcW w:w="890" w:type="dxa"/>
            <w:tcBorders>
              <w:top w:val="nil"/>
              <w:left w:val="nil"/>
              <w:bottom w:val="single" w:sz="4" w:space="0" w:color="auto"/>
              <w:right w:val="nil"/>
            </w:tcBorders>
            <w:shd w:val="clear" w:color="auto" w:fill="auto"/>
            <w:noWrap/>
            <w:vAlign w:val="bottom"/>
            <w:hideMark/>
          </w:tcPr>
          <w:p w14:paraId="4188C850"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37797B28"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(2)</w:t>
            </w:r>
          </w:p>
        </w:tc>
        <w:tc>
          <w:tcPr>
            <w:tcW w:w="890" w:type="dxa"/>
            <w:tcBorders>
              <w:top w:val="nil"/>
              <w:left w:val="nil"/>
              <w:bottom w:val="single" w:sz="4" w:space="0" w:color="auto"/>
              <w:right w:val="nil"/>
            </w:tcBorders>
            <w:shd w:val="clear" w:color="auto" w:fill="auto"/>
            <w:noWrap/>
            <w:vAlign w:val="bottom"/>
            <w:hideMark/>
          </w:tcPr>
          <w:p w14:paraId="4A767C0E"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(6)</w:t>
            </w:r>
          </w:p>
        </w:tc>
        <w:tc>
          <w:tcPr>
            <w:tcW w:w="890" w:type="dxa"/>
            <w:tcBorders>
              <w:top w:val="nil"/>
              <w:left w:val="nil"/>
              <w:bottom w:val="single" w:sz="4" w:space="0" w:color="auto"/>
              <w:right w:val="nil"/>
            </w:tcBorders>
            <w:shd w:val="clear" w:color="auto" w:fill="auto"/>
            <w:noWrap/>
            <w:vAlign w:val="bottom"/>
            <w:hideMark/>
          </w:tcPr>
          <w:p w14:paraId="3E820CB6"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(7)</w:t>
            </w:r>
          </w:p>
        </w:tc>
        <w:tc>
          <w:tcPr>
            <w:tcW w:w="890" w:type="dxa"/>
            <w:tcBorders>
              <w:top w:val="nil"/>
              <w:left w:val="nil"/>
              <w:bottom w:val="single" w:sz="4" w:space="0" w:color="auto"/>
              <w:right w:val="nil"/>
            </w:tcBorders>
            <w:shd w:val="clear" w:color="auto" w:fill="auto"/>
            <w:noWrap/>
            <w:vAlign w:val="bottom"/>
            <w:hideMark/>
          </w:tcPr>
          <w:p w14:paraId="1E2E83FA"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w:t>
            </w:r>
          </w:p>
        </w:tc>
      </w:tr>
      <w:tr w:rsidR="00BF00DF" w:rsidRPr="00BF00DF" w14:paraId="5992AA0B" w14:textId="77777777" w:rsidTr="00BF00DF">
        <w:trPr>
          <w:trHeight w:val="225"/>
          <w:jc w:val="center"/>
        </w:trPr>
        <w:tc>
          <w:tcPr>
            <w:tcW w:w="2010" w:type="dxa"/>
            <w:tcBorders>
              <w:top w:val="nil"/>
              <w:left w:val="nil"/>
              <w:bottom w:val="nil"/>
              <w:right w:val="nil"/>
            </w:tcBorders>
            <w:shd w:val="clear" w:color="auto" w:fill="auto"/>
            <w:noWrap/>
            <w:vAlign w:val="bottom"/>
            <w:hideMark/>
          </w:tcPr>
          <w:p w14:paraId="3611038A" w14:textId="77777777" w:rsidR="00BF00DF" w:rsidRPr="00BF00DF" w:rsidRDefault="00BF00DF" w:rsidP="00BF00DF">
            <w:pPr>
              <w:spacing w:after="0"/>
              <w:rPr>
                <w:rFonts w:ascii="Arial" w:hAnsi="Arial" w:cs="Arial"/>
                <w:b/>
                <w:bCs/>
                <w:color w:val="auto"/>
                <w:sz w:val="16"/>
                <w:szCs w:val="16"/>
              </w:rPr>
            </w:pPr>
            <w:r w:rsidRPr="00BF00DF">
              <w:rPr>
                <w:rFonts w:ascii="Arial" w:hAnsi="Arial" w:cs="Arial"/>
                <w:b/>
                <w:bCs/>
                <w:color w:val="auto"/>
                <w:sz w:val="16"/>
                <w:szCs w:val="16"/>
              </w:rPr>
              <w:t xml:space="preserve">Total </w:t>
            </w:r>
          </w:p>
        </w:tc>
        <w:tc>
          <w:tcPr>
            <w:tcW w:w="900" w:type="dxa"/>
            <w:tcBorders>
              <w:top w:val="nil"/>
              <w:left w:val="nil"/>
              <w:bottom w:val="nil"/>
              <w:right w:val="nil"/>
            </w:tcBorders>
            <w:shd w:val="clear" w:color="auto" w:fill="auto"/>
            <w:noWrap/>
            <w:vAlign w:val="bottom"/>
            <w:hideMark/>
          </w:tcPr>
          <w:p w14:paraId="45C19515" w14:textId="77777777" w:rsidR="00BF00DF" w:rsidRPr="00BF00DF" w:rsidRDefault="00BF00DF" w:rsidP="00BF00DF">
            <w:pPr>
              <w:spacing w:after="0"/>
              <w:rPr>
                <w:rFonts w:ascii="Arial" w:hAnsi="Arial" w:cs="Arial"/>
                <w:b/>
                <w:bCs/>
                <w:color w:val="auto"/>
                <w:sz w:val="16"/>
                <w:szCs w:val="16"/>
              </w:rPr>
            </w:pPr>
          </w:p>
        </w:tc>
        <w:tc>
          <w:tcPr>
            <w:tcW w:w="890" w:type="dxa"/>
            <w:tcBorders>
              <w:top w:val="nil"/>
              <w:left w:val="nil"/>
              <w:bottom w:val="single" w:sz="4" w:space="0" w:color="auto"/>
              <w:right w:val="nil"/>
            </w:tcBorders>
            <w:shd w:val="clear" w:color="auto" w:fill="auto"/>
            <w:noWrap/>
            <w:vAlign w:val="bottom"/>
            <w:hideMark/>
          </w:tcPr>
          <w:p w14:paraId="2E811934"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29B099D0"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(2)</w:t>
            </w:r>
          </w:p>
        </w:tc>
        <w:tc>
          <w:tcPr>
            <w:tcW w:w="890" w:type="dxa"/>
            <w:tcBorders>
              <w:top w:val="nil"/>
              <w:left w:val="nil"/>
              <w:bottom w:val="single" w:sz="4" w:space="0" w:color="auto"/>
              <w:right w:val="nil"/>
            </w:tcBorders>
            <w:shd w:val="clear" w:color="auto" w:fill="auto"/>
            <w:noWrap/>
            <w:vAlign w:val="bottom"/>
            <w:hideMark/>
          </w:tcPr>
          <w:p w14:paraId="770983B2"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(6)</w:t>
            </w:r>
          </w:p>
        </w:tc>
        <w:tc>
          <w:tcPr>
            <w:tcW w:w="890" w:type="dxa"/>
            <w:tcBorders>
              <w:top w:val="nil"/>
              <w:left w:val="nil"/>
              <w:bottom w:val="single" w:sz="4" w:space="0" w:color="auto"/>
              <w:right w:val="nil"/>
            </w:tcBorders>
            <w:shd w:val="clear" w:color="auto" w:fill="auto"/>
            <w:noWrap/>
            <w:vAlign w:val="bottom"/>
            <w:hideMark/>
          </w:tcPr>
          <w:p w14:paraId="430E3A47"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(7)</w:t>
            </w:r>
          </w:p>
        </w:tc>
        <w:tc>
          <w:tcPr>
            <w:tcW w:w="890" w:type="dxa"/>
            <w:tcBorders>
              <w:top w:val="nil"/>
              <w:left w:val="nil"/>
              <w:bottom w:val="single" w:sz="4" w:space="0" w:color="auto"/>
              <w:right w:val="nil"/>
            </w:tcBorders>
            <w:shd w:val="clear" w:color="auto" w:fill="auto"/>
            <w:noWrap/>
            <w:vAlign w:val="bottom"/>
            <w:hideMark/>
          </w:tcPr>
          <w:p w14:paraId="13DE7DF4"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w:t>
            </w:r>
          </w:p>
        </w:tc>
      </w:tr>
      <w:tr w:rsidR="00BF00DF" w:rsidRPr="00BF00DF" w14:paraId="09E8A9EA" w14:textId="77777777" w:rsidTr="00BF00DF">
        <w:trPr>
          <w:trHeight w:val="454"/>
          <w:jc w:val="center"/>
        </w:trPr>
        <w:tc>
          <w:tcPr>
            <w:tcW w:w="7360" w:type="dxa"/>
            <w:gridSpan w:val="7"/>
            <w:tcBorders>
              <w:top w:val="nil"/>
              <w:left w:val="nil"/>
              <w:bottom w:val="nil"/>
              <w:right w:val="nil"/>
            </w:tcBorders>
            <w:shd w:val="clear" w:color="auto" w:fill="auto"/>
            <w:vAlign w:val="bottom"/>
            <w:hideMark/>
          </w:tcPr>
          <w:p w14:paraId="6A924EDF" w14:textId="77777777" w:rsidR="00BF00DF" w:rsidRPr="00BF00DF" w:rsidRDefault="00BF00DF" w:rsidP="00BF00DF">
            <w:pPr>
              <w:spacing w:after="0"/>
              <w:rPr>
                <w:rFonts w:ascii="Arial" w:hAnsi="Arial" w:cs="Arial"/>
                <w:b/>
                <w:bCs/>
                <w:color w:val="auto"/>
                <w:sz w:val="16"/>
                <w:szCs w:val="16"/>
              </w:rPr>
            </w:pPr>
            <w:r w:rsidRPr="00BF00DF">
              <w:rPr>
                <w:rFonts w:ascii="Arial" w:hAnsi="Arial" w:cs="Arial"/>
                <w:b/>
                <w:bCs/>
                <w:color w:val="auto"/>
                <w:sz w:val="16"/>
                <w:szCs w:val="16"/>
              </w:rPr>
              <w:t xml:space="preserve">Savings from External Labour, and Savings from Advertising, Travel and Legal </w:t>
            </w:r>
            <w:r w:rsidRPr="00BF00DF">
              <w:rPr>
                <w:rFonts w:ascii="Arial" w:hAnsi="Arial" w:cs="Arial"/>
                <w:b/>
                <w:bCs/>
                <w:color w:val="auto"/>
                <w:sz w:val="16"/>
                <w:szCs w:val="16"/>
              </w:rPr>
              <w:br/>
              <w:t>Expenses</w:t>
            </w:r>
            <w:r w:rsidRPr="00BF00DF">
              <w:rPr>
                <w:rFonts w:ascii="Arial" w:hAnsi="Arial" w:cs="Arial"/>
                <w:b/>
                <w:bCs/>
                <w:color w:val="auto"/>
                <w:sz w:val="16"/>
                <w:szCs w:val="16"/>
                <w:vertAlign w:val="superscript"/>
              </w:rPr>
              <w:t xml:space="preserve"> (a)</w:t>
            </w:r>
          </w:p>
        </w:tc>
      </w:tr>
      <w:tr w:rsidR="00BF00DF" w:rsidRPr="00BF00DF" w14:paraId="48B684F7" w14:textId="77777777" w:rsidTr="00BF00DF">
        <w:trPr>
          <w:trHeight w:val="225"/>
          <w:jc w:val="center"/>
        </w:trPr>
        <w:tc>
          <w:tcPr>
            <w:tcW w:w="2010" w:type="dxa"/>
            <w:tcBorders>
              <w:top w:val="nil"/>
              <w:left w:val="nil"/>
              <w:bottom w:val="nil"/>
              <w:right w:val="nil"/>
            </w:tcBorders>
            <w:shd w:val="clear" w:color="auto" w:fill="auto"/>
            <w:noWrap/>
            <w:vAlign w:val="bottom"/>
            <w:hideMark/>
          </w:tcPr>
          <w:p w14:paraId="3DCB34E0" w14:textId="77777777" w:rsidR="00BF00DF" w:rsidRPr="00BF00DF" w:rsidRDefault="00BF00DF" w:rsidP="00BF00DF">
            <w:pPr>
              <w:spacing w:after="0"/>
              <w:rPr>
                <w:rFonts w:ascii="Arial" w:hAnsi="Arial" w:cs="Arial"/>
                <w:color w:val="auto"/>
                <w:sz w:val="16"/>
                <w:szCs w:val="16"/>
              </w:rPr>
            </w:pPr>
            <w:r w:rsidRPr="00BF00DF">
              <w:rPr>
                <w:rFonts w:ascii="Arial" w:hAnsi="Arial" w:cs="Arial"/>
                <w:color w:val="auto"/>
                <w:sz w:val="16"/>
                <w:szCs w:val="16"/>
              </w:rPr>
              <w:t>National Blood Authority</w:t>
            </w:r>
          </w:p>
        </w:tc>
        <w:tc>
          <w:tcPr>
            <w:tcW w:w="900" w:type="dxa"/>
            <w:tcBorders>
              <w:top w:val="nil"/>
              <w:left w:val="nil"/>
              <w:bottom w:val="nil"/>
              <w:right w:val="nil"/>
            </w:tcBorders>
            <w:shd w:val="clear" w:color="auto" w:fill="auto"/>
            <w:noWrap/>
            <w:hideMark/>
          </w:tcPr>
          <w:p w14:paraId="37B83810" w14:textId="77777777" w:rsidR="00BF00DF" w:rsidRPr="00BF00DF" w:rsidRDefault="00BF00DF" w:rsidP="00BF00DF">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314B8A9D" w14:textId="77777777" w:rsidR="00BF00DF" w:rsidRPr="00BF00DF" w:rsidRDefault="00BF00DF" w:rsidP="00BF00DF">
            <w:pPr>
              <w:spacing w:after="0"/>
              <w:jc w:val="right"/>
              <w:rPr>
                <w:rFonts w:ascii="Times New Roman" w:hAnsi="Times New Roman"/>
                <w:color w:val="auto"/>
                <w:sz w:val="20"/>
              </w:rPr>
            </w:pPr>
          </w:p>
        </w:tc>
        <w:tc>
          <w:tcPr>
            <w:tcW w:w="890" w:type="dxa"/>
            <w:tcBorders>
              <w:top w:val="nil"/>
              <w:left w:val="nil"/>
              <w:bottom w:val="nil"/>
              <w:right w:val="nil"/>
            </w:tcBorders>
            <w:shd w:val="clear" w:color="000000" w:fill="D9D9D9"/>
            <w:noWrap/>
            <w:vAlign w:val="bottom"/>
            <w:hideMark/>
          </w:tcPr>
          <w:p w14:paraId="3A1189D8" w14:textId="77777777" w:rsidR="00BF00DF" w:rsidRPr="00BF00DF" w:rsidRDefault="00BF00DF" w:rsidP="00BF00DF">
            <w:pPr>
              <w:spacing w:after="0"/>
              <w:rPr>
                <w:rFonts w:ascii="Arial" w:hAnsi="Arial" w:cs="Arial"/>
                <w:color w:val="auto"/>
                <w:sz w:val="16"/>
                <w:szCs w:val="16"/>
              </w:rPr>
            </w:pPr>
            <w:r w:rsidRPr="00BF00DF">
              <w:rPr>
                <w:rFonts w:ascii="Arial" w:hAnsi="Arial" w:cs="Arial"/>
                <w:color w:val="auto"/>
                <w:sz w:val="16"/>
                <w:szCs w:val="16"/>
              </w:rPr>
              <w:t> </w:t>
            </w:r>
          </w:p>
        </w:tc>
        <w:tc>
          <w:tcPr>
            <w:tcW w:w="890" w:type="dxa"/>
            <w:tcBorders>
              <w:top w:val="nil"/>
              <w:left w:val="nil"/>
              <w:bottom w:val="nil"/>
              <w:right w:val="nil"/>
            </w:tcBorders>
            <w:shd w:val="clear" w:color="auto" w:fill="auto"/>
            <w:noWrap/>
            <w:vAlign w:val="bottom"/>
            <w:hideMark/>
          </w:tcPr>
          <w:p w14:paraId="4DE1F105" w14:textId="77777777" w:rsidR="00BF00DF" w:rsidRPr="00BF00DF" w:rsidRDefault="00BF00DF" w:rsidP="00BF00DF">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6FE82694" w14:textId="77777777" w:rsidR="00BF00DF" w:rsidRPr="00BF00DF" w:rsidRDefault="00BF00DF" w:rsidP="00BF00DF">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381CECD5" w14:textId="77777777" w:rsidR="00BF00DF" w:rsidRPr="00BF00DF" w:rsidRDefault="00BF00DF" w:rsidP="00BF00DF">
            <w:pPr>
              <w:spacing w:after="0"/>
              <w:rPr>
                <w:rFonts w:ascii="Times New Roman" w:hAnsi="Times New Roman"/>
                <w:color w:val="auto"/>
                <w:sz w:val="20"/>
              </w:rPr>
            </w:pPr>
          </w:p>
        </w:tc>
      </w:tr>
      <w:tr w:rsidR="00BF00DF" w:rsidRPr="00BF00DF" w14:paraId="1C762A89" w14:textId="77777777" w:rsidTr="00CE0EBB">
        <w:trPr>
          <w:trHeight w:val="225"/>
          <w:jc w:val="center"/>
        </w:trPr>
        <w:tc>
          <w:tcPr>
            <w:tcW w:w="2010" w:type="dxa"/>
            <w:tcBorders>
              <w:top w:val="nil"/>
              <w:left w:val="nil"/>
              <w:bottom w:val="nil"/>
              <w:right w:val="nil"/>
            </w:tcBorders>
            <w:shd w:val="clear" w:color="auto" w:fill="auto"/>
            <w:noWrap/>
            <w:tcMar>
              <w:right w:w="0" w:type="dxa"/>
            </w:tcMar>
            <w:vAlign w:val="bottom"/>
            <w:hideMark/>
          </w:tcPr>
          <w:p w14:paraId="1D17CC8D" w14:textId="77777777" w:rsidR="00BF00DF" w:rsidRPr="00BF00DF" w:rsidRDefault="00BF00DF" w:rsidP="00BF00DF">
            <w:pPr>
              <w:spacing w:after="0"/>
              <w:ind w:leftChars="75" w:left="143"/>
              <w:rPr>
                <w:rFonts w:ascii="Arial" w:hAnsi="Arial" w:cs="Arial"/>
                <w:color w:val="auto"/>
                <w:sz w:val="16"/>
                <w:szCs w:val="16"/>
              </w:rPr>
            </w:pPr>
            <w:r w:rsidRPr="00BF00DF">
              <w:rPr>
                <w:rFonts w:ascii="Arial" w:hAnsi="Arial" w:cs="Arial"/>
                <w:color w:val="auto"/>
                <w:sz w:val="16"/>
                <w:szCs w:val="16"/>
              </w:rPr>
              <w:t>Departmental payments</w:t>
            </w:r>
          </w:p>
        </w:tc>
        <w:tc>
          <w:tcPr>
            <w:tcW w:w="900" w:type="dxa"/>
            <w:tcBorders>
              <w:top w:val="nil"/>
              <w:left w:val="nil"/>
              <w:bottom w:val="nil"/>
              <w:right w:val="nil"/>
            </w:tcBorders>
            <w:shd w:val="clear" w:color="auto" w:fill="auto"/>
            <w:noWrap/>
            <w:vAlign w:val="bottom"/>
            <w:hideMark/>
          </w:tcPr>
          <w:p w14:paraId="350F0860"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1.1</w:t>
            </w:r>
          </w:p>
        </w:tc>
        <w:tc>
          <w:tcPr>
            <w:tcW w:w="890" w:type="dxa"/>
            <w:tcBorders>
              <w:top w:val="nil"/>
              <w:left w:val="nil"/>
              <w:bottom w:val="single" w:sz="4" w:space="0" w:color="auto"/>
              <w:right w:val="nil"/>
            </w:tcBorders>
            <w:shd w:val="clear" w:color="auto" w:fill="auto"/>
            <w:noWrap/>
            <w:vAlign w:val="bottom"/>
            <w:hideMark/>
          </w:tcPr>
          <w:p w14:paraId="1CC12BD6"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39BB65DE"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(76)</w:t>
            </w:r>
          </w:p>
        </w:tc>
        <w:tc>
          <w:tcPr>
            <w:tcW w:w="890" w:type="dxa"/>
            <w:tcBorders>
              <w:top w:val="nil"/>
              <w:left w:val="nil"/>
              <w:bottom w:val="single" w:sz="4" w:space="0" w:color="auto"/>
              <w:right w:val="nil"/>
            </w:tcBorders>
            <w:shd w:val="clear" w:color="auto" w:fill="auto"/>
            <w:noWrap/>
            <w:vAlign w:val="bottom"/>
            <w:hideMark/>
          </w:tcPr>
          <w:p w14:paraId="653FC72B"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5AC8AE70"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5FD8D527" w14:textId="77777777" w:rsidR="00BF00DF" w:rsidRPr="00BF00DF" w:rsidRDefault="00BF00DF" w:rsidP="00BF00DF">
            <w:pPr>
              <w:spacing w:after="0"/>
              <w:jc w:val="right"/>
              <w:rPr>
                <w:rFonts w:ascii="Arial" w:hAnsi="Arial" w:cs="Arial"/>
                <w:color w:val="auto"/>
                <w:sz w:val="16"/>
                <w:szCs w:val="16"/>
              </w:rPr>
            </w:pPr>
            <w:r w:rsidRPr="00BF00DF">
              <w:rPr>
                <w:rFonts w:ascii="Arial" w:hAnsi="Arial" w:cs="Arial"/>
                <w:color w:val="auto"/>
                <w:sz w:val="16"/>
                <w:szCs w:val="16"/>
              </w:rPr>
              <w:t>-</w:t>
            </w:r>
          </w:p>
        </w:tc>
      </w:tr>
      <w:tr w:rsidR="00BF00DF" w:rsidRPr="00BF00DF" w14:paraId="7EF92882" w14:textId="77777777" w:rsidTr="00BF00DF">
        <w:trPr>
          <w:trHeight w:val="225"/>
          <w:jc w:val="center"/>
        </w:trPr>
        <w:tc>
          <w:tcPr>
            <w:tcW w:w="2010" w:type="dxa"/>
            <w:tcBorders>
              <w:top w:val="nil"/>
              <w:left w:val="nil"/>
              <w:bottom w:val="single" w:sz="4" w:space="0" w:color="auto"/>
              <w:right w:val="nil"/>
            </w:tcBorders>
            <w:shd w:val="clear" w:color="auto" w:fill="auto"/>
            <w:noWrap/>
            <w:vAlign w:val="bottom"/>
            <w:hideMark/>
          </w:tcPr>
          <w:p w14:paraId="7C4A9CC9" w14:textId="77777777" w:rsidR="00BF00DF" w:rsidRPr="00BF00DF" w:rsidRDefault="00BF00DF" w:rsidP="00BF00DF">
            <w:pPr>
              <w:spacing w:after="0"/>
              <w:rPr>
                <w:rFonts w:ascii="Arial" w:hAnsi="Arial" w:cs="Arial"/>
                <w:b/>
                <w:bCs/>
                <w:color w:val="auto"/>
                <w:sz w:val="16"/>
                <w:szCs w:val="16"/>
              </w:rPr>
            </w:pPr>
            <w:r w:rsidRPr="00BF00DF">
              <w:rPr>
                <w:rFonts w:ascii="Arial" w:hAnsi="Arial" w:cs="Arial"/>
                <w:b/>
                <w:bCs/>
                <w:color w:val="auto"/>
                <w:sz w:val="16"/>
                <w:szCs w:val="16"/>
              </w:rPr>
              <w:t xml:space="preserve">Total </w:t>
            </w:r>
          </w:p>
        </w:tc>
        <w:tc>
          <w:tcPr>
            <w:tcW w:w="900" w:type="dxa"/>
            <w:tcBorders>
              <w:top w:val="nil"/>
              <w:left w:val="nil"/>
              <w:bottom w:val="single" w:sz="4" w:space="0" w:color="auto"/>
              <w:right w:val="nil"/>
            </w:tcBorders>
            <w:shd w:val="clear" w:color="auto" w:fill="auto"/>
            <w:noWrap/>
            <w:vAlign w:val="bottom"/>
            <w:hideMark/>
          </w:tcPr>
          <w:p w14:paraId="556DD51D"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 </w:t>
            </w:r>
          </w:p>
        </w:tc>
        <w:tc>
          <w:tcPr>
            <w:tcW w:w="890" w:type="dxa"/>
            <w:tcBorders>
              <w:top w:val="nil"/>
              <w:left w:val="nil"/>
              <w:bottom w:val="single" w:sz="4" w:space="0" w:color="auto"/>
              <w:right w:val="nil"/>
            </w:tcBorders>
            <w:shd w:val="clear" w:color="auto" w:fill="auto"/>
            <w:noWrap/>
            <w:vAlign w:val="bottom"/>
            <w:hideMark/>
          </w:tcPr>
          <w:p w14:paraId="71958A61"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10EAAB12"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(76)</w:t>
            </w:r>
          </w:p>
        </w:tc>
        <w:tc>
          <w:tcPr>
            <w:tcW w:w="890" w:type="dxa"/>
            <w:tcBorders>
              <w:top w:val="nil"/>
              <w:left w:val="nil"/>
              <w:bottom w:val="single" w:sz="4" w:space="0" w:color="auto"/>
              <w:right w:val="nil"/>
            </w:tcBorders>
            <w:shd w:val="clear" w:color="auto" w:fill="auto"/>
            <w:noWrap/>
            <w:vAlign w:val="bottom"/>
            <w:hideMark/>
          </w:tcPr>
          <w:p w14:paraId="15B18086"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559C43E2"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66E51F93" w14:textId="77777777" w:rsidR="00BF00DF" w:rsidRPr="00BF00DF" w:rsidRDefault="00BF00DF" w:rsidP="00BF00DF">
            <w:pPr>
              <w:spacing w:after="0"/>
              <w:jc w:val="right"/>
              <w:rPr>
                <w:rFonts w:ascii="Arial" w:hAnsi="Arial" w:cs="Arial"/>
                <w:b/>
                <w:bCs/>
                <w:color w:val="auto"/>
                <w:sz w:val="16"/>
                <w:szCs w:val="16"/>
              </w:rPr>
            </w:pPr>
            <w:r w:rsidRPr="00BF00DF">
              <w:rPr>
                <w:rFonts w:ascii="Arial" w:hAnsi="Arial" w:cs="Arial"/>
                <w:b/>
                <w:bCs/>
                <w:color w:val="auto"/>
                <w:sz w:val="16"/>
                <w:szCs w:val="16"/>
              </w:rPr>
              <w:t>-</w:t>
            </w:r>
          </w:p>
        </w:tc>
      </w:tr>
    </w:tbl>
    <w:p w14:paraId="34732A19" w14:textId="3D54F15E" w:rsidR="0024539A" w:rsidRPr="00BF00DF" w:rsidRDefault="005F0E38" w:rsidP="00BF00DF">
      <w:pPr>
        <w:pStyle w:val="FooterEven"/>
        <w:spacing w:before="120"/>
        <w:sectPr w:rsidR="0024539A" w:rsidRPr="00BF00DF"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r w:rsidRPr="005F0E38">
        <w:rPr>
          <w:vertAlign w:val="superscript"/>
        </w:rPr>
        <w:t>(a)</w:t>
      </w:r>
      <w:r>
        <w:tab/>
      </w:r>
      <w:r w:rsidR="00A836BC">
        <w:t xml:space="preserve">The </w:t>
      </w:r>
      <w:r w:rsidRPr="005F0E38">
        <w:t>NBA is not the lead entity for these measures. NBA impacts only are shown in this table.</w:t>
      </w:r>
    </w:p>
    <w:p w14:paraId="4122E317" w14:textId="06C3A0BB" w:rsidR="0024539A" w:rsidRPr="00D55B3A" w:rsidRDefault="0024539A" w:rsidP="00F779C7">
      <w:pPr>
        <w:pStyle w:val="Heading2"/>
      </w:pPr>
      <w:bookmarkStart w:id="4" w:name="_Toc117407395"/>
      <w:r w:rsidRPr="00D55B3A">
        <w:lastRenderedPageBreak/>
        <w:t xml:space="preserve">Section 2: Outcomes and </w:t>
      </w:r>
      <w:r w:rsidR="009A18B3">
        <w:t>p</w:t>
      </w:r>
      <w:r w:rsidRPr="00D55B3A">
        <w:t xml:space="preserve">lanned </w:t>
      </w:r>
      <w:r w:rsidR="009A18B3">
        <w:t>p</w:t>
      </w:r>
      <w:r w:rsidRPr="00D55B3A">
        <w:t>erformance</w:t>
      </w:r>
      <w:bookmarkEnd w:id="4"/>
    </w:p>
    <w:p w14:paraId="2C0D570E" w14:textId="77777777" w:rsidR="009A18B3" w:rsidRPr="009A18B3" w:rsidRDefault="009A18B3" w:rsidP="009A18B3">
      <w:pPr>
        <w:spacing w:before="240" w:after="240" w:line="240" w:lineRule="exact"/>
        <w:rPr>
          <w:color w:val="auto"/>
        </w:rPr>
      </w:pPr>
      <w:r w:rsidRPr="009A18B3">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6D183E3" w14:textId="77777777" w:rsidR="009A18B3" w:rsidRPr="009A18B3" w:rsidRDefault="009A18B3" w:rsidP="009A18B3">
      <w:pPr>
        <w:rPr>
          <w:sz w:val="20"/>
        </w:rPr>
      </w:pPr>
      <w:r w:rsidRPr="009A18B3">
        <w:rPr>
          <w:color w:val="auto"/>
        </w:rPr>
        <w:t>Each outcome is described below together with its related programs. The following provides detailed information on expenses for each outcome and program, further broken down by funding source.</w:t>
      </w:r>
    </w:p>
    <w:p w14:paraId="2E3BDB77" w14:textId="77777777" w:rsidR="0028784E" w:rsidRPr="0028784E" w:rsidRDefault="0028784E" w:rsidP="0028784E">
      <w:pPr>
        <w:pBdr>
          <w:top w:val="single" w:sz="4" w:space="2" w:color="auto"/>
          <w:left w:val="single" w:sz="4" w:space="4" w:color="auto"/>
          <w:bottom w:val="single" w:sz="4" w:space="2" w:color="auto"/>
          <w:right w:val="single" w:sz="4" w:space="4" w:color="auto"/>
        </w:pBdr>
        <w:rPr>
          <w:rFonts w:cs="Arial"/>
          <w:b/>
          <w:szCs w:val="19"/>
        </w:rPr>
      </w:pPr>
      <w:r w:rsidRPr="0028784E">
        <w:rPr>
          <w:rFonts w:cs="Arial"/>
          <w:b/>
          <w:szCs w:val="19"/>
        </w:rPr>
        <w:t>Note:</w:t>
      </w:r>
    </w:p>
    <w:p w14:paraId="495F3920" w14:textId="77777777" w:rsidR="0028784E" w:rsidRPr="0028784E" w:rsidRDefault="0028784E" w:rsidP="0028784E">
      <w:pPr>
        <w:pBdr>
          <w:top w:val="single" w:sz="4" w:space="2" w:color="auto"/>
          <w:left w:val="single" w:sz="4" w:space="4" w:color="auto"/>
          <w:bottom w:val="single" w:sz="4" w:space="2" w:color="auto"/>
          <w:right w:val="single" w:sz="4" w:space="4" w:color="auto"/>
        </w:pBdr>
        <w:rPr>
          <w:szCs w:val="19"/>
        </w:rPr>
      </w:pPr>
      <w:r w:rsidRPr="0028784E">
        <w:rPr>
          <w:szCs w:val="19"/>
        </w:rPr>
        <w:t xml:space="preserve">Performance reporting requirements in the Portfolio Budget Statements are part of the Commonwealth Performance Framework established by </w:t>
      </w:r>
      <w:r w:rsidRPr="0028784E">
        <w:rPr>
          <w:i/>
          <w:szCs w:val="19"/>
        </w:rPr>
        <w:t>the Public Governance, Performance and Accountability Act 2013</w:t>
      </w:r>
      <w:r w:rsidRPr="0028784E">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2BE54213" w14:textId="31083A27" w:rsidR="00F54982" w:rsidRPr="00D55B3A" w:rsidRDefault="00F54982" w:rsidP="001D44A0">
      <w:pPr>
        <w:pBdr>
          <w:top w:val="single" w:sz="4" w:space="2" w:color="auto"/>
          <w:left w:val="single" w:sz="4" w:space="4" w:color="auto"/>
          <w:bottom w:val="single" w:sz="4" w:space="2" w:color="auto"/>
          <w:right w:val="single" w:sz="4" w:space="4" w:color="auto"/>
        </w:pBdr>
        <w:rPr>
          <w:color w:val="000000" w:themeColor="text1"/>
        </w:rPr>
      </w:pPr>
      <w:r w:rsidRPr="00D55B3A">
        <w:rPr>
          <w:color w:val="000000" w:themeColor="text1"/>
        </w:rPr>
        <w:t xml:space="preserve">The </w:t>
      </w:r>
      <w:r w:rsidR="008F760E" w:rsidRPr="00D55B3A">
        <w:rPr>
          <w:color w:val="000000" w:themeColor="text1"/>
        </w:rPr>
        <w:t xml:space="preserve">NBA’s </w:t>
      </w:r>
      <w:r w:rsidRPr="00D55B3A">
        <w:rPr>
          <w:color w:val="000000" w:themeColor="text1"/>
        </w:rPr>
        <w:t xml:space="preserve">most recent Corporate Plan and Annual Performance Statement </w:t>
      </w:r>
      <w:r w:rsidR="008F760E" w:rsidRPr="00D55B3A">
        <w:rPr>
          <w:color w:val="000000" w:themeColor="text1"/>
        </w:rPr>
        <w:t>are available</w:t>
      </w:r>
      <w:r w:rsidRPr="00D55B3A">
        <w:rPr>
          <w:color w:val="000000" w:themeColor="text1"/>
        </w:rPr>
        <w:t xml:space="preserve"> at: </w:t>
      </w:r>
      <w:r w:rsidR="00514948" w:rsidRPr="00753120">
        <w:t>www.blood.gov.au/about-nba</w:t>
      </w:r>
      <w:r w:rsidR="00514948">
        <w:rPr>
          <w:color w:val="000000" w:themeColor="text1"/>
        </w:rPr>
        <w:t xml:space="preserve"> </w:t>
      </w:r>
      <w:r w:rsidR="00514948" w:rsidRPr="00F86C3F">
        <w:t xml:space="preserve"> </w:t>
      </w:r>
    </w:p>
    <w:p w14:paraId="15249A89" w14:textId="38CE5921" w:rsidR="00BC0659" w:rsidRPr="009C2E99" w:rsidRDefault="00BC0659" w:rsidP="00F779C7">
      <w:pPr>
        <w:pStyle w:val="Heading3"/>
        <w:rPr>
          <w:sz w:val="20"/>
        </w:rPr>
      </w:pPr>
      <w:bookmarkStart w:id="5" w:name="_Toc117407396"/>
      <w:r w:rsidRPr="009C2E99">
        <w:rPr>
          <w:sz w:val="20"/>
        </w:rPr>
        <w:t>2.1</w:t>
      </w:r>
      <w:r w:rsidRPr="009C2E99">
        <w:rPr>
          <w:sz w:val="20"/>
        </w:rPr>
        <w:tab/>
        <w:t xml:space="preserve">Budgeted </w:t>
      </w:r>
      <w:r w:rsidR="0028784E" w:rsidRPr="009C2E99">
        <w:rPr>
          <w:sz w:val="20"/>
        </w:rPr>
        <w:t>e</w:t>
      </w:r>
      <w:r w:rsidRPr="009C2E99">
        <w:rPr>
          <w:sz w:val="20"/>
        </w:rPr>
        <w:t xml:space="preserve">xpenses and </w:t>
      </w:r>
      <w:r w:rsidR="0028784E" w:rsidRPr="009C2E99">
        <w:rPr>
          <w:sz w:val="20"/>
        </w:rPr>
        <w:t>p</w:t>
      </w:r>
      <w:r w:rsidRPr="009C2E99">
        <w:rPr>
          <w:sz w:val="20"/>
        </w:rPr>
        <w:t>erformance</w:t>
      </w:r>
      <w:bookmarkEnd w:id="5"/>
    </w:p>
    <w:p w14:paraId="3849461F" w14:textId="77777777" w:rsidR="00BC0659" w:rsidRPr="009C2E99" w:rsidRDefault="00BC0659" w:rsidP="00BC0659">
      <w:pPr>
        <w:pStyle w:val="OutcomeStatement"/>
        <w:spacing w:before="120" w:after="120"/>
        <w:rPr>
          <w:b/>
          <w:color w:val="000000" w:themeColor="text1"/>
          <w:szCs w:val="20"/>
        </w:rPr>
      </w:pPr>
      <w:r w:rsidRPr="009C2E99">
        <w:rPr>
          <w:b/>
          <w:color w:val="000000" w:themeColor="text1"/>
          <w:szCs w:val="20"/>
        </w:rPr>
        <w:t>Outcome 1</w:t>
      </w:r>
    </w:p>
    <w:p w14:paraId="39B43E04" w14:textId="1CD31205" w:rsidR="00556D53" w:rsidRPr="009C2E99" w:rsidRDefault="00006D3A" w:rsidP="00A27DE1">
      <w:pPr>
        <w:pStyle w:val="OutcomeStatement"/>
        <w:rPr>
          <w:rFonts w:cs="Arial"/>
          <w:color w:val="auto"/>
          <w:szCs w:val="20"/>
        </w:rPr>
      </w:pPr>
      <w:r w:rsidRPr="009C2E99">
        <w:rPr>
          <w:color w:val="000000" w:themeColor="text1"/>
          <w:szCs w:val="20"/>
        </w:rPr>
        <w:t>Access to a secure supply of safe and affordable blood products, including through national supply arrangements and coordination of best practice standards within agreed funding policies under the national blood arrangements</w:t>
      </w:r>
    </w:p>
    <w:p w14:paraId="0E02EA0B" w14:textId="70585A13" w:rsidR="00BC0659" w:rsidRPr="009C2E99" w:rsidRDefault="00BC0659" w:rsidP="00BC0659">
      <w:pPr>
        <w:pStyle w:val="Heading4"/>
        <w:rPr>
          <w:color w:val="000000" w:themeColor="text1"/>
          <w:sz w:val="20"/>
        </w:rPr>
      </w:pPr>
      <w:r w:rsidRPr="009C2E99">
        <w:rPr>
          <w:color w:val="000000" w:themeColor="text1"/>
          <w:sz w:val="20"/>
        </w:rPr>
        <w:t xml:space="preserve">Program </w:t>
      </w:r>
      <w:r w:rsidR="0028784E" w:rsidRPr="009C2E99">
        <w:rPr>
          <w:color w:val="000000" w:themeColor="text1"/>
          <w:sz w:val="20"/>
        </w:rPr>
        <w:t>c</w:t>
      </w:r>
      <w:r w:rsidRPr="009C2E99">
        <w:rPr>
          <w:color w:val="000000" w:themeColor="text1"/>
          <w:sz w:val="20"/>
        </w:rPr>
        <w:t>ontributing to Outcome 1</w:t>
      </w:r>
    </w:p>
    <w:p w14:paraId="0B9376CE" w14:textId="56D9C240" w:rsidR="00556D53" w:rsidRPr="00480EED" w:rsidRDefault="00BC0659" w:rsidP="00A27DE1">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highlight w:val="yellow"/>
        </w:rPr>
      </w:pPr>
      <w:r w:rsidRPr="00D55B3A">
        <w:rPr>
          <w:rFonts w:ascii="Arial" w:hAnsi="Arial" w:cs="Arial"/>
          <w:b/>
          <w:color w:val="000000" w:themeColor="text1"/>
          <w:sz w:val="18"/>
          <w:szCs w:val="18"/>
        </w:rPr>
        <w:t>Program 1.1:</w:t>
      </w:r>
      <w:r w:rsidRPr="00D55B3A">
        <w:rPr>
          <w:rFonts w:ascii="Arial" w:hAnsi="Arial" w:cs="Arial"/>
          <w:b/>
          <w:color w:val="000000" w:themeColor="text1"/>
          <w:sz w:val="18"/>
          <w:szCs w:val="18"/>
        </w:rPr>
        <w:tab/>
      </w:r>
      <w:r w:rsidR="00006D3A" w:rsidRPr="00D55B3A">
        <w:rPr>
          <w:rFonts w:ascii="Arial" w:hAnsi="Arial" w:cs="Arial"/>
          <w:b/>
          <w:color w:val="000000" w:themeColor="text1"/>
          <w:sz w:val="18"/>
          <w:szCs w:val="18"/>
        </w:rPr>
        <w:t>National Blood Agreement Management</w:t>
      </w:r>
    </w:p>
    <w:p w14:paraId="77AC26E1" w14:textId="69D2B161" w:rsidR="00F90F34" w:rsidRDefault="00BC0659" w:rsidP="004664A7">
      <w:pPr>
        <w:pStyle w:val="Heading4"/>
        <w:pageBreakBefore/>
        <w:tabs>
          <w:tab w:val="left" w:pos="5115"/>
        </w:tabs>
        <w:rPr>
          <w:color w:val="000000" w:themeColor="text1"/>
        </w:rPr>
      </w:pPr>
      <w:r w:rsidRPr="00D55B3A">
        <w:rPr>
          <w:color w:val="000000" w:themeColor="text1"/>
        </w:rPr>
        <w:lastRenderedPageBreak/>
        <w:t xml:space="preserve">Linked </w:t>
      </w:r>
      <w:r w:rsidR="0028784E">
        <w:rPr>
          <w:color w:val="000000" w:themeColor="text1"/>
        </w:rPr>
        <w:t>p</w:t>
      </w:r>
      <w:r w:rsidRPr="00D55B3A">
        <w:rPr>
          <w:color w:val="000000" w:themeColor="text1"/>
        </w:rPr>
        <w:t>rograms</w:t>
      </w:r>
    </w:p>
    <w:tbl>
      <w:tblPr>
        <w:tblStyle w:val="TableGrid"/>
        <w:tblW w:w="5198" w:type="pct"/>
        <w:jc w:val="center"/>
        <w:tblLook w:val="04A0" w:firstRow="1" w:lastRow="0" w:firstColumn="1" w:lastColumn="0" w:noHBand="0" w:noVBand="1"/>
        <w:tblCaption w:val="Linked Programs: NBA"/>
        <w:tblDescription w:val="This table outlines linked programs for NBA's Outcome 1, including how other Commonwealth entities contribute to Outcome 1&#10;"/>
      </w:tblPr>
      <w:tblGrid>
        <w:gridCol w:w="7651"/>
      </w:tblGrid>
      <w:tr w:rsidR="00D55B3A" w:rsidRPr="00D55B3A" w14:paraId="4F04A8E8" w14:textId="77777777" w:rsidTr="00811713">
        <w:trPr>
          <w:tblHeader/>
          <w:jc w:val="center"/>
        </w:trPr>
        <w:tc>
          <w:tcPr>
            <w:tcW w:w="5000" w:type="pct"/>
            <w:shd w:val="clear" w:color="auto" w:fill="D9D9D9" w:themeFill="background1" w:themeFillShade="D9"/>
          </w:tcPr>
          <w:p w14:paraId="225C6E6A" w14:textId="77777777" w:rsidR="00BC0659" w:rsidRPr="00D470DF" w:rsidRDefault="00BC0659" w:rsidP="00811713">
            <w:pPr>
              <w:pStyle w:val="Tableheadingrow9pt"/>
              <w:rPr>
                <w:color w:val="000000" w:themeColor="text1"/>
                <w:sz w:val="20"/>
                <w:szCs w:val="20"/>
              </w:rPr>
            </w:pPr>
            <w:r w:rsidRPr="00D470DF">
              <w:rPr>
                <w:color w:val="000000" w:themeColor="text1"/>
                <w:sz w:val="20"/>
                <w:szCs w:val="20"/>
              </w:rPr>
              <w:t>Other Commonwealth entities that contribute to Outcome 1</w:t>
            </w:r>
          </w:p>
        </w:tc>
      </w:tr>
      <w:tr w:rsidR="00894B11" w:rsidRPr="00D55B3A" w14:paraId="627DA00B" w14:textId="77777777" w:rsidTr="00811713">
        <w:trPr>
          <w:jc w:val="center"/>
        </w:trPr>
        <w:tc>
          <w:tcPr>
            <w:tcW w:w="5000" w:type="pct"/>
          </w:tcPr>
          <w:p w14:paraId="31B0B0DB" w14:textId="6FB04C1D" w:rsidR="00894B11" w:rsidRPr="004061F8" w:rsidRDefault="00894B11" w:rsidP="00894B11">
            <w:pPr>
              <w:pStyle w:val="Tableheadingrow9pt"/>
              <w:rPr>
                <w:color w:val="000000" w:themeColor="text1"/>
                <w:sz w:val="19"/>
                <w:szCs w:val="19"/>
              </w:rPr>
            </w:pPr>
            <w:r w:rsidRPr="004061F8">
              <w:rPr>
                <w:color w:val="000000" w:themeColor="text1"/>
                <w:sz w:val="19"/>
                <w:szCs w:val="19"/>
              </w:rPr>
              <w:t>Australian Commission on Safety and Quality in Health Care (ACSQHC)</w:t>
            </w:r>
            <w:r w:rsidRPr="004061F8">
              <w:rPr>
                <w:color w:val="000000" w:themeColor="text1"/>
                <w:sz w:val="19"/>
                <w:szCs w:val="19"/>
                <w:vertAlign w:val="superscript"/>
              </w:rPr>
              <w:footnoteReference w:id="3"/>
            </w:r>
          </w:p>
        </w:tc>
      </w:tr>
      <w:tr w:rsidR="00D55B3A" w:rsidRPr="00D55B3A" w14:paraId="1361C355" w14:textId="77777777" w:rsidTr="00811713">
        <w:trPr>
          <w:jc w:val="center"/>
        </w:trPr>
        <w:tc>
          <w:tcPr>
            <w:tcW w:w="5000" w:type="pct"/>
          </w:tcPr>
          <w:p w14:paraId="5EEF2B87" w14:textId="77777777" w:rsidR="00006D3A" w:rsidRPr="000C26E1" w:rsidRDefault="00006D3A" w:rsidP="00006D3A">
            <w:pPr>
              <w:pStyle w:val="Tableheadingrow9pt"/>
              <w:rPr>
                <w:rFonts w:ascii="Book Antiqua" w:hAnsi="Book Antiqua"/>
                <w:color w:val="000000" w:themeColor="text1"/>
                <w:sz w:val="19"/>
                <w:szCs w:val="19"/>
              </w:rPr>
            </w:pPr>
            <w:r w:rsidRPr="000C26E1">
              <w:rPr>
                <w:rFonts w:ascii="Book Antiqua" w:hAnsi="Book Antiqua"/>
                <w:color w:val="000000" w:themeColor="text1"/>
                <w:sz w:val="19"/>
                <w:szCs w:val="19"/>
              </w:rPr>
              <w:t>Program 1.1: Safety and Quality in Health Care</w:t>
            </w:r>
          </w:p>
          <w:p w14:paraId="1865C5CB" w14:textId="77777777" w:rsidR="00BC0659" w:rsidRPr="00D55B3A" w:rsidRDefault="00006D3A" w:rsidP="00006D3A">
            <w:pPr>
              <w:pStyle w:val="Tabletextnormal9pt"/>
              <w:rPr>
                <w:color w:val="000000" w:themeColor="text1"/>
              </w:rPr>
            </w:pPr>
            <w:r w:rsidRPr="000C26E1">
              <w:rPr>
                <w:rFonts w:ascii="Book Antiqua" w:hAnsi="Book Antiqua"/>
                <w:color w:val="000000" w:themeColor="text1"/>
                <w:sz w:val="19"/>
                <w:szCs w:val="19"/>
              </w:rPr>
              <w:t xml:space="preserve">The ACSQHC works closely with the NBA in relation to the </w:t>
            </w:r>
            <w:r w:rsidRPr="000C26E1">
              <w:rPr>
                <w:rFonts w:ascii="Book Antiqua" w:hAnsi="Book Antiqua"/>
                <w:i/>
                <w:color w:val="000000" w:themeColor="text1"/>
                <w:sz w:val="19"/>
                <w:szCs w:val="19"/>
              </w:rPr>
              <w:t xml:space="preserve">National Safety and Quality Health Service Standard 7: Blood Management. </w:t>
            </w:r>
            <w:r w:rsidRPr="000C26E1">
              <w:rPr>
                <w:rFonts w:ascii="Book Antiqua" w:hAnsi="Book Antiqua"/>
                <w:color w:val="000000" w:themeColor="text1"/>
                <w:sz w:val="19"/>
                <w:szCs w:val="19"/>
              </w:rPr>
              <w:t>This supports the NBA in administering the National Blood Agreement.</w:t>
            </w:r>
          </w:p>
        </w:tc>
      </w:tr>
      <w:tr w:rsidR="00894B11" w:rsidRPr="00D55B3A" w14:paraId="474F04A1" w14:textId="77777777" w:rsidTr="00811713">
        <w:trPr>
          <w:jc w:val="center"/>
        </w:trPr>
        <w:tc>
          <w:tcPr>
            <w:tcW w:w="5000" w:type="pct"/>
          </w:tcPr>
          <w:p w14:paraId="69965530" w14:textId="264A6D0B" w:rsidR="00894B11" w:rsidRPr="004061F8" w:rsidRDefault="00894B11" w:rsidP="00894B11">
            <w:pPr>
              <w:pStyle w:val="Tableheadingrow9pt"/>
              <w:rPr>
                <w:color w:val="000000" w:themeColor="text1"/>
                <w:sz w:val="19"/>
                <w:szCs w:val="19"/>
              </w:rPr>
            </w:pPr>
            <w:r w:rsidRPr="004061F8">
              <w:rPr>
                <w:color w:val="000000" w:themeColor="text1"/>
                <w:sz w:val="19"/>
                <w:szCs w:val="19"/>
              </w:rPr>
              <w:t>Department of Health and Aged Care</w:t>
            </w:r>
          </w:p>
        </w:tc>
      </w:tr>
      <w:tr w:rsidR="00D55B3A" w:rsidRPr="00D55B3A" w14:paraId="56D2A353" w14:textId="77777777" w:rsidTr="00811713">
        <w:trPr>
          <w:jc w:val="center"/>
        </w:trPr>
        <w:tc>
          <w:tcPr>
            <w:tcW w:w="5000" w:type="pct"/>
          </w:tcPr>
          <w:p w14:paraId="1C4C78C0" w14:textId="77777777" w:rsidR="00006D3A" w:rsidRPr="000C26E1" w:rsidRDefault="00006D3A" w:rsidP="00006D3A">
            <w:pPr>
              <w:pStyle w:val="Tableheadingrow9pt"/>
              <w:rPr>
                <w:rFonts w:ascii="Book Antiqua" w:hAnsi="Book Antiqua"/>
                <w:color w:val="000000" w:themeColor="text1"/>
                <w:sz w:val="19"/>
                <w:szCs w:val="19"/>
              </w:rPr>
            </w:pPr>
            <w:r w:rsidRPr="000C26E1">
              <w:rPr>
                <w:rFonts w:ascii="Book Antiqua" w:hAnsi="Book Antiqua"/>
                <w:color w:val="000000" w:themeColor="text1"/>
                <w:sz w:val="19"/>
                <w:szCs w:val="19"/>
              </w:rPr>
              <w:t xml:space="preserve">Program 1.1: Health </w:t>
            </w:r>
            <w:r w:rsidR="00E82286" w:rsidRPr="000C26E1">
              <w:rPr>
                <w:rFonts w:ascii="Book Antiqua" w:hAnsi="Book Antiqua"/>
                <w:color w:val="000000" w:themeColor="text1"/>
                <w:sz w:val="19"/>
                <w:szCs w:val="19"/>
              </w:rPr>
              <w:t>Research, Coordination and Access</w:t>
            </w:r>
          </w:p>
          <w:p w14:paraId="3CC1186B" w14:textId="63E7C2CE" w:rsidR="009B4DA6" w:rsidRPr="00D55B3A" w:rsidRDefault="00556D53" w:rsidP="00006D3A">
            <w:pPr>
              <w:pStyle w:val="Tableheadingrow9pt"/>
              <w:rPr>
                <w:b w:val="0"/>
                <w:color w:val="000000" w:themeColor="text1"/>
              </w:rPr>
            </w:pPr>
            <w:r w:rsidRPr="000C26E1">
              <w:rPr>
                <w:rFonts w:ascii="Book Antiqua" w:hAnsi="Book Antiqua"/>
                <w:b w:val="0"/>
                <w:color w:val="000000" w:themeColor="text1"/>
                <w:sz w:val="19"/>
                <w:szCs w:val="19"/>
              </w:rPr>
              <w:t xml:space="preserve">The Department of </w:t>
            </w:r>
            <w:r w:rsidR="00006D3A" w:rsidRPr="000C26E1">
              <w:rPr>
                <w:rFonts w:ascii="Book Antiqua" w:hAnsi="Book Antiqua"/>
                <w:b w:val="0"/>
                <w:color w:val="000000" w:themeColor="text1"/>
                <w:sz w:val="19"/>
                <w:szCs w:val="19"/>
              </w:rPr>
              <w:t>Health</w:t>
            </w:r>
            <w:r w:rsidRPr="000C26E1">
              <w:rPr>
                <w:rFonts w:ascii="Book Antiqua" w:hAnsi="Book Antiqua"/>
                <w:b w:val="0"/>
                <w:color w:val="000000" w:themeColor="text1"/>
                <w:sz w:val="19"/>
                <w:szCs w:val="19"/>
              </w:rPr>
              <w:t xml:space="preserve"> and Aged Care</w:t>
            </w:r>
            <w:r w:rsidR="00006D3A" w:rsidRPr="000C26E1">
              <w:rPr>
                <w:rFonts w:ascii="Book Antiqua" w:hAnsi="Book Antiqua"/>
                <w:b w:val="0"/>
                <w:color w:val="000000" w:themeColor="text1"/>
                <w:sz w:val="19"/>
                <w:szCs w:val="19"/>
              </w:rPr>
              <w:t>, in collaboration with state and territory governments, has policy responsibility for ensuring Australians have access to an adequate, safe, secure and affordable blood supply. This includes supporting the NBA to administer the national blood arrangements.</w:t>
            </w:r>
          </w:p>
        </w:tc>
      </w:tr>
    </w:tbl>
    <w:p w14:paraId="288B6D5A" w14:textId="77777777" w:rsidR="00263B5F" w:rsidRDefault="00263B5F">
      <w:pPr>
        <w:spacing w:after="160" w:line="259" w:lineRule="auto"/>
        <w:rPr>
          <w:rFonts w:ascii="Arial" w:hAnsi="Arial"/>
          <w:bCs/>
          <w:i/>
          <w:iCs/>
          <w:color w:val="auto"/>
          <w:sz w:val="20"/>
          <w:szCs w:val="26"/>
        </w:rPr>
      </w:pPr>
      <w:r>
        <w:rPr>
          <w:rFonts w:ascii="Arial" w:hAnsi="Arial"/>
          <w:bCs/>
          <w:i/>
          <w:iCs/>
          <w:color w:val="auto"/>
          <w:sz w:val="20"/>
          <w:szCs w:val="26"/>
        </w:rPr>
        <w:br w:type="page"/>
      </w:r>
    </w:p>
    <w:p w14:paraId="40CC6669" w14:textId="547F090F" w:rsidR="000C26E1" w:rsidRPr="000C26E1" w:rsidRDefault="000C26E1" w:rsidP="000C26E1">
      <w:pPr>
        <w:keepNext/>
        <w:spacing w:before="240"/>
        <w:outlineLvl w:val="4"/>
        <w:rPr>
          <w:rFonts w:ascii="Arial" w:hAnsi="Arial"/>
          <w:bCs/>
          <w:i/>
          <w:iCs/>
          <w:color w:val="auto"/>
          <w:sz w:val="20"/>
          <w:szCs w:val="26"/>
        </w:rPr>
      </w:pPr>
      <w:r w:rsidRPr="000C26E1">
        <w:rPr>
          <w:rFonts w:ascii="Arial" w:hAnsi="Arial"/>
          <w:bCs/>
          <w:i/>
          <w:iCs/>
          <w:color w:val="auto"/>
          <w:sz w:val="20"/>
          <w:szCs w:val="26"/>
        </w:rPr>
        <w:lastRenderedPageBreak/>
        <w:t>Budgeted expenses for Outcome 1</w:t>
      </w:r>
    </w:p>
    <w:p w14:paraId="7C819EF6" w14:textId="77777777" w:rsidR="000C26E1" w:rsidRPr="000C26E1" w:rsidRDefault="000C26E1" w:rsidP="000C26E1">
      <w:pPr>
        <w:spacing w:before="240" w:after="240" w:line="240" w:lineRule="exact"/>
        <w:rPr>
          <w:color w:val="auto"/>
        </w:rPr>
      </w:pPr>
      <w:r w:rsidRPr="000C26E1">
        <w:rPr>
          <w:color w:val="auto"/>
        </w:rPr>
        <w:t>This table shows how much the entity intends to spend (on an accrual basis) on achieving the outcome, broken down by program, as well as by Administered and Departmental funding sources.</w:t>
      </w:r>
    </w:p>
    <w:p w14:paraId="7A8496B8" w14:textId="7579887D" w:rsidR="00BC0659" w:rsidRDefault="00BC0659" w:rsidP="00BC0659">
      <w:pPr>
        <w:pStyle w:val="Tablenumberandreference"/>
        <w:rPr>
          <w:color w:val="000000" w:themeColor="text1"/>
        </w:rPr>
      </w:pPr>
      <w:r w:rsidRPr="00D55B3A">
        <w:rPr>
          <w:color w:val="000000" w:themeColor="text1"/>
        </w:rPr>
        <w:t xml:space="preserve">Table 2.1.1: Budgeted </w:t>
      </w:r>
      <w:r w:rsidR="000C26E1">
        <w:rPr>
          <w:color w:val="000000" w:themeColor="text1"/>
        </w:rPr>
        <w:t>e</w:t>
      </w:r>
      <w:r w:rsidRPr="00D55B3A">
        <w:rPr>
          <w:color w:val="000000" w:themeColor="text1"/>
        </w:rPr>
        <w:t>xpenses</w:t>
      </w:r>
      <w:r w:rsidR="002E4CC5" w:rsidRPr="00D55B3A">
        <w:rPr>
          <w:color w:val="000000" w:themeColor="text1"/>
        </w:rPr>
        <w:t xml:space="preserve"> </w:t>
      </w:r>
      <w:r w:rsidR="000C26E1">
        <w:rPr>
          <w:color w:val="000000" w:themeColor="text1"/>
        </w:rPr>
        <w:t>for Outcome 1</w:t>
      </w:r>
    </w:p>
    <w:tbl>
      <w:tblPr>
        <w:tblW w:w="7440" w:type="dxa"/>
        <w:tblLayout w:type="fixed"/>
        <w:tblLook w:val="04A0" w:firstRow="1" w:lastRow="0" w:firstColumn="1" w:lastColumn="0" w:noHBand="0" w:noVBand="1"/>
      </w:tblPr>
      <w:tblGrid>
        <w:gridCol w:w="2860"/>
        <w:gridCol w:w="900"/>
        <w:gridCol w:w="900"/>
        <w:gridCol w:w="900"/>
        <w:gridCol w:w="940"/>
        <w:gridCol w:w="940"/>
      </w:tblGrid>
      <w:tr w:rsidR="00821DC1" w:rsidRPr="00821DC1" w14:paraId="09E14784" w14:textId="77777777" w:rsidTr="00821DC1">
        <w:trPr>
          <w:trHeight w:val="765"/>
        </w:trPr>
        <w:tc>
          <w:tcPr>
            <w:tcW w:w="2860" w:type="dxa"/>
            <w:tcBorders>
              <w:top w:val="single" w:sz="4" w:space="0" w:color="auto"/>
              <w:left w:val="nil"/>
              <w:bottom w:val="nil"/>
              <w:right w:val="nil"/>
            </w:tcBorders>
            <w:shd w:val="clear" w:color="auto" w:fill="auto"/>
            <w:tcMar>
              <w:left w:w="0" w:type="dxa"/>
            </w:tcMar>
            <w:hideMark/>
          </w:tcPr>
          <w:p w14:paraId="1E287398" w14:textId="77777777" w:rsidR="00821DC1" w:rsidRPr="00821DC1" w:rsidRDefault="00821DC1" w:rsidP="00382939">
            <w:pPr>
              <w:spacing w:before="40" w:after="0"/>
              <w:jc w:val="right"/>
              <w:rPr>
                <w:rFonts w:ascii="Arial" w:hAnsi="Arial" w:cs="Arial"/>
                <w:b/>
                <w:bCs/>
                <w:color w:val="auto"/>
                <w:sz w:val="16"/>
                <w:szCs w:val="16"/>
              </w:rPr>
            </w:pPr>
            <w:r w:rsidRPr="00821DC1">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0E741EC" w14:textId="77777777" w:rsidR="00821DC1" w:rsidRPr="00821DC1" w:rsidRDefault="00821DC1" w:rsidP="00382939">
            <w:pPr>
              <w:spacing w:before="40" w:after="0"/>
              <w:jc w:val="right"/>
              <w:rPr>
                <w:rFonts w:ascii="Arial" w:hAnsi="Arial" w:cs="Arial"/>
                <w:b/>
                <w:bCs/>
                <w:color w:val="auto"/>
                <w:sz w:val="16"/>
                <w:szCs w:val="16"/>
              </w:rPr>
            </w:pPr>
            <w:r w:rsidRPr="00821DC1">
              <w:rPr>
                <w:rFonts w:ascii="Arial" w:hAnsi="Arial" w:cs="Arial"/>
                <w:b/>
                <w:bCs/>
                <w:color w:val="auto"/>
                <w:sz w:val="16"/>
                <w:szCs w:val="16"/>
              </w:rPr>
              <w:t>2021–22 Estimated actual</w:t>
            </w:r>
            <w:r w:rsidRPr="00821DC1">
              <w:rPr>
                <w:rFonts w:ascii="Arial" w:hAnsi="Arial" w:cs="Arial"/>
                <w:b/>
                <w:bCs/>
                <w:color w:val="auto"/>
                <w:sz w:val="16"/>
                <w:szCs w:val="16"/>
              </w:rPr>
              <w:br/>
            </w:r>
            <w:r w:rsidRPr="00821DC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12D8BAF3" w14:textId="77777777" w:rsidR="00821DC1" w:rsidRPr="00821DC1" w:rsidRDefault="00821DC1" w:rsidP="00382939">
            <w:pPr>
              <w:spacing w:before="40" w:after="0"/>
              <w:jc w:val="right"/>
              <w:rPr>
                <w:rFonts w:ascii="Arial" w:hAnsi="Arial" w:cs="Arial"/>
                <w:b/>
                <w:bCs/>
                <w:color w:val="auto"/>
                <w:sz w:val="16"/>
                <w:szCs w:val="16"/>
              </w:rPr>
            </w:pPr>
            <w:r w:rsidRPr="00821DC1">
              <w:rPr>
                <w:rFonts w:ascii="Arial" w:hAnsi="Arial" w:cs="Arial"/>
                <w:b/>
                <w:bCs/>
                <w:color w:val="auto"/>
                <w:sz w:val="16"/>
                <w:szCs w:val="16"/>
              </w:rPr>
              <w:t xml:space="preserve">2022–23 Budget </w:t>
            </w:r>
            <w:r w:rsidRPr="00821DC1">
              <w:rPr>
                <w:rFonts w:ascii="Arial" w:hAnsi="Arial" w:cs="Arial"/>
                <w:b/>
                <w:bCs/>
                <w:color w:val="auto"/>
                <w:sz w:val="16"/>
                <w:szCs w:val="16"/>
              </w:rPr>
              <w:br/>
            </w:r>
            <w:r w:rsidRPr="00821DC1">
              <w:rPr>
                <w:rFonts w:ascii="Arial" w:hAnsi="Arial" w:cs="Arial"/>
                <w:b/>
                <w:bCs/>
                <w:color w:val="auto"/>
                <w:sz w:val="16"/>
                <w:szCs w:val="16"/>
              </w:rPr>
              <w:br/>
            </w:r>
            <w:r w:rsidRPr="00821DC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F88C94E" w14:textId="77777777" w:rsidR="00821DC1" w:rsidRPr="00821DC1" w:rsidRDefault="00821DC1" w:rsidP="00382939">
            <w:pPr>
              <w:spacing w:before="40" w:after="0"/>
              <w:jc w:val="right"/>
              <w:rPr>
                <w:rFonts w:ascii="Arial" w:hAnsi="Arial" w:cs="Arial"/>
                <w:b/>
                <w:bCs/>
                <w:color w:val="auto"/>
                <w:sz w:val="16"/>
                <w:szCs w:val="16"/>
              </w:rPr>
            </w:pPr>
            <w:r w:rsidRPr="00821DC1">
              <w:rPr>
                <w:rFonts w:ascii="Arial" w:hAnsi="Arial" w:cs="Arial"/>
                <w:b/>
                <w:bCs/>
                <w:color w:val="auto"/>
                <w:sz w:val="16"/>
                <w:szCs w:val="16"/>
              </w:rPr>
              <w:t>2023–24 Forward estimate</w:t>
            </w:r>
            <w:r w:rsidRPr="00821DC1">
              <w:rPr>
                <w:rFonts w:ascii="Arial" w:hAnsi="Arial" w:cs="Arial"/>
                <w:b/>
                <w:bCs/>
                <w:color w:val="auto"/>
                <w:sz w:val="16"/>
                <w:szCs w:val="16"/>
              </w:rPr>
              <w:br/>
            </w:r>
            <w:r w:rsidRPr="00821DC1">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tcMar>
              <w:left w:w="0" w:type="dxa"/>
            </w:tcMar>
            <w:hideMark/>
          </w:tcPr>
          <w:p w14:paraId="5D9F84AF" w14:textId="77777777" w:rsidR="00821DC1" w:rsidRPr="00821DC1" w:rsidRDefault="00821DC1" w:rsidP="00382939">
            <w:pPr>
              <w:spacing w:before="40" w:after="0"/>
              <w:jc w:val="right"/>
              <w:rPr>
                <w:rFonts w:ascii="Arial" w:hAnsi="Arial" w:cs="Arial"/>
                <w:b/>
                <w:bCs/>
                <w:color w:val="auto"/>
                <w:sz w:val="16"/>
                <w:szCs w:val="16"/>
              </w:rPr>
            </w:pPr>
            <w:r w:rsidRPr="00821DC1">
              <w:rPr>
                <w:rFonts w:ascii="Arial" w:hAnsi="Arial" w:cs="Arial"/>
                <w:b/>
                <w:bCs/>
                <w:color w:val="auto"/>
                <w:sz w:val="16"/>
                <w:szCs w:val="16"/>
              </w:rPr>
              <w:t>2024–25 Forward estimate</w:t>
            </w:r>
            <w:r w:rsidRPr="00821DC1">
              <w:rPr>
                <w:rFonts w:ascii="Arial" w:hAnsi="Arial" w:cs="Arial"/>
                <w:b/>
                <w:bCs/>
                <w:color w:val="auto"/>
                <w:sz w:val="16"/>
                <w:szCs w:val="16"/>
              </w:rPr>
              <w:br/>
            </w:r>
            <w:r w:rsidRPr="00821DC1">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tcMar>
              <w:left w:w="0" w:type="dxa"/>
            </w:tcMar>
            <w:hideMark/>
          </w:tcPr>
          <w:p w14:paraId="4BB21520" w14:textId="77777777" w:rsidR="00821DC1" w:rsidRPr="00821DC1" w:rsidRDefault="00821DC1" w:rsidP="00382939">
            <w:pPr>
              <w:spacing w:before="40" w:after="0"/>
              <w:jc w:val="right"/>
              <w:rPr>
                <w:rFonts w:ascii="Arial" w:hAnsi="Arial" w:cs="Arial"/>
                <w:b/>
                <w:bCs/>
                <w:color w:val="auto"/>
                <w:sz w:val="16"/>
                <w:szCs w:val="16"/>
              </w:rPr>
            </w:pPr>
            <w:r w:rsidRPr="00821DC1">
              <w:rPr>
                <w:rFonts w:ascii="Arial" w:hAnsi="Arial" w:cs="Arial"/>
                <w:b/>
                <w:bCs/>
                <w:color w:val="auto"/>
                <w:sz w:val="16"/>
                <w:szCs w:val="16"/>
              </w:rPr>
              <w:t>2025–26 Forward estimate</w:t>
            </w:r>
            <w:r w:rsidRPr="00821DC1">
              <w:rPr>
                <w:rFonts w:ascii="Arial" w:hAnsi="Arial" w:cs="Arial"/>
                <w:b/>
                <w:bCs/>
                <w:color w:val="auto"/>
                <w:sz w:val="16"/>
                <w:szCs w:val="16"/>
              </w:rPr>
              <w:br/>
            </w:r>
            <w:r w:rsidRPr="00821DC1">
              <w:rPr>
                <w:rFonts w:ascii="Arial" w:hAnsi="Arial" w:cs="Arial"/>
                <w:color w:val="auto"/>
                <w:sz w:val="16"/>
                <w:szCs w:val="16"/>
              </w:rPr>
              <w:t>$'000</w:t>
            </w:r>
          </w:p>
        </w:tc>
      </w:tr>
      <w:tr w:rsidR="00821DC1" w:rsidRPr="00821DC1" w14:paraId="565D85C7" w14:textId="77777777" w:rsidTr="00382939">
        <w:trPr>
          <w:trHeight w:val="283"/>
        </w:trPr>
        <w:tc>
          <w:tcPr>
            <w:tcW w:w="7440" w:type="dxa"/>
            <w:gridSpan w:val="6"/>
            <w:tcBorders>
              <w:top w:val="nil"/>
              <w:left w:val="nil"/>
              <w:bottom w:val="nil"/>
              <w:right w:val="nil"/>
            </w:tcBorders>
            <w:shd w:val="clear" w:color="auto" w:fill="auto"/>
            <w:noWrap/>
            <w:vAlign w:val="bottom"/>
            <w:hideMark/>
          </w:tcPr>
          <w:p w14:paraId="22815318" w14:textId="77777777" w:rsidR="00821DC1" w:rsidRPr="00821DC1" w:rsidRDefault="00821DC1" w:rsidP="00821DC1">
            <w:pPr>
              <w:spacing w:after="0"/>
              <w:rPr>
                <w:rFonts w:ascii="Arial" w:hAnsi="Arial" w:cs="Arial"/>
                <w:b/>
                <w:bCs/>
                <w:color w:val="auto"/>
                <w:sz w:val="16"/>
                <w:szCs w:val="16"/>
              </w:rPr>
            </w:pPr>
            <w:r w:rsidRPr="00821DC1">
              <w:rPr>
                <w:rFonts w:ascii="Arial" w:hAnsi="Arial" w:cs="Arial"/>
                <w:b/>
                <w:bCs/>
                <w:color w:val="auto"/>
                <w:sz w:val="16"/>
                <w:szCs w:val="16"/>
              </w:rPr>
              <w:t>Program 1.1: National Blood Agreement Management</w:t>
            </w:r>
          </w:p>
        </w:tc>
      </w:tr>
      <w:tr w:rsidR="00821DC1" w:rsidRPr="00821DC1" w14:paraId="18569371" w14:textId="77777777" w:rsidTr="00382939">
        <w:trPr>
          <w:trHeight w:val="283"/>
        </w:trPr>
        <w:tc>
          <w:tcPr>
            <w:tcW w:w="2860" w:type="dxa"/>
            <w:tcBorders>
              <w:top w:val="nil"/>
              <w:left w:val="nil"/>
              <w:bottom w:val="nil"/>
              <w:right w:val="nil"/>
            </w:tcBorders>
            <w:shd w:val="clear" w:color="auto" w:fill="auto"/>
            <w:noWrap/>
            <w:vAlign w:val="bottom"/>
            <w:hideMark/>
          </w:tcPr>
          <w:p w14:paraId="5CE1F6C3" w14:textId="77777777" w:rsidR="00821DC1" w:rsidRPr="00821DC1" w:rsidRDefault="00821DC1" w:rsidP="00821DC1">
            <w:pPr>
              <w:spacing w:after="0"/>
              <w:ind w:leftChars="50" w:left="95"/>
              <w:rPr>
                <w:rFonts w:ascii="Arial" w:hAnsi="Arial" w:cs="Arial"/>
                <w:color w:val="auto"/>
                <w:sz w:val="16"/>
                <w:szCs w:val="16"/>
              </w:rPr>
            </w:pPr>
            <w:r w:rsidRPr="00821DC1">
              <w:rPr>
                <w:rFonts w:ascii="Arial" w:hAnsi="Arial" w:cs="Arial"/>
                <w:color w:val="auto"/>
                <w:sz w:val="16"/>
                <w:szCs w:val="16"/>
              </w:rPr>
              <w:t>Administered expenses</w:t>
            </w:r>
          </w:p>
        </w:tc>
        <w:tc>
          <w:tcPr>
            <w:tcW w:w="900" w:type="dxa"/>
            <w:tcBorders>
              <w:top w:val="nil"/>
              <w:left w:val="nil"/>
              <w:bottom w:val="nil"/>
              <w:right w:val="nil"/>
            </w:tcBorders>
            <w:shd w:val="clear" w:color="auto" w:fill="auto"/>
            <w:tcMar>
              <w:left w:w="0" w:type="dxa"/>
            </w:tcMar>
            <w:vAlign w:val="bottom"/>
            <w:hideMark/>
          </w:tcPr>
          <w:p w14:paraId="63C47E04" w14:textId="77777777" w:rsidR="00821DC1" w:rsidRPr="00821DC1" w:rsidRDefault="00821DC1" w:rsidP="00821DC1">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04233DDE"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 </w:t>
            </w:r>
          </w:p>
        </w:tc>
        <w:tc>
          <w:tcPr>
            <w:tcW w:w="900" w:type="dxa"/>
            <w:tcBorders>
              <w:top w:val="nil"/>
              <w:left w:val="nil"/>
              <w:bottom w:val="nil"/>
              <w:right w:val="nil"/>
            </w:tcBorders>
            <w:shd w:val="clear" w:color="auto" w:fill="auto"/>
            <w:tcMar>
              <w:left w:w="0" w:type="dxa"/>
            </w:tcMar>
            <w:vAlign w:val="bottom"/>
            <w:hideMark/>
          </w:tcPr>
          <w:p w14:paraId="57091C07" w14:textId="77777777" w:rsidR="00821DC1" w:rsidRPr="00821DC1" w:rsidRDefault="00821DC1" w:rsidP="00821DC1">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tcMar>
              <w:left w:w="0" w:type="dxa"/>
            </w:tcMar>
            <w:vAlign w:val="bottom"/>
            <w:hideMark/>
          </w:tcPr>
          <w:p w14:paraId="13852318" w14:textId="77777777" w:rsidR="00821DC1" w:rsidRPr="00821DC1" w:rsidRDefault="00821DC1" w:rsidP="00821DC1">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tcMar>
              <w:left w:w="0" w:type="dxa"/>
            </w:tcMar>
            <w:vAlign w:val="bottom"/>
            <w:hideMark/>
          </w:tcPr>
          <w:p w14:paraId="75A00E6E" w14:textId="77777777" w:rsidR="00821DC1" w:rsidRPr="00821DC1" w:rsidRDefault="00821DC1" w:rsidP="00821DC1">
            <w:pPr>
              <w:spacing w:after="0"/>
              <w:jc w:val="right"/>
              <w:rPr>
                <w:rFonts w:ascii="Times New Roman" w:hAnsi="Times New Roman"/>
                <w:color w:val="auto"/>
                <w:sz w:val="20"/>
              </w:rPr>
            </w:pPr>
          </w:p>
        </w:tc>
      </w:tr>
      <w:tr w:rsidR="00821DC1" w:rsidRPr="00821DC1" w14:paraId="5B2F9C8B" w14:textId="77777777" w:rsidTr="00382939">
        <w:trPr>
          <w:trHeight w:val="283"/>
        </w:trPr>
        <w:tc>
          <w:tcPr>
            <w:tcW w:w="2860" w:type="dxa"/>
            <w:tcBorders>
              <w:top w:val="nil"/>
              <w:left w:val="nil"/>
              <w:bottom w:val="nil"/>
              <w:right w:val="nil"/>
            </w:tcBorders>
            <w:shd w:val="clear" w:color="auto" w:fill="auto"/>
            <w:noWrap/>
            <w:vAlign w:val="bottom"/>
            <w:hideMark/>
          </w:tcPr>
          <w:p w14:paraId="4C6304BB" w14:textId="77777777" w:rsidR="00821DC1" w:rsidRPr="00821DC1" w:rsidRDefault="00821DC1" w:rsidP="00821DC1">
            <w:pPr>
              <w:spacing w:after="0"/>
              <w:ind w:leftChars="100" w:left="190"/>
              <w:rPr>
                <w:rFonts w:ascii="Arial" w:hAnsi="Arial" w:cs="Arial"/>
                <w:color w:val="auto"/>
                <w:sz w:val="16"/>
                <w:szCs w:val="16"/>
              </w:rPr>
            </w:pPr>
            <w:r w:rsidRPr="00821DC1">
              <w:rPr>
                <w:rFonts w:ascii="Arial" w:hAnsi="Arial" w:cs="Arial"/>
                <w:color w:val="auto"/>
                <w:sz w:val="16"/>
                <w:szCs w:val="16"/>
              </w:rPr>
              <w:t>Ordinary annual services</w:t>
            </w:r>
            <w:r w:rsidRPr="00821DC1">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tcMar>
              <w:left w:w="0" w:type="dxa"/>
            </w:tcMar>
            <w:vAlign w:val="bottom"/>
            <w:hideMark/>
          </w:tcPr>
          <w:p w14:paraId="0DB959FF"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343</w:t>
            </w:r>
          </w:p>
        </w:tc>
        <w:tc>
          <w:tcPr>
            <w:tcW w:w="900" w:type="dxa"/>
            <w:tcBorders>
              <w:top w:val="nil"/>
              <w:left w:val="nil"/>
              <w:bottom w:val="nil"/>
              <w:right w:val="nil"/>
            </w:tcBorders>
            <w:shd w:val="clear" w:color="000000" w:fill="D9D9D9"/>
            <w:noWrap/>
            <w:tcMar>
              <w:left w:w="0" w:type="dxa"/>
            </w:tcMar>
            <w:vAlign w:val="bottom"/>
            <w:hideMark/>
          </w:tcPr>
          <w:p w14:paraId="1ABE39DF"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184</w:t>
            </w:r>
          </w:p>
        </w:tc>
        <w:tc>
          <w:tcPr>
            <w:tcW w:w="900" w:type="dxa"/>
            <w:tcBorders>
              <w:top w:val="nil"/>
              <w:left w:val="nil"/>
              <w:bottom w:val="nil"/>
              <w:right w:val="nil"/>
            </w:tcBorders>
            <w:shd w:val="clear" w:color="auto" w:fill="auto"/>
            <w:tcMar>
              <w:left w:w="0" w:type="dxa"/>
            </w:tcMar>
            <w:vAlign w:val="bottom"/>
            <w:hideMark/>
          </w:tcPr>
          <w:p w14:paraId="0EBED643"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4A2E8F4C"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773C30F8"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r>
      <w:tr w:rsidR="00821DC1" w:rsidRPr="00821DC1" w14:paraId="1E604D7D" w14:textId="77777777" w:rsidTr="00382939">
        <w:trPr>
          <w:trHeight w:val="397"/>
        </w:trPr>
        <w:tc>
          <w:tcPr>
            <w:tcW w:w="2860" w:type="dxa"/>
            <w:tcBorders>
              <w:top w:val="nil"/>
              <w:left w:val="nil"/>
              <w:bottom w:val="nil"/>
              <w:right w:val="nil"/>
            </w:tcBorders>
            <w:shd w:val="clear" w:color="auto" w:fill="auto"/>
            <w:vAlign w:val="bottom"/>
            <w:hideMark/>
          </w:tcPr>
          <w:p w14:paraId="4C95637A" w14:textId="77777777" w:rsidR="00821DC1" w:rsidRPr="00821DC1" w:rsidRDefault="00821DC1" w:rsidP="00821DC1">
            <w:pPr>
              <w:spacing w:after="0"/>
              <w:ind w:leftChars="225" w:left="428"/>
              <w:rPr>
                <w:rFonts w:ascii="Arial" w:hAnsi="Arial" w:cs="Arial"/>
                <w:color w:val="auto"/>
                <w:sz w:val="16"/>
                <w:szCs w:val="16"/>
              </w:rPr>
            </w:pPr>
            <w:r w:rsidRPr="00821DC1">
              <w:rPr>
                <w:rFonts w:ascii="Arial" w:hAnsi="Arial" w:cs="Arial"/>
                <w:color w:val="auto"/>
                <w:sz w:val="16"/>
                <w:szCs w:val="16"/>
              </w:rPr>
              <w:t>to National Blood Authority Account</w:t>
            </w:r>
          </w:p>
        </w:tc>
        <w:tc>
          <w:tcPr>
            <w:tcW w:w="900" w:type="dxa"/>
            <w:tcBorders>
              <w:top w:val="nil"/>
              <w:left w:val="nil"/>
              <w:bottom w:val="nil"/>
              <w:right w:val="nil"/>
            </w:tcBorders>
            <w:shd w:val="clear" w:color="auto" w:fill="auto"/>
            <w:tcMar>
              <w:left w:w="0" w:type="dxa"/>
            </w:tcMar>
            <w:vAlign w:val="bottom"/>
            <w:hideMark/>
          </w:tcPr>
          <w:p w14:paraId="1A161724"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(343)</w:t>
            </w:r>
          </w:p>
        </w:tc>
        <w:tc>
          <w:tcPr>
            <w:tcW w:w="900" w:type="dxa"/>
            <w:tcBorders>
              <w:top w:val="nil"/>
              <w:left w:val="nil"/>
              <w:bottom w:val="nil"/>
              <w:right w:val="nil"/>
            </w:tcBorders>
            <w:shd w:val="clear" w:color="000000" w:fill="D9D9D9"/>
            <w:noWrap/>
            <w:tcMar>
              <w:left w:w="0" w:type="dxa"/>
            </w:tcMar>
            <w:vAlign w:val="bottom"/>
            <w:hideMark/>
          </w:tcPr>
          <w:p w14:paraId="5C826F0F"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(184)</w:t>
            </w:r>
          </w:p>
        </w:tc>
        <w:tc>
          <w:tcPr>
            <w:tcW w:w="900" w:type="dxa"/>
            <w:tcBorders>
              <w:top w:val="nil"/>
              <w:left w:val="nil"/>
              <w:bottom w:val="nil"/>
              <w:right w:val="nil"/>
            </w:tcBorders>
            <w:shd w:val="clear" w:color="auto" w:fill="auto"/>
            <w:tcMar>
              <w:left w:w="0" w:type="dxa"/>
            </w:tcMar>
            <w:vAlign w:val="bottom"/>
            <w:hideMark/>
          </w:tcPr>
          <w:p w14:paraId="12EB6805"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6C024BED"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2F27A135"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r>
      <w:tr w:rsidR="00821DC1" w:rsidRPr="00821DC1" w14:paraId="151EF936" w14:textId="77777777" w:rsidTr="00382939">
        <w:trPr>
          <w:trHeight w:val="595"/>
        </w:trPr>
        <w:tc>
          <w:tcPr>
            <w:tcW w:w="2860" w:type="dxa"/>
            <w:tcBorders>
              <w:top w:val="nil"/>
              <w:left w:val="nil"/>
              <w:bottom w:val="nil"/>
              <w:right w:val="nil"/>
            </w:tcBorders>
            <w:shd w:val="clear" w:color="auto" w:fill="auto"/>
            <w:vAlign w:val="bottom"/>
            <w:hideMark/>
          </w:tcPr>
          <w:p w14:paraId="6F898914" w14:textId="77777777" w:rsidR="00821DC1" w:rsidRPr="00821DC1" w:rsidRDefault="00821DC1" w:rsidP="00821DC1">
            <w:pPr>
              <w:spacing w:after="0"/>
              <w:ind w:leftChars="225" w:left="428"/>
              <w:rPr>
                <w:rFonts w:ascii="Arial" w:hAnsi="Arial" w:cs="Arial"/>
                <w:color w:val="auto"/>
                <w:sz w:val="16"/>
                <w:szCs w:val="16"/>
              </w:rPr>
            </w:pPr>
            <w:r w:rsidRPr="00821DC1">
              <w:rPr>
                <w:rFonts w:ascii="Arial" w:hAnsi="Arial" w:cs="Arial"/>
                <w:color w:val="auto"/>
                <w:sz w:val="16"/>
                <w:szCs w:val="16"/>
              </w:rPr>
              <w:t>to National Managed Fund (Blood and Blood Products) Special Account</w:t>
            </w:r>
          </w:p>
        </w:tc>
        <w:tc>
          <w:tcPr>
            <w:tcW w:w="900" w:type="dxa"/>
            <w:tcBorders>
              <w:top w:val="nil"/>
              <w:left w:val="nil"/>
              <w:bottom w:val="nil"/>
              <w:right w:val="nil"/>
            </w:tcBorders>
            <w:shd w:val="clear" w:color="auto" w:fill="auto"/>
            <w:tcMar>
              <w:left w:w="0" w:type="dxa"/>
            </w:tcMar>
            <w:vAlign w:val="bottom"/>
            <w:hideMark/>
          </w:tcPr>
          <w:p w14:paraId="0A5CA7D9"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00" w:type="dxa"/>
            <w:tcBorders>
              <w:top w:val="nil"/>
              <w:left w:val="nil"/>
              <w:bottom w:val="nil"/>
              <w:right w:val="nil"/>
            </w:tcBorders>
            <w:shd w:val="clear" w:color="000000" w:fill="D9D9D9"/>
            <w:noWrap/>
            <w:tcMar>
              <w:left w:w="0" w:type="dxa"/>
            </w:tcMar>
            <w:vAlign w:val="bottom"/>
            <w:hideMark/>
          </w:tcPr>
          <w:p w14:paraId="1F9FF2BF"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00" w:type="dxa"/>
            <w:tcBorders>
              <w:top w:val="nil"/>
              <w:left w:val="nil"/>
              <w:bottom w:val="nil"/>
              <w:right w:val="nil"/>
            </w:tcBorders>
            <w:shd w:val="clear" w:color="auto" w:fill="auto"/>
            <w:tcMar>
              <w:left w:w="0" w:type="dxa"/>
            </w:tcMar>
            <w:vAlign w:val="bottom"/>
            <w:hideMark/>
          </w:tcPr>
          <w:p w14:paraId="563044B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14C98E61"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1367EDE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r>
      <w:tr w:rsidR="00821DC1" w:rsidRPr="00821DC1" w14:paraId="20C2D3E4" w14:textId="77777777" w:rsidTr="00382939">
        <w:trPr>
          <w:trHeight w:val="283"/>
        </w:trPr>
        <w:tc>
          <w:tcPr>
            <w:tcW w:w="2860" w:type="dxa"/>
            <w:tcBorders>
              <w:top w:val="nil"/>
              <w:left w:val="nil"/>
              <w:bottom w:val="nil"/>
              <w:right w:val="nil"/>
            </w:tcBorders>
            <w:shd w:val="clear" w:color="auto" w:fill="auto"/>
            <w:noWrap/>
            <w:vAlign w:val="bottom"/>
            <w:hideMark/>
          </w:tcPr>
          <w:p w14:paraId="604B3FDE" w14:textId="77777777" w:rsidR="00821DC1" w:rsidRPr="00821DC1" w:rsidRDefault="00821DC1" w:rsidP="00821DC1">
            <w:pPr>
              <w:spacing w:after="0"/>
              <w:ind w:leftChars="100" w:left="190"/>
              <w:rPr>
                <w:rFonts w:ascii="Arial" w:hAnsi="Arial" w:cs="Arial"/>
                <w:color w:val="auto"/>
                <w:sz w:val="16"/>
                <w:szCs w:val="16"/>
              </w:rPr>
            </w:pPr>
            <w:r w:rsidRPr="00821DC1">
              <w:rPr>
                <w:rFonts w:ascii="Arial" w:hAnsi="Arial" w:cs="Arial"/>
                <w:color w:val="auto"/>
                <w:sz w:val="16"/>
                <w:szCs w:val="16"/>
              </w:rPr>
              <w:t>Special accounts</w:t>
            </w:r>
          </w:p>
        </w:tc>
        <w:tc>
          <w:tcPr>
            <w:tcW w:w="900" w:type="dxa"/>
            <w:tcBorders>
              <w:top w:val="nil"/>
              <w:left w:val="nil"/>
              <w:bottom w:val="nil"/>
              <w:right w:val="nil"/>
            </w:tcBorders>
            <w:shd w:val="clear" w:color="auto" w:fill="auto"/>
            <w:tcMar>
              <w:left w:w="0" w:type="dxa"/>
            </w:tcMar>
            <w:vAlign w:val="bottom"/>
            <w:hideMark/>
          </w:tcPr>
          <w:p w14:paraId="41DE0AC7" w14:textId="77777777" w:rsidR="00821DC1" w:rsidRPr="00821DC1" w:rsidRDefault="00821DC1" w:rsidP="00821DC1">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7E505A0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 </w:t>
            </w:r>
          </w:p>
        </w:tc>
        <w:tc>
          <w:tcPr>
            <w:tcW w:w="900" w:type="dxa"/>
            <w:tcBorders>
              <w:top w:val="nil"/>
              <w:left w:val="nil"/>
              <w:bottom w:val="nil"/>
              <w:right w:val="nil"/>
            </w:tcBorders>
            <w:shd w:val="clear" w:color="auto" w:fill="auto"/>
            <w:tcMar>
              <w:left w:w="0" w:type="dxa"/>
            </w:tcMar>
            <w:vAlign w:val="bottom"/>
            <w:hideMark/>
          </w:tcPr>
          <w:p w14:paraId="6B9B4B75" w14:textId="77777777" w:rsidR="00821DC1" w:rsidRPr="00821DC1" w:rsidRDefault="00821DC1" w:rsidP="00821DC1">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tcMar>
              <w:left w:w="0" w:type="dxa"/>
            </w:tcMar>
            <w:vAlign w:val="bottom"/>
            <w:hideMark/>
          </w:tcPr>
          <w:p w14:paraId="3FAAC443" w14:textId="77777777" w:rsidR="00821DC1" w:rsidRPr="00821DC1" w:rsidRDefault="00821DC1" w:rsidP="00821DC1">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tcMar>
              <w:left w:w="0" w:type="dxa"/>
            </w:tcMar>
            <w:vAlign w:val="bottom"/>
            <w:hideMark/>
          </w:tcPr>
          <w:p w14:paraId="15380274" w14:textId="77777777" w:rsidR="00821DC1" w:rsidRPr="00821DC1" w:rsidRDefault="00821DC1" w:rsidP="00821DC1">
            <w:pPr>
              <w:spacing w:after="0"/>
              <w:jc w:val="right"/>
              <w:rPr>
                <w:rFonts w:ascii="Times New Roman" w:hAnsi="Times New Roman"/>
                <w:color w:val="auto"/>
                <w:sz w:val="20"/>
              </w:rPr>
            </w:pPr>
          </w:p>
        </w:tc>
      </w:tr>
      <w:tr w:rsidR="00821DC1" w:rsidRPr="00821DC1" w14:paraId="7A4EE0F6" w14:textId="77777777" w:rsidTr="00382939">
        <w:trPr>
          <w:trHeight w:val="397"/>
        </w:trPr>
        <w:tc>
          <w:tcPr>
            <w:tcW w:w="2860" w:type="dxa"/>
            <w:tcBorders>
              <w:top w:val="nil"/>
              <w:left w:val="nil"/>
              <w:bottom w:val="nil"/>
              <w:right w:val="nil"/>
            </w:tcBorders>
            <w:shd w:val="clear" w:color="auto" w:fill="auto"/>
            <w:vAlign w:val="bottom"/>
            <w:hideMark/>
          </w:tcPr>
          <w:p w14:paraId="6D478AB2" w14:textId="77777777" w:rsidR="00821DC1" w:rsidRPr="00821DC1" w:rsidRDefault="00821DC1" w:rsidP="00821DC1">
            <w:pPr>
              <w:spacing w:after="0"/>
              <w:ind w:leftChars="225" w:left="428"/>
              <w:rPr>
                <w:rFonts w:ascii="Arial" w:hAnsi="Arial" w:cs="Arial"/>
                <w:color w:val="auto"/>
                <w:sz w:val="16"/>
                <w:szCs w:val="16"/>
              </w:rPr>
            </w:pPr>
            <w:r w:rsidRPr="00821DC1">
              <w:rPr>
                <w:rFonts w:ascii="Arial" w:hAnsi="Arial" w:cs="Arial"/>
                <w:color w:val="auto"/>
                <w:sz w:val="16"/>
                <w:szCs w:val="16"/>
              </w:rPr>
              <w:t>National Blood Authority Account</w:t>
            </w:r>
          </w:p>
        </w:tc>
        <w:tc>
          <w:tcPr>
            <w:tcW w:w="900" w:type="dxa"/>
            <w:tcBorders>
              <w:top w:val="nil"/>
              <w:left w:val="nil"/>
              <w:bottom w:val="nil"/>
              <w:right w:val="nil"/>
            </w:tcBorders>
            <w:shd w:val="clear" w:color="auto" w:fill="auto"/>
            <w:tcMar>
              <w:left w:w="0" w:type="dxa"/>
            </w:tcMar>
            <w:vAlign w:val="bottom"/>
            <w:hideMark/>
          </w:tcPr>
          <w:p w14:paraId="6CA0C9B2"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1,399,495</w:t>
            </w:r>
          </w:p>
        </w:tc>
        <w:tc>
          <w:tcPr>
            <w:tcW w:w="900" w:type="dxa"/>
            <w:tcBorders>
              <w:top w:val="nil"/>
              <w:left w:val="nil"/>
              <w:bottom w:val="nil"/>
              <w:right w:val="nil"/>
            </w:tcBorders>
            <w:shd w:val="clear" w:color="000000" w:fill="D9D9D9"/>
            <w:noWrap/>
            <w:tcMar>
              <w:left w:w="0" w:type="dxa"/>
            </w:tcMar>
            <w:vAlign w:val="bottom"/>
            <w:hideMark/>
          </w:tcPr>
          <w:p w14:paraId="6F669564"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1,579,416</w:t>
            </w:r>
          </w:p>
        </w:tc>
        <w:tc>
          <w:tcPr>
            <w:tcW w:w="900" w:type="dxa"/>
            <w:tcBorders>
              <w:top w:val="nil"/>
              <w:left w:val="nil"/>
              <w:bottom w:val="nil"/>
              <w:right w:val="nil"/>
            </w:tcBorders>
            <w:shd w:val="clear" w:color="auto" w:fill="auto"/>
            <w:tcMar>
              <w:left w:w="0" w:type="dxa"/>
            </w:tcMar>
            <w:vAlign w:val="bottom"/>
            <w:hideMark/>
          </w:tcPr>
          <w:p w14:paraId="4D7E148A"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1,670,875</w:t>
            </w:r>
          </w:p>
        </w:tc>
        <w:tc>
          <w:tcPr>
            <w:tcW w:w="940" w:type="dxa"/>
            <w:tcBorders>
              <w:top w:val="nil"/>
              <w:left w:val="nil"/>
              <w:bottom w:val="nil"/>
              <w:right w:val="nil"/>
            </w:tcBorders>
            <w:shd w:val="clear" w:color="auto" w:fill="auto"/>
            <w:tcMar>
              <w:left w:w="0" w:type="dxa"/>
            </w:tcMar>
            <w:vAlign w:val="bottom"/>
            <w:hideMark/>
          </w:tcPr>
          <w:p w14:paraId="78E6CBA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1,773,067</w:t>
            </w:r>
          </w:p>
        </w:tc>
        <w:tc>
          <w:tcPr>
            <w:tcW w:w="940" w:type="dxa"/>
            <w:tcBorders>
              <w:top w:val="nil"/>
              <w:left w:val="nil"/>
              <w:bottom w:val="nil"/>
              <w:right w:val="nil"/>
            </w:tcBorders>
            <w:shd w:val="clear" w:color="auto" w:fill="auto"/>
            <w:tcMar>
              <w:left w:w="0" w:type="dxa"/>
            </w:tcMar>
            <w:vAlign w:val="bottom"/>
            <w:hideMark/>
          </w:tcPr>
          <w:p w14:paraId="492061A5"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1,950,173</w:t>
            </w:r>
          </w:p>
        </w:tc>
      </w:tr>
      <w:tr w:rsidR="00821DC1" w:rsidRPr="00821DC1" w14:paraId="06DB7305" w14:textId="77777777" w:rsidTr="00382939">
        <w:trPr>
          <w:trHeight w:val="595"/>
        </w:trPr>
        <w:tc>
          <w:tcPr>
            <w:tcW w:w="2860" w:type="dxa"/>
            <w:tcBorders>
              <w:top w:val="nil"/>
              <w:left w:val="nil"/>
              <w:bottom w:val="nil"/>
              <w:right w:val="nil"/>
            </w:tcBorders>
            <w:shd w:val="clear" w:color="auto" w:fill="auto"/>
            <w:vAlign w:val="bottom"/>
            <w:hideMark/>
          </w:tcPr>
          <w:p w14:paraId="3F193E65" w14:textId="77777777" w:rsidR="00821DC1" w:rsidRPr="00821DC1" w:rsidRDefault="00821DC1" w:rsidP="00821DC1">
            <w:pPr>
              <w:spacing w:after="0"/>
              <w:ind w:leftChars="225" w:left="428"/>
              <w:rPr>
                <w:rFonts w:ascii="Arial" w:hAnsi="Arial" w:cs="Arial"/>
                <w:color w:val="auto"/>
                <w:sz w:val="16"/>
                <w:szCs w:val="16"/>
              </w:rPr>
            </w:pPr>
            <w:r w:rsidRPr="00821DC1">
              <w:rPr>
                <w:rFonts w:ascii="Arial" w:hAnsi="Arial" w:cs="Arial"/>
                <w:color w:val="auto"/>
                <w:sz w:val="16"/>
                <w:szCs w:val="16"/>
              </w:rPr>
              <w:t>National Managed Fund (Blood and Blood Products) Special Account</w:t>
            </w:r>
          </w:p>
        </w:tc>
        <w:tc>
          <w:tcPr>
            <w:tcW w:w="900" w:type="dxa"/>
            <w:tcBorders>
              <w:top w:val="nil"/>
              <w:left w:val="nil"/>
              <w:bottom w:val="nil"/>
              <w:right w:val="nil"/>
            </w:tcBorders>
            <w:shd w:val="clear" w:color="auto" w:fill="auto"/>
            <w:tcMar>
              <w:left w:w="0" w:type="dxa"/>
            </w:tcMar>
            <w:vAlign w:val="bottom"/>
            <w:hideMark/>
          </w:tcPr>
          <w:p w14:paraId="467B7A70"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00" w:type="dxa"/>
            <w:tcBorders>
              <w:top w:val="nil"/>
              <w:left w:val="nil"/>
              <w:bottom w:val="nil"/>
              <w:right w:val="nil"/>
            </w:tcBorders>
            <w:shd w:val="clear" w:color="000000" w:fill="D9D9D9"/>
            <w:noWrap/>
            <w:tcMar>
              <w:left w:w="0" w:type="dxa"/>
            </w:tcMar>
            <w:vAlign w:val="bottom"/>
            <w:hideMark/>
          </w:tcPr>
          <w:p w14:paraId="0A14FB0D"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00" w:type="dxa"/>
            <w:tcBorders>
              <w:top w:val="nil"/>
              <w:left w:val="nil"/>
              <w:bottom w:val="nil"/>
              <w:right w:val="nil"/>
            </w:tcBorders>
            <w:shd w:val="clear" w:color="auto" w:fill="auto"/>
            <w:tcMar>
              <w:left w:w="0" w:type="dxa"/>
            </w:tcMar>
            <w:vAlign w:val="bottom"/>
            <w:hideMark/>
          </w:tcPr>
          <w:p w14:paraId="61EFC576"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4677325C"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nil"/>
              <w:right w:val="nil"/>
            </w:tcBorders>
            <w:shd w:val="clear" w:color="auto" w:fill="auto"/>
            <w:tcMar>
              <w:left w:w="0" w:type="dxa"/>
            </w:tcMar>
            <w:vAlign w:val="bottom"/>
            <w:hideMark/>
          </w:tcPr>
          <w:p w14:paraId="65D3BBE0"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r>
      <w:tr w:rsidR="00821DC1" w:rsidRPr="00821DC1" w14:paraId="128A2278" w14:textId="77777777" w:rsidTr="00382939">
        <w:trPr>
          <w:trHeight w:val="283"/>
        </w:trPr>
        <w:tc>
          <w:tcPr>
            <w:tcW w:w="2860" w:type="dxa"/>
            <w:tcBorders>
              <w:top w:val="nil"/>
              <w:left w:val="nil"/>
              <w:bottom w:val="nil"/>
              <w:right w:val="nil"/>
            </w:tcBorders>
            <w:shd w:val="clear" w:color="auto" w:fill="auto"/>
            <w:noWrap/>
            <w:vAlign w:val="bottom"/>
            <w:hideMark/>
          </w:tcPr>
          <w:p w14:paraId="2BD836D9" w14:textId="77777777" w:rsidR="00821DC1" w:rsidRPr="00821DC1" w:rsidRDefault="00821DC1" w:rsidP="00821DC1">
            <w:pPr>
              <w:spacing w:after="0"/>
              <w:ind w:leftChars="50" w:left="95"/>
              <w:rPr>
                <w:rFonts w:ascii="Arial" w:hAnsi="Arial" w:cs="Arial"/>
                <w:color w:val="auto"/>
                <w:sz w:val="16"/>
                <w:szCs w:val="16"/>
              </w:rPr>
            </w:pPr>
            <w:r w:rsidRPr="00821DC1">
              <w:rPr>
                <w:rFonts w:ascii="Arial" w:hAnsi="Arial" w:cs="Arial"/>
                <w:color w:val="auto"/>
                <w:sz w:val="16"/>
                <w:szCs w:val="16"/>
              </w:rPr>
              <w:t>Departmental expenses</w:t>
            </w:r>
          </w:p>
        </w:tc>
        <w:tc>
          <w:tcPr>
            <w:tcW w:w="900" w:type="dxa"/>
            <w:tcBorders>
              <w:top w:val="nil"/>
              <w:left w:val="nil"/>
              <w:bottom w:val="nil"/>
              <w:right w:val="nil"/>
            </w:tcBorders>
            <w:shd w:val="clear" w:color="auto" w:fill="auto"/>
            <w:tcMar>
              <w:left w:w="0" w:type="dxa"/>
            </w:tcMar>
            <w:vAlign w:val="bottom"/>
            <w:hideMark/>
          </w:tcPr>
          <w:p w14:paraId="20BCE6DF" w14:textId="77777777" w:rsidR="00821DC1" w:rsidRPr="00821DC1" w:rsidRDefault="00821DC1" w:rsidP="00821DC1">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09F1A9C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 </w:t>
            </w:r>
          </w:p>
        </w:tc>
        <w:tc>
          <w:tcPr>
            <w:tcW w:w="900" w:type="dxa"/>
            <w:tcBorders>
              <w:top w:val="nil"/>
              <w:left w:val="nil"/>
              <w:bottom w:val="nil"/>
              <w:right w:val="nil"/>
            </w:tcBorders>
            <w:shd w:val="clear" w:color="auto" w:fill="auto"/>
            <w:tcMar>
              <w:left w:w="0" w:type="dxa"/>
            </w:tcMar>
            <w:vAlign w:val="bottom"/>
            <w:hideMark/>
          </w:tcPr>
          <w:p w14:paraId="170B8DBE" w14:textId="77777777" w:rsidR="00821DC1" w:rsidRPr="00821DC1" w:rsidRDefault="00821DC1" w:rsidP="00821DC1">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tcMar>
              <w:left w:w="0" w:type="dxa"/>
            </w:tcMar>
            <w:vAlign w:val="bottom"/>
            <w:hideMark/>
          </w:tcPr>
          <w:p w14:paraId="31495FF5" w14:textId="77777777" w:rsidR="00821DC1" w:rsidRPr="00821DC1" w:rsidRDefault="00821DC1" w:rsidP="00821DC1">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tcMar>
              <w:left w:w="0" w:type="dxa"/>
            </w:tcMar>
            <w:vAlign w:val="bottom"/>
            <w:hideMark/>
          </w:tcPr>
          <w:p w14:paraId="66F2FABD" w14:textId="77777777" w:rsidR="00821DC1" w:rsidRPr="00821DC1" w:rsidRDefault="00821DC1" w:rsidP="00821DC1">
            <w:pPr>
              <w:spacing w:after="0"/>
              <w:jc w:val="right"/>
              <w:rPr>
                <w:rFonts w:ascii="Times New Roman" w:hAnsi="Times New Roman"/>
                <w:color w:val="auto"/>
                <w:sz w:val="20"/>
              </w:rPr>
            </w:pPr>
          </w:p>
        </w:tc>
      </w:tr>
      <w:tr w:rsidR="00821DC1" w:rsidRPr="00821DC1" w14:paraId="607632E2" w14:textId="77777777" w:rsidTr="00821DC1">
        <w:trPr>
          <w:trHeight w:val="225"/>
        </w:trPr>
        <w:tc>
          <w:tcPr>
            <w:tcW w:w="2860" w:type="dxa"/>
            <w:tcBorders>
              <w:top w:val="nil"/>
              <w:left w:val="nil"/>
              <w:bottom w:val="nil"/>
              <w:right w:val="nil"/>
            </w:tcBorders>
            <w:shd w:val="clear" w:color="auto" w:fill="auto"/>
            <w:vAlign w:val="bottom"/>
            <w:hideMark/>
          </w:tcPr>
          <w:p w14:paraId="58590818" w14:textId="77777777" w:rsidR="00821DC1" w:rsidRPr="00821DC1" w:rsidRDefault="00821DC1" w:rsidP="00821DC1">
            <w:pPr>
              <w:spacing w:after="0"/>
              <w:ind w:leftChars="225" w:left="428"/>
              <w:rPr>
                <w:rFonts w:ascii="Arial" w:hAnsi="Arial" w:cs="Arial"/>
                <w:color w:val="auto"/>
                <w:sz w:val="16"/>
                <w:szCs w:val="16"/>
              </w:rPr>
            </w:pPr>
            <w:r w:rsidRPr="00821DC1">
              <w:rPr>
                <w:rFonts w:ascii="Arial" w:hAnsi="Arial" w:cs="Arial"/>
                <w:color w:val="auto"/>
                <w:sz w:val="16"/>
                <w:szCs w:val="16"/>
              </w:rPr>
              <w:t>Departmental appropriation</w:t>
            </w:r>
            <w:r w:rsidRPr="00821DC1">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tcMar>
              <w:left w:w="0" w:type="dxa"/>
            </w:tcMar>
            <w:vAlign w:val="bottom"/>
            <w:hideMark/>
          </w:tcPr>
          <w:p w14:paraId="6A986AE4"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5,513</w:t>
            </w:r>
          </w:p>
        </w:tc>
        <w:tc>
          <w:tcPr>
            <w:tcW w:w="900" w:type="dxa"/>
            <w:tcBorders>
              <w:top w:val="nil"/>
              <w:left w:val="nil"/>
              <w:bottom w:val="nil"/>
              <w:right w:val="nil"/>
            </w:tcBorders>
            <w:shd w:val="clear" w:color="000000" w:fill="D9D9D9"/>
            <w:noWrap/>
            <w:tcMar>
              <w:left w:w="0" w:type="dxa"/>
            </w:tcMar>
            <w:vAlign w:val="bottom"/>
            <w:hideMark/>
          </w:tcPr>
          <w:p w14:paraId="7449956D"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5,479</w:t>
            </w:r>
          </w:p>
        </w:tc>
        <w:tc>
          <w:tcPr>
            <w:tcW w:w="900" w:type="dxa"/>
            <w:tcBorders>
              <w:top w:val="nil"/>
              <w:left w:val="nil"/>
              <w:bottom w:val="nil"/>
              <w:right w:val="nil"/>
            </w:tcBorders>
            <w:shd w:val="clear" w:color="auto" w:fill="auto"/>
            <w:tcMar>
              <w:left w:w="0" w:type="dxa"/>
            </w:tcMar>
            <w:vAlign w:val="bottom"/>
            <w:hideMark/>
          </w:tcPr>
          <w:p w14:paraId="45F66651"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5,718</w:t>
            </w:r>
          </w:p>
        </w:tc>
        <w:tc>
          <w:tcPr>
            <w:tcW w:w="940" w:type="dxa"/>
            <w:tcBorders>
              <w:top w:val="nil"/>
              <w:left w:val="nil"/>
              <w:bottom w:val="nil"/>
              <w:right w:val="nil"/>
            </w:tcBorders>
            <w:shd w:val="clear" w:color="auto" w:fill="auto"/>
            <w:tcMar>
              <w:left w:w="0" w:type="dxa"/>
            </w:tcMar>
            <w:vAlign w:val="bottom"/>
            <w:hideMark/>
          </w:tcPr>
          <w:p w14:paraId="18C004AD"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5,786</w:t>
            </w:r>
          </w:p>
        </w:tc>
        <w:tc>
          <w:tcPr>
            <w:tcW w:w="940" w:type="dxa"/>
            <w:tcBorders>
              <w:top w:val="nil"/>
              <w:left w:val="nil"/>
              <w:bottom w:val="nil"/>
              <w:right w:val="nil"/>
            </w:tcBorders>
            <w:shd w:val="clear" w:color="auto" w:fill="auto"/>
            <w:tcMar>
              <w:left w:w="0" w:type="dxa"/>
            </w:tcMar>
            <w:vAlign w:val="bottom"/>
            <w:hideMark/>
          </w:tcPr>
          <w:p w14:paraId="19800CC2"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5,844</w:t>
            </w:r>
          </w:p>
        </w:tc>
      </w:tr>
      <w:tr w:rsidR="00821DC1" w:rsidRPr="00821DC1" w14:paraId="09F1EB0C" w14:textId="77777777" w:rsidTr="00382939">
        <w:trPr>
          <w:trHeight w:val="397"/>
        </w:trPr>
        <w:tc>
          <w:tcPr>
            <w:tcW w:w="2860" w:type="dxa"/>
            <w:tcBorders>
              <w:top w:val="nil"/>
              <w:left w:val="nil"/>
              <w:bottom w:val="nil"/>
              <w:right w:val="nil"/>
            </w:tcBorders>
            <w:shd w:val="clear" w:color="auto" w:fill="auto"/>
            <w:vAlign w:val="bottom"/>
            <w:hideMark/>
          </w:tcPr>
          <w:p w14:paraId="318B0216" w14:textId="77777777" w:rsidR="00821DC1" w:rsidRPr="00821DC1" w:rsidRDefault="00821DC1" w:rsidP="00821DC1">
            <w:pPr>
              <w:spacing w:after="0"/>
              <w:ind w:leftChars="225" w:left="428"/>
              <w:rPr>
                <w:rFonts w:ascii="Arial" w:hAnsi="Arial" w:cs="Arial"/>
                <w:color w:val="auto"/>
                <w:sz w:val="16"/>
                <w:szCs w:val="16"/>
              </w:rPr>
            </w:pPr>
            <w:r w:rsidRPr="00821DC1">
              <w:rPr>
                <w:rFonts w:ascii="Arial" w:hAnsi="Arial" w:cs="Arial"/>
                <w:color w:val="auto"/>
                <w:sz w:val="16"/>
                <w:szCs w:val="16"/>
              </w:rPr>
              <w:t>to National Blood Authority Account</w:t>
            </w:r>
          </w:p>
        </w:tc>
        <w:tc>
          <w:tcPr>
            <w:tcW w:w="900" w:type="dxa"/>
            <w:tcBorders>
              <w:top w:val="nil"/>
              <w:left w:val="nil"/>
              <w:bottom w:val="nil"/>
              <w:right w:val="nil"/>
            </w:tcBorders>
            <w:shd w:val="clear" w:color="auto" w:fill="auto"/>
            <w:tcMar>
              <w:left w:w="0" w:type="dxa"/>
            </w:tcMar>
            <w:vAlign w:val="bottom"/>
            <w:hideMark/>
          </w:tcPr>
          <w:p w14:paraId="3CDBD4BE"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(5,513)</w:t>
            </w:r>
          </w:p>
        </w:tc>
        <w:tc>
          <w:tcPr>
            <w:tcW w:w="900" w:type="dxa"/>
            <w:tcBorders>
              <w:top w:val="nil"/>
              <w:left w:val="nil"/>
              <w:bottom w:val="nil"/>
              <w:right w:val="nil"/>
            </w:tcBorders>
            <w:shd w:val="clear" w:color="000000" w:fill="D9D9D9"/>
            <w:noWrap/>
            <w:tcMar>
              <w:left w:w="0" w:type="dxa"/>
            </w:tcMar>
            <w:vAlign w:val="bottom"/>
            <w:hideMark/>
          </w:tcPr>
          <w:p w14:paraId="587D5331"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(5,479)</w:t>
            </w:r>
          </w:p>
        </w:tc>
        <w:tc>
          <w:tcPr>
            <w:tcW w:w="900" w:type="dxa"/>
            <w:tcBorders>
              <w:top w:val="nil"/>
              <w:left w:val="nil"/>
              <w:bottom w:val="nil"/>
              <w:right w:val="nil"/>
            </w:tcBorders>
            <w:shd w:val="clear" w:color="auto" w:fill="auto"/>
            <w:tcMar>
              <w:left w:w="0" w:type="dxa"/>
            </w:tcMar>
            <w:vAlign w:val="bottom"/>
            <w:hideMark/>
          </w:tcPr>
          <w:p w14:paraId="5AED544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(5,718)</w:t>
            </w:r>
          </w:p>
        </w:tc>
        <w:tc>
          <w:tcPr>
            <w:tcW w:w="940" w:type="dxa"/>
            <w:tcBorders>
              <w:top w:val="nil"/>
              <w:left w:val="nil"/>
              <w:bottom w:val="nil"/>
              <w:right w:val="nil"/>
            </w:tcBorders>
            <w:shd w:val="clear" w:color="auto" w:fill="auto"/>
            <w:tcMar>
              <w:left w:w="0" w:type="dxa"/>
            </w:tcMar>
            <w:vAlign w:val="bottom"/>
            <w:hideMark/>
          </w:tcPr>
          <w:p w14:paraId="5DC7A4C0"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(5,786)</w:t>
            </w:r>
          </w:p>
        </w:tc>
        <w:tc>
          <w:tcPr>
            <w:tcW w:w="940" w:type="dxa"/>
            <w:tcBorders>
              <w:top w:val="nil"/>
              <w:left w:val="nil"/>
              <w:bottom w:val="nil"/>
              <w:right w:val="nil"/>
            </w:tcBorders>
            <w:shd w:val="clear" w:color="auto" w:fill="auto"/>
            <w:tcMar>
              <w:left w:w="0" w:type="dxa"/>
            </w:tcMar>
            <w:vAlign w:val="bottom"/>
            <w:hideMark/>
          </w:tcPr>
          <w:p w14:paraId="4F083BF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(5,844)</w:t>
            </w:r>
          </w:p>
        </w:tc>
      </w:tr>
      <w:tr w:rsidR="00821DC1" w:rsidRPr="00821DC1" w14:paraId="6EDE27BE" w14:textId="77777777" w:rsidTr="00382939">
        <w:trPr>
          <w:trHeight w:val="283"/>
        </w:trPr>
        <w:tc>
          <w:tcPr>
            <w:tcW w:w="2860" w:type="dxa"/>
            <w:tcBorders>
              <w:top w:val="nil"/>
              <w:left w:val="nil"/>
              <w:bottom w:val="nil"/>
              <w:right w:val="nil"/>
            </w:tcBorders>
            <w:shd w:val="clear" w:color="auto" w:fill="auto"/>
            <w:noWrap/>
            <w:vAlign w:val="bottom"/>
            <w:hideMark/>
          </w:tcPr>
          <w:p w14:paraId="20D2DD30" w14:textId="77777777" w:rsidR="00821DC1" w:rsidRPr="00821DC1" w:rsidRDefault="00821DC1" w:rsidP="00821DC1">
            <w:pPr>
              <w:spacing w:after="0"/>
              <w:ind w:leftChars="100" w:left="190"/>
              <w:rPr>
                <w:rFonts w:ascii="Arial" w:hAnsi="Arial" w:cs="Arial"/>
                <w:color w:val="auto"/>
                <w:sz w:val="16"/>
                <w:szCs w:val="16"/>
              </w:rPr>
            </w:pPr>
            <w:r w:rsidRPr="00821DC1">
              <w:rPr>
                <w:rFonts w:ascii="Arial" w:hAnsi="Arial" w:cs="Arial"/>
                <w:color w:val="auto"/>
                <w:sz w:val="16"/>
                <w:szCs w:val="16"/>
              </w:rPr>
              <w:t>Special accounts</w:t>
            </w:r>
          </w:p>
        </w:tc>
        <w:tc>
          <w:tcPr>
            <w:tcW w:w="900" w:type="dxa"/>
            <w:tcBorders>
              <w:top w:val="nil"/>
              <w:left w:val="nil"/>
              <w:bottom w:val="nil"/>
              <w:right w:val="nil"/>
            </w:tcBorders>
            <w:shd w:val="clear" w:color="auto" w:fill="auto"/>
            <w:noWrap/>
            <w:tcMar>
              <w:left w:w="0" w:type="dxa"/>
            </w:tcMar>
            <w:vAlign w:val="bottom"/>
            <w:hideMark/>
          </w:tcPr>
          <w:p w14:paraId="547C4C42" w14:textId="77777777" w:rsidR="00821DC1" w:rsidRPr="00821DC1" w:rsidRDefault="00821DC1" w:rsidP="00821DC1">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3F86674E"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 </w:t>
            </w:r>
          </w:p>
        </w:tc>
        <w:tc>
          <w:tcPr>
            <w:tcW w:w="900" w:type="dxa"/>
            <w:tcBorders>
              <w:top w:val="nil"/>
              <w:left w:val="nil"/>
              <w:bottom w:val="nil"/>
              <w:right w:val="nil"/>
            </w:tcBorders>
            <w:shd w:val="clear" w:color="auto" w:fill="auto"/>
            <w:noWrap/>
            <w:tcMar>
              <w:left w:w="0" w:type="dxa"/>
            </w:tcMar>
            <w:vAlign w:val="bottom"/>
            <w:hideMark/>
          </w:tcPr>
          <w:p w14:paraId="2235E152" w14:textId="77777777" w:rsidR="00821DC1" w:rsidRPr="00821DC1" w:rsidRDefault="00821DC1" w:rsidP="00821DC1">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tcMar>
              <w:left w:w="0" w:type="dxa"/>
            </w:tcMar>
            <w:vAlign w:val="bottom"/>
            <w:hideMark/>
          </w:tcPr>
          <w:p w14:paraId="0811D34B" w14:textId="77777777" w:rsidR="00821DC1" w:rsidRPr="00821DC1" w:rsidRDefault="00821DC1" w:rsidP="00821DC1">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tcMar>
              <w:left w:w="0" w:type="dxa"/>
            </w:tcMar>
            <w:vAlign w:val="bottom"/>
            <w:hideMark/>
          </w:tcPr>
          <w:p w14:paraId="2EE3A92E" w14:textId="77777777" w:rsidR="00821DC1" w:rsidRPr="00821DC1" w:rsidRDefault="00821DC1" w:rsidP="00821DC1">
            <w:pPr>
              <w:spacing w:after="0"/>
              <w:jc w:val="right"/>
              <w:rPr>
                <w:rFonts w:ascii="Times New Roman" w:hAnsi="Times New Roman"/>
                <w:color w:val="auto"/>
                <w:sz w:val="20"/>
              </w:rPr>
            </w:pPr>
          </w:p>
        </w:tc>
      </w:tr>
      <w:tr w:rsidR="00821DC1" w:rsidRPr="00821DC1" w14:paraId="56DBF48E" w14:textId="77777777" w:rsidTr="00382939">
        <w:trPr>
          <w:trHeight w:val="397"/>
        </w:trPr>
        <w:tc>
          <w:tcPr>
            <w:tcW w:w="2860" w:type="dxa"/>
            <w:tcBorders>
              <w:top w:val="nil"/>
              <w:left w:val="nil"/>
              <w:bottom w:val="nil"/>
              <w:right w:val="nil"/>
            </w:tcBorders>
            <w:shd w:val="clear" w:color="auto" w:fill="auto"/>
            <w:vAlign w:val="bottom"/>
            <w:hideMark/>
          </w:tcPr>
          <w:p w14:paraId="5BA7A2A7" w14:textId="77777777" w:rsidR="00821DC1" w:rsidRPr="00821DC1" w:rsidRDefault="00821DC1" w:rsidP="00821DC1">
            <w:pPr>
              <w:spacing w:after="0"/>
              <w:ind w:leftChars="225" w:left="428"/>
              <w:rPr>
                <w:rFonts w:ascii="Arial" w:hAnsi="Arial" w:cs="Arial"/>
                <w:color w:val="auto"/>
                <w:sz w:val="16"/>
                <w:szCs w:val="16"/>
              </w:rPr>
            </w:pPr>
            <w:r w:rsidRPr="00821DC1">
              <w:rPr>
                <w:rFonts w:ascii="Arial" w:hAnsi="Arial" w:cs="Arial"/>
                <w:color w:val="auto"/>
                <w:sz w:val="16"/>
                <w:szCs w:val="16"/>
              </w:rPr>
              <w:t>National Blood Authority Account</w:t>
            </w:r>
          </w:p>
        </w:tc>
        <w:tc>
          <w:tcPr>
            <w:tcW w:w="900" w:type="dxa"/>
            <w:tcBorders>
              <w:top w:val="nil"/>
              <w:left w:val="nil"/>
              <w:bottom w:val="nil"/>
              <w:right w:val="nil"/>
            </w:tcBorders>
            <w:shd w:val="clear" w:color="auto" w:fill="auto"/>
            <w:tcMar>
              <w:left w:w="0" w:type="dxa"/>
            </w:tcMar>
            <w:vAlign w:val="bottom"/>
            <w:hideMark/>
          </w:tcPr>
          <w:p w14:paraId="4917B99C"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10,731</w:t>
            </w:r>
          </w:p>
        </w:tc>
        <w:tc>
          <w:tcPr>
            <w:tcW w:w="900" w:type="dxa"/>
            <w:tcBorders>
              <w:top w:val="nil"/>
              <w:left w:val="nil"/>
              <w:bottom w:val="nil"/>
              <w:right w:val="nil"/>
            </w:tcBorders>
            <w:shd w:val="clear" w:color="000000" w:fill="D9D9D9"/>
            <w:noWrap/>
            <w:tcMar>
              <w:left w:w="0" w:type="dxa"/>
            </w:tcMar>
            <w:vAlign w:val="bottom"/>
            <w:hideMark/>
          </w:tcPr>
          <w:p w14:paraId="2E386074"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9,372</w:t>
            </w:r>
          </w:p>
        </w:tc>
        <w:tc>
          <w:tcPr>
            <w:tcW w:w="900" w:type="dxa"/>
            <w:tcBorders>
              <w:top w:val="nil"/>
              <w:left w:val="nil"/>
              <w:bottom w:val="nil"/>
              <w:right w:val="nil"/>
            </w:tcBorders>
            <w:shd w:val="clear" w:color="auto" w:fill="auto"/>
            <w:tcMar>
              <w:left w:w="0" w:type="dxa"/>
            </w:tcMar>
            <w:vAlign w:val="bottom"/>
            <w:hideMark/>
          </w:tcPr>
          <w:p w14:paraId="43D90042"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9,723</w:t>
            </w:r>
          </w:p>
        </w:tc>
        <w:tc>
          <w:tcPr>
            <w:tcW w:w="940" w:type="dxa"/>
            <w:tcBorders>
              <w:top w:val="nil"/>
              <w:left w:val="nil"/>
              <w:bottom w:val="nil"/>
              <w:right w:val="nil"/>
            </w:tcBorders>
            <w:shd w:val="clear" w:color="auto" w:fill="auto"/>
            <w:tcMar>
              <w:left w:w="0" w:type="dxa"/>
            </w:tcMar>
            <w:vAlign w:val="bottom"/>
            <w:hideMark/>
          </w:tcPr>
          <w:p w14:paraId="76EBADB4"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9,809</w:t>
            </w:r>
          </w:p>
        </w:tc>
        <w:tc>
          <w:tcPr>
            <w:tcW w:w="940" w:type="dxa"/>
            <w:tcBorders>
              <w:top w:val="nil"/>
              <w:left w:val="nil"/>
              <w:bottom w:val="nil"/>
              <w:right w:val="nil"/>
            </w:tcBorders>
            <w:shd w:val="clear" w:color="auto" w:fill="auto"/>
            <w:tcMar>
              <w:left w:w="0" w:type="dxa"/>
            </w:tcMar>
            <w:vAlign w:val="bottom"/>
            <w:hideMark/>
          </w:tcPr>
          <w:p w14:paraId="4A73C867"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9,711</w:t>
            </w:r>
          </w:p>
        </w:tc>
      </w:tr>
      <w:tr w:rsidR="00821DC1" w:rsidRPr="00821DC1" w14:paraId="73200E82" w14:textId="77777777" w:rsidTr="00382939">
        <w:trPr>
          <w:trHeight w:val="397"/>
        </w:trPr>
        <w:tc>
          <w:tcPr>
            <w:tcW w:w="2860" w:type="dxa"/>
            <w:tcBorders>
              <w:top w:val="nil"/>
              <w:left w:val="nil"/>
              <w:bottom w:val="nil"/>
              <w:right w:val="nil"/>
            </w:tcBorders>
            <w:shd w:val="clear" w:color="auto" w:fill="auto"/>
            <w:vAlign w:val="bottom"/>
            <w:hideMark/>
          </w:tcPr>
          <w:p w14:paraId="4F41BCF5" w14:textId="77777777" w:rsidR="00821DC1" w:rsidRPr="00821DC1" w:rsidRDefault="00821DC1" w:rsidP="00821DC1">
            <w:pPr>
              <w:spacing w:after="0"/>
              <w:ind w:leftChars="100" w:left="190"/>
              <w:rPr>
                <w:rFonts w:ascii="Arial" w:hAnsi="Arial" w:cs="Arial"/>
                <w:color w:val="auto"/>
                <w:sz w:val="16"/>
                <w:szCs w:val="16"/>
              </w:rPr>
            </w:pPr>
            <w:r w:rsidRPr="00821DC1">
              <w:rPr>
                <w:rFonts w:ascii="Arial" w:hAnsi="Arial" w:cs="Arial"/>
                <w:color w:val="auto"/>
                <w:sz w:val="16"/>
                <w:szCs w:val="16"/>
              </w:rPr>
              <w:t>Expenses not requiring appropriation in the Budget year</w:t>
            </w:r>
            <w:r w:rsidRPr="00821DC1">
              <w:rPr>
                <w:rFonts w:ascii="Arial" w:hAnsi="Arial" w:cs="Arial"/>
                <w:color w:val="auto"/>
                <w:sz w:val="16"/>
                <w:szCs w:val="16"/>
                <w:vertAlign w:val="superscript"/>
              </w:rPr>
              <w:t xml:space="preserve"> (c)</w:t>
            </w:r>
          </w:p>
        </w:tc>
        <w:tc>
          <w:tcPr>
            <w:tcW w:w="900" w:type="dxa"/>
            <w:tcBorders>
              <w:top w:val="nil"/>
              <w:left w:val="nil"/>
              <w:bottom w:val="nil"/>
              <w:right w:val="nil"/>
            </w:tcBorders>
            <w:shd w:val="clear" w:color="auto" w:fill="auto"/>
            <w:tcMar>
              <w:left w:w="0" w:type="dxa"/>
            </w:tcMar>
            <w:vAlign w:val="bottom"/>
            <w:hideMark/>
          </w:tcPr>
          <w:p w14:paraId="27FAE6E3"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667</w:t>
            </w:r>
          </w:p>
        </w:tc>
        <w:tc>
          <w:tcPr>
            <w:tcW w:w="900" w:type="dxa"/>
            <w:tcBorders>
              <w:top w:val="nil"/>
              <w:left w:val="nil"/>
              <w:bottom w:val="nil"/>
              <w:right w:val="nil"/>
            </w:tcBorders>
            <w:shd w:val="clear" w:color="000000" w:fill="D9D9D9"/>
            <w:noWrap/>
            <w:tcMar>
              <w:left w:w="0" w:type="dxa"/>
            </w:tcMar>
            <w:vAlign w:val="bottom"/>
            <w:hideMark/>
          </w:tcPr>
          <w:p w14:paraId="5F784ACF"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865</w:t>
            </w:r>
          </w:p>
        </w:tc>
        <w:tc>
          <w:tcPr>
            <w:tcW w:w="900" w:type="dxa"/>
            <w:tcBorders>
              <w:top w:val="nil"/>
              <w:left w:val="nil"/>
              <w:bottom w:val="nil"/>
              <w:right w:val="nil"/>
            </w:tcBorders>
            <w:shd w:val="clear" w:color="auto" w:fill="auto"/>
            <w:tcMar>
              <w:left w:w="0" w:type="dxa"/>
            </w:tcMar>
            <w:vAlign w:val="bottom"/>
            <w:hideMark/>
          </w:tcPr>
          <w:p w14:paraId="24DAD7D2"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1,324</w:t>
            </w:r>
          </w:p>
        </w:tc>
        <w:tc>
          <w:tcPr>
            <w:tcW w:w="940" w:type="dxa"/>
            <w:tcBorders>
              <w:top w:val="nil"/>
              <w:left w:val="nil"/>
              <w:bottom w:val="nil"/>
              <w:right w:val="nil"/>
            </w:tcBorders>
            <w:shd w:val="clear" w:color="auto" w:fill="auto"/>
            <w:tcMar>
              <w:left w:w="0" w:type="dxa"/>
            </w:tcMar>
            <w:vAlign w:val="bottom"/>
            <w:hideMark/>
          </w:tcPr>
          <w:p w14:paraId="7A9646FD"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1,324</w:t>
            </w:r>
          </w:p>
        </w:tc>
        <w:tc>
          <w:tcPr>
            <w:tcW w:w="940" w:type="dxa"/>
            <w:tcBorders>
              <w:top w:val="nil"/>
              <w:left w:val="nil"/>
              <w:bottom w:val="nil"/>
              <w:right w:val="nil"/>
            </w:tcBorders>
            <w:shd w:val="clear" w:color="auto" w:fill="auto"/>
            <w:tcMar>
              <w:left w:w="0" w:type="dxa"/>
            </w:tcMar>
            <w:vAlign w:val="bottom"/>
            <w:hideMark/>
          </w:tcPr>
          <w:p w14:paraId="722E3E7C"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1,324</w:t>
            </w:r>
          </w:p>
        </w:tc>
      </w:tr>
      <w:tr w:rsidR="00821DC1" w:rsidRPr="00821DC1" w14:paraId="7F0D57C9" w14:textId="77777777" w:rsidTr="00821DC1">
        <w:trPr>
          <w:trHeight w:val="225"/>
        </w:trPr>
        <w:tc>
          <w:tcPr>
            <w:tcW w:w="2860" w:type="dxa"/>
            <w:tcBorders>
              <w:top w:val="nil"/>
              <w:left w:val="nil"/>
              <w:bottom w:val="nil"/>
              <w:right w:val="nil"/>
            </w:tcBorders>
            <w:shd w:val="clear" w:color="auto" w:fill="auto"/>
            <w:noWrap/>
            <w:vAlign w:val="bottom"/>
            <w:hideMark/>
          </w:tcPr>
          <w:p w14:paraId="2FD98DFC" w14:textId="77777777" w:rsidR="00821DC1" w:rsidRPr="00821DC1" w:rsidRDefault="00821DC1" w:rsidP="00821DC1">
            <w:pPr>
              <w:spacing w:after="0"/>
              <w:ind w:firstLineChars="100" w:firstLine="160"/>
              <w:rPr>
                <w:rFonts w:ascii="Arial" w:hAnsi="Arial" w:cs="Arial"/>
                <w:color w:val="auto"/>
                <w:sz w:val="16"/>
                <w:szCs w:val="16"/>
              </w:rPr>
            </w:pPr>
            <w:r w:rsidRPr="00821DC1">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tcMar>
              <w:left w:w="0" w:type="dxa"/>
            </w:tcMar>
            <w:vAlign w:val="bottom"/>
            <w:hideMark/>
          </w:tcPr>
          <w:p w14:paraId="4828C0A8"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(139)</w:t>
            </w:r>
          </w:p>
        </w:tc>
        <w:tc>
          <w:tcPr>
            <w:tcW w:w="900" w:type="dxa"/>
            <w:tcBorders>
              <w:top w:val="nil"/>
              <w:left w:val="nil"/>
              <w:bottom w:val="single" w:sz="4" w:space="0" w:color="auto"/>
              <w:right w:val="nil"/>
            </w:tcBorders>
            <w:shd w:val="clear" w:color="000000" w:fill="D9D9D9"/>
            <w:noWrap/>
            <w:tcMar>
              <w:left w:w="0" w:type="dxa"/>
            </w:tcMar>
            <w:vAlign w:val="bottom"/>
            <w:hideMark/>
          </w:tcPr>
          <w:p w14:paraId="5E73CB24"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tcMar>
              <w:left w:w="0" w:type="dxa"/>
            </w:tcMar>
            <w:vAlign w:val="bottom"/>
            <w:hideMark/>
          </w:tcPr>
          <w:p w14:paraId="1B450351"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single" w:sz="4" w:space="0" w:color="auto"/>
              <w:right w:val="nil"/>
            </w:tcBorders>
            <w:shd w:val="clear" w:color="auto" w:fill="auto"/>
            <w:noWrap/>
            <w:tcMar>
              <w:left w:w="0" w:type="dxa"/>
            </w:tcMar>
            <w:vAlign w:val="bottom"/>
            <w:hideMark/>
          </w:tcPr>
          <w:p w14:paraId="419CE8BB"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c>
          <w:tcPr>
            <w:tcW w:w="940" w:type="dxa"/>
            <w:tcBorders>
              <w:top w:val="nil"/>
              <w:left w:val="nil"/>
              <w:bottom w:val="single" w:sz="4" w:space="0" w:color="auto"/>
              <w:right w:val="nil"/>
            </w:tcBorders>
            <w:shd w:val="clear" w:color="auto" w:fill="auto"/>
            <w:noWrap/>
            <w:tcMar>
              <w:left w:w="0" w:type="dxa"/>
            </w:tcMar>
            <w:vAlign w:val="bottom"/>
            <w:hideMark/>
          </w:tcPr>
          <w:p w14:paraId="3B993184"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w:t>
            </w:r>
          </w:p>
        </w:tc>
      </w:tr>
      <w:tr w:rsidR="00821DC1" w:rsidRPr="00821DC1" w14:paraId="1854CC93" w14:textId="77777777" w:rsidTr="00382939">
        <w:trPr>
          <w:trHeight w:val="283"/>
        </w:trPr>
        <w:tc>
          <w:tcPr>
            <w:tcW w:w="2860" w:type="dxa"/>
            <w:tcBorders>
              <w:top w:val="nil"/>
              <w:left w:val="nil"/>
              <w:bottom w:val="nil"/>
              <w:right w:val="nil"/>
            </w:tcBorders>
            <w:shd w:val="clear" w:color="auto" w:fill="auto"/>
            <w:vAlign w:val="bottom"/>
            <w:hideMark/>
          </w:tcPr>
          <w:p w14:paraId="3DEDBB1F" w14:textId="77777777" w:rsidR="00821DC1" w:rsidRPr="00821DC1" w:rsidRDefault="00821DC1" w:rsidP="00821DC1">
            <w:pPr>
              <w:spacing w:after="0"/>
              <w:ind w:leftChars="50" w:left="95"/>
              <w:rPr>
                <w:rFonts w:ascii="Arial" w:hAnsi="Arial" w:cs="Arial"/>
                <w:b/>
                <w:bCs/>
                <w:color w:val="auto"/>
                <w:sz w:val="16"/>
                <w:szCs w:val="16"/>
              </w:rPr>
            </w:pPr>
            <w:r w:rsidRPr="00821DC1">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tcMar>
              <w:left w:w="0" w:type="dxa"/>
            </w:tcMar>
            <w:vAlign w:val="bottom"/>
            <w:hideMark/>
          </w:tcPr>
          <w:p w14:paraId="64306CE6"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1,410,754</w:t>
            </w:r>
          </w:p>
        </w:tc>
        <w:tc>
          <w:tcPr>
            <w:tcW w:w="900" w:type="dxa"/>
            <w:tcBorders>
              <w:top w:val="nil"/>
              <w:left w:val="nil"/>
              <w:bottom w:val="single" w:sz="4" w:space="0" w:color="auto"/>
              <w:right w:val="nil"/>
            </w:tcBorders>
            <w:shd w:val="clear" w:color="000000" w:fill="D9D9D9"/>
            <w:noWrap/>
            <w:tcMar>
              <w:left w:w="0" w:type="dxa"/>
            </w:tcMar>
            <w:vAlign w:val="bottom"/>
            <w:hideMark/>
          </w:tcPr>
          <w:p w14:paraId="30CEAF30"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1,589,653</w:t>
            </w:r>
          </w:p>
        </w:tc>
        <w:tc>
          <w:tcPr>
            <w:tcW w:w="900" w:type="dxa"/>
            <w:tcBorders>
              <w:top w:val="nil"/>
              <w:left w:val="nil"/>
              <w:bottom w:val="single" w:sz="4" w:space="0" w:color="auto"/>
              <w:right w:val="nil"/>
            </w:tcBorders>
            <w:shd w:val="clear" w:color="auto" w:fill="auto"/>
            <w:noWrap/>
            <w:tcMar>
              <w:left w:w="0" w:type="dxa"/>
            </w:tcMar>
            <w:vAlign w:val="bottom"/>
            <w:hideMark/>
          </w:tcPr>
          <w:p w14:paraId="0423930B"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1,681,922</w:t>
            </w:r>
          </w:p>
        </w:tc>
        <w:tc>
          <w:tcPr>
            <w:tcW w:w="940" w:type="dxa"/>
            <w:tcBorders>
              <w:top w:val="nil"/>
              <w:left w:val="nil"/>
              <w:bottom w:val="single" w:sz="4" w:space="0" w:color="auto"/>
              <w:right w:val="nil"/>
            </w:tcBorders>
            <w:shd w:val="clear" w:color="auto" w:fill="auto"/>
            <w:noWrap/>
            <w:tcMar>
              <w:left w:w="0" w:type="dxa"/>
            </w:tcMar>
            <w:vAlign w:val="bottom"/>
            <w:hideMark/>
          </w:tcPr>
          <w:p w14:paraId="63CCAEDD"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1,784,200</w:t>
            </w:r>
          </w:p>
        </w:tc>
        <w:tc>
          <w:tcPr>
            <w:tcW w:w="940" w:type="dxa"/>
            <w:tcBorders>
              <w:top w:val="nil"/>
              <w:left w:val="nil"/>
              <w:bottom w:val="single" w:sz="4" w:space="0" w:color="auto"/>
              <w:right w:val="nil"/>
            </w:tcBorders>
            <w:shd w:val="clear" w:color="auto" w:fill="auto"/>
            <w:noWrap/>
            <w:tcMar>
              <w:left w:w="0" w:type="dxa"/>
            </w:tcMar>
            <w:vAlign w:val="bottom"/>
            <w:hideMark/>
          </w:tcPr>
          <w:p w14:paraId="3E5D3205"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1,961,208</w:t>
            </w:r>
          </w:p>
        </w:tc>
      </w:tr>
      <w:tr w:rsidR="00821DC1" w:rsidRPr="00821DC1" w14:paraId="218E740A" w14:textId="77777777" w:rsidTr="00382939">
        <w:trPr>
          <w:trHeight w:val="283"/>
        </w:trPr>
        <w:tc>
          <w:tcPr>
            <w:tcW w:w="2860" w:type="dxa"/>
            <w:tcBorders>
              <w:top w:val="nil"/>
              <w:left w:val="nil"/>
              <w:bottom w:val="single" w:sz="4" w:space="0" w:color="auto"/>
              <w:right w:val="nil"/>
            </w:tcBorders>
            <w:shd w:val="clear" w:color="auto" w:fill="auto"/>
            <w:noWrap/>
            <w:vAlign w:val="bottom"/>
            <w:hideMark/>
          </w:tcPr>
          <w:p w14:paraId="0838E651" w14:textId="77777777" w:rsidR="00821DC1" w:rsidRPr="00821DC1" w:rsidRDefault="00821DC1" w:rsidP="00821DC1">
            <w:pPr>
              <w:spacing w:after="0"/>
              <w:rPr>
                <w:rFonts w:ascii="Arial" w:hAnsi="Arial" w:cs="Arial"/>
                <w:b/>
                <w:bCs/>
                <w:sz w:val="16"/>
                <w:szCs w:val="16"/>
              </w:rPr>
            </w:pPr>
            <w:r w:rsidRPr="00821DC1">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left w:w="0" w:type="dxa"/>
            </w:tcMar>
            <w:vAlign w:val="bottom"/>
            <w:hideMark/>
          </w:tcPr>
          <w:p w14:paraId="09E86CC6"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1,410,754</w:t>
            </w:r>
          </w:p>
        </w:tc>
        <w:tc>
          <w:tcPr>
            <w:tcW w:w="900" w:type="dxa"/>
            <w:tcBorders>
              <w:top w:val="nil"/>
              <w:left w:val="nil"/>
              <w:bottom w:val="single" w:sz="4" w:space="0" w:color="auto"/>
              <w:right w:val="nil"/>
            </w:tcBorders>
            <w:shd w:val="clear" w:color="000000" w:fill="D9D9D9"/>
            <w:noWrap/>
            <w:tcMar>
              <w:left w:w="0" w:type="dxa"/>
            </w:tcMar>
            <w:vAlign w:val="bottom"/>
            <w:hideMark/>
          </w:tcPr>
          <w:p w14:paraId="34A19603"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1,589,653</w:t>
            </w:r>
          </w:p>
        </w:tc>
        <w:tc>
          <w:tcPr>
            <w:tcW w:w="900" w:type="dxa"/>
            <w:tcBorders>
              <w:top w:val="nil"/>
              <w:left w:val="nil"/>
              <w:bottom w:val="single" w:sz="4" w:space="0" w:color="auto"/>
              <w:right w:val="nil"/>
            </w:tcBorders>
            <w:shd w:val="clear" w:color="auto" w:fill="auto"/>
            <w:noWrap/>
            <w:tcMar>
              <w:left w:w="0" w:type="dxa"/>
            </w:tcMar>
            <w:vAlign w:val="bottom"/>
            <w:hideMark/>
          </w:tcPr>
          <w:p w14:paraId="3604BFC4"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1,681,922</w:t>
            </w:r>
          </w:p>
        </w:tc>
        <w:tc>
          <w:tcPr>
            <w:tcW w:w="940" w:type="dxa"/>
            <w:tcBorders>
              <w:top w:val="nil"/>
              <w:left w:val="nil"/>
              <w:bottom w:val="single" w:sz="4" w:space="0" w:color="auto"/>
              <w:right w:val="nil"/>
            </w:tcBorders>
            <w:shd w:val="clear" w:color="auto" w:fill="auto"/>
            <w:noWrap/>
            <w:tcMar>
              <w:left w:w="0" w:type="dxa"/>
            </w:tcMar>
            <w:vAlign w:val="bottom"/>
            <w:hideMark/>
          </w:tcPr>
          <w:p w14:paraId="6F3D9166"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1,784,200</w:t>
            </w:r>
          </w:p>
        </w:tc>
        <w:tc>
          <w:tcPr>
            <w:tcW w:w="940" w:type="dxa"/>
            <w:tcBorders>
              <w:top w:val="nil"/>
              <w:left w:val="nil"/>
              <w:bottom w:val="single" w:sz="4" w:space="0" w:color="auto"/>
              <w:right w:val="nil"/>
            </w:tcBorders>
            <w:shd w:val="clear" w:color="auto" w:fill="auto"/>
            <w:noWrap/>
            <w:tcMar>
              <w:left w:w="0" w:type="dxa"/>
            </w:tcMar>
            <w:vAlign w:val="bottom"/>
            <w:hideMark/>
          </w:tcPr>
          <w:p w14:paraId="27FFF609"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1,961,208</w:t>
            </w:r>
          </w:p>
        </w:tc>
      </w:tr>
      <w:tr w:rsidR="00821DC1" w:rsidRPr="00821DC1" w14:paraId="664879E8" w14:textId="77777777" w:rsidTr="00821DC1">
        <w:trPr>
          <w:trHeight w:val="225"/>
        </w:trPr>
        <w:tc>
          <w:tcPr>
            <w:tcW w:w="2860" w:type="dxa"/>
            <w:tcBorders>
              <w:top w:val="nil"/>
              <w:left w:val="nil"/>
              <w:bottom w:val="single" w:sz="4" w:space="0" w:color="auto"/>
              <w:right w:val="nil"/>
            </w:tcBorders>
            <w:shd w:val="clear" w:color="auto" w:fill="auto"/>
            <w:noWrap/>
            <w:vAlign w:val="bottom"/>
            <w:hideMark/>
          </w:tcPr>
          <w:p w14:paraId="71066305" w14:textId="77777777" w:rsidR="00821DC1" w:rsidRPr="00821DC1" w:rsidRDefault="00821DC1" w:rsidP="00821DC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D11AA49" w14:textId="77777777" w:rsidR="00821DC1" w:rsidRPr="00821DC1" w:rsidRDefault="00821DC1" w:rsidP="00821DC1">
            <w:pPr>
              <w:spacing w:after="0"/>
              <w:ind w:firstLineChars="100" w:firstLine="20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9BE628C" w14:textId="77777777" w:rsidR="00821DC1" w:rsidRPr="00821DC1" w:rsidRDefault="00821DC1" w:rsidP="00821DC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27D77F42" w14:textId="77777777" w:rsidR="00821DC1" w:rsidRPr="00821DC1" w:rsidRDefault="00821DC1" w:rsidP="00821DC1">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1139DE1F" w14:textId="77777777" w:rsidR="00821DC1" w:rsidRPr="00821DC1" w:rsidRDefault="00821DC1" w:rsidP="00821DC1">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740B0840" w14:textId="77777777" w:rsidR="00821DC1" w:rsidRPr="00821DC1" w:rsidRDefault="00821DC1" w:rsidP="00821DC1">
            <w:pPr>
              <w:spacing w:after="0"/>
              <w:rPr>
                <w:rFonts w:ascii="Times New Roman" w:hAnsi="Times New Roman"/>
                <w:color w:val="auto"/>
                <w:sz w:val="20"/>
              </w:rPr>
            </w:pPr>
          </w:p>
        </w:tc>
      </w:tr>
      <w:tr w:rsidR="00821DC1" w:rsidRPr="00821DC1" w14:paraId="1053E57F" w14:textId="77777777" w:rsidTr="00821DC1">
        <w:trPr>
          <w:trHeight w:val="225"/>
        </w:trPr>
        <w:tc>
          <w:tcPr>
            <w:tcW w:w="2860" w:type="dxa"/>
            <w:tcBorders>
              <w:top w:val="single" w:sz="4" w:space="0" w:color="auto"/>
              <w:left w:val="nil"/>
              <w:bottom w:val="nil"/>
              <w:right w:val="nil"/>
            </w:tcBorders>
            <w:shd w:val="clear" w:color="auto" w:fill="auto"/>
            <w:noWrap/>
            <w:vAlign w:val="bottom"/>
            <w:hideMark/>
          </w:tcPr>
          <w:p w14:paraId="0579A076" w14:textId="77777777" w:rsidR="00821DC1" w:rsidRPr="00821DC1" w:rsidRDefault="00821DC1" w:rsidP="00821DC1">
            <w:pPr>
              <w:spacing w:after="0"/>
              <w:rPr>
                <w:rFonts w:ascii="Times New Roman" w:hAnsi="Times New Roman"/>
                <w:color w:val="auto"/>
                <w:sz w:val="20"/>
              </w:rPr>
            </w:pPr>
          </w:p>
        </w:tc>
        <w:tc>
          <w:tcPr>
            <w:tcW w:w="900" w:type="dxa"/>
            <w:tcBorders>
              <w:top w:val="single" w:sz="4" w:space="0" w:color="auto"/>
              <w:left w:val="nil"/>
              <w:bottom w:val="single" w:sz="4" w:space="0" w:color="auto"/>
              <w:right w:val="nil"/>
            </w:tcBorders>
            <w:shd w:val="clear" w:color="auto" w:fill="auto"/>
            <w:vAlign w:val="bottom"/>
            <w:hideMark/>
          </w:tcPr>
          <w:p w14:paraId="260D86EA"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2021–22</w:t>
            </w:r>
          </w:p>
        </w:tc>
        <w:tc>
          <w:tcPr>
            <w:tcW w:w="900" w:type="dxa"/>
            <w:tcBorders>
              <w:top w:val="single" w:sz="4" w:space="0" w:color="auto"/>
              <w:left w:val="nil"/>
              <w:bottom w:val="single" w:sz="4" w:space="0" w:color="auto"/>
              <w:right w:val="nil"/>
            </w:tcBorders>
            <w:shd w:val="clear" w:color="000000" w:fill="D9D9D9"/>
            <w:vAlign w:val="bottom"/>
            <w:hideMark/>
          </w:tcPr>
          <w:p w14:paraId="6FFD93C0" w14:textId="77777777" w:rsidR="00821DC1" w:rsidRPr="00821DC1" w:rsidRDefault="00821DC1" w:rsidP="00821DC1">
            <w:pPr>
              <w:spacing w:after="0"/>
              <w:jc w:val="right"/>
              <w:rPr>
                <w:rFonts w:ascii="Arial" w:hAnsi="Arial" w:cs="Arial"/>
                <w:b/>
                <w:bCs/>
                <w:color w:val="auto"/>
                <w:sz w:val="16"/>
                <w:szCs w:val="16"/>
              </w:rPr>
            </w:pPr>
            <w:r w:rsidRPr="00821DC1">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6E1A174C" w14:textId="77777777" w:rsidR="00821DC1" w:rsidRPr="00821DC1" w:rsidRDefault="00821DC1" w:rsidP="00821DC1">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center"/>
            <w:hideMark/>
          </w:tcPr>
          <w:p w14:paraId="79FCA3D6" w14:textId="77777777" w:rsidR="00821DC1" w:rsidRPr="00821DC1" w:rsidRDefault="00821DC1" w:rsidP="00821DC1">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6C2631DD" w14:textId="77777777" w:rsidR="00821DC1" w:rsidRPr="00821DC1" w:rsidRDefault="00821DC1" w:rsidP="00821DC1">
            <w:pPr>
              <w:spacing w:after="0"/>
              <w:rPr>
                <w:rFonts w:ascii="Times New Roman" w:hAnsi="Times New Roman"/>
                <w:color w:val="auto"/>
                <w:sz w:val="20"/>
              </w:rPr>
            </w:pPr>
          </w:p>
        </w:tc>
      </w:tr>
      <w:tr w:rsidR="00821DC1" w:rsidRPr="00821DC1" w14:paraId="6D6E76B4" w14:textId="77777777" w:rsidTr="00821DC1">
        <w:trPr>
          <w:trHeight w:val="225"/>
        </w:trPr>
        <w:tc>
          <w:tcPr>
            <w:tcW w:w="2860" w:type="dxa"/>
            <w:tcBorders>
              <w:top w:val="nil"/>
              <w:left w:val="nil"/>
              <w:bottom w:val="single" w:sz="4" w:space="0" w:color="auto"/>
              <w:right w:val="nil"/>
            </w:tcBorders>
            <w:shd w:val="clear" w:color="auto" w:fill="auto"/>
            <w:noWrap/>
            <w:vAlign w:val="bottom"/>
            <w:hideMark/>
          </w:tcPr>
          <w:p w14:paraId="7D97F680" w14:textId="77777777" w:rsidR="00821DC1" w:rsidRPr="00821DC1" w:rsidRDefault="00821DC1" w:rsidP="00821DC1">
            <w:pPr>
              <w:spacing w:after="0"/>
              <w:rPr>
                <w:rFonts w:ascii="Arial" w:hAnsi="Arial" w:cs="Arial"/>
                <w:b/>
                <w:bCs/>
                <w:sz w:val="16"/>
                <w:szCs w:val="16"/>
              </w:rPr>
            </w:pPr>
            <w:r w:rsidRPr="00821DC1">
              <w:rPr>
                <w:rFonts w:ascii="Arial" w:hAnsi="Arial" w:cs="Arial"/>
                <w:b/>
                <w:bCs/>
                <w:sz w:val="16"/>
                <w:szCs w:val="16"/>
              </w:rPr>
              <w:t xml:space="preserve">Average </w:t>
            </w:r>
            <w:r w:rsidRPr="00821DC1">
              <w:rPr>
                <w:rFonts w:ascii="Arial" w:hAnsi="Arial" w:cs="Arial"/>
                <w:b/>
                <w:bCs/>
                <w:color w:val="auto"/>
                <w:sz w:val="16"/>
                <w:szCs w:val="16"/>
              </w:rPr>
              <w:t>s</w:t>
            </w:r>
            <w:r w:rsidRPr="00821DC1">
              <w:rPr>
                <w:rFonts w:ascii="Arial" w:hAnsi="Arial" w:cs="Arial"/>
                <w:b/>
                <w:bCs/>
                <w:sz w:val="16"/>
                <w:szCs w:val="16"/>
              </w:rPr>
              <w:t xml:space="preserve">taffing </w:t>
            </w:r>
            <w:r w:rsidRPr="00821DC1">
              <w:rPr>
                <w:rFonts w:ascii="Arial" w:hAnsi="Arial" w:cs="Arial"/>
                <w:b/>
                <w:bCs/>
                <w:color w:val="auto"/>
                <w:sz w:val="16"/>
                <w:szCs w:val="16"/>
              </w:rPr>
              <w:t>l</w:t>
            </w:r>
            <w:r w:rsidRPr="00821DC1">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49D883A3"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60</w:t>
            </w:r>
          </w:p>
        </w:tc>
        <w:tc>
          <w:tcPr>
            <w:tcW w:w="900" w:type="dxa"/>
            <w:tcBorders>
              <w:top w:val="nil"/>
              <w:left w:val="nil"/>
              <w:bottom w:val="single" w:sz="4" w:space="0" w:color="auto"/>
              <w:right w:val="nil"/>
            </w:tcBorders>
            <w:shd w:val="clear" w:color="000000" w:fill="D9D9D9"/>
            <w:noWrap/>
            <w:vAlign w:val="bottom"/>
            <w:hideMark/>
          </w:tcPr>
          <w:p w14:paraId="123ED6DD" w14:textId="77777777" w:rsidR="00821DC1" w:rsidRPr="00821DC1" w:rsidRDefault="00821DC1" w:rsidP="00821DC1">
            <w:pPr>
              <w:spacing w:after="0"/>
              <w:jc w:val="right"/>
              <w:rPr>
                <w:rFonts w:ascii="Arial" w:hAnsi="Arial" w:cs="Arial"/>
                <w:color w:val="auto"/>
                <w:sz w:val="16"/>
                <w:szCs w:val="16"/>
              </w:rPr>
            </w:pPr>
            <w:r w:rsidRPr="00821DC1">
              <w:rPr>
                <w:rFonts w:ascii="Arial" w:hAnsi="Arial" w:cs="Arial"/>
                <w:color w:val="auto"/>
                <w:sz w:val="16"/>
                <w:szCs w:val="16"/>
              </w:rPr>
              <w:t>52</w:t>
            </w:r>
          </w:p>
        </w:tc>
        <w:tc>
          <w:tcPr>
            <w:tcW w:w="900" w:type="dxa"/>
            <w:tcBorders>
              <w:top w:val="nil"/>
              <w:left w:val="nil"/>
              <w:bottom w:val="nil"/>
              <w:right w:val="nil"/>
            </w:tcBorders>
            <w:shd w:val="clear" w:color="auto" w:fill="auto"/>
            <w:noWrap/>
            <w:vAlign w:val="center"/>
            <w:hideMark/>
          </w:tcPr>
          <w:p w14:paraId="0FC59D2D" w14:textId="77777777" w:rsidR="00821DC1" w:rsidRPr="00821DC1" w:rsidRDefault="00821DC1" w:rsidP="00821DC1">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center"/>
            <w:hideMark/>
          </w:tcPr>
          <w:p w14:paraId="2B2B865D" w14:textId="77777777" w:rsidR="00821DC1" w:rsidRPr="00821DC1" w:rsidRDefault="00821DC1" w:rsidP="00821DC1">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3FCE6E69" w14:textId="77777777" w:rsidR="00821DC1" w:rsidRPr="00821DC1" w:rsidRDefault="00821DC1" w:rsidP="00821DC1">
            <w:pPr>
              <w:spacing w:after="0"/>
              <w:rPr>
                <w:rFonts w:ascii="Times New Roman" w:hAnsi="Times New Roman"/>
                <w:color w:val="auto"/>
                <w:sz w:val="20"/>
              </w:rPr>
            </w:pPr>
          </w:p>
        </w:tc>
      </w:tr>
    </w:tbl>
    <w:p w14:paraId="6B9B592E" w14:textId="1273F460" w:rsidR="00D82494" w:rsidRPr="00D82494" w:rsidRDefault="00D1337B" w:rsidP="00D82494">
      <w:pPr>
        <w:pStyle w:val="FootnoteText"/>
        <w:spacing w:before="120"/>
      </w:pPr>
      <w:r w:rsidRPr="00D82494">
        <w:rPr>
          <w:vertAlign w:val="superscript"/>
        </w:rPr>
        <w:t xml:space="preserve"> </w:t>
      </w:r>
      <w:r w:rsidR="00D82494" w:rsidRPr="00D82494">
        <w:rPr>
          <w:vertAlign w:val="superscript"/>
        </w:rPr>
        <w:t>(a)</w:t>
      </w:r>
      <w:r w:rsidR="00D82494" w:rsidRPr="00D82494">
        <w:rPr>
          <w:vertAlign w:val="superscript"/>
        </w:rPr>
        <w:tab/>
      </w:r>
      <w:r w:rsidR="00D82494" w:rsidRPr="00D82494">
        <w:t>Appropriation Bill (No. 1) 2022–23.</w:t>
      </w:r>
    </w:p>
    <w:p w14:paraId="41B933B2" w14:textId="67D03E28" w:rsidR="00D82494" w:rsidRPr="00D82494" w:rsidRDefault="00D82494" w:rsidP="00D82494">
      <w:pPr>
        <w:pStyle w:val="FootnoteText"/>
      </w:pPr>
      <w:r w:rsidRPr="00D82494">
        <w:rPr>
          <w:vertAlign w:val="superscript"/>
        </w:rPr>
        <w:t>(b)</w:t>
      </w:r>
      <w:r w:rsidRPr="00D82494">
        <w:rPr>
          <w:vertAlign w:val="superscript"/>
        </w:rPr>
        <w:tab/>
      </w:r>
      <w:r w:rsidRPr="00D82494">
        <w:t>Departmental appropriation combines 'Ordinary annual services Appropriation Bill (No. 1)' and 'Revenue from independent sources (s74)'.</w:t>
      </w:r>
    </w:p>
    <w:p w14:paraId="39C2DB7D" w14:textId="3848111A" w:rsidR="003D1074" w:rsidRDefault="00D82494" w:rsidP="00D82494">
      <w:pPr>
        <w:pStyle w:val="FootnoteText"/>
      </w:pPr>
      <w:r w:rsidRPr="00D82494">
        <w:rPr>
          <w:vertAlign w:val="superscript"/>
        </w:rPr>
        <w:t>(c)</w:t>
      </w:r>
      <w:r>
        <w:tab/>
      </w:r>
      <w:r w:rsidRPr="00D82494">
        <w:t xml:space="preserve">Expenses not requiring appropriation in the Budget year are made up of depreciation expense, amortisation expense, </w:t>
      </w:r>
      <w:proofErr w:type="spellStart"/>
      <w:r w:rsidRPr="00D82494">
        <w:t>makegood</w:t>
      </w:r>
      <w:proofErr w:type="spellEnd"/>
      <w:r w:rsidRPr="00D82494">
        <w:t xml:space="preserve"> expense and audit fees.</w:t>
      </w:r>
    </w:p>
    <w:p w14:paraId="7A6ACE13" w14:textId="0F0479D7" w:rsidR="00BC0659" w:rsidRPr="00D55B3A" w:rsidRDefault="00BC0659" w:rsidP="004664A7">
      <w:pPr>
        <w:pStyle w:val="FootnoteText"/>
        <w:rPr>
          <w:rFonts w:cs="Arial"/>
          <w:color w:val="000000" w:themeColor="text1"/>
        </w:rPr>
      </w:pPr>
      <w:r w:rsidRPr="00D55B3A">
        <w:rPr>
          <w:rFonts w:cs="Arial"/>
          <w:color w:val="000000" w:themeColor="text1"/>
        </w:rPr>
        <w:br w:type="page"/>
      </w:r>
    </w:p>
    <w:p w14:paraId="6E70B2EC" w14:textId="34FC527E" w:rsidR="00BC0659" w:rsidRPr="00D55B3A" w:rsidRDefault="00BC0659" w:rsidP="00BC0659">
      <w:pPr>
        <w:pStyle w:val="Heading4"/>
        <w:rPr>
          <w:color w:val="000000" w:themeColor="text1"/>
        </w:rPr>
      </w:pPr>
      <w:r w:rsidRPr="00D55B3A">
        <w:rPr>
          <w:color w:val="000000" w:themeColor="text1"/>
        </w:rPr>
        <w:lastRenderedPageBreak/>
        <w:t xml:space="preserve">Performance </w:t>
      </w:r>
      <w:r w:rsidR="00363689">
        <w:rPr>
          <w:color w:val="000000" w:themeColor="text1"/>
        </w:rPr>
        <w:t>measure</w:t>
      </w:r>
      <w:r w:rsidR="009C2E99">
        <w:rPr>
          <w:color w:val="000000" w:themeColor="text1"/>
        </w:rPr>
        <w:t>s</w:t>
      </w:r>
      <w:r w:rsidR="00363689">
        <w:rPr>
          <w:color w:val="000000" w:themeColor="text1"/>
        </w:rPr>
        <w:t xml:space="preserve"> for Outcome 1</w:t>
      </w:r>
    </w:p>
    <w:p w14:paraId="18BBB0D9" w14:textId="77777777" w:rsidR="00363689" w:rsidRPr="00363689" w:rsidRDefault="00363689" w:rsidP="00363689">
      <w:pPr>
        <w:rPr>
          <w:color w:val="auto"/>
          <w:szCs w:val="19"/>
        </w:rPr>
      </w:pPr>
      <w:r w:rsidRPr="00363689">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p w14:paraId="61C6D050" w14:textId="5116AB23" w:rsidR="00BC0659" w:rsidRPr="00D55B3A" w:rsidRDefault="00BC0659" w:rsidP="00BC0659">
      <w:pPr>
        <w:pStyle w:val="Tablenumberandreference"/>
        <w:rPr>
          <w:color w:val="000000" w:themeColor="text1"/>
        </w:rPr>
      </w:pPr>
      <w:r w:rsidRPr="00D55B3A">
        <w:rPr>
          <w:color w:val="000000" w:themeColor="text1"/>
        </w:rPr>
        <w:t xml:space="preserve">Table 2.1.2: Performance </w:t>
      </w:r>
      <w:r w:rsidR="00363689">
        <w:rPr>
          <w:color w:val="000000" w:themeColor="text1"/>
        </w:rPr>
        <w:t>m</w:t>
      </w:r>
      <w:r w:rsidR="00006D3A" w:rsidRPr="00D55B3A">
        <w:rPr>
          <w:color w:val="000000" w:themeColor="text1"/>
        </w:rPr>
        <w:t>easure</w:t>
      </w:r>
      <w:r w:rsidR="00FD4ECB" w:rsidRPr="00D55B3A">
        <w:rPr>
          <w:color w:val="000000" w:themeColor="text1"/>
        </w:rPr>
        <w:t>s</w:t>
      </w:r>
      <w:r w:rsidRPr="00D55B3A">
        <w:rPr>
          <w:color w:val="000000" w:themeColor="text1"/>
        </w:rPr>
        <w:t xml:space="preserve"> for the </w:t>
      </w:r>
      <w:r w:rsidR="00006D3A" w:rsidRPr="00D55B3A">
        <w:rPr>
          <w:color w:val="000000" w:themeColor="text1"/>
        </w:rPr>
        <w:t>NBA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NBA"/>
        <w:tblDescription w:val="This table outlines the NBA's Outcome 1 outcome statement, Program 1.1's objective and the key activities for Program 1.1. It also includes 2 performance measures for Program 1.1, with an expected performance result for 2021-22, and planned performance results for 2022-23 and the forward estimates"/>
      </w:tblPr>
      <w:tblGrid>
        <w:gridCol w:w="1594"/>
        <w:gridCol w:w="963"/>
        <w:gridCol w:w="482"/>
        <w:gridCol w:w="1463"/>
        <w:gridCol w:w="476"/>
        <w:gridCol w:w="972"/>
        <w:gridCol w:w="1460"/>
      </w:tblGrid>
      <w:tr w:rsidR="00D55B3A" w:rsidRPr="00D55B3A" w14:paraId="26D3A210" w14:textId="77777777" w:rsidTr="00B97DE6">
        <w:trPr>
          <w:jc w:val="center"/>
        </w:trPr>
        <w:tc>
          <w:tcPr>
            <w:tcW w:w="5000" w:type="pct"/>
            <w:gridSpan w:val="7"/>
            <w:shd w:val="clear" w:color="auto" w:fill="D9D9D9" w:themeFill="background1" w:themeFillShade="D9"/>
            <w:tcMar>
              <w:left w:w="85" w:type="dxa"/>
            </w:tcMar>
            <w:vAlign w:val="center"/>
          </w:tcPr>
          <w:p w14:paraId="6093F2BA" w14:textId="0F1F0F03" w:rsidR="00FD6F73" w:rsidRPr="00727F63" w:rsidRDefault="00BC0659" w:rsidP="00A27DE1">
            <w:pPr>
              <w:pStyle w:val="Tableheadingrow9pt"/>
              <w:rPr>
                <w:color w:val="000000" w:themeColor="text1"/>
              </w:rPr>
            </w:pPr>
            <w:r w:rsidRPr="00D55B3A">
              <w:rPr>
                <w:color w:val="000000" w:themeColor="text1"/>
              </w:rPr>
              <w:t>Outcome 1</w:t>
            </w:r>
          </w:p>
        </w:tc>
      </w:tr>
      <w:tr w:rsidR="00D55B3A" w:rsidRPr="00D55B3A" w14:paraId="4907ED48" w14:textId="77777777" w:rsidTr="00811713">
        <w:trPr>
          <w:jc w:val="center"/>
        </w:trPr>
        <w:tc>
          <w:tcPr>
            <w:tcW w:w="5000" w:type="pct"/>
            <w:gridSpan w:val="7"/>
            <w:shd w:val="clear" w:color="auto" w:fill="auto"/>
            <w:tcMar>
              <w:left w:w="85" w:type="dxa"/>
            </w:tcMar>
          </w:tcPr>
          <w:p w14:paraId="1FFD0726" w14:textId="0A518550" w:rsidR="00BC0659" w:rsidRPr="00D55B3A" w:rsidRDefault="00006D3A" w:rsidP="002F5ECB">
            <w:pPr>
              <w:pStyle w:val="Tabletextnormal9pt"/>
              <w:rPr>
                <w:rFonts w:eastAsiaTheme="minorEastAsia"/>
                <w:color w:val="000000" w:themeColor="text1"/>
              </w:rPr>
            </w:pPr>
            <w:r w:rsidRPr="00D55B3A">
              <w:rPr>
                <w:rFonts w:eastAsiaTheme="minorEastAsia"/>
                <w:color w:val="000000" w:themeColor="text1"/>
              </w:rPr>
              <w:t xml:space="preserve">Access to a secure supply of safe and affordable blood products, including through national supply arrangements and coordination of best practice standards within agreed funding policies under </w:t>
            </w:r>
            <w:r w:rsidR="00382939">
              <w:rPr>
                <w:rFonts w:eastAsiaTheme="minorEastAsia"/>
                <w:color w:val="000000" w:themeColor="text1"/>
              </w:rPr>
              <w:t>the national blood arrangements</w:t>
            </w:r>
          </w:p>
        </w:tc>
      </w:tr>
      <w:tr w:rsidR="00D55B3A" w:rsidRPr="00D55B3A" w14:paraId="7C2CD1C6" w14:textId="77777777" w:rsidTr="00811713">
        <w:trPr>
          <w:jc w:val="center"/>
        </w:trPr>
        <w:tc>
          <w:tcPr>
            <w:tcW w:w="5000" w:type="pct"/>
            <w:gridSpan w:val="7"/>
            <w:shd w:val="clear" w:color="auto" w:fill="D9D9D9" w:themeFill="background1" w:themeFillShade="D9"/>
            <w:tcMar>
              <w:left w:w="85" w:type="dxa"/>
            </w:tcMar>
          </w:tcPr>
          <w:p w14:paraId="5026D100" w14:textId="4320231F" w:rsidR="00FD6F73" w:rsidRPr="00D55B3A" w:rsidRDefault="00BC0659" w:rsidP="009D3233">
            <w:pPr>
              <w:pStyle w:val="Tableheadingrow9pt"/>
              <w:rPr>
                <w:color w:val="000000" w:themeColor="text1"/>
              </w:rPr>
            </w:pPr>
            <w:r w:rsidRPr="00D55B3A">
              <w:rPr>
                <w:color w:val="000000" w:themeColor="text1"/>
              </w:rPr>
              <w:t xml:space="preserve">Program Objective – Program 1.1: </w:t>
            </w:r>
            <w:r w:rsidR="00F53296" w:rsidRPr="00D55B3A">
              <w:rPr>
                <w:color w:val="000000" w:themeColor="text1"/>
              </w:rPr>
              <w:t>National Blood Agreement Management</w:t>
            </w:r>
          </w:p>
        </w:tc>
      </w:tr>
      <w:tr w:rsidR="00D55B3A" w:rsidRPr="00D55B3A" w14:paraId="3C4A1663" w14:textId="77777777" w:rsidTr="00811713">
        <w:trPr>
          <w:jc w:val="center"/>
        </w:trPr>
        <w:tc>
          <w:tcPr>
            <w:tcW w:w="5000" w:type="pct"/>
            <w:gridSpan w:val="7"/>
            <w:shd w:val="clear" w:color="auto" w:fill="auto"/>
            <w:tcMar>
              <w:left w:w="85" w:type="dxa"/>
            </w:tcMar>
          </w:tcPr>
          <w:p w14:paraId="5E78A4E5" w14:textId="005D81B4" w:rsidR="00006D3A" w:rsidRPr="00D55B3A" w:rsidRDefault="00006D3A" w:rsidP="00006D3A">
            <w:pPr>
              <w:pStyle w:val="Tabletextnormal9pt"/>
              <w:rPr>
                <w:rFonts w:eastAsiaTheme="minorEastAsia"/>
                <w:color w:val="000000" w:themeColor="text1"/>
              </w:rPr>
            </w:pPr>
            <w:r w:rsidRPr="00D55B3A">
              <w:rPr>
                <w:rFonts w:eastAsiaTheme="minorEastAsia"/>
                <w:color w:val="000000" w:themeColor="text1"/>
              </w:rPr>
              <w:t>The National Blood Authority is a statutory entity that manages and coordinates arrangements for the supply of blood and blood-related products and services on behalf of all Australian governments in accordance with the National Blood Agreement.</w:t>
            </w:r>
          </w:p>
          <w:p w14:paraId="555ACAB8" w14:textId="77777777" w:rsidR="00006D3A" w:rsidRPr="00D55B3A" w:rsidRDefault="00006D3A" w:rsidP="00006D3A">
            <w:pPr>
              <w:pStyle w:val="Tabletextnormal9pt"/>
              <w:rPr>
                <w:rFonts w:eastAsiaTheme="minorEastAsia"/>
                <w:color w:val="000000" w:themeColor="text1"/>
              </w:rPr>
            </w:pPr>
            <w:r w:rsidRPr="00D55B3A">
              <w:rPr>
                <w:rFonts w:eastAsiaTheme="minorEastAsia"/>
                <w:color w:val="000000" w:themeColor="text1"/>
              </w:rPr>
              <w:t>The primary objectives of the National Blood Agreement are to:</w:t>
            </w:r>
          </w:p>
          <w:p w14:paraId="171FD368" w14:textId="68652B21" w:rsidR="000D47BD" w:rsidRPr="00D55B3A" w:rsidRDefault="00006D3A" w:rsidP="001D44A0">
            <w:pPr>
              <w:pStyle w:val="Tabletextnormal9pt"/>
              <w:numPr>
                <w:ilvl w:val="0"/>
                <w:numId w:val="7"/>
              </w:numPr>
              <w:ind w:left="284" w:hanging="284"/>
              <w:rPr>
                <w:color w:val="000000" w:themeColor="text1"/>
              </w:rPr>
            </w:pPr>
            <w:r w:rsidRPr="00D55B3A">
              <w:rPr>
                <w:color w:val="000000" w:themeColor="text1"/>
              </w:rPr>
              <w:t>provide an adequate, safe, secure and affordable supply of blood and blood-re</w:t>
            </w:r>
            <w:r w:rsidR="00411832">
              <w:rPr>
                <w:color w:val="000000" w:themeColor="text1"/>
              </w:rPr>
              <w:t>lated products and services</w:t>
            </w:r>
          </w:p>
          <w:p w14:paraId="3AFDF919" w14:textId="77777777" w:rsidR="00BC0659" w:rsidRPr="00D55B3A" w:rsidRDefault="00006D3A" w:rsidP="001D44A0">
            <w:pPr>
              <w:pStyle w:val="Tabletextnormal9pt"/>
              <w:numPr>
                <w:ilvl w:val="0"/>
                <w:numId w:val="7"/>
              </w:numPr>
              <w:ind w:left="284" w:hanging="284"/>
              <w:rPr>
                <w:rFonts w:eastAsiaTheme="minorEastAsia"/>
                <w:color w:val="000000" w:themeColor="text1"/>
              </w:rPr>
            </w:pPr>
            <w:proofErr w:type="gramStart"/>
            <w:r w:rsidRPr="00D55B3A">
              <w:rPr>
                <w:color w:val="000000" w:themeColor="text1"/>
              </w:rPr>
              <w:t>promote</w:t>
            </w:r>
            <w:proofErr w:type="gramEnd"/>
            <w:r w:rsidRPr="00D55B3A">
              <w:rPr>
                <w:color w:val="000000" w:themeColor="text1"/>
              </w:rPr>
              <w:t xml:space="preserve"> the safe, high quality management and use of blood and blood-related products and services in Australia.</w:t>
            </w:r>
          </w:p>
        </w:tc>
      </w:tr>
      <w:tr w:rsidR="00D55B3A" w:rsidRPr="00D55B3A" w14:paraId="046974D2" w14:textId="77777777" w:rsidTr="00811713">
        <w:trPr>
          <w:jc w:val="center"/>
        </w:trPr>
        <w:tc>
          <w:tcPr>
            <w:tcW w:w="5000" w:type="pct"/>
            <w:gridSpan w:val="7"/>
            <w:shd w:val="clear" w:color="auto" w:fill="D9D9D9" w:themeFill="background1" w:themeFillShade="D9"/>
            <w:tcMar>
              <w:left w:w="85" w:type="dxa"/>
            </w:tcMar>
            <w:vAlign w:val="center"/>
          </w:tcPr>
          <w:p w14:paraId="0149B9CC" w14:textId="52F24771" w:rsidR="00FD6F73" w:rsidRPr="00D55B3A" w:rsidRDefault="00DB0992" w:rsidP="009D3233">
            <w:pPr>
              <w:pStyle w:val="Tableheadingrow9pt"/>
              <w:rPr>
                <w:color w:val="000000" w:themeColor="text1"/>
              </w:rPr>
            </w:pPr>
            <w:r>
              <w:rPr>
                <w:color w:val="000000" w:themeColor="text1"/>
              </w:rPr>
              <w:t>Key Activities</w:t>
            </w:r>
          </w:p>
        </w:tc>
      </w:tr>
      <w:tr w:rsidR="00BC0659" w:rsidRPr="002E08D0" w14:paraId="0771381B" w14:textId="77777777" w:rsidTr="00DE1CFA">
        <w:trPr>
          <w:trHeight w:val="1570"/>
          <w:jc w:val="center"/>
        </w:trPr>
        <w:tc>
          <w:tcPr>
            <w:tcW w:w="5000" w:type="pct"/>
            <w:gridSpan w:val="7"/>
            <w:tcBorders>
              <w:bottom w:val="single" w:sz="4" w:space="0" w:color="auto"/>
            </w:tcBorders>
            <w:shd w:val="clear" w:color="auto" w:fill="auto"/>
            <w:tcMar>
              <w:left w:w="85" w:type="dxa"/>
            </w:tcMar>
          </w:tcPr>
          <w:p w14:paraId="36106426"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Provide a safe, secure and affordable supply of blood and blood-related products and services.</w:t>
            </w:r>
          </w:p>
          <w:p w14:paraId="2DDECF03"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Drive performance improvement in the Australian blood sector.</w:t>
            </w:r>
          </w:p>
          <w:p w14:paraId="57B86B53"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Promote a best practice model of management and use of blood and</w:t>
            </w:r>
            <w:r w:rsidRPr="002E08D0">
              <w:rPr>
                <w:rFonts w:eastAsiaTheme="minorEastAsia"/>
                <w:color w:val="auto"/>
              </w:rPr>
              <w:br/>
              <w:t>blood-related products and services.</w:t>
            </w:r>
          </w:p>
          <w:p w14:paraId="58FA22B2"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Develop policy and provide policy advice on the sustainability of the blood sector.</w:t>
            </w:r>
          </w:p>
          <w:p w14:paraId="5163C159" w14:textId="353F812A" w:rsidR="0032528B" w:rsidRPr="00D1120D" w:rsidRDefault="0032528B" w:rsidP="00263B5F">
            <w:pPr>
              <w:pStyle w:val="Tabletextnormal9pt"/>
              <w:numPr>
                <w:ilvl w:val="0"/>
                <w:numId w:val="8"/>
              </w:numPr>
              <w:ind w:left="284" w:hanging="284"/>
              <w:rPr>
                <w:rFonts w:eastAsiaTheme="minorEastAsia"/>
              </w:rPr>
            </w:pPr>
            <w:r w:rsidRPr="00263B5F">
              <w:rPr>
                <w:rFonts w:eastAsiaTheme="minorEastAsia"/>
                <w:color w:val="auto"/>
              </w:rPr>
              <w:t>Be a high performing organisation.</w:t>
            </w:r>
          </w:p>
        </w:tc>
      </w:tr>
      <w:tr w:rsidR="00D55B3A" w:rsidRPr="00D55B3A" w14:paraId="4AD40951" w14:textId="77777777" w:rsidTr="00811713">
        <w:trPr>
          <w:trHeight w:val="104"/>
          <w:tblHeader/>
          <w:jc w:val="center"/>
        </w:trPr>
        <w:tc>
          <w:tcPr>
            <w:tcW w:w="5000" w:type="pct"/>
            <w:gridSpan w:val="7"/>
            <w:shd w:val="clear" w:color="auto" w:fill="D9D9D9" w:themeFill="background1" w:themeFillShade="D9"/>
            <w:tcMar>
              <w:left w:w="85" w:type="dxa"/>
            </w:tcMar>
          </w:tcPr>
          <w:p w14:paraId="22DB1C29" w14:textId="0F862F27" w:rsidR="00FD6F73" w:rsidRPr="00D55B3A" w:rsidRDefault="00BC0659" w:rsidP="009D3233">
            <w:pPr>
              <w:pStyle w:val="Tableheadingrow9pt"/>
              <w:keepNext/>
              <w:keepLines/>
              <w:pageBreakBefore/>
              <w:rPr>
                <w:color w:val="000000" w:themeColor="text1"/>
              </w:rPr>
            </w:pPr>
            <w:r w:rsidRPr="00D55B3A">
              <w:rPr>
                <w:color w:val="000000" w:themeColor="text1"/>
              </w:rPr>
              <w:lastRenderedPageBreak/>
              <w:t xml:space="preserve">Performance </w:t>
            </w:r>
            <w:r w:rsidR="00006D3A" w:rsidRPr="00D55B3A">
              <w:rPr>
                <w:color w:val="000000" w:themeColor="text1"/>
              </w:rPr>
              <w:t>Measure</w:t>
            </w:r>
            <w:r w:rsidR="0047694A" w:rsidRPr="00D55B3A">
              <w:rPr>
                <w:color w:val="000000" w:themeColor="text1"/>
              </w:rPr>
              <w:t>s</w:t>
            </w:r>
          </w:p>
        </w:tc>
      </w:tr>
      <w:tr w:rsidR="00D55B3A" w:rsidRPr="00D55B3A" w14:paraId="298E6B40" w14:textId="77777777" w:rsidTr="00811713">
        <w:tblPrEx>
          <w:tblCellMar>
            <w:top w:w="0" w:type="dxa"/>
            <w:left w:w="108" w:type="dxa"/>
            <w:bottom w:w="0" w:type="dxa"/>
            <w:right w:w="108" w:type="dxa"/>
          </w:tblCellMar>
        </w:tblPrEx>
        <w:trPr>
          <w:trHeight w:val="283"/>
          <w:jc w:val="center"/>
        </w:trPr>
        <w:tc>
          <w:tcPr>
            <w:tcW w:w="5000" w:type="pct"/>
            <w:gridSpan w:val="7"/>
            <w:shd w:val="clear" w:color="auto" w:fill="D9D9D9" w:themeFill="background1" w:themeFillShade="D9"/>
            <w:tcMar>
              <w:left w:w="85" w:type="dxa"/>
            </w:tcMar>
          </w:tcPr>
          <w:p w14:paraId="437639A6" w14:textId="77777777" w:rsidR="00DB0992" w:rsidRPr="00781969" w:rsidRDefault="00006D3A" w:rsidP="00DB0992">
            <w:pPr>
              <w:pStyle w:val="Tableheadingrowmeasures85pt"/>
              <w:rPr>
                <w:color w:val="000000" w:themeColor="text1"/>
              </w:rPr>
            </w:pPr>
            <w:r w:rsidRPr="00D55B3A">
              <w:rPr>
                <w:color w:val="000000" w:themeColor="text1"/>
              </w:rPr>
              <w:t>A safe, secure and affordable supply of blood and blood-related products for Australia.</w:t>
            </w:r>
          </w:p>
        </w:tc>
      </w:tr>
      <w:tr w:rsidR="001A0EF8" w:rsidRPr="00D55B3A" w14:paraId="72C92FB7" w14:textId="77777777" w:rsidTr="00811713">
        <w:tblPrEx>
          <w:tblCellMar>
            <w:top w:w="0" w:type="dxa"/>
            <w:left w:w="108" w:type="dxa"/>
            <w:bottom w:w="0" w:type="dxa"/>
            <w:right w:w="108" w:type="dxa"/>
          </w:tblCellMar>
        </w:tblPrEx>
        <w:trPr>
          <w:trHeight w:val="283"/>
          <w:jc w:val="center"/>
        </w:trPr>
        <w:tc>
          <w:tcPr>
            <w:tcW w:w="1726" w:type="pct"/>
            <w:gridSpan w:val="2"/>
            <w:tcMar>
              <w:left w:w="85" w:type="dxa"/>
            </w:tcMar>
          </w:tcPr>
          <w:p w14:paraId="57B536D6" w14:textId="2C855CB2" w:rsidR="001A0EF8" w:rsidRPr="00C004D1" w:rsidRDefault="00363689" w:rsidP="00DC611F">
            <w:pPr>
              <w:pStyle w:val="Tableheadingrowmeasures85pt"/>
              <w:rPr>
                <w:color w:val="auto"/>
              </w:rPr>
            </w:pPr>
            <w:r>
              <w:t>Prior</w:t>
            </w:r>
            <w:r w:rsidR="002249A1">
              <w:t xml:space="preserve"> Year</w:t>
            </w:r>
            <w:r w:rsidR="002249A1">
              <w:br/>
              <w:t>2021–</w:t>
            </w:r>
            <w:r w:rsidR="002249A1" w:rsidRPr="00744C28">
              <w:t xml:space="preserve">22 </w:t>
            </w:r>
            <w:r w:rsidR="00AE2197">
              <w:rPr>
                <w:color w:val="auto"/>
              </w:rPr>
              <w:t xml:space="preserve">Expected </w:t>
            </w:r>
            <w:r w:rsidR="002249A1">
              <w:t>Performance Results</w:t>
            </w:r>
          </w:p>
        </w:tc>
        <w:tc>
          <w:tcPr>
            <w:tcW w:w="1633" w:type="pct"/>
            <w:gridSpan w:val="3"/>
            <w:shd w:val="clear" w:color="auto" w:fill="auto"/>
            <w:tcMar>
              <w:left w:w="85" w:type="dxa"/>
            </w:tcMar>
          </w:tcPr>
          <w:p w14:paraId="5E059F9C" w14:textId="48975BAF" w:rsidR="001A0EF8" w:rsidRPr="00C004D1" w:rsidRDefault="00C063A0" w:rsidP="00DC611F">
            <w:pPr>
              <w:pStyle w:val="Tableheadingrowmeasures85pt"/>
              <w:rPr>
                <w:color w:val="auto"/>
              </w:rPr>
            </w:pPr>
            <w:r>
              <w:t>Budget Year</w:t>
            </w:r>
            <w:r>
              <w:br/>
              <w:t>2022–</w:t>
            </w:r>
            <w:r w:rsidR="001A0EF8">
              <w:t xml:space="preserve">23 Planned Performance Results </w:t>
            </w:r>
          </w:p>
        </w:tc>
        <w:tc>
          <w:tcPr>
            <w:tcW w:w="1641" w:type="pct"/>
            <w:gridSpan w:val="2"/>
            <w:shd w:val="clear" w:color="auto" w:fill="auto"/>
            <w:tcMar>
              <w:left w:w="85" w:type="dxa"/>
            </w:tcMar>
          </w:tcPr>
          <w:p w14:paraId="18C904C8" w14:textId="354B2A58" w:rsidR="001A0EF8" w:rsidRPr="00685583" w:rsidRDefault="001A0EF8" w:rsidP="00DC611F">
            <w:pPr>
              <w:pStyle w:val="Tableheadingrowmeasures85pt"/>
              <w:rPr>
                <w:color w:val="auto"/>
              </w:rPr>
            </w:pPr>
            <w:r>
              <w:t>Forward Estimates</w:t>
            </w:r>
            <w:r>
              <w:br/>
            </w:r>
            <w:r w:rsidR="00C063A0">
              <w:t>2023–</w:t>
            </w:r>
            <w:r w:rsidRPr="00C004D1">
              <w:t>2</w:t>
            </w:r>
            <w:r>
              <w:t>6</w:t>
            </w:r>
            <w:r w:rsidRPr="00C004D1">
              <w:t xml:space="preserve"> </w:t>
            </w:r>
            <w:r>
              <w:t>Planned Performance Results</w:t>
            </w:r>
          </w:p>
        </w:tc>
      </w:tr>
      <w:tr w:rsidR="00D55B3A" w:rsidRPr="00D55B3A" w14:paraId="60673044" w14:textId="77777777" w:rsidTr="00811713">
        <w:tblPrEx>
          <w:tblCellMar>
            <w:top w:w="0" w:type="dxa"/>
            <w:left w:w="108" w:type="dxa"/>
            <w:bottom w:w="0" w:type="dxa"/>
            <w:right w:w="108" w:type="dxa"/>
          </w:tblCellMar>
        </w:tblPrEx>
        <w:trPr>
          <w:trHeight w:val="283"/>
          <w:jc w:val="center"/>
        </w:trPr>
        <w:tc>
          <w:tcPr>
            <w:tcW w:w="1726" w:type="pct"/>
            <w:gridSpan w:val="2"/>
            <w:tcMar>
              <w:left w:w="85" w:type="dxa"/>
            </w:tcMar>
          </w:tcPr>
          <w:p w14:paraId="0D5FB19B" w14:textId="77777777" w:rsidR="009D3233" w:rsidRPr="007E34BB" w:rsidRDefault="009D3233" w:rsidP="009D3233">
            <w:pPr>
              <w:pStyle w:val="Tabletextmeasures85pt"/>
              <w:rPr>
                <w:color w:val="000000" w:themeColor="text1"/>
              </w:rPr>
            </w:pPr>
            <w:r w:rsidRPr="007E34BB">
              <w:rPr>
                <w:color w:val="000000" w:themeColor="text1"/>
              </w:rPr>
              <w:t>Blood and blood-related products were available to meet clinical requirements.</w:t>
            </w:r>
          </w:p>
          <w:p w14:paraId="2B2D3398" w14:textId="0C88A9A7" w:rsidR="009D3233" w:rsidRPr="007E34BB" w:rsidRDefault="009D3233" w:rsidP="009D3233">
            <w:pPr>
              <w:pStyle w:val="Tabletextmeasures85pt"/>
              <w:rPr>
                <w:color w:val="000000" w:themeColor="text1"/>
              </w:rPr>
            </w:pPr>
            <w:r w:rsidRPr="00B835BC">
              <w:rPr>
                <w:color w:val="000000" w:themeColor="text1"/>
              </w:rPr>
              <w:t>There were no events during the reporting period that required the National Blood Supply Contingency Plan to be activated.</w:t>
            </w:r>
          </w:p>
          <w:p w14:paraId="7742562E" w14:textId="00210F1C" w:rsidR="00BC0659" w:rsidRPr="00D55B3A" w:rsidRDefault="009D3233" w:rsidP="009D3233">
            <w:pPr>
              <w:pStyle w:val="Tabletextmeasures85pt"/>
              <w:rPr>
                <w:color w:val="000000" w:themeColor="text1"/>
              </w:rPr>
            </w:pPr>
            <w:r w:rsidRPr="007E34BB">
              <w:rPr>
                <w:color w:val="000000" w:themeColor="text1"/>
              </w:rPr>
              <w:t>Multiple contracts from diverse sources for relevant blood products were in place and managed to ensure security of supply.</w:t>
            </w:r>
          </w:p>
        </w:tc>
        <w:tc>
          <w:tcPr>
            <w:tcW w:w="1633" w:type="pct"/>
            <w:gridSpan w:val="3"/>
            <w:shd w:val="clear" w:color="auto" w:fill="auto"/>
            <w:tcMar>
              <w:left w:w="85" w:type="dxa"/>
            </w:tcMar>
          </w:tcPr>
          <w:p w14:paraId="46F108FD" w14:textId="77777777" w:rsidR="00F866C6" w:rsidRPr="00D55B3A" w:rsidRDefault="00F866C6" w:rsidP="00DC611F">
            <w:pPr>
              <w:pStyle w:val="Tabletextmeasures85pt"/>
              <w:rPr>
                <w:color w:val="000000" w:themeColor="text1"/>
              </w:rPr>
            </w:pPr>
            <w:r w:rsidRPr="00D55B3A">
              <w:rPr>
                <w:color w:val="000000" w:themeColor="text1"/>
              </w:rPr>
              <w:t>Blood and blood-related products are available to meet clinical requirements.</w:t>
            </w:r>
          </w:p>
          <w:p w14:paraId="27F2A981" w14:textId="77777777" w:rsidR="00F866C6" w:rsidRPr="00D55B3A" w:rsidRDefault="00F866C6" w:rsidP="00DC611F">
            <w:pPr>
              <w:pStyle w:val="Tabletextmeasures85pt"/>
              <w:rPr>
                <w:color w:val="000000" w:themeColor="text1"/>
              </w:rPr>
            </w:pPr>
            <w:r w:rsidRPr="00D55B3A">
              <w:rPr>
                <w:color w:val="000000" w:themeColor="text1"/>
              </w:rPr>
              <w:t xml:space="preserve">Events that activate the National Blood Supply Contingency Plan, if any, are managed effectively and efficiently by the NBA. </w:t>
            </w:r>
          </w:p>
          <w:p w14:paraId="235D7A4E" w14:textId="77777777" w:rsidR="00006D3A" w:rsidRPr="00F866C6" w:rsidRDefault="00F866C6" w:rsidP="00DC611F">
            <w:pPr>
              <w:pStyle w:val="Tabletextmeasures85pt"/>
              <w:rPr>
                <w:color w:val="000000" w:themeColor="text1"/>
              </w:rPr>
            </w:pPr>
            <w:r w:rsidRPr="00D55B3A">
              <w:rPr>
                <w:color w:val="000000" w:themeColor="text1"/>
              </w:rPr>
              <w:t>Multiple contracts from diverse sources for relevant blood products are in place and manag</w:t>
            </w:r>
            <w:r>
              <w:rPr>
                <w:color w:val="000000" w:themeColor="text1"/>
              </w:rPr>
              <w:t>e</w:t>
            </w:r>
            <w:r w:rsidR="008A3AEA">
              <w:rPr>
                <w:color w:val="000000" w:themeColor="text1"/>
              </w:rPr>
              <w:t>d to ensure security of supply.</w:t>
            </w:r>
          </w:p>
        </w:tc>
        <w:tc>
          <w:tcPr>
            <w:tcW w:w="1641" w:type="pct"/>
            <w:gridSpan w:val="2"/>
            <w:shd w:val="clear" w:color="auto" w:fill="auto"/>
            <w:tcMar>
              <w:left w:w="85" w:type="dxa"/>
            </w:tcMar>
          </w:tcPr>
          <w:p w14:paraId="5429BDE7" w14:textId="4AB17515" w:rsidR="00BC0659" w:rsidRPr="00F866C6" w:rsidRDefault="00F866C6" w:rsidP="00DC611F">
            <w:pPr>
              <w:pStyle w:val="Tabletextmeasures85pt"/>
              <w:rPr>
                <w:color w:val="000000" w:themeColor="text1"/>
              </w:rPr>
            </w:pPr>
            <w:r w:rsidRPr="00F866C6">
              <w:rPr>
                <w:color w:val="000000" w:themeColor="text1"/>
              </w:rPr>
              <w:t xml:space="preserve">As per </w:t>
            </w:r>
            <w:r w:rsidR="00C063A0">
              <w:rPr>
                <w:color w:val="000000" w:themeColor="text1"/>
              </w:rPr>
              <w:t>2022–</w:t>
            </w:r>
            <w:r w:rsidRPr="00F866C6">
              <w:rPr>
                <w:color w:val="000000" w:themeColor="text1"/>
              </w:rPr>
              <w:t>23</w:t>
            </w:r>
            <w:r>
              <w:rPr>
                <w:color w:val="000000" w:themeColor="text1"/>
              </w:rPr>
              <w:t>.</w:t>
            </w:r>
          </w:p>
        </w:tc>
      </w:tr>
      <w:tr w:rsidR="00D55B3A" w:rsidRPr="00D55B3A" w14:paraId="0FAA1E91" w14:textId="77777777" w:rsidTr="00811713">
        <w:tblPrEx>
          <w:tblCellMar>
            <w:top w:w="0" w:type="dxa"/>
            <w:left w:w="108" w:type="dxa"/>
            <w:bottom w:w="0" w:type="dxa"/>
            <w:right w:w="108" w:type="dxa"/>
          </w:tblCellMar>
        </w:tblPrEx>
        <w:trPr>
          <w:trHeight w:val="70"/>
          <w:jc w:val="center"/>
        </w:trPr>
        <w:tc>
          <w:tcPr>
            <w:tcW w:w="5000" w:type="pct"/>
            <w:gridSpan w:val="7"/>
            <w:shd w:val="clear" w:color="auto" w:fill="D9D9D9" w:themeFill="background1" w:themeFillShade="D9"/>
            <w:tcMar>
              <w:left w:w="85" w:type="dxa"/>
            </w:tcMar>
            <w:vAlign w:val="center"/>
          </w:tcPr>
          <w:p w14:paraId="71B38960" w14:textId="569B95B6" w:rsidR="00E84210" w:rsidRPr="008A3AEA" w:rsidRDefault="006840B2" w:rsidP="00DB0992">
            <w:pPr>
              <w:pStyle w:val="Tableheadingrowmeasures85pt"/>
              <w:rPr>
                <w:b w:val="0"/>
                <w:color w:val="auto"/>
              </w:rPr>
            </w:pPr>
            <w:r w:rsidRPr="00D55B3A">
              <w:rPr>
                <w:color w:val="000000" w:themeColor="text1"/>
              </w:rPr>
              <w:t>The supply outcome is within 5% of the National Supply Plan &amp; Budget approved by governments</w:t>
            </w:r>
            <w:r w:rsidRPr="005D7B02">
              <w:rPr>
                <w:color w:val="auto"/>
              </w:rPr>
              <w:t>.</w:t>
            </w:r>
            <w:r w:rsidR="00D266B7" w:rsidRPr="005D7B02">
              <w:rPr>
                <w:b w:val="0"/>
                <w:color w:val="auto"/>
              </w:rPr>
              <w:t xml:space="preserve"> </w:t>
            </w:r>
          </w:p>
        </w:tc>
      </w:tr>
      <w:tr w:rsidR="001A0EF8" w:rsidRPr="00D55B3A" w14:paraId="2719DE96" w14:textId="77777777" w:rsidTr="004664A7">
        <w:tblPrEx>
          <w:tblCellMar>
            <w:top w:w="0" w:type="dxa"/>
            <w:left w:w="108" w:type="dxa"/>
            <w:bottom w:w="0" w:type="dxa"/>
            <w:right w:w="108" w:type="dxa"/>
          </w:tblCellMar>
        </w:tblPrEx>
        <w:trPr>
          <w:trHeight w:val="132"/>
          <w:jc w:val="center"/>
        </w:trPr>
        <w:tc>
          <w:tcPr>
            <w:tcW w:w="1076" w:type="pct"/>
            <w:shd w:val="clear" w:color="auto" w:fill="auto"/>
            <w:tcMar>
              <w:left w:w="85" w:type="dxa"/>
            </w:tcMar>
          </w:tcPr>
          <w:p w14:paraId="0C63495E" w14:textId="58CAC17C" w:rsidR="001A0EF8" w:rsidRPr="009C2E99" w:rsidRDefault="00363689" w:rsidP="00C32031">
            <w:pPr>
              <w:pStyle w:val="Tableheadingrow9pt"/>
              <w:keepNext/>
              <w:keepLines/>
              <w:rPr>
                <w:color w:val="auto"/>
                <w:sz w:val="17"/>
                <w:szCs w:val="17"/>
              </w:rPr>
            </w:pPr>
            <w:r w:rsidRPr="009C2E99">
              <w:rPr>
                <w:sz w:val="17"/>
                <w:szCs w:val="17"/>
              </w:rPr>
              <w:t>Prior</w:t>
            </w:r>
            <w:r w:rsidR="002249A1" w:rsidRPr="009C2E99">
              <w:rPr>
                <w:sz w:val="17"/>
                <w:szCs w:val="17"/>
              </w:rPr>
              <w:t xml:space="preserve"> Year</w:t>
            </w:r>
            <w:r w:rsidR="002249A1" w:rsidRPr="009C2E99">
              <w:rPr>
                <w:sz w:val="17"/>
                <w:szCs w:val="17"/>
              </w:rPr>
              <w:br/>
              <w:t xml:space="preserve">2021–22 </w:t>
            </w:r>
            <w:r w:rsidR="00C32031" w:rsidRPr="009C2E99">
              <w:rPr>
                <w:color w:val="auto"/>
                <w:sz w:val="17"/>
                <w:szCs w:val="17"/>
              </w:rPr>
              <w:t xml:space="preserve">Planned </w:t>
            </w:r>
            <w:r w:rsidR="002249A1" w:rsidRPr="009C2E99">
              <w:rPr>
                <w:sz w:val="17"/>
                <w:szCs w:val="17"/>
              </w:rPr>
              <w:t>Performance Results</w:t>
            </w:r>
          </w:p>
        </w:tc>
        <w:tc>
          <w:tcPr>
            <w:tcW w:w="975" w:type="pct"/>
            <w:gridSpan w:val="2"/>
            <w:shd w:val="clear" w:color="auto" w:fill="auto"/>
            <w:tcMar>
              <w:left w:w="85" w:type="dxa"/>
            </w:tcMar>
          </w:tcPr>
          <w:p w14:paraId="58024076" w14:textId="7D925AE4" w:rsidR="001A0EF8" w:rsidRPr="00685583" w:rsidRDefault="001A0EF8" w:rsidP="001A0EF8">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C063A0">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987" w:type="pct"/>
            <w:shd w:val="clear" w:color="auto" w:fill="auto"/>
            <w:tcMar>
              <w:left w:w="85" w:type="dxa"/>
            </w:tcMar>
          </w:tcPr>
          <w:p w14:paraId="696FDA3D" w14:textId="186EF3B1"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C063A0">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977" w:type="pct"/>
            <w:gridSpan w:val="2"/>
            <w:shd w:val="clear" w:color="auto" w:fill="auto"/>
            <w:tcMar>
              <w:left w:w="85" w:type="dxa"/>
            </w:tcMar>
          </w:tcPr>
          <w:p w14:paraId="03143B2B" w14:textId="263C82E5"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C063A0">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985" w:type="pct"/>
            <w:shd w:val="clear" w:color="auto" w:fill="auto"/>
            <w:tcMar>
              <w:left w:w="85" w:type="dxa"/>
            </w:tcMar>
          </w:tcPr>
          <w:p w14:paraId="3A2E8E67" w14:textId="092F0C70"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C063A0">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8A3AEA" w:rsidRPr="00D55B3A" w14:paraId="16F0F095"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267CF0D1"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75" w:type="pct"/>
            <w:gridSpan w:val="2"/>
            <w:vMerge w:val="restart"/>
            <w:shd w:val="clear" w:color="auto" w:fill="auto"/>
            <w:tcMar>
              <w:left w:w="85" w:type="dxa"/>
            </w:tcMar>
          </w:tcPr>
          <w:p w14:paraId="222F50FA"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87" w:type="pct"/>
            <w:vMerge w:val="restart"/>
            <w:shd w:val="clear" w:color="auto" w:fill="auto"/>
            <w:tcMar>
              <w:left w:w="85" w:type="dxa"/>
            </w:tcMar>
          </w:tcPr>
          <w:p w14:paraId="0C425280"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77" w:type="pct"/>
            <w:gridSpan w:val="2"/>
            <w:vMerge w:val="restart"/>
            <w:shd w:val="clear" w:color="auto" w:fill="auto"/>
            <w:tcMar>
              <w:left w:w="85" w:type="dxa"/>
            </w:tcMar>
          </w:tcPr>
          <w:p w14:paraId="6763BD82"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85" w:type="pct"/>
            <w:vMerge w:val="restart"/>
            <w:shd w:val="clear" w:color="auto" w:fill="auto"/>
            <w:tcMar>
              <w:left w:w="85" w:type="dxa"/>
            </w:tcMar>
          </w:tcPr>
          <w:p w14:paraId="786A093A" w14:textId="77777777" w:rsidR="008A3AEA" w:rsidRPr="00D55B3A" w:rsidRDefault="008A3AEA" w:rsidP="008A3AEA">
            <w:pPr>
              <w:pStyle w:val="Tabletextmeasures85pt"/>
              <w:rPr>
                <w:color w:val="000000" w:themeColor="text1"/>
                <w:highlight w:val="yellow"/>
              </w:rPr>
            </w:pPr>
            <w:r>
              <w:rPr>
                <w:color w:val="000000" w:themeColor="text1"/>
              </w:rPr>
              <w:t>&lt;</w:t>
            </w:r>
            <w:r w:rsidRPr="00D55B3A">
              <w:rPr>
                <w:color w:val="000000" w:themeColor="text1"/>
              </w:rPr>
              <w:t>5% variation</w:t>
            </w:r>
          </w:p>
        </w:tc>
      </w:tr>
      <w:tr w:rsidR="00D55B3A" w:rsidRPr="00D55B3A" w14:paraId="2A0F2C40"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344A3702" w14:textId="2E2AC4AF" w:rsidR="00BC0659" w:rsidRPr="00D55B3A" w:rsidRDefault="00363689" w:rsidP="002249A1">
            <w:pPr>
              <w:pStyle w:val="Tableheadingrow9pt"/>
              <w:keepNext/>
              <w:keepLines/>
              <w:rPr>
                <w:b w:val="0"/>
                <w:color w:val="000000" w:themeColor="text1"/>
                <w:highlight w:val="yellow"/>
              </w:rPr>
            </w:pPr>
            <w:r>
              <w:t>Prior</w:t>
            </w:r>
            <w:r w:rsidR="002249A1">
              <w:t xml:space="preserve"> Year</w:t>
            </w:r>
            <w:r w:rsidR="002249A1">
              <w:br/>
              <w:t>2021–</w:t>
            </w:r>
            <w:r w:rsidR="002249A1" w:rsidRPr="00744C28">
              <w:t xml:space="preserve">22 </w:t>
            </w:r>
            <w:r w:rsidR="00C32031">
              <w:t xml:space="preserve">Expected </w:t>
            </w:r>
            <w:r w:rsidR="002249A1">
              <w:t>Performance Results</w:t>
            </w:r>
          </w:p>
        </w:tc>
        <w:tc>
          <w:tcPr>
            <w:tcW w:w="975" w:type="pct"/>
            <w:gridSpan w:val="2"/>
            <w:vMerge/>
            <w:shd w:val="clear" w:color="auto" w:fill="auto"/>
            <w:tcMar>
              <w:left w:w="85" w:type="dxa"/>
            </w:tcMar>
          </w:tcPr>
          <w:p w14:paraId="1E2D0804" w14:textId="77777777" w:rsidR="00BC0659" w:rsidRPr="00D55B3A" w:rsidRDefault="00BC0659" w:rsidP="00811713">
            <w:pPr>
              <w:pStyle w:val="Tabletextmeasures85pt"/>
              <w:rPr>
                <w:color w:val="000000" w:themeColor="text1"/>
                <w:highlight w:val="yellow"/>
              </w:rPr>
            </w:pPr>
          </w:p>
        </w:tc>
        <w:tc>
          <w:tcPr>
            <w:tcW w:w="987" w:type="pct"/>
            <w:vMerge/>
            <w:shd w:val="clear" w:color="auto" w:fill="auto"/>
            <w:tcMar>
              <w:left w:w="85" w:type="dxa"/>
            </w:tcMar>
          </w:tcPr>
          <w:p w14:paraId="40995573" w14:textId="77777777" w:rsidR="00BC0659" w:rsidRPr="00D55B3A" w:rsidRDefault="00BC0659" w:rsidP="00811713">
            <w:pPr>
              <w:pStyle w:val="Tabletextmeasures85pt"/>
              <w:rPr>
                <w:color w:val="000000" w:themeColor="text1"/>
                <w:highlight w:val="yellow"/>
              </w:rPr>
            </w:pPr>
          </w:p>
        </w:tc>
        <w:tc>
          <w:tcPr>
            <w:tcW w:w="977" w:type="pct"/>
            <w:gridSpan w:val="2"/>
            <w:vMerge/>
            <w:shd w:val="clear" w:color="auto" w:fill="auto"/>
            <w:tcMar>
              <w:left w:w="85" w:type="dxa"/>
            </w:tcMar>
          </w:tcPr>
          <w:p w14:paraId="556FE801" w14:textId="77777777" w:rsidR="00BC0659" w:rsidRPr="00D55B3A" w:rsidRDefault="00BC0659" w:rsidP="00811713">
            <w:pPr>
              <w:pStyle w:val="Tabletextmeasures85pt"/>
              <w:rPr>
                <w:color w:val="000000" w:themeColor="text1"/>
                <w:highlight w:val="yellow"/>
              </w:rPr>
            </w:pPr>
          </w:p>
        </w:tc>
        <w:tc>
          <w:tcPr>
            <w:tcW w:w="985" w:type="pct"/>
            <w:vMerge/>
            <w:shd w:val="clear" w:color="auto" w:fill="auto"/>
            <w:tcMar>
              <w:left w:w="85" w:type="dxa"/>
            </w:tcMar>
          </w:tcPr>
          <w:p w14:paraId="4124564A" w14:textId="77777777" w:rsidR="00BC0659" w:rsidRPr="00D55B3A" w:rsidRDefault="00BC0659" w:rsidP="00811713">
            <w:pPr>
              <w:pStyle w:val="Tabletextmeasures85pt"/>
              <w:rPr>
                <w:color w:val="000000" w:themeColor="text1"/>
                <w:highlight w:val="yellow"/>
              </w:rPr>
            </w:pPr>
          </w:p>
        </w:tc>
      </w:tr>
      <w:tr w:rsidR="00D55B3A" w:rsidRPr="00D55B3A" w14:paraId="71B52336"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23216526" w14:textId="59521517" w:rsidR="00673D56" w:rsidRPr="00D55B3A" w:rsidRDefault="009D3233" w:rsidP="00811713">
            <w:pPr>
              <w:pStyle w:val="Tabletextmeasures85pt"/>
              <w:rPr>
                <w:color w:val="000000" w:themeColor="text1"/>
              </w:rPr>
            </w:pPr>
            <w:r w:rsidRPr="007E34BB">
              <w:rPr>
                <w:color w:val="000000" w:themeColor="text1"/>
              </w:rPr>
              <w:t>-1.8% variation</w:t>
            </w:r>
          </w:p>
        </w:tc>
        <w:tc>
          <w:tcPr>
            <w:tcW w:w="975" w:type="pct"/>
            <w:gridSpan w:val="2"/>
            <w:vMerge/>
            <w:tcBorders>
              <w:bottom w:val="single" w:sz="4" w:space="0" w:color="auto"/>
            </w:tcBorders>
            <w:shd w:val="clear" w:color="auto" w:fill="auto"/>
            <w:tcMar>
              <w:left w:w="85" w:type="dxa"/>
            </w:tcMar>
          </w:tcPr>
          <w:p w14:paraId="53322ABC" w14:textId="77777777" w:rsidR="00BC0659" w:rsidRPr="00D55B3A" w:rsidRDefault="00BC0659" w:rsidP="00811713">
            <w:pPr>
              <w:pStyle w:val="Tabletextmeasures85pt"/>
              <w:rPr>
                <w:color w:val="000000" w:themeColor="text1"/>
                <w:highlight w:val="yellow"/>
              </w:rPr>
            </w:pPr>
          </w:p>
        </w:tc>
        <w:tc>
          <w:tcPr>
            <w:tcW w:w="987" w:type="pct"/>
            <w:vMerge/>
            <w:tcBorders>
              <w:bottom w:val="single" w:sz="4" w:space="0" w:color="auto"/>
            </w:tcBorders>
            <w:shd w:val="clear" w:color="auto" w:fill="auto"/>
            <w:tcMar>
              <w:left w:w="85" w:type="dxa"/>
            </w:tcMar>
          </w:tcPr>
          <w:p w14:paraId="469E5686" w14:textId="77777777" w:rsidR="00BC0659" w:rsidRPr="00D55B3A" w:rsidRDefault="00BC0659" w:rsidP="00811713">
            <w:pPr>
              <w:pStyle w:val="Tabletextmeasures85pt"/>
              <w:rPr>
                <w:color w:val="000000" w:themeColor="text1"/>
                <w:highlight w:val="yellow"/>
              </w:rPr>
            </w:pPr>
          </w:p>
        </w:tc>
        <w:tc>
          <w:tcPr>
            <w:tcW w:w="977" w:type="pct"/>
            <w:gridSpan w:val="2"/>
            <w:vMerge/>
            <w:tcBorders>
              <w:bottom w:val="single" w:sz="4" w:space="0" w:color="auto"/>
            </w:tcBorders>
            <w:shd w:val="clear" w:color="auto" w:fill="auto"/>
            <w:tcMar>
              <w:left w:w="85" w:type="dxa"/>
            </w:tcMar>
          </w:tcPr>
          <w:p w14:paraId="436A1F8E" w14:textId="77777777" w:rsidR="00BC0659" w:rsidRPr="00D55B3A" w:rsidRDefault="00BC0659" w:rsidP="00811713">
            <w:pPr>
              <w:pStyle w:val="Tabletextmeasures85pt"/>
              <w:rPr>
                <w:color w:val="000000" w:themeColor="text1"/>
                <w:highlight w:val="yellow"/>
              </w:rPr>
            </w:pPr>
          </w:p>
        </w:tc>
        <w:tc>
          <w:tcPr>
            <w:tcW w:w="985" w:type="pct"/>
            <w:vMerge/>
            <w:tcBorders>
              <w:bottom w:val="single" w:sz="4" w:space="0" w:color="auto"/>
            </w:tcBorders>
            <w:shd w:val="clear" w:color="auto" w:fill="auto"/>
            <w:tcMar>
              <w:left w:w="85" w:type="dxa"/>
            </w:tcMar>
          </w:tcPr>
          <w:p w14:paraId="5949725C" w14:textId="77777777" w:rsidR="00BC0659" w:rsidRPr="00D55B3A" w:rsidRDefault="00BC0659" w:rsidP="00811713">
            <w:pPr>
              <w:pStyle w:val="Tabletextmeasures85pt"/>
              <w:rPr>
                <w:color w:val="000000" w:themeColor="text1"/>
                <w:highlight w:val="yellow"/>
              </w:rPr>
            </w:pPr>
          </w:p>
        </w:tc>
      </w:tr>
    </w:tbl>
    <w:p w14:paraId="4D14CF1E" w14:textId="77777777" w:rsidR="00DB0992" w:rsidRDefault="00DB0992">
      <w:r>
        <w:rPr>
          <w:b/>
        </w:rPr>
        <w:br w:type="page"/>
      </w:r>
    </w:p>
    <w:tbl>
      <w:tblPr>
        <w:tblStyle w:val="TableGrid"/>
        <w:tblW w:w="5018" w:type="pct"/>
        <w:jc w:val="center"/>
        <w:tblLayout w:type="fixed"/>
        <w:tblLook w:val="04A0" w:firstRow="1" w:lastRow="0" w:firstColumn="1" w:lastColumn="0" w:noHBand="0" w:noVBand="1"/>
        <w:tblCaption w:val="Table 2.1.2: Performance Measures for the NBA (continued)"/>
        <w:tblDescription w:val="This table includes 2 performance measures for Program 1.1, with an expected performance result for 2021-22, and planned performance results for 2022-23 and the forward estimates"/>
      </w:tblPr>
      <w:tblGrid>
        <w:gridCol w:w="1590"/>
        <w:gridCol w:w="960"/>
        <w:gridCol w:w="480"/>
        <w:gridCol w:w="1458"/>
        <w:gridCol w:w="474"/>
        <w:gridCol w:w="969"/>
        <w:gridCol w:w="1455"/>
      </w:tblGrid>
      <w:tr w:rsidR="00D55B3A" w:rsidRPr="00D55B3A" w14:paraId="59A68130" w14:textId="77777777" w:rsidTr="00811713">
        <w:trPr>
          <w:trHeight w:val="70"/>
          <w:jc w:val="center"/>
        </w:trPr>
        <w:tc>
          <w:tcPr>
            <w:tcW w:w="5000" w:type="pct"/>
            <w:gridSpan w:val="7"/>
            <w:shd w:val="clear" w:color="auto" w:fill="D9D9D9" w:themeFill="background1" w:themeFillShade="D9"/>
            <w:tcMar>
              <w:left w:w="85" w:type="dxa"/>
            </w:tcMar>
            <w:vAlign w:val="center"/>
          </w:tcPr>
          <w:p w14:paraId="325A9F85" w14:textId="77777777" w:rsidR="00BC0659" w:rsidRPr="00890BEF" w:rsidRDefault="006840B2" w:rsidP="00DB0992">
            <w:pPr>
              <w:pStyle w:val="Tableheadingrowmeasures85pt"/>
              <w:rPr>
                <w:b w:val="0"/>
                <w:color w:val="auto"/>
              </w:rPr>
            </w:pPr>
            <w:r w:rsidRPr="00D55B3A">
              <w:rPr>
                <w:color w:val="000000" w:themeColor="text1"/>
              </w:rPr>
              <w:lastRenderedPageBreak/>
              <w:t xml:space="preserve">Appropriate access and use of immunoglobulin (Ig), as indicated by clinical demand against approved access </w:t>
            </w:r>
            <w:r w:rsidR="003462A2" w:rsidRPr="005D7B02">
              <w:rPr>
                <w:color w:val="auto"/>
              </w:rPr>
              <w:t>c</w:t>
            </w:r>
            <w:r w:rsidRPr="005D7B02">
              <w:rPr>
                <w:color w:val="auto"/>
              </w:rPr>
              <w:t>riteria</w:t>
            </w:r>
            <w:r w:rsidRPr="005D7B02">
              <w:rPr>
                <w:color w:val="auto"/>
                <w:vertAlign w:val="superscript"/>
              </w:rPr>
              <w:footnoteReference w:id="4"/>
            </w:r>
            <w:r w:rsidRPr="005D7B02">
              <w:rPr>
                <w:color w:val="auto"/>
              </w:rPr>
              <w:t>.</w:t>
            </w:r>
            <w:r w:rsidR="00D266B7" w:rsidRPr="005D7B02">
              <w:rPr>
                <w:b w:val="0"/>
                <w:color w:val="auto"/>
              </w:rPr>
              <w:t xml:space="preserve"> </w:t>
            </w:r>
          </w:p>
        </w:tc>
      </w:tr>
      <w:tr w:rsidR="001A0EF8" w:rsidRPr="00D55B3A" w14:paraId="666DB47F" w14:textId="77777777" w:rsidTr="004664A7">
        <w:trPr>
          <w:trHeight w:val="132"/>
          <w:jc w:val="center"/>
        </w:trPr>
        <w:tc>
          <w:tcPr>
            <w:tcW w:w="1076" w:type="pct"/>
            <w:shd w:val="clear" w:color="auto" w:fill="auto"/>
            <w:tcMar>
              <w:left w:w="85" w:type="dxa"/>
            </w:tcMar>
          </w:tcPr>
          <w:p w14:paraId="63B70067" w14:textId="186239E0" w:rsidR="001A0EF8" w:rsidRPr="009C2E99" w:rsidRDefault="009D5F04" w:rsidP="00FC5C55">
            <w:pPr>
              <w:pStyle w:val="Tableheadingrow9pt"/>
              <w:keepNext/>
              <w:keepLines/>
              <w:rPr>
                <w:color w:val="auto"/>
                <w:sz w:val="17"/>
                <w:szCs w:val="17"/>
              </w:rPr>
            </w:pPr>
            <w:r w:rsidRPr="009C2E99">
              <w:rPr>
                <w:color w:val="auto"/>
                <w:sz w:val="17"/>
                <w:szCs w:val="17"/>
              </w:rPr>
              <w:t>Prior</w:t>
            </w:r>
            <w:r w:rsidR="001A0EF8" w:rsidRPr="009C2E99">
              <w:rPr>
                <w:color w:val="auto"/>
                <w:sz w:val="17"/>
                <w:szCs w:val="17"/>
              </w:rPr>
              <w:t xml:space="preserve"> Year</w:t>
            </w:r>
            <w:r w:rsidR="001A0EF8" w:rsidRPr="009C2E99">
              <w:rPr>
                <w:color w:val="auto"/>
                <w:sz w:val="17"/>
                <w:szCs w:val="17"/>
              </w:rPr>
              <w:br/>
              <w:t>2021</w:t>
            </w:r>
            <w:r w:rsidR="00C063A0" w:rsidRPr="009C2E99">
              <w:rPr>
                <w:color w:val="auto"/>
                <w:sz w:val="17"/>
                <w:szCs w:val="17"/>
              </w:rPr>
              <w:t>–</w:t>
            </w:r>
            <w:r w:rsidR="001A0EF8" w:rsidRPr="009C2E99">
              <w:rPr>
                <w:color w:val="auto"/>
                <w:sz w:val="17"/>
                <w:szCs w:val="17"/>
              </w:rPr>
              <w:t>22</w:t>
            </w:r>
            <w:r w:rsidR="00AE2197" w:rsidRPr="009C2E99">
              <w:rPr>
                <w:color w:val="auto"/>
                <w:sz w:val="17"/>
                <w:szCs w:val="17"/>
              </w:rPr>
              <w:t xml:space="preserve"> </w:t>
            </w:r>
            <w:r w:rsidR="00FC5C55" w:rsidRPr="009C2E99">
              <w:rPr>
                <w:color w:val="auto"/>
                <w:sz w:val="17"/>
                <w:szCs w:val="17"/>
              </w:rPr>
              <w:t xml:space="preserve"> Planned </w:t>
            </w:r>
            <w:r w:rsidR="001A0EF8" w:rsidRPr="009C2E99">
              <w:rPr>
                <w:color w:val="auto"/>
                <w:sz w:val="17"/>
                <w:szCs w:val="17"/>
              </w:rPr>
              <w:t>Performance Result</w:t>
            </w:r>
          </w:p>
        </w:tc>
        <w:tc>
          <w:tcPr>
            <w:tcW w:w="975" w:type="pct"/>
            <w:gridSpan w:val="2"/>
            <w:shd w:val="clear" w:color="auto" w:fill="auto"/>
            <w:tcMar>
              <w:left w:w="85" w:type="dxa"/>
            </w:tcMar>
          </w:tcPr>
          <w:p w14:paraId="7E9753D2" w14:textId="009E8ED7" w:rsidR="001A0EF8" w:rsidRPr="009C2E99" w:rsidRDefault="001A0EF8" w:rsidP="001A0EF8">
            <w:pPr>
              <w:pStyle w:val="Tableheadingrow9pt"/>
              <w:keepNext/>
              <w:keepLines/>
              <w:rPr>
                <w:color w:val="auto"/>
                <w:sz w:val="17"/>
                <w:szCs w:val="17"/>
              </w:rPr>
            </w:pPr>
            <w:r w:rsidRPr="009C2E99">
              <w:rPr>
                <w:color w:val="auto"/>
                <w:sz w:val="17"/>
                <w:szCs w:val="17"/>
              </w:rPr>
              <w:t>Budget Year</w:t>
            </w:r>
            <w:r w:rsidRPr="009C2E99">
              <w:rPr>
                <w:color w:val="auto"/>
                <w:sz w:val="17"/>
                <w:szCs w:val="17"/>
              </w:rPr>
              <w:br/>
              <w:t>2022</w:t>
            </w:r>
            <w:r w:rsidR="00C063A0" w:rsidRPr="009C2E99">
              <w:rPr>
                <w:color w:val="auto"/>
                <w:sz w:val="17"/>
                <w:szCs w:val="17"/>
              </w:rPr>
              <w:t>–</w:t>
            </w:r>
            <w:r w:rsidRPr="009C2E99">
              <w:rPr>
                <w:color w:val="auto"/>
                <w:sz w:val="17"/>
                <w:szCs w:val="17"/>
              </w:rPr>
              <w:t>23 Planned Performance Result</w:t>
            </w:r>
          </w:p>
        </w:tc>
        <w:tc>
          <w:tcPr>
            <w:tcW w:w="987" w:type="pct"/>
            <w:shd w:val="clear" w:color="auto" w:fill="auto"/>
            <w:tcMar>
              <w:left w:w="85" w:type="dxa"/>
            </w:tcMar>
          </w:tcPr>
          <w:p w14:paraId="0E77886B" w14:textId="68841EE6" w:rsidR="001A0EF8" w:rsidRPr="009C2E99" w:rsidRDefault="001A0EF8" w:rsidP="001A0EF8">
            <w:pPr>
              <w:pStyle w:val="Tableheadingrow9pt"/>
              <w:keepNext/>
              <w:keepLines/>
              <w:rPr>
                <w:color w:val="auto"/>
                <w:sz w:val="17"/>
                <w:szCs w:val="17"/>
              </w:rPr>
            </w:pPr>
            <w:r w:rsidRPr="009C2E99">
              <w:rPr>
                <w:color w:val="auto"/>
                <w:sz w:val="17"/>
                <w:szCs w:val="17"/>
              </w:rPr>
              <w:t>Forward Estimates</w:t>
            </w:r>
            <w:r w:rsidRPr="009C2E99">
              <w:rPr>
                <w:color w:val="auto"/>
                <w:sz w:val="17"/>
                <w:szCs w:val="17"/>
              </w:rPr>
              <w:br/>
              <w:t>2023</w:t>
            </w:r>
            <w:r w:rsidR="00C063A0" w:rsidRPr="009C2E99">
              <w:rPr>
                <w:color w:val="auto"/>
                <w:sz w:val="17"/>
                <w:szCs w:val="17"/>
              </w:rPr>
              <w:t>–</w:t>
            </w:r>
            <w:r w:rsidRPr="009C2E99">
              <w:rPr>
                <w:color w:val="auto"/>
                <w:sz w:val="17"/>
                <w:szCs w:val="17"/>
              </w:rPr>
              <w:t>24 Planned Performance Result</w:t>
            </w:r>
          </w:p>
        </w:tc>
        <w:tc>
          <w:tcPr>
            <w:tcW w:w="977" w:type="pct"/>
            <w:gridSpan w:val="2"/>
            <w:shd w:val="clear" w:color="auto" w:fill="auto"/>
            <w:tcMar>
              <w:left w:w="85" w:type="dxa"/>
            </w:tcMar>
          </w:tcPr>
          <w:p w14:paraId="1AB91E5B" w14:textId="7FC84387" w:rsidR="001A0EF8" w:rsidRPr="009C2E99" w:rsidRDefault="001A0EF8" w:rsidP="001A0EF8">
            <w:pPr>
              <w:pStyle w:val="Tableheadingrow9pt"/>
              <w:keepNext/>
              <w:keepLines/>
              <w:rPr>
                <w:color w:val="auto"/>
                <w:sz w:val="17"/>
                <w:szCs w:val="17"/>
              </w:rPr>
            </w:pPr>
            <w:r w:rsidRPr="009C2E99">
              <w:rPr>
                <w:color w:val="auto"/>
                <w:sz w:val="17"/>
                <w:szCs w:val="17"/>
              </w:rPr>
              <w:t>Forward Estimates</w:t>
            </w:r>
            <w:r w:rsidRPr="009C2E99">
              <w:rPr>
                <w:color w:val="auto"/>
                <w:sz w:val="17"/>
                <w:szCs w:val="17"/>
              </w:rPr>
              <w:br/>
              <w:t>2024</w:t>
            </w:r>
            <w:r w:rsidR="00C063A0" w:rsidRPr="009C2E99">
              <w:rPr>
                <w:color w:val="auto"/>
                <w:sz w:val="17"/>
                <w:szCs w:val="17"/>
              </w:rPr>
              <w:t>–</w:t>
            </w:r>
            <w:r w:rsidRPr="009C2E99">
              <w:rPr>
                <w:color w:val="auto"/>
                <w:sz w:val="17"/>
                <w:szCs w:val="17"/>
              </w:rPr>
              <w:t>25 Planned Performance Result</w:t>
            </w:r>
          </w:p>
        </w:tc>
        <w:tc>
          <w:tcPr>
            <w:tcW w:w="985" w:type="pct"/>
            <w:shd w:val="clear" w:color="auto" w:fill="auto"/>
            <w:tcMar>
              <w:left w:w="85" w:type="dxa"/>
            </w:tcMar>
          </w:tcPr>
          <w:p w14:paraId="4ACE4659" w14:textId="74C8719B" w:rsidR="001A0EF8" w:rsidRPr="009C2E99" w:rsidRDefault="001A0EF8" w:rsidP="001A0EF8">
            <w:pPr>
              <w:pStyle w:val="Tableheadingrow9pt"/>
              <w:keepNext/>
              <w:keepLines/>
              <w:rPr>
                <w:color w:val="auto"/>
                <w:sz w:val="17"/>
                <w:szCs w:val="17"/>
              </w:rPr>
            </w:pPr>
            <w:r w:rsidRPr="009C2E99">
              <w:rPr>
                <w:color w:val="auto"/>
                <w:sz w:val="17"/>
                <w:szCs w:val="17"/>
              </w:rPr>
              <w:t>Forward Estimates</w:t>
            </w:r>
            <w:r w:rsidRPr="009C2E99">
              <w:rPr>
                <w:color w:val="auto"/>
                <w:sz w:val="17"/>
                <w:szCs w:val="17"/>
              </w:rPr>
              <w:br/>
              <w:t>2025</w:t>
            </w:r>
            <w:r w:rsidR="00C063A0" w:rsidRPr="009C2E99">
              <w:rPr>
                <w:color w:val="auto"/>
                <w:sz w:val="17"/>
                <w:szCs w:val="17"/>
              </w:rPr>
              <w:t>–</w:t>
            </w:r>
            <w:r w:rsidRPr="009C2E99">
              <w:rPr>
                <w:color w:val="auto"/>
                <w:sz w:val="17"/>
                <w:szCs w:val="17"/>
              </w:rPr>
              <w:t>26 Planned Performance Result</w:t>
            </w:r>
          </w:p>
        </w:tc>
      </w:tr>
      <w:tr w:rsidR="00890BEF" w:rsidRPr="00D55B3A" w14:paraId="1C9BBC5B" w14:textId="77777777" w:rsidTr="00873A07">
        <w:trPr>
          <w:trHeight w:val="94"/>
          <w:jc w:val="center"/>
        </w:trPr>
        <w:tc>
          <w:tcPr>
            <w:tcW w:w="1076" w:type="pct"/>
            <w:shd w:val="clear" w:color="auto" w:fill="auto"/>
            <w:tcMar>
              <w:left w:w="85" w:type="dxa"/>
            </w:tcMar>
            <w:vAlign w:val="center"/>
          </w:tcPr>
          <w:p w14:paraId="19B2691F" w14:textId="65818775" w:rsidR="00173050" w:rsidRPr="008218EF" w:rsidRDefault="00890BEF" w:rsidP="00847732">
            <w:pPr>
              <w:pStyle w:val="Tableheadingrowmeasures85pt"/>
              <w:keepNext/>
              <w:keepLines/>
              <w:rPr>
                <w:b w:val="0"/>
                <w:color w:val="auto"/>
              </w:rPr>
            </w:pPr>
            <w:r w:rsidRPr="008218EF">
              <w:rPr>
                <w:b w:val="0"/>
                <w:color w:val="auto"/>
              </w:rPr>
              <w:t>&lt;10% growth in Ig demand under approved criteria</w:t>
            </w:r>
          </w:p>
        </w:tc>
        <w:tc>
          <w:tcPr>
            <w:tcW w:w="975" w:type="pct"/>
            <w:gridSpan w:val="2"/>
            <w:vMerge w:val="restart"/>
            <w:shd w:val="clear" w:color="auto" w:fill="auto"/>
            <w:tcMar>
              <w:left w:w="85" w:type="dxa"/>
            </w:tcMar>
          </w:tcPr>
          <w:p w14:paraId="6C777CD6" w14:textId="77777777" w:rsidR="00890BEF" w:rsidRPr="00D55B3A" w:rsidRDefault="00890BEF" w:rsidP="00890BEF">
            <w:pPr>
              <w:pStyle w:val="Tableheadingrowmeasures85pt"/>
              <w:keepNext/>
              <w:keepLines/>
              <w:rPr>
                <w:b w:val="0"/>
                <w:color w:val="000000" w:themeColor="text1"/>
              </w:rPr>
            </w:pPr>
            <w:r w:rsidRPr="00D55B3A">
              <w:rPr>
                <w:b w:val="0"/>
                <w:color w:val="000000" w:themeColor="text1"/>
              </w:rPr>
              <w:t>&lt;9% growth in Ig demand under approved criteria</w:t>
            </w:r>
          </w:p>
        </w:tc>
        <w:tc>
          <w:tcPr>
            <w:tcW w:w="987" w:type="pct"/>
            <w:vMerge w:val="restart"/>
            <w:shd w:val="clear" w:color="auto" w:fill="auto"/>
            <w:tcMar>
              <w:left w:w="85" w:type="dxa"/>
            </w:tcMar>
          </w:tcPr>
          <w:p w14:paraId="3EFD0EE2" w14:textId="77777777" w:rsidR="00890BEF" w:rsidRPr="00D55B3A" w:rsidRDefault="00890BEF" w:rsidP="00890BEF">
            <w:pPr>
              <w:pStyle w:val="Tableheadingrowmeasures85pt"/>
              <w:keepNext/>
              <w:keepLines/>
              <w:rPr>
                <w:b w:val="0"/>
                <w:color w:val="000000" w:themeColor="text1"/>
              </w:rPr>
            </w:pPr>
            <w:r w:rsidRPr="00D55B3A">
              <w:rPr>
                <w:b w:val="0"/>
                <w:color w:val="000000" w:themeColor="text1"/>
              </w:rPr>
              <w:t>&lt;8% growth in Ig demand under approved criteria</w:t>
            </w:r>
          </w:p>
        </w:tc>
        <w:tc>
          <w:tcPr>
            <w:tcW w:w="977" w:type="pct"/>
            <w:gridSpan w:val="2"/>
            <w:vMerge w:val="restart"/>
            <w:shd w:val="clear" w:color="auto" w:fill="auto"/>
            <w:tcMar>
              <w:left w:w="85" w:type="dxa"/>
            </w:tcMar>
          </w:tcPr>
          <w:p w14:paraId="0D30D8BC" w14:textId="77777777" w:rsidR="00890BEF" w:rsidRPr="00D55B3A" w:rsidRDefault="00890BEF" w:rsidP="00890BEF">
            <w:pPr>
              <w:pStyle w:val="Tableheadingrowmeasures85pt"/>
              <w:rPr>
                <w:b w:val="0"/>
                <w:color w:val="000000" w:themeColor="text1"/>
              </w:rPr>
            </w:pPr>
            <w:r w:rsidRPr="00D55B3A">
              <w:rPr>
                <w:b w:val="0"/>
                <w:color w:val="000000" w:themeColor="text1"/>
              </w:rPr>
              <w:t>&lt;8% growth in Ig demand under approved criteria</w:t>
            </w:r>
          </w:p>
        </w:tc>
        <w:tc>
          <w:tcPr>
            <w:tcW w:w="985" w:type="pct"/>
            <w:vMerge w:val="restart"/>
            <w:shd w:val="clear" w:color="auto" w:fill="auto"/>
            <w:tcMar>
              <w:left w:w="85" w:type="dxa"/>
            </w:tcMar>
          </w:tcPr>
          <w:p w14:paraId="25F7559A" w14:textId="77777777" w:rsidR="00890BEF" w:rsidRPr="00D55B3A" w:rsidRDefault="00890BEF" w:rsidP="00890BEF">
            <w:pPr>
              <w:pStyle w:val="Tableheadingrowmeasures85pt"/>
              <w:rPr>
                <w:color w:val="000000" w:themeColor="text1"/>
              </w:rPr>
            </w:pPr>
            <w:r w:rsidRPr="00D55B3A">
              <w:rPr>
                <w:b w:val="0"/>
                <w:color w:val="000000" w:themeColor="text1"/>
              </w:rPr>
              <w:t>&lt;8% growth in Ig demand under approved criteria</w:t>
            </w:r>
          </w:p>
        </w:tc>
      </w:tr>
      <w:tr w:rsidR="00D55B3A" w:rsidRPr="00D55B3A" w14:paraId="6389E3E0" w14:textId="77777777" w:rsidTr="00811713">
        <w:trPr>
          <w:trHeight w:val="93"/>
          <w:jc w:val="center"/>
        </w:trPr>
        <w:tc>
          <w:tcPr>
            <w:tcW w:w="1076" w:type="pct"/>
            <w:shd w:val="clear" w:color="auto" w:fill="auto"/>
            <w:tcMar>
              <w:left w:w="85" w:type="dxa"/>
            </w:tcMar>
            <w:vAlign w:val="center"/>
          </w:tcPr>
          <w:p w14:paraId="1D95A682" w14:textId="4185D31F" w:rsidR="00627688" w:rsidRPr="00D55B3A" w:rsidRDefault="009D5F04" w:rsidP="00DC611F">
            <w:pPr>
              <w:pStyle w:val="Tableheadingrowmeasures85pt"/>
              <w:keepNext/>
              <w:keepLines/>
              <w:rPr>
                <w:color w:val="000000" w:themeColor="text1"/>
              </w:rPr>
            </w:pPr>
            <w:r>
              <w:t>Prior</w:t>
            </w:r>
            <w:r w:rsidR="002249A1">
              <w:t xml:space="preserve"> Year</w:t>
            </w:r>
            <w:r w:rsidR="002249A1">
              <w:br/>
              <w:t>2021–</w:t>
            </w:r>
            <w:r w:rsidR="002249A1" w:rsidRPr="00744C28">
              <w:t xml:space="preserve">22 </w:t>
            </w:r>
            <w:r w:rsidR="00FC5C55">
              <w:t xml:space="preserve">Expected </w:t>
            </w:r>
            <w:r w:rsidR="002249A1">
              <w:t>Performance Results</w:t>
            </w:r>
          </w:p>
        </w:tc>
        <w:tc>
          <w:tcPr>
            <w:tcW w:w="975" w:type="pct"/>
            <w:gridSpan w:val="2"/>
            <w:vMerge/>
            <w:shd w:val="clear" w:color="auto" w:fill="auto"/>
            <w:tcMar>
              <w:left w:w="85" w:type="dxa"/>
            </w:tcMar>
            <w:vAlign w:val="center"/>
          </w:tcPr>
          <w:p w14:paraId="11218C97" w14:textId="77777777" w:rsidR="00627688" w:rsidRPr="00D55B3A" w:rsidRDefault="00627688" w:rsidP="00811713">
            <w:pPr>
              <w:pStyle w:val="Tableheadingrowmeasures85pt"/>
              <w:keepNext/>
              <w:keepLines/>
              <w:rPr>
                <w:color w:val="000000" w:themeColor="text1"/>
              </w:rPr>
            </w:pPr>
          </w:p>
        </w:tc>
        <w:tc>
          <w:tcPr>
            <w:tcW w:w="987" w:type="pct"/>
            <w:vMerge/>
            <w:shd w:val="clear" w:color="auto" w:fill="auto"/>
            <w:tcMar>
              <w:left w:w="85" w:type="dxa"/>
            </w:tcMar>
            <w:vAlign w:val="center"/>
          </w:tcPr>
          <w:p w14:paraId="4F1B3BA5" w14:textId="77777777" w:rsidR="00627688" w:rsidRPr="00D55B3A" w:rsidRDefault="00627688" w:rsidP="00811713">
            <w:pPr>
              <w:pStyle w:val="Tableheadingrowmeasures85pt"/>
              <w:keepNext/>
              <w:keepLines/>
              <w:rPr>
                <w:color w:val="000000" w:themeColor="text1"/>
              </w:rPr>
            </w:pPr>
          </w:p>
        </w:tc>
        <w:tc>
          <w:tcPr>
            <w:tcW w:w="977" w:type="pct"/>
            <w:gridSpan w:val="2"/>
            <w:vMerge/>
            <w:shd w:val="clear" w:color="auto" w:fill="auto"/>
            <w:tcMar>
              <w:left w:w="85" w:type="dxa"/>
            </w:tcMar>
            <w:vAlign w:val="center"/>
          </w:tcPr>
          <w:p w14:paraId="62CC0B05" w14:textId="77777777" w:rsidR="00627688" w:rsidRPr="00D55B3A" w:rsidRDefault="00627688" w:rsidP="00811713">
            <w:pPr>
              <w:pStyle w:val="Tableheadingrowmeasures85pt"/>
              <w:rPr>
                <w:color w:val="000000" w:themeColor="text1"/>
              </w:rPr>
            </w:pPr>
          </w:p>
        </w:tc>
        <w:tc>
          <w:tcPr>
            <w:tcW w:w="985" w:type="pct"/>
            <w:vMerge/>
            <w:shd w:val="clear" w:color="auto" w:fill="auto"/>
            <w:tcMar>
              <w:left w:w="85" w:type="dxa"/>
            </w:tcMar>
            <w:vAlign w:val="center"/>
          </w:tcPr>
          <w:p w14:paraId="48CFB61A" w14:textId="77777777" w:rsidR="00627688" w:rsidRPr="00D55B3A" w:rsidRDefault="00627688" w:rsidP="00811713">
            <w:pPr>
              <w:pStyle w:val="Tableheadingrowmeasures85pt"/>
              <w:rPr>
                <w:color w:val="000000" w:themeColor="text1"/>
              </w:rPr>
            </w:pPr>
          </w:p>
        </w:tc>
      </w:tr>
      <w:tr w:rsidR="00847732" w:rsidRPr="00D55B3A" w14:paraId="0310D5C0" w14:textId="77777777" w:rsidTr="00811713">
        <w:trPr>
          <w:trHeight w:val="93"/>
          <w:jc w:val="center"/>
        </w:trPr>
        <w:tc>
          <w:tcPr>
            <w:tcW w:w="1076" w:type="pct"/>
            <w:shd w:val="clear" w:color="auto" w:fill="auto"/>
            <w:tcMar>
              <w:left w:w="85" w:type="dxa"/>
            </w:tcMar>
            <w:vAlign w:val="center"/>
          </w:tcPr>
          <w:p w14:paraId="3458FD32" w14:textId="77777777" w:rsidR="00847732" w:rsidRPr="007E34BB" w:rsidRDefault="00847732" w:rsidP="00847732">
            <w:pPr>
              <w:autoSpaceDE w:val="0"/>
              <w:autoSpaceDN w:val="0"/>
              <w:adjustRightInd w:val="0"/>
              <w:spacing w:before="40" w:after="40"/>
              <w:rPr>
                <w:rFonts w:ascii="ArialMT" w:eastAsiaTheme="minorHAnsi" w:hAnsi="ArialMT" w:cs="ArialMT"/>
                <w:color w:val="auto"/>
                <w:sz w:val="17"/>
                <w:szCs w:val="17"/>
                <w:lang w:eastAsia="en-US"/>
              </w:rPr>
            </w:pPr>
            <w:r w:rsidRPr="007E34BB">
              <w:rPr>
                <w:rFonts w:ascii="ArialMT" w:eastAsiaTheme="minorHAnsi" w:hAnsi="ArialMT" w:cs="ArialMT"/>
                <w:color w:val="auto"/>
                <w:sz w:val="17"/>
                <w:szCs w:val="17"/>
                <w:lang w:eastAsia="en-US"/>
              </w:rPr>
              <w:t>6.9% growth in Ig</w:t>
            </w:r>
          </w:p>
          <w:p w14:paraId="6E2627DE" w14:textId="54F62AF9" w:rsidR="00847732" w:rsidRPr="00FB7EAE" w:rsidRDefault="00847732" w:rsidP="00847732">
            <w:pPr>
              <w:autoSpaceDE w:val="0"/>
              <w:autoSpaceDN w:val="0"/>
              <w:adjustRightInd w:val="0"/>
              <w:spacing w:before="40" w:after="40"/>
              <w:rPr>
                <w:rFonts w:ascii="ArialMT" w:eastAsiaTheme="minorHAnsi" w:hAnsi="ArialMT" w:cs="ArialMT"/>
                <w:color w:val="auto"/>
                <w:sz w:val="17"/>
                <w:szCs w:val="17"/>
                <w:lang w:eastAsia="en-US"/>
              </w:rPr>
            </w:pPr>
            <w:r w:rsidRPr="007E34BB">
              <w:rPr>
                <w:rFonts w:ascii="ArialMT" w:eastAsiaTheme="minorHAnsi" w:hAnsi="ArialMT" w:cs="ArialMT"/>
                <w:color w:val="auto"/>
                <w:sz w:val="17"/>
                <w:szCs w:val="17"/>
                <w:lang w:eastAsia="en-US"/>
              </w:rPr>
              <w:t xml:space="preserve">demand under </w:t>
            </w:r>
            <w:r w:rsidRPr="007E34BB">
              <w:rPr>
                <w:rFonts w:ascii="ArialMT" w:eastAsiaTheme="minorHAnsi" w:hAnsi="ArialMT" w:cs="ArialMT"/>
                <w:color w:val="auto"/>
                <w:sz w:val="17"/>
                <w:szCs w:val="17"/>
              </w:rPr>
              <w:t>approved criteria</w:t>
            </w:r>
          </w:p>
        </w:tc>
        <w:tc>
          <w:tcPr>
            <w:tcW w:w="975" w:type="pct"/>
            <w:gridSpan w:val="2"/>
            <w:vMerge/>
            <w:shd w:val="clear" w:color="auto" w:fill="auto"/>
            <w:tcMar>
              <w:left w:w="85" w:type="dxa"/>
            </w:tcMar>
            <w:vAlign w:val="center"/>
          </w:tcPr>
          <w:p w14:paraId="48D45EC4" w14:textId="77777777" w:rsidR="00847732" w:rsidRPr="00D55B3A" w:rsidRDefault="00847732" w:rsidP="00847732">
            <w:pPr>
              <w:pStyle w:val="Tableheadingrowmeasures85pt"/>
              <w:keepNext/>
              <w:keepLines/>
              <w:rPr>
                <w:color w:val="000000" w:themeColor="text1"/>
              </w:rPr>
            </w:pPr>
          </w:p>
        </w:tc>
        <w:tc>
          <w:tcPr>
            <w:tcW w:w="987" w:type="pct"/>
            <w:vMerge/>
            <w:shd w:val="clear" w:color="auto" w:fill="auto"/>
            <w:tcMar>
              <w:left w:w="85" w:type="dxa"/>
            </w:tcMar>
            <w:vAlign w:val="center"/>
          </w:tcPr>
          <w:p w14:paraId="16446D6E" w14:textId="77777777" w:rsidR="00847732" w:rsidRPr="00D55B3A" w:rsidRDefault="00847732" w:rsidP="00847732">
            <w:pPr>
              <w:pStyle w:val="Tableheadingrowmeasures85pt"/>
              <w:keepNext/>
              <w:keepLines/>
              <w:rPr>
                <w:color w:val="000000" w:themeColor="text1"/>
              </w:rPr>
            </w:pPr>
          </w:p>
        </w:tc>
        <w:tc>
          <w:tcPr>
            <w:tcW w:w="977" w:type="pct"/>
            <w:gridSpan w:val="2"/>
            <w:vMerge/>
            <w:shd w:val="clear" w:color="auto" w:fill="auto"/>
            <w:tcMar>
              <w:left w:w="85" w:type="dxa"/>
            </w:tcMar>
            <w:vAlign w:val="center"/>
          </w:tcPr>
          <w:p w14:paraId="5A26E1D6" w14:textId="77777777" w:rsidR="00847732" w:rsidRPr="00D55B3A" w:rsidRDefault="00847732" w:rsidP="00847732">
            <w:pPr>
              <w:pStyle w:val="Tableheadingrowmeasures85pt"/>
              <w:rPr>
                <w:color w:val="000000" w:themeColor="text1"/>
              </w:rPr>
            </w:pPr>
          </w:p>
        </w:tc>
        <w:tc>
          <w:tcPr>
            <w:tcW w:w="985" w:type="pct"/>
            <w:vMerge/>
            <w:shd w:val="clear" w:color="auto" w:fill="auto"/>
            <w:tcMar>
              <w:left w:w="85" w:type="dxa"/>
            </w:tcMar>
            <w:vAlign w:val="center"/>
          </w:tcPr>
          <w:p w14:paraId="20B2B685" w14:textId="77777777" w:rsidR="00847732" w:rsidRPr="00D55B3A" w:rsidRDefault="00847732" w:rsidP="00847732">
            <w:pPr>
              <w:pStyle w:val="Tableheadingrowmeasures85pt"/>
              <w:rPr>
                <w:color w:val="000000" w:themeColor="text1"/>
              </w:rPr>
            </w:pPr>
          </w:p>
        </w:tc>
      </w:tr>
      <w:tr w:rsidR="00847732" w:rsidRPr="00D55B3A" w14:paraId="61A0343A" w14:textId="77777777" w:rsidTr="00873A07">
        <w:trPr>
          <w:trHeight w:val="93"/>
          <w:jc w:val="center"/>
        </w:trPr>
        <w:tc>
          <w:tcPr>
            <w:tcW w:w="5000" w:type="pct"/>
            <w:gridSpan w:val="7"/>
            <w:shd w:val="clear" w:color="auto" w:fill="D9D9D9" w:themeFill="background1" w:themeFillShade="D9"/>
            <w:tcMar>
              <w:left w:w="85" w:type="dxa"/>
            </w:tcMar>
            <w:vAlign w:val="center"/>
          </w:tcPr>
          <w:p w14:paraId="37E4DA87" w14:textId="77777777" w:rsidR="00847732" w:rsidRPr="00D55B3A" w:rsidRDefault="00847732" w:rsidP="00847732">
            <w:pPr>
              <w:pStyle w:val="Tableheadingrowmeasures85pt"/>
              <w:keepLines/>
              <w:rPr>
                <w:color w:val="000000" w:themeColor="text1"/>
              </w:rPr>
            </w:pPr>
            <w:r w:rsidRPr="00D55B3A">
              <w:rPr>
                <w:color w:val="000000" w:themeColor="text1"/>
              </w:rPr>
              <w:t>National performance reporting and benchmarking across the Australian blood sector.</w:t>
            </w:r>
          </w:p>
        </w:tc>
      </w:tr>
      <w:tr w:rsidR="00847732" w:rsidRPr="00D55B3A" w14:paraId="5005CE93" w14:textId="77777777" w:rsidTr="00811713">
        <w:trPr>
          <w:trHeight w:val="283"/>
          <w:jc w:val="center"/>
        </w:trPr>
        <w:tc>
          <w:tcPr>
            <w:tcW w:w="1726" w:type="pct"/>
            <w:gridSpan w:val="2"/>
            <w:tcMar>
              <w:left w:w="85" w:type="dxa"/>
            </w:tcMar>
          </w:tcPr>
          <w:p w14:paraId="5A0074FA" w14:textId="7CB4A0CA" w:rsidR="00847732" w:rsidRPr="00C004D1" w:rsidRDefault="00847732" w:rsidP="000E6581">
            <w:pPr>
              <w:pStyle w:val="Tableheadingrowmeasures85pt"/>
              <w:rPr>
                <w:color w:val="auto"/>
              </w:rPr>
            </w:pPr>
            <w:r>
              <w:t>P</w:t>
            </w:r>
            <w:r w:rsidR="000E6581">
              <w:t>rior</w:t>
            </w:r>
            <w:r>
              <w:t xml:space="preserve"> Year</w:t>
            </w:r>
            <w:r>
              <w:br/>
              <w:t>2021–</w:t>
            </w:r>
            <w:r w:rsidRPr="00744C28">
              <w:t xml:space="preserve">22 </w:t>
            </w:r>
            <w:r w:rsidR="00AE2197" w:rsidRPr="00AE2197">
              <w:rPr>
                <w:color w:val="auto"/>
              </w:rPr>
              <w:t>Expected</w:t>
            </w:r>
            <w:r w:rsidR="00AE2197">
              <w:rPr>
                <w:color w:val="auto"/>
              </w:rPr>
              <w:t xml:space="preserve"> </w:t>
            </w:r>
            <w:r>
              <w:t>Performance Results</w:t>
            </w:r>
          </w:p>
        </w:tc>
        <w:tc>
          <w:tcPr>
            <w:tcW w:w="1633" w:type="pct"/>
            <w:gridSpan w:val="3"/>
            <w:shd w:val="clear" w:color="auto" w:fill="auto"/>
            <w:tcMar>
              <w:left w:w="85" w:type="dxa"/>
            </w:tcMar>
          </w:tcPr>
          <w:p w14:paraId="5E9487D7" w14:textId="16765E82" w:rsidR="00847732" w:rsidRPr="00C004D1" w:rsidRDefault="00847732" w:rsidP="00847732">
            <w:pPr>
              <w:pStyle w:val="Tableheadingrowmeasures85pt"/>
              <w:rPr>
                <w:color w:val="auto"/>
              </w:rPr>
            </w:pPr>
            <w:r>
              <w:t>Budget Year</w:t>
            </w:r>
            <w:r>
              <w:br/>
              <w:t xml:space="preserve">2022–23 Planned Performance Results </w:t>
            </w:r>
          </w:p>
        </w:tc>
        <w:tc>
          <w:tcPr>
            <w:tcW w:w="1641" w:type="pct"/>
            <w:gridSpan w:val="2"/>
            <w:shd w:val="clear" w:color="auto" w:fill="auto"/>
            <w:tcMar>
              <w:left w:w="85" w:type="dxa"/>
            </w:tcMar>
          </w:tcPr>
          <w:p w14:paraId="032C27F7" w14:textId="57EA5D21" w:rsidR="00847732" w:rsidRPr="00685583" w:rsidRDefault="00847732" w:rsidP="00847732">
            <w:pPr>
              <w:pStyle w:val="Tableheadingrowmeasures85pt"/>
              <w:rPr>
                <w:color w:val="auto"/>
              </w:rPr>
            </w:pPr>
            <w:r>
              <w:t>Forward Estimates</w:t>
            </w:r>
            <w:r>
              <w:br/>
              <w:t>2023–</w:t>
            </w:r>
            <w:r w:rsidRPr="00C004D1">
              <w:t>2</w:t>
            </w:r>
            <w:r>
              <w:t>6</w:t>
            </w:r>
            <w:r w:rsidRPr="00C004D1">
              <w:t xml:space="preserve"> </w:t>
            </w:r>
            <w:r>
              <w:t>Planned Performance Results</w:t>
            </w:r>
          </w:p>
        </w:tc>
      </w:tr>
      <w:tr w:rsidR="00847732" w:rsidRPr="00D55B3A" w14:paraId="2219E0CD" w14:textId="77777777" w:rsidTr="00811713">
        <w:trPr>
          <w:trHeight w:val="283"/>
          <w:jc w:val="center"/>
        </w:trPr>
        <w:tc>
          <w:tcPr>
            <w:tcW w:w="1726" w:type="pct"/>
            <w:gridSpan w:val="2"/>
            <w:tcMar>
              <w:left w:w="85" w:type="dxa"/>
            </w:tcMar>
          </w:tcPr>
          <w:p w14:paraId="09D2BED1" w14:textId="60B1B21F" w:rsidR="00847732" w:rsidRPr="00D55B3A" w:rsidRDefault="00847732" w:rsidP="00847732">
            <w:pPr>
              <w:pStyle w:val="Tabletextmeasures85pt"/>
              <w:keepLines/>
              <w:rPr>
                <w:color w:val="000000" w:themeColor="text1"/>
              </w:rPr>
            </w:pPr>
            <w:r w:rsidRPr="00D55B3A">
              <w:rPr>
                <w:color w:val="000000" w:themeColor="text1"/>
              </w:rPr>
              <w:t>Publish</w:t>
            </w:r>
            <w:r>
              <w:rPr>
                <w:color w:val="000000" w:themeColor="text1"/>
              </w:rPr>
              <w:t>ed</w:t>
            </w:r>
            <w:r w:rsidRPr="00D55B3A">
              <w:rPr>
                <w:color w:val="000000" w:themeColor="text1"/>
              </w:rPr>
              <w:t xml:space="preserve"> performance reporting and benchmarking information on the NBA website for the blood sector community.</w:t>
            </w:r>
            <w:r w:rsidRPr="00D55B3A">
              <w:rPr>
                <w:rStyle w:val="FootnoteReference"/>
                <w:color w:val="000000" w:themeColor="text1"/>
              </w:rPr>
              <w:footnoteReference w:id="5"/>
            </w:r>
          </w:p>
        </w:tc>
        <w:tc>
          <w:tcPr>
            <w:tcW w:w="1633" w:type="pct"/>
            <w:gridSpan w:val="3"/>
            <w:shd w:val="clear" w:color="auto" w:fill="auto"/>
            <w:tcMar>
              <w:left w:w="85" w:type="dxa"/>
            </w:tcMar>
          </w:tcPr>
          <w:p w14:paraId="74EF0122" w14:textId="77777777" w:rsidR="00847732" w:rsidRPr="00D55B3A" w:rsidRDefault="00847732" w:rsidP="00847732">
            <w:pPr>
              <w:pStyle w:val="Tabletextmeasures85pt"/>
              <w:keepLines/>
              <w:rPr>
                <w:color w:val="000000" w:themeColor="text1"/>
              </w:rPr>
            </w:pPr>
            <w:r w:rsidRPr="00D55B3A">
              <w:rPr>
                <w:color w:val="000000" w:themeColor="text1"/>
              </w:rPr>
              <w:t>Publish performance reporting and benchmarking information on the NBA website for the blood sector community.</w:t>
            </w:r>
            <w:r w:rsidRPr="00D55B3A">
              <w:rPr>
                <w:rStyle w:val="FootnoteReference"/>
                <w:color w:val="000000" w:themeColor="text1"/>
              </w:rPr>
              <w:footnoteReference w:id="6"/>
            </w:r>
          </w:p>
        </w:tc>
        <w:tc>
          <w:tcPr>
            <w:tcW w:w="1641" w:type="pct"/>
            <w:gridSpan w:val="2"/>
            <w:shd w:val="clear" w:color="auto" w:fill="auto"/>
            <w:tcMar>
              <w:left w:w="85" w:type="dxa"/>
            </w:tcMar>
          </w:tcPr>
          <w:p w14:paraId="100B71D0" w14:textId="72BDAC43" w:rsidR="00847732" w:rsidRPr="00C34C8D" w:rsidRDefault="00847732" w:rsidP="00847732">
            <w:pPr>
              <w:pStyle w:val="Tabletextmeasures85pt"/>
              <w:keepLines/>
              <w:rPr>
                <w:color w:val="000000" w:themeColor="text1"/>
              </w:rPr>
            </w:pPr>
            <w:r>
              <w:rPr>
                <w:color w:val="000000" w:themeColor="text1"/>
              </w:rPr>
              <w:t>As per 2022–</w:t>
            </w:r>
            <w:r w:rsidRPr="00C34C8D">
              <w:rPr>
                <w:color w:val="000000" w:themeColor="text1"/>
              </w:rPr>
              <w:t>23</w:t>
            </w:r>
            <w:r>
              <w:rPr>
                <w:color w:val="000000" w:themeColor="text1"/>
              </w:rPr>
              <w:t>.</w:t>
            </w:r>
          </w:p>
        </w:tc>
      </w:tr>
      <w:tr w:rsidR="00847732" w:rsidRPr="00D55B3A" w14:paraId="05995E0B" w14:textId="77777777" w:rsidTr="00811713">
        <w:trPr>
          <w:trHeight w:val="283"/>
          <w:jc w:val="center"/>
        </w:trPr>
        <w:tc>
          <w:tcPr>
            <w:tcW w:w="5000" w:type="pct"/>
            <w:gridSpan w:val="7"/>
            <w:shd w:val="clear" w:color="auto" w:fill="FFFFFF" w:themeFill="background1"/>
            <w:tcMar>
              <w:left w:w="85" w:type="dxa"/>
            </w:tcMar>
            <w:vAlign w:val="center"/>
          </w:tcPr>
          <w:p w14:paraId="55D1E0B4" w14:textId="77777777" w:rsidR="00847732" w:rsidRPr="00D55B3A" w:rsidRDefault="00847732" w:rsidP="00847732">
            <w:pPr>
              <w:pStyle w:val="Tableheadingrow9pt"/>
              <w:rPr>
                <w:color w:val="000000" w:themeColor="text1"/>
              </w:rPr>
            </w:pPr>
            <w:r w:rsidRPr="00D55B3A">
              <w:rPr>
                <w:color w:val="000000" w:themeColor="text1"/>
              </w:rPr>
              <w:t>Material changes to Program 1.1 resulting from the following measures:</w:t>
            </w:r>
          </w:p>
          <w:p w14:paraId="7977D7A9" w14:textId="77777777" w:rsidR="00847732" w:rsidRPr="00D55B3A" w:rsidRDefault="00847732" w:rsidP="00847732">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67B971FC" w14:textId="77777777" w:rsidR="00BC0659" w:rsidRPr="00D55B3A" w:rsidRDefault="00BC0659" w:rsidP="00913388">
      <w:pPr>
        <w:rPr>
          <w:rFonts w:ascii="Arial" w:hAnsi="Arial" w:cs="Arial"/>
          <w:color w:val="000000" w:themeColor="text1"/>
        </w:rPr>
        <w:sectPr w:rsidR="00BC0659" w:rsidRPr="00D55B3A"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5056ADE8" w14:textId="05889127" w:rsidR="00BC0659" w:rsidRPr="00D55B3A" w:rsidRDefault="00BC0659" w:rsidP="00F779C7">
      <w:pPr>
        <w:pStyle w:val="Heading2"/>
      </w:pPr>
      <w:bookmarkStart w:id="6" w:name="_Toc190682315"/>
      <w:bookmarkStart w:id="7" w:name="_Toc190682532"/>
      <w:bookmarkStart w:id="8" w:name="_Toc117407397"/>
      <w:r w:rsidRPr="00D55B3A">
        <w:lastRenderedPageBreak/>
        <w:t xml:space="preserve">Section 3: Budgeted </w:t>
      </w:r>
      <w:r w:rsidR="00884F73">
        <w:t>f</w:t>
      </w:r>
      <w:r w:rsidRPr="00D55B3A">
        <w:t xml:space="preserve">inancial </w:t>
      </w:r>
      <w:r w:rsidR="00884F73">
        <w:t>s</w:t>
      </w:r>
      <w:r w:rsidRPr="00D55B3A">
        <w:t>tatements</w:t>
      </w:r>
      <w:bookmarkEnd w:id="6"/>
      <w:bookmarkEnd w:id="7"/>
      <w:bookmarkEnd w:id="8"/>
    </w:p>
    <w:p w14:paraId="0537A368" w14:textId="3C138B28" w:rsidR="00884F73" w:rsidRPr="00884F73" w:rsidRDefault="00884F73" w:rsidP="00884F73">
      <w:pPr>
        <w:spacing w:before="240" w:after="240" w:line="240" w:lineRule="exact"/>
        <w:rPr>
          <w:color w:val="auto"/>
        </w:rPr>
      </w:pPr>
      <w:r w:rsidRPr="00884F73">
        <w:rPr>
          <w:color w:val="auto"/>
        </w:rPr>
        <w:t xml:space="preserve">Section 3 presents budgeted financial statements which provide a comprehensive snapshot </w:t>
      </w:r>
      <w:r w:rsidR="009C2E99">
        <w:rPr>
          <w:color w:val="auto"/>
        </w:rPr>
        <w:t>of entity finances for the 2022</w:t>
      </w:r>
      <w:r w:rsidR="009C2E99">
        <w:t>–</w:t>
      </w:r>
      <w:r w:rsidRPr="00884F73">
        <w:rPr>
          <w:color w:val="auto"/>
        </w:rPr>
        <w:t>23</w:t>
      </w:r>
      <w:r w:rsidRPr="00884F73">
        <w:rPr>
          <w:color w:val="00B050"/>
        </w:rPr>
        <w:t xml:space="preserve"> </w:t>
      </w:r>
      <w:r w:rsidR="00C8718B">
        <w:rPr>
          <w:color w:val="auto"/>
        </w:rPr>
        <w:t>B</w:t>
      </w:r>
      <w:r w:rsidRPr="00884F73">
        <w:rPr>
          <w:color w:val="auto"/>
        </w:rPr>
        <w:t>udget year, including the impact of budget measures and resourcing on financial statements.</w:t>
      </w:r>
    </w:p>
    <w:p w14:paraId="3375DC77" w14:textId="6EB5CB1F" w:rsidR="00BC0659" w:rsidRPr="00D55B3A" w:rsidRDefault="00BC0659" w:rsidP="00F779C7">
      <w:pPr>
        <w:pStyle w:val="Heading3"/>
      </w:pPr>
      <w:bookmarkStart w:id="9" w:name="_Toc117407398"/>
      <w:r w:rsidRPr="00D55B3A">
        <w:t>3.1</w:t>
      </w:r>
      <w:r w:rsidRPr="00D55B3A">
        <w:tab/>
        <w:t xml:space="preserve">Budgeted </w:t>
      </w:r>
      <w:r w:rsidR="00884F73">
        <w:t>f</w:t>
      </w:r>
      <w:r w:rsidRPr="00D55B3A">
        <w:t xml:space="preserve">inancial </w:t>
      </w:r>
      <w:r w:rsidR="00884F73">
        <w:t>s</w:t>
      </w:r>
      <w:r w:rsidRPr="00D55B3A">
        <w:t>tatements</w:t>
      </w:r>
      <w:bookmarkEnd w:id="9"/>
    </w:p>
    <w:p w14:paraId="4B97A110" w14:textId="3554775F" w:rsidR="00BC0659" w:rsidRPr="00D55B3A" w:rsidRDefault="00BC0659" w:rsidP="00BC0659">
      <w:pPr>
        <w:pStyle w:val="Heading4"/>
        <w:rPr>
          <w:color w:val="000000" w:themeColor="text1"/>
        </w:rPr>
      </w:pPr>
      <w:r w:rsidRPr="00D55B3A">
        <w:rPr>
          <w:color w:val="000000" w:themeColor="text1"/>
        </w:rPr>
        <w:t>3.1.1</w:t>
      </w:r>
      <w:r w:rsidRPr="00D55B3A">
        <w:rPr>
          <w:color w:val="000000" w:themeColor="text1"/>
        </w:rPr>
        <w:tab/>
        <w:t xml:space="preserve">Differences between </w:t>
      </w:r>
      <w:r w:rsidR="00884F73">
        <w:rPr>
          <w:color w:val="000000" w:themeColor="text1"/>
        </w:rPr>
        <w:t>e</w:t>
      </w:r>
      <w:r w:rsidRPr="00D55B3A">
        <w:rPr>
          <w:color w:val="000000" w:themeColor="text1"/>
        </w:rPr>
        <w:t xml:space="preserve">ntity </w:t>
      </w:r>
      <w:r w:rsidR="00884F73">
        <w:rPr>
          <w:color w:val="000000" w:themeColor="text1"/>
        </w:rPr>
        <w:t>r</w:t>
      </w:r>
      <w:r w:rsidRPr="00D55B3A">
        <w:rPr>
          <w:color w:val="000000" w:themeColor="text1"/>
        </w:rPr>
        <w:t xml:space="preserve">esourcing and </w:t>
      </w:r>
      <w:r w:rsidR="00884F73">
        <w:rPr>
          <w:color w:val="000000" w:themeColor="text1"/>
        </w:rPr>
        <w:t>f</w:t>
      </w:r>
      <w:r w:rsidRPr="00D55B3A">
        <w:rPr>
          <w:color w:val="000000" w:themeColor="text1"/>
        </w:rPr>
        <w:t xml:space="preserve">inancial </w:t>
      </w:r>
      <w:r w:rsidR="00884F73">
        <w:rPr>
          <w:color w:val="000000" w:themeColor="text1"/>
        </w:rPr>
        <w:t>s</w:t>
      </w:r>
      <w:r w:rsidRPr="00D55B3A">
        <w:rPr>
          <w:color w:val="000000" w:themeColor="text1"/>
        </w:rPr>
        <w:t>tatements</w:t>
      </w:r>
    </w:p>
    <w:p w14:paraId="43216033" w14:textId="009170D6" w:rsidR="007F1606" w:rsidRPr="00D82494" w:rsidRDefault="00D82494" w:rsidP="007F1606">
      <w:pPr>
        <w:rPr>
          <w:rFonts w:cs="Arial"/>
          <w:color w:val="auto"/>
        </w:rPr>
      </w:pPr>
      <w:r w:rsidRPr="00D82494">
        <w:rPr>
          <w:rFonts w:cs="Arial"/>
          <w:color w:val="auto"/>
        </w:rPr>
        <w:t xml:space="preserve">This section is not applicable to the NBA. </w:t>
      </w:r>
    </w:p>
    <w:p w14:paraId="1FC8AF43" w14:textId="76445E91" w:rsidR="00BC0659" w:rsidRPr="00D55B3A" w:rsidRDefault="00BC0659" w:rsidP="00BC0659">
      <w:pPr>
        <w:pStyle w:val="Heading4"/>
        <w:rPr>
          <w:color w:val="000000" w:themeColor="text1"/>
        </w:rPr>
      </w:pPr>
      <w:r w:rsidRPr="00D55B3A">
        <w:rPr>
          <w:color w:val="000000" w:themeColor="text1"/>
        </w:rPr>
        <w:t>3.1.2</w:t>
      </w:r>
      <w:r w:rsidRPr="00D55B3A">
        <w:rPr>
          <w:color w:val="000000" w:themeColor="text1"/>
        </w:rPr>
        <w:tab/>
        <w:t xml:space="preserve">Explanatory </w:t>
      </w:r>
      <w:r w:rsidR="00884F73">
        <w:rPr>
          <w:color w:val="000000" w:themeColor="text1"/>
        </w:rPr>
        <w:t>n</w:t>
      </w:r>
      <w:r w:rsidRPr="00D55B3A">
        <w:rPr>
          <w:color w:val="000000" w:themeColor="text1"/>
        </w:rPr>
        <w:t xml:space="preserve">otes and </w:t>
      </w:r>
      <w:r w:rsidR="00884F73">
        <w:rPr>
          <w:color w:val="000000" w:themeColor="text1"/>
        </w:rPr>
        <w:t>a</w:t>
      </w:r>
      <w:r w:rsidRPr="00D55B3A">
        <w:rPr>
          <w:color w:val="000000" w:themeColor="text1"/>
        </w:rPr>
        <w:t xml:space="preserve">nalysis of </w:t>
      </w:r>
      <w:r w:rsidR="00884F73">
        <w:rPr>
          <w:color w:val="000000" w:themeColor="text1"/>
        </w:rPr>
        <w:t>b</w:t>
      </w:r>
      <w:r w:rsidRPr="00D55B3A">
        <w:rPr>
          <w:color w:val="000000" w:themeColor="text1"/>
        </w:rPr>
        <w:t xml:space="preserve">udgeted </w:t>
      </w:r>
      <w:r w:rsidR="00884F73">
        <w:rPr>
          <w:color w:val="000000" w:themeColor="text1"/>
        </w:rPr>
        <w:t>f</w:t>
      </w:r>
      <w:r w:rsidRPr="00D55B3A">
        <w:rPr>
          <w:color w:val="000000" w:themeColor="text1"/>
        </w:rPr>
        <w:t xml:space="preserve">inancial </w:t>
      </w:r>
      <w:r w:rsidR="00884F73">
        <w:rPr>
          <w:color w:val="000000" w:themeColor="text1"/>
        </w:rPr>
        <w:t>s</w:t>
      </w:r>
      <w:r w:rsidRPr="00D55B3A">
        <w:rPr>
          <w:color w:val="000000" w:themeColor="text1"/>
        </w:rPr>
        <w:t>tatements</w:t>
      </w:r>
    </w:p>
    <w:p w14:paraId="70F8632C" w14:textId="3978E0AB" w:rsidR="00BC0659" w:rsidRPr="00A836BC" w:rsidRDefault="00BC0659" w:rsidP="00BC0659">
      <w:pPr>
        <w:pStyle w:val="Heading4"/>
        <w:rPr>
          <w:color w:val="000000" w:themeColor="text1"/>
          <w:sz w:val="19"/>
          <w:szCs w:val="19"/>
        </w:rPr>
      </w:pPr>
      <w:r w:rsidRPr="00A836BC">
        <w:rPr>
          <w:color w:val="000000" w:themeColor="text1"/>
          <w:sz w:val="19"/>
          <w:szCs w:val="19"/>
        </w:rPr>
        <w:t xml:space="preserve">Departmental </w:t>
      </w:r>
      <w:r w:rsidR="00884F73" w:rsidRPr="00A836BC">
        <w:rPr>
          <w:color w:val="000000" w:themeColor="text1"/>
          <w:sz w:val="19"/>
          <w:szCs w:val="19"/>
        </w:rPr>
        <w:t>r</w:t>
      </w:r>
      <w:r w:rsidRPr="00A836BC">
        <w:rPr>
          <w:color w:val="000000" w:themeColor="text1"/>
          <w:sz w:val="19"/>
          <w:szCs w:val="19"/>
        </w:rPr>
        <w:t>esources</w:t>
      </w:r>
    </w:p>
    <w:p w14:paraId="42CCE51F" w14:textId="3333CFB7" w:rsidR="00D82494" w:rsidRPr="00A836BC" w:rsidRDefault="00D82494" w:rsidP="0020547B">
      <w:pPr>
        <w:pStyle w:val="Heading5"/>
        <w:spacing w:after="120"/>
        <w:rPr>
          <w:rFonts w:ascii="Arial" w:eastAsia="Times New Roman" w:hAnsi="Arial" w:cs="Arial"/>
          <w:b/>
          <w:color w:val="auto"/>
          <w:szCs w:val="19"/>
        </w:rPr>
      </w:pPr>
      <w:r w:rsidRPr="00A836BC">
        <w:rPr>
          <w:rFonts w:ascii="Arial" w:eastAsia="Times New Roman" w:hAnsi="Arial" w:cs="Arial"/>
          <w:b/>
          <w:color w:val="auto"/>
          <w:szCs w:val="19"/>
        </w:rPr>
        <w:t>Comprehensive Income Statement</w:t>
      </w:r>
    </w:p>
    <w:p w14:paraId="621953E3" w14:textId="77777777" w:rsidR="0020547B" w:rsidRDefault="00D82494" w:rsidP="00D82494">
      <w:r>
        <w:t>This statement illustrates the expected financial results for the NBA by identifying accrual expenses and revenues showing the net cost of services.</w:t>
      </w:r>
    </w:p>
    <w:p w14:paraId="274743B0" w14:textId="77777777" w:rsidR="0020547B" w:rsidRDefault="00D82494" w:rsidP="00D82494">
      <w:r>
        <w:t>The NBA’s operational costs are funded jointly by the Australian Government and state and territory governments on a 63%: 37% basis via annual contributions. All NBA receipts and payments are accounted for through special accounts.</w:t>
      </w:r>
    </w:p>
    <w:p w14:paraId="62C196D0" w14:textId="67CC64E3" w:rsidR="00D82494" w:rsidRDefault="00D82494" w:rsidP="00D82494">
      <w:r>
        <w:t>The income statement deficit in the Budget year and forward years is a result of the Government’s decision to no longer fund for depreciation via an operating appropriation.</w:t>
      </w:r>
    </w:p>
    <w:p w14:paraId="21268CB4" w14:textId="6D12028A" w:rsidR="00D82494" w:rsidRPr="00A836BC" w:rsidRDefault="00D82494" w:rsidP="0020547B">
      <w:pPr>
        <w:pStyle w:val="Heading5"/>
        <w:spacing w:after="120"/>
        <w:rPr>
          <w:rFonts w:ascii="Arial" w:eastAsia="Times New Roman" w:hAnsi="Arial" w:cs="Arial"/>
          <w:b/>
          <w:color w:val="auto"/>
          <w:szCs w:val="19"/>
        </w:rPr>
      </w:pPr>
      <w:r w:rsidRPr="00A836BC">
        <w:rPr>
          <w:rFonts w:ascii="Arial" w:eastAsia="Times New Roman" w:hAnsi="Arial" w:cs="Arial"/>
          <w:b/>
          <w:color w:val="auto"/>
          <w:szCs w:val="19"/>
        </w:rPr>
        <w:t>Balance Sheet</w:t>
      </w:r>
    </w:p>
    <w:p w14:paraId="676ED759" w14:textId="77777777" w:rsidR="00D82494" w:rsidRDefault="00D82494" w:rsidP="00D82494">
      <w:pPr>
        <w:rPr>
          <w:sz w:val="20"/>
        </w:rPr>
      </w:pPr>
      <w:r>
        <w:t>Special account accumulated funds are held within the Official Public Account and included as cash and cash equivalents in the Balance Sheet. The NBA always maintains sufficient accumulated funds to cover employee entitlements and other liabilities.</w:t>
      </w:r>
    </w:p>
    <w:p w14:paraId="54F39131" w14:textId="796BC651" w:rsidR="00D82494" w:rsidRPr="00A836BC" w:rsidRDefault="00D82494" w:rsidP="0020547B">
      <w:pPr>
        <w:pStyle w:val="Heading5"/>
        <w:spacing w:after="120"/>
        <w:rPr>
          <w:rFonts w:ascii="Arial" w:eastAsia="Times New Roman" w:hAnsi="Arial" w:cs="Arial"/>
          <w:b/>
          <w:color w:val="auto"/>
          <w:szCs w:val="19"/>
        </w:rPr>
      </w:pPr>
      <w:r w:rsidRPr="00A836BC">
        <w:rPr>
          <w:rFonts w:ascii="Arial" w:eastAsia="Times New Roman" w:hAnsi="Arial" w:cs="Arial"/>
          <w:b/>
          <w:color w:val="auto"/>
          <w:szCs w:val="19"/>
        </w:rPr>
        <w:t>Administered Resources</w:t>
      </w:r>
    </w:p>
    <w:p w14:paraId="296AE51F" w14:textId="77777777" w:rsidR="0020547B" w:rsidRDefault="00D82494" w:rsidP="00D82494">
      <w:pPr>
        <w:rPr>
          <w:rFonts w:ascii="Arial" w:hAnsi="Arial" w:cs="Arial"/>
          <w:i/>
          <w:color w:val="auto"/>
        </w:rPr>
      </w:pPr>
      <w:r w:rsidRPr="00D82494">
        <w:rPr>
          <w:rFonts w:ascii="Arial" w:hAnsi="Arial" w:cs="Arial"/>
          <w:i/>
          <w:color w:val="auto"/>
        </w:rPr>
        <w:t>Schedule of Budgeted Income and Expenses Administered on Behalf of Government</w:t>
      </w:r>
    </w:p>
    <w:p w14:paraId="29D22269" w14:textId="0D524D44" w:rsidR="00D82494" w:rsidRDefault="00D82494" w:rsidP="00D82494">
      <w:r>
        <w:t>The NBA’s administered accounts include contributions from all states and territories and the Australian Government for the supply of blood and blood related products for 2022–23. Each year, the NBA formulates the National Supply Plan and Budget, which is derived from demand estimates provided by the states and territories.</w:t>
      </w:r>
    </w:p>
    <w:p w14:paraId="2CD700E0" w14:textId="3F142BBA" w:rsidR="00D82494" w:rsidRPr="00D82494" w:rsidRDefault="00D82494" w:rsidP="00D82494">
      <w:pPr>
        <w:pStyle w:val="Heading6"/>
        <w:tabs>
          <w:tab w:val="left" w:pos="720"/>
        </w:tabs>
        <w:spacing w:after="240"/>
        <w:rPr>
          <w:rFonts w:ascii="Arial" w:eastAsia="Times New Roman" w:hAnsi="Arial" w:cs="Arial"/>
          <w:i/>
          <w:color w:val="auto"/>
        </w:rPr>
      </w:pPr>
      <w:r w:rsidRPr="00D82494">
        <w:rPr>
          <w:rFonts w:ascii="Arial" w:eastAsia="Times New Roman" w:hAnsi="Arial" w:cs="Arial"/>
          <w:i/>
          <w:color w:val="auto"/>
        </w:rPr>
        <w:t xml:space="preserve">Schedule of Budgeted </w:t>
      </w:r>
      <w:r>
        <w:rPr>
          <w:rFonts w:ascii="Arial" w:eastAsia="Times New Roman" w:hAnsi="Arial" w:cs="Arial"/>
          <w:i/>
          <w:color w:val="auto"/>
        </w:rPr>
        <w:t>Assets and Liabilities</w:t>
      </w:r>
      <w:r w:rsidRPr="00D82494">
        <w:rPr>
          <w:rFonts w:ascii="Arial" w:eastAsia="Times New Roman" w:hAnsi="Arial" w:cs="Arial"/>
          <w:i/>
          <w:color w:val="auto"/>
        </w:rPr>
        <w:t xml:space="preserve"> Administered on Behalf of Government</w:t>
      </w:r>
    </w:p>
    <w:p w14:paraId="71FB09F8" w14:textId="6AC23B8E" w:rsidR="00D82494" w:rsidRDefault="00D82494" w:rsidP="0020547B">
      <w:r>
        <w:t xml:space="preserve">The schedule of budgeted assets and liabilities administered on behalf of Government illustrates normal movements in non-financial assets and liabilities. Special account accumulated funds are held within the Official Public Account and included as Cash and cash equivalents in the Balance Sheet. The balance of Receivables represents GST payments made to suppliers which are recoverable from the Australian Taxation Office. </w:t>
      </w:r>
    </w:p>
    <w:p w14:paraId="46C8A542" w14:textId="563D5AE2" w:rsidR="005B4F4A" w:rsidRPr="00D55B3A" w:rsidRDefault="005B4F4A" w:rsidP="005B4F4A">
      <w:pPr>
        <w:rPr>
          <w:color w:val="000000" w:themeColor="text1"/>
        </w:rPr>
      </w:pPr>
      <w:r w:rsidRPr="00D55B3A">
        <w:rPr>
          <w:color w:val="000000" w:themeColor="text1"/>
        </w:rPr>
        <w:br w:type="page"/>
      </w:r>
    </w:p>
    <w:p w14:paraId="1A78B93C" w14:textId="2C9B7CD7" w:rsidR="00BC0659" w:rsidRPr="00D55B3A" w:rsidRDefault="00BC0659" w:rsidP="00F779C7">
      <w:pPr>
        <w:pStyle w:val="Heading3"/>
      </w:pPr>
      <w:bookmarkStart w:id="10" w:name="_Toc117407399"/>
      <w:r w:rsidRPr="00D55B3A">
        <w:lastRenderedPageBreak/>
        <w:t>3.2</w:t>
      </w:r>
      <w:r w:rsidRPr="00D55B3A">
        <w:tab/>
        <w:t xml:space="preserve">Budgeted </w:t>
      </w:r>
      <w:r w:rsidR="00884F73">
        <w:t>f</w:t>
      </w:r>
      <w:r w:rsidRPr="00D55B3A">
        <w:t xml:space="preserve">inancial </w:t>
      </w:r>
      <w:r w:rsidR="00884F73">
        <w:t>s</w:t>
      </w:r>
      <w:r w:rsidRPr="00D55B3A">
        <w:t xml:space="preserve">tatements </w:t>
      </w:r>
      <w:r w:rsidR="00884F73">
        <w:t>t</w:t>
      </w:r>
      <w:r w:rsidRPr="00D55B3A">
        <w:t>ables</w:t>
      </w:r>
      <w:bookmarkEnd w:id="10"/>
    </w:p>
    <w:p w14:paraId="6B315CA2" w14:textId="30D2EF61" w:rsidR="00884F73" w:rsidRDefault="00884F73" w:rsidP="0026049D">
      <w:pPr>
        <w:keepNext/>
        <w:spacing w:before="120"/>
        <w:rPr>
          <w:rFonts w:ascii="Arial" w:hAnsi="Arial"/>
          <w:b/>
          <w:snapToGrid w:val="0"/>
          <w:color w:val="auto"/>
          <w:sz w:val="20"/>
        </w:rPr>
      </w:pPr>
      <w:r w:rsidRPr="00884F73">
        <w:rPr>
          <w:rFonts w:ascii="Arial" w:hAnsi="Arial"/>
          <w:b/>
          <w:color w:val="auto"/>
          <w:sz w:val="20"/>
        </w:rPr>
        <w:t xml:space="preserve">Table 3.1: Comprehensive income statement (showing net cost of services) </w:t>
      </w:r>
      <w:r w:rsidRPr="00884F73">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5C72E9" w:rsidRPr="005C72E9" w14:paraId="6ED0FC9B" w14:textId="77777777" w:rsidTr="005C72E9">
        <w:trPr>
          <w:trHeight w:val="765"/>
        </w:trPr>
        <w:tc>
          <w:tcPr>
            <w:tcW w:w="2860" w:type="dxa"/>
            <w:tcBorders>
              <w:top w:val="single" w:sz="4" w:space="0" w:color="auto"/>
              <w:left w:val="nil"/>
              <w:bottom w:val="nil"/>
              <w:right w:val="nil"/>
            </w:tcBorders>
            <w:shd w:val="clear" w:color="auto" w:fill="auto"/>
            <w:tcMar>
              <w:left w:w="0" w:type="dxa"/>
            </w:tcMar>
            <w:hideMark/>
          </w:tcPr>
          <w:p w14:paraId="73BE1A67" w14:textId="77777777" w:rsidR="005C72E9" w:rsidRPr="005C72E9" w:rsidRDefault="005C72E9" w:rsidP="005C72E9">
            <w:pPr>
              <w:spacing w:before="40" w:after="0"/>
              <w:jc w:val="right"/>
              <w:rPr>
                <w:rFonts w:ascii="Arial" w:hAnsi="Arial" w:cs="Arial"/>
                <w:b/>
                <w:bCs/>
                <w:color w:val="auto"/>
                <w:sz w:val="16"/>
                <w:szCs w:val="16"/>
              </w:rPr>
            </w:pPr>
            <w:r w:rsidRPr="005C72E9">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F07DB8D" w14:textId="77777777" w:rsidR="005C72E9" w:rsidRPr="005C72E9" w:rsidRDefault="005C72E9" w:rsidP="005C72E9">
            <w:pPr>
              <w:spacing w:before="40" w:after="0"/>
              <w:jc w:val="right"/>
              <w:rPr>
                <w:rFonts w:ascii="Arial" w:hAnsi="Arial" w:cs="Arial"/>
                <w:b/>
                <w:bCs/>
                <w:color w:val="auto"/>
                <w:sz w:val="16"/>
                <w:szCs w:val="16"/>
              </w:rPr>
            </w:pPr>
            <w:r w:rsidRPr="005C72E9">
              <w:rPr>
                <w:rFonts w:ascii="Arial" w:hAnsi="Arial" w:cs="Arial"/>
                <w:b/>
                <w:bCs/>
                <w:color w:val="auto"/>
                <w:sz w:val="16"/>
                <w:szCs w:val="16"/>
              </w:rPr>
              <w:t>2021–22 Estimated actual</w:t>
            </w:r>
            <w:r w:rsidRPr="005C72E9">
              <w:rPr>
                <w:rFonts w:ascii="Arial" w:hAnsi="Arial" w:cs="Arial"/>
                <w:b/>
                <w:bCs/>
                <w:color w:val="auto"/>
                <w:sz w:val="16"/>
                <w:szCs w:val="16"/>
              </w:rPr>
              <w:br/>
            </w:r>
            <w:r w:rsidRPr="005C72E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4B7E9873" w14:textId="77777777" w:rsidR="005C72E9" w:rsidRPr="005C72E9" w:rsidRDefault="005C72E9" w:rsidP="005C72E9">
            <w:pPr>
              <w:spacing w:before="40" w:after="0"/>
              <w:jc w:val="right"/>
              <w:rPr>
                <w:rFonts w:ascii="Arial" w:hAnsi="Arial" w:cs="Arial"/>
                <w:b/>
                <w:bCs/>
                <w:color w:val="auto"/>
                <w:sz w:val="16"/>
                <w:szCs w:val="16"/>
              </w:rPr>
            </w:pPr>
            <w:r w:rsidRPr="005C72E9">
              <w:rPr>
                <w:rFonts w:ascii="Arial" w:hAnsi="Arial" w:cs="Arial"/>
                <w:b/>
                <w:bCs/>
                <w:color w:val="auto"/>
                <w:sz w:val="16"/>
                <w:szCs w:val="16"/>
              </w:rPr>
              <w:t xml:space="preserve">2022–23 Budget </w:t>
            </w:r>
            <w:r w:rsidRPr="005C72E9">
              <w:rPr>
                <w:rFonts w:ascii="Arial" w:hAnsi="Arial" w:cs="Arial"/>
                <w:b/>
                <w:bCs/>
                <w:color w:val="auto"/>
                <w:sz w:val="16"/>
                <w:szCs w:val="16"/>
              </w:rPr>
              <w:br/>
            </w:r>
            <w:r w:rsidRPr="005C72E9">
              <w:rPr>
                <w:rFonts w:ascii="Arial" w:hAnsi="Arial" w:cs="Arial"/>
                <w:b/>
                <w:bCs/>
                <w:color w:val="auto"/>
                <w:sz w:val="16"/>
                <w:szCs w:val="16"/>
              </w:rPr>
              <w:br/>
            </w:r>
            <w:r w:rsidRPr="005C72E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2AB40A7" w14:textId="77777777" w:rsidR="005C72E9" w:rsidRPr="005C72E9" w:rsidRDefault="005C72E9" w:rsidP="005C72E9">
            <w:pPr>
              <w:spacing w:before="40" w:after="0"/>
              <w:jc w:val="right"/>
              <w:rPr>
                <w:rFonts w:ascii="Arial" w:hAnsi="Arial" w:cs="Arial"/>
                <w:b/>
                <w:bCs/>
                <w:color w:val="auto"/>
                <w:sz w:val="16"/>
                <w:szCs w:val="16"/>
              </w:rPr>
            </w:pPr>
            <w:r w:rsidRPr="005C72E9">
              <w:rPr>
                <w:rFonts w:ascii="Arial" w:hAnsi="Arial" w:cs="Arial"/>
                <w:b/>
                <w:bCs/>
                <w:color w:val="auto"/>
                <w:sz w:val="16"/>
                <w:szCs w:val="16"/>
              </w:rPr>
              <w:t>2023–24 Forward estimate</w:t>
            </w:r>
            <w:r w:rsidRPr="005C72E9">
              <w:rPr>
                <w:rFonts w:ascii="Arial" w:hAnsi="Arial" w:cs="Arial"/>
                <w:b/>
                <w:bCs/>
                <w:color w:val="auto"/>
                <w:sz w:val="16"/>
                <w:szCs w:val="16"/>
              </w:rPr>
              <w:br/>
            </w:r>
            <w:r w:rsidRPr="005C72E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EDC2E72" w14:textId="77777777" w:rsidR="005C72E9" w:rsidRPr="005C72E9" w:rsidRDefault="005C72E9" w:rsidP="005C72E9">
            <w:pPr>
              <w:spacing w:before="40" w:after="0"/>
              <w:jc w:val="right"/>
              <w:rPr>
                <w:rFonts w:ascii="Arial" w:hAnsi="Arial" w:cs="Arial"/>
                <w:b/>
                <w:bCs/>
                <w:color w:val="auto"/>
                <w:sz w:val="16"/>
                <w:szCs w:val="16"/>
              </w:rPr>
            </w:pPr>
            <w:r w:rsidRPr="005C72E9">
              <w:rPr>
                <w:rFonts w:ascii="Arial" w:hAnsi="Arial" w:cs="Arial"/>
                <w:b/>
                <w:bCs/>
                <w:color w:val="auto"/>
                <w:sz w:val="16"/>
                <w:szCs w:val="16"/>
              </w:rPr>
              <w:t>2024–25 Forward estimate</w:t>
            </w:r>
            <w:r w:rsidRPr="005C72E9">
              <w:rPr>
                <w:rFonts w:ascii="Arial" w:hAnsi="Arial" w:cs="Arial"/>
                <w:b/>
                <w:bCs/>
                <w:color w:val="auto"/>
                <w:sz w:val="16"/>
                <w:szCs w:val="16"/>
              </w:rPr>
              <w:br/>
            </w:r>
            <w:r w:rsidRPr="005C72E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FEE94D8" w14:textId="77777777" w:rsidR="005C72E9" w:rsidRPr="005C72E9" w:rsidRDefault="005C72E9" w:rsidP="005C72E9">
            <w:pPr>
              <w:spacing w:before="40" w:after="0"/>
              <w:jc w:val="right"/>
              <w:rPr>
                <w:rFonts w:ascii="Arial" w:hAnsi="Arial" w:cs="Arial"/>
                <w:b/>
                <w:bCs/>
                <w:color w:val="auto"/>
                <w:sz w:val="16"/>
                <w:szCs w:val="16"/>
              </w:rPr>
            </w:pPr>
            <w:r w:rsidRPr="005C72E9">
              <w:rPr>
                <w:rFonts w:ascii="Arial" w:hAnsi="Arial" w:cs="Arial"/>
                <w:b/>
                <w:bCs/>
                <w:color w:val="auto"/>
                <w:sz w:val="16"/>
                <w:szCs w:val="16"/>
              </w:rPr>
              <w:t>2025–26 Forward estimate</w:t>
            </w:r>
            <w:r w:rsidRPr="005C72E9">
              <w:rPr>
                <w:rFonts w:ascii="Arial" w:hAnsi="Arial" w:cs="Arial"/>
                <w:b/>
                <w:bCs/>
                <w:color w:val="auto"/>
                <w:sz w:val="16"/>
                <w:szCs w:val="16"/>
              </w:rPr>
              <w:br/>
            </w:r>
            <w:r w:rsidRPr="005C72E9">
              <w:rPr>
                <w:rFonts w:ascii="Arial" w:hAnsi="Arial" w:cs="Arial"/>
                <w:color w:val="auto"/>
                <w:sz w:val="16"/>
                <w:szCs w:val="16"/>
              </w:rPr>
              <w:t>$'000</w:t>
            </w:r>
          </w:p>
        </w:tc>
      </w:tr>
      <w:tr w:rsidR="005C72E9" w:rsidRPr="005C72E9" w14:paraId="68C2E448" w14:textId="77777777" w:rsidTr="005C72E9">
        <w:trPr>
          <w:trHeight w:val="227"/>
        </w:trPr>
        <w:tc>
          <w:tcPr>
            <w:tcW w:w="2860" w:type="dxa"/>
            <w:tcBorders>
              <w:top w:val="nil"/>
              <w:left w:val="nil"/>
              <w:bottom w:val="nil"/>
              <w:right w:val="nil"/>
            </w:tcBorders>
            <w:shd w:val="clear" w:color="auto" w:fill="auto"/>
            <w:noWrap/>
            <w:vAlign w:val="bottom"/>
            <w:hideMark/>
          </w:tcPr>
          <w:p w14:paraId="6277B3DA"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253BA19E"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7BB3E1B1"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3EE64574"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23033A40"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4DDE6B30"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 </w:t>
            </w:r>
          </w:p>
        </w:tc>
      </w:tr>
      <w:tr w:rsidR="005C72E9" w:rsidRPr="005C72E9" w14:paraId="25D34462" w14:textId="77777777" w:rsidTr="005C72E9">
        <w:trPr>
          <w:trHeight w:val="227"/>
        </w:trPr>
        <w:tc>
          <w:tcPr>
            <w:tcW w:w="2860" w:type="dxa"/>
            <w:tcBorders>
              <w:top w:val="nil"/>
              <w:left w:val="nil"/>
              <w:bottom w:val="nil"/>
              <w:right w:val="nil"/>
            </w:tcBorders>
            <w:shd w:val="clear" w:color="auto" w:fill="auto"/>
            <w:noWrap/>
            <w:vAlign w:val="bottom"/>
            <w:hideMark/>
          </w:tcPr>
          <w:p w14:paraId="17BC81D0" w14:textId="77777777" w:rsidR="005C72E9" w:rsidRPr="005C72E9" w:rsidRDefault="005C72E9" w:rsidP="005C72E9">
            <w:pPr>
              <w:spacing w:after="0"/>
              <w:ind w:firstLineChars="100" w:firstLine="160"/>
              <w:rPr>
                <w:rFonts w:ascii="Arial" w:hAnsi="Arial" w:cs="Arial"/>
                <w:color w:val="auto"/>
                <w:sz w:val="16"/>
                <w:szCs w:val="16"/>
              </w:rPr>
            </w:pPr>
            <w:r w:rsidRPr="005C72E9">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35CCD25E"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7,683</w:t>
            </w:r>
          </w:p>
        </w:tc>
        <w:tc>
          <w:tcPr>
            <w:tcW w:w="900" w:type="dxa"/>
            <w:tcBorders>
              <w:top w:val="nil"/>
              <w:left w:val="nil"/>
              <w:bottom w:val="nil"/>
              <w:right w:val="nil"/>
            </w:tcBorders>
            <w:shd w:val="clear" w:color="000000" w:fill="D9D9D9"/>
            <w:noWrap/>
            <w:vAlign w:val="bottom"/>
            <w:hideMark/>
          </w:tcPr>
          <w:p w14:paraId="0DAF36C5"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6,498</w:t>
            </w:r>
          </w:p>
        </w:tc>
        <w:tc>
          <w:tcPr>
            <w:tcW w:w="900" w:type="dxa"/>
            <w:tcBorders>
              <w:top w:val="nil"/>
              <w:left w:val="nil"/>
              <w:bottom w:val="nil"/>
              <w:right w:val="nil"/>
            </w:tcBorders>
            <w:shd w:val="clear" w:color="auto" w:fill="auto"/>
            <w:noWrap/>
            <w:vAlign w:val="bottom"/>
            <w:hideMark/>
          </w:tcPr>
          <w:p w14:paraId="15D4D625"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6,886</w:t>
            </w:r>
          </w:p>
        </w:tc>
        <w:tc>
          <w:tcPr>
            <w:tcW w:w="900" w:type="dxa"/>
            <w:tcBorders>
              <w:top w:val="nil"/>
              <w:left w:val="nil"/>
              <w:bottom w:val="nil"/>
              <w:right w:val="nil"/>
            </w:tcBorders>
            <w:shd w:val="clear" w:color="auto" w:fill="auto"/>
            <w:noWrap/>
            <w:vAlign w:val="bottom"/>
            <w:hideMark/>
          </w:tcPr>
          <w:p w14:paraId="21281439"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6,886</w:t>
            </w:r>
          </w:p>
        </w:tc>
        <w:tc>
          <w:tcPr>
            <w:tcW w:w="900" w:type="dxa"/>
            <w:tcBorders>
              <w:top w:val="nil"/>
              <w:left w:val="nil"/>
              <w:bottom w:val="nil"/>
              <w:right w:val="nil"/>
            </w:tcBorders>
            <w:shd w:val="clear" w:color="auto" w:fill="auto"/>
            <w:noWrap/>
            <w:vAlign w:val="bottom"/>
            <w:hideMark/>
          </w:tcPr>
          <w:p w14:paraId="199C8CD3"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6,886</w:t>
            </w:r>
          </w:p>
        </w:tc>
      </w:tr>
      <w:tr w:rsidR="005C72E9" w:rsidRPr="005C72E9" w14:paraId="7FC17D5D" w14:textId="77777777" w:rsidTr="005C72E9">
        <w:trPr>
          <w:trHeight w:val="227"/>
        </w:trPr>
        <w:tc>
          <w:tcPr>
            <w:tcW w:w="2860" w:type="dxa"/>
            <w:tcBorders>
              <w:top w:val="nil"/>
              <w:left w:val="nil"/>
              <w:bottom w:val="nil"/>
              <w:right w:val="nil"/>
            </w:tcBorders>
            <w:shd w:val="clear" w:color="auto" w:fill="auto"/>
            <w:noWrap/>
            <w:vAlign w:val="bottom"/>
            <w:hideMark/>
          </w:tcPr>
          <w:p w14:paraId="34F33340" w14:textId="77777777" w:rsidR="005C72E9" w:rsidRPr="005C72E9" w:rsidRDefault="005C72E9" w:rsidP="005C72E9">
            <w:pPr>
              <w:spacing w:after="0"/>
              <w:ind w:firstLineChars="100" w:firstLine="160"/>
              <w:rPr>
                <w:rFonts w:ascii="Arial" w:hAnsi="Arial" w:cs="Arial"/>
                <w:color w:val="auto"/>
                <w:sz w:val="16"/>
                <w:szCs w:val="16"/>
              </w:rPr>
            </w:pPr>
            <w:r w:rsidRPr="005C72E9">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7101FB4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2,003</w:t>
            </w:r>
          </w:p>
        </w:tc>
        <w:tc>
          <w:tcPr>
            <w:tcW w:w="900" w:type="dxa"/>
            <w:tcBorders>
              <w:top w:val="nil"/>
              <w:left w:val="nil"/>
              <w:bottom w:val="nil"/>
              <w:right w:val="nil"/>
            </w:tcBorders>
            <w:shd w:val="clear" w:color="000000" w:fill="D9D9D9"/>
            <w:noWrap/>
            <w:vAlign w:val="bottom"/>
            <w:hideMark/>
          </w:tcPr>
          <w:p w14:paraId="7412F67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2,143</w:t>
            </w:r>
          </w:p>
        </w:tc>
        <w:tc>
          <w:tcPr>
            <w:tcW w:w="900" w:type="dxa"/>
            <w:tcBorders>
              <w:top w:val="nil"/>
              <w:left w:val="nil"/>
              <w:bottom w:val="nil"/>
              <w:right w:val="nil"/>
            </w:tcBorders>
            <w:shd w:val="clear" w:color="auto" w:fill="auto"/>
            <w:noWrap/>
            <w:vAlign w:val="bottom"/>
            <w:hideMark/>
          </w:tcPr>
          <w:p w14:paraId="16861B4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2,040</w:t>
            </w:r>
          </w:p>
        </w:tc>
        <w:tc>
          <w:tcPr>
            <w:tcW w:w="900" w:type="dxa"/>
            <w:tcBorders>
              <w:top w:val="nil"/>
              <w:left w:val="nil"/>
              <w:bottom w:val="nil"/>
              <w:right w:val="nil"/>
            </w:tcBorders>
            <w:shd w:val="clear" w:color="auto" w:fill="auto"/>
            <w:noWrap/>
            <w:vAlign w:val="bottom"/>
            <w:hideMark/>
          </w:tcPr>
          <w:p w14:paraId="31D264B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2,126</w:t>
            </w:r>
          </w:p>
        </w:tc>
        <w:tc>
          <w:tcPr>
            <w:tcW w:w="900" w:type="dxa"/>
            <w:tcBorders>
              <w:top w:val="nil"/>
              <w:left w:val="nil"/>
              <w:bottom w:val="nil"/>
              <w:right w:val="nil"/>
            </w:tcBorders>
            <w:shd w:val="clear" w:color="auto" w:fill="auto"/>
            <w:noWrap/>
            <w:vAlign w:val="bottom"/>
            <w:hideMark/>
          </w:tcPr>
          <w:p w14:paraId="6F6E911A"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2,028</w:t>
            </w:r>
          </w:p>
        </w:tc>
      </w:tr>
      <w:tr w:rsidR="005C72E9" w:rsidRPr="005C72E9" w14:paraId="667005D0" w14:textId="77777777" w:rsidTr="005C72E9">
        <w:trPr>
          <w:trHeight w:val="227"/>
        </w:trPr>
        <w:tc>
          <w:tcPr>
            <w:tcW w:w="2860" w:type="dxa"/>
            <w:tcBorders>
              <w:top w:val="nil"/>
              <w:left w:val="nil"/>
              <w:bottom w:val="nil"/>
              <w:right w:val="nil"/>
            </w:tcBorders>
            <w:shd w:val="clear" w:color="auto" w:fill="auto"/>
            <w:noWrap/>
            <w:vAlign w:val="bottom"/>
            <w:hideMark/>
          </w:tcPr>
          <w:p w14:paraId="3CF360C8" w14:textId="77777777" w:rsidR="005C72E9" w:rsidRPr="005C72E9" w:rsidRDefault="005C72E9" w:rsidP="005C72E9">
            <w:pPr>
              <w:spacing w:after="0"/>
              <w:ind w:firstLineChars="100" w:firstLine="160"/>
              <w:rPr>
                <w:rFonts w:ascii="Arial" w:hAnsi="Arial" w:cs="Arial"/>
                <w:color w:val="auto"/>
                <w:sz w:val="16"/>
                <w:szCs w:val="16"/>
              </w:rPr>
            </w:pPr>
            <w:r w:rsidRPr="005C72E9">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5FD4A635"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1,541</w:t>
            </w:r>
          </w:p>
        </w:tc>
        <w:tc>
          <w:tcPr>
            <w:tcW w:w="900" w:type="dxa"/>
            <w:tcBorders>
              <w:top w:val="nil"/>
              <w:left w:val="nil"/>
              <w:bottom w:val="nil"/>
              <w:right w:val="nil"/>
            </w:tcBorders>
            <w:shd w:val="clear" w:color="000000" w:fill="D9D9D9"/>
            <w:noWrap/>
            <w:vAlign w:val="bottom"/>
            <w:hideMark/>
          </w:tcPr>
          <w:p w14:paraId="7BF91904"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1,566</w:t>
            </w:r>
          </w:p>
        </w:tc>
        <w:tc>
          <w:tcPr>
            <w:tcW w:w="900" w:type="dxa"/>
            <w:tcBorders>
              <w:top w:val="nil"/>
              <w:left w:val="nil"/>
              <w:bottom w:val="nil"/>
              <w:right w:val="nil"/>
            </w:tcBorders>
            <w:shd w:val="clear" w:color="auto" w:fill="auto"/>
            <w:noWrap/>
            <w:vAlign w:val="bottom"/>
            <w:hideMark/>
          </w:tcPr>
          <w:p w14:paraId="1E419F86"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2,091</w:t>
            </w:r>
          </w:p>
        </w:tc>
        <w:tc>
          <w:tcPr>
            <w:tcW w:w="900" w:type="dxa"/>
            <w:tcBorders>
              <w:top w:val="nil"/>
              <w:left w:val="nil"/>
              <w:bottom w:val="nil"/>
              <w:right w:val="nil"/>
            </w:tcBorders>
            <w:shd w:val="clear" w:color="auto" w:fill="auto"/>
            <w:noWrap/>
            <w:vAlign w:val="bottom"/>
            <w:hideMark/>
          </w:tcPr>
          <w:p w14:paraId="56918EE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2,091</w:t>
            </w:r>
          </w:p>
        </w:tc>
        <w:tc>
          <w:tcPr>
            <w:tcW w:w="900" w:type="dxa"/>
            <w:tcBorders>
              <w:top w:val="nil"/>
              <w:left w:val="nil"/>
              <w:bottom w:val="nil"/>
              <w:right w:val="nil"/>
            </w:tcBorders>
            <w:shd w:val="clear" w:color="auto" w:fill="auto"/>
            <w:noWrap/>
            <w:vAlign w:val="bottom"/>
            <w:hideMark/>
          </w:tcPr>
          <w:p w14:paraId="292408B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2,091</w:t>
            </w:r>
          </w:p>
        </w:tc>
      </w:tr>
      <w:tr w:rsidR="005C72E9" w:rsidRPr="005C72E9" w14:paraId="2615CE80" w14:textId="77777777" w:rsidTr="005C72E9">
        <w:trPr>
          <w:trHeight w:val="227"/>
        </w:trPr>
        <w:tc>
          <w:tcPr>
            <w:tcW w:w="2860" w:type="dxa"/>
            <w:tcBorders>
              <w:top w:val="nil"/>
              <w:left w:val="nil"/>
              <w:bottom w:val="nil"/>
              <w:right w:val="nil"/>
            </w:tcBorders>
            <w:shd w:val="clear" w:color="auto" w:fill="auto"/>
            <w:noWrap/>
            <w:vAlign w:val="bottom"/>
            <w:hideMark/>
          </w:tcPr>
          <w:p w14:paraId="729BDD84" w14:textId="77777777" w:rsidR="005C72E9" w:rsidRPr="005C72E9" w:rsidRDefault="005C72E9" w:rsidP="005C72E9">
            <w:pPr>
              <w:spacing w:after="0"/>
              <w:ind w:firstLineChars="100" w:firstLine="160"/>
              <w:rPr>
                <w:rFonts w:ascii="Arial" w:hAnsi="Arial" w:cs="Arial"/>
                <w:color w:val="auto"/>
                <w:sz w:val="16"/>
                <w:szCs w:val="16"/>
              </w:rPr>
            </w:pPr>
            <w:r w:rsidRPr="005C72E9">
              <w:rPr>
                <w:rFonts w:ascii="Arial" w:hAnsi="Arial" w:cs="Arial"/>
                <w:color w:val="auto"/>
                <w:sz w:val="16"/>
                <w:szCs w:val="16"/>
              </w:rPr>
              <w:t xml:space="preserve">Interest on </w:t>
            </w:r>
            <w:proofErr w:type="spellStart"/>
            <w:r w:rsidRPr="005C72E9">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608E12C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8</w:t>
            </w:r>
          </w:p>
        </w:tc>
        <w:tc>
          <w:tcPr>
            <w:tcW w:w="900" w:type="dxa"/>
            <w:tcBorders>
              <w:top w:val="nil"/>
              <w:left w:val="nil"/>
              <w:bottom w:val="nil"/>
              <w:right w:val="nil"/>
            </w:tcBorders>
            <w:shd w:val="clear" w:color="000000" w:fill="D9D9D9"/>
            <w:noWrap/>
            <w:vAlign w:val="bottom"/>
            <w:hideMark/>
          </w:tcPr>
          <w:p w14:paraId="45743A6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w:t>
            </w:r>
          </w:p>
        </w:tc>
        <w:tc>
          <w:tcPr>
            <w:tcW w:w="900" w:type="dxa"/>
            <w:tcBorders>
              <w:top w:val="nil"/>
              <w:left w:val="nil"/>
              <w:bottom w:val="nil"/>
              <w:right w:val="nil"/>
            </w:tcBorders>
            <w:shd w:val="clear" w:color="auto" w:fill="auto"/>
            <w:noWrap/>
            <w:vAlign w:val="bottom"/>
            <w:hideMark/>
          </w:tcPr>
          <w:p w14:paraId="16F286C0"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w:t>
            </w:r>
          </w:p>
        </w:tc>
        <w:tc>
          <w:tcPr>
            <w:tcW w:w="900" w:type="dxa"/>
            <w:tcBorders>
              <w:top w:val="nil"/>
              <w:left w:val="nil"/>
              <w:bottom w:val="nil"/>
              <w:right w:val="nil"/>
            </w:tcBorders>
            <w:shd w:val="clear" w:color="auto" w:fill="auto"/>
            <w:noWrap/>
            <w:vAlign w:val="bottom"/>
            <w:hideMark/>
          </w:tcPr>
          <w:p w14:paraId="71281FBB"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w:t>
            </w:r>
          </w:p>
        </w:tc>
        <w:tc>
          <w:tcPr>
            <w:tcW w:w="900" w:type="dxa"/>
            <w:tcBorders>
              <w:top w:val="nil"/>
              <w:left w:val="nil"/>
              <w:bottom w:val="nil"/>
              <w:right w:val="nil"/>
            </w:tcBorders>
            <w:shd w:val="clear" w:color="auto" w:fill="auto"/>
            <w:noWrap/>
            <w:vAlign w:val="bottom"/>
            <w:hideMark/>
          </w:tcPr>
          <w:p w14:paraId="2B563AA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w:t>
            </w:r>
          </w:p>
        </w:tc>
      </w:tr>
      <w:tr w:rsidR="005C72E9" w:rsidRPr="005C72E9" w14:paraId="5F4B260B" w14:textId="77777777" w:rsidTr="005C72E9">
        <w:trPr>
          <w:trHeight w:val="227"/>
        </w:trPr>
        <w:tc>
          <w:tcPr>
            <w:tcW w:w="2860" w:type="dxa"/>
            <w:tcBorders>
              <w:top w:val="nil"/>
              <w:left w:val="nil"/>
              <w:bottom w:val="nil"/>
              <w:right w:val="nil"/>
            </w:tcBorders>
            <w:shd w:val="clear" w:color="auto" w:fill="auto"/>
            <w:noWrap/>
            <w:vAlign w:val="bottom"/>
            <w:hideMark/>
          </w:tcPr>
          <w:p w14:paraId="2D9FBB33" w14:textId="77777777" w:rsidR="005C72E9" w:rsidRPr="005C72E9" w:rsidRDefault="005C72E9" w:rsidP="005C72E9">
            <w:pPr>
              <w:spacing w:after="0"/>
              <w:ind w:firstLineChars="100" w:firstLine="160"/>
              <w:rPr>
                <w:rFonts w:ascii="Arial" w:hAnsi="Arial" w:cs="Arial"/>
                <w:color w:val="auto"/>
                <w:sz w:val="16"/>
                <w:szCs w:val="16"/>
              </w:rPr>
            </w:pPr>
            <w:r w:rsidRPr="005C72E9">
              <w:rPr>
                <w:rFonts w:ascii="Arial" w:hAnsi="Arial" w:cs="Arial"/>
                <w:color w:val="auto"/>
                <w:sz w:val="16"/>
                <w:szCs w:val="16"/>
              </w:rPr>
              <w:t>Finance costs</w:t>
            </w:r>
          </w:p>
        </w:tc>
        <w:tc>
          <w:tcPr>
            <w:tcW w:w="900" w:type="dxa"/>
            <w:tcBorders>
              <w:top w:val="nil"/>
              <w:left w:val="nil"/>
              <w:bottom w:val="nil"/>
              <w:right w:val="nil"/>
            </w:tcBorders>
            <w:shd w:val="clear" w:color="auto" w:fill="auto"/>
            <w:noWrap/>
            <w:vAlign w:val="bottom"/>
            <w:hideMark/>
          </w:tcPr>
          <w:p w14:paraId="63DD5DEE"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E695B76"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6AE69C33"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2C0344AB"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146E1C94"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w:t>
            </w:r>
          </w:p>
        </w:tc>
      </w:tr>
      <w:tr w:rsidR="005C72E9" w:rsidRPr="005C72E9" w14:paraId="6E72FB09" w14:textId="77777777" w:rsidTr="005C72E9">
        <w:trPr>
          <w:trHeight w:val="227"/>
        </w:trPr>
        <w:tc>
          <w:tcPr>
            <w:tcW w:w="2860" w:type="dxa"/>
            <w:tcBorders>
              <w:top w:val="nil"/>
              <w:left w:val="nil"/>
              <w:bottom w:val="nil"/>
              <w:right w:val="nil"/>
            </w:tcBorders>
            <w:shd w:val="clear" w:color="auto" w:fill="auto"/>
            <w:noWrap/>
            <w:vAlign w:val="bottom"/>
            <w:hideMark/>
          </w:tcPr>
          <w:p w14:paraId="60FF4A63" w14:textId="77777777" w:rsidR="005C72E9" w:rsidRPr="005C72E9" w:rsidRDefault="005C72E9" w:rsidP="005C72E9">
            <w:pPr>
              <w:spacing w:after="0"/>
              <w:ind w:firstLineChars="100" w:firstLine="160"/>
              <w:rPr>
                <w:rFonts w:ascii="Arial" w:hAnsi="Arial" w:cs="Arial"/>
                <w:color w:val="auto"/>
                <w:sz w:val="16"/>
                <w:szCs w:val="16"/>
              </w:rPr>
            </w:pPr>
            <w:r w:rsidRPr="005C72E9">
              <w:rPr>
                <w:rFonts w:ascii="Arial" w:hAnsi="Arial" w:cs="Arial"/>
                <w:color w:val="auto"/>
                <w:sz w:val="16"/>
                <w:szCs w:val="16"/>
              </w:rPr>
              <w:t>Loss on sale of assets</w:t>
            </w:r>
          </w:p>
        </w:tc>
        <w:tc>
          <w:tcPr>
            <w:tcW w:w="900" w:type="dxa"/>
            <w:tcBorders>
              <w:top w:val="nil"/>
              <w:left w:val="nil"/>
              <w:bottom w:val="nil"/>
              <w:right w:val="nil"/>
            </w:tcBorders>
            <w:shd w:val="clear" w:color="auto" w:fill="auto"/>
            <w:noWrap/>
            <w:vAlign w:val="bottom"/>
            <w:hideMark/>
          </w:tcPr>
          <w:p w14:paraId="3CD5A25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24</w:t>
            </w:r>
          </w:p>
        </w:tc>
        <w:tc>
          <w:tcPr>
            <w:tcW w:w="900" w:type="dxa"/>
            <w:tcBorders>
              <w:top w:val="nil"/>
              <w:left w:val="nil"/>
              <w:bottom w:val="nil"/>
              <w:right w:val="nil"/>
            </w:tcBorders>
            <w:shd w:val="clear" w:color="000000" w:fill="D9D9D9"/>
            <w:noWrap/>
            <w:vAlign w:val="bottom"/>
            <w:hideMark/>
          </w:tcPr>
          <w:p w14:paraId="6AC2A0E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7A48774"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DED4170"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1F4266C"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r>
      <w:tr w:rsidR="005C72E9" w:rsidRPr="005C72E9" w14:paraId="4309D004" w14:textId="77777777" w:rsidTr="005C72E9">
        <w:trPr>
          <w:trHeight w:val="227"/>
        </w:trPr>
        <w:tc>
          <w:tcPr>
            <w:tcW w:w="2860" w:type="dxa"/>
            <w:tcBorders>
              <w:top w:val="nil"/>
              <w:left w:val="nil"/>
              <w:bottom w:val="nil"/>
              <w:right w:val="nil"/>
            </w:tcBorders>
            <w:shd w:val="clear" w:color="auto" w:fill="auto"/>
            <w:noWrap/>
            <w:vAlign w:val="bottom"/>
            <w:hideMark/>
          </w:tcPr>
          <w:p w14:paraId="4C15877F" w14:textId="77777777" w:rsidR="005C72E9" w:rsidRPr="005C72E9" w:rsidRDefault="005C72E9" w:rsidP="005C72E9">
            <w:pPr>
              <w:spacing w:after="0"/>
              <w:ind w:firstLineChars="100" w:firstLine="160"/>
              <w:rPr>
                <w:rFonts w:ascii="Arial" w:hAnsi="Arial" w:cs="Arial"/>
                <w:b/>
                <w:bCs/>
                <w:color w:val="auto"/>
                <w:sz w:val="16"/>
                <w:szCs w:val="16"/>
              </w:rPr>
            </w:pPr>
            <w:r w:rsidRPr="005C72E9">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70FBFD7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11,259</w:t>
            </w:r>
          </w:p>
        </w:tc>
        <w:tc>
          <w:tcPr>
            <w:tcW w:w="900" w:type="dxa"/>
            <w:tcBorders>
              <w:top w:val="nil"/>
              <w:left w:val="nil"/>
              <w:bottom w:val="single" w:sz="4" w:space="0" w:color="auto"/>
              <w:right w:val="nil"/>
            </w:tcBorders>
            <w:shd w:val="clear" w:color="000000" w:fill="D9D9D9"/>
            <w:noWrap/>
            <w:vAlign w:val="bottom"/>
            <w:hideMark/>
          </w:tcPr>
          <w:p w14:paraId="0E37680B"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10,237</w:t>
            </w:r>
          </w:p>
        </w:tc>
        <w:tc>
          <w:tcPr>
            <w:tcW w:w="900" w:type="dxa"/>
            <w:tcBorders>
              <w:top w:val="nil"/>
              <w:left w:val="nil"/>
              <w:bottom w:val="single" w:sz="4" w:space="0" w:color="auto"/>
              <w:right w:val="nil"/>
            </w:tcBorders>
            <w:shd w:val="clear" w:color="auto" w:fill="auto"/>
            <w:noWrap/>
            <w:vAlign w:val="bottom"/>
            <w:hideMark/>
          </w:tcPr>
          <w:p w14:paraId="7E9F2F41"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11,047</w:t>
            </w:r>
          </w:p>
        </w:tc>
        <w:tc>
          <w:tcPr>
            <w:tcW w:w="900" w:type="dxa"/>
            <w:tcBorders>
              <w:top w:val="nil"/>
              <w:left w:val="nil"/>
              <w:bottom w:val="single" w:sz="4" w:space="0" w:color="auto"/>
              <w:right w:val="nil"/>
            </w:tcBorders>
            <w:shd w:val="clear" w:color="auto" w:fill="auto"/>
            <w:noWrap/>
            <w:vAlign w:val="bottom"/>
            <w:hideMark/>
          </w:tcPr>
          <w:p w14:paraId="3BE4D8D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11,133</w:t>
            </w:r>
          </w:p>
        </w:tc>
        <w:tc>
          <w:tcPr>
            <w:tcW w:w="900" w:type="dxa"/>
            <w:tcBorders>
              <w:top w:val="nil"/>
              <w:left w:val="nil"/>
              <w:bottom w:val="single" w:sz="4" w:space="0" w:color="auto"/>
              <w:right w:val="nil"/>
            </w:tcBorders>
            <w:shd w:val="clear" w:color="auto" w:fill="auto"/>
            <w:noWrap/>
            <w:vAlign w:val="bottom"/>
            <w:hideMark/>
          </w:tcPr>
          <w:p w14:paraId="555F45E9"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11,035</w:t>
            </w:r>
          </w:p>
        </w:tc>
      </w:tr>
      <w:tr w:rsidR="005C72E9" w:rsidRPr="005C72E9" w14:paraId="1879B523" w14:textId="77777777" w:rsidTr="005C72E9">
        <w:trPr>
          <w:trHeight w:val="227"/>
        </w:trPr>
        <w:tc>
          <w:tcPr>
            <w:tcW w:w="2860" w:type="dxa"/>
            <w:tcBorders>
              <w:top w:val="nil"/>
              <w:left w:val="nil"/>
              <w:bottom w:val="nil"/>
              <w:right w:val="nil"/>
            </w:tcBorders>
            <w:shd w:val="clear" w:color="auto" w:fill="auto"/>
            <w:noWrap/>
            <w:vAlign w:val="bottom"/>
            <w:hideMark/>
          </w:tcPr>
          <w:p w14:paraId="6A7DF128"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7C998536" w14:textId="77777777" w:rsidR="005C72E9" w:rsidRPr="005C72E9" w:rsidRDefault="005C72E9" w:rsidP="005C72E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8986839"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9E31311" w14:textId="77777777" w:rsidR="005C72E9" w:rsidRPr="005C72E9" w:rsidRDefault="005C72E9" w:rsidP="005C72E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75F7481" w14:textId="77777777" w:rsidR="005C72E9" w:rsidRPr="005C72E9" w:rsidRDefault="005C72E9" w:rsidP="005C72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405401F" w14:textId="77777777" w:rsidR="005C72E9" w:rsidRPr="005C72E9" w:rsidRDefault="005C72E9" w:rsidP="005C72E9">
            <w:pPr>
              <w:spacing w:after="0"/>
              <w:jc w:val="right"/>
              <w:rPr>
                <w:rFonts w:ascii="Times New Roman" w:hAnsi="Times New Roman"/>
                <w:color w:val="auto"/>
                <w:sz w:val="20"/>
              </w:rPr>
            </w:pPr>
          </w:p>
        </w:tc>
      </w:tr>
      <w:tr w:rsidR="005C72E9" w:rsidRPr="005C72E9" w14:paraId="024DDD8D" w14:textId="77777777" w:rsidTr="005C72E9">
        <w:trPr>
          <w:trHeight w:val="227"/>
        </w:trPr>
        <w:tc>
          <w:tcPr>
            <w:tcW w:w="2860" w:type="dxa"/>
            <w:tcBorders>
              <w:top w:val="nil"/>
              <w:left w:val="nil"/>
              <w:bottom w:val="nil"/>
              <w:right w:val="nil"/>
            </w:tcBorders>
            <w:shd w:val="clear" w:color="auto" w:fill="auto"/>
            <w:noWrap/>
            <w:vAlign w:val="bottom"/>
            <w:hideMark/>
          </w:tcPr>
          <w:p w14:paraId="1026CB52"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3B52C6D5" w14:textId="77777777" w:rsidR="005C72E9" w:rsidRPr="005C72E9" w:rsidRDefault="005C72E9" w:rsidP="005C72E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1A29C23"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64CE4DA" w14:textId="77777777" w:rsidR="005C72E9" w:rsidRPr="005C72E9" w:rsidRDefault="005C72E9" w:rsidP="005C72E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EF435AB" w14:textId="77777777" w:rsidR="005C72E9" w:rsidRPr="005C72E9" w:rsidRDefault="005C72E9" w:rsidP="005C72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9BBBCFD" w14:textId="77777777" w:rsidR="005C72E9" w:rsidRPr="005C72E9" w:rsidRDefault="005C72E9" w:rsidP="005C72E9">
            <w:pPr>
              <w:spacing w:after="0"/>
              <w:jc w:val="right"/>
              <w:rPr>
                <w:rFonts w:ascii="Times New Roman" w:hAnsi="Times New Roman"/>
                <w:color w:val="auto"/>
                <w:sz w:val="20"/>
              </w:rPr>
            </w:pPr>
          </w:p>
        </w:tc>
      </w:tr>
      <w:tr w:rsidR="005C72E9" w:rsidRPr="005C72E9" w14:paraId="5CC4C7E2" w14:textId="77777777" w:rsidTr="005C72E9">
        <w:trPr>
          <w:trHeight w:val="227"/>
        </w:trPr>
        <w:tc>
          <w:tcPr>
            <w:tcW w:w="2860" w:type="dxa"/>
            <w:tcBorders>
              <w:top w:val="nil"/>
              <w:left w:val="nil"/>
              <w:bottom w:val="nil"/>
              <w:right w:val="nil"/>
            </w:tcBorders>
            <w:shd w:val="clear" w:color="auto" w:fill="auto"/>
            <w:noWrap/>
            <w:vAlign w:val="bottom"/>
            <w:hideMark/>
          </w:tcPr>
          <w:p w14:paraId="00392113" w14:textId="77777777" w:rsidR="005C72E9" w:rsidRPr="005C72E9" w:rsidRDefault="005C72E9" w:rsidP="005C72E9">
            <w:pPr>
              <w:spacing w:after="0"/>
              <w:ind w:firstLineChars="100" w:firstLine="160"/>
              <w:rPr>
                <w:rFonts w:ascii="Arial" w:hAnsi="Arial" w:cs="Arial"/>
                <w:b/>
                <w:bCs/>
                <w:color w:val="auto"/>
                <w:sz w:val="16"/>
                <w:szCs w:val="16"/>
              </w:rPr>
            </w:pPr>
            <w:r w:rsidRPr="005C72E9">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AB687E2" w14:textId="77777777" w:rsidR="005C72E9" w:rsidRPr="005C72E9" w:rsidRDefault="005C72E9" w:rsidP="005C72E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787B97F"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CE402E4" w14:textId="77777777" w:rsidR="005C72E9" w:rsidRPr="005C72E9" w:rsidRDefault="005C72E9" w:rsidP="005C72E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24FE928" w14:textId="77777777" w:rsidR="005C72E9" w:rsidRPr="005C72E9" w:rsidRDefault="005C72E9" w:rsidP="005C72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EB04E9D" w14:textId="77777777" w:rsidR="005C72E9" w:rsidRPr="005C72E9" w:rsidRDefault="005C72E9" w:rsidP="005C72E9">
            <w:pPr>
              <w:spacing w:after="0"/>
              <w:jc w:val="right"/>
              <w:rPr>
                <w:rFonts w:ascii="Times New Roman" w:hAnsi="Times New Roman"/>
                <w:color w:val="auto"/>
                <w:sz w:val="20"/>
              </w:rPr>
            </w:pPr>
          </w:p>
        </w:tc>
      </w:tr>
      <w:tr w:rsidR="005C72E9" w:rsidRPr="005C72E9" w14:paraId="234B12BF" w14:textId="77777777" w:rsidTr="005C72E9">
        <w:trPr>
          <w:trHeight w:val="227"/>
        </w:trPr>
        <w:tc>
          <w:tcPr>
            <w:tcW w:w="2860" w:type="dxa"/>
            <w:tcBorders>
              <w:top w:val="nil"/>
              <w:left w:val="nil"/>
              <w:bottom w:val="nil"/>
              <w:right w:val="nil"/>
            </w:tcBorders>
            <w:shd w:val="clear" w:color="auto" w:fill="auto"/>
            <w:vAlign w:val="bottom"/>
            <w:hideMark/>
          </w:tcPr>
          <w:p w14:paraId="04351AB2" w14:textId="77777777" w:rsidR="005C72E9" w:rsidRPr="005C72E9" w:rsidRDefault="005C72E9" w:rsidP="005C72E9">
            <w:pPr>
              <w:spacing w:after="0"/>
              <w:ind w:leftChars="150" w:left="285"/>
              <w:rPr>
                <w:rFonts w:ascii="Arial" w:hAnsi="Arial" w:cs="Arial"/>
                <w:color w:val="auto"/>
                <w:sz w:val="16"/>
                <w:szCs w:val="16"/>
              </w:rPr>
            </w:pPr>
            <w:r w:rsidRPr="005C72E9">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044DE03B"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255</w:t>
            </w:r>
          </w:p>
        </w:tc>
        <w:tc>
          <w:tcPr>
            <w:tcW w:w="900" w:type="dxa"/>
            <w:tcBorders>
              <w:top w:val="nil"/>
              <w:left w:val="nil"/>
              <w:bottom w:val="nil"/>
              <w:right w:val="nil"/>
            </w:tcBorders>
            <w:shd w:val="clear" w:color="000000" w:fill="D9D9D9"/>
            <w:noWrap/>
            <w:vAlign w:val="bottom"/>
            <w:hideMark/>
          </w:tcPr>
          <w:p w14:paraId="3A9FE870"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23A4E296"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07955C6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0807837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r>
      <w:tr w:rsidR="005C72E9" w:rsidRPr="005C72E9" w14:paraId="0BCDA66E" w14:textId="77777777" w:rsidTr="005C72E9">
        <w:trPr>
          <w:trHeight w:val="227"/>
        </w:trPr>
        <w:tc>
          <w:tcPr>
            <w:tcW w:w="2860" w:type="dxa"/>
            <w:tcBorders>
              <w:top w:val="nil"/>
              <w:left w:val="nil"/>
              <w:bottom w:val="nil"/>
              <w:right w:val="nil"/>
            </w:tcBorders>
            <w:shd w:val="clear" w:color="auto" w:fill="auto"/>
            <w:noWrap/>
            <w:vAlign w:val="bottom"/>
            <w:hideMark/>
          </w:tcPr>
          <w:p w14:paraId="121AEACD" w14:textId="77777777" w:rsidR="005C72E9" w:rsidRPr="005C72E9" w:rsidRDefault="005C72E9" w:rsidP="005C72E9">
            <w:pPr>
              <w:spacing w:after="0"/>
              <w:ind w:leftChars="150" w:left="285"/>
              <w:rPr>
                <w:rFonts w:ascii="Arial" w:hAnsi="Arial" w:cs="Arial"/>
                <w:color w:val="auto"/>
                <w:sz w:val="16"/>
                <w:szCs w:val="16"/>
              </w:rPr>
            </w:pPr>
            <w:r w:rsidRPr="005C72E9">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2DAE83E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4,710</w:t>
            </w:r>
          </w:p>
        </w:tc>
        <w:tc>
          <w:tcPr>
            <w:tcW w:w="900" w:type="dxa"/>
            <w:tcBorders>
              <w:top w:val="nil"/>
              <w:left w:val="nil"/>
              <w:bottom w:val="nil"/>
              <w:right w:val="nil"/>
            </w:tcBorders>
            <w:shd w:val="clear" w:color="000000" w:fill="D9D9D9"/>
            <w:noWrap/>
            <w:vAlign w:val="bottom"/>
            <w:hideMark/>
          </w:tcPr>
          <w:p w14:paraId="1B070F0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3,656</w:t>
            </w:r>
          </w:p>
        </w:tc>
        <w:tc>
          <w:tcPr>
            <w:tcW w:w="900" w:type="dxa"/>
            <w:tcBorders>
              <w:top w:val="nil"/>
              <w:left w:val="nil"/>
              <w:bottom w:val="nil"/>
              <w:right w:val="nil"/>
            </w:tcBorders>
            <w:shd w:val="clear" w:color="auto" w:fill="auto"/>
            <w:noWrap/>
            <w:vAlign w:val="bottom"/>
            <w:hideMark/>
          </w:tcPr>
          <w:p w14:paraId="78D979A1"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3,755</w:t>
            </w:r>
          </w:p>
        </w:tc>
        <w:tc>
          <w:tcPr>
            <w:tcW w:w="900" w:type="dxa"/>
            <w:tcBorders>
              <w:top w:val="nil"/>
              <w:left w:val="nil"/>
              <w:bottom w:val="nil"/>
              <w:right w:val="nil"/>
            </w:tcBorders>
            <w:shd w:val="clear" w:color="auto" w:fill="auto"/>
            <w:noWrap/>
            <w:vAlign w:val="bottom"/>
            <w:hideMark/>
          </w:tcPr>
          <w:p w14:paraId="4A1C04C2"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3,773</w:t>
            </w:r>
          </w:p>
        </w:tc>
        <w:tc>
          <w:tcPr>
            <w:tcW w:w="900" w:type="dxa"/>
            <w:tcBorders>
              <w:top w:val="nil"/>
              <w:left w:val="nil"/>
              <w:bottom w:val="nil"/>
              <w:right w:val="nil"/>
            </w:tcBorders>
            <w:shd w:val="clear" w:color="auto" w:fill="auto"/>
            <w:noWrap/>
            <w:vAlign w:val="bottom"/>
            <w:hideMark/>
          </w:tcPr>
          <w:p w14:paraId="2FEF564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3,867</w:t>
            </w:r>
          </w:p>
        </w:tc>
      </w:tr>
      <w:tr w:rsidR="005C72E9" w:rsidRPr="005C72E9" w14:paraId="24A51532" w14:textId="77777777" w:rsidTr="005C72E9">
        <w:trPr>
          <w:trHeight w:val="227"/>
        </w:trPr>
        <w:tc>
          <w:tcPr>
            <w:tcW w:w="2860" w:type="dxa"/>
            <w:tcBorders>
              <w:top w:val="nil"/>
              <w:left w:val="nil"/>
              <w:bottom w:val="nil"/>
              <w:right w:val="nil"/>
            </w:tcBorders>
            <w:shd w:val="clear" w:color="auto" w:fill="auto"/>
            <w:noWrap/>
            <w:vAlign w:val="bottom"/>
            <w:hideMark/>
          </w:tcPr>
          <w:p w14:paraId="6B768C1F" w14:textId="77777777" w:rsidR="005C72E9" w:rsidRPr="005C72E9" w:rsidRDefault="005C72E9" w:rsidP="005C72E9">
            <w:pPr>
              <w:spacing w:after="0"/>
              <w:ind w:leftChars="150" w:left="285"/>
              <w:rPr>
                <w:rFonts w:ascii="Arial" w:hAnsi="Arial" w:cs="Arial"/>
                <w:b/>
                <w:bCs/>
                <w:color w:val="auto"/>
                <w:sz w:val="16"/>
                <w:szCs w:val="16"/>
              </w:rPr>
            </w:pPr>
            <w:r w:rsidRPr="005C72E9">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3DEA6A03"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4,965</w:t>
            </w:r>
          </w:p>
        </w:tc>
        <w:tc>
          <w:tcPr>
            <w:tcW w:w="900" w:type="dxa"/>
            <w:tcBorders>
              <w:top w:val="nil"/>
              <w:left w:val="nil"/>
              <w:bottom w:val="single" w:sz="4" w:space="0" w:color="auto"/>
              <w:right w:val="nil"/>
            </w:tcBorders>
            <w:shd w:val="clear" w:color="000000" w:fill="D9D9D9"/>
            <w:noWrap/>
            <w:vAlign w:val="bottom"/>
            <w:hideMark/>
          </w:tcPr>
          <w:p w14:paraId="64F1CC87"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3,906</w:t>
            </w:r>
          </w:p>
        </w:tc>
        <w:tc>
          <w:tcPr>
            <w:tcW w:w="900" w:type="dxa"/>
            <w:tcBorders>
              <w:top w:val="nil"/>
              <w:left w:val="nil"/>
              <w:bottom w:val="single" w:sz="4" w:space="0" w:color="auto"/>
              <w:right w:val="nil"/>
            </w:tcBorders>
            <w:shd w:val="clear" w:color="auto" w:fill="auto"/>
            <w:noWrap/>
            <w:vAlign w:val="bottom"/>
            <w:hideMark/>
          </w:tcPr>
          <w:p w14:paraId="2B40564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4,005</w:t>
            </w:r>
          </w:p>
        </w:tc>
        <w:tc>
          <w:tcPr>
            <w:tcW w:w="900" w:type="dxa"/>
            <w:tcBorders>
              <w:top w:val="nil"/>
              <w:left w:val="nil"/>
              <w:bottom w:val="single" w:sz="4" w:space="0" w:color="auto"/>
              <w:right w:val="nil"/>
            </w:tcBorders>
            <w:shd w:val="clear" w:color="auto" w:fill="auto"/>
            <w:noWrap/>
            <w:vAlign w:val="bottom"/>
            <w:hideMark/>
          </w:tcPr>
          <w:p w14:paraId="5E3A7F3D"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4,023</w:t>
            </w:r>
          </w:p>
        </w:tc>
        <w:tc>
          <w:tcPr>
            <w:tcW w:w="900" w:type="dxa"/>
            <w:tcBorders>
              <w:top w:val="nil"/>
              <w:left w:val="nil"/>
              <w:bottom w:val="single" w:sz="4" w:space="0" w:color="auto"/>
              <w:right w:val="nil"/>
            </w:tcBorders>
            <w:shd w:val="clear" w:color="auto" w:fill="auto"/>
            <w:noWrap/>
            <w:vAlign w:val="bottom"/>
            <w:hideMark/>
          </w:tcPr>
          <w:p w14:paraId="05302FC4"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3,867</w:t>
            </w:r>
          </w:p>
        </w:tc>
      </w:tr>
      <w:tr w:rsidR="005C72E9" w:rsidRPr="005C72E9" w14:paraId="0C4532F8" w14:textId="77777777" w:rsidTr="005C72E9">
        <w:trPr>
          <w:trHeight w:val="227"/>
        </w:trPr>
        <w:tc>
          <w:tcPr>
            <w:tcW w:w="2860" w:type="dxa"/>
            <w:tcBorders>
              <w:top w:val="nil"/>
              <w:left w:val="nil"/>
              <w:bottom w:val="nil"/>
              <w:right w:val="nil"/>
            </w:tcBorders>
            <w:shd w:val="clear" w:color="auto" w:fill="auto"/>
            <w:noWrap/>
            <w:vAlign w:val="bottom"/>
            <w:hideMark/>
          </w:tcPr>
          <w:p w14:paraId="6C2AF255" w14:textId="77777777" w:rsidR="005C72E9" w:rsidRPr="005C72E9" w:rsidRDefault="005C72E9" w:rsidP="005C72E9">
            <w:pPr>
              <w:spacing w:after="0"/>
              <w:ind w:firstLineChars="100" w:firstLine="160"/>
              <w:rPr>
                <w:rFonts w:ascii="Arial" w:hAnsi="Arial" w:cs="Arial"/>
                <w:b/>
                <w:bCs/>
                <w:color w:val="auto"/>
                <w:sz w:val="16"/>
                <w:szCs w:val="16"/>
              </w:rPr>
            </w:pPr>
            <w:r w:rsidRPr="005C72E9">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69F988C" w14:textId="77777777" w:rsidR="005C72E9" w:rsidRPr="005C72E9" w:rsidRDefault="005C72E9" w:rsidP="005C72E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3ABFB7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7DADE72" w14:textId="77777777" w:rsidR="005C72E9" w:rsidRPr="005C72E9" w:rsidRDefault="005C72E9" w:rsidP="005C72E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2948991" w14:textId="77777777" w:rsidR="005C72E9" w:rsidRPr="005C72E9" w:rsidRDefault="005C72E9" w:rsidP="005C72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76E4475" w14:textId="77777777" w:rsidR="005C72E9" w:rsidRPr="005C72E9" w:rsidRDefault="005C72E9" w:rsidP="005C72E9">
            <w:pPr>
              <w:spacing w:after="0"/>
              <w:jc w:val="right"/>
              <w:rPr>
                <w:rFonts w:ascii="Times New Roman" w:hAnsi="Times New Roman"/>
                <w:color w:val="auto"/>
                <w:sz w:val="20"/>
              </w:rPr>
            </w:pPr>
          </w:p>
        </w:tc>
      </w:tr>
      <w:tr w:rsidR="005C72E9" w:rsidRPr="005C72E9" w14:paraId="72E4333F" w14:textId="77777777" w:rsidTr="005C72E9">
        <w:trPr>
          <w:trHeight w:val="227"/>
        </w:trPr>
        <w:tc>
          <w:tcPr>
            <w:tcW w:w="2860" w:type="dxa"/>
            <w:tcBorders>
              <w:top w:val="nil"/>
              <w:left w:val="nil"/>
              <w:bottom w:val="nil"/>
              <w:right w:val="nil"/>
            </w:tcBorders>
            <w:shd w:val="clear" w:color="auto" w:fill="auto"/>
            <w:noWrap/>
            <w:vAlign w:val="bottom"/>
            <w:hideMark/>
          </w:tcPr>
          <w:p w14:paraId="55C10E3D" w14:textId="77777777" w:rsidR="005C72E9" w:rsidRPr="005C72E9" w:rsidRDefault="005C72E9" w:rsidP="005C72E9">
            <w:pPr>
              <w:spacing w:after="0"/>
              <w:ind w:leftChars="150" w:left="285"/>
              <w:rPr>
                <w:rFonts w:ascii="Arial" w:hAnsi="Arial" w:cs="Arial"/>
                <w:color w:val="auto"/>
                <w:sz w:val="16"/>
                <w:szCs w:val="16"/>
              </w:rPr>
            </w:pPr>
            <w:r w:rsidRPr="005C72E9">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6A4C1233"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66</w:t>
            </w:r>
          </w:p>
        </w:tc>
        <w:tc>
          <w:tcPr>
            <w:tcW w:w="900" w:type="dxa"/>
            <w:tcBorders>
              <w:top w:val="nil"/>
              <w:left w:val="nil"/>
              <w:bottom w:val="nil"/>
              <w:right w:val="nil"/>
            </w:tcBorders>
            <w:shd w:val="clear" w:color="000000" w:fill="D9D9D9"/>
            <w:noWrap/>
            <w:vAlign w:val="bottom"/>
            <w:hideMark/>
          </w:tcPr>
          <w:p w14:paraId="036318C8"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0BBA5380"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06221AB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656871D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66</w:t>
            </w:r>
          </w:p>
        </w:tc>
      </w:tr>
      <w:tr w:rsidR="005C72E9" w:rsidRPr="005C72E9" w14:paraId="63A2B2C2" w14:textId="77777777" w:rsidTr="005C72E9">
        <w:trPr>
          <w:trHeight w:val="227"/>
        </w:trPr>
        <w:tc>
          <w:tcPr>
            <w:tcW w:w="2860" w:type="dxa"/>
            <w:tcBorders>
              <w:top w:val="nil"/>
              <w:left w:val="nil"/>
              <w:bottom w:val="nil"/>
              <w:right w:val="nil"/>
            </w:tcBorders>
            <w:shd w:val="clear" w:color="auto" w:fill="auto"/>
            <w:noWrap/>
            <w:vAlign w:val="bottom"/>
            <w:hideMark/>
          </w:tcPr>
          <w:p w14:paraId="378EF88A" w14:textId="77777777" w:rsidR="005C72E9" w:rsidRPr="005C72E9" w:rsidRDefault="005C72E9" w:rsidP="005C72E9">
            <w:pPr>
              <w:spacing w:after="0"/>
              <w:ind w:leftChars="150" w:left="285"/>
              <w:rPr>
                <w:rFonts w:ascii="Arial" w:hAnsi="Arial" w:cs="Arial"/>
                <w:b/>
                <w:bCs/>
                <w:color w:val="auto"/>
                <w:sz w:val="16"/>
                <w:szCs w:val="16"/>
              </w:rPr>
            </w:pPr>
            <w:r w:rsidRPr="005C72E9">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02E19B5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66</w:t>
            </w:r>
          </w:p>
        </w:tc>
        <w:tc>
          <w:tcPr>
            <w:tcW w:w="900" w:type="dxa"/>
            <w:tcBorders>
              <w:top w:val="nil"/>
              <w:left w:val="nil"/>
              <w:bottom w:val="single" w:sz="4" w:space="0" w:color="auto"/>
              <w:right w:val="nil"/>
            </w:tcBorders>
            <w:shd w:val="clear" w:color="000000" w:fill="D9D9D9"/>
            <w:noWrap/>
            <w:vAlign w:val="bottom"/>
            <w:hideMark/>
          </w:tcPr>
          <w:p w14:paraId="2410AD2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2ECF5729"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634F8DE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7E03676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66</w:t>
            </w:r>
          </w:p>
        </w:tc>
      </w:tr>
      <w:tr w:rsidR="005C72E9" w:rsidRPr="005C72E9" w14:paraId="1A064141" w14:textId="77777777" w:rsidTr="005C72E9">
        <w:trPr>
          <w:trHeight w:val="227"/>
        </w:trPr>
        <w:tc>
          <w:tcPr>
            <w:tcW w:w="2860" w:type="dxa"/>
            <w:tcBorders>
              <w:top w:val="nil"/>
              <w:left w:val="nil"/>
              <w:bottom w:val="nil"/>
              <w:right w:val="nil"/>
            </w:tcBorders>
            <w:shd w:val="clear" w:color="auto" w:fill="auto"/>
            <w:noWrap/>
            <w:vAlign w:val="bottom"/>
            <w:hideMark/>
          </w:tcPr>
          <w:p w14:paraId="73B09C4F" w14:textId="77777777" w:rsidR="005C72E9" w:rsidRPr="005C72E9" w:rsidRDefault="005C72E9" w:rsidP="005C72E9">
            <w:pPr>
              <w:spacing w:after="0"/>
              <w:ind w:firstLineChars="100" w:firstLine="160"/>
              <w:rPr>
                <w:rFonts w:ascii="Arial" w:hAnsi="Arial" w:cs="Arial"/>
                <w:b/>
                <w:bCs/>
                <w:color w:val="auto"/>
                <w:sz w:val="16"/>
                <w:szCs w:val="16"/>
              </w:rPr>
            </w:pPr>
            <w:r w:rsidRPr="005C72E9">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596968C0"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5,031</w:t>
            </w:r>
          </w:p>
        </w:tc>
        <w:tc>
          <w:tcPr>
            <w:tcW w:w="900" w:type="dxa"/>
            <w:tcBorders>
              <w:top w:val="nil"/>
              <w:left w:val="nil"/>
              <w:bottom w:val="single" w:sz="4" w:space="0" w:color="auto"/>
              <w:right w:val="nil"/>
            </w:tcBorders>
            <w:shd w:val="clear" w:color="000000" w:fill="D9D9D9"/>
            <w:noWrap/>
            <w:vAlign w:val="bottom"/>
            <w:hideMark/>
          </w:tcPr>
          <w:p w14:paraId="3BE476E0"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3,972</w:t>
            </w:r>
          </w:p>
        </w:tc>
        <w:tc>
          <w:tcPr>
            <w:tcW w:w="900" w:type="dxa"/>
            <w:tcBorders>
              <w:top w:val="nil"/>
              <w:left w:val="nil"/>
              <w:bottom w:val="single" w:sz="4" w:space="0" w:color="auto"/>
              <w:right w:val="nil"/>
            </w:tcBorders>
            <w:shd w:val="clear" w:color="auto" w:fill="auto"/>
            <w:noWrap/>
            <w:vAlign w:val="bottom"/>
            <w:hideMark/>
          </w:tcPr>
          <w:p w14:paraId="46B1432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4,071</w:t>
            </w:r>
          </w:p>
        </w:tc>
        <w:tc>
          <w:tcPr>
            <w:tcW w:w="900" w:type="dxa"/>
            <w:tcBorders>
              <w:top w:val="nil"/>
              <w:left w:val="nil"/>
              <w:bottom w:val="single" w:sz="4" w:space="0" w:color="auto"/>
              <w:right w:val="nil"/>
            </w:tcBorders>
            <w:shd w:val="clear" w:color="auto" w:fill="auto"/>
            <w:noWrap/>
            <w:vAlign w:val="bottom"/>
            <w:hideMark/>
          </w:tcPr>
          <w:p w14:paraId="1969BF21"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4,089</w:t>
            </w:r>
          </w:p>
        </w:tc>
        <w:tc>
          <w:tcPr>
            <w:tcW w:w="900" w:type="dxa"/>
            <w:tcBorders>
              <w:top w:val="nil"/>
              <w:left w:val="nil"/>
              <w:bottom w:val="single" w:sz="4" w:space="0" w:color="auto"/>
              <w:right w:val="nil"/>
            </w:tcBorders>
            <w:shd w:val="clear" w:color="auto" w:fill="auto"/>
            <w:noWrap/>
            <w:vAlign w:val="bottom"/>
            <w:hideMark/>
          </w:tcPr>
          <w:p w14:paraId="08D622EB"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3,933</w:t>
            </w:r>
          </w:p>
        </w:tc>
      </w:tr>
      <w:tr w:rsidR="005C72E9" w:rsidRPr="005C72E9" w14:paraId="0CE33545" w14:textId="77777777" w:rsidTr="005C72E9">
        <w:trPr>
          <w:trHeight w:val="227"/>
        </w:trPr>
        <w:tc>
          <w:tcPr>
            <w:tcW w:w="2860" w:type="dxa"/>
            <w:tcBorders>
              <w:top w:val="nil"/>
              <w:left w:val="nil"/>
              <w:bottom w:val="nil"/>
              <w:right w:val="nil"/>
            </w:tcBorders>
            <w:shd w:val="clear" w:color="auto" w:fill="auto"/>
            <w:vAlign w:val="bottom"/>
            <w:hideMark/>
          </w:tcPr>
          <w:p w14:paraId="7D0210B5"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5347F580"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6,228</w:t>
            </w:r>
          </w:p>
        </w:tc>
        <w:tc>
          <w:tcPr>
            <w:tcW w:w="900" w:type="dxa"/>
            <w:tcBorders>
              <w:top w:val="nil"/>
              <w:left w:val="nil"/>
              <w:bottom w:val="single" w:sz="4" w:space="0" w:color="auto"/>
              <w:right w:val="nil"/>
            </w:tcBorders>
            <w:shd w:val="clear" w:color="000000" w:fill="D9D9D9"/>
            <w:noWrap/>
            <w:vAlign w:val="bottom"/>
            <w:hideMark/>
          </w:tcPr>
          <w:p w14:paraId="0AA2122F"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6,265</w:t>
            </w:r>
          </w:p>
        </w:tc>
        <w:tc>
          <w:tcPr>
            <w:tcW w:w="900" w:type="dxa"/>
            <w:tcBorders>
              <w:top w:val="nil"/>
              <w:left w:val="nil"/>
              <w:bottom w:val="single" w:sz="4" w:space="0" w:color="auto"/>
              <w:right w:val="nil"/>
            </w:tcBorders>
            <w:shd w:val="clear" w:color="auto" w:fill="auto"/>
            <w:noWrap/>
            <w:vAlign w:val="bottom"/>
            <w:hideMark/>
          </w:tcPr>
          <w:p w14:paraId="06A0510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6,976</w:t>
            </w:r>
          </w:p>
        </w:tc>
        <w:tc>
          <w:tcPr>
            <w:tcW w:w="900" w:type="dxa"/>
            <w:tcBorders>
              <w:top w:val="nil"/>
              <w:left w:val="nil"/>
              <w:bottom w:val="single" w:sz="4" w:space="0" w:color="auto"/>
              <w:right w:val="nil"/>
            </w:tcBorders>
            <w:shd w:val="clear" w:color="auto" w:fill="auto"/>
            <w:noWrap/>
            <w:vAlign w:val="bottom"/>
            <w:hideMark/>
          </w:tcPr>
          <w:p w14:paraId="4F50EC48"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7,044</w:t>
            </w:r>
          </w:p>
        </w:tc>
        <w:tc>
          <w:tcPr>
            <w:tcW w:w="900" w:type="dxa"/>
            <w:tcBorders>
              <w:top w:val="nil"/>
              <w:left w:val="nil"/>
              <w:bottom w:val="single" w:sz="4" w:space="0" w:color="auto"/>
              <w:right w:val="nil"/>
            </w:tcBorders>
            <w:shd w:val="clear" w:color="auto" w:fill="auto"/>
            <w:noWrap/>
            <w:vAlign w:val="bottom"/>
            <w:hideMark/>
          </w:tcPr>
          <w:p w14:paraId="6E855A39"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7,102</w:t>
            </w:r>
          </w:p>
        </w:tc>
      </w:tr>
      <w:tr w:rsidR="005C72E9" w:rsidRPr="005C72E9" w14:paraId="60B5ED84" w14:textId="77777777" w:rsidTr="005C72E9">
        <w:trPr>
          <w:trHeight w:val="227"/>
        </w:trPr>
        <w:tc>
          <w:tcPr>
            <w:tcW w:w="2860" w:type="dxa"/>
            <w:tcBorders>
              <w:top w:val="nil"/>
              <w:left w:val="nil"/>
              <w:bottom w:val="nil"/>
              <w:right w:val="nil"/>
            </w:tcBorders>
            <w:shd w:val="clear" w:color="auto" w:fill="auto"/>
            <w:noWrap/>
            <w:vAlign w:val="bottom"/>
            <w:hideMark/>
          </w:tcPr>
          <w:p w14:paraId="037F5596" w14:textId="77777777" w:rsidR="005C72E9" w:rsidRPr="005C72E9" w:rsidRDefault="005C72E9" w:rsidP="005C72E9">
            <w:pPr>
              <w:spacing w:after="0"/>
              <w:ind w:firstLineChars="100" w:firstLine="160"/>
              <w:rPr>
                <w:rFonts w:ascii="Arial" w:hAnsi="Arial" w:cs="Arial"/>
                <w:color w:val="auto"/>
                <w:sz w:val="16"/>
                <w:szCs w:val="16"/>
              </w:rPr>
            </w:pPr>
            <w:r w:rsidRPr="005C72E9">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470313D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5,513</w:t>
            </w:r>
          </w:p>
        </w:tc>
        <w:tc>
          <w:tcPr>
            <w:tcW w:w="900" w:type="dxa"/>
            <w:tcBorders>
              <w:top w:val="nil"/>
              <w:left w:val="nil"/>
              <w:bottom w:val="nil"/>
              <w:right w:val="nil"/>
            </w:tcBorders>
            <w:shd w:val="clear" w:color="000000" w:fill="D9D9D9"/>
            <w:noWrap/>
            <w:vAlign w:val="bottom"/>
            <w:hideMark/>
          </w:tcPr>
          <w:p w14:paraId="5C1CE95C"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5,479</w:t>
            </w:r>
          </w:p>
        </w:tc>
        <w:tc>
          <w:tcPr>
            <w:tcW w:w="900" w:type="dxa"/>
            <w:tcBorders>
              <w:top w:val="nil"/>
              <w:left w:val="nil"/>
              <w:bottom w:val="nil"/>
              <w:right w:val="nil"/>
            </w:tcBorders>
            <w:shd w:val="clear" w:color="auto" w:fill="auto"/>
            <w:noWrap/>
            <w:vAlign w:val="bottom"/>
            <w:hideMark/>
          </w:tcPr>
          <w:p w14:paraId="5C31487C"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5,718</w:t>
            </w:r>
          </w:p>
        </w:tc>
        <w:tc>
          <w:tcPr>
            <w:tcW w:w="900" w:type="dxa"/>
            <w:tcBorders>
              <w:top w:val="nil"/>
              <w:left w:val="nil"/>
              <w:bottom w:val="nil"/>
              <w:right w:val="nil"/>
            </w:tcBorders>
            <w:shd w:val="clear" w:color="auto" w:fill="auto"/>
            <w:noWrap/>
            <w:vAlign w:val="bottom"/>
            <w:hideMark/>
          </w:tcPr>
          <w:p w14:paraId="69B6A39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5,786</w:t>
            </w:r>
          </w:p>
        </w:tc>
        <w:tc>
          <w:tcPr>
            <w:tcW w:w="900" w:type="dxa"/>
            <w:tcBorders>
              <w:top w:val="nil"/>
              <w:left w:val="nil"/>
              <w:bottom w:val="nil"/>
              <w:right w:val="nil"/>
            </w:tcBorders>
            <w:shd w:val="clear" w:color="auto" w:fill="auto"/>
            <w:noWrap/>
            <w:vAlign w:val="bottom"/>
            <w:hideMark/>
          </w:tcPr>
          <w:p w14:paraId="1EAFFE27"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5,844</w:t>
            </w:r>
          </w:p>
        </w:tc>
      </w:tr>
      <w:tr w:rsidR="005C72E9" w:rsidRPr="005C72E9" w14:paraId="36D39256" w14:textId="77777777" w:rsidTr="005C72E9">
        <w:trPr>
          <w:trHeight w:val="227"/>
        </w:trPr>
        <w:tc>
          <w:tcPr>
            <w:tcW w:w="2860" w:type="dxa"/>
            <w:tcBorders>
              <w:top w:val="nil"/>
              <w:left w:val="nil"/>
              <w:bottom w:val="nil"/>
              <w:right w:val="nil"/>
            </w:tcBorders>
            <w:shd w:val="clear" w:color="auto" w:fill="auto"/>
            <w:noWrap/>
            <w:vAlign w:val="bottom"/>
            <w:hideMark/>
          </w:tcPr>
          <w:p w14:paraId="3E65C881"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61C9D7C0"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(715)</w:t>
            </w:r>
          </w:p>
        </w:tc>
        <w:tc>
          <w:tcPr>
            <w:tcW w:w="900" w:type="dxa"/>
            <w:tcBorders>
              <w:top w:val="nil"/>
              <w:left w:val="nil"/>
              <w:bottom w:val="single" w:sz="4" w:space="0" w:color="auto"/>
              <w:right w:val="nil"/>
            </w:tcBorders>
            <w:shd w:val="clear" w:color="000000" w:fill="D9D9D9"/>
            <w:noWrap/>
            <w:vAlign w:val="bottom"/>
            <w:hideMark/>
          </w:tcPr>
          <w:p w14:paraId="1766C741"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(786)</w:t>
            </w:r>
          </w:p>
        </w:tc>
        <w:tc>
          <w:tcPr>
            <w:tcW w:w="900" w:type="dxa"/>
            <w:tcBorders>
              <w:top w:val="nil"/>
              <w:left w:val="nil"/>
              <w:bottom w:val="single" w:sz="4" w:space="0" w:color="auto"/>
              <w:right w:val="nil"/>
            </w:tcBorders>
            <w:shd w:val="clear" w:color="auto" w:fill="auto"/>
            <w:noWrap/>
            <w:vAlign w:val="bottom"/>
            <w:hideMark/>
          </w:tcPr>
          <w:p w14:paraId="5CF6CEAB"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03636FF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18CACAD2"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r>
      <w:tr w:rsidR="005C72E9" w:rsidRPr="005C72E9" w14:paraId="5D0DB9EB" w14:textId="77777777" w:rsidTr="005C72E9">
        <w:trPr>
          <w:trHeight w:val="227"/>
        </w:trPr>
        <w:tc>
          <w:tcPr>
            <w:tcW w:w="2860" w:type="dxa"/>
            <w:tcBorders>
              <w:top w:val="nil"/>
              <w:left w:val="nil"/>
              <w:bottom w:val="nil"/>
              <w:right w:val="nil"/>
            </w:tcBorders>
            <w:shd w:val="clear" w:color="auto" w:fill="auto"/>
            <w:vAlign w:val="bottom"/>
            <w:hideMark/>
          </w:tcPr>
          <w:p w14:paraId="6DA1C1FC"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19BCB18"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(715)</w:t>
            </w:r>
          </w:p>
        </w:tc>
        <w:tc>
          <w:tcPr>
            <w:tcW w:w="900" w:type="dxa"/>
            <w:tcBorders>
              <w:top w:val="nil"/>
              <w:left w:val="nil"/>
              <w:bottom w:val="single" w:sz="4" w:space="0" w:color="auto"/>
              <w:right w:val="nil"/>
            </w:tcBorders>
            <w:shd w:val="clear" w:color="000000" w:fill="D9D9D9"/>
            <w:noWrap/>
            <w:vAlign w:val="bottom"/>
            <w:hideMark/>
          </w:tcPr>
          <w:p w14:paraId="00CB3CF3"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(786)</w:t>
            </w:r>
          </w:p>
        </w:tc>
        <w:tc>
          <w:tcPr>
            <w:tcW w:w="900" w:type="dxa"/>
            <w:tcBorders>
              <w:top w:val="nil"/>
              <w:left w:val="nil"/>
              <w:bottom w:val="single" w:sz="4" w:space="0" w:color="auto"/>
              <w:right w:val="nil"/>
            </w:tcBorders>
            <w:shd w:val="clear" w:color="auto" w:fill="auto"/>
            <w:noWrap/>
            <w:vAlign w:val="bottom"/>
            <w:hideMark/>
          </w:tcPr>
          <w:p w14:paraId="0FEDF90B"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3777C868"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094FFF9C"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r>
      <w:tr w:rsidR="005C72E9" w:rsidRPr="005C72E9" w14:paraId="471A9A6A" w14:textId="77777777" w:rsidTr="005C72E9">
        <w:trPr>
          <w:trHeight w:val="227"/>
        </w:trPr>
        <w:tc>
          <w:tcPr>
            <w:tcW w:w="2860" w:type="dxa"/>
            <w:tcBorders>
              <w:top w:val="nil"/>
              <w:left w:val="nil"/>
              <w:bottom w:val="nil"/>
              <w:right w:val="nil"/>
            </w:tcBorders>
            <w:shd w:val="clear" w:color="auto" w:fill="auto"/>
            <w:noWrap/>
            <w:vAlign w:val="bottom"/>
            <w:hideMark/>
          </w:tcPr>
          <w:p w14:paraId="72A259B0"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5957B5AA" w14:textId="77777777" w:rsidR="005C72E9" w:rsidRPr="005C72E9" w:rsidRDefault="005C72E9" w:rsidP="005C72E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4E116FF"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A3BFF1E" w14:textId="77777777" w:rsidR="005C72E9" w:rsidRPr="005C72E9" w:rsidRDefault="005C72E9" w:rsidP="005C72E9">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AB6EA82" w14:textId="77777777" w:rsidR="005C72E9" w:rsidRPr="005C72E9" w:rsidRDefault="005C72E9" w:rsidP="005C72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64F3114" w14:textId="77777777" w:rsidR="005C72E9" w:rsidRPr="005C72E9" w:rsidRDefault="005C72E9" w:rsidP="005C72E9">
            <w:pPr>
              <w:spacing w:after="0"/>
              <w:jc w:val="right"/>
              <w:rPr>
                <w:rFonts w:ascii="Times New Roman" w:hAnsi="Times New Roman"/>
                <w:color w:val="auto"/>
                <w:sz w:val="20"/>
              </w:rPr>
            </w:pPr>
          </w:p>
        </w:tc>
      </w:tr>
      <w:tr w:rsidR="005C72E9" w:rsidRPr="005C72E9" w14:paraId="0B54C29F" w14:textId="77777777" w:rsidTr="005C72E9">
        <w:trPr>
          <w:trHeight w:val="227"/>
        </w:trPr>
        <w:tc>
          <w:tcPr>
            <w:tcW w:w="2860" w:type="dxa"/>
            <w:tcBorders>
              <w:top w:val="nil"/>
              <w:left w:val="nil"/>
              <w:bottom w:val="nil"/>
              <w:right w:val="nil"/>
            </w:tcBorders>
            <w:shd w:val="clear" w:color="auto" w:fill="auto"/>
            <w:vAlign w:val="bottom"/>
            <w:hideMark/>
          </w:tcPr>
          <w:p w14:paraId="62A2BFA7" w14:textId="77777777" w:rsidR="005C72E9" w:rsidRPr="005C72E9" w:rsidRDefault="005C72E9" w:rsidP="005C72E9">
            <w:pPr>
              <w:spacing w:after="0"/>
              <w:ind w:leftChars="75" w:left="143"/>
              <w:rPr>
                <w:rFonts w:ascii="Arial" w:hAnsi="Arial" w:cs="Arial"/>
                <w:color w:val="auto"/>
                <w:sz w:val="16"/>
                <w:szCs w:val="16"/>
              </w:rPr>
            </w:pPr>
            <w:r w:rsidRPr="005C72E9">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189F6022"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537B27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4C78A2E"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60CCA98"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3C518CA"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w:t>
            </w:r>
          </w:p>
        </w:tc>
      </w:tr>
      <w:tr w:rsidR="005C72E9" w:rsidRPr="005C72E9" w14:paraId="11F9AA3B" w14:textId="77777777" w:rsidTr="005C72E9">
        <w:trPr>
          <w:trHeight w:val="227"/>
        </w:trPr>
        <w:tc>
          <w:tcPr>
            <w:tcW w:w="2860" w:type="dxa"/>
            <w:tcBorders>
              <w:top w:val="nil"/>
              <w:left w:val="nil"/>
              <w:bottom w:val="nil"/>
              <w:right w:val="nil"/>
            </w:tcBorders>
            <w:shd w:val="clear" w:color="auto" w:fill="auto"/>
            <w:vAlign w:val="bottom"/>
            <w:hideMark/>
          </w:tcPr>
          <w:p w14:paraId="4DBAFAF1" w14:textId="77777777" w:rsidR="005C72E9" w:rsidRPr="005C72E9" w:rsidRDefault="005C72E9" w:rsidP="005C72E9">
            <w:pPr>
              <w:spacing w:after="0"/>
              <w:ind w:leftChars="75" w:left="143"/>
              <w:rPr>
                <w:rFonts w:ascii="Arial" w:hAnsi="Arial" w:cs="Arial"/>
                <w:b/>
                <w:bCs/>
                <w:color w:val="auto"/>
                <w:sz w:val="16"/>
                <w:szCs w:val="16"/>
              </w:rPr>
            </w:pPr>
            <w:r w:rsidRPr="005C72E9">
              <w:rPr>
                <w:rFonts w:ascii="Arial" w:hAnsi="Arial" w:cs="Arial"/>
                <w:b/>
                <w:bCs/>
                <w:color w:val="auto"/>
                <w:sz w:val="16"/>
                <w:szCs w:val="16"/>
              </w:rPr>
              <w:t xml:space="preserve">Total other comprehensive income </w:t>
            </w:r>
          </w:p>
        </w:tc>
        <w:tc>
          <w:tcPr>
            <w:tcW w:w="900" w:type="dxa"/>
            <w:tcBorders>
              <w:top w:val="nil"/>
              <w:left w:val="nil"/>
              <w:bottom w:val="single" w:sz="4" w:space="0" w:color="auto"/>
              <w:right w:val="nil"/>
            </w:tcBorders>
            <w:shd w:val="clear" w:color="auto" w:fill="auto"/>
            <w:noWrap/>
            <w:vAlign w:val="bottom"/>
            <w:hideMark/>
          </w:tcPr>
          <w:p w14:paraId="1939DDB3"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BFACFF4"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00898C2"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4D93181"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B4CF25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r>
      <w:tr w:rsidR="005C72E9" w:rsidRPr="005C72E9" w14:paraId="0AEBC633" w14:textId="77777777" w:rsidTr="005C72E9">
        <w:trPr>
          <w:trHeight w:val="227"/>
        </w:trPr>
        <w:tc>
          <w:tcPr>
            <w:tcW w:w="2860" w:type="dxa"/>
            <w:tcBorders>
              <w:top w:val="nil"/>
              <w:left w:val="nil"/>
              <w:bottom w:val="single" w:sz="4" w:space="0" w:color="auto"/>
              <w:right w:val="nil"/>
            </w:tcBorders>
            <w:shd w:val="clear" w:color="auto" w:fill="auto"/>
            <w:vAlign w:val="bottom"/>
            <w:hideMark/>
          </w:tcPr>
          <w:p w14:paraId="32045CDF"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C6B9CC4"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(715)</w:t>
            </w:r>
          </w:p>
        </w:tc>
        <w:tc>
          <w:tcPr>
            <w:tcW w:w="900" w:type="dxa"/>
            <w:tcBorders>
              <w:top w:val="nil"/>
              <w:left w:val="nil"/>
              <w:bottom w:val="single" w:sz="4" w:space="0" w:color="auto"/>
              <w:right w:val="nil"/>
            </w:tcBorders>
            <w:shd w:val="clear" w:color="000000" w:fill="D9D9D9"/>
            <w:noWrap/>
            <w:vAlign w:val="bottom"/>
            <w:hideMark/>
          </w:tcPr>
          <w:p w14:paraId="776A0F8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(786)</w:t>
            </w:r>
          </w:p>
        </w:tc>
        <w:tc>
          <w:tcPr>
            <w:tcW w:w="900" w:type="dxa"/>
            <w:tcBorders>
              <w:top w:val="nil"/>
              <w:left w:val="nil"/>
              <w:bottom w:val="single" w:sz="4" w:space="0" w:color="auto"/>
              <w:right w:val="nil"/>
            </w:tcBorders>
            <w:shd w:val="clear" w:color="auto" w:fill="auto"/>
            <w:noWrap/>
            <w:vAlign w:val="bottom"/>
            <w:hideMark/>
          </w:tcPr>
          <w:p w14:paraId="3AE27F7E"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1E41C95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5CD5A36F"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r>
      <w:tr w:rsidR="005C72E9" w:rsidRPr="005C72E9" w14:paraId="5E42F49F" w14:textId="77777777" w:rsidTr="005C72E9">
        <w:trPr>
          <w:trHeight w:val="227"/>
        </w:trPr>
        <w:tc>
          <w:tcPr>
            <w:tcW w:w="6460" w:type="dxa"/>
            <w:gridSpan w:val="5"/>
            <w:tcBorders>
              <w:top w:val="nil"/>
              <w:left w:val="nil"/>
              <w:bottom w:val="single" w:sz="4" w:space="0" w:color="auto"/>
              <w:right w:val="nil"/>
            </w:tcBorders>
            <w:shd w:val="clear" w:color="auto" w:fill="auto"/>
            <w:noWrap/>
            <w:vAlign w:val="bottom"/>
            <w:hideMark/>
          </w:tcPr>
          <w:p w14:paraId="3737E27D" w14:textId="77777777" w:rsidR="005C72E9" w:rsidRPr="005C72E9" w:rsidRDefault="005C72E9" w:rsidP="005C72E9">
            <w:pPr>
              <w:spacing w:before="120" w:after="0"/>
              <w:rPr>
                <w:rFonts w:ascii="Arial" w:hAnsi="Arial" w:cs="Arial"/>
                <w:b/>
                <w:bCs/>
                <w:color w:val="auto"/>
                <w:sz w:val="16"/>
                <w:szCs w:val="16"/>
              </w:rPr>
            </w:pPr>
            <w:r w:rsidRPr="005C72E9">
              <w:rPr>
                <w:rFonts w:ascii="Arial" w:hAnsi="Arial" w:cs="Arial"/>
                <w:b/>
                <w:bCs/>
                <w:color w:val="auto"/>
                <w:sz w:val="16"/>
                <w:szCs w:val="16"/>
              </w:rPr>
              <w:t>Note: Reconciliation of comprehensive income attributable to the agency</w:t>
            </w:r>
          </w:p>
        </w:tc>
        <w:tc>
          <w:tcPr>
            <w:tcW w:w="900" w:type="dxa"/>
            <w:tcBorders>
              <w:top w:val="nil"/>
              <w:left w:val="nil"/>
              <w:bottom w:val="single" w:sz="4" w:space="0" w:color="auto"/>
              <w:right w:val="nil"/>
            </w:tcBorders>
            <w:shd w:val="clear" w:color="auto" w:fill="auto"/>
            <w:noWrap/>
            <w:vAlign w:val="bottom"/>
            <w:hideMark/>
          </w:tcPr>
          <w:p w14:paraId="75F8A0E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 </w:t>
            </w:r>
          </w:p>
        </w:tc>
      </w:tr>
      <w:tr w:rsidR="005C72E9" w:rsidRPr="005C72E9" w14:paraId="71C6C0D0" w14:textId="77777777" w:rsidTr="005C72E9">
        <w:trPr>
          <w:trHeight w:val="227"/>
        </w:trPr>
        <w:tc>
          <w:tcPr>
            <w:tcW w:w="2860" w:type="dxa"/>
            <w:tcBorders>
              <w:top w:val="nil"/>
              <w:left w:val="nil"/>
              <w:bottom w:val="nil"/>
              <w:right w:val="nil"/>
            </w:tcBorders>
            <w:shd w:val="clear" w:color="auto" w:fill="auto"/>
            <w:vAlign w:val="bottom"/>
            <w:hideMark/>
          </w:tcPr>
          <w:p w14:paraId="49AF6515" w14:textId="77777777" w:rsidR="005C72E9" w:rsidRPr="005C72E9" w:rsidRDefault="005C72E9" w:rsidP="005C72E9">
            <w:pPr>
              <w:spacing w:after="0"/>
              <w:jc w:val="right"/>
              <w:rPr>
                <w:rFonts w:ascii="Arial" w:hAnsi="Arial" w:cs="Arial"/>
                <w:color w:val="auto"/>
                <w:sz w:val="16"/>
                <w:szCs w:val="16"/>
              </w:rPr>
            </w:pPr>
          </w:p>
        </w:tc>
        <w:tc>
          <w:tcPr>
            <w:tcW w:w="900" w:type="dxa"/>
            <w:tcBorders>
              <w:top w:val="nil"/>
              <w:left w:val="nil"/>
              <w:bottom w:val="single" w:sz="4" w:space="0" w:color="auto"/>
              <w:right w:val="nil"/>
            </w:tcBorders>
            <w:shd w:val="clear" w:color="auto" w:fill="auto"/>
            <w:vAlign w:val="bottom"/>
            <w:hideMark/>
          </w:tcPr>
          <w:p w14:paraId="68C5B0FE"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xml:space="preserve">2021–22 </w:t>
            </w:r>
            <w:r w:rsidRPr="005C72E9">
              <w:rPr>
                <w:rFonts w:ascii="Arial" w:hAnsi="Arial" w:cs="Arial"/>
                <w:color w:val="auto"/>
                <w:sz w:val="16"/>
                <w:szCs w:val="16"/>
              </w:rPr>
              <w:t>$'000</w:t>
            </w:r>
          </w:p>
        </w:tc>
        <w:tc>
          <w:tcPr>
            <w:tcW w:w="900" w:type="dxa"/>
            <w:tcBorders>
              <w:top w:val="nil"/>
              <w:left w:val="nil"/>
              <w:bottom w:val="single" w:sz="4" w:space="0" w:color="auto"/>
              <w:right w:val="nil"/>
            </w:tcBorders>
            <w:shd w:val="clear" w:color="000000" w:fill="D9D9D9"/>
            <w:vAlign w:val="bottom"/>
            <w:hideMark/>
          </w:tcPr>
          <w:p w14:paraId="0323DC5D"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xml:space="preserve">2022–23 </w:t>
            </w:r>
            <w:r w:rsidRPr="005C72E9">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vAlign w:val="bottom"/>
            <w:hideMark/>
          </w:tcPr>
          <w:p w14:paraId="11C99855"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2023–24</w:t>
            </w:r>
            <w:r w:rsidRPr="005C72E9">
              <w:rPr>
                <w:rFonts w:ascii="Arial" w:hAnsi="Arial" w:cs="Arial"/>
                <w:color w:val="auto"/>
                <w:sz w:val="16"/>
                <w:szCs w:val="16"/>
              </w:rPr>
              <w:t xml:space="preserve"> $'000</w:t>
            </w:r>
          </w:p>
        </w:tc>
        <w:tc>
          <w:tcPr>
            <w:tcW w:w="900" w:type="dxa"/>
            <w:tcBorders>
              <w:top w:val="nil"/>
              <w:left w:val="nil"/>
              <w:bottom w:val="single" w:sz="4" w:space="0" w:color="auto"/>
              <w:right w:val="nil"/>
            </w:tcBorders>
            <w:shd w:val="clear" w:color="auto" w:fill="auto"/>
            <w:vAlign w:val="bottom"/>
            <w:hideMark/>
          </w:tcPr>
          <w:p w14:paraId="7DE59F5D"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xml:space="preserve">2024–25 </w:t>
            </w:r>
            <w:r w:rsidRPr="005C72E9">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vAlign w:val="bottom"/>
            <w:hideMark/>
          </w:tcPr>
          <w:p w14:paraId="6D1FA340"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 xml:space="preserve">2025–26 </w:t>
            </w:r>
            <w:r w:rsidRPr="005C72E9">
              <w:rPr>
                <w:rFonts w:ascii="Arial" w:hAnsi="Arial" w:cs="Arial"/>
                <w:color w:val="auto"/>
                <w:sz w:val="16"/>
                <w:szCs w:val="16"/>
              </w:rPr>
              <w:t>$'000</w:t>
            </w:r>
          </w:p>
        </w:tc>
      </w:tr>
      <w:tr w:rsidR="005C72E9" w:rsidRPr="005C72E9" w14:paraId="43EBD37F" w14:textId="77777777" w:rsidTr="005C72E9">
        <w:trPr>
          <w:trHeight w:val="227"/>
        </w:trPr>
        <w:tc>
          <w:tcPr>
            <w:tcW w:w="2860" w:type="dxa"/>
            <w:tcBorders>
              <w:top w:val="nil"/>
              <w:left w:val="nil"/>
              <w:bottom w:val="nil"/>
              <w:right w:val="nil"/>
            </w:tcBorders>
            <w:shd w:val="clear" w:color="auto" w:fill="auto"/>
            <w:vAlign w:val="bottom"/>
            <w:hideMark/>
          </w:tcPr>
          <w:p w14:paraId="70DFE16C"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57D7E1CC"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(715)</w:t>
            </w:r>
          </w:p>
        </w:tc>
        <w:tc>
          <w:tcPr>
            <w:tcW w:w="900" w:type="dxa"/>
            <w:tcBorders>
              <w:top w:val="nil"/>
              <w:left w:val="nil"/>
              <w:bottom w:val="nil"/>
              <w:right w:val="nil"/>
            </w:tcBorders>
            <w:shd w:val="clear" w:color="000000" w:fill="D9D9D9"/>
            <w:noWrap/>
            <w:vAlign w:val="bottom"/>
            <w:hideMark/>
          </w:tcPr>
          <w:p w14:paraId="0FFE28CD"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(786)</w:t>
            </w:r>
          </w:p>
        </w:tc>
        <w:tc>
          <w:tcPr>
            <w:tcW w:w="900" w:type="dxa"/>
            <w:tcBorders>
              <w:top w:val="nil"/>
              <w:left w:val="nil"/>
              <w:bottom w:val="nil"/>
              <w:right w:val="nil"/>
            </w:tcBorders>
            <w:shd w:val="clear" w:color="auto" w:fill="auto"/>
            <w:noWrap/>
            <w:vAlign w:val="bottom"/>
            <w:hideMark/>
          </w:tcPr>
          <w:p w14:paraId="24700436"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nil"/>
              <w:right w:val="nil"/>
            </w:tcBorders>
            <w:shd w:val="clear" w:color="auto" w:fill="auto"/>
            <w:noWrap/>
            <w:vAlign w:val="bottom"/>
            <w:hideMark/>
          </w:tcPr>
          <w:p w14:paraId="785E46E2"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c>
          <w:tcPr>
            <w:tcW w:w="900" w:type="dxa"/>
            <w:tcBorders>
              <w:top w:val="nil"/>
              <w:left w:val="nil"/>
              <w:bottom w:val="nil"/>
              <w:right w:val="nil"/>
            </w:tcBorders>
            <w:shd w:val="clear" w:color="auto" w:fill="auto"/>
            <w:noWrap/>
            <w:vAlign w:val="bottom"/>
            <w:hideMark/>
          </w:tcPr>
          <w:p w14:paraId="53D23FF1"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(1,258)</w:t>
            </w:r>
          </w:p>
        </w:tc>
      </w:tr>
      <w:tr w:rsidR="005C72E9" w:rsidRPr="005C72E9" w14:paraId="5F551871" w14:textId="77777777" w:rsidTr="005C72E9">
        <w:trPr>
          <w:trHeight w:val="227"/>
        </w:trPr>
        <w:tc>
          <w:tcPr>
            <w:tcW w:w="2860" w:type="dxa"/>
            <w:tcBorders>
              <w:top w:val="nil"/>
              <w:left w:val="nil"/>
              <w:bottom w:val="nil"/>
              <w:right w:val="nil"/>
            </w:tcBorders>
            <w:shd w:val="clear" w:color="auto" w:fill="auto"/>
            <w:vAlign w:val="bottom"/>
            <w:hideMark/>
          </w:tcPr>
          <w:p w14:paraId="491D8BE6" w14:textId="77777777" w:rsidR="005C72E9" w:rsidRPr="005C72E9" w:rsidRDefault="005C72E9" w:rsidP="005C72E9">
            <w:pPr>
              <w:spacing w:after="0"/>
              <w:ind w:leftChars="75" w:left="143"/>
              <w:rPr>
                <w:rFonts w:ascii="Arial" w:hAnsi="Arial" w:cs="Arial"/>
                <w:color w:val="auto"/>
                <w:sz w:val="16"/>
                <w:szCs w:val="16"/>
              </w:rPr>
            </w:pPr>
            <w:r w:rsidRPr="005C72E9">
              <w:rPr>
                <w:rFonts w:ascii="Arial" w:hAnsi="Arial" w:cs="Arial"/>
                <w:color w:val="auto"/>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0D8CCB74"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577</w:t>
            </w:r>
          </w:p>
        </w:tc>
        <w:tc>
          <w:tcPr>
            <w:tcW w:w="900" w:type="dxa"/>
            <w:tcBorders>
              <w:top w:val="nil"/>
              <w:left w:val="nil"/>
              <w:bottom w:val="nil"/>
              <w:right w:val="nil"/>
            </w:tcBorders>
            <w:shd w:val="clear" w:color="000000" w:fill="D9D9D9"/>
            <w:noWrap/>
            <w:vAlign w:val="bottom"/>
            <w:hideMark/>
          </w:tcPr>
          <w:p w14:paraId="6D65CCE5"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799</w:t>
            </w:r>
          </w:p>
        </w:tc>
        <w:tc>
          <w:tcPr>
            <w:tcW w:w="900" w:type="dxa"/>
            <w:tcBorders>
              <w:top w:val="nil"/>
              <w:left w:val="nil"/>
              <w:bottom w:val="nil"/>
              <w:right w:val="nil"/>
            </w:tcBorders>
            <w:shd w:val="clear" w:color="auto" w:fill="auto"/>
            <w:noWrap/>
            <w:vAlign w:val="bottom"/>
            <w:hideMark/>
          </w:tcPr>
          <w:p w14:paraId="75727063"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424E8844"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59CE6DB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1,258</w:t>
            </w:r>
          </w:p>
        </w:tc>
      </w:tr>
      <w:tr w:rsidR="005C72E9" w:rsidRPr="005C72E9" w14:paraId="1B325CE1" w14:textId="77777777" w:rsidTr="005C72E9">
        <w:trPr>
          <w:trHeight w:val="227"/>
        </w:trPr>
        <w:tc>
          <w:tcPr>
            <w:tcW w:w="2860" w:type="dxa"/>
            <w:tcBorders>
              <w:top w:val="nil"/>
              <w:left w:val="nil"/>
              <w:bottom w:val="nil"/>
              <w:right w:val="nil"/>
            </w:tcBorders>
            <w:shd w:val="clear" w:color="auto" w:fill="auto"/>
            <w:vAlign w:val="bottom"/>
            <w:hideMark/>
          </w:tcPr>
          <w:p w14:paraId="5E97A202" w14:textId="77777777" w:rsidR="005C72E9" w:rsidRPr="005C72E9" w:rsidRDefault="005C72E9" w:rsidP="005C72E9">
            <w:pPr>
              <w:spacing w:after="0"/>
              <w:ind w:leftChars="75" w:left="143"/>
              <w:rPr>
                <w:rFonts w:ascii="Arial" w:hAnsi="Arial" w:cs="Arial"/>
                <w:color w:val="auto"/>
                <w:sz w:val="16"/>
                <w:szCs w:val="16"/>
              </w:rPr>
            </w:pPr>
            <w:r w:rsidRPr="005C72E9">
              <w:rPr>
                <w:rFonts w:ascii="Arial" w:hAnsi="Arial" w:cs="Arial"/>
                <w:color w:val="auto"/>
                <w:sz w:val="16"/>
                <w:szCs w:val="16"/>
              </w:rPr>
              <w:t xml:space="preserve">plus depreciation and amortisation expenses for </w:t>
            </w:r>
            <w:proofErr w:type="spellStart"/>
            <w:r w:rsidRPr="005C72E9">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7A2F0356"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964</w:t>
            </w:r>
          </w:p>
        </w:tc>
        <w:tc>
          <w:tcPr>
            <w:tcW w:w="900" w:type="dxa"/>
            <w:tcBorders>
              <w:top w:val="nil"/>
              <w:left w:val="nil"/>
              <w:bottom w:val="nil"/>
              <w:right w:val="nil"/>
            </w:tcBorders>
            <w:shd w:val="clear" w:color="000000" w:fill="D9D9D9"/>
            <w:noWrap/>
            <w:vAlign w:val="bottom"/>
            <w:hideMark/>
          </w:tcPr>
          <w:p w14:paraId="789FE78F"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767</w:t>
            </w:r>
          </w:p>
        </w:tc>
        <w:tc>
          <w:tcPr>
            <w:tcW w:w="900" w:type="dxa"/>
            <w:tcBorders>
              <w:top w:val="nil"/>
              <w:left w:val="nil"/>
              <w:bottom w:val="nil"/>
              <w:right w:val="nil"/>
            </w:tcBorders>
            <w:shd w:val="clear" w:color="auto" w:fill="auto"/>
            <w:noWrap/>
            <w:vAlign w:val="bottom"/>
            <w:hideMark/>
          </w:tcPr>
          <w:p w14:paraId="298359C1"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2F16FDE2"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2016867E"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833</w:t>
            </w:r>
          </w:p>
        </w:tc>
      </w:tr>
      <w:tr w:rsidR="005C72E9" w:rsidRPr="005C72E9" w14:paraId="21F20061" w14:textId="77777777" w:rsidTr="005C72E9">
        <w:trPr>
          <w:trHeight w:val="227"/>
        </w:trPr>
        <w:tc>
          <w:tcPr>
            <w:tcW w:w="2860" w:type="dxa"/>
            <w:tcBorders>
              <w:top w:val="nil"/>
              <w:left w:val="nil"/>
              <w:bottom w:val="nil"/>
              <w:right w:val="nil"/>
            </w:tcBorders>
            <w:shd w:val="clear" w:color="auto" w:fill="auto"/>
            <w:vAlign w:val="bottom"/>
            <w:hideMark/>
          </w:tcPr>
          <w:p w14:paraId="7621D3B0" w14:textId="77777777" w:rsidR="005C72E9" w:rsidRPr="005C72E9" w:rsidRDefault="005C72E9" w:rsidP="005C72E9">
            <w:pPr>
              <w:spacing w:after="0"/>
              <w:ind w:leftChars="75" w:left="143"/>
              <w:rPr>
                <w:rFonts w:ascii="Arial" w:hAnsi="Arial" w:cs="Arial"/>
                <w:color w:val="auto"/>
                <w:sz w:val="16"/>
                <w:szCs w:val="16"/>
              </w:rPr>
            </w:pPr>
            <w:r w:rsidRPr="005C72E9">
              <w:rPr>
                <w:rFonts w:ascii="Arial" w:hAnsi="Arial" w:cs="Arial"/>
                <w:color w:val="auto"/>
                <w:sz w:val="16"/>
                <w:szCs w:val="16"/>
              </w:rPr>
              <w:t>less lease principal repayments</w:t>
            </w:r>
          </w:p>
        </w:tc>
        <w:tc>
          <w:tcPr>
            <w:tcW w:w="900" w:type="dxa"/>
            <w:tcBorders>
              <w:top w:val="nil"/>
              <w:left w:val="nil"/>
              <w:bottom w:val="nil"/>
              <w:right w:val="nil"/>
            </w:tcBorders>
            <w:shd w:val="clear" w:color="auto" w:fill="auto"/>
            <w:noWrap/>
            <w:vAlign w:val="bottom"/>
            <w:hideMark/>
          </w:tcPr>
          <w:p w14:paraId="0AC310BC"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(965)</w:t>
            </w:r>
          </w:p>
        </w:tc>
        <w:tc>
          <w:tcPr>
            <w:tcW w:w="900" w:type="dxa"/>
            <w:tcBorders>
              <w:top w:val="nil"/>
              <w:left w:val="nil"/>
              <w:bottom w:val="nil"/>
              <w:right w:val="nil"/>
            </w:tcBorders>
            <w:shd w:val="clear" w:color="000000" w:fill="D9D9D9"/>
            <w:noWrap/>
            <w:vAlign w:val="bottom"/>
            <w:hideMark/>
          </w:tcPr>
          <w:p w14:paraId="7865B145"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(780)</w:t>
            </w:r>
          </w:p>
        </w:tc>
        <w:tc>
          <w:tcPr>
            <w:tcW w:w="900" w:type="dxa"/>
            <w:tcBorders>
              <w:top w:val="nil"/>
              <w:left w:val="nil"/>
              <w:bottom w:val="nil"/>
              <w:right w:val="nil"/>
            </w:tcBorders>
            <w:shd w:val="clear" w:color="auto" w:fill="auto"/>
            <w:noWrap/>
            <w:vAlign w:val="bottom"/>
            <w:hideMark/>
          </w:tcPr>
          <w:p w14:paraId="704E8E03"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10AB034D"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0BAA5E58" w14:textId="77777777" w:rsidR="005C72E9" w:rsidRPr="005C72E9" w:rsidRDefault="005C72E9" w:rsidP="005C72E9">
            <w:pPr>
              <w:spacing w:after="0"/>
              <w:jc w:val="right"/>
              <w:rPr>
                <w:rFonts w:ascii="Arial" w:hAnsi="Arial" w:cs="Arial"/>
                <w:color w:val="auto"/>
                <w:sz w:val="16"/>
                <w:szCs w:val="16"/>
              </w:rPr>
            </w:pPr>
            <w:r w:rsidRPr="005C72E9">
              <w:rPr>
                <w:rFonts w:ascii="Arial" w:hAnsi="Arial" w:cs="Arial"/>
                <w:color w:val="auto"/>
                <w:sz w:val="16"/>
                <w:szCs w:val="16"/>
              </w:rPr>
              <w:t>(833)</w:t>
            </w:r>
          </w:p>
        </w:tc>
      </w:tr>
      <w:tr w:rsidR="005C72E9" w:rsidRPr="005C72E9" w14:paraId="544C6610" w14:textId="77777777" w:rsidTr="005C72E9">
        <w:trPr>
          <w:trHeight w:val="227"/>
        </w:trPr>
        <w:tc>
          <w:tcPr>
            <w:tcW w:w="2860" w:type="dxa"/>
            <w:tcBorders>
              <w:top w:val="nil"/>
              <w:left w:val="nil"/>
              <w:bottom w:val="single" w:sz="4" w:space="0" w:color="auto"/>
              <w:right w:val="nil"/>
            </w:tcBorders>
            <w:shd w:val="clear" w:color="auto" w:fill="auto"/>
            <w:vAlign w:val="bottom"/>
            <w:hideMark/>
          </w:tcPr>
          <w:p w14:paraId="5C055BBC" w14:textId="77777777" w:rsidR="005C72E9" w:rsidRPr="005C72E9" w:rsidRDefault="005C72E9" w:rsidP="005C72E9">
            <w:pPr>
              <w:spacing w:after="0"/>
              <w:rPr>
                <w:rFonts w:ascii="Arial" w:hAnsi="Arial" w:cs="Arial"/>
                <w:b/>
                <w:bCs/>
                <w:color w:val="auto"/>
                <w:sz w:val="16"/>
                <w:szCs w:val="16"/>
              </w:rPr>
            </w:pPr>
            <w:r w:rsidRPr="005C72E9">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49D149C"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(139)</w:t>
            </w:r>
          </w:p>
        </w:tc>
        <w:tc>
          <w:tcPr>
            <w:tcW w:w="900" w:type="dxa"/>
            <w:tcBorders>
              <w:top w:val="nil"/>
              <w:left w:val="nil"/>
              <w:bottom w:val="single" w:sz="4" w:space="0" w:color="auto"/>
              <w:right w:val="nil"/>
            </w:tcBorders>
            <w:shd w:val="clear" w:color="000000" w:fill="D9D9D9"/>
            <w:noWrap/>
            <w:vAlign w:val="bottom"/>
            <w:hideMark/>
          </w:tcPr>
          <w:p w14:paraId="292C924B"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F5171F"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E84CBDE"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78DC1B1" w14:textId="77777777" w:rsidR="005C72E9" w:rsidRPr="005C72E9" w:rsidRDefault="005C72E9" w:rsidP="005C72E9">
            <w:pPr>
              <w:spacing w:after="0"/>
              <w:jc w:val="right"/>
              <w:rPr>
                <w:rFonts w:ascii="Arial" w:hAnsi="Arial" w:cs="Arial"/>
                <w:b/>
                <w:bCs/>
                <w:color w:val="auto"/>
                <w:sz w:val="16"/>
                <w:szCs w:val="16"/>
              </w:rPr>
            </w:pPr>
            <w:r w:rsidRPr="005C72E9">
              <w:rPr>
                <w:rFonts w:ascii="Arial" w:hAnsi="Arial" w:cs="Arial"/>
                <w:b/>
                <w:bCs/>
                <w:color w:val="auto"/>
                <w:sz w:val="16"/>
                <w:szCs w:val="16"/>
              </w:rPr>
              <w:t>-</w:t>
            </w:r>
          </w:p>
        </w:tc>
      </w:tr>
    </w:tbl>
    <w:p w14:paraId="0B4CC61C" w14:textId="48208A55" w:rsidR="008A19F6" w:rsidRPr="008A19F6" w:rsidRDefault="008A19F6" w:rsidP="008A19F6">
      <w:pPr>
        <w:pStyle w:val="FootnoteText"/>
        <w:spacing w:before="120"/>
        <w:rPr>
          <w:lang w:eastAsia="en-US"/>
        </w:rPr>
      </w:pPr>
      <w:proofErr w:type="spellStart"/>
      <w:r w:rsidRPr="008A19F6">
        <w:rPr>
          <w:lang w:eastAsia="en-US"/>
        </w:rPr>
        <w:t>RoU</w:t>
      </w:r>
      <w:proofErr w:type="spellEnd"/>
      <w:r w:rsidRPr="008A19F6">
        <w:rPr>
          <w:lang w:eastAsia="en-US"/>
        </w:rPr>
        <w:t xml:space="preserve"> = Right-of-Use asset</w:t>
      </w:r>
      <w:r>
        <w:rPr>
          <w:rFonts w:cs="Arial"/>
          <w:b/>
          <w:sz w:val="20"/>
          <w:szCs w:val="18"/>
          <w:lang w:eastAsia="en-US"/>
        </w:rPr>
        <w:br w:type="page"/>
      </w:r>
    </w:p>
    <w:p w14:paraId="3BC03537" w14:textId="0C03DD48" w:rsidR="00884F73" w:rsidRPr="00884F73" w:rsidRDefault="00884F73" w:rsidP="00884F73">
      <w:pPr>
        <w:rPr>
          <w:rFonts w:ascii="Arial" w:hAnsi="Arial" w:cs="Arial"/>
          <w:b/>
          <w:sz w:val="20"/>
          <w:szCs w:val="18"/>
          <w:lang w:eastAsia="en-US"/>
        </w:rPr>
      </w:pPr>
      <w:r w:rsidRPr="00884F73">
        <w:rPr>
          <w:rFonts w:ascii="Arial" w:hAnsi="Arial" w:cs="Arial"/>
          <w:b/>
          <w:sz w:val="20"/>
          <w:szCs w:val="18"/>
          <w:lang w:eastAsia="en-US"/>
        </w:rPr>
        <w:lastRenderedPageBreak/>
        <w:t>Table 3.2: Budgeted departmental balance sheet (as at 30 June)</w:t>
      </w:r>
    </w:p>
    <w:tbl>
      <w:tblPr>
        <w:tblW w:w="7388" w:type="dxa"/>
        <w:jc w:val="center"/>
        <w:tblLayout w:type="fixed"/>
        <w:tblLook w:val="04A0" w:firstRow="1" w:lastRow="0" w:firstColumn="1" w:lastColumn="0" w:noHBand="0" w:noVBand="1"/>
      </w:tblPr>
      <w:tblGrid>
        <w:gridCol w:w="2977"/>
        <w:gridCol w:w="924"/>
        <w:gridCol w:w="879"/>
        <w:gridCol w:w="873"/>
        <w:gridCol w:w="873"/>
        <w:gridCol w:w="862"/>
      </w:tblGrid>
      <w:tr w:rsidR="007C3816" w:rsidRPr="008A19F6" w14:paraId="226C944A" w14:textId="77777777" w:rsidTr="007C3816">
        <w:trPr>
          <w:trHeight w:val="765"/>
          <w:jc w:val="center"/>
        </w:trPr>
        <w:tc>
          <w:tcPr>
            <w:tcW w:w="2977" w:type="dxa"/>
            <w:tcBorders>
              <w:top w:val="single" w:sz="4" w:space="0" w:color="auto"/>
              <w:left w:val="nil"/>
              <w:bottom w:val="nil"/>
              <w:right w:val="nil"/>
            </w:tcBorders>
            <w:shd w:val="clear" w:color="auto" w:fill="auto"/>
            <w:hideMark/>
          </w:tcPr>
          <w:p w14:paraId="6FA79BF1" w14:textId="77777777" w:rsidR="008A19F6" w:rsidRPr="008A19F6" w:rsidRDefault="008A19F6" w:rsidP="007C3816">
            <w:pPr>
              <w:spacing w:before="40" w:after="0"/>
              <w:jc w:val="right"/>
              <w:rPr>
                <w:rFonts w:ascii="Arial" w:hAnsi="Arial" w:cs="Arial"/>
                <w:b/>
                <w:bCs/>
                <w:color w:val="auto"/>
                <w:sz w:val="16"/>
                <w:szCs w:val="16"/>
              </w:rPr>
            </w:pPr>
            <w:r w:rsidRPr="008A19F6">
              <w:rPr>
                <w:rFonts w:ascii="Arial" w:hAnsi="Arial" w:cs="Arial"/>
                <w:b/>
                <w:bCs/>
                <w:color w:val="auto"/>
                <w:sz w:val="16"/>
                <w:szCs w:val="16"/>
              </w:rPr>
              <w:t> </w:t>
            </w:r>
          </w:p>
        </w:tc>
        <w:tc>
          <w:tcPr>
            <w:tcW w:w="924" w:type="dxa"/>
            <w:tcBorders>
              <w:top w:val="single" w:sz="4" w:space="0" w:color="auto"/>
              <w:left w:val="nil"/>
              <w:bottom w:val="single" w:sz="4" w:space="0" w:color="auto"/>
              <w:right w:val="nil"/>
            </w:tcBorders>
            <w:shd w:val="clear" w:color="auto" w:fill="auto"/>
            <w:tcMar>
              <w:left w:w="0" w:type="dxa"/>
            </w:tcMar>
            <w:hideMark/>
          </w:tcPr>
          <w:p w14:paraId="0C166890" w14:textId="77777777" w:rsidR="008A19F6" w:rsidRPr="008A19F6" w:rsidRDefault="008A19F6" w:rsidP="007C3816">
            <w:pPr>
              <w:spacing w:before="40" w:after="0"/>
              <w:jc w:val="right"/>
              <w:rPr>
                <w:rFonts w:ascii="Arial" w:hAnsi="Arial" w:cs="Arial"/>
                <w:b/>
                <w:bCs/>
                <w:color w:val="auto"/>
                <w:sz w:val="16"/>
                <w:szCs w:val="16"/>
              </w:rPr>
            </w:pPr>
            <w:r w:rsidRPr="008A19F6">
              <w:rPr>
                <w:rFonts w:ascii="Arial" w:hAnsi="Arial" w:cs="Arial"/>
                <w:b/>
                <w:bCs/>
                <w:color w:val="auto"/>
                <w:sz w:val="16"/>
                <w:szCs w:val="16"/>
              </w:rPr>
              <w:t>2021–22 Estimated actual</w:t>
            </w:r>
            <w:r w:rsidRPr="008A19F6">
              <w:rPr>
                <w:rFonts w:ascii="Arial" w:hAnsi="Arial" w:cs="Arial"/>
                <w:b/>
                <w:bCs/>
                <w:color w:val="auto"/>
                <w:sz w:val="16"/>
                <w:szCs w:val="16"/>
              </w:rPr>
              <w:br/>
            </w:r>
            <w:r w:rsidRPr="008A19F6">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000000" w:fill="D9D9D9"/>
            <w:hideMark/>
          </w:tcPr>
          <w:p w14:paraId="52B6011A" w14:textId="77777777" w:rsidR="008A19F6" w:rsidRPr="008A19F6" w:rsidRDefault="008A19F6" w:rsidP="007C3816">
            <w:pPr>
              <w:spacing w:before="40" w:after="0"/>
              <w:jc w:val="right"/>
              <w:rPr>
                <w:rFonts w:ascii="Arial" w:hAnsi="Arial" w:cs="Arial"/>
                <w:b/>
                <w:bCs/>
                <w:color w:val="auto"/>
                <w:sz w:val="16"/>
                <w:szCs w:val="16"/>
              </w:rPr>
            </w:pPr>
            <w:r w:rsidRPr="008A19F6">
              <w:rPr>
                <w:rFonts w:ascii="Arial" w:hAnsi="Arial" w:cs="Arial"/>
                <w:b/>
                <w:bCs/>
                <w:color w:val="auto"/>
                <w:sz w:val="16"/>
                <w:szCs w:val="16"/>
              </w:rPr>
              <w:t xml:space="preserve">2022–23 Budget </w:t>
            </w:r>
            <w:r w:rsidRPr="008A19F6">
              <w:rPr>
                <w:rFonts w:ascii="Arial" w:hAnsi="Arial" w:cs="Arial"/>
                <w:b/>
                <w:bCs/>
                <w:color w:val="auto"/>
                <w:sz w:val="16"/>
                <w:szCs w:val="16"/>
              </w:rPr>
              <w:br/>
            </w:r>
            <w:r w:rsidRPr="008A19F6">
              <w:rPr>
                <w:rFonts w:ascii="Arial" w:hAnsi="Arial" w:cs="Arial"/>
                <w:b/>
                <w:bCs/>
                <w:color w:val="auto"/>
                <w:sz w:val="16"/>
                <w:szCs w:val="16"/>
              </w:rPr>
              <w:br/>
            </w:r>
            <w:r w:rsidRPr="008A19F6">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hideMark/>
          </w:tcPr>
          <w:p w14:paraId="2B552367" w14:textId="77777777" w:rsidR="008A19F6" w:rsidRPr="008A19F6" w:rsidRDefault="008A19F6" w:rsidP="007C3816">
            <w:pPr>
              <w:spacing w:before="40" w:after="0"/>
              <w:jc w:val="right"/>
              <w:rPr>
                <w:rFonts w:ascii="Arial" w:hAnsi="Arial" w:cs="Arial"/>
                <w:b/>
                <w:bCs/>
                <w:color w:val="auto"/>
                <w:sz w:val="16"/>
                <w:szCs w:val="16"/>
              </w:rPr>
            </w:pPr>
            <w:r w:rsidRPr="008A19F6">
              <w:rPr>
                <w:rFonts w:ascii="Arial" w:hAnsi="Arial" w:cs="Arial"/>
                <w:b/>
                <w:bCs/>
                <w:color w:val="auto"/>
                <w:sz w:val="16"/>
                <w:szCs w:val="16"/>
              </w:rPr>
              <w:t>2023–24 Forward estimate</w:t>
            </w:r>
            <w:r w:rsidRPr="008A19F6">
              <w:rPr>
                <w:rFonts w:ascii="Arial" w:hAnsi="Arial" w:cs="Arial"/>
                <w:b/>
                <w:bCs/>
                <w:color w:val="auto"/>
                <w:sz w:val="16"/>
                <w:szCs w:val="16"/>
              </w:rPr>
              <w:br/>
            </w:r>
            <w:r w:rsidRPr="008A19F6">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auto" w:fill="auto"/>
            <w:hideMark/>
          </w:tcPr>
          <w:p w14:paraId="7C3C01E7" w14:textId="77777777" w:rsidR="008A19F6" w:rsidRPr="008A19F6" w:rsidRDefault="008A19F6" w:rsidP="007C3816">
            <w:pPr>
              <w:spacing w:before="40" w:after="0"/>
              <w:jc w:val="right"/>
              <w:rPr>
                <w:rFonts w:ascii="Arial" w:hAnsi="Arial" w:cs="Arial"/>
                <w:b/>
                <w:bCs/>
                <w:color w:val="auto"/>
                <w:sz w:val="16"/>
                <w:szCs w:val="16"/>
              </w:rPr>
            </w:pPr>
            <w:r w:rsidRPr="008A19F6">
              <w:rPr>
                <w:rFonts w:ascii="Arial" w:hAnsi="Arial" w:cs="Arial"/>
                <w:b/>
                <w:bCs/>
                <w:color w:val="auto"/>
                <w:sz w:val="16"/>
                <w:szCs w:val="16"/>
              </w:rPr>
              <w:t>2024–25 Forward estimate</w:t>
            </w:r>
            <w:r w:rsidRPr="008A19F6">
              <w:rPr>
                <w:rFonts w:ascii="Arial" w:hAnsi="Arial" w:cs="Arial"/>
                <w:b/>
                <w:bCs/>
                <w:color w:val="auto"/>
                <w:sz w:val="16"/>
                <w:szCs w:val="16"/>
              </w:rPr>
              <w:br/>
            </w:r>
            <w:r w:rsidRPr="008A19F6">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auto" w:fill="auto"/>
            <w:tcMar>
              <w:left w:w="0" w:type="dxa"/>
            </w:tcMar>
            <w:hideMark/>
          </w:tcPr>
          <w:p w14:paraId="2521F2CE" w14:textId="77777777" w:rsidR="008A19F6" w:rsidRPr="008A19F6" w:rsidRDefault="008A19F6" w:rsidP="007C3816">
            <w:pPr>
              <w:spacing w:before="40" w:after="0"/>
              <w:jc w:val="right"/>
              <w:rPr>
                <w:rFonts w:ascii="Arial" w:hAnsi="Arial" w:cs="Arial"/>
                <w:b/>
                <w:bCs/>
                <w:color w:val="auto"/>
                <w:sz w:val="16"/>
                <w:szCs w:val="16"/>
              </w:rPr>
            </w:pPr>
            <w:r w:rsidRPr="008A19F6">
              <w:rPr>
                <w:rFonts w:ascii="Arial" w:hAnsi="Arial" w:cs="Arial"/>
                <w:b/>
                <w:bCs/>
                <w:color w:val="auto"/>
                <w:sz w:val="16"/>
                <w:szCs w:val="16"/>
              </w:rPr>
              <w:t>2025–26 Forward estimate</w:t>
            </w:r>
            <w:r w:rsidRPr="008A19F6">
              <w:rPr>
                <w:rFonts w:ascii="Arial" w:hAnsi="Arial" w:cs="Arial"/>
                <w:b/>
                <w:bCs/>
                <w:color w:val="auto"/>
                <w:sz w:val="16"/>
                <w:szCs w:val="16"/>
              </w:rPr>
              <w:br/>
            </w:r>
            <w:r w:rsidRPr="008A19F6">
              <w:rPr>
                <w:rFonts w:ascii="Arial" w:hAnsi="Arial" w:cs="Arial"/>
                <w:color w:val="auto"/>
                <w:sz w:val="16"/>
                <w:szCs w:val="16"/>
              </w:rPr>
              <w:t>$'000</w:t>
            </w:r>
          </w:p>
        </w:tc>
      </w:tr>
      <w:tr w:rsidR="008A19F6" w:rsidRPr="008A19F6" w14:paraId="72CB375C"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3A81B15A" w14:textId="77777777" w:rsidR="008A19F6" w:rsidRPr="008A19F6" w:rsidRDefault="008A19F6" w:rsidP="008A19F6">
            <w:pPr>
              <w:spacing w:after="0"/>
              <w:rPr>
                <w:rFonts w:ascii="Arial" w:hAnsi="Arial" w:cs="Arial"/>
                <w:b/>
                <w:bCs/>
                <w:sz w:val="16"/>
                <w:szCs w:val="16"/>
              </w:rPr>
            </w:pPr>
            <w:r w:rsidRPr="008A19F6">
              <w:rPr>
                <w:rFonts w:ascii="Arial" w:hAnsi="Arial" w:cs="Arial"/>
                <w:b/>
                <w:bCs/>
                <w:sz w:val="16"/>
                <w:szCs w:val="16"/>
              </w:rPr>
              <w:t>ASSETS</w:t>
            </w:r>
          </w:p>
        </w:tc>
        <w:tc>
          <w:tcPr>
            <w:tcW w:w="924" w:type="dxa"/>
            <w:tcBorders>
              <w:top w:val="single" w:sz="4" w:space="0" w:color="auto"/>
              <w:left w:val="nil"/>
              <w:bottom w:val="nil"/>
              <w:right w:val="nil"/>
            </w:tcBorders>
            <w:shd w:val="clear" w:color="auto" w:fill="auto"/>
            <w:noWrap/>
            <w:vAlign w:val="bottom"/>
            <w:hideMark/>
          </w:tcPr>
          <w:p w14:paraId="1C7D94B3"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9" w:type="dxa"/>
            <w:tcBorders>
              <w:top w:val="single" w:sz="4" w:space="0" w:color="auto"/>
              <w:left w:val="nil"/>
              <w:bottom w:val="nil"/>
              <w:right w:val="nil"/>
            </w:tcBorders>
            <w:shd w:val="clear" w:color="000000" w:fill="D9D9D9"/>
            <w:noWrap/>
            <w:vAlign w:val="bottom"/>
            <w:hideMark/>
          </w:tcPr>
          <w:p w14:paraId="18BE6A0D"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single" w:sz="4" w:space="0" w:color="auto"/>
              <w:left w:val="nil"/>
              <w:bottom w:val="nil"/>
              <w:right w:val="nil"/>
            </w:tcBorders>
            <w:shd w:val="clear" w:color="auto" w:fill="auto"/>
            <w:noWrap/>
            <w:vAlign w:val="bottom"/>
            <w:hideMark/>
          </w:tcPr>
          <w:p w14:paraId="5BF7321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single" w:sz="4" w:space="0" w:color="auto"/>
              <w:left w:val="nil"/>
              <w:bottom w:val="nil"/>
              <w:right w:val="nil"/>
            </w:tcBorders>
            <w:shd w:val="clear" w:color="auto" w:fill="auto"/>
            <w:noWrap/>
            <w:vAlign w:val="bottom"/>
            <w:hideMark/>
          </w:tcPr>
          <w:p w14:paraId="35496D2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62" w:type="dxa"/>
            <w:tcBorders>
              <w:top w:val="single" w:sz="4" w:space="0" w:color="auto"/>
              <w:left w:val="nil"/>
              <w:bottom w:val="nil"/>
              <w:right w:val="nil"/>
            </w:tcBorders>
            <w:shd w:val="clear" w:color="auto" w:fill="auto"/>
            <w:noWrap/>
            <w:vAlign w:val="bottom"/>
            <w:hideMark/>
          </w:tcPr>
          <w:p w14:paraId="5CEC5D7C"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r>
      <w:tr w:rsidR="008A19F6" w:rsidRPr="008A19F6" w14:paraId="658103C5"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7917B20A"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Financial assets</w:t>
            </w:r>
          </w:p>
        </w:tc>
        <w:tc>
          <w:tcPr>
            <w:tcW w:w="924" w:type="dxa"/>
            <w:tcBorders>
              <w:top w:val="nil"/>
              <w:left w:val="nil"/>
              <w:bottom w:val="nil"/>
              <w:right w:val="nil"/>
            </w:tcBorders>
            <w:shd w:val="clear" w:color="auto" w:fill="auto"/>
            <w:noWrap/>
            <w:vAlign w:val="bottom"/>
            <w:hideMark/>
          </w:tcPr>
          <w:p w14:paraId="1D161FF2" w14:textId="77777777" w:rsidR="008A19F6" w:rsidRPr="008A19F6" w:rsidRDefault="008A19F6" w:rsidP="008A19F6">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000000" w:fill="D9D9D9"/>
            <w:noWrap/>
            <w:vAlign w:val="bottom"/>
            <w:hideMark/>
          </w:tcPr>
          <w:p w14:paraId="74D4598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nil"/>
              <w:left w:val="nil"/>
              <w:bottom w:val="nil"/>
              <w:right w:val="nil"/>
            </w:tcBorders>
            <w:shd w:val="clear" w:color="auto" w:fill="auto"/>
            <w:noWrap/>
            <w:vAlign w:val="bottom"/>
            <w:hideMark/>
          </w:tcPr>
          <w:p w14:paraId="117CAA34" w14:textId="77777777" w:rsidR="008A19F6" w:rsidRPr="008A19F6" w:rsidRDefault="008A19F6" w:rsidP="008A19F6">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bottom"/>
            <w:hideMark/>
          </w:tcPr>
          <w:p w14:paraId="769A4C0D" w14:textId="77777777" w:rsidR="008A19F6" w:rsidRPr="008A19F6" w:rsidRDefault="008A19F6" w:rsidP="008A19F6">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186493A6" w14:textId="77777777" w:rsidR="008A19F6" w:rsidRPr="008A19F6" w:rsidRDefault="008A19F6" w:rsidP="008A19F6">
            <w:pPr>
              <w:spacing w:after="0"/>
              <w:jc w:val="right"/>
              <w:rPr>
                <w:rFonts w:ascii="Times New Roman" w:hAnsi="Times New Roman"/>
                <w:color w:val="auto"/>
                <w:sz w:val="20"/>
              </w:rPr>
            </w:pPr>
          </w:p>
        </w:tc>
      </w:tr>
      <w:tr w:rsidR="008A19F6" w:rsidRPr="008A19F6" w14:paraId="16474654"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217A8CD0"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Cash and cash equivalents</w:t>
            </w:r>
          </w:p>
        </w:tc>
        <w:tc>
          <w:tcPr>
            <w:tcW w:w="924" w:type="dxa"/>
            <w:tcBorders>
              <w:top w:val="nil"/>
              <w:left w:val="nil"/>
              <w:bottom w:val="nil"/>
              <w:right w:val="nil"/>
            </w:tcBorders>
            <w:shd w:val="clear" w:color="auto" w:fill="auto"/>
            <w:noWrap/>
            <w:vAlign w:val="bottom"/>
            <w:hideMark/>
          </w:tcPr>
          <w:p w14:paraId="7578BEC8"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6,990</w:t>
            </w:r>
          </w:p>
        </w:tc>
        <w:tc>
          <w:tcPr>
            <w:tcW w:w="879" w:type="dxa"/>
            <w:tcBorders>
              <w:top w:val="nil"/>
              <w:left w:val="nil"/>
              <w:bottom w:val="nil"/>
              <w:right w:val="nil"/>
            </w:tcBorders>
            <w:shd w:val="clear" w:color="000000" w:fill="D9D9D9"/>
            <w:noWrap/>
            <w:vAlign w:val="bottom"/>
            <w:hideMark/>
          </w:tcPr>
          <w:p w14:paraId="343BF9D7"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2,874</w:t>
            </w:r>
          </w:p>
        </w:tc>
        <w:tc>
          <w:tcPr>
            <w:tcW w:w="873" w:type="dxa"/>
            <w:tcBorders>
              <w:top w:val="nil"/>
              <w:left w:val="nil"/>
              <w:bottom w:val="nil"/>
              <w:right w:val="nil"/>
            </w:tcBorders>
            <w:shd w:val="clear" w:color="auto" w:fill="auto"/>
            <w:noWrap/>
            <w:vAlign w:val="bottom"/>
            <w:hideMark/>
          </w:tcPr>
          <w:p w14:paraId="7BEC784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2,879</w:t>
            </w:r>
          </w:p>
        </w:tc>
        <w:tc>
          <w:tcPr>
            <w:tcW w:w="873" w:type="dxa"/>
            <w:tcBorders>
              <w:top w:val="nil"/>
              <w:left w:val="nil"/>
              <w:bottom w:val="nil"/>
              <w:right w:val="nil"/>
            </w:tcBorders>
            <w:shd w:val="clear" w:color="auto" w:fill="auto"/>
            <w:noWrap/>
            <w:vAlign w:val="bottom"/>
            <w:hideMark/>
          </w:tcPr>
          <w:p w14:paraId="39CE5CE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2,884</w:t>
            </w:r>
          </w:p>
        </w:tc>
        <w:tc>
          <w:tcPr>
            <w:tcW w:w="862" w:type="dxa"/>
            <w:tcBorders>
              <w:top w:val="nil"/>
              <w:left w:val="nil"/>
              <w:bottom w:val="nil"/>
              <w:right w:val="nil"/>
            </w:tcBorders>
            <w:shd w:val="clear" w:color="auto" w:fill="auto"/>
            <w:noWrap/>
            <w:vAlign w:val="bottom"/>
            <w:hideMark/>
          </w:tcPr>
          <w:p w14:paraId="3CD0187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2,889</w:t>
            </w:r>
          </w:p>
        </w:tc>
      </w:tr>
      <w:tr w:rsidR="008A19F6" w:rsidRPr="008A19F6" w14:paraId="7FD8007C"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4761C7BA"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Receivables</w:t>
            </w:r>
          </w:p>
        </w:tc>
        <w:tc>
          <w:tcPr>
            <w:tcW w:w="924" w:type="dxa"/>
            <w:tcBorders>
              <w:top w:val="nil"/>
              <w:left w:val="nil"/>
              <w:bottom w:val="nil"/>
              <w:right w:val="nil"/>
            </w:tcBorders>
            <w:shd w:val="clear" w:color="auto" w:fill="auto"/>
            <w:noWrap/>
            <w:vAlign w:val="bottom"/>
            <w:hideMark/>
          </w:tcPr>
          <w:p w14:paraId="0D3801CA"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1,848</w:t>
            </w:r>
          </w:p>
        </w:tc>
        <w:tc>
          <w:tcPr>
            <w:tcW w:w="879" w:type="dxa"/>
            <w:tcBorders>
              <w:top w:val="nil"/>
              <w:left w:val="nil"/>
              <w:bottom w:val="nil"/>
              <w:right w:val="nil"/>
            </w:tcBorders>
            <w:shd w:val="clear" w:color="000000" w:fill="D9D9D9"/>
            <w:noWrap/>
            <w:vAlign w:val="bottom"/>
            <w:hideMark/>
          </w:tcPr>
          <w:p w14:paraId="38A96658"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1,848</w:t>
            </w:r>
          </w:p>
        </w:tc>
        <w:tc>
          <w:tcPr>
            <w:tcW w:w="873" w:type="dxa"/>
            <w:tcBorders>
              <w:top w:val="nil"/>
              <w:left w:val="nil"/>
              <w:bottom w:val="nil"/>
              <w:right w:val="nil"/>
            </w:tcBorders>
            <w:shd w:val="clear" w:color="auto" w:fill="auto"/>
            <w:noWrap/>
            <w:vAlign w:val="bottom"/>
            <w:hideMark/>
          </w:tcPr>
          <w:p w14:paraId="55C80E24"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1,848</w:t>
            </w:r>
          </w:p>
        </w:tc>
        <w:tc>
          <w:tcPr>
            <w:tcW w:w="873" w:type="dxa"/>
            <w:tcBorders>
              <w:top w:val="nil"/>
              <w:left w:val="nil"/>
              <w:bottom w:val="nil"/>
              <w:right w:val="nil"/>
            </w:tcBorders>
            <w:shd w:val="clear" w:color="auto" w:fill="auto"/>
            <w:noWrap/>
            <w:vAlign w:val="bottom"/>
            <w:hideMark/>
          </w:tcPr>
          <w:p w14:paraId="76D3628D"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1,848</w:t>
            </w:r>
          </w:p>
        </w:tc>
        <w:tc>
          <w:tcPr>
            <w:tcW w:w="862" w:type="dxa"/>
            <w:tcBorders>
              <w:top w:val="nil"/>
              <w:left w:val="nil"/>
              <w:bottom w:val="nil"/>
              <w:right w:val="nil"/>
            </w:tcBorders>
            <w:shd w:val="clear" w:color="auto" w:fill="auto"/>
            <w:noWrap/>
            <w:vAlign w:val="bottom"/>
            <w:hideMark/>
          </w:tcPr>
          <w:p w14:paraId="2678B582"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1,848</w:t>
            </w:r>
          </w:p>
        </w:tc>
      </w:tr>
      <w:tr w:rsidR="008A19F6" w:rsidRPr="008A19F6" w14:paraId="5B02420E"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1C978119" w14:textId="77777777" w:rsidR="008A19F6" w:rsidRPr="008A19F6" w:rsidRDefault="008A19F6" w:rsidP="008A19F6">
            <w:pPr>
              <w:spacing w:after="0"/>
              <w:ind w:firstLineChars="200" w:firstLine="320"/>
              <w:rPr>
                <w:rFonts w:ascii="Arial" w:hAnsi="Arial" w:cs="Arial"/>
                <w:b/>
                <w:bCs/>
                <w:sz w:val="16"/>
                <w:szCs w:val="16"/>
              </w:rPr>
            </w:pPr>
            <w:r w:rsidRPr="008A19F6">
              <w:rPr>
                <w:rFonts w:ascii="Arial" w:hAnsi="Arial" w:cs="Arial"/>
                <w:b/>
                <w:bCs/>
                <w:sz w:val="16"/>
                <w:szCs w:val="16"/>
              </w:rPr>
              <w:t>Total financial assets</w:t>
            </w:r>
          </w:p>
        </w:tc>
        <w:tc>
          <w:tcPr>
            <w:tcW w:w="924" w:type="dxa"/>
            <w:tcBorders>
              <w:top w:val="nil"/>
              <w:left w:val="nil"/>
              <w:bottom w:val="single" w:sz="4" w:space="0" w:color="auto"/>
              <w:right w:val="nil"/>
            </w:tcBorders>
            <w:shd w:val="clear" w:color="auto" w:fill="auto"/>
            <w:noWrap/>
            <w:vAlign w:val="bottom"/>
            <w:hideMark/>
          </w:tcPr>
          <w:p w14:paraId="7B404CDB"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8,838</w:t>
            </w:r>
          </w:p>
        </w:tc>
        <w:tc>
          <w:tcPr>
            <w:tcW w:w="879" w:type="dxa"/>
            <w:tcBorders>
              <w:top w:val="nil"/>
              <w:left w:val="nil"/>
              <w:bottom w:val="single" w:sz="4" w:space="0" w:color="auto"/>
              <w:right w:val="nil"/>
            </w:tcBorders>
            <w:shd w:val="clear" w:color="000000" w:fill="D9D9D9"/>
            <w:noWrap/>
            <w:vAlign w:val="bottom"/>
            <w:hideMark/>
          </w:tcPr>
          <w:p w14:paraId="6CD17746"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4,722</w:t>
            </w:r>
          </w:p>
        </w:tc>
        <w:tc>
          <w:tcPr>
            <w:tcW w:w="873" w:type="dxa"/>
            <w:tcBorders>
              <w:top w:val="nil"/>
              <w:left w:val="nil"/>
              <w:bottom w:val="single" w:sz="4" w:space="0" w:color="auto"/>
              <w:right w:val="nil"/>
            </w:tcBorders>
            <w:shd w:val="clear" w:color="auto" w:fill="auto"/>
            <w:noWrap/>
            <w:vAlign w:val="bottom"/>
            <w:hideMark/>
          </w:tcPr>
          <w:p w14:paraId="3AD9B33D"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4,727</w:t>
            </w:r>
          </w:p>
        </w:tc>
        <w:tc>
          <w:tcPr>
            <w:tcW w:w="873" w:type="dxa"/>
            <w:tcBorders>
              <w:top w:val="nil"/>
              <w:left w:val="nil"/>
              <w:bottom w:val="single" w:sz="4" w:space="0" w:color="auto"/>
              <w:right w:val="nil"/>
            </w:tcBorders>
            <w:shd w:val="clear" w:color="auto" w:fill="auto"/>
            <w:noWrap/>
            <w:vAlign w:val="bottom"/>
            <w:hideMark/>
          </w:tcPr>
          <w:p w14:paraId="4CBDF9E9"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4,732</w:t>
            </w:r>
          </w:p>
        </w:tc>
        <w:tc>
          <w:tcPr>
            <w:tcW w:w="862" w:type="dxa"/>
            <w:tcBorders>
              <w:top w:val="nil"/>
              <w:left w:val="nil"/>
              <w:bottom w:val="single" w:sz="4" w:space="0" w:color="auto"/>
              <w:right w:val="nil"/>
            </w:tcBorders>
            <w:shd w:val="clear" w:color="auto" w:fill="auto"/>
            <w:noWrap/>
            <w:vAlign w:val="bottom"/>
            <w:hideMark/>
          </w:tcPr>
          <w:p w14:paraId="2F2935D0"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4,737</w:t>
            </w:r>
          </w:p>
        </w:tc>
      </w:tr>
      <w:tr w:rsidR="008A19F6" w:rsidRPr="008A19F6" w14:paraId="18992C48" w14:textId="77777777" w:rsidTr="007C3816">
        <w:trPr>
          <w:trHeight w:val="283"/>
          <w:jc w:val="center"/>
        </w:trPr>
        <w:tc>
          <w:tcPr>
            <w:tcW w:w="2977" w:type="dxa"/>
            <w:tcBorders>
              <w:top w:val="nil"/>
              <w:left w:val="nil"/>
              <w:bottom w:val="nil"/>
              <w:right w:val="nil"/>
            </w:tcBorders>
            <w:shd w:val="clear" w:color="auto" w:fill="auto"/>
            <w:noWrap/>
            <w:vAlign w:val="bottom"/>
            <w:hideMark/>
          </w:tcPr>
          <w:p w14:paraId="00ACF698"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Non-financial assets</w:t>
            </w:r>
          </w:p>
        </w:tc>
        <w:tc>
          <w:tcPr>
            <w:tcW w:w="924" w:type="dxa"/>
            <w:tcBorders>
              <w:top w:val="nil"/>
              <w:left w:val="nil"/>
              <w:bottom w:val="nil"/>
              <w:right w:val="nil"/>
            </w:tcBorders>
            <w:shd w:val="clear" w:color="auto" w:fill="auto"/>
            <w:noWrap/>
            <w:vAlign w:val="bottom"/>
            <w:hideMark/>
          </w:tcPr>
          <w:p w14:paraId="067CE117" w14:textId="77777777" w:rsidR="008A19F6" w:rsidRPr="008A19F6" w:rsidRDefault="008A19F6" w:rsidP="008A19F6">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000000" w:fill="D9D9D9"/>
            <w:noWrap/>
            <w:vAlign w:val="bottom"/>
            <w:hideMark/>
          </w:tcPr>
          <w:p w14:paraId="7FD3E7D9"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nil"/>
              <w:left w:val="nil"/>
              <w:bottom w:val="nil"/>
              <w:right w:val="nil"/>
            </w:tcBorders>
            <w:shd w:val="clear" w:color="auto" w:fill="auto"/>
            <w:noWrap/>
            <w:vAlign w:val="bottom"/>
            <w:hideMark/>
          </w:tcPr>
          <w:p w14:paraId="7F7279E1" w14:textId="77777777" w:rsidR="008A19F6" w:rsidRPr="008A19F6" w:rsidRDefault="008A19F6" w:rsidP="008A19F6">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bottom"/>
            <w:hideMark/>
          </w:tcPr>
          <w:p w14:paraId="65BAAC0A" w14:textId="77777777" w:rsidR="008A19F6" w:rsidRPr="008A19F6" w:rsidRDefault="008A19F6" w:rsidP="008A19F6">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4566ECD9" w14:textId="77777777" w:rsidR="008A19F6" w:rsidRPr="008A19F6" w:rsidRDefault="008A19F6" w:rsidP="008A19F6">
            <w:pPr>
              <w:spacing w:after="0"/>
              <w:jc w:val="right"/>
              <w:rPr>
                <w:rFonts w:ascii="Times New Roman" w:hAnsi="Times New Roman"/>
                <w:color w:val="auto"/>
                <w:sz w:val="20"/>
              </w:rPr>
            </w:pPr>
          </w:p>
        </w:tc>
      </w:tr>
      <w:tr w:rsidR="008A19F6" w:rsidRPr="008A19F6" w14:paraId="68D76A8E"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47448BC4"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Land and buildings</w:t>
            </w:r>
          </w:p>
        </w:tc>
        <w:tc>
          <w:tcPr>
            <w:tcW w:w="924" w:type="dxa"/>
            <w:tcBorders>
              <w:top w:val="nil"/>
              <w:left w:val="nil"/>
              <w:bottom w:val="nil"/>
              <w:right w:val="nil"/>
            </w:tcBorders>
            <w:shd w:val="clear" w:color="auto" w:fill="auto"/>
            <w:noWrap/>
            <w:vAlign w:val="bottom"/>
            <w:hideMark/>
          </w:tcPr>
          <w:p w14:paraId="2BB2AE3A"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6,289</w:t>
            </w:r>
          </w:p>
        </w:tc>
        <w:tc>
          <w:tcPr>
            <w:tcW w:w="879" w:type="dxa"/>
            <w:tcBorders>
              <w:top w:val="nil"/>
              <w:left w:val="nil"/>
              <w:bottom w:val="nil"/>
              <w:right w:val="nil"/>
            </w:tcBorders>
            <w:shd w:val="clear" w:color="000000" w:fill="D9D9D9"/>
            <w:noWrap/>
            <w:vAlign w:val="bottom"/>
            <w:hideMark/>
          </w:tcPr>
          <w:p w14:paraId="00D2C09D"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7,111</w:t>
            </w:r>
          </w:p>
        </w:tc>
        <w:tc>
          <w:tcPr>
            <w:tcW w:w="873" w:type="dxa"/>
            <w:tcBorders>
              <w:top w:val="nil"/>
              <w:left w:val="nil"/>
              <w:bottom w:val="nil"/>
              <w:right w:val="nil"/>
            </w:tcBorders>
            <w:shd w:val="clear" w:color="auto" w:fill="auto"/>
            <w:noWrap/>
            <w:vAlign w:val="bottom"/>
            <w:hideMark/>
          </w:tcPr>
          <w:p w14:paraId="3033FCD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5,640</w:t>
            </w:r>
          </w:p>
        </w:tc>
        <w:tc>
          <w:tcPr>
            <w:tcW w:w="873" w:type="dxa"/>
            <w:tcBorders>
              <w:top w:val="nil"/>
              <w:left w:val="nil"/>
              <w:bottom w:val="nil"/>
              <w:right w:val="nil"/>
            </w:tcBorders>
            <w:shd w:val="clear" w:color="auto" w:fill="auto"/>
            <w:noWrap/>
            <w:vAlign w:val="bottom"/>
            <w:hideMark/>
          </w:tcPr>
          <w:p w14:paraId="5577614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4,169</w:t>
            </w:r>
          </w:p>
        </w:tc>
        <w:tc>
          <w:tcPr>
            <w:tcW w:w="862" w:type="dxa"/>
            <w:tcBorders>
              <w:top w:val="nil"/>
              <w:left w:val="nil"/>
              <w:bottom w:val="nil"/>
              <w:right w:val="nil"/>
            </w:tcBorders>
            <w:shd w:val="clear" w:color="auto" w:fill="auto"/>
            <w:noWrap/>
            <w:vAlign w:val="bottom"/>
            <w:hideMark/>
          </w:tcPr>
          <w:p w14:paraId="5FDAD2D7"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2,698</w:t>
            </w:r>
          </w:p>
        </w:tc>
      </w:tr>
      <w:tr w:rsidR="008A19F6" w:rsidRPr="008A19F6" w14:paraId="54376E77"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2B1FAB5E"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Property, plant and equipment</w:t>
            </w:r>
          </w:p>
        </w:tc>
        <w:tc>
          <w:tcPr>
            <w:tcW w:w="924" w:type="dxa"/>
            <w:tcBorders>
              <w:top w:val="nil"/>
              <w:left w:val="nil"/>
              <w:bottom w:val="nil"/>
              <w:right w:val="nil"/>
            </w:tcBorders>
            <w:shd w:val="clear" w:color="auto" w:fill="auto"/>
            <w:noWrap/>
            <w:vAlign w:val="bottom"/>
            <w:hideMark/>
          </w:tcPr>
          <w:p w14:paraId="78FE108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528</w:t>
            </w:r>
          </w:p>
        </w:tc>
        <w:tc>
          <w:tcPr>
            <w:tcW w:w="879" w:type="dxa"/>
            <w:tcBorders>
              <w:top w:val="nil"/>
              <w:left w:val="nil"/>
              <w:bottom w:val="nil"/>
              <w:right w:val="nil"/>
            </w:tcBorders>
            <w:shd w:val="clear" w:color="000000" w:fill="D9D9D9"/>
            <w:noWrap/>
            <w:vAlign w:val="bottom"/>
            <w:hideMark/>
          </w:tcPr>
          <w:p w14:paraId="45CE2EDE"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2,863</w:t>
            </w:r>
          </w:p>
        </w:tc>
        <w:tc>
          <w:tcPr>
            <w:tcW w:w="873" w:type="dxa"/>
            <w:tcBorders>
              <w:top w:val="nil"/>
              <w:left w:val="nil"/>
              <w:bottom w:val="nil"/>
              <w:right w:val="nil"/>
            </w:tcBorders>
            <w:shd w:val="clear" w:color="auto" w:fill="auto"/>
            <w:noWrap/>
            <w:vAlign w:val="bottom"/>
            <w:hideMark/>
          </w:tcPr>
          <w:p w14:paraId="11E8CA4D"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2,738</w:t>
            </w:r>
          </w:p>
        </w:tc>
        <w:tc>
          <w:tcPr>
            <w:tcW w:w="873" w:type="dxa"/>
            <w:tcBorders>
              <w:top w:val="nil"/>
              <w:left w:val="nil"/>
              <w:bottom w:val="nil"/>
              <w:right w:val="nil"/>
            </w:tcBorders>
            <w:shd w:val="clear" w:color="auto" w:fill="auto"/>
            <w:noWrap/>
            <w:vAlign w:val="bottom"/>
            <w:hideMark/>
          </w:tcPr>
          <w:p w14:paraId="2AA5A2AC"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2,625</w:t>
            </w:r>
          </w:p>
        </w:tc>
        <w:tc>
          <w:tcPr>
            <w:tcW w:w="862" w:type="dxa"/>
            <w:tcBorders>
              <w:top w:val="nil"/>
              <w:left w:val="nil"/>
              <w:bottom w:val="nil"/>
              <w:right w:val="nil"/>
            </w:tcBorders>
            <w:shd w:val="clear" w:color="auto" w:fill="auto"/>
            <w:noWrap/>
            <w:vAlign w:val="bottom"/>
            <w:hideMark/>
          </w:tcPr>
          <w:p w14:paraId="2F5E6AE4"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2,507</w:t>
            </w:r>
          </w:p>
        </w:tc>
      </w:tr>
      <w:tr w:rsidR="008A19F6" w:rsidRPr="008A19F6" w14:paraId="76077F01"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6D95A990"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Intangibles</w:t>
            </w:r>
          </w:p>
        </w:tc>
        <w:tc>
          <w:tcPr>
            <w:tcW w:w="924" w:type="dxa"/>
            <w:tcBorders>
              <w:top w:val="nil"/>
              <w:left w:val="nil"/>
              <w:bottom w:val="nil"/>
              <w:right w:val="nil"/>
            </w:tcBorders>
            <w:shd w:val="clear" w:color="auto" w:fill="auto"/>
            <w:noWrap/>
            <w:vAlign w:val="bottom"/>
            <w:hideMark/>
          </w:tcPr>
          <w:p w14:paraId="2196ED74"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55</w:t>
            </w:r>
          </w:p>
        </w:tc>
        <w:tc>
          <w:tcPr>
            <w:tcW w:w="879" w:type="dxa"/>
            <w:tcBorders>
              <w:top w:val="nil"/>
              <w:left w:val="nil"/>
              <w:bottom w:val="nil"/>
              <w:right w:val="nil"/>
            </w:tcBorders>
            <w:shd w:val="clear" w:color="000000" w:fill="D9D9D9"/>
            <w:noWrap/>
            <w:vAlign w:val="bottom"/>
            <w:hideMark/>
          </w:tcPr>
          <w:p w14:paraId="36204399"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99</w:t>
            </w:r>
          </w:p>
        </w:tc>
        <w:tc>
          <w:tcPr>
            <w:tcW w:w="873" w:type="dxa"/>
            <w:tcBorders>
              <w:top w:val="nil"/>
              <w:left w:val="nil"/>
              <w:bottom w:val="nil"/>
              <w:right w:val="nil"/>
            </w:tcBorders>
            <w:shd w:val="clear" w:color="auto" w:fill="auto"/>
            <w:noWrap/>
            <w:vAlign w:val="bottom"/>
            <w:hideMark/>
          </w:tcPr>
          <w:p w14:paraId="0ECE10DD"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260</w:t>
            </w:r>
          </w:p>
        </w:tc>
        <w:tc>
          <w:tcPr>
            <w:tcW w:w="873" w:type="dxa"/>
            <w:tcBorders>
              <w:top w:val="nil"/>
              <w:left w:val="nil"/>
              <w:bottom w:val="nil"/>
              <w:right w:val="nil"/>
            </w:tcBorders>
            <w:shd w:val="clear" w:color="auto" w:fill="auto"/>
            <w:noWrap/>
            <w:vAlign w:val="bottom"/>
            <w:hideMark/>
          </w:tcPr>
          <w:p w14:paraId="12699E5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415</w:t>
            </w:r>
          </w:p>
        </w:tc>
        <w:tc>
          <w:tcPr>
            <w:tcW w:w="862" w:type="dxa"/>
            <w:tcBorders>
              <w:top w:val="nil"/>
              <w:left w:val="nil"/>
              <w:bottom w:val="nil"/>
              <w:right w:val="nil"/>
            </w:tcBorders>
            <w:shd w:val="clear" w:color="auto" w:fill="auto"/>
            <w:noWrap/>
            <w:vAlign w:val="bottom"/>
            <w:hideMark/>
          </w:tcPr>
          <w:p w14:paraId="78EB4D75"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574</w:t>
            </w:r>
          </w:p>
        </w:tc>
      </w:tr>
      <w:tr w:rsidR="008A19F6" w:rsidRPr="008A19F6" w14:paraId="665B5E15"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18A05329"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Other</w:t>
            </w:r>
          </w:p>
        </w:tc>
        <w:tc>
          <w:tcPr>
            <w:tcW w:w="924" w:type="dxa"/>
            <w:tcBorders>
              <w:top w:val="nil"/>
              <w:left w:val="nil"/>
              <w:bottom w:val="nil"/>
              <w:right w:val="nil"/>
            </w:tcBorders>
            <w:shd w:val="clear" w:color="auto" w:fill="auto"/>
            <w:noWrap/>
            <w:vAlign w:val="bottom"/>
            <w:hideMark/>
          </w:tcPr>
          <w:p w14:paraId="59A300DE"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w:t>
            </w:r>
          </w:p>
        </w:tc>
        <w:tc>
          <w:tcPr>
            <w:tcW w:w="879" w:type="dxa"/>
            <w:tcBorders>
              <w:top w:val="nil"/>
              <w:left w:val="nil"/>
              <w:bottom w:val="nil"/>
              <w:right w:val="nil"/>
            </w:tcBorders>
            <w:shd w:val="clear" w:color="000000" w:fill="D9D9D9"/>
            <w:noWrap/>
            <w:vAlign w:val="bottom"/>
            <w:hideMark/>
          </w:tcPr>
          <w:p w14:paraId="5D652E98"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w:t>
            </w:r>
          </w:p>
        </w:tc>
        <w:tc>
          <w:tcPr>
            <w:tcW w:w="873" w:type="dxa"/>
            <w:tcBorders>
              <w:top w:val="nil"/>
              <w:left w:val="nil"/>
              <w:bottom w:val="nil"/>
              <w:right w:val="nil"/>
            </w:tcBorders>
            <w:shd w:val="clear" w:color="auto" w:fill="auto"/>
            <w:noWrap/>
            <w:vAlign w:val="bottom"/>
            <w:hideMark/>
          </w:tcPr>
          <w:p w14:paraId="0DB97748"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w:t>
            </w:r>
          </w:p>
        </w:tc>
        <w:tc>
          <w:tcPr>
            <w:tcW w:w="873" w:type="dxa"/>
            <w:tcBorders>
              <w:top w:val="nil"/>
              <w:left w:val="nil"/>
              <w:bottom w:val="nil"/>
              <w:right w:val="nil"/>
            </w:tcBorders>
            <w:shd w:val="clear" w:color="auto" w:fill="auto"/>
            <w:noWrap/>
            <w:vAlign w:val="bottom"/>
            <w:hideMark/>
          </w:tcPr>
          <w:p w14:paraId="1F21B483"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w:t>
            </w:r>
          </w:p>
        </w:tc>
        <w:tc>
          <w:tcPr>
            <w:tcW w:w="862" w:type="dxa"/>
            <w:tcBorders>
              <w:top w:val="nil"/>
              <w:left w:val="nil"/>
              <w:bottom w:val="nil"/>
              <w:right w:val="nil"/>
            </w:tcBorders>
            <w:shd w:val="clear" w:color="auto" w:fill="auto"/>
            <w:noWrap/>
            <w:vAlign w:val="bottom"/>
            <w:hideMark/>
          </w:tcPr>
          <w:p w14:paraId="6B16D7A2"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w:t>
            </w:r>
          </w:p>
        </w:tc>
      </w:tr>
      <w:tr w:rsidR="008A19F6" w:rsidRPr="008A19F6" w14:paraId="239C3E17"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5A352BC3" w14:textId="77777777" w:rsidR="008A19F6" w:rsidRPr="008A19F6" w:rsidRDefault="008A19F6" w:rsidP="008A19F6">
            <w:pPr>
              <w:spacing w:after="0"/>
              <w:ind w:firstLineChars="200" w:firstLine="320"/>
              <w:rPr>
                <w:rFonts w:ascii="Arial" w:hAnsi="Arial" w:cs="Arial"/>
                <w:b/>
                <w:bCs/>
                <w:sz w:val="16"/>
                <w:szCs w:val="16"/>
              </w:rPr>
            </w:pPr>
            <w:r w:rsidRPr="008A19F6">
              <w:rPr>
                <w:rFonts w:ascii="Arial" w:hAnsi="Arial" w:cs="Arial"/>
                <w:b/>
                <w:bCs/>
                <w:sz w:val="16"/>
                <w:szCs w:val="16"/>
              </w:rPr>
              <w:t>Total non-financial assets</w:t>
            </w:r>
          </w:p>
        </w:tc>
        <w:tc>
          <w:tcPr>
            <w:tcW w:w="924" w:type="dxa"/>
            <w:tcBorders>
              <w:top w:val="nil"/>
              <w:left w:val="nil"/>
              <w:bottom w:val="single" w:sz="4" w:space="0" w:color="auto"/>
              <w:right w:val="nil"/>
            </w:tcBorders>
            <w:shd w:val="clear" w:color="auto" w:fill="auto"/>
            <w:noWrap/>
            <w:vAlign w:val="bottom"/>
            <w:hideMark/>
          </w:tcPr>
          <w:p w14:paraId="44DCB367"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7,061</w:t>
            </w:r>
          </w:p>
        </w:tc>
        <w:tc>
          <w:tcPr>
            <w:tcW w:w="879" w:type="dxa"/>
            <w:tcBorders>
              <w:top w:val="nil"/>
              <w:left w:val="nil"/>
              <w:bottom w:val="single" w:sz="4" w:space="0" w:color="auto"/>
              <w:right w:val="nil"/>
            </w:tcBorders>
            <w:shd w:val="clear" w:color="000000" w:fill="D9D9D9"/>
            <w:noWrap/>
            <w:vAlign w:val="bottom"/>
            <w:hideMark/>
          </w:tcPr>
          <w:p w14:paraId="61DB4EE8"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10,262</w:t>
            </w:r>
          </w:p>
        </w:tc>
        <w:tc>
          <w:tcPr>
            <w:tcW w:w="873" w:type="dxa"/>
            <w:tcBorders>
              <w:top w:val="nil"/>
              <w:left w:val="nil"/>
              <w:bottom w:val="single" w:sz="4" w:space="0" w:color="auto"/>
              <w:right w:val="nil"/>
            </w:tcBorders>
            <w:shd w:val="clear" w:color="auto" w:fill="auto"/>
            <w:noWrap/>
            <w:vAlign w:val="bottom"/>
            <w:hideMark/>
          </w:tcPr>
          <w:p w14:paraId="356F07FA"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8,827</w:t>
            </w:r>
          </w:p>
        </w:tc>
        <w:tc>
          <w:tcPr>
            <w:tcW w:w="873" w:type="dxa"/>
            <w:tcBorders>
              <w:top w:val="nil"/>
              <w:left w:val="nil"/>
              <w:bottom w:val="single" w:sz="4" w:space="0" w:color="auto"/>
              <w:right w:val="nil"/>
            </w:tcBorders>
            <w:shd w:val="clear" w:color="auto" w:fill="auto"/>
            <w:noWrap/>
            <w:vAlign w:val="bottom"/>
            <w:hideMark/>
          </w:tcPr>
          <w:p w14:paraId="7F91D8A9"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7,398</w:t>
            </w:r>
          </w:p>
        </w:tc>
        <w:tc>
          <w:tcPr>
            <w:tcW w:w="862" w:type="dxa"/>
            <w:tcBorders>
              <w:top w:val="nil"/>
              <w:left w:val="nil"/>
              <w:bottom w:val="single" w:sz="4" w:space="0" w:color="auto"/>
              <w:right w:val="nil"/>
            </w:tcBorders>
            <w:shd w:val="clear" w:color="auto" w:fill="auto"/>
            <w:noWrap/>
            <w:vAlign w:val="bottom"/>
            <w:hideMark/>
          </w:tcPr>
          <w:p w14:paraId="1931B93E"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5,968</w:t>
            </w:r>
          </w:p>
        </w:tc>
      </w:tr>
      <w:tr w:rsidR="008A19F6" w:rsidRPr="008A19F6" w14:paraId="6045213D"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3C06C588"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Total assets</w:t>
            </w:r>
          </w:p>
        </w:tc>
        <w:tc>
          <w:tcPr>
            <w:tcW w:w="924" w:type="dxa"/>
            <w:tcBorders>
              <w:top w:val="nil"/>
              <w:left w:val="nil"/>
              <w:bottom w:val="single" w:sz="4" w:space="0" w:color="auto"/>
              <w:right w:val="nil"/>
            </w:tcBorders>
            <w:shd w:val="clear" w:color="auto" w:fill="auto"/>
            <w:noWrap/>
            <w:vAlign w:val="bottom"/>
            <w:hideMark/>
          </w:tcPr>
          <w:p w14:paraId="6AD4CFB1"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15,899</w:t>
            </w:r>
          </w:p>
        </w:tc>
        <w:tc>
          <w:tcPr>
            <w:tcW w:w="879" w:type="dxa"/>
            <w:tcBorders>
              <w:top w:val="nil"/>
              <w:left w:val="nil"/>
              <w:bottom w:val="single" w:sz="4" w:space="0" w:color="auto"/>
              <w:right w:val="nil"/>
            </w:tcBorders>
            <w:shd w:val="clear" w:color="000000" w:fill="D9D9D9"/>
            <w:noWrap/>
            <w:vAlign w:val="bottom"/>
            <w:hideMark/>
          </w:tcPr>
          <w:p w14:paraId="0130989D"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14,984</w:t>
            </w:r>
          </w:p>
        </w:tc>
        <w:tc>
          <w:tcPr>
            <w:tcW w:w="873" w:type="dxa"/>
            <w:tcBorders>
              <w:top w:val="nil"/>
              <w:left w:val="nil"/>
              <w:bottom w:val="single" w:sz="4" w:space="0" w:color="auto"/>
              <w:right w:val="nil"/>
            </w:tcBorders>
            <w:shd w:val="clear" w:color="auto" w:fill="auto"/>
            <w:noWrap/>
            <w:vAlign w:val="bottom"/>
            <w:hideMark/>
          </w:tcPr>
          <w:p w14:paraId="405B744F"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13,554</w:t>
            </w:r>
          </w:p>
        </w:tc>
        <w:tc>
          <w:tcPr>
            <w:tcW w:w="873" w:type="dxa"/>
            <w:tcBorders>
              <w:top w:val="nil"/>
              <w:left w:val="nil"/>
              <w:bottom w:val="single" w:sz="4" w:space="0" w:color="auto"/>
              <w:right w:val="nil"/>
            </w:tcBorders>
            <w:shd w:val="clear" w:color="auto" w:fill="auto"/>
            <w:noWrap/>
            <w:vAlign w:val="bottom"/>
            <w:hideMark/>
          </w:tcPr>
          <w:p w14:paraId="0F89DA2A"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12,130</w:t>
            </w:r>
          </w:p>
        </w:tc>
        <w:tc>
          <w:tcPr>
            <w:tcW w:w="862" w:type="dxa"/>
            <w:tcBorders>
              <w:top w:val="nil"/>
              <w:left w:val="nil"/>
              <w:bottom w:val="single" w:sz="4" w:space="0" w:color="auto"/>
              <w:right w:val="nil"/>
            </w:tcBorders>
            <w:shd w:val="clear" w:color="auto" w:fill="auto"/>
            <w:noWrap/>
            <w:vAlign w:val="bottom"/>
            <w:hideMark/>
          </w:tcPr>
          <w:p w14:paraId="36832592"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10,705</w:t>
            </w:r>
          </w:p>
        </w:tc>
      </w:tr>
      <w:tr w:rsidR="008A19F6" w:rsidRPr="008A19F6" w14:paraId="758DEB2F" w14:textId="77777777" w:rsidTr="007C3816">
        <w:trPr>
          <w:trHeight w:val="283"/>
          <w:jc w:val="center"/>
        </w:trPr>
        <w:tc>
          <w:tcPr>
            <w:tcW w:w="2977" w:type="dxa"/>
            <w:tcBorders>
              <w:top w:val="nil"/>
              <w:left w:val="nil"/>
              <w:bottom w:val="nil"/>
              <w:right w:val="nil"/>
            </w:tcBorders>
            <w:shd w:val="clear" w:color="auto" w:fill="auto"/>
            <w:noWrap/>
            <w:vAlign w:val="bottom"/>
            <w:hideMark/>
          </w:tcPr>
          <w:p w14:paraId="5718FAC6" w14:textId="77777777" w:rsidR="008A19F6" w:rsidRPr="008A19F6" w:rsidRDefault="008A19F6" w:rsidP="008A19F6">
            <w:pPr>
              <w:spacing w:after="0"/>
              <w:rPr>
                <w:rFonts w:ascii="Arial" w:hAnsi="Arial" w:cs="Arial"/>
                <w:b/>
                <w:bCs/>
                <w:sz w:val="16"/>
                <w:szCs w:val="16"/>
              </w:rPr>
            </w:pPr>
            <w:r w:rsidRPr="008A19F6">
              <w:rPr>
                <w:rFonts w:ascii="Arial" w:hAnsi="Arial" w:cs="Arial"/>
                <w:b/>
                <w:bCs/>
                <w:sz w:val="16"/>
                <w:szCs w:val="16"/>
              </w:rPr>
              <w:t>LIABILITIES</w:t>
            </w:r>
          </w:p>
        </w:tc>
        <w:tc>
          <w:tcPr>
            <w:tcW w:w="924" w:type="dxa"/>
            <w:tcBorders>
              <w:top w:val="nil"/>
              <w:left w:val="nil"/>
              <w:bottom w:val="nil"/>
              <w:right w:val="nil"/>
            </w:tcBorders>
            <w:shd w:val="clear" w:color="auto" w:fill="auto"/>
            <w:noWrap/>
            <w:vAlign w:val="bottom"/>
            <w:hideMark/>
          </w:tcPr>
          <w:p w14:paraId="7459610F" w14:textId="77777777" w:rsidR="008A19F6" w:rsidRPr="008A19F6" w:rsidRDefault="008A19F6" w:rsidP="008A19F6">
            <w:pPr>
              <w:spacing w:after="0"/>
              <w:rPr>
                <w:rFonts w:ascii="Arial" w:hAnsi="Arial" w:cs="Arial"/>
                <w:b/>
                <w:bCs/>
                <w:sz w:val="16"/>
                <w:szCs w:val="16"/>
              </w:rPr>
            </w:pPr>
          </w:p>
        </w:tc>
        <w:tc>
          <w:tcPr>
            <w:tcW w:w="879" w:type="dxa"/>
            <w:tcBorders>
              <w:top w:val="nil"/>
              <w:left w:val="nil"/>
              <w:bottom w:val="nil"/>
              <w:right w:val="nil"/>
            </w:tcBorders>
            <w:shd w:val="clear" w:color="000000" w:fill="D9D9D9"/>
            <w:noWrap/>
            <w:vAlign w:val="bottom"/>
            <w:hideMark/>
          </w:tcPr>
          <w:p w14:paraId="23ED6234"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nil"/>
              <w:left w:val="nil"/>
              <w:bottom w:val="nil"/>
              <w:right w:val="nil"/>
            </w:tcBorders>
            <w:shd w:val="clear" w:color="auto" w:fill="auto"/>
            <w:noWrap/>
            <w:vAlign w:val="bottom"/>
            <w:hideMark/>
          </w:tcPr>
          <w:p w14:paraId="64DD3224" w14:textId="77777777" w:rsidR="008A19F6" w:rsidRPr="008A19F6" w:rsidRDefault="008A19F6" w:rsidP="008A19F6">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bottom"/>
            <w:hideMark/>
          </w:tcPr>
          <w:p w14:paraId="14D97356" w14:textId="77777777" w:rsidR="008A19F6" w:rsidRPr="008A19F6" w:rsidRDefault="008A19F6" w:rsidP="008A19F6">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752A5F10" w14:textId="77777777" w:rsidR="008A19F6" w:rsidRPr="008A19F6" w:rsidRDefault="008A19F6" w:rsidP="008A19F6">
            <w:pPr>
              <w:spacing w:after="0"/>
              <w:jc w:val="right"/>
              <w:rPr>
                <w:rFonts w:ascii="Times New Roman" w:hAnsi="Times New Roman"/>
                <w:color w:val="auto"/>
                <w:sz w:val="20"/>
              </w:rPr>
            </w:pPr>
          </w:p>
        </w:tc>
      </w:tr>
      <w:tr w:rsidR="008A19F6" w:rsidRPr="008A19F6" w14:paraId="38A96069"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60846C5F"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Payables</w:t>
            </w:r>
          </w:p>
        </w:tc>
        <w:tc>
          <w:tcPr>
            <w:tcW w:w="924" w:type="dxa"/>
            <w:tcBorders>
              <w:top w:val="nil"/>
              <w:left w:val="nil"/>
              <w:bottom w:val="nil"/>
              <w:right w:val="nil"/>
            </w:tcBorders>
            <w:shd w:val="clear" w:color="auto" w:fill="auto"/>
            <w:noWrap/>
            <w:vAlign w:val="bottom"/>
            <w:hideMark/>
          </w:tcPr>
          <w:p w14:paraId="533E73EB" w14:textId="77777777" w:rsidR="008A19F6" w:rsidRPr="008A19F6" w:rsidRDefault="008A19F6" w:rsidP="008A19F6">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000000" w:fill="D9D9D9"/>
            <w:noWrap/>
            <w:vAlign w:val="bottom"/>
            <w:hideMark/>
          </w:tcPr>
          <w:p w14:paraId="1DF1DE6E"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nil"/>
              <w:left w:val="nil"/>
              <w:bottom w:val="nil"/>
              <w:right w:val="nil"/>
            </w:tcBorders>
            <w:shd w:val="clear" w:color="auto" w:fill="auto"/>
            <w:noWrap/>
            <w:vAlign w:val="bottom"/>
            <w:hideMark/>
          </w:tcPr>
          <w:p w14:paraId="62EEF68E" w14:textId="77777777" w:rsidR="008A19F6" w:rsidRPr="008A19F6" w:rsidRDefault="008A19F6" w:rsidP="008A19F6">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bottom"/>
            <w:hideMark/>
          </w:tcPr>
          <w:p w14:paraId="04758234" w14:textId="77777777" w:rsidR="008A19F6" w:rsidRPr="008A19F6" w:rsidRDefault="008A19F6" w:rsidP="008A19F6">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2B10A57C" w14:textId="77777777" w:rsidR="008A19F6" w:rsidRPr="008A19F6" w:rsidRDefault="008A19F6" w:rsidP="008A19F6">
            <w:pPr>
              <w:spacing w:after="0"/>
              <w:jc w:val="right"/>
              <w:rPr>
                <w:rFonts w:ascii="Times New Roman" w:hAnsi="Times New Roman"/>
                <w:color w:val="auto"/>
                <w:sz w:val="20"/>
              </w:rPr>
            </w:pPr>
          </w:p>
        </w:tc>
      </w:tr>
      <w:tr w:rsidR="008A19F6" w:rsidRPr="008A19F6" w14:paraId="1E5CB270"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54E4783B"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Suppliers</w:t>
            </w:r>
          </w:p>
        </w:tc>
        <w:tc>
          <w:tcPr>
            <w:tcW w:w="924" w:type="dxa"/>
            <w:tcBorders>
              <w:top w:val="nil"/>
              <w:left w:val="nil"/>
              <w:bottom w:val="nil"/>
              <w:right w:val="nil"/>
            </w:tcBorders>
            <w:shd w:val="clear" w:color="auto" w:fill="auto"/>
            <w:noWrap/>
            <w:vAlign w:val="bottom"/>
            <w:hideMark/>
          </w:tcPr>
          <w:p w14:paraId="5BE5525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109</w:t>
            </w:r>
          </w:p>
        </w:tc>
        <w:tc>
          <w:tcPr>
            <w:tcW w:w="879" w:type="dxa"/>
            <w:tcBorders>
              <w:top w:val="nil"/>
              <w:left w:val="nil"/>
              <w:bottom w:val="nil"/>
              <w:right w:val="nil"/>
            </w:tcBorders>
            <w:shd w:val="clear" w:color="000000" w:fill="D9D9D9"/>
            <w:noWrap/>
            <w:vAlign w:val="bottom"/>
            <w:hideMark/>
          </w:tcPr>
          <w:p w14:paraId="0794A475"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104</w:t>
            </w:r>
          </w:p>
        </w:tc>
        <w:tc>
          <w:tcPr>
            <w:tcW w:w="873" w:type="dxa"/>
            <w:tcBorders>
              <w:top w:val="nil"/>
              <w:left w:val="nil"/>
              <w:bottom w:val="nil"/>
              <w:right w:val="nil"/>
            </w:tcBorders>
            <w:shd w:val="clear" w:color="auto" w:fill="auto"/>
            <w:noWrap/>
            <w:vAlign w:val="bottom"/>
            <w:hideMark/>
          </w:tcPr>
          <w:p w14:paraId="6C75CF9A"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104</w:t>
            </w:r>
          </w:p>
        </w:tc>
        <w:tc>
          <w:tcPr>
            <w:tcW w:w="873" w:type="dxa"/>
            <w:tcBorders>
              <w:top w:val="nil"/>
              <w:left w:val="nil"/>
              <w:bottom w:val="nil"/>
              <w:right w:val="nil"/>
            </w:tcBorders>
            <w:shd w:val="clear" w:color="auto" w:fill="auto"/>
            <w:noWrap/>
            <w:vAlign w:val="bottom"/>
            <w:hideMark/>
          </w:tcPr>
          <w:p w14:paraId="7EAA4280"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104</w:t>
            </w:r>
          </w:p>
        </w:tc>
        <w:tc>
          <w:tcPr>
            <w:tcW w:w="862" w:type="dxa"/>
            <w:tcBorders>
              <w:top w:val="nil"/>
              <w:left w:val="nil"/>
              <w:bottom w:val="nil"/>
              <w:right w:val="nil"/>
            </w:tcBorders>
            <w:shd w:val="clear" w:color="auto" w:fill="auto"/>
            <w:noWrap/>
            <w:vAlign w:val="bottom"/>
            <w:hideMark/>
          </w:tcPr>
          <w:p w14:paraId="64C6169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104</w:t>
            </w:r>
          </w:p>
        </w:tc>
      </w:tr>
      <w:tr w:rsidR="008A19F6" w:rsidRPr="008A19F6" w14:paraId="36D4AF7A"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65362C88"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Other payables</w:t>
            </w:r>
          </w:p>
        </w:tc>
        <w:tc>
          <w:tcPr>
            <w:tcW w:w="924" w:type="dxa"/>
            <w:tcBorders>
              <w:top w:val="nil"/>
              <w:left w:val="nil"/>
              <w:bottom w:val="nil"/>
              <w:right w:val="nil"/>
            </w:tcBorders>
            <w:shd w:val="clear" w:color="auto" w:fill="auto"/>
            <w:noWrap/>
            <w:vAlign w:val="bottom"/>
            <w:hideMark/>
          </w:tcPr>
          <w:p w14:paraId="6A573FE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610</w:t>
            </w:r>
          </w:p>
        </w:tc>
        <w:tc>
          <w:tcPr>
            <w:tcW w:w="879" w:type="dxa"/>
            <w:tcBorders>
              <w:top w:val="nil"/>
              <w:left w:val="nil"/>
              <w:bottom w:val="nil"/>
              <w:right w:val="nil"/>
            </w:tcBorders>
            <w:shd w:val="clear" w:color="000000" w:fill="D9D9D9"/>
            <w:noWrap/>
            <w:vAlign w:val="bottom"/>
            <w:hideMark/>
          </w:tcPr>
          <w:p w14:paraId="303CAE8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610</w:t>
            </w:r>
          </w:p>
        </w:tc>
        <w:tc>
          <w:tcPr>
            <w:tcW w:w="873" w:type="dxa"/>
            <w:tcBorders>
              <w:top w:val="nil"/>
              <w:left w:val="nil"/>
              <w:bottom w:val="nil"/>
              <w:right w:val="nil"/>
            </w:tcBorders>
            <w:shd w:val="clear" w:color="auto" w:fill="auto"/>
            <w:noWrap/>
            <w:vAlign w:val="bottom"/>
            <w:hideMark/>
          </w:tcPr>
          <w:p w14:paraId="23016BA8"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610</w:t>
            </w:r>
          </w:p>
        </w:tc>
        <w:tc>
          <w:tcPr>
            <w:tcW w:w="873" w:type="dxa"/>
            <w:tcBorders>
              <w:top w:val="nil"/>
              <w:left w:val="nil"/>
              <w:bottom w:val="nil"/>
              <w:right w:val="nil"/>
            </w:tcBorders>
            <w:shd w:val="clear" w:color="auto" w:fill="auto"/>
            <w:noWrap/>
            <w:vAlign w:val="bottom"/>
            <w:hideMark/>
          </w:tcPr>
          <w:p w14:paraId="088BDF5B"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610</w:t>
            </w:r>
          </w:p>
        </w:tc>
        <w:tc>
          <w:tcPr>
            <w:tcW w:w="862" w:type="dxa"/>
            <w:tcBorders>
              <w:top w:val="nil"/>
              <w:left w:val="nil"/>
              <w:bottom w:val="nil"/>
              <w:right w:val="nil"/>
            </w:tcBorders>
            <w:shd w:val="clear" w:color="auto" w:fill="auto"/>
            <w:noWrap/>
            <w:vAlign w:val="bottom"/>
            <w:hideMark/>
          </w:tcPr>
          <w:p w14:paraId="790458E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610</w:t>
            </w:r>
          </w:p>
        </w:tc>
      </w:tr>
      <w:tr w:rsidR="008A19F6" w:rsidRPr="008A19F6" w14:paraId="2038DD75"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185CAF78" w14:textId="77777777" w:rsidR="008A19F6" w:rsidRPr="008A19F6" w:rsidRDefault="008A19F6" w:rsidP="008A19F6">
            <w:pPr>
              <w:spacing w:after="0"/>
              <w:ind w:firstLineChars="200" w:firstLine="320"/>
              <w:rPr>
                <w:rFonts w:ascii="Arial" w:hAnsi="Arial" w:cs="Arial"/>
                <w:b/>
                <w:bCs/>
                <w:sz w:val="16"/>
                <w:szCs w:val="16"/>
              </w:rPr>
            </w:pPr>
            <w:r w:rsidRPr="008A19F6">
              <w:rPr>
                <w:rFonts w:ascii="Arial" w:hAnsi="Arial" w:cs="Arial"/>
                <w:b/>
                <w:bCs/>
                <w:sz w:val="16"/>
                <w:szCs w:val="16"/>
              </w:rPr>
              <w:t>Total payables</w:t>
            </w:r>
          </w:p>
        </w:tc>
        <w:tc>
          <w:tcPr>
            <w:tcW w:w="924" w:type="dxa"/>
            <w:tcBorders>
              <w:top w:val="nil"/>
              <w:left w:val="nil"/>
              <w:bottom w:val="single" w:sz="4" w:space="0" w:color="auto"/>
              <w:right w:val="nil"/>
            </w:tcBorders>
            <w:shd w:val="clear" w:color="auto" w:fill="auto"/>
            <w:noWrap/>
            <w:vAlign w:val="bottom"/>
            <w:hideMark/>
          </w:tcPr>
          <w:p w14:paraId="36C44165"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719</w:t>
            </w:r>
          </w:p>
        </w:tc>
        <w:tc>
          <w:tcPr>
            <w:tcW w:w="879" w:type="dxa"/>
            <w:tcBorders>
              <w:top w:val="nil"/>
              <w:left w:val="nil"/>
              <w:bottom w:val="single" w:sz="4" w:space="0" w:color="auto"/>
              <w:right w:val="nil"/>
            </w:tcBorders>
            <w:shd w:val="clear" w:color="000000" w:fill="D9D9D9"/>
            <w:noWrap/>
            <w:vAlign w:val="bottom"/>
            <w:hideMark/>
          </w:tcPr>
          <w:p w14:paraId="220D9F61"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714</w:t>
            </w:r>
          </w:p>
        </w:tc>
        <w:tc>
          <w:tcPr>
            <w:tcW w:w="873" w:type="dxa"/>
            <w:tcBorders>
              <w:top w:val="nil"/>
              <w:left w:val="nil"/>
              <w:bottom w:val="single" w:sz="4" w:space="0" w:color="auto"/>
              <w:right w:val="nil"/>
            </w:tcBorders>
            <w:shd w:val="clear" w:color="auto" w:fill="auto"/>
            <w:noWrap/>
            <w:vAlign w:val="bottom"/>
            <w:hideMark/>
          </w:tcPr>
          <w:p w14:paraId="7FA7FDFD"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714</w:t>
            </w:r>
          </w:p>
        </w:tc>
        <w:tc>
          <w:tcPr>
            <w:tcW w:w="873" w:type="dxa"/>
            <w:tcBorders>
              <w:top w:val="nil"/>
              <w:left w:val="nil"/>
              <w:bottom w:val="single" w:sz="4" w:space="0" w:color="auto"/>
              <w:right w:val="nil"/>
            </w:tcBorders>
            <w:shd w:val="clear" w:color="auto" w:fill="auto"/>
            <w:noWrap/>
            <w:vAlign w:val="bottom"/>
            <w:hideMark/>
          </w:tcPr>
          <w:p w14:paraId="6AC7C420"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714</w:t>
            </w:r>
          </w:p>
        </w:tc>
        <w:tc>
          <w:tcPr>
            <w:tcW w:w="862" w:type="dxa"/>
            <w:tcBorders>
              <w:top w:val="nil"/>
              <w:left w:val="nil"/>
              <w:bottom w:val="single" w:sz="4" w:space="0" w:color="auto"/>
              <w:right w:val="nil"/>
            </w:tcBorders>
            <w:shd w:val="clear" w:color="auto" w:fill="auto"/>
            <w:noWrap/>
            <w:vAlign w:val="bottom"/>
            <w:hideMark/>
          </w:tcPr>
          <w:p w14:paraId="0CBBEB27"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714</w:t>
            </w:r>
          </w:p>
        </w:tc>
      </w:tr>
      <w:tr w:rsidR="008A19F6" w:rsidRPr="008A19F6" w14:paraId="33BD757A" w14:textId="77777777" w:rsidTr="007C3816">
        <w:trPr>
          <w:trHeight w:val="283"/>
          <w:jc w:val="center"/>
        </w:trPr>
        <w:tc>
          <w:tcPr>
            <w:tcW w:w="2977" w:type="dxa"/>
            <w:tcBorders>
              <w:top w:val="nil"/>
              <w:left w:val="nil"/>
              <w:bottom w:val="nil"/>
              <w:right w:val="nil"/>
            </w:tcBorders>
            <w:shd w:val="clear" w:color="auto" w:fill="auto"/>
            <w:noWrap/>
            <w:vAlign w:val="bottom"/>
            <w:hideMark/>
          </w:tcPr>
          <w:p w14:paraId="4094A460"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Interest bearing liabilities</w:t>
            </w:r>
          </w:p>
        </w:tc>
        <w:tc>
          <w:tcPr>
            <w:tcW w:w="924" w:type="dxa"/>
            <w:tcBorders>
              <w:top w:val="nil"/>
              <w:left w:val="nil"/>
              <w:bottom w:val="nil"/>
              <w:right w:val="nil"/>
            </w:tcBorders>
            <w:shd w:val="clear" w:color="auto" w:fill="auto"/>
            <w:noWrap/>
            <w:vAlign w:val="bottom"/>
            <w:hideMark/>
          </w:tcPr>
          <w:p w14:paraId="2172CCAC" w14:textId="77777777" w:rsidR="008A19F6" w:rsidRPr="008A19F6" w:rsidRDefault="008A19F6" w:rsidP="008A19F6">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000000" w:fill="D9D9D9"/>
            <w:noWrap/>
            <w:vAlign w:val="bottom"/>
            <w:hideMark/>
          </w:tcPr>
          <w:p w14:paraId="4C229523" w14:textId="77777777" w:rsidR="008A19F6" w:rsidRPr="008A19F6" w:rsidRDefault="008A19F6" w:rsidP="008A19F6">
            <w:pPr>
              <w:spacing w:after="0"/>
              <w:jc w:val="right"/>
              <w:rPr>
                <w:rFonts w:ascii="Arial" w:hAnsi="Arial" w:cs="Arial"/>
                <w:sz w:val="16"/>
                <w:szCs w:val="16"/>
              </w:rPr>
            </w:pPr>
            <w:r w:rsidRPr="008A19F6">
              <w:rPr>
                <w:rFonts w:ascii="Arial" w:hAnsi="Arial" w:cs="Arial"/>
                <w:sz w:val="16"/>
                <w:szCs w:val="16"/>
              </w:rPr>
              <w:t> </w:t>
            </w:r>
          </w:p>
        </w:tc>
        <w:tc>
          <w:tcPr>
            <w:tcW w:w="873" w:type="dxa"/>
            <w:tcBorders>
              <w:top w:val="nil"/>
              <w:left w:val="nil"/>
              <w:bottom w:val="nil"/>
              <w:right w:val="nil"/>
            </w:tcBorders>
            <w:shd w:val="clear" w:color="auto" w:fill="auto"/>
            <w:noWrap/>
            <w:vAlign w:val="bottom"/>
            <w:hideMark/>
          </w:tcPr>
          <w:p w14:paraId="65C03176" w14:textId="77777777" w:rsidR="008A19F6" w:rsidRPr="008A19F6" w:rsidRDefault="008A19F6" w:rsidP="008A19F6">
            <w:pPr>
              <w:spacing w:after="0"/>
              <w:jc w:val="right"/>
              <w:rPr>
                <w:rFonts w:ascii="Arial" w:hAnsi="Arial" w:cs="Arial"/>
                <w:sz w:val="16"/>
                <w:szCs w:val="16"/>
              </w:rPr>
            </w:pPr>
          </w:p>
        </w:tc>
        <w:tc>
          <w:tcPr>
            <w:tcW w:w="873" w:type="dxa"/>
            <w:tcBorders>
              <w:top w:val="nil"/>
              <w:left w:val="nil"/>
              <w:bottom w:val="nil"/>
              <w:right w:val="nil"/>
            </w:tcBorders>
            <w:shd w:val="clear" w:color="auto" w:fill="auto"/>
            <w:noWrap/>
            <w:vAlign w:val="bottom"/>
            <w:hideMark/>
          </w:tcPr>
          <w:p w14:paraId="19365C3A" w14:textId="77777777" w:rsidR="008A19F6" w:rsidRPr="008A19F6" w:rsidRDefault="008A19F6" w:rsidP="008A19F6">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557CE72C" w14:textId="77777777" w:rsidR="008A19F6" w:rsidRPr="008A19F6" w:rsidRDefault="008A19F6" w:rsidP="008A19F6">
            <w:pPr>
              <w:spacing w:after="0"/>
              <w:jc w:val="right"/>
              <w:rPr>
                <w:rFonts w:ascii="Times New Roman" w:hAnsi="Times New Roman"/>
                <w:color w:val="auto"/>
                <w:sz w:val="20"/>
              </w:rPr>
            </w:pPr>
          </w:p>
        </w:tc>
      </w:tr>
      <w:tr w:rsidR="008A19F6" w:rsidRPr="008A19F6" w14:paraId="33C3236B"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065091C8"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Leases</w:t>
            </w:r>
          </w:p>
        </w:tc>
        <w:tc>
          <w:tcPr>
            <w:tcW w:w="924" w:type="dxa"/>
            <w:tcBorders>
              <w:top w:val="nil"/>
              <w:left w:val="nil"/>
              <w:bottom w:val="nil"/>
              <w:right w:val="nil"/>
            </w:tcBorders>
            <w:shd w:val="clear" w:color="auto" w:fill="auto"/>
            <w:noWrap/>
            <w:vAlign w:val="bottom"/>
            <w:hideMark/>
          </w:tcPr>
          <w:p w14:paraId="5BF54B92"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4,965</w:t>
            </w:r>
          </w:p>
        </w:tc>
        <w:tc>
          <w:tcPr>
            <w:tcW w:w="879" w:type="dxa"/>
            <w:tcBorders>
              <w:top w:val="nil"/>
              <w:left w:val="nil"/>
              <w:bottom w:val="nil"/>
              <w:right w:val="nil"/>
            </w:tcBorders>
            <w:shd w:val="clear" w:color="000000" w:fill="D9D9D9"/>
            <w:noWrap/>
            <w:vAlign w:val="bottom"/>
            <w:hideMark/>
          </w:tcPr>
          <w:p w14:paraId="6C60F66E"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4,185</w:t>
            </w:r>
          </w:p>
        </w:tc>
        <w:tc>
          <w:tcPr>
            <w:tcW w:w="873" w:type="dxa"/>
            <w:tcBorders>
              <w:top w:val="nil"/>
              <w:left w:val="nil"/>
              <w:bottom w:val="nil"/>
              <w:right w:val="nil"/>
            </w:tcBorders>
            <w:shd w:val="clear" w:color="auto" w:fill="auto"/>
            <w:noWrap/>
            <w:vAlign w:val="bottom"/>
            <w:hideMark/>
          </w:tcPr>
          <w:p w14:paraId="5EDAC45C"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3,352</w:t>
            </w:r>
          </w:p>
        </w:tc>
        <w:tc>
          <w:tcPr>
            <w:tcW w:w="873" w:type="dxa"/>
            <w:tcBorders>
              <w:top w:val="nil"/>
              <w:left w:val="nil"/>
              <w:bottom w:val="nil"/>
              <w:right w:val="nil"/>
            </w:tcBorders>
            <w:shd w:val="clear" w:color="auto" w:fill="auto"/>
            <w:noWrap/>
            <w:vAlign w:val="bottom"/>
            <w:hideMark/>
          </w:tcPr>
          <w:p w14:paraId="09ABD49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2,519</w:t>
            </w:r>
          </w:p>
        </w:tc>
        <w:tc>
          <w:tcPr>
            <w:tcW w:w="862" w:type="dxa"/>
            <w:tcBorders>
              <w:top w:val="nil"/>
              <w:left w:val="nil"/>
              <w:bottom w:val="nil"/>
              <w:right w:val="nil"/>
            </w:tcBorders>
            <w:shd w:val="clear" w:color="auto" w:fill="auto"/>
            <w:noWrap/>
            <w:vAlign w:val="bottom"/>
            <w:hideMark/>
          </w:tcPr>
          <w:p w14:paraId="20067BAB"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1,686</w:t>
            </w:r>
          </w:p>
        </w:tc>
      </w:tr>
      <w:tr w:rsidR="008A19F6" w:rsidRPr="008A19F6" w14:paraId="010E775B"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6032809C" w14:textId="77777777" w:rsidR="008A19F6" w:rsidRPr="008A19F6" w:rsidRDefault="008A19F6" w:rsidP="008A19F6">
            <w:pPr>
              <w:spacing w:after="0"/>
              <w:ind w:firstLineChars="200" w:firstLine="320"/>
              <w:rPr>
                <w:rFonts w:ascii="Arial" w:hAnsi="Arial" w:cs="Arial"/>
                <w:b/>
                <w:bCs/>
                <w:sz w:val="16"/>
                <w:szCs w:val="16"/>
              </w:rPr>
            </w:pPr>
            <w:r w:rsidRPr="008A19F6">
              <w:rPr>
                <w:rFonts w:ascii="Arial" w:hAnsi="Arial" w:cs="Arial"/>
                <w:b/>
                <w:bCs/>
                <w:sz w:val="16"/>
                <w:szCs w:val="16"/>
              </w:rPr>
              <w:t>Total interest bearing liabilities</w:t>
            </w:r>
          </w:p>
        </w:tc>
        <w:tc>
          <w:tcPr>
            <w:tcW w:w="924" w:type="dxa"/>
            <w:tcBorders>
              <w:top w:val="nil"/>
              <w:left w:val="nil"/>
              <w:bottom w:val="single" w:sz="4" w:space="0" w:color="auto"/>
              <w:right w:val="nil"/>
            </w:tcBorders>
            <w:shd w:val="clear" w:color="auto" w:fill="auto"/>
            <w:noWrap/>
            <w:vAlign w:val="bottom"/>
            <w:hideMark/>
          </w:tcPr>
          <w:p w14:paraId="0C7CB81E" w14:textId="77777777" w:rsidR="008A19F6" w:rsidRPr="008A19F6" w:rsidRDefault="008A19F6" w:rsidP="008A19F6">
            <w:pPr>
              <w:spacing w:after="0"/>
              <w:jc w:val="right"/>
              <w:rPr>
                <w:rFonts w:ascii="Arial" w:hAnsi="Arial" w:cs="Arial"/>
                <w:b/>
                <w:bCs/>
                <w:sz w:val="16"/>
                <w:szCs w:val="16"/>
              </w:rPr>
            </w:pPr>
            <w:r w:rsidRPr="008A19F6">
              <w:rPr>
                <w:rFonts w:ascii="Arial" w:hAnsi="Arial" w:cs="Arial"/>
                <w:b/>
                <w:bCs/>
                <w:sz w:val="16"/>
                <w:szCs w:val="16"/>
              </w:rPr>
              <w:t>4,965</w:t>
            </w:r>
          </w:p>
        </w:tc>
        <w:tc>
          <w:tcPr>
            <w:tcW w:w="879" w:type="dxa"/>
            <w:tcBorders>
              <w:top w:val="nil"/>
              <w:left w:val="nil"/>
              <w:bottom w:val="single" w:sz="4" w:space="0" w:color="auto"/>
              <w:right w:val="nil"/>
            </w:tcBorders>
            <w:shd w:val="clear" w:color="000000" w:fill="D9D9D9"/>
            <w:noWrap/>
            <w:vAlign w:val="bottom"/>
            <w:hideMark/>
          </w:tcPr>
          <w:p w14:paraId="27B00967" w14:textId="77777777" w:rsidR="008A19F6" w:rsidRPr="008A19F6" w:rsidRDefault="008A19F6" w:rsidP="008A19F6">
            <w:pPr>
              <w:spacing w:after="0"/>
              <w:jc w:val="right"/>
              <w:rPr>
                <w:rFonts w:ascii="Arial" w:hAnsi="Arial" w:cs="Arial"/>
                <w:b/>
                <w:bCs/>
                <w:sz w:val="16"/>
                <w:szCs w:val="16"/>
              </w:rPr>
            </w:pPr>
            <w:r w:rsidRPr="008A19F6">
              <w:rPr>
                <w:rFonts w:ascii="Arial" w:hAnsi="Arial" w:cs="Arial"/>
                <w:b/>
                <w:bCs/>
                <w:sz w:val="16"/>
                <w:szCs w:val="16"/>
              </w:rPr>
              <w:t>4,185</w:t>
            </w:r>
          </w:p>
        </w:tc>
        <w:tc>
          <w:tcPr>
            <w:tcW w:w="873" w:type="dxa"/>
            <w:tcBorders>
              <w:top w:val="nil"/>
              <w:left w:val="nil"/>
              <w:bottom w:val="single" w:sz="4" w:space="0" w:color="auto"/>
              <w:right w:val="nil"/>
            </w:tcBorders>
            <w:shd w:val="clear" w:color="auto" w:fill="auto"/>
            <w:noWrap/>
            <w:vAlign w:val="bottom"/>
            <w:hideMark/>
          </w:tcPr>
          <w:p w14:paraId="2765783B" w14:textId="77777777" w:rsidR="008A19F6" w:rsidRPr="008A19F6" w:rsidRDefault="008A19F6" w:rsidP="008A19F6">
            <w:pPr>
              <w:spacing w:after="0"/>
              <w:jc w:val="right"/>
              <w:rPr>
                <w:rFonts w:ascii="Arial" w:hAnsi="Arial" w:cs="Arial"/>
                <w:b/>
                <w:bCs/>
                <w:sz w:val="16"/>
                <w:szCs w:val="16"/>
              </w:rPr>
            </w:pPr>
            <w:r w:rsidRPr="008A19F6">
              <w:rPr>
                <w:rFonts w:ascii="Arial" w:hAnsi="Arial" w:cs="Arial"/>
                <w:b/>
                <w:bCs/>
                <w:sz w:val="16"/>
                <w:szCs w:val="16"/>
              </w:rPr>
              <w:t>3,352</w:t>
            </w:r>
          </w:p>
        </w:tc>
        <w:tc>
          <w:tcPr>
            <w:tcW w:w="873" w:type="dxa"/>
            <w:tcBorders>
              <w:top w:val="nil"/>
              <w:left w:val="nil"/>
              <w:bottom w:val="single" w:sz="4" w:space="0" w:color="auto"/>
              <w:right w:val="nil"/>
            </w:tcBorders>
            <w:shd w:val="clear" w:color="auto" w:fill="auto"/>
            <w:noWrap/>
            <w:vAlign w:val="bottom"/>
            <w:hideMark/>
          </w:tcPr>
          <w:p w14:paraId="7AC231AB" w14:textId="77777777" w:rsidR="008A19F6" w:rsidRPr="008A19F6" w:rsidRDefault="008A19F6" w:rsidP="008A19F6">
            <w:pPr>
              <w:spacing w:after="0"/>
              <w:jc w:val="right"/>
              <w:rPr>
                <w:rFonts w:ascii="Arial" w:hAnsi="Arial" w:cs="Arial"/>
                <w:b/>
                <w:bCs/>
                <w:sz w:val="16"/>
                <w:szCs w:val="16"/>
              </w:rPr>
            </w:pPr>
            <w:r w:rsidRPr="008A19F6">
              <w:rPr>
                <w:rFonts w:ascii="Arial" w:hAnsi="Arial" w:cs="Arial"/>
                <w:b/>
                <w:bCs/>
                <w:sz w:val="16"/>
                <w:szCs w:val="16"/>
              </w:rPr>
              <w:t>2,519</w:t>
            </w:r>
          </w:p>
        </w:tc>
        <w:tc>
          <w:tcPr>
            <w:tcW w:w="862" w:type="dxa"/>
            <w:tcBorders>
              <w:top w:val="nil"/>
              <w:left w:val="nil"/>
              <w:bottom w:val="single" w:sz="4" w:space="0" w:color="auto"/>
              <w:right w:val="nil"/>
            </w:tcBorders>
            <w:shd w:val="clear" w:color="auto" w:fill="auto"/>
            <w:noWrap/>
            <w:vAlign w:val="bottom"/>
            <w:hideMark/>
          </w:tcPr>
          <w:p w14:paraId="06F85CD8" w14:textId="77777777" w:rsidR="008A19F6" w:rsidRPr="008A19F6" w:rsidRDefault="008A19F6" w:rsidP="008A19F6">
            <w:pPr>
              <w:spacing w:after="0"/>
              <w:jc w:val="right"/>
              <w:rPr>
                <w:rFonts w:ascii="Arial" w:hAnsi="Arial" w:cs="Arial"/>
                <w:b/>
                <w:bCs/>
                <w:sz w:val="16"/>
                <w:szCs w:val="16"/>
              </w:rPr>
            </w:pPr>
            <w:r w:rsidRPr="008A19F6">
              <w:rPr>
                <w:rFonts w:ascii="Arial" w:hAnsi="Arial" w:cs="Arial"/>
                <w:b/>
                <w:bCs/>
                <w:sz w:val="16"/>
                <w:szCs w:val="16"/>
              </w:rPr>
              <w:t>1,686</w:t>
            </w:r>
          </w:p>
        </w:tc>
      </w:tr>
      <w:tr w:rsidR="008A19F6" w:rsidRPr="008A19F6" w14:paraId="500D521A" w14:textId="77777777" w:rsidTr="007C3816">
        <w:trPr>
          <w:trHeight w:val="283"/>
          <w:jc w:val="center"/>
        </w:trPr>
        <w:tc>
          <w:tcPr>
            <w:tcW w:w="2977" w:type="dxa"/>
            <w:tcBorders>
              <w:top w:val="nil"/>
              <w:left w:val="nil"/>
              <w:bottom w:val="nil"/>
              <w:right w:val="nil"/>
            </w:tcBorders>
            <w:shd w:val="clear" w:color="auto" w:fill="auto"/>
            <w:noWrap/>
            <w:vAlign w:val="bottom"/>
            <w:hideMark/>
          </w:tcPr>
          <w:p w14:paraId="230589F8"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Provisions</w:t>
            </w:r>
          </w:p>
        </w:tc>
        <w:tc>
          <w:tcPr>
            <w:tcW w:w="924" w:type="dxa"/>
            <w:tcBorders>
              <w:top w:val="nil"/>
              <w:left w:val="nil"/>
              <w:bottom w:val="nil"/>
              <w:right w:val="nil"/>
            </w:tcBorders>
            <w:shd w:val="clear" w:color="auto" w:fill="auto"/>
            <w:noWrap/>
            <w:vAlign w:val="bottom"/>
            <w:hideMark/>
          </w:tcPr>
          <w:p w14:paraId="268AB382" w14:textId="77777777" w:rsidR="008A19F6" w:rsidRPr="008A19F6" w:rsidRDefault="008A19F6" w:rsidP="008A19F6">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000000" w:fill="D9D9D9"/>
            <w:noWrap/>
            <w:vAlign w:val="bottom"/>
            <w:hideMark/>
          </w:tcPr>
          <w:p w14:paraId="32153AFC"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nil"/>
              <w:left w:val="nil"/>
              <w:bottom w:val="nil"/>
              <w:right w:val="nil"/>
            </w:tcBorders>
            <w:shd w:val="clear" w:color="auto" w:fill="auto"/>
            <w:noWrap/>
            <w:vAlign w:val="bottom"/>
            <w:hideMark/>
          </w:tcPr>
          <w:p w14:paraId="7384B2F1" w14:textId="77777777" w:rsidR="008A19F6" w:rsidRPr="008A19F6" w:rsidRDefault="008A19F6" w:rsidP="008A19F6">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bottom"/>
            <w:hideMark/>
          </w:tcPr>
          <w:p w14:paraId="44D1C47E" w14:textId="77777777" w:rsidR="008A19F6" w:rsidRPr="008A19F6" w:rsidRDefault="008A19F6" w:rsidP="008A19F6">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3E6BFE73" w14:textId="77777777" w:rsidR="008A19F6" w:rsidRPr="008A19F6" w:rsidRDefault="008A19F6" w:rsidP="008A19F6">
            <w:pPr>
              <w:spacing w:after="0"/>
              <w:jc w:val="right"/>
              <w:rPr>
                <w:rFonts w:ascii="Times New Roman" w:hAnsi="Times New Roman"/>
                <w:color w:val="auto"/>
                <w:sz w:val="20"/>
              </w:rPr>
            </w:pPr>
          </w:p>
        </w:tc>
      </w:tr>
      <w:tr w:rsidR="008A19F6" w:rsidRPr="008A19F6" w14:paraId="6A87AA21"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2A137E7F"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Employees</w:t>
            </w:r>
          </w:p>
        </w:tc>
        <w:tc>
          <w:tcPr>
            <w:tcW w:w="924" w:type="dxa"/>
            <w:tcBorders>
              <w:top w:val="nil"/>
              <w:left w:val="nil"/>
              <w:bottom w:val="nil"/>
              <w:right w:val="nil"/>
            </w:tcBorders>
            <w:shd w:val="clear" w:color="auto" w:fill="auto"/>
            <w:noWrap/>
            <w:vAlign w:val="bottom"/>
            <w:hideMark/>
          </w:tcPr>
          <w:p w14:paraId="48E899D0"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1,897</w:t>
            </w:r>
          </w:p>
        </w:tc>
        <w:tc>
          <w:tcPr>
            <w:tcW w:w="879" w:type="dxa"/>
            <w:tcBorders>
              <w:top w:val="nil"/>
              <w:left w:val="nil"/>
              <w:bottom w:val="nil"/>
              <w:right w:val="nil"/>
            </w:tcBorders>
            <w:shd w:val="clear" w:color="000000" w:fill="D9D9D9"/>
            <w:noWrap/>
            <w:vAlign w:val="bottom"/>
            <w:hideMark/>
          </w:tcPr>
          <w:p w14:paraId="1E61ABF0"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1,897</w:t>
            </w:r>
          </w:p>
        </w:tc>
        <w:tc>
          <w:tcPr>
            <w:tcW w:w="873" w:type="dxa"/>
            <w:tcBorders>
              <w:top w:val="nil"/>
              <w:left w:val="nil"/>
              <w:bottom w:val="nil"/>
              <w:right w:val="nil"/>
            </w:tcBorders>
            <w:shd w:val="clear" w:color="auto" w:fill="auto"/>
            <w:noWrap/>
            <w:vAlign w:val="bottom"/>
            <w:hideMark/>
          </w:tcPr>
          <w:p w14:paraId="240DD4D4"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1,897</w:t>
            </w:r>
          </w:p>
        </w:tc>
        <w:tc>
          <w:tcPr>
            <w:tcW w:w="873" w:type="dxa"/>
            <w:tcBorders>
              <w:top w:val="nil"/>
              <w:left w:val="nil"/>
              <w:bottom w:val="nil"/>
              <w:right w:val="nil"/>
            </w:tcBorders>
            <w:shd w:val="clear" w:color="auto" w:fill="auto"/>
            <w:noWrap/>
            <w:vAlign w:val="bottom"/>
            <w:hideMark/>
          </w:tcPr>
          <w:p w14:paraId="41AA9D29"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1,897</w:t>
            </w:r>
          </w:p>
        </w:tc>
        <w:tc>
          <w:tcPr>
            <w:tcW w:w="862" w:type="dxa"/>
            <w:tcBorders>
              <w:top w:val="nil"/>
              <w:left w:val="nil"/>
              <w:bottom w:val="nil"/>
              <w:right w:val="nil"/>
            </w:tcBorders>
            <w:shd w:val="clear" w:color="auto" w:fill="auto"/>
            <w:noWrap/>
            <w:vAlign w:val="bottom"/>
            <w:hideMark/>
          </w:tcPr>
          <w:p w14:paraId="495C070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1,897</w:t>
            </w:r>
          </w:p>
        </w:tc>
      </w:tr>
      <w:tr w:rsidR="008A19F6" w:rsidRPr="008A19F6" w14:paraId="572B04D9"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7196B277" w14:textId="77777777" w:rsidR="008A19F6" w:rsidRPr="008A19F6" w:rsidRDefault="008A19F6" w:rsidP="008A19F6">
            <w:pPr>
              <w:spacing w:after="0"/>
              <w:ind w:firstLineChars="200" w:firstLine="320"/>
              <w:rPr>
                <w:rFonts w:ascii="Arial" w:hAnsi="Arial" w:cs="Arial"/>
                <w:sz w:val="16"/>
                <w:szCs w:val="16"/>
              </w:rPr>
            </w:pPr>
            <w:r w:rsidRPr="008A19F6">
              <w:rPr>
                <w:rFonts w:ascii="Arial" w:hAnsi="Arial" w:cs="Arial"/>
                <w:sz w:val="16"/>
                <w:szCs w:val="16"/>
              </w:rPr>
              <w:t>Other provisions</w:t>
            </w:r>
          </w:p>
        </w:tc>
        <w:tc>
          <w:tcPr>
            <w:tcW w:w="924" w:type="dxa"/>
            <w:tcBorders>
              <w:top w:val="nil"/>
              <w:left w:val="nil"/>
              <w:bottom w:val="nil"/>
              <w:right w:val="nil"/>
            </w:tcBorders>
            <w:shd w:val="clear" w:color="auto" w:fill="auto"/>
            <w:noWrap/>
            <w:vAlign w:val="bottom"/>
            <w:hideMark/>
          </w:tcPr>
          <w:p w14:paraId="3D497073"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w:t>
            </w:r>
          </w:p>
        </w:tc>
        <w:tc>
          <w:tcPr>
            <w:tcW w:w="879" w:type="dxa"/>
            <w:tcBorders>
              <w:top w:val="nil"/>
              <w:left w:val="nil"/>
              <w:bottom w:val="nil"/>
              <w:right w:val="nil"/>
            </w:tcBorders>
            <w:shd w:val="clear" w:color="000000" w:fill="D9D9D9"/>
            <w:noWrap/>
            <w:vAlign w:val="bottom"/>
            <w:hideMark/>
          </w:tcPr>
          <w:p w14:paraId="456BB0F0"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5</w:t>
            </w:r>
          </w:p>
        </w:tc>
        <w:tc>
          <w:tcPr>
            <w:tcW w:w="873" w:type="dxa"/>
            <w:tcBorders>
              <w:top w:val="nil"/>
              <w:left w:val="nil"/>
              <w:bottom w:val="nil"/>
              <w:right w:val="nil"/>
            </w:tcBorders>
            <w:shd w:val="clear" w:color="auto" w:fill="auto"/>
            <w:noWrap/>
            <w:vAlign w:val="bottom"/>
            <w:hideMark/>
          </w:tcPr>
          <w:p w14:paraId="4F6FB3C3"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10</w:t>
            </w:r>
          </w:p>
        </w:tc>
        <w:tc>
          <w:tcPr>
            <w:tcW w:w="873" w:type="dxa"/>
            <w:tcBorders>
              <w:top w:val="nil"/>
              <w:left w:val="nil"/>
              <w:bottom w:val="nil"/>
              <w:right w:val="nil"/>
            </w:tcBorders>
            <w:shd w:val="clear" w:color="auto" w:fill="auto"/>
            <w:noWrap/>
            <w:vAlign w:val="bottom"/>
            <w:hideMark/>
          </w:tcPr>
          <w:p w14:paraId="0B50321C"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15</w:t>
            </w:r>
          </w:p>
        </w:tc>
        <w:tc>
          <w:tcPr>
            <w:tcW w:w="862" w:type="dxa"/>
            <w:tcBorders>
              <w:top w:val="nil"/>
              <w:left w:val="nil"/>
              <w:bottom w:val="nil"/>
              <w:right w:val="nil"/>
            </w:tcBorders>
            <w:shd w:val="clear" w:color="auto" w:fill="auto"/>
            <w:noWrap/>
            <w:vAlign w:val="bottom"/>
            <w:hideMark/>
          </w:tcPr>
          <w:p w14:paraId="1E9F0FBA"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20</w:t>
            </w:r>
          </w:p>
        </w:tc>
      </w:tr>
      <w:tr w:rsidR="008A19F6" w:rsidRPr="008A19F6" w14:paraId="76A0FB82"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2865CE1A" w14:textId="77777777" w:rsidR="008A19F6" w:rsidRPr="008A19F6" w:rsidRDefault="008A19F6" w:rsidP="008A19F6">
            <w:pPr>
              <w:spacing w:after="0"/>
              <w:ind w:firstLineChars="200" w:firstLine="320"/>
              <w:rPr>
                <w:rFonts w:ascii="Arial" w:hAnsi="Arial" w:cs="Arial"/>
                <w:b/>
                <w:bCs/>
                <w:sz w:val="16"/>
                <w:szCs w:val="16"/>
              </w:rPr>
            </w:pPr>
            <w:r w:rsidRPr="008A19F6">
              <w:rPr>
                <w:rFonts w:ascii="Arial" w:hAnsi="Arial" w:cs="Arial"/>
                <w:b/>
                <w:bCs/>
                <w:sz w:val="16"/>
                <w:szCs w:val="16"/>
              </w:rPr>
              <w:t>Total provisions</w:t>
            </w:r>
          </w:p>
        </w:tc>
        <w:tc>
          <w:tcPr>
            <w:tcW w:w="924" w:type="dxa"/>
            <w:tcBorders>
              <w:top w:val="nil"/>
              <w:left w:val="nil"/>
              <w:bottom w:val="single" w:sz="4" w:space="0" w:color="auto"/>
              <w:right w:val="nil"/>
            </w:tcBorders>
            <w:shd w:val="clear" w:color="auto" w:fill="auto"/>
            <w:noWrap/>
            <w:vAlign w:val="bottom"/>
            <w:hideMark/>
          </w:tcPr>
          <w:p w14:paraId="64A08A0B"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1,897</w:t>
            </w:r>
          </w:p>
        </w:tc>
        <w:tc>
          <w:tcPr>
            <w:tcW w:w="879" w:type="dxa"/>
            <w:tcBorders>
              <w:top w:val="nil"/>
              <w:left w:val="nil"/>
              <w:bottom w:val="single" w:sz="4" w:space="0" w:color="auto"/>
              <w:right w:val="nil"/>
            </w:tcBorders>
            <w:shd w:val="clear" w:color="000000" w:fill="D9D9D9"/>
            <w:noWrap/>
            <w:vAlign w:val="bottom"/>
            <w:hideMark/>
          </w:tcPr>
          <w:p w14:paraId="7DDCB696"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1,902</w:t>
            </w:r>
          </w:p>
        </w:tc>
        <w:tc>
          <w:tcPr>
            <w:tcW w:w="873" w:type="dxa"/>
            <w:tcBorders>
              <w:top w:val="nil"/>
              <w:left w:val="nil"/>
              <w:bottom w:val="single" w:sz="4" w:space="0" w:color="auto"/>
              <w:right w:val="nil"/>
            </w:tcBorders>
            <w:shd w:val="clear" w:color="auto" w:fill="auto"/>
            <w:noWrap/>
            <w:vAlign w:val="bottom"/>
            <w:hideMark/>
          </w:tcPr>
          <w:p w14:paraId="17559C98"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1,907</w:t>
            </w:r>
          </w:p>
        </w:tc>
        <w:tc>
          <w:tcPr>
            <w:tcW w:w="873" w:type="dxa"/>
            <w:tcBorders>
              <w:top w:val="nil"/>
              <w:left w:val="nil"/>
              <w:bottom w:val="single" w:sz="4" w:space="0" w:color="auto"/>
              <w:right w:val="nil"/>
            </w:tcBorders>
            <w:shd w:val="clear" w:color="auto" w:fill="auto"/>
            <w:noWrap/>
            <w:vAlign w:val="bottom"/>
            <w:hideMark/>
          </w:tcPr>
          <w:p w14:paraId="4A652FB0"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1,912</w:t>
            </w:r>
          </w:p>
        </w:tc>
        <w:tc>
          <w:tcPr>
            <w:tcW w:w="862" w:type="dxa"/>
            <w:tcBorders>
              <w:top w:val="nil"/>
              <w:left w:val="nil"/>
              <w:bottom w:val="single" w:sz="4" w:space="0" w:color="auto"/>
              <w:right w:val="nil"/>
            </w:tcBorders>
            <w:shd w:val="clear" w:color="auto" w:fill="auto"/>
            <w:noWrap/>
            <w:vAlign w:val="bottom"/>
            <w:hideMark/>
          </w:tcPr>
          <w:p w14:paraId="26E33CD2"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1,917</w:t>
            </w:r>
          </w:p>
        </w:tc>
      </w:tr>
      <w:tr w:rsidR="008A19F6" w:rsidRPr="008A19F6" w14:paraId="1EF02C88"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18DDA569"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Total liabilities</w:t>
            </w:r>
          </w:p>
        </w:tc>
        <w:tc>
          <w:tcPr>
            <w:tcW w:w="924" w:type="dxa"/>
            <w:tcBorders>
              <w:top w:val="nil"/>
              <w:left w:val="nil"/>
              <w:bottom w:val="single" w:sz="4" w:space="0" w:color="auto"/>
              <w:right w:val="nil"/>
            </w:tcBorders>
            <w:shd w:val="clear" w:color="auto" w:fill="auto"/>
            <w:noWrap/>
            <w:vAlign w:val="bottom"/>
            <w:hideMark/>
          </w:tcPr>
          <w:p w14:paraId="0A1F784D"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7,581</w:t>
            </w:r>
          </w:p>
        </w:tc>
        <w:tc>
          <w:tcPr>
            <w:tcW w:w="879" w:type="dxa"/>
            <w:tcBorders>
              <w:top w:val="nil"/>
              <w:left w:val="nil"/>
              <w:bottom w:val="single" w:sz="4" w:space="0" w:color="auto"/>
              <w:right w:val="nil"/>
            </w:tcBorders>
            <w:shd w:val="clear" w:color="000000" w:fill="D9D9D9"/>
            <w:noWrap/>
            <w:vAlign w:val="bottom"/>
            <w:hideMark/>
          </w:tcPr>
          <w:p w14:paraId="7456DC90"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6,801</w:t>
            </w:r>
          </w:p>
        </w:tc>
        <w:tc>
          <w:tcPr>
            <w:tcW w:w="873" w:type="dxa"/>
            <w:tcBorders>
              <w:top w:val="nil"/>
              <w:left w:val="nil"/>
              <w:bottom w:val="single" w:sz="4" w:space="0" w:color="auto"/>
              <w:right w:val="nil"/>
            </w:tcBorders>
            <w:shd w:val="clear" w:color="auto" w:fill="auto"/>
            <w:noWrap/>
            <w:vAlign w:val="bottom"/>
            <w:hideMark/>
          </w:tcPr>
          <w:p w14:paraId="4358822A"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5,973</w:t>
            </w:r>
          </w:p>
        </w:tc>
        <w:tc>
          <w:tcPr>
            <w:tcW w:w="873" w:type="dxa"/>
            <w:tcBorders>
              <w:top w:val="nil"/>
              <w:left w:val="nil"/>
              <w:bottom w:val="single" w:sz="4" w:space="0" w:color="auto"/>
              <w:right w:val="nil"/>
            </w:tcBorders>
            <w:shd w:val="clear" w:color="auto" w:fill="auto"/>
            <w:noWrap/>
            <w:vAlign w:val="bottom"/>
            <w:hideMark/>
          </w:tcPr>
          <w:p w14:paraId="358656DB"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5,145</w:t>
            </w:r>
          </w:p>
        </w:tc>
        <w:tc>
          <w:tcPr>
            <w:tcW w:w="862" w:type="dxa"/>
            <w:tcBorders>
              <w:top w:val="nil"/>
              <w:left w:val="nil"/>
              <w:bottom w:val="single" w:sz="4" w:space="0" w:color="auto"/>
              <w:right w:val="nil"/>
            </w:tcBorders>
            <w:shd w:val="clear" w:color="auto" w:fill="auto"/>
            <w:noWrap/>
            <w:vAlign w:val="bottom"/>
            <w:hideMark/>
          </w:tcPr>
          <w:p w14:paraId="7DBEE1FA"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4,317</w:t>
            </w:r>
          </w:p>
        </w:tc>
      </w:tr>
      <w:tr w:rsidR="008A19F6" w:rsidRPr="008A19F6" w14:paraId="32E92E7B" w14:textId="77777777" w:rsidTr="007C3816">
        <w:trPr>
          <w:trHeight w:val="283"/>
          <w:jc w:val="center"/>
        </w:trPr>
        <w:tc>
          <w:tcPr>
            <w:tcW w:w="2977" w:type="dxa"/>
            <w:tcBorders>
              <w:top w:val="nil"/>
              <w:left w:val="nil"/>
              <w:bottom w:val="nil"/>
              <w:right w:val="nil"/>
            </w:tcBorders>
            <w:shd w:val="clear" w:color="auto" w:fill="auto"/>
            <w:noWrap/>
            <w:vAlign w:val="bottom"/>
            <w:hideMark/>
          </w:tcPr>
          <w:p w14:paraId="7EE928DB" w14:textId="77777777" w:rsidR="008A19F6" w:rsidRPr="008A19F6" w:rsidRDefault="008A19F6" w:rsidP="008A19F6">
            <w:pPr>
              <w:spacing w:after="0"/>
              <w:rPr>
                <w:rFonts w:ascii="Arial" w:hAnsi="Arial" w:cs="Arial"/>
                <w:b/>
                <w:bCs/>
                <w:sz w:val="16"/>
                <w:szCs w:val="16"/>
              </w:rPr>
            </w:pPr>
            <w:r w:rsidRPr="008A19F6">
              <w:rPr>
                <w:rFonts w:ascii="Arial" w:hAnsi="Arial" w:cs="Arial"/>
                <w:b/>
                <w:bCs/>
                <w:sz w:val="16"/>
                <w:szCs w:val="16"/>
              </w:rPr>
              <w:t>Net Assets</w:t>
            </w:r>
          </w:p>
        </w:tc>
        <w:tc>
          <w:tcPr>
            <w:tcW w:w="924" w:type="dxa"/>
            <w:tcBorders>
              <w:top w:val="nil"/>
              <w:left w:val="nil"/>
              <w:bottom w:val="single" w:sz="4" w:space="0" w:color="auto"/>
              <w:right w:val="nil"/>
            </w:tcBorders>
            <w:shd w:val="clear" w:color="auto" w:fill="auto"/>
            <w:noWrap/>
            <w:vAlign w:val="bottom"/>
            <w:hideMark/>
          </w:tcPr>
          <w:p w14:paraId="51D15663"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8,318</w:t>
            </w:r>
          </w:p>
        </w:tc>
        <w:tc>
          <w:tcPr>
            <w:tcW w:w="879" w:type="dxa"/>
            <w:tcBorders>
              <w:top w:val="nil"/>
              <w:left w:val="nil"/>
              <w:bottom w:val="single" w:sz="4" w:space="0" w:color="auto"/>
              <w:right w:val="nil"/>
            </w:tcBorders>
            <w:shd w:val="clear" w:color="000000" w:fill="D9D9D9"/>
            <w:noWrap/>
            <w:vAlign w:val="bottom"/>
            <w:hideMark/>
          </w:tcPr>
          <w:p w14:paraId="66EC057B"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8,183</w:t>
            </w:r>
          </w:p>
        </w:tc>
        <w:tc>
          <w:tcPr>
            <w:tcW w:w="873" w:type="dxa"/>
            <w:tcBorders>
              <w:top w:val="nil"/>
              <w:left w:val="nil"/>
              <w:bottom w:val="single" w:sz="4" w:space="0" w:color="auto"/>
              <w:right w:val="nil"/>
            </w:tcBorders>
            <w:shd w:val="clear" w:color="auto" w:fill="auto"/>
            <w:noWrap/>
            <w:vAlign w:val="bottom"/>
            <w:hideMark/>
          </w:tcPr>
          <w:p w14:paraId="079B20A5"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7,581</w:t>
            </w:r>
          </w:p>
        </w:tc>
        <w:tc>
          <w:tcPr>
            <w:tcW w:w="873" w:type="dxa"/>
            <w:tcBorders>
              <w:top w:val="nil"/>
              <w:left w:val="nil"/>
              <w:bottom w:val="single" w:sz="4" w:space="0" w:color="auto"/>
              <w:right w:val="nil"/>
            </w:tcBorders>
            <w:shd w:val="clear" w:color="auto" w:fill="auto"/>
            <w:noWrap/>
            <w:vAlign w:val="bottom"/>
            <w:hideMark/>
          </w:tcPr>
          <w:p w14:paraId="65400F10"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6,985</w:t>
            </w:r>
          </w:p>
        </w:tc>
        <w:tc>
          <w:tcPr>
            <w:tcW w:w="862" w:type="dxa"/>
            <w:tcBorders>
              <w:top w:val="nil"/>
              <w:left w:val="nil"/>
              <w:bottom w:val="single" w:sz="4" w:space="0" w:color="auto"/>
              <w:right w:val="nil"/>
            </w:tcBorders>
            <w:shd w:val="clear" w:color="auto" w:fill="auto"/>
            <w:noWrap/>
            <w:vAlign w:val="bottom"/>
            <w:hideMark/>
          </w:tcPr>
          <w:p w14:paraId="658ED0B2"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6,388</w:t>
            </w:r>
          </w:p>
        </w:tc>
      </w:tr>
      <w:tr w:rsidR="008A19F6" w:rsidRPr="008A19F6" w14:paraId="3218FC62" w14:textId="77777777" w:rsidTr="007C3816">
        <w:trPr>
          <w:trHeight w:val="283"/>
          <w:jc w:val="center"/>
        </w:trPr>
        <w:tc>
          <w:tcPr>
            <w:tcW w:w="2977" w:type="dxa"/>
            <w:tcBorders>
              <w:top w:val="nil"/>
              <w:left w:val="nil"/>
              <w:bottom w:val="nil"/>
              <w:right w:val="nil"/>
            </w:tcBorders>
            <w:shd w:val="clear" w:color="auto" w:fill="auto"/>
            <w:noWrap/>
            <w:vAlign w:val="bottom"/>
            <w:hideMark/>
          </w:tcPr>
          <w:p w14:paraId="36A8FB27" w14:textId="77777777" w:rsidR="008A19F6" w:rsidRPr="008A19F6" w:rsidRDefault="008A19F6" w:rsidP="008A19F6">
            <w:pPr>
              <w:spacing w:after="0"/>
              <w:rPr>
                <w:rFonts w:ascii="Arial" w:hAnsi="Arial" w:cs="Arial"/>
                <w:b/>
                <w:bCs/>
                <w:sz w:val="16"/>
                <w:szCs w:val="16"/>
              </w:rPr>
            </w:pPr>
            <w:r w:rsidRPr="008A19F6">
              <w:rPr>
                <w:rFonts w:ascii="Arial" w:hAnsi="Arial" w:cs="Arial"/>
                <w:b/>
                <w:bCs/>
                <w:sz w:val="16"/>
                <w:szCs w:val="16"/>
              </w:rPr>
              <w:t>EQUITY</w:t>
            </w:r>
          </w:p>
        </w:tc>
        <w:tc>
          <w:tcPr>
            <w:tcW w:w="924" w:type="dxa"/>
            <w:tcBorders>
              <w:top w:val="nil"/>
              <w:left w:val="nil"/>
              <w:bottom w:val="nil"/>
              <w:right w:val="nil"/>
            </w:tcBorders>
            <w:shd w:val="clear" w:color="auto" w:fill="auto"/>
            <w:noWrap/>
            <w:vAlign w:val="bottom"/>
            <w:hideMark/>
          </w:tcPr>
          <w:p w14:paraId="0BB7D22D" w14:textId="77777777" w:rsidR="008A19F6" w:rsidRPr="008A19F6" w:rsidRDefault="008A19F6" w:rsidP="008A19F6">
            <w:pPr>
              <w:spacing w:after="0"/>
              <w:rPr>
                <w:rFonts w:ascii="Arial" w:hAnsi="Arial" w:cs="Arial"/>
                <w:b/>
                <w:bCs/>
                <w:sz w:val="16"/>
                <w:szCs w:val="16"/>
              </w:rPr>
            </w:pPr>
          </w:p>
        </w:tc>
        <w:tc>
          <w:tcPr>
            <w:tcW w:w="879" w:type="dxa"/>
            <w:tcBorders>
              <w:top w:val="nil"/>
              <w:left w:val="nil"/>
              <w:bottom w:val="nil"/>
              <w:right w:val="nil"/>
            </w:tcBorders>
            <w:shd w:val="clear" w:color="000000" w:fill="D9D9D9"/>
            <w:noWrap/>
            <w:vAlign w:val="bottom"/>
            <w:hideMark/>
          </w:tcPr>
          <w:p w14:paraId="2606B502"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 </w:t>
            </w:r>
          </w:p>
        </w:tc>
        <w:tc>
          <w:tcPr>
            <w:tcW w:w="873" w:type="dxa"/>
            <w:tcBorders>
              <w:top w:val="nil"/>
              <w:left w:val="nil"/>
              <w:bottom w:val="nil"/>
              <w:right w:val="nil"/>
            </w:tcBorders>
            <w:shd w:val="clear" w:color="auto" w:fill="auto"/>
            <w:noWrap/>
            <w:vAlign w:val="bottom"/>
            <w:hideMark/>
          </w:tcPr>
          <w:p w14:paraId="6A5ACB17" w14:textId="77777777" w:rsidR="008A19F6" w:rsidRPr="008A19F6" w:rsidRDefault="008A19F6" w:rsidP="008A19F6">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bottom"/>
            <w:hideMark/>
          </w:tcPr>
          <w:p w14:paraId="382E287E" w14:textId="77777777" w:rsidR="008A19F6" w:rsidRPr="008A19F6" w:rsidRDefault="008A19F6" w:rsidP="008A19F6">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5DD43C45" w14:textId="77777777" w:rsidR="008A19F6" w:rsidRPr="008A19F6" w:rsidRDefault="008A19F6" w:rsidP="008A19F6">
            <w:pPr>
              <w:spacing w:after="0"/>
              <w:jc w:val="right"/>
              <w:rPr>
                <w:rFonts w:ascii="Times New Roman" w:hAnsi="Times New Roman"/>
                <w:color w:val="auto"/>
                <w:sz w:val="20"/>
              </w:rPr>
            </w:pPr>
          </w:p>
        </w:tc>
      </w:tr>
      <w:tr w:rsidR="008A19F6" w:rsidRPr="008A19F6" w14:paraId="3A9ACA20"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039702DD" w14:textId="77777777" w:rsidR="008A19F6" w:rsidRPr="008A19F6" w:rsidRDefault="008A19F6" w:rsidP="007C3816">
            <w:pPr>
              <w:spacing w:after="0"/>
              <w:ind w:leftChars="75" w:left="143"/>
              <w:rPr>
                <w:rFonts w:ascii="Arial" w:hAnsi="Arial" w:cs="Arial"/>
                <w:sz w:val="16"/>
                <w:szCs w:val="16"/>
              </w:rPr>
            </w:pPr>
            <w:r w:rsidRPr="008A19F6">
              <w:rPr>
                <w:rFonts w:ascii="Arial" w:hAnsi="Arial" w:cs="Arial"/>
                <w:sz w:val="16"/>
                <w:szCs w:val="16"/>
              </w:rPr>
              <w:t>Contributed equity</w:t>
            </w:r>
          </w:p>
        </w:tc>
        <w:tc>
          <w:tcPr>
            <w:tcW w:w="924" w:type="dxa"/>
            <w:tcBorders>
              <w:top w:val="nil"/>
              <w:left w:val="nil"/>
              <w:bottom w:val="nil"/>
              <w:right w:val="nil"/>
            </w:tcBorders>
            <w:shd w:val="clear" w:color="auto" w:fill="auto"/>
            <w:noWrap/>
            <w:vAlign w:val="bottom"/>
            <w:hideMark/>
          </w:tcPr>
          <w:p w14:paraId="535581CB"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7,089</w:t>
            </w:r>
          </w:p>
        </w:tc>
        <w:tc>
          <w:tcPr>
            <w:tcW w:w="879" w:type="dxa"/>
            <w:tcBorders>
              <w:top w:val="nil"/>
              <w:left w:val="nil"/>
              <w:bottom w:val="nil"/>
              <w:right w:val="nil"/>
            </w:tcBorders>
            <w:shd w:val="clear" w:color="000000" w:fill="D9D9D9"/>
            <w:noWrap/>
            <w:vAlign w:val="bottom"/>
            <w:hideMark/>
          </w:tcPr>
          <w:p w14:paraId="12613AB7"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7,740</w:t>
            </w:r>
          </w:p>
        </w:tc>
        <w:tc>
          <w:tcPr>
            <w:tcW w:w="873" w:type="dxa"/>
            <w:tcBorders>
              <w:top w:val="nil"/>
              <w:left w:val="nil"/>
              <w:bottom w:val="nil"/>
              <w:right w:val="nil"/>
            </w:tcBorders>
            <w:shd w:val="clear" w:color="auto" w:fill="auto"/>
            <w:noWrap/>
            <w:vAlign w:val="bottom"/>
            <w:hideMark/>
          </w:tcPr>
          <w:p w14:paraId="37163C8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8,396</w:t>
            </w:r>
          </w:p>
        </w:tc>
        <w:tc>
          <w:tcPr>
            <w:tcW w:w="873" w:type="dxa"/>
            <w:tcBorders>
              <w:top w:val="nil"/>
              <w:left w:val="nil"/>
              <w:bottom w:val="nil"/>
              <w:right w:val="nil"/>
            </w:tcBorders>
            <w:shd w:val="clear" w:color="auto" w:fill="auto"/>
            <w:noWrap/>
            <w:vAlign w:val="bottom"/>
            <w:hideMark/>
          </w:tcPr>
          <w:p w14:paraId="6B1CA370"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9,058</w:t>
            </w:r>
          </w:p>
        </w:tc>
        <w:tc>
          <w:tcPr>
            <w:tcW w:w="862" w:type="dxa"/>
            <w:tcBorders>
              <w:top w:val="nil"/>
              <w:left w:val="nil"/>
              <w:bottom w:val="nil"/>
              <w:right w:val="nil"/>
            </w:tcBorders>
            <w:shd w:val="clear" w:color="auto" w:fill="auto"/>
            <w:noWrap/>
            <w:vAlign w:val="bottom"/>
            <w:hideMark/>
          </w:tcPr>
          <w:p w14:paraId="44B6F9D2"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9,719</w:t>
            </w:r>
          </w:p>
        </w:tc>
      </w:tr>
      <w:tr w:rsidR="008A19F6" w:rsidRPr="008A19F6" w14:paraId="0008B70B" w14:textId="77777777" w:rsidTr="007C3816">
        <w:trPr>
          <w:trHeight w:val="225"/>
          <w:jc w:val="center"/>
        </w:trPr>
        <w:tc>
          <w:tcPr>
            <w:tcW w:w="2977" w:type="dxa"/>
            <w:tcBorders>
              <w:top w:val="nil"/>
              <w:left w:val="nil"/>
              <w:bottom w:val="nil"/>
              <w:right w:val="nil"/>
            </w:tcBorders>
            <w:shd w:val="clear" w:color="auto" w:fill="auto"/>
            <w:noWrap/>
            <w:vAlign w:val="bottom"/>
            <w:hideMark/>
          </w:tcPr>
          <w:p w14:paraId="5F49097C" w14:textId="77777777" w:rsidR="008A19F6" w:rsidRPr="008A19F6" w:rsidRDefault="008A19F6" w:rsidP="007C3816">
            <w:pPr>
              <w:spacing w:after="0"/>
              <w:ind w:leftChars="75" w:left="143"/>
              <w:rPr>
                <w:rFonts w:ascii="Arial" w:hAnsi="Arial" w:cs="Arial"/>
                <w:sz w:val="16"/>
                <w:szCs w:val="16"/>
              </w:rPr>
            </w:pPr>
            <w:r w:rsidRPr="008A19F6">
              <w:rPr>
                <w:rFonts w:ascii="Arial" w:hAnsi="Arial" w:cs="Arial"/>
                <w:sz w:val="16"/>
                <w:szCs w:val="16"/>
              </w:rPr>
              <w:t>Reserves</w:t>
            </w:r>
          </w:p>
        </w:tc>
        <w:tc>
          <w:tcPr>
            <w:tcW w:w="924" w:type="dxa"/>
            <w:tcBorders>
              <w:top w:val="nil"/>
              <w:left w:val="nil"/>
              <w:bottom w:val="nil"/>
              <w:right w:val="nil"/>
            </w:tcBorders>
            <w:shd w:val="clear" w:color="auto" w:fill="auto"/>
            <w:noWrap/>
            <w:vAlign w:val="bottom"/>
            <w:hideMark/>
          </w:tcPr>
          <w:p w14:paraId="0FFDCE6A"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619</w:t>
            </w:r>
          </w:p>
        </w:tc>
        <w:tc>
          <w:tcPr>
            <w:tcW w:w="879" w:type="dxa"/>
            <w:tcBorders>
              <w:top w:val="nil"/>
              <w:left w:val="nil"/>
              <w:bottom w:val="nil"/>
              <w:right w:val="nil"/>
            </w:tcBorders>
            <w:shd w:val="clear" w:color="000000" w:fill="D9D9D9"/>
            <w:noWrap/>
            <w:vAlign w:val="bottom"/>
            <w:hideMark/>
          </w:tcPr>
          <w:p w14:paraId="16E46F5C"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619</w:t>
            </w:r>
          </w:p>
        </w:tc>
        <w:tc>
          <w:tcPr>
            <w:tcW w:w="873" w:type="dxa"/>
            <w:tcBorders>
              <w:top w:val="nil"/>
              <w:left w:val="nil"/>
              <w:bottom w:val="nil"/>
              <w:right w:val="nil"/>
            </w:tcBorders>
            <w:shd w:val="clear" w:color="auto" w:fill="auto"/>
            <w:noWrap/>
            <w:vAlign w:val="bottom"/>
            <w:hideMark/>
          </w:tcPr>
          <w:p w14:paraId="5490CE6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619</w:t>
            </w:r>
          </w:p>
        </w:tc>
        <w:tc>
          <w:tcPr>
            <w:tcW w:w="873" w:type="dxa"/>
            <w:tcBorders>
              <w:top w:val="nil"/>
              <w:left w:val="nil"/>
              <w:bottom w:val="nil"/>
              <w:right w:val="nil"/>
            </w:tcBorders>
            <w:shd w:val="clear" w:color="auto" w:fill="auto"/>
            <w:noWrap/>
            <w:vAlign w:val="bottom"/>
            <w:hideMark/>
          </w:tcPr>
          <w:p w14:paraId="524AFED0"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619</w:t>
            </w:r>
          </w:p>
        </w:tc>
        <w:tc>
          <w:tcPr>
            <w:tcW w:w="862" w:type="dxa"/>
            <w:tcBorders>
              <w:top w:val="nil"/>
              <w:left w:val="nil"/>
              <w:bottom w:val="nil"/>
              <w:right w:val="nil"/>
            </w:tcBorders>
            <w:shd w:val="clear" w:color="auto" w:fill="auto"/>
            <w:noWrap/>
            <w:vAlign w:val="bottom"/>
            <w:hideMark/>
          </w:tcPr>
          <w:p w14:paraId="221E50A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619</w:t>
            </w:r>
          </w:p>
        </w:tc>
      </w:tr>
      <w:tr w:rsidR="008A19F6" w:rsidRPr="008A19F6" w14:paraId="02460B36" w14:textId="77777777" w:rsidTr="007C3816">
        <w:trPr>
          <w:trHeight w:val="432"/>
          <w:jc w:val="center"/>
        </w:trPr>
        <w:tc>
          <w:tcPr>
            <w:tcW w:w="2977" w:type="dxa"/>
            <w:tcBorders>
              <w:top w:val="nil"/>
              <w:left w:val="nil"/>
              <w:bottom w:val="nil"/>
              <w:right w:val="nil"/>
            </w:tcBorders>
            <w:shd w:val="clear" w:color="auto" w:fill="auto"/>
            <w:vAlign w:val="bottom"/>
            <w:hideMark/>
          </w:tcPr>
          <w:p w14:paraId="6962C017" w14:textId="77777777" w:rsidR="008A19F6" w:rsidRPr="008A19F6" w:rsidRDefault="008A19F6" w:rsidP="007C3816">
            <w:pPr>
              <w:spacing w:after="0"/>
              <w:ind w:leftChars="75" w:left="143"/>
              <w:rPr>
                <w:rFonts w:ascii="Arial" w:hAnsi="Arial" w:cs="Arial"/>
                <w:sz w:val="16"/>
                <w:szCs w:val="16"/>
              </w:rPr>
            </w:pPr>
            <w:r w:rsidRPr="008A19F6">
              <w:rPr>
                <w:rFonts w:ascii="Arial" w:hAnsi="Arial" w:cs="Arial"/>
                <w:sz w:val="16"/>
                <w:szCs w:val="16"/>
              </w:rPr>
              <w:t>Retained surpluses or (accumulated deficits)</w:t>
            </w:r>
          </w:p>
        </w:tc>
        <w:tc>
          <w:tcPr>
            <w:tcW w:w="924" w:type="dxa"/>
            <w:tcBorders>
              <w:top w:val="nil"/>
              <w:left w:val="nil"/>
              <w:bottom w:val="nil"/>
              <w:right w:val="nil"/>
            </w:tcBorders>
            <w:shd w:val="clear" w:color="auto" w:fill="auto"/>
            <w:noWrap/>
            <w:vAlign w:val="bottom"/>
            <w:hideMark/>
          </w:tcPr>
          <w:p w14:paraId="0C701ACF"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610</w:t>
            </w:r>
          </w:p>
        </w:tc>
        <w:tc>
          <w:tcPr>
            <w:tcW w:w="879" w:type="dxa"/>
            <w:tcBorders>
              <w:top w:val="nil"/>
              <w:left w:val="nil"/>
              <w:bottom w:val="nil"/>
              <w:right w:val="nil"/>
            </w:tcBorders>
            <w:shd w:val="clear" w:color="000000" w:fill="D9D9D9"/>
            <w:noWrap/>
            <w:vAlign w:val="bottom"/>
            <w:hideMark/>
          </w:tcPr>
          <w:p w14:paraId="43C1404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(176)</w:t>
            </w:r>
          </w:p>
        </w:tc>
        <w:tc>
          <w:tcPr>
            <w:tcW w:w="873" w:type="dxa"/>
            <w:tcBorders>
              <w:top w:val="nil"/>
              <w:left w:val="nil"/>
              <w:bottom w:val="nil"/>
              <w:right w:val="nil"/>
            </w:tcBorders>
            <w:shd w:val="clear" w:color="auto" w:fill="auto"/>
            <w:noWrap/>
            <w:vAlign w:val="bottom"/>
            <w:hideMark/>
          </w:tcPr>
          <w:p w14:paraId="67CADB46"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(1,434)</w:t>
            </w:r>
          </w:p>
        </w:tc>
        <w:tc>
          <w:tcPr>
            <w:tcW w:w="873" w:type="dxa"/>
            <w:tcBorders>
              <w:top w:val="nil"/>
              <w:left w:val="nil"/>
              <w:bottom w:val="nil"/>
              <w:right w:val="nil"/>
            </w:tcBorders>
            <w:shd w:val="clear" w:color="auto" w:fill="auto"/>
            <w:noWrap/>
            <w:vAlign w:val="bottom"/>
            <w:hideMark/>
          </w:tcPr>
          <w:p w14:paraId="6C4AE837"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(2,692)</w:t>
            </w:r>
          </w:p>
        </w:tc>
        <w:tc>
          <w:tcPr>
            <w:tcW w:w="862" w:type="dxa"/>
            <w:tcBorders>
              <w:top w:val="nil"/>
              <w:left w:val="nil"/>
              <w:bottom w:val="nil"/>
              <w:right w:val="nil"/>
            </w:tcBorders>
            <w:shd w:val="clear" w:color="auto" w:fill="auto"/>
            <w:noWrap/>
            <w:vAlign w:val="bottom"/>
            <w:hideMark/>
          </w:tcPr>
          <w:p w14:paraId="10BB7361" w14:textId="77777777" w:rsidR="008A19F6" w:rsidRPr="008A19F6" w:rsidRDefault="008A19F6" w:rsidP="008A19F6">
            <w:pPr>
              <w:spacing w:after="0"/>
              <w:jc w:val="right"/>
              <w:rPr>
                <w:rFonts w:ascii="Arial" w:hAnsi="Arial" w:cs="Arial"/>
                <w:color w:val="auto"/>
                <w:sz w:val="16"/>
                <w:szCs w:val="16"/>
              </w:rPr>
            </w:pPr>
            <w:r w:rsidRPr="008A19F6">
              <w:rPr>
                <w:rFonts w:ascii="Arial" w:hAnsi="Arial" w:cs="Arial"/>
                <w:color w:val="auto"/>
                <w:sz w:val="16"/>
                <w:szCs w:val="16"/>
              </w:rPr>
              <w:t>(3,950)</w:t>
            </w:r>
          </w:p>
        </w:tc>
      </w:tr>
      <w:tr w:rsidR="008A19F6" w:rsidRPr="008A19F6" w14:paraId="17C83F4F" w14:textId="77777777" w:rsidTr="007C3816">
        <w:trPr>
          <w:trHeight w:val="225"/>
          <w:jc w:val="center"/>
        </w:trPr>
        <w:tc>
          <w:tcPr>
            <w:tcW w:w="2977" w:type="dxa"/>
            <w:tcBorders>
              <w:top w:val="nil"/>
              <w:left w:val="nil"/>
              <w:bottom w:val="single" w:sz="4" w:space="0" w:color="auto"/>
              <w:right w:val="nil"/>
            </w:tcBorders>
            <w:shd w:val="clear" w:color="auto" w:fill="auto"/>
            <w:noWrap/>
            <w:vAlign w:val="bottom"/>
            <w:hideMark/>
          </w:tcPr>
          <w:p w14:paraId="5428C838" w14:textId="77777777" w:rsidR="008A19F6" w:rsidRPr="008A19F6" w:rsidRDefault="008A19F6" w:rsidP="007C3816">
            <w:pPr>
              <w:spacing w:after="0"/>
              <w:ind w:leftChars="75" w:left="143"/>
              <w:rPr>
                <w:rFonts w:ascii="Arial" w:hAnsi="Arial" w:cs="Arial"/>
                <w:b/>
                <w:bCs/>
                <w:sz w:val="16"/>
                <w:szCs w:val="16"/>
              </w:rPr>
            </w:pPr>
            <w:r w:rsidRPr="008A19F6">
              <w:rPr>
                <w:rFonts w:ascii="Arial" w:hAnsi="Arial" w:cs="Arial"/>
                <w:b/>
                <w:bCs/>
                <w:sz w:val="16"/>
                <w:szCs w:val="16"/>
              </w:rPr>
              <w:t>Total equity</w:t>
            </w:r>
          </w:p>
        </w:tc>
        <w:tc>
          <w:tcPr>
            <w:tcW w:w="924" w:type="dxa"/>
            <w:tcBorders>
              <w:top w:val="nil"/>
              <w:left w:val="nil"/>
              <w:bottom w:val="single" w:sz="4" w:space="0" w:color="auto"/>
              <w:right w:val="nil"/>
            </w:tcBorders>
            <w:shd w:val="clear" w:color="auto" w:fill="auto"/>
            <w:noWrap/>
            <w:vAlign w:val="bottom"/>
            <w:hideMark/>
          </w:tcPr>
          <w:p w14:paraId="3B95EFA0"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8,318</w:t>
            </w:r>
          </w:p>
        </w:tc>
        <w:tc>
          <w:tcPr>
            <w:tcW w:w="879" w:type="dxa"/>
            <w:tcBorders>
              <w:top w:val="nil"/>
              <w:left w:val="nil"/>
              <w:bottom w:val="single" w:sz="4" w:space="0" w:color="auto"/>
              <w:right w:val="nil"/>
            </w:tcBorders>
            <w:shd w:val="clear" w:color="000000" w:fill="D9D9D9"/>
            <w:noWrap/>
            <w:vAlign w:val="bottom"/>
            <w:hideMark/>
          </w:tcPr>
          <w:p w14:paraId="0216B175"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8,183</w:t>
            </w:r>
          </w:p>
        </w:tc>
        <w:tc>
          <w:tcPr>
            <w:tcW w:w="873" w:type="dxa"/>
            <w:tcBorders>
              <w:top w:val="nil"/>
              <w:left w:val="nil"/>
              <w:bottom w:val="single" w:sz="4" w:space="0" w:color="auto"/>
              <w:right w:val="nil"/>
            </w:tcBorders>
            <w:shd w:val="clear" w:color="auto" w:fill="auto"/>
            <w:noWrap/>
            <w:vAlign w:val="bottom"/>
            <w:hideMark/>
          </w:tcPr>
          <w:p w14:paraId="3BA2914C"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7,581</w:t>
            </w:r>
          </w:p>
        </w:tc>
        <w:tc>
          <w:tcPr>
            <w:tcW w:w="873" w:type="dxa"/>
            <w:tcBorders>
              <w:top w:val="nil"/>
              <w:left w:val="nil"/>
              <w:bottom w:val="single" w:sz="4" w:space="0" w:color="auto"/>
              <w:right w:val="nil"/>
            </w:tcBorders>
            <w:shd w:val="clear" w:color="auto" w:fill="auto"/>
            <w:noWrap/>
            <w:vAlign w:val="bottom"/>
            <w:hideMark/>
          </w:tcPr>
          <w:p w14:paraId="66ACE880"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6,985</w:t>
            </w:r>
          </w:p>
        </w:tc>
        <w:tc>
          <w:tcPr>
            <w:tcW w:w="862" w:type="dxa"/>
            <w:tcBorders>
              <w:top w:val="nil"/>
              <w:left w:val="nil"/>
              <w:bottom w:val="single" w:sz="4" w:space="0" w:color="auto"/>
              <w:right w:val="nil"/>
            </w:tcBorders>
            <w:shd w:val="clear" w:color="auto" w:fill="auto"/>
            <w:noWrap/>
            <w:vAlign w:val="bottom"/>
            <w:hideMark/>
          </w:tcPr>
          <w:p w14:paraId="126069D1" w14:textId="77777777" w:rsidR="008A19F6" w:rsidRPr="008A19F6" w:rsidRDefault="008A19F6" w:rsidP="008A19F6">
            <w:pPr>
              <w:spacing w:after="0"/>
              <w:jc w:val="right"/>
              <w:rPr>
                <w:rFonts w:ascii="Arial" w:hAnsi="Arial" w:cs="Arial"/>
                <w:b/>
                <w:bCs/>
                <w:color w:val="auto"/>
                <w:sz w:val="16"/>
                <w:szCs w:val="16"/>
              </w:rPr>
            </w:pPr>
            <w:r w:rsidRPr="008A19F6">
              <w:rPr>
                <w:rFonts w:ascii="Arial" w:hAnsi="Arial" w:cs="Arial"/>
                <w:b/>
                <w:bCs/>
                <w:color w:val="auto"/>
                <w:sz w:val="16"/>
                <w:szCs w:val="16"/>
              </w:rPr>
              <w:t>6,388</w:t>
            </w:r>
          </w:p>
        </w:tc>
      </w:tr>
    </w:tbl>
    <w:p w14:paraId="3F0E23B8" w14:textId="77777777" w:rsidR="007C3816" w:rsidRDefault="007C3816">
      <w:pPr>
        <w:spacing w:after="160" w:line="259" w:lineRule="auto"/>
        <w:rPr>
          <w:rFonts w:ascii="Arial" w:hAnsi="Arial"/>
          <w:b/>
          <w:color w:val="auto"/>
          <w:sz w:val="20"/>
        </w:rPr>
      </w:pPr>
      <w:r>
        <w:rPr>
          <w:rFonts w:ascii="Arial" w:hAnsi="Arial"/>
          <w:b/>
          <w:color w:val="auto"/>
          <w:sz w:val="20"/>
        </w:rPr>
        <w:br w:type="page"/>
      </w:r>
    </w:p>
    <w:p w14:paraId="6D6FF74C" w14:textId="488C77FE" w:rsidR="007C3816" w:rsidRPr="00884F73" w:rsidRDefault="00884F73" w:rsidP="0026049D">
      <w:pPr>
        <w:keepNext/>
        <w:spacing w:before="120"/>
        <w:rPr>
          <w:rFonts w:ascii="Arial" w:hAnsi="Arial" w:cs="Arial"/>
          <w:b/>
          <w:sz w:val="20"/>
          <w:szCs w:val="18"/>
          <w:lang w:eastAsia="en-US"/>
        </w:rPr>
      </w:pPr>
      <w:r w:rsidRPr="00884F73">
        <w:rPr>
          <w:rFonts w:ascii="Arial" w:hAnsi="Arial"/>
          <w:b/>
          <w:color w:val="auto"/>
          <w:sz w:val="20"/>
        </w:rPr>
        <w:lastRenderedPageBreak/>
        <w:t>Table 3.3: Departmental statement of changes in equity — summary of movement (Budget year 2022–23)</w:t>
      </w:r>
      <w:r w:rsidR="007C3816" w:rsidRPr="00884F73">
        <w:rPr>
          <w:rFonts w:ascii="Arial" w:hAnsi="Arial" w:cs="Arial"/>
          <w:b/>
          <w:sz w:val="20"/>
          <w:szCs w:val="18"/>
          <w:lang w:eastAsia="en-US"/>
        </w:rPr>
        <w:t xml:space="preserve"> </w:t>
      </w:r>
    </w:p>
    <w:tbl>
      <w:tblPr>
        <w:tblW w:w="7342" w:type="dxa"/>
        <w:jc w:val="center"/>
        <w:tblLayout w:type="fixed"/>
        <w:tblLook w:val="04A0" w:firstRow="1" w:lastRow="0" w:firstColumn="1" w:lastColumn="0" w:noHBand="0" w:noVBand="1"/>
      </w:tblPr>
      <w:tblGrid>
        <w:gridCol w:w="2920"/>
        <w:gridCol w:w="1020"/>
        <w:gridCol w:w="1191"/>
        <w:gridCol w:w="1191"/>
        <w:gridCol w:w="1020"/>
      </w:tblGrid>
      <w:tr w:rsidR="007C3816" w:rsidRPr="007C3816" w14:paraId="42211C11" w14:textId="77777777" w:rsidTr="00790508">
        <w:trPr>
          <w:trHeight w:val="765"/>
          <w:jc w:val="center"/>
        </w:trPr>
        <w:tc>
          <w:tcPr>
            <w:tcW w:w="2920" w:type="dxa"/>
            <w:tcBorders>
              <w:top w:val="single" w:sz="4" w:space="0" w:color="auto"/>
              <w:left w:val="nil"/>
              <w:right w:val="nil"/>
            </w:tcBorders>
            <w:shd w:val="clear" w:color="auto" w:fill="auto"/>
            <w:hideMark/>
          </w:tcPr>
          <w:p w14:paraId="17CB116A" w14:textId="0E19E6B9" w:rsidR="007C3816" w:rsidRPr="007C3816" w:rsidRDefault="007C3816" w:rsidP="007C3816">
            <w:pPr>
              <w:spacing w:before="40" w:after="0"/>
              <w:jc w:val="right"/>
              <w:rPr>
                <w:rFonts w:ascii="Times New Roman" w:hAnsi="Times New Roman"/>
                <w:color w:val="auto"/>
                <w:sz w:val="20"/>
                <w:szCs w:val="24"/>
              </w:rPr>
            </w:pPr>
            <w:r>
              <w:rPr>
                <w:rFonts w:ascii="Arial" w:hAnsi="Arial" w:cs="Arial"/>
                <w:b/>
                <w:sz w:val="20"/>
                <w:szCs w:val="18"/>
                <w:lang w:eastAsia="en-US"/>
              </w:rPr>
              <w:tab/>
            </w:r>
          </w:p>
        </w:tc>
        <w:tc>
          <w:tcPr>
            <w:tcW w:w="1020" w:type="dxa"/>
            <w:tcBorders>
              <w:top w:val="single" w:sz="4" w:space="0" w:color="auto"/>
              <w:left w:val="nil"/>
              <w:bottom w:val="single" w:sz="4" w:space="0" w:color="auto"/>
              <w:right w:val="nil"/>
            </w:tcBorders>
            <w:shd w:val="clear" w:color="auto" w:fill="auto"/>
            <w:hideMark/>
          </w:tcPr>
          <w:p w14:paraId="6467C2C2" w14:textId="77777777" w:rsidR="007C3816" w:rsidRPr="007C3816" w:rsidRDefault="007C3816" w:rsidP="007C3816">
            <w:pPr>
              <w:spacing w:before="40" w:after="0"/>
              <w:jc w:val="right"/>
              <w:rPr>
                <w:rFonts w:ascii="Arial" w:hAnsi="Arial" w:cs="Arial"/>
                <w:sz w:val="16"/>
                <w:szCs w:val="16"/>
              </w:rPr>
            </w:pPr>
            <w:r w:rsidRPr="007C3816">
              <w:rPr>
                <w:rFonts w:ascii="Arial" w:hAnsi="Arial" w:cs="Arial"/>
                <w:b/>
                <w:bCs/>
                <w:sz w:val="16"/>
                <w:szCs w:val="16"/>
              </w:rPr>
              <w:t xml:space="preserve">Retained earnings </w:t>
            </w:r>
            <w:r w:rsidRPr="007C3816">
              <w:rPr>
                <w:rFonts w:ascii="Arial" w:hAnsi="Arial" w:cs="Arial"/>
                <w:sz w:val="16"/>
                <w:szCs w:val="16"/>
              </w:rPr>
              <w:br/>
            </w:r>
            <w:r w:rsidRPr="007C3816">
              <w:rPr>
                <w:rFonts w:ascii="Arial" w:hAnsi="Arial" w:cs="Arial"/>
                <w:sz w:val="16"/>
                <w:szCs w:val="16"/>
              </w:rPr>
              <w:br/>
              <w:t>$'000</w:t>
            </w:r>
          </w:p>
        </w:tc>
        <w:tc>
          <w:tcPr>
            <w:tcW w:w="1191" w:type="dxa"/>
            <w:tcBorders>
              <w:top w:val="single" w:sz="4" w:space="0" w:color="auto"/>
              <w:left w:val="nil"/>
              <w:bottom w:val="single" w:sz="4" w:space="0" w:color="auto"/>
              <w:right w:val="nil"/>
            </w:tcBorders>
            <w:shd w:val="clear" w:color="auto" w:fill="auto"/>
            <w:hideMark/>
          </w:tcPr>
          <w:p w14:paraId="7BA76F9A" w14:textId="77777777" w:rsidR="007C3816" w:rsidRPr="007C3816" w:rsidRDefault="007C3816" w:rsidP="007C3816">
            <w:pPr>
              <w:spacing w:before="40" w:after="0"/>
              <w:jc w:val="right"/>
              <w:rPr>
                <w:rFonts w:ascii="Arial" w:hAnsi="Arial" w:cs="Arial"/>
                <w:sz w:val="16"/>
                <w:szCs w:val="16"/>
              </w:rPr>
            </w:pPr>
            <w:r w:rsidRPr="007C3816">
              <w:rPr>
                <w:rFonts w:ascii="Arial" w:hAnsi="Arial" w:cs="Arial"/>
                <w:b/>
                <w:bCs/>
                <w:sz w:val="16"/>
                <w:szCs w:val="16"/>
              </w:rPr>
              <w:t xml:space="preserve">Asset revaluation reserve </w:t>
            </w:r>
            <w:r w:rsidRPr="007C3816">
              <w:rPr>
                <w:rFonts w:ascii="Arial" w:hAnsi="Arial" w:cs="Arial"/>
                <w:sz w:val="16"/>
                <w:szCs w:val="16"/>
              </w:rPr>
              <w:br/>
              <w:t>$'000</w:t>
            </w:r>
          </w:p>
        </w:tc>
        <w:tc>
          <w:tcPr>
            <w:tcW w:w="1191" w:type="dxa"/>
            <w:tcBorders>
              <w:top w:val="single" w:sz="4" w:space="0" w:color="auto"/>
              <w:left w:val="nil"/>
              <w:bottom w:val="single" w:sz="4" w:space="0" w:color="auto"/>
              <w:right w:val="nil"/>
            </w:tcBorders>
            <w:shd w:val="clear" w:color="auto" w:fill="auto"/>
            <w:hideMark/>
          </w:tcPr>
          <w:p w14:paraId="6171730F" w14:textId="77777777" w:rsidR="007C3816" w:rsidRPr="007C3816" w:rsidRDefault="007C3816" w:rsidP="007C3816">
            <w:pPr>
              <w:spacing w:before="40" w:after="0"/>
              <w:jc w:val="right"/>
              <w:rPr>
                <w:rFonts w:ascii="Arial" w:hAnsi="Arial" w:cs="Arial"/>
                <w:sz w:val="16"/>
                <w:szCs w:val="16"/>
              </w:rPr>
            </w:pPr>
            <w:r w:rsidRPr="007C3816">
              <w:rPr>
                <w:rFonts w:ascii="Arial" w:hAnsi="Arial" w:cs="Arial"/>
                <w:b/>
                <w:bCs/>
                <w:sz w:val="16"/>
                <w:szCs w:val="16"/>
              </w:rPr>
              <w:t>Contributed equity/</w:t>
            </w:r>
            <w:r w:rsidRPr="007C3816">
              <w:rPr>
                <w:rFonts w:ascii="Arial" w:hAnsi="Arial" w:cs="Arial"/>
                <w:b/>
                <w:bCs/>
                <w:sz w:val="16"/>
                <w:szCs w:val="16"/>
              </w:rPr>
              <w:br/>
              <w:t xml:space="preserve">capital </w:t>
            </w:r>
            <w:r w:rsidRPr="007C3816">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hideMark/>
          </w:tcPr>
          <w:p w14:paraId="5857FA10" w14:textId="77777777" w:rsidR="007C3816" w:rsidRPr="007C3816" w:rsidRDefault="007C3816" w:rsidP="007C3816">
            <w:pPr>
              <w:spacing w:before="40" w:after="0"/>
              <w:jc w:val="right"/>
              <w:rPr>
                <w:rFonts w:ascii="Arial" w:hAnsi="Arial" w:cs="Arial"/>
                <w:sz w:val="16"/>
                <w:szCs w:val="16"/>
              </w:rPr>
            </w:pPr>
            <w:r w:rsidRPr="007C3816">
              <w:rPr>
                <w:rFonts w:ascii="Arial" w:hAnsi="Arial" w:cs="Arial"/>
                <w:b/>
                <w:bCs/>
                <w:sz w:val="16"/>
                <w:szCs w:val="16"/>
              </w:rPr>
              <w:t xml:space="preserve">Total </w:t>
            </w:r>
            <w:r w:rsidRPr="007C3816">
              <w:rPr>
                <w:rFonts w:ascii="Arial" w:hAnsi="Arial" w:cs="Arial"/>
                <w:b/>
                <w:bCs/>
                <w:sz w:val="16"/>
                <w:szCs w:val="16"/>
              </w:rPr>
              <w:br/>
              <w:t xml:space="preserve">equity </w:t>
            </w:r>
            <w:r w:rsidRPr="007C3816">
              <w:rPr>
                <w:rFonts w:ascii="Arial" w:hAnsi="Arial" w:cs="Arial"/>
                <w:sz w:val="16"/>
                <w:szCs w:val="16"/>
              </w:rPr>
              <w:br/>
            </w:r>
            <w:r w:rsidRPr="007C3816">
              <w:rPr>
                <w:rFonts w:ascii="Arial" w:hAnsi="Arial" w:cs="Arial"/>
                <w:sz w:val="16"/>
                <w:szCs w:val="16"/>
              </w:rPr>
              <w:br/>
              <w:t>$'000</w:t>
            </w:r>
          </w:p>
        </w:tc>
      </w:tr>
      <w:tr w:rsidR="007C3816" w:rsidRPr="007C3816" w14:paraId="01B330EB" w14:textId="77777777" w:rsidTr="00790508">
        <w:trPr>
          <w:trHeight w:val="225"/>
          <w:jc w:val="center"/>
        </w:trPr>
        <w:tc>
          <w:tcPr>
            <w:tcW w:w="2920" w:type="dxa"/>
            <w:tcBorders>
              <w:left w:val="nil"/>
              <w:bottom w:val="nil"/>
              <w:right w:val="nil"/>
            </w:tcBorders>
            <w:shd w:val="clear" w:color="auto" w:fill="auto"/>
            <w:noWrap/>
            <w:vAlign w:val="bottom"/>
            <w:hideMark/>
          </w:tcPr>
          <w:p w14:paraId="0B3E935E" w14:textId="77777777" w:rsidR="007C3816" w:rsidRPr="007C3816" w:rsidRDefault="007C3816" w:rsidP="007C3816">
            <w:pPr>
              <w:spacing w:after="0"/>
              <w:rPr>
                <w:rFonts w:ascii="Arial" w:hAnsi="Arial" w:cs="Arial"/>
                <w:b/>
                <w:bCs/>
                <w:sz w:val="16"/>
                <w:szCs w:val="16"/>
              </w:rPr>
            </w:pPr>
            <w:r w:rsidRPr="007C3816">
              <w:rPr>
                <w:rFonts w:ascii="Arial" w:hAnsi="Arial" w:cs="Arial"/>
                <w:b/>
                <w:bCs/>
                <w:sz w:val="16"/>
                <w:szCs w:val="16"/>
              </w:rPr>
              <w:t>Opening balance as at 1 July 2022</w:t>
            </w:r>
          </w:p>
        </w:tc>
        <w:tc>
          <w:tcPr>
            <w:tcW w:w="1020" w:type="dxa"/>
            <w:tcBorders>
              <w:top w:val="nil"/>
              <w:left w:val="nil"/>
              <w:bottom w:val="nil"/>
              <w:right w:val="nil"/>
            </w:tcBorders>
            <w:shd w:val="clear" w:color="auto" w:fill="auto"/>
            <w:noWrap/>
            <w:vAlign w:val="bottom"/>
            <w:hideMark/>
          </w:tcPr>
          <w:p w14:paraId="7AA832CB" w14:textId="77777777" w:rsidR="007C3816" w:rsidRPr="007C3816" w:rsidRDefault="007C3816" w:rsidP="007C3816">
            <w:pPr>
              <w:spacing w:after="0"/>
              <w:rPr>
                <w:rFonts w:ascii="Arial" w:hAnsi="Arial" w:cs="Arial"/>
                <w:b/>
                <w:bCs/>
                <w:sz w:val="16"/>
                <w:szCs w:val="16"/>
              </w:rPr>
            </w:pPr>
          </w:p>
        </w:tc>
        <w:tc>
          <w:tcPr>
            <w:tcW w:w="1191" w:type="dxa"/>
            <w:tcBorders>
              <w:top w:val="nil"/>
              <w:left w:val="nil"/>
              <w:bottom w:val="nil"/>
              <w:right w:val="nil"/>
            </w:tcBorders>
            <w:shd w:val="clear" w:color="auto" w:fill="auto"/>
            <w:noWrap/>
            <w:vAlign w:val="bottom"/>
            <w:hideMark/>
          </w:tcPr>
          <w:p w14:paraId="21B1980C" w14:textId="77777777" w:rsidR="007C3816" w:rsidRPr="007C3816" w:rsidRDefault="007C3816" w:rsidP="007C3816">
            <w:pPr>
              <w:spacing w:after="0"/>
              <w:jc w:val="right"/>
              <w:rPr>
                <w:rFonts w:ascii="Times New Roman" w:hAnsi="Times New Roman"/>
                <w:color w:val="auto"/>
                <w:sz w:val="20"/>
              </w:rPr>
            </w:pPr>
          </w:p>
        </w:tc>
        <w:tc>
          <w:tcPr>
            <w:tcW w:w="1191" w:type="dxa"/>
            <w:tcBorders>
              <w:top w:val="nil"/>
              <w:left w:val="nil"/>
              <w:bottom w:val="nil"/>
              <w:right w:val="nil"/>
            </w:tcBorders>
            <w:shd w:val="clear" w:color="auto" w:fill="auto"/>
            <w:noWrap/>
            <w:vAlign w:val="bottom"/>
            <w:hideMark/>
          </w:tcPr>
          <w:p w14:paraId="3522D967" w14:textId="77777777" w:rsidR="007C3816" w:rsidRPr="007C3816" w:rsidRDefault="007C3816" w:rsidP="007C3816">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4FB247B" w14:textId="77777777" w:rsidR="007C3816" w:rsidRPr="007C3816" w:rsidRDefault="007C3816" w:rsidP="007C3816">
            <w:pPr>
              <w:spacing w:after="0"/>
              <w:jc w:val="right"/>
              <w:rPr>
                <w:rFonts w:ascii="Times New Roman" w:hAnsi="Times New Roman"/>
                <w:color w:val="auto"/>
                <w:sz w:val="20"/>
              </w:rPr>
            </w:pPr>
          </w:p>
        </w:tc>
      </w:tr>
      <w:tr w:rsidR="007C3816" w:rsidRPr="007C3816" w14:paraId="0E7945B1" w14:textId="77777777" w:rsidTr="007C3816">
        <w:trPr>
          <w:trHeight w:val="454"/>
          <w:jc w:val="center"/>
        </w:trPr>
        <w:tc>
          <w:tcPr>
            <w:tcW w:w="2920" w:type="dxa"/>
            <w:tcBorders>
              <w:top w:val="nil"/>
              <w:left w:val="nil"/>
              <w:bottom w:val="nil"/>
              <w:right w:val="nil"/>
            </w:tcBorders>
            <w:shd w:val="clear" w:color="auto" w:fill="auto"/>
            <w:vAlign w:val="bottom"/>
            <w:hideMark/>
          </w:tcPr>
          <w:p w14:paraId="52685D9E" w14:textId="77777777" w:rsidR="007C3816" w:rsidRPr="007C3816" w:rsidRDefault="007C3816" w:rsidP="007C3816">
            <w:pPr>
              <w:spacing w:after="0"/>
              <w:ind w:leftChars="75" w:left="143"/>
              <w:rPr>
                <w:rFonts w:ascii="Arial" w:hAnsi="Arial" w:cs="Arial"/>
                <w:sz w:val="16"/>
                <w:szCs w:val="16"/>
              </w:rPr>
            </w:pPr>
            <w:r w:rsidRPr="007C3816">
              <w:rPr>
                <w:rFonts w:ascii="Arial" w:hAnsi="Arial" w:cs="Arial"/>
                <w:sz w:val="16"/>
                <w:szCs w:val="16"/>
              </w:rPr>
              <w:t>Balance carried forward from previous period</w:t>
            </w:r>
          </w:p>
        </w:tc>
        <w:tc>
          <w:tcPr>
            <w:tcW w:w="1020" w:type="dxa"/>
            <w:tcBorders>
              <w:top w:val="nil"/>
              <w:left w:val="nil"/>
              <w:bottom w:val="nil"/>
              <w:right w:val="nil"/>
            </w:tcBorders>
            <w:shd w:val="clear" w:color="auto" w:fill="auto"/>
            <w:noWrap/>
            <w:vAlign w:val="bottom"/>
            <w:hideMark/>
          </w:tcPr>
          <w:p w14:paraId="08DC63BA"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610</w:t>
            </w:r>
          </w:p>
        </w:tc>
        <w:tc>
          <w:tcPr>
            <w:tcW w:w="1191" w:type="dxa"/>
            <w:tcBorders>
              <w:top w:val="nil"/>
              <w:left w:val="nil"/>
              <w:bottom w:val="nil"/>
              <w:right w:val="nil"/>
            </w:tcBorders>
            <w:shd w:val="clear" w:color="auto" w:fill="auto"/>
            <w:noWrap/>
            <w:vAlign w:val="bottom"/>
            <w:hideMark/>
          </w:tcPr>
          <w:p w14:paraId="09EA7B37"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619</w:t>
            </w:r>
          </w:p>
        </w:tc>
        <w:tc>
          <w:tcPr>
            <w:tcW w:w="1191" w:type="dxa"/>
            <w:tcBorders>
              <w:top w:val="nil"/>
              <w:left w:val="nil"/>
              <w:bottom w:val="nil"/>
              <w:right w:val="nil"/>
            </w:tcBorders>
            <w:shd w:val="clear" w:color="auto" w:fill="auto"/>
            <w:noWrap/>
            <w:vAlign w:val="bottom"/>
            <w:hideMark/>
          </w:tcPr>
          <w:p w14:paraId="038599A4"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7,089</w:t>
            </w:r>
          </w:p>
        </w:tc>
        <w:tc>
          <w:tcPr>
            <w:tcW w:w="1020" w:type="dxa"/>
            <w:tcBorders>
              <w:top w:val="nil"/>
              <w:left w:val="nil"/>
              <w:bottom w:val="nil"/>
              <w:right w:val="nil"/>
            </w:tcBorders>
            <w:shd w:val="clear" w:color="auto" w:fill="auto"/>
            <w:noWrap/>
            <w:vAlign w:val="bottom"/>
            <w:hideMark/>
          </w:tcPr>
          <w:p w14:paraId="3763E5F2"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8,318</w:t>
            </w:r>
          </w:p>
        </w:tc>
      </w:tr>
      <w:tr w:rsidR="007C3816" w:rsidRPr="007C3816" w14:paraId="2F1EB67B" w14:textId="77777777" w:rsidTr="007C3816">
        <w:trPr>
          <w:trHeight w:val="283"/>
          <w:jc w:val="center"/>
        </w:trPr>
        <w:tc>
          <w:tcPr>
            <w:tcW w:w="2920" w:type="dxa"/>
            <w:tcBorders>
              <w:top w:val="nil"/>
              <w:left w:val="nil"/>
              <w:bottom w:val="nil"/>
              <w:right w:val="nil"/>
            </w:tcBorders>
            <w:shd w:val="clear" w:color="auto" w:fill="auto"/>
            <w:noWrap/>
            <w:vAlign w:val="bottom"/>
            <w:hideMark/>
          </w:tcPr>
          <w:p w14:paraId="5D73436F" w14:textId="77777777" w:rsidR="007C3816" w:rsidRPr="007C3816" w:rsidRDefault="007C3816" w:rsidP="007C3816">
            <w:pPr>
              <w:spacing w:after="0"/>
              <w:ind w:leftChars="75" w:left="143"/>
              <w:rPr>
                <w:rFonts w:ascii="Arial" w:hAnsi="Arial" w:cs="Arial"/>
                <w:color w:val="auto"/>
                <w:sz w:val="16"/>
                <w:szCs w:val="16"/>
              </w:rPr>
            </w:pPr>
            <w:r w:rsidRPr="007C3816">
              <w:rPr>
                <w:rFonts w:ascii="Arial" w:hAnsi="Arial" w:cs="Arial"/>
                <w:color w:val="auto"/>
                <w:sz w:val="16"/>
                <w:szCs w:val="16"/>
              </w:rPr>
              <w:t>Surplus (deficit) for the period</w:t>
            </w:r>
          </w:p>
        </w:tc>
        <w:tc>
          <w:tcPr>
            <w:tcW w:w="1020" w:type="dxa"/>
            <w:tcBorders>
              <w:top w:val="nil"/>
              <w:left w:val="nil"/>
              <w:bottom w:val="nil"/>
              <w:right w:val="nil"/>
            </w:tcBorders>
            <w:shd w:val="clear" w:color="auto" w:fill="auto"/>
            <w:noWrap/>
            <w:vAlign w:val="bottom"/>
            <w:hideMark/>
          </w:tcPr>
          <w:p w14:paraId="29EED2A4" w14:textId="77777777" w:rsidR="007C3816" w:rsidRPr="007C3816" w:rsidRDefault="007C3816" w:rsidP="007C3816">
            <w:pPr>
              <w:spacing w:after="0"/>
              <w:jc w:val="right"/>
              <w:rPr>
                <w:rFonts w:ascii="Arial" w:hAnsi="Arial" w:cs="Arial"/>
                <w:color w:val="auto"/>
                <w:sz w:val="16"/>
                <w:szCs w:val="16"/>
              </w:rPr>
            </w:pPr>
            <w:r w:rsidRPr="007C3816">
              <w:rPr>
                <w:rFonts w:ascii="Arial" w:hAnsi="Arial" w:cs="Arial"/>
                <w:color w:val="auto"/>
                <w:sz w:val="16"/>
                <w:szCs w:val="16"/>
              </w:rPr>
              <w:t>(786)</w:t>
            </w:r>
          </w:p>
        </w:tc>
        <w:tc>
          <w:tcPr>
            <w:tcW w:w="1191" w:type="dxa"/>
            <w:tcBorders>
              <w:top w:val="nil"/>
              <w:left w:val="nil"/>
              <w:bottom w:val="nil"/>
              <w:right w:val="nil"/>
            </w:tcBorders>
            <w:shd w:val="clear" w:color="auto" w:fill="auto"/>
            <w:noWrap/>
            <w:vAlign w:val="bottom"/>
            <w:hideMark/>
          </w:tcPr>
          <w:p w14:paraId="4A13A4D6" w14:textId="77777777" w:rsidR="007C3816" w:rsidRPr="007C3816" w:rsidRDefault="007C3816" w:rsidP="007C3816">
            <w:pPr>
              <w:spacing w:after="0"/>
              <w:jc w:val="right"/>
              <w:rPr>
                <w:rFonts w:ascii="Arial" w:hAnsi="Arial" w:cs="Arial"/>
                <w:color w:val="auto"/>
                <w:sz w:val="16"/>
                <w:szCs w:val="16"/>
              </w:rPr>
            </w:pPr>
            <w:r w:rsidRPr="007C3816">
              <w:rPr>
                <w:rFonts w:ascii="Arial" w:hAnsi="Arial" w:cs="Arial"/>
                <w:color w:val="auto"/>
                <w:sz w:val="16"/>
                <w:szCs w:val="16"/>
              </w:rPr>
              <w:t>-</w:t>
            </w:r>
          </w:p>
        </w:tc>
        <w:tc>
          <w:tcPr>
            <w:tcW w:w="1191" w:type="dxa"/>
            <w:tcBorders>
              <w:top w:val="nil"/>
              <w:left w:val="nil"/>
              <w:bottom w:val="nil"/>
              <w:right w:val="nil"/>
            </w:tcBorders>
            <w:shd w:val="clear" w:color="auto" w:fill="auto"/>
            <w:noWrap/>
            <w:vAlign w:val="bottom"/>
            <w:hideMark/>
          </w:tcPr>
          <w:p w14:paraId="6EA7759D" w14:textId="77777777" w:rsidR="007C3816" w:rsidRPr="007C3816" w:rsidRDefault="007C3816" w:rsidP="007C3816">
            <w:pPr>
              <w:spacing w:after="0"/>
              <w:jc w:val="right"/>
              <w:rPr>
                <w:rFonts w:ascii="Arial" w:hAnsi="Arial" w:cs="Arial"/>
                <w:color w:val="auto"/>
                <w:sz w:val="16"/>
                <w:szCs w:val="16"/>
              </w:rPr>
            </w:pPr>
            <w:r w:rsidRPr="007C3816">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2957FA01"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(786)</w:t>
            </w:r>
          </w:p>
        </w:tc>
      </w:tr>
      <w:tr w:rsidR="007C3816" w:rsidRPr="007C3816" w14:paraId="11A6162D" w14:textId="77777777" w:rsidTr="007C3816">
        <w:trPr>
          <w:trHeight w:val="283"/>
          <w:jc w:val="center"/>
        </w:trPr>
        <w:tc>
          <w:tcPr>
            <w:tcW w:w="2920" w:type="dxa"/>
            <w:tcBorders>
              <w:top w:val="nil"/>
              <w:left w:val="nil"/>
              <w:bottom w:val="nil"/>
              <w:right w:val="nil"/>
            </w:tcBorders>
            <w:shd w:val="clear" w:color="auto" w:fill="auto"/>
            <w:noWrap/>
            <w:vAlign w:val="bottom"/>
            <w:hideMark/>
          </w:tcPr>
          <w:p w14:paraId="484B566A" w14:textId="77777777" w:rsidR="007C3816" w:rsidRPr="007C3816" w:rsidRDefault="007C3816" w:rsidP="007C3816">
            <w:pPr>
              <w:spacing w:after="0"/>
              <w:ind w:leftChars="75" w:left="143"/>
              <w:rPr>
                <w:rFonts w:ascii="Arial" w:hAnsi="Arial" w:cs="Arial"/>
                <w:sz w:val="16"/>
                <w:szCs w:val="16"/>
              </w:rPr>
            </w:pPr>
            <w:r w:rsidRPr="007C3816">
              <w:rPr>
                <w:rFonts w:ascii="Arial" w:hAnsi="Arial" w:cs="Arial"/>
                <w:sz w:val="16"/>
                <w:szCs w:val="16"/>
              </w:rPr>
              <w:t>Appropriation (equity injection)</w:t>
            </w:r>
          </w:p>
        </w:tc>
        <w:tc>
          <w:tcPr>
            <w:tcW w:w="1020" w:type="dxa"/>
            <w:tcBorders>
              <w:top w:val="nil"/>
              <w:left w:val="nil"/>
              <w:bottom w:val="nil"/>
              <w:right w:val="nil"/>
            </w:tcBorders>
            <w:shd w:val="clear" w:color="auto" w:fill="auto"/>
            <w:noWrap/>
            <w:vAlign w:val="bottom"/>
            <w:hideMark/>
          </w:tcPr>
          <w:p w14:paraId="0D3EF029"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42900B98"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2B1990A0"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ECE0BC4"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w:t>
            </w:r>
          </w:p>
        </w:tc>
      </w:tr>
      <w:tr w:rsidR="007C3816" w:rsidRPr="007C3816" w14:paraId="03AE0B61" w14:textId="77777777" w:rsidTr="007C3816">
        <w:trPr>
          <w:trHeight w:val="283"/>
          <w:jc w:val="center"/>
        </w:trPr>
        <w:tc>
          <w:tcPr>
            <w:tcW w:w="2920" w:type="dxa"/>
            <w:tcBorders>
              <w:top w:val="nil"/>
              <w:left w:val="nil"/>
              <w:bottom w:val="nil"/>
              <w:right w:val="nil"/>
            </w:tcBorders>
            <w:shd w:val="clear" w:color="000000" w:fill="FFFFFF"/>
            <w:noWrap/>
            <w:vAlign w:val="bottom"/>
            <w:hideMark/>
          </w:tcPr>
          <w:p w14:paraId="2BAD8A20" w14:textId="77777777" w:rsidR="007C3816" w:rsidRPr="007C3816" w:rsidRDefault="007C3816" w:rsidP="007C3816">
            <w:pPr>
              <w:spacing w:after="0"/>
              <w:ind w:leftChars="75" w:left="143"/>
              <w:rPr>
                <w:rFonts w:ascii="Arial" w:hAnsi="Arial" w:cs="Arial"/>
                <w:color w:val="auto"/>
                <w:sz w:val="16"/>
                <w:szCs w:val="16"/>
              </w:rPr>
            </w:pPr>
            <w:r w:rsidRPr="007C3816">
              <w:rPr>
                <w:rFonts w:ascii="Arial" w:hAnsi="Arial" w:cs="Arial"/>
                <w:color w:val="auto"/>
                <w:sz w:val="16"/>
                <w:szCs w:val="16"/>
              </w:rPr>
              <w:t>Capital budget - Bill 1 (DCB)</w:t>
            </w:r>
          </w:p>
        </w:tc>
        <w:tc>
          <w:tcPr>
            <w:tcW w:w="1020" w:type="dxa"/>
            <w:tcBorders>
              <w:top w:val="nil"/>
              <w:left w:val="nil"/>
              <w:bottom w:val="nil"/>
              <w:right w:val="nil"/>
            </w:tcBorders>
            <w:shd w:val="clear" w:color="auto" w:fill="auto"/>
            <w:noWrap/>
            <w:vAlign w:val="bottom"/>
            <w:hideMark/>
          </w:tcPr>
          <w:p w14:paraId="3B98B5EE"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6C88502A"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447839E4" w14:textId="77777777" w:rsidR="007C3816" w:rsidRPr="007C3816" w:rsidRDefault="007C3816" w:rsidP="007C3816">
            <w:pPr>
              <w:spacing w:after="0"/>
              <w:jc w:val="right"/>
              <w:rPr>
                <w:rFonts w:ascii="Arial" w:hAnsi="Arial" w:cs="Arial"/>
                <w:sz w:val="16"/>
                <w:szCs w:val="16"/>
              </w:rPr>
            </w:pPr>
            <w:r w:rsidRPr="007C3816">
              <w:rPr>
                <w:rFonts w:ascii="Arial" w:hAnsi="Arial" w:cs="Arial"/>
                <w:sz w:val="16"/>
                <w:szCs w:val="16"/>
              </w:rPr>
              <w:t>651</w:t>
            </w:r>
          </w:p>
        </w:tc>
        <w:tc>
          <w:tcPr>
            <w:tcW w:w="1020" w:type="dxa"/>
            <w:tcBorders>
              <w:top w:val="nil"/>
              <w:left w:val="nil"/>
              <w:bottom w:val="single" w:sz="4" w:space="0" w:color="auto"/>
              <w:right w:val="nil"/>
            </w:tcBorders>
            <w:shd w:val="clear" w:color="auto" w:fill="auto"/>
            <w:noWrap/>
            <w:vAlign w:val="bottom"/>
            <w:hideMark/>
          </w:tcPr>
          <w:p w14:paraId="5351C98D"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651</w:t>
            </w:r>
          </w:p>
        </w:tc>
      </w:tr>
      <w:tr w:rsidR="007C3816" w:rsidRPr="007C3816" w14:paraId="496B6121" w14:textId="77777777" w:rsidTr="007C3816">
        <w:trPr>
          <w:trHeight w:val="454"/>
          <w:jc w:val="center"/>
        </w:trPr>
        <w:tc>
          <w:tcPr>
            <w:tcW w:w="2920" w:type="dxa"/>
            <w:tcBorders>
              <w:top w:val="nil"/>
              <w:left w:val="nil"/>
              <w:bottom w:val="single" w:sz="4" w:space="0" w:color="auto"/>
              <w:right w:val="nil"/>
            </w:tcBorders>
            <w:shd w:val="clear" w:color="auto" w:fill="auto"/>
            <w:vAlign w:val="bottom"/>
            <w:hideMark/>
          </w:tcPr>
          <w:p w14:paraId="46F743F5" w14:textId="77777777" w:rsidR="007C3816" w:rsidRPr="007C3816" w:rsidRDefault="007C3816" w:rsidP="007C3816">
            <w:pPr>
              <w:spacing w:after="0"/>
              <w:rPr>
                <w:rFonts w:ascii="Arial" w:hAnsi="Arial" w:cs="Arial"/>
                <w:b/>
                <w:bCs/>
                <w:sz w:val="16"/>
                <w:szCs w:val="16"/>
              </w:rPr>
            </w:pPr>
            <w:r w:rsidRPr="007C3816">
              <w:rPr>
                <w:rFonts w:ascii="Arial" w:hAnsi="Arial" w:cs="Arial"/>
                <w:b/>
                <w:bCs/>
                <w:sz w:val="16"/>
                <w:szCs w:val="16"/>
              </w:rPr>
              <w:t>Estimated closing balance as at</w:t>
            </w:r>
            <w:r w:rsidRPr="007C3816">
              <w:rPr>
                <w:rFonts w:ascii="Arial" w:hAnsi="Arial" w:cs="Arial"/>
                <w:b/>
                <w:bCs/>
                <w:sz w:val="16"/>
                <w:szCs w:val="16"/>
              </w:rPr>
              <w:br/>
              <w:t>30 June 2023</w:t>
            </w:r>
          </w:p>
        </w:tc>
        <w:tc>
          <w:tcPr>
            <w:tcW w:w="1020" w:type="dxa"/>
            <w:tcBorders>
              <w:top w:val="single" w:sz="4" w:space="0" w:color="auto"/>
              <w:left w:val="nil"/>
              <w:bottom w:val="single" w:sz="4" w:space="0" w:color="auto"/>
              <w:right w:val="nil"/>
            </w:tcBorders>
            <w:shd w:val="clear" w:color="auto" w:fill="auto"/>
            <w:noWrap/>
            <w:vAlign w:val="bottom"/>
            <w:hideMark/>
          </w:tcPr>
          <w:p w14:paraId="16F6DEEE"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(176)</w:t>
            </w:r>
          </w:p>
        </w:tc>
        <w:tc>
          <w:tcPr>
            <w:tcW w:w="1191" w:type="dxa"/>
            <w:tcBorders>
              <w:top w:val="single" w:sz="4" w:space="0" w:color="auto"/>
              <w:left w:val="nil"/>
              <w:bottom w:val="single" w:sz="4" w:space="0" w:color="auto"/>
              <w:right w:val="nil"/>
            </w:tcBorders>
            <w:shd w:val="clear" w:color="auto" w:fill="auto"/>
            <w:noWrap/>
            <w:vAlign w:val="bottom"/>
            <w:hideMark/>
          </w:tcPr>
          <w:p w14:paraId="17D30A88"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619</w:t>
            </w:r>
          </w:p>
        </w:tc>
        <w:tc>
          <w:tcPr>
            <w:tcW w:w="1191" w:type="dxa"/>
            <w:tcBorders>
              <w:top w:val="single" w:sz="4" w:space="0" w:color="auto"/>
              <w:left w:val="nil"/>
              <w:bottom w:val="single" w:sz="4" w:space="0" w:color="auto"/>
              <w:right w:val="nil"/>
            </w:tcBorders>
            <w:shd w:val="clear" w:color="auto" w:fill="auto"/>
            <w:noWrap/>
            <w:vAlign w:val="bottom"/>
            <w:hideMark/>
          </w:tcPr>
          <w:p w14:paraId="1647D47B"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7,740</w:t>
            </w:r>
          </w:p>
        </w:tc>
        <w:tc>
          <w:tcPr>
            <w:tcW w:w="1020" w:type="dxa"/>
            <w:tcBorders>
              <w:top w:val="nil"/>
              <w:left w:val="nil"/>
              <w:bottom w:val="single" w:sz="4" w:space="0" w:color="auto"/>
              <w:right w:val="nil"/>
            </w:tcBorders>
            <w:shd w:val="clear" w:color="auto" w:fill="auto"/>
            <w:noWrap/>
            <w:vAlign w:val="bottom"/>
            <w:hideMark/>
          </w:tcPr>
          <w:p w14:paraId="5CAF3AB0" w14:textId="77777777" w:rsidR="007C3816" w:rsidRPr="007C3816" w:rsidRDefault="007C3816" w:rsidP="007C3816">
            <w:pPr>
              <w:spacing w:after="0"/>
              <w:jc w:val="right"/>
              <w:rPr>
                <w:rFonts w:ascii="Arial" w:hAnsi="Arial" w:cs="Arial"/>
                <w:b/>
                <w:bCs/>
                <w:sz w:val="16"/>
                <w:szCs w:val="16"/>
              </w:rPr>
            </w:pPr>
            <w:r w:rsidRPr="007C3816">
              <w:rPr>
                <w:rFonts w:ascii="Arial" w:hAnsi="Arial" w:cs="Arial"/>
                <w:b/>
                <w:bCs/>
                <w:sz w:val="16"/>
                <w:szCs w:val="16"/>
              </w:rPr>
              <w:t>8,183</w:t>
            </w:r>
          </w:p>
        </w:tc>
      </w:tr>
    </w:tbl>
    <w:p w14:paraId="2782E6DC" w14:textId="22D99541" w:rsidR="007C3816" w:rsidRDefault="007C3816" w:rsidP="007C3816">
      <w:pPr>
        <w:pStyle w:val="FootnoteText"/>
        <w:spacing w:before="120"/>
        <w:rPr>
          <w:lang w:eastAsia="en-US"/>
        </w:rPr>
      </w:pPr>
      <w:r w:rsidRPr="007C3816">
        <w:rPr>
          <w:lang w:eastAsia="en-US"/>
        </w:rPr>
        <w:t>DCB = Departmental Capital Budget</w:t>
      </w:r>
    </w:p>
    <w:p w14:paraId="19A90F81" w14:textId="77777777" w:rsidR="007C3816" w:rsidRDefault="007C3816">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6F57563E" w14:textId="65018684" w:rsidR="00884F73" w:rsidRDefault="00884F73" w:rsidP="00884F73">
      <w:pPr>
        <w:rPr>
          <w:rFonts w:ascii="Arial" w:hAnsi="Arial" w:cs="Arial"/>
          <w:b/>
          <w:sz w:val="20"/>
          <w:szCs w:val="18"/>
          <w:lang w:eastAsia="en-US"/>
        </w:rPr>
      </w:pPr>
      <w:r w:rsidRPr="00884F73">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D913F2" w:rsidRPr="00D913F2" w14:paraId="5B1D0DA0" w14:textId="77777777" w:rsidTr="00D913F2">
        <w:trPr>
          <w:trHeight w:val="765"/>
        </w:trPr>
        <w:tc>
          <w:tcPr>
            <w:tcW w:w="3052" w:type="dxa"/>
            <w:tcBorders>
              <w:top w:val="single" w:sz="4" w:space="0" w:color="auto"/>
              <w:left w:val="nil"/>
              <w:bottom w:val="nil"/>
              <w:right w:val="nil"/>
            </w:tcBorders>
            <w:shd w:val="clear" w:color="auto" w:fill="auto"/>
            <w:tcMar>
              <w:left w:w="0" w:type="dxa"/>
            </w:tcMar>
            <w:hideMark/>
          </w:tcPr>
          <w:p w14:paraId="0625D318"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74200181"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2021–22 Estimated actual</w:t>
            </w:r>
            <w:r w:rsidRPr="00D913F2">
              <w:rPr>
                <w:rFonts w:ascii="Arial" w:hAnsi="Arial" w:cs="Arial"/>
                <w:b/>
                <w:bCs/>
                <w:color w:val="auto"/>
                <w:sz w:val="16"/>
                <w:szCs w:val="16"/>
              </w:rPr>
              <w:br/>
            </w:r>
            <w:r w:rsidRPr="00D913F2">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0AE69E2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 xml:space="preserve">2022–23 Budget </w:t>
            </w:r>
            <w:r w:rsidRPr="00D913F2">
              <w:rPr>
                <w:rFonts w:ascii="Arial" w:hAnsi="Arial" w:cs="Arial"/>
                <w:b/>
                <w:bCs/>
                <w:color w:val="auto"/>
                <w:sz w:val="16"/>
                <w:szCs w:val="16"/>
              </w:rPr>
              <w:br/>
            </w:r>
            <w:r w:rsidRPr="00D913F2">
              <w:rPr>
                <w:rFonts w:ascii="Arial" w:hAnsi="Arial" w:cs="Arial"/>
                <w:b/>
                <w:bCs/>
                <w:color w:val="auto"/>
                <w:sz w:val="16"/>
                <w:szCs w:val="16"/>
              </w:rPr>
              <w:br/>
            </w:r>
            <w:r w:rsidRPr="00D913F2">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4C4D6A5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2023–24 Forward estimate</w:t>
            </w:r>
            <w:r w:rsidRPr="00D913F2">
              <w:rPr>
                <w:rFonts w:ascii="Arial" w:hAnsi="Arial" w:cs="Arial"/>
                <w:b/>
                <w:bCs/>
                <w:color w:val="auto"/>
                <w:sz w:val="16"/>
                <w:szCs w:val="16"/>
              </w:rPr>
              <w:br/>
            </w:r>
            <w:r w:rsidRPr="00D913F2">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50F4C22D"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2024–25 Forward estimate</w:t>
            </w:r>
            <w:r w:rsidRPr="00D913F2">
              <w:rPr>
                <w:rFonts w:ascii="Arial" w:hAnsi="Arial" w:cs="Arial"/>
                <w:b/>
                <w:bCs/>
                <w:color w:val="auto"/>
                <w:sz w:val="16"/>
                <w:szCs w:val="16"/>
              </w:rPr>
              <w:br/>
            </w:r>
            <w:r w:rsidRPr="00D913F2">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58CA11E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2025–26 Forward estimate</w:t>
            </w:r>
            <w:r w:rsidRPr="00D913F2">
              <w:rPr>
                <w:rFonts w:ascii="Arial" w:hAnsi="Arial" w:cs="Arial"/>
                <w:b/>
                <w:bCs/>
                <w:color w:val="auto"/>
                <w:sz w:val="16"/>
                <w:szCs w:val="16"/>
              </w:rPr>
              <w:br/>
            </w:r>
            <w:r w:rsidRPr="00D913F2">
              <w:rPr>
                <w:rFonts w:ascii="Arial" w:hAnsi="Arial" w:cs="Arial"/>
                <w:color w:val="auto"/>
                <w:sz w:val="16"/>
                <w:szCs w:val="16"/>
              </w:rPr>
              <w:t>$'000</w:t>
            </w:r>
          </w:p>
        </w:tc>
      </w:tr>
      <w:tr w:rsidR="00D913F2" w:rsidRPr="00D913F2" w14:paraId="05B51D6D" w14:textId="77777777" w:rsidTr="00D913F2">
        <w:trPr>
          <w:trHeight w:val="225"/>
        </w:trPr>
        <w:tc>
          <w:tcPr>
            <w:tcW w:w="3052" w:type="dxa"/>
            <w:tcBorders>
              <w:top w:val="nil"/>
              <w:left w:val="nil"/>
              <w:bottom w:val="nil"/>
              <w:right w:val="nil"/>
            </w:tcBorders>
            <w:shd w:val="clear" w:color="auto" w:fill="auto"/>
            <w:noWrap/>
            <w:vAlign w:val="bottom"/>
            <w:hideMark/>
          </w:tcPr>
          <w:p w14:paraId="04A09D01" w14:textId="77777777" w:rsidR="00D913F2" w:rsidRPr="00D913F2" w:rsidRDefault="00D913F2" w:rsidP="00D913F2">
            <w:pPr>
              <w:spacing w:after="0"/>
              <w:rPr>
                <w:rFonts w:ascii="Arial" w:hAnsi="Arial" w:cs="Arial"/>
                <w:b/>
                <w:bCs/>
                <w:sz w:val="16"/>
                <w:szCs w:val="16"/>
              </w:rPr>
            </w:pPr>
            <w:r w:rsidRPr="00D913F2">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20B3D5BB"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2E1B1A69"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0D0FFD1"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4CF2CE51"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19E1C7A7"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 </w:t>
            </w:r>
          </w:p>
        </w:tc>
      </w:tr>
      <w:tr w:rsidR="00D913F2" w:rsidRPr="00D913F2" w14:paraId="2DB6DF87" w14:textId="77777777" w:rsidTr="00D913F2">
        <w:trPr>
          <w:trHeight w:val="225"/>
        </w:trPr>
        <w:tc>
          <w:tcPr>
            <w:tcW w:w="3052" w:type="dxa"/>
            <w:tcBorders>
              <w:top w:val="nil"/>
              <w:left w:val="nil"/>
              <w:bottom w:val="nil"/>
              <w:right w:val="nil"/>
            </w:tcBorders>
            <w:shd w:val="clear" w:color="auto" w:fill="auto"/>
            <w:noWrap/>
            <w:vAlign w:val="bottom"/>
            <w:hideMark/>
          </w:tcPr>
          <w:p w14:paraId="10368437" w14:textId="77777777" w:rsidR="00D913F2" w:rsidRPr="00D913F2" w:rsidRDefault="00D913F2" w:rsidP="00D913F2">
            <w:pPr>
              <w:spacing w:after="0"/>
              <w:ind w:firstLineChars="100" w:firstLine="160"/>
              <w:rPr>
                <w:rFonts w:ascii="Arial" w:hAnsi="Arial" w:cs="Arial"/>
                <w:b/>
                <w:bCs/>
                <w:sz w:val="16"/>
                <w:szCs w:val="16"/>
              </w:rPr>
            </w:pPr>
            <w:r w:rsidRPr="00D913F2">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67AEC81" w14:textId="77777777" w:rsidR="00D913F2" w:rsidRPr="00D913F2" w:rsidRDefault="00D913F2" w:rsidP="00D913F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4CFBF06"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0DFF876" w14:textId="77777777" w:rsidR="00D913F2" w:rsidRPr="00D913F2" w:rsidRDefault="00D913F2" w:rsidP="00D913F2">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B4B91F3"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D2ACAE7" w14:textId="77777777" w:rsidR="00D913F2" w:rsidRPr="00D913F2" w:rsidRDefault="00D913F2" w:rsidP="00D913F2">
            <w:pPr>
              <w:spacing w:after="0"/>
              <w:jc w:val="right"/>
              <w:rPr>
                <w:rFonts w:ascii="Times New Roman" w:hAnsi="Times New Roman"/>
                <w:color w:val="auto"/>
                <w:sz w:val="20"/>
              </w:rPr>
            </w:pPr>
          </w:p>
        </w:tc>
      </w:tr>
      <w:tr w:rsidR="00D913F2" w:rsidRPr="00D913F2" w14:paraId="0DD9EB68" w14:textId="77777777" w:rsidTr="00D913F2">
        <w:trPr>
          <w:trHeight w:val="225"/>
        </w:trPr>
        <w:tc>
          <w:tcPr>
            <w:tcW w:w="3052" w:type="dxa"/>
            <w:tcBorders>
              <w:top w:val="nil"/>
              <w:left w:val="nil"/>
              <w:bottom w:val="nil"/>
              <w:right w:val="nil"/>
            </w:tcBorders>
            <w:shd w:val="clear" w:color="auto" w:fill="auto"/>
            <w:noWrap/>
            <w:vAlign w:val="bottom"/>
            <w:hideMark/>
          </w:tcPr>
          <w:p w14:paraId="5BAA0F30"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261599C7"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5,120</w:t>
            </w:r>
          </w:p>
        </w:tc>
        <w:tc>
          <w:tcPr>
            <w:tcW w:w="844" w:type="dxa"/>
            <w:tcBorders>
              <w:top w:val="nil"/>
              <w:left w:val="nil"/>
              <w:bottom w:val="nil"/>
              <w:right w:val="nil"/>
            </w:tcBorders>
            <w:shd w:val="clear" w:color="000000" w:fill="D9D9D9"/>
            <w:noWrap/>
            <w:vAlign w:val="bottom"/>
            <w:hideMark/>
          </w:tcPr>
          <w:p w14:paraId="25B92C01"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5,479</w:t>
            </w:r>
          </w:p>
        </w:tc>
        <w:tc>
          <w:tcPr>
            <w:tcW w:w="861" w:type="dxa"/>
            <w:tcBorders>
              <w:top w:val="nil"/>
              <w:left w:val="nil"/>
              <w:bottom w:val="nil"/>
              <w:right w:val="nil"/>
            </w:tcBorders>
            <w:shd w:val="clear" w:color="auto" w:fill="auto"/>
            <w:noWrap/>
            <w:vAlign w:val="bottom"/>
            <w:hideMark/>
          </w:tcPr>
          <w:p w14:paraId="4BD9EB7E"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5,718</w:t>
            </w:r>
          </w:p>
        </w:tc>
        <w:tc>
          <w:tcPr>
            <w:tcW w:w="861" w:type="dxa"/>
            <w:tcBorders>
              <w:top w:val="nil"/>
              <w:left w:val="nil"/>
              <w:bottom w:val="nil"/>
              <w:right w:val="nil"/>
            </w:tcBorders>
            <w:shd w:val="clear" w:color="auto" w:fill="auto"/>
            <w:noWrap/>
            <w:vAlign w:val="bottom"/>
            <w:hideMark/>
          </w:tcPr>
          <w:p w14:paraId="022C2568"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5,786</w:t>
            </w:r>
          </w:p>
        </w:tc>
        <w:tc>
          <w:tcPr>
            <w:tcW w:w="861" w:type="dxa"/>
            <w:tcBorders>
              <w:top w:val="nil"/>
              <w:left w:val="nil"/>
              <w:bottom w:val="nil"/>
              <w:right w:val="nil"/>
            </w:tcBorders>
            <w:shd w:val="clear" w:color="auto" w:fill="auto"/>
            <w:noWrap/>
            <w:vAlign w:val="bottom"/>
            <w:hideMark/>
          </w:tcPr>
          <w:p w14:paraId="72A3B815"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5,844</w:t>
            </w:r>
          </w:p>
        </w:tc>
      </w:tr>
      <w:tr w:rsidR="00D913F2" w:rsidRPr="00D913F2" w14:paraId="4FBAADF3" w14:textId="77777777" w:rsidTr="00D913F2">
        <w:trPr>
          <w:trHeight w:val="225"/>
        </w:trPr>
        <w:tc>
          <w:tcPr>
            <w:tcW w:w="3052" w:type="dxa"/>
            <w:tcBorders>
              <w:top w:val="nil"/>
              <w:left w:val="nil"/>
              <w:bottom w:val="nil"/>
              <w:right w:val="nil"/>
            </w:tcBorders>
            <w:shd w:val="clear" w:color="auto" w:fill="auto"/>
            <w:noWrap/>
            <w:vAlign w:val="bottom"/>
            <w:hideMark/>
          </w:tcPr>
          <w:p w14:paraId="7C289CDD"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Good and services</w:t>
            </w:r>
          </w:p>
        </w:tc>
        <w:tc>
          <w:tcPr>
            <w:tcW w:w="881" w:type="dxa"/>
            <w:tcBorders>
              <w:top w:val="nil"/>
              <w:left w:val="nil"/>
              <w:bottom w:val="nil"/>
              <w:right w:val="nil"/>
            </w:tcBorders>
            <w:shd w:val="clear" w:color="auto" w:fill="auto"/>
            <w:noWrap/>
            <w:vAlign w:val="bottom"/>
            <w:hideMark/>
          </w:tcPr>
          <w:p w14:paraId="3D16D14E"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235</w:t>
            </w:r>
          </w:p>
        </w:tc>
        <w:tc>
          <w:tcPr>
            <w:tcW w:w="844" w:type="dxa"/>
            <w:tcBorders>
              <w:top w:val="nil"/>
              <w:left w:val="nil"/>
              <w:bottom w:val="nil"/>
              <w:right w:val="nil"/>
            </w:tcBorders>
            <w:shd w:val="clear" w:color="000000" w:fill="D9D9D9"/>
            <w:noWrap/>
            <w:vAlign w:val="bottom"/>
            <w:hideMark/>
          </w:tcPr>
          <w:p w14:paraId="2F688377"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250</w:t>
            </w:r>
          </w:p>
        </w:tc>
        <w:tc>
          <w:tcPr>
            <w:tcW w:w="861" w:type="dxa"/>
            <w:tcBorders>
              <w:top w:val="nil"/>
              <w:left w:val="nil"/>
              <w:bottom w:val="nil"/>
              <w:right w:val="nil"/>
            </w:tcBorders>
            <w:shd w:val="clear" w:color="auto" w:fill="auto"/>
            <w:noWrap/>
            <w:vAlign w:val="bottom"/>
            <w:hideMark/>
          </w:tcPr>
          <w:p w14:paraId="578835CF"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250</w:t>
            </w:r>
          </w:p>
        </w:tc>
        <w:tc>
          <w:tcPr>
            <w:tcW w:w="861" w:type="dxa"/>
            <w:tcBorders>
              <w:top w:val="nil"/>
              <w:left w:val="nil"/>
              <w:bottom w:val="nil"/>
              <w:right w:val="nil"/>
            </w:tcBorders>
            <w:shd w:val="clear" w:color="auto" w:fill="auto"/>
            <w:noWrap/>
            <w:vAlign w:val="bottom"/>
            <w:hideMark/>
          </w:tcPr>
          <w:p w14:paraId="1F852E47"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250</w:t>
            </w:r>
          </w:p>
        </w:tc>
        <w:tc>
          <w:tcPr>
            <w:tcW w:w="861" w:type="dxa"/>
            <w:tcBorders>
              <w:top w:val="nil"/>
              <w:left w:val="nil"/>
              <w:bottom w:val="nil"/>
              <w:right w:val="nil"/>
            </w:tcBorders>
            <w:shd w:val="clear" w:color="auto" w:fill="auto"/>
            <w:noWrap/>
            <w:vAlign w:val="bottom"/>
            <w:hideMark/>
          </w:tcPr>
          <w:p w14:paraId="534D18BB"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r>
      <w:tr w:rsidR="00D913F2" w:rsidRPr="00D913F2" w14:paraId="5C34ABE3" w14:textId="77777777" w:rsidTr="00D913F2">
        <w:trPr>
          <w:trHeight w:val="225"/>
        </w:trPr>
        <w:tc>
          <w:tcPr>
            <w:tcW w:w="3052" w:type="dxa"/>
            <w:tcBorders>
              <w:top w:val="nil"/>
              <w:left w:val="nil"/>
              <w:bottom w:val="nil"/>
              <w:right w:val="nil"/>
            </w:tcBorders>
            <w:shd w:val="clear" w:color="auto" w:fill="auto"/>
            <w:noWrap/>
            <w:vAlign w:val="bottom"/>
            <w:hideMark/>
          </w:tcPr>
          <w:p w14:paraId="47B03252"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4D8754F8"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4,710</w:t>
            </w:r>
          </w:p>
        </w:tc>
        <w:tc>
          <w:tcPr>
            <w:tcW w:w="844" w:type="dxa"/>
            <w:tcBorders>
              <w:top w:val="nil"/>
              <w:left w:val="nil"/>
              <w:bottom w:val="nil"/>
              <w:right w:val="nil"/>
            </w:tcBorders>
            <w:shd w:val="clear" w:color="000000" w:fill="D9D9D9"/>
            <w:noWrap/>
            <w:vAlign w:val="bottom"/>
            <w:hideMark/>
          </w:tcPr>
          <w:p w14:paraId="5BD39E7C"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3,656</w:t>
            </w:r>
          </w:p>
        </w:tc>
        <w:tc>
          <w:tcPr>
            <w:tcW w:w="861" w:type="dxa"/>
            <w:tcBorders>
              <w:top w:val="nil"/>
              <w:left w:val="nil"/>
              <w:bottom w:val="nil"/>
              <w:right w:val="nil"/>
            </w:tcBorders>
            <w:shd w:val="clear" w:color="auto" w:fill="auto"/>
            <w:noWrap/>
            <w:vAlign w:val="bottom"/>
            <w:hideMark/>
          </w:tcPr>
          <w:p w14:paraId="6073E691"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3,755</w:t>
            </w:r>
          </w:p>
        </w:tc>
        <w:tc>
          <w:tcPr>
            <w:tcW w:w="861" w:type="dxa"/>
            <w:tcBorders>
              <w:top w:val="nil"/>
              <w:left w:val="nil"/>
              <w:bottom w:val="nil"/>
              <w:right w:val="nil"/>
            </w:tcBorders>
            <w:shd w:val="clear" w:color="auto" w:fill="auto"/>
            <w:noWrap/>
            <w:vAlign w:val="bottom"/>
            <w:hideMark/>
          </w:tcPr>
          <w:p w14:paraId="59613B9D"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3,773</w:t>
            </w:r>
          </w:p>
        </w:tc>
        <w:tc>
          <w:tcPr>
            <w:tcW w:w="861" w:type="dxa"/>
            <w:tcBorders>
              <w:top w:val="nil"/>
              <w:left w:val="nil"/>
              <w:bottom w:val="nil"/>
              <w:right w:val="nil"/>
            </w:tcBorders>
            <w:shd w:val="clear" w:color="auto" w:fill="auto"/>
            <w:noWrap/>
            <w:vAlign w:val="bottom"/>
            <w:hideMark/>
          </w:tcPr>
          <w:p w14:paraId="0238E84E"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3,867</w:t>
            </w:r>
          </w:p>
        </w:tc>
      </w:tr>
      <w:tr w:rsidR="00D913F2" w:rsidRPr="00D913F2" w14:paraId="079A360B" w14:textId="77777777" w:rsidTr="00D913F2">
        <w:trPr>
          <w:trHeight w:val="225"/>
        </w:trPr>
        <w:tc>
          <w:tcPr>
            <w:tcW w:w="3052" w:type="dxa"/>
            <w:tcBorders>
              <w:top w:val="nil"/>
              <w:left w:val="nil"/>
              <w:bottom w:val="nil"/>
              <w:right w:val="nil"/>
            </w:tcBorders>
            <w:shd w:val="clear" w:color="auto" w:fill="auto"/>
            <w:noWrap/>
            <w:vAlign w:val="bottom"/>
            <w:hideMark/>
          </w:tcPr>
          <w:p w14:paraId="6BB2FC1B"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4C7E8414"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8</w:t>
            </w:r>
          </w:p>
        </w:tc>
        <w:tc>
          <w:tcPr>
            <w:tcW w:w="844" w:type="dxa"/>
            <w:tcBorders>
              <w:top w:val="nil"/>
              <w:left w:val="nil"/>
              <w:bottom w:val="nil"/>
              <w:right w:val="nil"/>
            </w:tcBorders>
            <w:shd w:val="clear" w:color="000000" w:fill="D9D9D9"/>
            <w:noWrap/>
            <w:vAlign w:val="bottom"/>
            <w:hideMark/>
          </w:tcPr>
          <w:p w14:paraId="2C9DDF3D"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3F89F72F"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2ADC9F9D"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6CE42632"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r>
      <w:tr w:rsidR="00D913F2" w:rsidRPr="00D913F2" w14:paraId="4B8BBBF8" w14:textId="77777777" w:rsidTr="00D913F2">
        <w:trPr>
          <w:trHeight w:val="225"/>
        </w:trPr>
        <w:tc>
          <w:tcPr>
            <w:tcW w:w="3052" w:type="dxa"/>
            <w:tcBorders>
              <w:top w:val="nil"/>
              <w:left w:val="nil"/>
              <w:bottom w:val="nil"/>
              <w:right w:val="nil"/>
            </w:tcBorders>
            <w:shd w:val="clear" w:color="auto" w:fill="auto"/>
            <w:noWrap/>
            <w:vAlign w:val="bottom"/>
            <w:hideMark/>
          </w:tcPr>
          <w:p w14:paraId="4217EA6F" w14:textId="77777777" w:rsidR="00D913F2" w:rsidRPr="00D913F2" w:rsidRDefault="00D913F2" w:rsidP="00D913F2">
            <w:pPr>
              <w:spacing w:after="0"/>
              <w:ind w:leftChars="150" w:left="285"/>
              <w:rPr>
                <w:rFonts w:ascii="Arial" w:hAnsi="Arial" w:cs="Arial"/>
                <w:b/>
                <w:bCs/>
                <w:sz w:val="16"/>
                <w:szCs w:val="16"/>
              </w:rPr>
            </w:pPr>
            <w:r w:rsidRPr="00D913F2">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A898522"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10,073</w:t>
            </w:r>
          </w:p>
        </w:tc>
        <w:tc>
          <w:tcPr>
            <w:tcW w:w="844" w:type="dxa"/>
            <w:tcBorders>
              <w:top w:val="nil"/>
              <w:left w:val="nil"/>
              <w:bottom w:val="single" w:sz="4" w:space="0" w:color="auto"/>
              <w:right w:val="nil"/>
            </w:tcBorders>
            <w:shd w:val="clear" w:color="000000" w:fill="D9D9D9"/>
            <w:noWrap/>
            <w:vAlign w:val="bottom"/>
            <w:hideMark/>
          </w:tcPr>
          <w:p w14:paraId="78C536E6"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9,385</w:t>
            </w:r>
          </w:p>
        </w:tc>
        <w:tc>
          <w:tcPr>
            <w:tcW w:w="861" w:type="dxa"/>
            <w:tcBorders>
              <w:top w:val="nil"/>
              <w:left w:val="nil"/>
              <w:bottom w:val="single" w:sz="4" w:space="0" w:color="auto"/>
              <w:right w:val="nil"/>
            </w:tcBorders>
            <w:shd w:val="clear" w:color="auto" w:fill="auto"/>
            <w:noWrap/>
            <w:vAlign w:val="bottom"/>
            <w:hideMark/>
          </w:tcPr>
          <w:p w14:paraId="40D815AF"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9,723</w:t>
            </w:r>
          </w:p>
        </w:tc>
        <w:tc>
          <w:tcPr>
            <w:tcW w:w="861" w:type="dxa"/>
            <w:tcBorders>
              <w:top w:val="nil"/>
              <w:left w:val="nil"/>
              <w:bottom w:val="single" w:sz="4" w:space="0" w:color="auto"/>
              <w:right w:val="nil"/>
            </w:tcBorders>
            <w:shd w:val="clear" w:color="auto" w:fill="auto"/>
            <w:noWrap/>
            <w:vAlign w:val="bottom"/>
            <w:hideMark/>
          </w:tcPr>
          <w:p w14:paraId="3CC4A56E"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9,809</w:t>
            </w:r>
          </w:p>
        </w:tc>
        <w:tc>
          <w:tcPr>
            <w:tcW w:w="861" w:type="dxa"/>
            <w:tcBorders>
              <w:top w:val="nil"/>
              <w:left w:val="nil"/>
              <w:bottom w:val="single" w:sz="4" w:space="0" w:color="auto"/>
              <w:right w:val="nil"/>
            </w:tcBorders>
            <w:shd w:val="clear" w:color="auto" w:fill="auto"/>
            <w:noWrap/>
            <w:vAlign w:val="bottom"/>
            <w:hideMark/>
          </w:tcPr>
          <w:p w14:paraId="5F0B320B"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9,711</w:t>
            </w:r>
          </w:p>
        </w:tc>
      </w:tr>
      <w:tr w:rsidR="00D913F2" w:rsidRPr="00D913F2" w14:paraId="4B9F9D5A" w14:textId="77777777" w:rsidTr="00D913F2">
        <w:trPr>
          <w:trHeight w:val="300"/>
        </w:trPr>
        <w:tc>
          <w:tcPr>
            <w:tcW w:w="3052" w:type="dxa"/>
            <w:tcBorders>
              <w:top w:val="nil"/>
              <w:left w:val="nil"/>
              <w:bottom w:val="nil"/>
              <w:right w:val="nil"/>
            </w:tcBorders>
            <w:shd w:val="clear" w:color="auto" w:fill="auto"/>
            <w:noWrap/>
            <w:vAlign w:val="bottom"/>
            <w:hideMark/>
          </w:tcPr>
          <w:p w14:paraId="4AB6E91E" w14:textId="77777777" w:rsidR="00D913F2" w:rsidRPr="00D913F2" w:rsidRDefault="00D913F2" w:rsidP="00D913F2">
            <w:pPr>
              <w:spacing w:after="0"/>
              <w:ind w:firstLineChars="100" w:firstLine="160"/>
              <w:rPr>
                <w:rFonts w:ascii="Arial" w:hAnsi="Arial" w:cs="Arial"/>
                <w:b/>
                <w:bCs/>
                <w:sz w:val="16"/>
                <w:szCs w:val="16"/>
              </w:rPr>
            </w:pPr>
            <w:r w:rsidRPr="00D913F2">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619FD70" w14:textId="77777777" w:rsidR="00D913F2" w:rsidRPr="00D913F2" w:rsidRDefault="00D913F2" w:rsidP="00D913F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E1C8DDA"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87AA7B4" w14:textId="77777777" w:rsidR="00D913F2" w:rsidRPr="00D913F2" w:rsidRDefault="00D913F2" w:rsidP="00D913F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1480977C"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4402386" w14:textId="77777777" w:rsidR="00D913F2" w:rsidRPr="00D913F2" w:rsidRDefault="00D913F2" w:rsidP="00D913F2">
            <w:pPr>
              <w:spacing w:after="0"/>
              <w:jc w:val="right"/>
              <w:rPr>
                <w:rFonts w:ascii="Times New Roman" w:hAnsi="Times New Roman"/>
                <w:color w:val="auto"/>
                <w:sz w:val="20"/>
              </w:rPr>
            </w:pPr>
          </w:p>
        </w:tc>
      </w:tr>
      <w:tr w:rsidR="00D913F2" w:rsidRPr="00D913F2" w14:paraId="6BF02BB2" w14:textId="77777777" w:rsidTr="00D913F2">
        <w:trPr>
          <w:trHeight w:val="225"/>
        </w:trPr>
        <w:tc>
          <w:tcPr>
            <w:tcW w:w="3052" w:type="dxa"/>
            <w:tcBorders>
              <w:top w:val="nil"/>
              <w:left w:val="nil"/>
              <w:bottom w:val="nil"/>
              <w:right w:val="nil"/>
            </w:tcBorders>
            <w:shd w:val="clear" w:color="auto" w:fill="auto"/>
            <w:noWrap/>
            <w:vAlign w:val="bottom"/>
            <w:hideMark/>
          </w:tcPr>
          <w:p w14:paraId="45645F16"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36A09D38"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7,985</w:t>
            </w:r>
          </w:p>
        </w:tc>
        <w:tc>
          <w:tcPr>
            <w:tcW w:w="844" w:type="dxa"/>
            <w:tcBorders>
              <w:top w:val="nil"/>
              <w:left w:val="nil"/>
              <w:bottom w:val="nil"/>
              <w:right w:val="nil"/>
            </w:tcBorders>
            <w:shd w:val="clear" w:color="000000" w:fill="D9D9D9"/>
            <w:noWrap/>
            <w:vAlign w:val="bottom"/>
            <w:hideMark/>
          </w:tcPr>
          <w:p w14:paraId="4ABC3919"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6,498</w:t>
            </w:r>
          </w:p>
        </w:tc>
        <w:tc>
          <w:tcPr>
            <w:tcW w:w="861" w:type="dxa"/>
            <w:tcBorders>
              <w:top w:val="nil"/>
              <w:left w:val="nil"/>
              <w:bottom w:val="nil"/>
              <w:right w:val="nil"/>
            </w:tcBorders>
            <w:shd w:val="clear" w:color="auto" w:fill="auto"/>
            <w:noWrap/>
            <w:vAlign w:val="bottom"/>
            <w:hideMark/>
          </w:tcPr>
          <w:p w14:paraId="31E7400F"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6,886</w:t>
            </w:r>
          </w:p>
        </w:tc>
        <w:tc>
          <w:tcPr>
            <w:tcW w:w="861" w:type="dxa"/>
            <w:tcBorders>
              <w:top w:val="nil"/>
              <w:left w:val="nil"/>
              <w:bottom w:val="nil"/>
              <w:right w:val="nil"/>
            </w:tcBorders>
            <w:shd w:val="clear" w:color="auto" w:fill="auto"/>
            <w:noWrap/>
            <w:vAlign w:val="bottom"/>
            <w:hideMark/>
          </w:tcPr>
          <w:p w14:paraId="0F916056"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6,886</w:t>
            </w:r>
          </w:p>
        </w:tc>
        <w:tc>
          <w:tcPr>
            <w:tcW w:w="861" w:type="dxa"/>
            <w:tcBorders>
              <w:top w:val="nil"/>
              <w:left w:val="nil"/>
              <w:bottom w:val="nil"/>
              <w:right w:val="nil"/>
            </w:tcBorders>
            <w:shd w:val="clear" w:color="auto" w:fill="auto"/>
            <w:noWrap/>
            <w:vAlign w:val="bottom"/>
            <w:hideMark/>
          </w:tcPr>
          <w:p w14:paraId="57297166"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6,886</w:t>
            </w:r>
          </w:p>
        </w:tc>
      </w:tr>
      <w:tr w:rsidR="00D913F2" w:rsidRPr="00D913F2" w14:paraId="22379FF5" w14:textId="77777777" w:rsidTr="00D913F2">
        <w:trPr>
          <w:trHeight w:val="225"/>
        </w:trPr>
        <w:tc>
          <w:tcPr>
            <w:tcW w:w="3052" w:type="dxa"/>
            <w:tcBorders>
              <w:top w:val="nil"/>
              <w:left w:val="nil"/>
              <w:bottom w:val="nil"/>
              <w:right w:val="nil"/>
            </w:tcBorders>
            <w:shd w:val="clear" w:color="auto" w:fill="auto"/>
            <w:noWrap/>
            <w:vAlign w:val="bottom"/>
            <w:hideMark/>
          </w:tcPr>
          <w:p w14:paraId="77C93D1A"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7E3A0EF2"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1,741</w:t>
            </w:r>
          </w:p>
        </w:tc>
        <w:tc>
          <w:tcPr>
            <w:tcW w:w="844" w:type="dxa"/>
            <w:tcBorders>
              <w:top w:val="nil"/>
              <w:left w:val="nil"/>
              <w:bottom w:val="nil"/>
              <w:right w:val="nil"/>
            </w:tcBorders>
            <w:shd w:val="clear" w:color="000000" w:fill="D9D9D9"/>
            <w:noWrap/>
            <w:vAlign w:val="bottom"/>
            <w:hideMark/>
          </w:tcPr>
          <w:p w14:paraId="145C478A"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2,082</w:t>
            </w:r>
          </w:p>
        </w:tc>
        <w:tc>
          <w:tcPr>
            <w:tcW w:w="861" w:type="dxa"/>
            <w:tcBorders>
              <w:top w:val="nil"/>
              <w:left w:val="nil"/>
              <w:bottom w:val="nil"/>
              <w:right w:val="nil"/>
            </w:tcBorders>
            <w:shd w:val="clear" w:color="auto" w:fill="auto"/>
            <w:noWrap/>
            <w:vAlign w:val="bottom"/>
            <w:hideMark/>
          </w:tcPr>
          <w:p w14:paraId="333122B8"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1,974</w:t>
            </w:r>
          </w:p>
        </w:tc>
        <w:tc>
          <w:tcPr>
            <w:tcW w:w="861" w:type="dxa"/>
            <w:tcBorders>
              <w:top w:val="nil"/>
              <w:left w:val="nil"/>
              <w:bottom w:val="nil"/>
              <w:right w:val="nil"/>
            </w:tcBorders>
            <w:shd w:val="clear" w:color="auto" w:fill="auto"/>
            <w:noWrap/>
            <w:vAlign w:val="bottom"/>
            <w:hideMark/>
          </w:tcPr>
          <w:p w14:paraId="7F0DBF69"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2,060</w:t>
            </w:r>
          </w:p>
        </w:tc>
        <w:tc>
          <w:tcPr>
            <w:tcW w:w="861" w:type="dxa"/>
            <w:tcBorders>
              <w:top w:val="nil"/>
              <w:left w:val="nil"/>
              <w:bottom w:val="nil"/>
              <w:right w:val="nil"/>
            </w:tcBorders>
            <w:shd w:val="clear" w:color="auto" w:fill="auto"/>
            <w:noWrap/>
            <w:vAlign w:val="bottom"/>
            <w:hideMark/>
          </w:tcPr>
          <w:p w14:paraId="4D7525CA"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1,962</w:t>
            </w:r>
          </w:p>
        </w:tc>
      </w:tr>
      <w:tr w:rsidR="00D913F2" w:rsidRPr="00D913F2" w14:paraId="1E5C72F0" w14:textId="77777777" w:rsidTr="00D913F2">
        <w:trPr>
          <w:trHeight w:val="225"/>
        </w:trPr>
        <w:tc>
          <w:tcPr>
            <w:tcW w:w="3052" w:type="dxa"/>
            <w:tcBorders>
              <w:top w:val="nil"/>
              <w:left w:val="nil"/>
              <w:bottom w:val="nil"/>
              <w:right w:val="nil"/>
            </w:tcBorders>
            <w:shd w:val="clear" w:color="auto" w:fill="auto"/>
            <w:noWrap/>
            <w:vAlign w:val="bottom"/>
            <w:hideMark/>
          </w:tcPr>
          <w:p w14:paraId="4B005138"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6638BBAA"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8</w:t>
            </w:r>
          </w:p>
        </w:tc>
        <w:tc>
          <w:tcPr>
            <w:tcW w:w="844" w:type="dxa"/>
            <w:tcBorders>
              <w:top w:val="nil"/>
              <w:left w:val="nil"/>
              <w:bottom w:val="nil"/>
              <w:right w:val="nil"/>
            </w:tcBorders>
            <w:shd w:val="clear" w:color="000000" w:fill="D9D9D9"/>
            <w:noWrap/>
            <w:vAlign w:val="bottom"/>
            <w:hideMark/>
          </w:tcPr>
          <w:p w14:paraId="29845F4C"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25</w:t>
            </w:r>
          </w:p>
        </w:tc>
        <w:tc>
          <w:tcPr>
            <w:tcW w:w="861" w:type="dxa"/>
            <w:tcBorders>
              <w:top w:val="nil"/>
              <w:left w:val="nil"/>
              <w:bottom w:val="nil"/>
              <w:right w:val="nil"/>
            </w:tcBorders>
            <w:shd w:val="clear" w:color="auto" w:fill="auto"/>
            <w:noWrap/>
            <w:vAlign w:val="bottom"/>
            <w:hideMark/>
          </w:tcPr>
          <w:p w14:paraId="5648A7B9"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25</w:t>
            </w:r>
          </w:p>
        </w:tc>
        <w:tc>
          <w:tcPr>
            <w:tcW w:w="861" w:type="dxa"/>
            <w:tcBorders>
              <w:top w:val="nil"/>
              <w:left w:val="nil"/>
              <w:bottom w:val="nil"/>
              <w:right w:val="nil"/>
            </w:tcBorders>
            <w:shd w:val="clear" w:color="auto" w:fill="auto"/>
            <w:noWrap/>
            <w:vAlign w:val="bottom"/>
            <w:hideMark/>
          </w:tcPr>
          <w:p w14:paraId="3C573821"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25</w:t>
            </w:r>
          </w:p>
        </w:tc>
        <w:tc>
          <w:tcPr>
            <w:tcW w:w="861" w:type="dxa"/>
            <w:tcBorders>
              <w:top w:val="nil"/>
              <w:left w:val="nil"/>
              <w:bottom w:val="nil"/>
              <w:right w:val="nil"/>
            </w:tcBorders>
            <w:shd w:val="clear" w:color="auto" w:fill="auto"/>
            <w:noWrap/>
            <w:vAlign w:val="bottom"/>
            <w:hideMark/>
          </w:tcPr>
          <w:p w14:paraId="79110E3F"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25</w:t>
            </w:r>
          </w:p>
        </w:tc>
      </w:tr>
      <w:tr w:rsidR="00D913F2" w:rsidRPr="00D913F2" w14:paraId="3668274A" w14:textId="77777777" w:rsidTr="00D913F2">
        <w:trPr>
          <w:trHeight w:val="225"/>
        </w:trPr>
        <w:tc>
          <w:tcPr>
            <w:tcW w:w="3052" w:type="dxa"/>
            <w:tcBorders>
              <w:top w:val="nil"/>
              <w:left w:val="nil"/>
              <w:bottom w:val="nil"/>
              <w:right w:val="nil"/>
            </w:tcBorders>
            <w:shd w:val="clear" w:color="auto" w:fill="auto"/>
            <w:noWrap/>
            <w:vAlign w:val="bottom"/>
            <w:hideMark/>
          </w:tcPr>
          <w:p w14:paraId="5BB211F7"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59681416"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08D7644A"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A2F2B9F"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EA94A35"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F9085C2"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r>
      <w:tr w:rsidR="00D913F2" w:rsidRPr="00D913F2" w14:paraId="68E89CA8" w14:textId="77777777" w:rsidTr="00D913F2">
        <w:trPr>
          <w:trHeight w:val="225"/>
        </w:trPr>
        <w:tc>
          <w:tcPr>
            <w:tcW w:w="3052" w:type="dxa"/>
            <w:tcBorders>
              <w:top w:val="nil"/>
              <w:left w:val="nil"/>
              <w:bottom w:val="nil"/>
              <w:right w:val="nil"/>
            </w:tcBorders>
            <w:shd w:val="clear" w:color="auto" w:fill="auto"/>
            <w:noWrap/>
            <w:vAlign w:val="bottom"/>
            <w:hideMark/>
          </w:tcPr>
          <w:p w14:paraId="54B8041E" w14:textId="77777777" w:rsidR="00D913F2" w:rsidRPr="00D913F2" w:rsidRDefault="00D913F2" w:rsidP="00D913F2">
            <w:pPr>
              <w:spacing w:after="0"/>
              <w:ind w:leftChars="150" w:left="285"/>
              <w:rPr>
                <w:rFonts w:ascii="Arial" w:hAnsi="Arial" w:cs="Arial"/>
                <w:b/>
                <w:bCs/>
                <w:sz w:val="16"/>
                <w:szCs w:val="16"/>
              </w:rPr>
            </w:pPr>
            <w:r w:rsidRPr="00D913F2">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282E29E"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9,734</w:t>
            </w:r>
          </w:p>
        </w:tc>
        <w:tc>
          <w:tcPr>
            <w:tcW w:w="844" w:type="dxa"/>
            <w:tcBorders>
              <w:top w:val="nil"/>
              <w:left w:val="nil"/>
              <w:bottom w:val="single" w:sz="4" w:space="0" w:color="auto"/>
              <w:right w:val="nil"/>
            </w:tcBorders>
            <w:shd w:val="clear" w:color="000000" w:fill="D9D9D9"/>
            <w:noWrap/>
            <w:vAlign w:val="bottom"/>
            <w:hideMark/>
          </w:tcPr>
          <w:p w14:paraId="623C9A91"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8,605</w:t>
            </w:r>
          </w:p>
        </w:tc>
        <w:tc>
          <w:tcPr>
            <w:tcW w:w="861" w:type="dxa"/>
            <w:tcBorders>
              <w:top w:val="nil"/>
              <w:left w:val="nil"/>
              <w:bottom w:val="single" w:sz="4" w:space="0" w:color="auto"/>
              <w:right w:val="nil"/>
            </w:tcBorders>
            <w:shd w:val="clear" w:color="auto" w:fill="auto"/>
            <w:noWrap/>
            <w:vAlign w:val="bottom"/>
            <w:hideMark/>
          </w:tcPr>
          <w:p w14:paraId="4A029E57"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8,885</w:t>
            </w:r>
          </w:p>
        </w:tc>
        <w:tc>
          <w:tcPr>
            <w:tcW w:w="861" w:type="dxa"/>
            <w:tcBorders>
              <w:top w:val="nil"/>
              <w:left w:val="nil"/>
              <w:bottom w:val="single" w:sz="4" w:space="0" w:color="auto"/>
              <w:right w:val="nil"/>
            </w:tcBorders>
            <w:shd w:val="clear" w:color="auto" w:fill="auto"/>
            <w:noWrap/>
            <w:vAlign w:val="bottom"/>
            <w:hideMark/>
          </w:tcPr>
          <w:p w14:paraId="61815E7F"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8,971</w:t>
            </w:r>
          </w:p>
        </w:tc>
        <w:tc>
          <w:tcPr>
            <w:tcW w:w="861" w:type="dxa"/>
            <w:tcBorders>
              <w:top w:val="nil"/>
              <w:left w:val="nil"/>
              <w:bottom w:val="single" w:sz="4" w:space="0" w:color="auto"/>
              <w:right w:val="nil"/>
            </w:tcBorders>
            <w:shd w:val="clear" w:color="auto" w:fill="auto"/>
            <w:noWrap/>
            <w:vAlign w:val="bottom"/>
            <w:hideMark/>
          </w:tcPr>
          <w:p w14:paraId="3B1327BF"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8,873</w:t>
            </w:r>
          </w:p>
        </w:tc>
      </w:tr>
      <w:tr w:rsidR="00D913F2" w:rsidRPr="00D913F2" w14:paraId="098452EF" w14:textId="77777777" w:rsidTr="00D913F2">
        <w:trPr>
          <w:trHeight w:val="525"/>
        </w:trPr>
        <w:tc>
          <w:tcPr>
            <w:tcW w:w="3052" w:type="dxa"/>
            <w:tcBorders>
              <w:top w:val="nil"/>
              <w:left w:val="nil"/>
              <w:bottom w:val="nil"/>
              <w:right w:val="nil"/>
            </w:tcBorders>
            <w:shd w:val="clear" w:color="auto" w:fill="auto"/>
            <w:vAlign w:val="bottom"/>
            <w:hideMark/>
          </w:tcPr>
          <w:p w14:paraId="3ECEC3CE" w14:textId="77777777" w:rsidR="00D913F2" w:rsidRPr="00D913F2" w:rsidRDefault="00D913F2" w:rsidP="00D913F2">
            <w:pPr>
              <w:spacing w:after="0"/>
              <w:ind w:leftChars="75" w:left="143"/>
              <w:rPr>
                <w:rFonts w:ascii="Arial" w:hAnsi="Arial" w:cs="Arial"/>
                <w:b/>
                <w:bCs/>
                <w:sz w:val="16"/>
                <w:szCs w:val="16"/>
              </w:rPr>
            </w:pPr>
            <w:r w:rsidRPr="00D913F2">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1D3A8975"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339</w:t>
            </w:r>
          </w:p>
        </w:tc>
        <w:tc>
          <w:tcPr>
            <w:tcW w:w="844" w:type="dxa"/>
            <w:tcBorders>
              <w:top w:val="nil"/>
              <w:left w:val="nil"/>
              <w:bottom w:val="single" w:sz="4" w:space="0" w:color="auto"/>
              <w:right w:val="nil"/>
            </w:tcBorders>
            <w:shd w:val="clear" w:color="000000" w:fill="D9D9D9"/>
            <w:noWrap/>
            <w:vAlign w:val="bottom"/>
            <w:hideMark/>
          </w:tcPr>
          <w:p w14:paraId="69B81C40"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780</w:t>
            </w:r>
          </w:p>
        </w:tc>
        <w:tc>
          <w:tcPr>
            <w:tcW w:w="861" w:type="dxa"/>
            <w:tcBorders>
              <w:top w:val="nil"/>
              <w:left w:val="nil"/>
              <w:bottom w:val="single" w:sz="4" w:space="0" w:color="auto"/>
              <w:right w:val="nil"/>
            </w:tcBorders>
            <w:shd w:val="clear" w:color="auto" w:fill="auto"/>
            <w:noWrap/>
            <w:vAlign w:val="bottom"/>
            <w:hideMark/>
          </w:tcPr>
          <w:p w14:paraId="5720BFC8"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838</w:t>
            </w:r>
          </w:p>
        </w:tc>
        <w:tc>
          <w:tcPr>
            <w:tcW w:w="861" w:type="dxa"/>
            <w:tcBorders>
              <w:top w:val="nil"/>
              <w:left w:val="nil"/>
              <w:bottom w:val="single" w:sz="4" w:space="0" w:color="auto"/>
              <w:right w:val="nil"/>
            </w:tcBorders>
            <w:shd w:val="clear" w:color="auto" w:fill="auto"/>
            <w:noWrap/>
            <w:vAlign w:val="bottom"/>
            <w:hideMark/>
          </w:tcPr>
          <w:p w14:paraId="1E6A3127"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838</w:t>
            </w:r>
          </w:p>
        </w:tc>
        <w:tc>
          <w:tcPr>
            <w:tcW w:w="861" w:type="dxa"/>
            <w:tcBorders>
              <w:top w:val="nil"/>
              <w:left w:val="nil"/>
              <w:bottom w:val="single" w:sz="4" w:space="0" w:color="auto"/>
              <w:right w:val="nil"/>
            </w:tcBorders>
            <w:shd w:val="clear" w:color="auto" w:fill="auto"/>
            <w:noWrap/>
            <w:vAlign w:val="bottom"/>
            <w:hideMark/>
          </w:tcPr>
          <w:p w14:paraId="6AEC624F"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838</w:t>
            </w:r>
          </w:p>
        </w:tc>
      </w:tr>
      <w:tr w:rsidR="00D913F2" w:rsidRPr="00D913F2" w14:paraId="25BB4845" w14:textId="77777777" w:rsidTr="00D913F2">
        <w:trPr>
          <w:trHeight w:val="300"/>
        </w:trPr>
        <w:tc>
          <w:tcPr>
            <w:tcW w:w="3052" w:type="dxa"/>
            <w:tcBorders>
              <w:top w:val="nil"/>
              <w:left w:val="nil"/>
              <w:bottom w:val="nil"/>
              <w:right w:val="nil"/>
            </w:tcBorders>
            <w:shd w:val="clear" w:color="auto" w:fill="auto"/>
            <w:noWrap/>
            <w:vAlign w:val="bottom"/>
            <w:hideMark/>
          </w:tcPr>
          <w:p w14:paraId="346E5365" w14:textId="77777777" w:rsidR="00D913F2" w:rsidRPr="00D913F2" w:rsidRDefault="00D913F2" w:rsidP="00D913F2">
            <w:pPr>
              <w:spacing w:after="0"/>
              <w:rPr>
                <w:rFonts w:ascii="Arial" w:hAnsi="Arial" w:cs="Arial"/>
                <w:b/>
                <w:bCs/>
                <w:sz w:val="16"/>
                <w:szCs w:val="16"/>
              </w:rPr>
            </w:pPr>
            <w:r w:rsidRPr="00D913F2">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078228DB" w14:textId="77777777" w:rsidR="00D913F2" w:rsidRPr="00D913F2" w:rsidRDefault="00D913F2" w:rsidP="00D913F2">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6600E6"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F3D38E5" w14:textId="77777777" w:rsidR="00D913F2" w:rsidRPr="00D913F2" w:rsidRDefault="00D913F2" w:rsidP="00D913F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ABC6BA7"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97AC3ED" w14:textId="77777777" w:rsidR="00D913F2" w:rsidRPr="00D913F2" w:rsidRDefault="00D913F2" w:rsidP="00D913F2">
            <w:pPr>
              <w:spacing w:after="0"/>
              <w:jc w:val="right"/>
              <w:rPr>
                <w:rFonts w:ascii="Times New Roman" w:hAnsi="Times New Roman"/>
                <w:color w:val="auto"/>
                <w:sz w:val="20"/>
              </w:rPr>
            </w:pPr>
          </w:p>
        </w:tc>
      </w:tr>
      <w:tr w:rsidR="00D913F2" w:rsidRPr="00D913F2" w14:paraId="4C067BA9" w14:textId="77777777" w:rsidTr="00D913F2">
        <w:trPr>
          <w:trHeight w:val="225"/>
        </w:trPr>
        <w:tc>
          <w:tcPr>
            <w:tcW w:w="3052" w:type="dxa"/>
            <w:tcBorders>
              <w:top w:val="nil"/>
              <w:left w:val="nil"/>
              <w:bottom w:val="nil"/>
              <w:right w:val="nil"/>
            </w:tcBorders>
            <w:shd w:val="clear" w:color="auto" w:fill="auto"/>
            <w:noWrap/>
            <w:vAlign w:val="bottom"/>
            <w:hideMark/>
          </w:tcPr>
          <w:p w14:paraId="1CD04B7F" w14:textId="77777777" w:rsidR="00D913F2" w:rsidRPr="00D913F2" w:rsidRDefault="00D913F2" w:rsidP="00D913F2">
            <w:pPr>
              <w:spacing w:after="0"/>
              <w:ind w:firstLineChars="100" w:firstLine="160"/>
              <w:rPr>
                <w:rFonts w:ascii="Arial" w:hAnsi="Arial" w:cs="Arial"/>
                <w:b/>
                <w:bCs/>
                <w:sz w:val="16"/>
                <w:szCs w:val="16"/>
              </w:rPr>
            </w:pPr>
            <w:r w:rsidRPr="00D913F2">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7DED0519" w14:textId="77777777" w:rsidR="00D913F2" w:rsidRPr="00D913F2" w:rsidRDefault="00D913F2" w:rsidP="00D913F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8E9989B"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49023FD" w14:textId="77777777" w:rsidR="00D913F2" w:rsidRPr="00D913F2" w:rsidRDefault="00D913F2" w:rsidP="00D913F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28C164CC"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E44AF51" w14:textId="77777777" w:rsidR="00D913F2" w:rsidRPr="00D913F2" w:rsidRDefault="00D913F2" w:rsidP="00D913F2">
            <w:pPr>
              <w:spacing w:after="0"/>
              <w:jc w:val="right"/>
              <w:rPr>
                <w:rFonts w:ascii="Times New Roman" w:hAnsi="Times New Roman"/>
                <w:color w:val="auto"/>
                <w:sz w:val="20"/>
              </w:rPr>
            </w:pPr>
          </w:p>
        </w:tc>
      </w:tr>
      <w:tr w:rsidR="00D913F2" w:rsidRPr="00D913F2" w14:paraId="03336599" w14:textId="77777777" w:rsidTr="00D913F2">
        <w:trPr>
          <w:trHeight w:val="225"/>
        </w:trPr>
        <w:tc>
          <w:tcPr>
            <w:tcW w:w="3052" w:type="dxa"/>
            <w:tcBorders>
              <w:top w:val="nil"/>
              <w:left w:val="nil"/>
              <w:bottom w:val="nil"/>
              <w:right w:val="nil"/>
            </w:tcBorders>
            <w:shd w:val="clear" w:color="auto" w:fill="auto"/>
            <w:vAlign w:val="bottom"/>
            <w:hideMark/>
          </w:tcPr>
          <w:p w14:paraId="2FC2D5F1"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60964655"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0015052C"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17417BD"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DBF94B1"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59B8020C"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w:t>
            </w:r>
          </w:p>
        </w:tc>
      </w:tr>
      <w:tr w:rsidR="00D913F2" w:rsidRPr="00D913F2" w14:paraId="4BA1B756" w14:textId="77777777" w:rsidTr="00D913F2">
        <w:trPr>
          <w:trHeight w:val="225"/>
        </w:trPr>
        <w:tc>
          <w:tcPr>
            <w:tcW w:w="3052" w:type="dxa"/>
            <w:tcBorders>
              <w:top w:val="nil"/>
              <w:left w:val="nil"/>
              <w:bottom w:val="nil"/>
              <w:right w:val="nil"/>
            </w:tcBorders>
            <w:shd w:val="clear" w:color="auto" w:fill="auto"/>
            <w:noWrap/>
            <w:vAlign w:val="bottom"/>
            <w:hideMark/>
          </w:tcPr>
          <w:p w14:paraId="65CD4CE3" w14:textId="77777777" w:rsidR="00D913F2" w:rsidRPr="00D913F2" w:rsidRDefault="00D913F2" w:rsidP="00D913F2">
            <w:pPr>
              <w:spacing w:after="0"/>
              <w:ind w:leftChars="150" w:left="285"/>
              <w:rPr>
                <w:rFonts w:ascii="Arial" w:hAnsi="Arial" w:cs="Arial"/>
                <w:b/>
                <w:bCs/>
                <w:sz w:val="16"/>
                <w:szCs w:val="16"/>
              </w:rPr>
            </w:pPr>
            <w:r w:rsidRPr="00D913F2">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100B840D"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w:t>
            </w:r>
          </w:p>
        </w:tc>
        <w:tc>
          <w:tcPr>
            <w:tcW w:w="844" w:type="dxa"/>
            <w:tcBorders>
              <w:top w:val="nil"/>
              <w:left w:val="nil"/>
              <w:bottom w:val="single" w:sz="4" w:space="0" w:color="auto"/>
              <w:right w:val="nil"/>
            </w:tcBorders>
            <w:shd w:val="clear" w:color="000000" w:fill="D9D9D9"/>
            <w:noWrap/>
            <w:vAlign w:val="bottom"/>
            <w:hideMark/>
          </w:tcPr>
          <w:p w14:paraId="24D59A3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3189683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7F6F45EA"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6ADA1698"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w:t>
            </w:r>
          </w:p>
        </w:tc>
      </w:tr>
      <w:tr w:rsidR="00D913F2" w:rsidRPr="00D913F2" w14:paraId="57B375E0" w14:textId="77777777" w:rsidTr="00D913F2">
        <w:trPr>
          <w:trHeight w:val="300"/>
        </w:trPr>
        <w:tc>
          <w:tcPr>
            <w:tcW w:w="3052" w:type="dxa"/>
            <w:tcBorders>
              <w:top w:val="nil"/>
              <w:left w:val="nil"/>
              <w:bottom w:val="nil"/>
              <w:right w:val="nil"/>
            </w:tcBorders>
            <w:shd w:val="clear" w:color="auto" w:fill="auto"/>
            <w:noWrap/>
            <w:vAlign w:val="bottom"/>
            <w:hideMark/>
          </w:tcPr>
          <w:p w14:paraId="16032A4C" w14:textId="77777777" w:rsidR="00D913F2" w:rsidRPr="00D913F2" w:rsidRDefault="00D913F2" w:rsidP="00D913F2">
            <w:pPr>
              <w:spacing w:after="0"/>
              <w:ind w:firstLineChars="100" w:firstLine="160"/>
              <w:rPr>
                <w:rFonts w:ascii="Arial" w:hAnsi="Arial" w:cs="Arial"/>
                <w:b/>
                <w:bCs/>
                <w:sz w:val="16"/>
                <w:szCs w:val="16"/>
              </w:rPr>
            </w:pPr>
            <w:r w:rsidRPr="00D913F2">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27A671A" w14:textId="77777777" w:rsidR="00D913F2" w:rsidRPr="00D913F2" w:rsidRDefault="00D913F2" w:rsidP="00D913F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CD1FA7A"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1E8316B4" w14:textId="77777777" w:rsidR="00D913F2" w:rsidRPr="00D913F2" w:rsidRDefault="00D913F2" w:rsidP="00D913F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260ABEF3"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54C35AA" w14:textId="77777777" w:rsidR="00D913F2" w:rsidRPr="00D913F2" w:rsidRDefault="00D913F2" w:rsidP="00D913F2">
            <w:pPr>
              <w:spacing w:after="0"/>
              <w:jc w:val="right"/>
              <w:rPr>
                <w:rFonts w:ascii="Times New Roman" w:hAnsi="Times New Roman"/>
                <w:color w:val="auto"/>
                <w:sz w:val="20"/>
              </w:rPr>
            </w:pPr>
          </w:p>
        </w:tc>
      </w:tr>
      <w:tr w:rsidR="00D913F2" w:rsidRPr="00D913F2" w14:paraId="0CEBA27D" w14:textId="77777777" w:rsidTr="00D913F2">
        <w:trPr>
          <w:trHeight w:val="465"/>
        </w:trPr>
        <w:tc>
          <w:tcPr>
            <w:tcW w:w="3052" w:type="dxa"/>
            <w:tcBorders>
              <w:top w:val="nil"/>
              <w:left w:val="nil"/>
              <w:bottom w:val="nil"/>
              <w:right w:val="nil"/>
            </w:tcBorders>
            <w:shd w:val="clear" w:color="auto" w:fill="auto"/>
            <w:vAlign w:val="bottom"/>
            <w:hideMark/>
          </w:tcPr>
          <w:p w14:paraId="1ABDF848" w14:textId="77777777" w:rsidR="00D913F2" w:rsidRPr="00D913F2" w:rsidRDefault="00D913F2" w:rsidP="00D913F2">
            <w:pPr>
              <w:spacing w:after="0"/>
              <w:ind w:leftChars="150" w:left="285"/>
              <w:rPr>
                <w:rFonts w:ascii="Arial" w:hAnsi="Arial" w:cs="Arial"/>
                <w:sz w:val="16"/>
                <w:szCs w:val="16"/>
              </w:rPr>
            </w:pPr>
            <w:r w:rsidRPr="00D913F2">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04EA96D6"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1,082</w:t>
            </w:r>
          </w:p>
        </w:tc>
        <w:tc>
          <w:tcPr>
            <w:tcW w:w="844" w:type="dxa"/>
            <w:tcBorders>
              <w:top w:val="nil"/>
              <w:left w:val="nil"/>
              <w:bottom w:val="nil"/>
              <w:right w:val="nil"/>
            </w:tcBorders>
            <w:shd w:val="clear" w:color="000000" w:fill="D9D9D9"/>
            <w:noWrap/>
            <w:vAlign w:val="bottom"/>
            <w:hideMark/>
          </w:tcPr>
          <w:p w14:paraId="36A93775"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4,767</w:t>
            </w:r>
          </w:p>
        </w:tc>
        <w:tc>
          <w:tcPr>
            <w:tcW w:w="861" w:type="dxa"/>
            <w:tcBorders>
              <w:top w:val="nil"/>
              <w:left w:val="nil"/>
              <w:bottom w:val="nil"/>
              <w:right w:val="nil"/>
            </w:tcBorders>
            <w:shd w:val="clear" w:color="auto" w:fill="auto"/>
            <w:noWrap/>
            <w:vAlign w:val="bottom"/>
            <w:hideMark/>
          </w:tcPr>
          <w:p w14:paraId="14C14153"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656</w:t>
            </w:r>
          </w:p>
        </w:tc>
        <w:tc>
          <w:tcPr>
            <w:tcW w:w="861" w:type="dxa"/>
            <w:tcBorders>
              <w:top w:val="nil"/>
              <w:left w:val="nil"/>
              <w:bottom w:val="nil"/>
              <w:right w:val="nil"/>
            </w:tcBorders>
            <w:shd w:val="clear" w:color="auto" w:fill="auto"/>
            <w:noWrap/>
            <w:vAlign w:val="bottom"/>
            <w:hideMark/>
          </w:tcPr>
          <w:p w14:paraId="54F3BB02"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662</w:t>
            </w:r>
          </w:p>
        </w:tc>
        <w:tc>
          <w:tcPr>
            <w:tcW w:w="861" w:type="dxa"/>
            <w:tcBorders>
              <w:top w:val="nil"/>
              <w:left w:val="nil"/>
              <w:bottom w:val="nil"/>
              <w:right w:val="nil"/>
            </w:tcBorders>
            <w:shd w:val="clear" w:color="auto" w:fill="auto"/>
            <w:noWrap/>
            <w:vAlign w:val="bottom"/>
            <w:hideMark/>
          </w:tcPr>
          <w:p w14:paraId="255A1BDD"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661</w:t>
            </w:r>
          </w:p>
        </w:tc>
      </w:tr>
      <w:tr w:rsidR="00D913F2" w:rsidRPr="00D913F2" w14:paraId="7AC913A1" w14:textId="77777777" w:rsidTr="00D913F2">
        <w:trPr>
          <w:trHeight w:val="225"/>
        </w:trPr>
        <w:tc>
          <w:tcPr>
            <w:tcW w:w="3052" w:type="dxa"/>
            <w:tcBorders>
              <w:top w:val="nil"/>
              <w:left w:val="nil"/>
              <w:bottom w:val="nil"/>
              <w:right w:val="nil"/>
            </w:tcBorders>
            <w:shd w:val="clear" w:color="auto" w:fill="auto"/>
            <w:noWrap/>
            <w:vAlign w:val="bottom"/>
            <w:hideMark/>
          </w:tcPr>
          <w:p w14:paraId="46C54789" w14:textId="77777777" w:rsidR="00D913F2" w:rsidRPr="00D913F2" w:rsidRDefault="00D913F2" w:rsidP="00D913F2">
            <w:pPr>
              <w:spacing w:after="0"/>
              <w:ind w:leftChars="150" w:left="285"/>
              <w:rPr>
                <w:rFonts w:ascii="Arial" w:hAnsi="Arial" w:cs="Arial"/>
                <w:b/>
                <w:bCs/>
                <w:sz w:val="16"/>
                <w:szCs w:val="16"/>
              </w:rPr>
            </w:pPr>
            <w:r w:rsidRPr="00D913F2">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9564078"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1,082</w:t>
            </w:r>
          </w:p>
        </w:tc>
        <w:tc>
          <w:tcPr>
            <w:tcW w:w="844" w:type="dxa"/>
            <w:tcBorders>
              <w:top w:val="nil"/>
              <w:left w:val="nil"/>
              <w:bottom w:val="single" w:sz="4" w:space="0" w:color="auto"/>
              <w:right w:val="nil"/>
            </w:tcBorders>
            <w:shd w:val="clear" w:color="000000" w:fill="D9D9D9"/>
            <w:noWrap/>
            <w:vAlign w:val="bottom"/>
            <w:hideMark/>
          </w:tcPr>
          <w:p w14:paraId="1CF3EC1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4,767</w:t>
            </w:r>
          </w:p>
        </w:tc>
        <w:tc>
          <w:tcPr>
            <w:tcW w:w="861" w:type="dxa"/>
            <w:tcBorders>
              <w:top w:val="nil"/>
              <w:left w:val="nil"/>
              <w:bottom w:val="single" w:sz="4" w:space="0" w:color="auto"/>
              <w:right w:val="nil"/>
            </w:tcBorders>
            <w:shd w:val="clear" w:color="auto" w:fill="auto"/>
            <w:noWrap/>
            <w:vAlign w:val="bottom"/>
            <w:hideMark/>
          </w:tcPr>
          <w:p w14:paraId="54B45C62"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656</w:t>
            </w:r>
          </w:p>
        </w:tc>
        <w:tc>
          <w:tcPr>
            <w:tcW w:w="861" w:type="dxa"/>
            <w:tcBorders>
              <w:top w:val="nil"/>
              <w:left w:val="nil"/>
              <w:bottom w:val="single" w:sz="4" w:space="0" w:color="auto"/>
              <w:right w:val="nil"/>
            </w:tcBorders>
            <w:shd w:val="clear" w:color="auto" w:fill="auto"/>
            <w:noWrap/>
            <w:vAlign w:val="bottom"/>
            <w:hideMark/>
          </w:tcPr>
          <w:p w14:paraId="26490062"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662</w:t>
            </w:r>
          </w:p>
        </w:tc>
        <w:tc>
          <w:tcPr>
            <w:tcW w:w="861" w:type="dxa"/>
            <w:tcBorders>
              <w:top w:val="nil"/>
              <w:left w:val="nil"/>
              <w:bottom w:val="single" w:sz="4" w:space="0" w:color="auto"/>
              <w:right w:val="nil"/>
            </w:tcBorders>
            <w:shd w:val="clear" w:color="auto" w:fill="auto"/>
            <w:noWrap/>
            <w:vAlign w:val="bottom"/>
            <w:hideMark/>
          </w:tcPr>
          <w:p w14:paraId="59A06ED7"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661</w:t>
            </w:r>
          </w:p>
        </w:tc>
      </w:tr>
      <w:tr w:rsidR="00D913F2" w:rsidRPr="00D913F2" w14:paraId="3DAC6482" w14:textId="77777777" w:rsidTr="00D913F2">
        <w:trPr>
          <w:trHeight w:val="525"/>
        </w:trPr>
        <w:tc>
          <w:tcPr>
            <w:tcW w:w="3052" w:type="dxa"/>
            <w:tcBorders>
              <w:top w:val="nil"/>
              <w:left w:val="nil"/>
              <w:bottom w:val="nil"/>
              <w:right w:val="nil"/>
            </w:tcBorders>
            <w:shd w:val="clear" w:color="auto" w:fill="auto"/>
            <w:vAlign w:val="bottom"/>
            <w:hideMark/>
          </w:tcPr>
          <w:p w14:paraId="0F030C6A" w14:textId="77777777" w:rsidR="00D913F2" w:rsidRPr="00D913F2" w:rsidRDefault="00D913F2" w:rsidP="00D913F2">
            <w:pPr>
              <w:spacing w:after="0"/>
              <w:ind w:leftChars="75" w:left="143"/>
              <w:rPr>
                <w:rFonts w:ascii="Arial" w:hAnsi="Arial" w:cs="Arial"/>
                <w:b/>
                <w:bCs/>
                <w:sz w:val="16"/>
                <w:szCs w:val="16"/>
              </w:rPr>
            </w:pPr>
            <w:r w:rsidRPr="00D913F2">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02FFFAFB"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(1,082)</w:t>
            </w:r>
          </w:p>
        </w:tc>
        <w:tc>
          <w:tcPr>
            <w:tcW w:w="844" w:type="dxa"/>
            <w:tcBorders>
              <w:top w:val="nil"/>
              <w:left w:val="nil"/>
              <w:bottom w:val="single" w:sz="4" w:space="0" w:color="auto"/>
              <w:right w:val="nil"/>
            </w:tcBorders>
            <w:shd w:val="clear" w:color="000000" w:fill="D9D9D9"/>
            <w:noWrap/>
            <w:vAlign w:val="bottom"/>
            <w:hideMark/>
          </w:tcPr>
          <w:p w14:paraId="314C12B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(4,767)</w:t>
            </w:r>
          </w:p>
        </w:tc>
        <w:tc>
          <w:tcPr>
            <w:tcW w:w="861" w:type="dxa"/>
            <w:tcBorders>
              <w:top w:val="nil"/>
              <w:left w:val="nil"/>
              <w:bottom w:val="single" w:sz="4" w:space="0" w:color="auto"/>
              <w:right w:val="nil"/>
            </w:tcBorders>
            <w:shd w:val="clear" w:color="auto" w:fill="auto"/>
            <w:noWrap/>
            <w:vAlign w:val="bottom"/>
            <w:hideMark/>
          </w:tcPr>
          <w:p w14:paraId="4E763A9D"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(656)</w:t>
            </w:r>
          </w:p>
        </w:tc>
        <w:tc>
          <w:tcPr>
            <w:tcW w:w="861" w:type="dxa"/>
            <w:tcBorders>
              <w:top w:val="nil"/>
              <w:left w:val="nil"/>
              <w:bottom w:val="single" w:sz="4" w:space="0" w:color="auto"/>
              <w:right w:val="nil"/>
            </w:tcBorders>
            <w:shd w:val="clear" w:color="auto" w:fill="auto"/>
            <w:noWrap/>
            <w:vAlign w:val="bottom"/>
            <w:hideMark/>
          </w:tcPr>
          <w:p w14:paraId="28B384DC"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(662)</w:t>
            </w:r>
          </w:p>
        </w:tc>
        <w:tc>
          <w:tcPr>
            <w:tcW w:w="861" w:type="dxa"/>
            <w:tcBorders>
              <w:top w:val="nil"/>
              <w:left w:val="nil"/>
              <w:bottom w:val="single" w:sz="4" w:space="0" w:color="auto"/>
              <w:right w:val="nil"/>
            </w:tcBorders>
            <w:shd w:val="clear" w:color="auto" w:fill="auto"/>
            <w:noWrap/>
            <w:vAlign w:val="bottom"/>
            <w:hideMark/>
          </w:tcPr>
          <w:p w14:paraId="09FCAE03"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(661)</w:t>
            </w:r>
          </w:p>
        </w:tc>
      </w:tr>
      <w:tr w:rsidR="00D913F2" w:rsidRPr="00D913F2" w14:paraId="2FA21E27" w14:textId="77777777" w:rsidTr="00D913F2">
        <w:trPr>
          <w:trHeight w:val="300"/>
        </w:trPr>
        <w:tc>
          <w:tcPr>
            <w:tcW w:w="3052" w:type="dxa"/>
            <w:tcBorders>
              <w:top w:val="nil"/>
              <w:left w:val="nil"/>
              <w:bottom w:val="nil"/>
              <w:right w:val="nil"/>
            </w:tcBorders>
            <w:shd w:val="clear" w:color="auto" w:fill="auto"/>
            <w:noWrap/>
            <w:vAlign w:val="bottom"/>
            <w:hideMark/>
          </w:tcPr>
          <w:p w14:paraId="1998AAA4" w14:textId="77777777" w:rsidR="00D913F2" w:rsidRPr="00D913F2" w:rsidRDefault="00D913F2" w:rsidP="00D913F2">
            <w:pPr>
              <w:spacing w:after="0"/>
              <w:rPr>
                <w:rFonts w:ascii="Arial" w:hAnsi="Arial" w:cs="Arial"/>
                <w:b/>
                <w:bCs/>
                <w:sz w:val="16"/>
                <w:szCs w:val="16"/>
              </w:rPr>
            </w:pPr>
            <w:r w:rsidRPr="00D913F2">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10D72023" w14:textId="77777777" w:rsidR="00D913F2" w:rsidRPr="00D913F2" w:rsidRDefault="00D913F2" w:rsidP="00D913F2">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F887ED"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4836532" w14:textId="77777777" w:rsidR="00D913F2" w:rsidRPr="00D913F2" w:rsidRDefault="00D913F2" w:rsidP="00D913F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FCDD753"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6CA72C7" w14:textId="77777777" w:rsidR="00D913F2" w:rsidRPr="00D913F2" w:rsidRDefault="00D913F2" w:rsidP="00D913F2">
            <w:pPr>
              <w:spacing w:after="0"/>
              <w:jc w:val="right"/>
              <w:rPr>
                <w:rFonts w:ascii="Times New Roman" w:hAnsi="Times New Roman"/>
                <w:color w:val="auto"/>
                <w:sz w:val="20"/>
              </w:rPr>
            </w:pPr>
          </w:p>
        </w:tc>
      </w:tr>
      <w:tr w:rsidR="00D913F2" w:rsidRPr="00D913F2" w14:paraId="299DC2F8" w14:textId="77777777" w:rsidTr="00D913F2">
        <w:trPr>
          <w:trHeight w:val="225"/>
        </w:trPr>
        <w:tc>
          <w:tcPr>
            <w:tcW w:w="3052" w:type="dxa"/>
            <w:tcBorders>
              <w:top w:val="nil"/>
              <w:left w:val="nil"/>
              <w:bottom w:val="nil"/>
              <w:right w:val="nil"/>
            </w:tcBorders>
            <w:shd w:val="clear" w:color="auto" w:fill="auto"/>
            <w:noWrap/>
            <w:vAlign w:val="bottom"/>
            <w:hideMark/>
          </w:tcPr>
          <w:p w14:paraId="796B7A2F" w14:textId="77777777" w:rsidR="00D913F2" w:rsidRPr="00D913F2" w:rsidRDefault="00D913F2" w:rsidP="00D913F2">
            <w:pPr>
              <w:spacing w:after="0"/>
              <w:ind w:firstLineChars="100" w:firstLine="160"/>
              <w:rPr>
                <w:rFonts w:ascii="Arial" w:hAnsi="Arial" w:cs="Arial"/>
                <w:b/>
                <w:bCs/>
                <w:sz w:val="16"/>
                <w:szCs w:val="16"/>
              </w:rPr>
            </w:pPr>
            <w:r w:rsidRPr="00D913F2">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2B3B49DF" w14:textId="77777777" w:rsidR="00D913F2" w:rsidRPr="00D913F2" w:rsidRDefault="00D913F2" w:rsidP="00D913F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C8DBFF6"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50A12F1" w14:textId="77777777" w:rsidR="00D913F2" w:rsidRPr="00D913F2" w:rsidRDefault="00D913F2" w:rsidP="00D913F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E856178"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DF92219" w14:textId="77777777" w:rsidR="00D913F2" w:rsidRPr="00D913F2" w:rsidRDefault="00D913F2" w:rsidP="00D913F2">
            <w:pPr>
              <w:spacing w:after="0"/>
              <w:jc w:val="right"/>
              <w:rPr>
                <w:rFonts w:ascii="Times New Roman" w:hAnsi="Times New Roman"/>
                <w:color w:val="auto"/>
                <w:sz w:val="20"/>
              </w:rPr>
            </w:pPr>
          </w:p>
        </w:tc>
      </w:tr>
      <w:tr w:rsidR="00D913F2" w:rsidRPr="00D913F2" w14:paraId="1CABA00E" w14:textId="77777777" w:rsidTr="00D913F2">
        <w:trPr>
          <w:trHeight w:val="225"/>
        </w:trPr>
        <w:tc>
          <w:tcPr>
            <w:tcW w:w="3052" w:type="dxa"/>
            <w:tcBorders>
              <w:top w:val="nil"/>
              <w:left w:val="nil"/>
              <w:bottom w:val="nil"/>
              <w:right w:val="nil"/>
            </w:tcBorders>
            <w:shd w:val="clear" w:color="000000" w:fill="FFFFFF"/>
            <w:noWrap/>
            <w:vAlign w:val="bottom"/>
            <w:hideMark/>
          </w:tcPr>
          <w:p w14:paraId="244D6C2D" w14:textId="77777777" w:rsidR="00D913F2" w:rsidRPr="00D913F2" w:rsidRDefault="00D913F2" w:rsidP="00D913F2">
            <w:pPr>
              <w:spacing w:after="0"/>
              <w:ind w:leftChars="150" w:left="285"/>
              <w:rPr>
                <w:rFonts w:ascii="Arial" w:hAnsi="Arial" w:cs="Arial"/>
                <w:color w:val="auto"/>
                <w:sz w:val="16"/>
                <w:szCs w:val="16"/>
              </w:rPr>
            </w:pPr>
            <w:r w:rsidRPr="00D913F2">
              <w:rPr>
                <w:rFonts w:ascii="Arial" w:hAnsi="Arial" w:cs="Arial"/>
                <w:sz w:val="16"/>
                <w:szCs w:val="16"/>
              </w:rPr>
              <w:t>Capital</w:t>
            </w:r>
            <w:r w:rsidRPr="00D913F2">
              <w:rPr>
                <w:rFonts w:ascii="Arial" w:hAnsi="Arial" w:cs="Arial"/>
                <w:color w:val="auto"/>
                <w:sz w:val="16"/>
                <w:szCs w:val="16"/>
              </w:rPr>
              <w:t xml:space="preserve"> budget - Bill 1 (DCB)</w:t>
            </w:r>
          </w:p>
        </w:tc>
        <w:tc>
          <w:tcPr>
            <w:tcW w:w="881" w:type="dxa"/>
            <w:tcBorders>
              <w:top w:val="nil"/>
              <w:left w:val="nil"/>
              <w:bottom w:val="nil"/>
              <w:right w:val="nil"/>
            </w:tcBorders>
            <w:shd w:val="clear" w:color="auto" w:fill="auto"/>
            <w:noWrap/>
            <w:vAlign w:val="bottom"/>
            <w:hideMark/>
          </w:tcPr>
          <w:p w14:paraId="493BCA25"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645</w:t>
            </w:r>
          </w:p>
        </w:tc>
        <w:tc>
          <w:tcPr>
            <w:tcW w:w="844" w:type="dxa"/>
            <w:tcBorders>
              <w:top w:val="nil"/>
              <w:left w:val="nil"/>
              <w:bottom w:val="nil"/>
              <w:right w:val="nil"/>
            </w:tcBorders>
            <w:shd w:val="clear" w:color="000000" w:fill="D9D9D9"/>
            <w:noWrap/>
            <w:vAlign w:val="bottom"/>
            <w:hideMark/>
          </w:tcPr>
          <w:p w14:paraId="15C6D871"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651</w:t>
            </w:r>
          </w:p>
        </w:tc>
        <w:tc>
          <w:tcPr>
            <w:tcW w:w="861" w:type="dxa"/>
            <w:tcBorders>
              <w:top w:val="nil"/>
              <w:left w:val="nil"/>
              <w:bottom w:val="nil"/>
              <w:right w:val="nil"/>
            </w:tcBorders>
            <w:shd w:val="clear" w:color="auto" w:fill="auto"/>
            <w:noWrap/>
            <w:vAlign w:val="bottom"/>
            <w:hideMark/>
          </w:tcPr>
          <w:p w14:paraId="086A2937"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656</w:t>
            </w:r>
          </w:p>
        </w:tc>
        <w:tc>
          <w:tcPr>
            <w:tcW w:w="861" w:type="dxa"/>
            <w:tcBorders>
              <w:top w:val="nil"/>
              <w:left w:val="nil"/>
              <w:bottom w:val="nil"/>
              <w:right w:val="nil"/>
            </w:tcBorders>
            <w:shd w:val="clear" w:color="auto" w:fill="auto"/>
            <w:noWrap/>
            <w:vAlign w:val="bottom"/>
            <w:hideMark/>
          </w:tcPr>
          <w:p w14:paraId="6BBBE55D"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662</w:t>
            </w:r>
          </w:p>
        </w:tc>
        <w:tc>
          <w:tcPr>
            <w:tcW w:w="861" w:type="dxa"/>
            <w:tcBorders>
              <w:top w:val="nil"/>
              <w:left w:val="nil"/>
              <w:bottom w:val="nil"/>
              <w:right w:val="nil"/>
            </w:tcBorders>
            <w:shd w:val="clear" w:color="auto" w:fill="auto"/>
            <w:noWrap/>
            <w:vAlign w:val="bottom"/>
            <w:hideMark/>
          </w:tcPr>
          <w:p w14:paraId="225B1E71"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661</w:t>
            </w:r>
          </w:p>
        </w:tc>
      </w:tr>
      <w:tr w:rsidR="00D913F2" w:rsidRPr="00D913F2" w14:paraId="1D7EFAB5" w14:textId="77777777" w:rsidTr="00D913F2">
        <w:trPr>
          <w:trHeight w:val="225"/>
        </w:trPr>
        <w:tc>
          <w:tcPr>
            <w:tcW w:w="3052" w:type="dxa"/>
            <w:tcBorders>
              <w:top w:val="nil"/>
              <w:left w:val="nil"/>
              <w:bottom w:val="nil"/>
              <w:right w:val="nil"/>
            </w:tcBorders>
            <w:shd w:val="clear" w:color="auto" w:fill="auto"/>
            <w:noWrap/>
            <w:vAlign w:val="bottom"/>
            <w:hideMark/>
          </w:tcPr>
          <w:p w14:paraId="7F280C1A" w14:textId="77777777" w:rsidR="00D913F2" w:rsidRPr="00D913F2" w:rsidRDefault="00D913F2" w:rsidP="00D913F2">
            <w:pPr>
              <w:spacing w:after="0"/>
              <w:ind w:leftChars="150" w:left="285"/>
              <w:rPr>
                <w:rFonts w:ascii="Arial" w:hAnsi="Arial" w:cs="Arial"/>
                <w:b/>
                <w:bCs/>
                <w:sz w:val="16"/>
                <w:szCs w:val="16"/>
              </w:rPr>
            </w:pPr>
            <w:r w:rsidRPr="00D913F2">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3E654B8A"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645</w:t>
            </w:r>
          </w:p>
        </w:tc>
        <w:tc>
          <w:tcPr>
            <w:tcW w:w="844" w:type="dxa"/>
            <w:tcBorders>
              <w:top w:val="nil"/>
              <w:left w:val="nil"/>
              <w:bottom w:val="single" w:sz="4" w:space="0" w:color="auto"/>
              <w:right w:val="nil"/>
            </w:tcBorders>
            <w:shd w:val="clear" w:color="000000" w:fill="D9D9D9"/>
            <w:noWrap/>
            <w:vAlign w:val="bottom"/>
            <w:hideMark/>
          </w:tcPr>
          <w:p w14:paraId="4F0FBDFB"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651</w:t>
            </w:r>
          </w:p>
        </w:tc>
        <w:tc>
          <w:tcPr>
            <w:tcW w:w="861" w:type="dxa"/>
            <w:tcBorders>
              <w:top w:val="nil"/>
              <w:left w:val="nil"/>
              <w:bottom w:val="single" w:sz="4" w:space="0" w:color="auto"/>
              <w:right w:val="nil"/>
            </w:tcBorders>
            <w:shd w:val="clear" w:color="auto" w:fill="auto"/>
            <w:noWrap/>
            <w:vAlign w:val="bottom"/>
            <w:hideMark/>
          </w:tcPr>
          <w:p w14:paraId="29F81FA6"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656</w:t>
            </w:r>
          </w:p>
        </w:tc>
        <w:tc>
          <w:tcPr>
            <w:tcW w:w="861" w:type="dxa"/>
            <w:tcBorders>
              <w:top w:val="nil"/>
              <w:left w:val="nil"/>
              <w:bottom w:val="single" w:sz="4" w:space="0" w:color="auto"/>
              <w:right w:val="nil"/>
            </w:tcBorders>
            <w:shd w:val="clear" w:color="auto" w:fill="auto"/>
            <w:noWrap/>
            <w:vAlign w:val="bottom"/>
            <w:hideMark/>
          </w:tcPr>
          <w:p w14:paraId="2EE2F880"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662</w:t>
            </w:r>
          </w:p>
        </w:tc>
        <w:tc>
          <w:tcPr>
            <w:tcW w:w="861" w:type="dxa"/>
            <w:tcBorders>
              <w:top w:val="nil"/>
              <w:left w:val="nil"/>
              <w:bottom w:val="single" w:sz="4" w:space="0" w:color="auto"/>
              <w:right w:val="nil"/>
            </w:tcBorders>
            <w:shd w:val="clear" w:color="auto" w:fill="auto"/>
            <w:noWrap/>
            <w:vAlign w:val="bottom"/>
            <w:hideMark/>
          </w:tcPr>
          <w:p w14:paraId="54640E21"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661</w:t>
            </w:r>
          </w:p>
        </w:tc>
      </w:tr>
      <w:tr w:rsidR="00D913F2" w:rsidRPr="00D913F2" w14:paraId="235D6245" w14:textId="77777777" w:rsidTr="00D913F2">
        <w:trPr>
          <w:trHeight w:val="300"/>
        </w:trPr>
        <w:tc>
          <w:tcPr>
            <w:tcW w:w="3052" w:type="dxa"/>
            <w:tcBorders>
              <w:top w:val="nil"/>
              <w:left w:val="nil"/>
              <w:bottom w:val="nil"/>
              <w:right w:val="nil"/>
            </w:tcBorders>
            <w:shd w:val="clear" w:color="auto" w:fill="auto"/>
            <w:noWrap/>
            <w:vAlign w:val="bottom"/>
            <w:hideMark/>
          </w:tcPr>
          <w:p w14:paraId="2B64A8C1" w14:textId="77777777" w:rsidR="00D913F2" w:rsidRPr="00D913F2" w:rsidRDefault="00D913F2" w:rsidP="00D913F2">
            <w:pPr>
              <w:spacing w:after="0"/>
              <w:ind w:firstLineChars="100" w:firstLine="160"/>
              <w:rPr>
                <w:rFonts w:ascii="Arial" w:hAnsi="Arial" w:cs="Arial"/>
                <w:b/>
                <w:bCs/>
                <w:sz w:val="16"/>
                <w:szCs w:val="16"/>
              </w:rPr>
            </w:pPr>
            <w:r w:rsidRPr="00D913F2">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FAAB407" w14:textId="77777777" w:rsidR="00D913F2" w:rsidRPr="00D913F2" w:rsidRDefault="00D913F2" w:rsidP="00D913F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2C9480F"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5EDE4748" w14:textId="77777777" w:rsidR="00D913F2" w:rsidRPr="00D913F2" w:rsidRDefault="00D913F2" w:rsidP="00D913F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10617B36" w14:textId="77777777" w:rsidR="00D913F2" w:rsidRPr="00D913F2" w:rsidRDefault="00D913F2" w:rsidP="00D913F2">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6C0893B" w14:textId="77777777" w:rsidR="00D913F2" w:rsidRPr="00D913F2" w:rsidRDefault="00D913F2" w:rsidP="00D913F2">
            <w:pPr>
              <w:spacing w:after="0"/>
              <w:jc w:val="right"/>
              <w:rPr>
                <w:rFonts w:ascii="Times New Roman" w:hAnsi="Times New Roman"/>
                <w:color w:val="auto"/>
                <w:sz w:val="20"/>
              </w:rPr>
            </w:pPr>
          </w:p>
        </w:tc>
      </w:tr>
      <w:tr w:rsidR="00D913F2" w:rsidRPr="00D913F2" w14:paraId="27C120AE" w14:textId="77777777" w:rsidTr="00D913F2">
        <w:trPr>
          <w:trHeight w:val="225"/>
        </w:trPr>
        <w:tc>
          <w:tcPr>
            <w:tcW w:w="3052" w:type="dxa"/>
            <w:tcBorders>
              <w:top w:val="nil"/>
              <w:left w:val="nil"/>
              <w:bottom w:val="nil"/>
              <w:right w:val="nil"/>
            </w:tcBorders>
            <w:shd w:val="clear" w:color="000000" w:fill="FFFFFF"/>
            <w:noWrap/>
            <w:vAlign w:val="bottom"/>
            <w:hideMark/>
          </w:tcPr>
          <w:p w14:paraId="508FAFA1" w14:textId="77777777" w:rsidR="00D913F2" w:rsidRPr="00D913F2" w:rsidRDefault="00D913F2" w:rsidP="00D913F2">
            <w:pPr>
              <w:spacing w:after="0"/>
              <w:ind w:leftChars="150" w:left="285"/>
              <w:rPr>
                <w:rFonts w:ascii="Arial" w:hAnsi="Arial" w:cs="Arial"/>
                <w:color w:val="auto"/>
                <w:sz w:val="16"/>
                <w:szCs w:val="16"/>
              </w:rPr>
            </w:pPr>
            <w:r w:rsidRPr="00D913F2">
              <w:rPr>
                <w:rFonts w:ascii="Arial" w:hAnsi="Arial" w:cs="Arial"/>
                <w:sz w:val="16"/>
                <w:szCs w:val="16"/>
              </w:rPr>
              <w:t>Lease</w:t>
            </w:r>
            <w:r w:rsidRPr="00D913F2">
              <w:rPr>
                <w:rFonts w:ascii="Arial" w:hAnsi="Arial" w:cs="Arial"/>
                <w:color w:val="auto"/>
                <w:sz w:val="16"/>
                <w:szCs w:val="16"/>
              </w:rPr>
              <w:t xml:space="preserve"> principal repayments</w:t>
            </w:r>
          </w:p>
        </w:tc>
        <w:tc>
          <w:tcPr>
            <w:tcW w:w="881" w:type="dxa"/>
            <w:tcBorders>
              <w:top w:val="nil"/>
              <w:left w:val="nil"/>
              <w:bottom w:val="nil"/>
              <w:right w:val="nil"/>
            </w:tcBorders>
            <w:shd w:val="clear" w:color="auto" w:fill="auto"/>
            <w:noWrap/>
            <w:vAlign w:val="bottom"/>
            <w:hideMark/>
          </w:tcPr>
          <w:p w14:paraId="3351A707"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965</w:t>
            </w:r>
          </w:p>
        </w:tc>
        <w:tc>
          <w:tcPr>
            <w:tcW w:w="844" w:type="dxa"/>
            <w:tcBorders>
              <w:top w:val="nil"/>
              <w:left w:val="nil"/>
              <w:bottom w:val="nil"/>
              <w:right w:val="nil"/>
            </w:tcBorders>
            <w:shd w:val="clear" w:color="000000" w:fill="D9D9D9"/>
            <w:noWrap/>
            <w:vAlign w:val="bottom"/>
            <w:hideMark/>
          </w:tcPr>
          <w:p w14:paraId="5E8194D4"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780</w:t>
            </w:r>
          </w:p>
        </w:tc>
        <w:tc>
          <w:tcPr>
            <w:tcW w:w="861" w:type="dxa"/>
            <w:tcBorders>
              <w:top w:val="nil"/>
              <w:left w:val="nil"/>
              <w:bottom w:val="nil"/>
              <w:right w:val="nil"/>
            </w:tcBorders>
            <w:shd w:val="clear" w:color="auto" w:fill="auto"/>
            <w:noWrap/>
            <w:vAlign w:val="bottom"/>
            <w:hideMark/>
          </w:tcPr>
          <w:p w14:paraId="2C376853"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833</w:t>
            </w:r>
          </w:p>
        </w:tc>
        <w:tc>
          <w:tcPr>
            <w:tcW w:w="861" w:type="dxa"/>
            <w:tcBorders>
              <w:top w:val="nil"/>
              <w:left w:val="nil"/>
              <w:bottom w:val="nil"/>
              <w:right w:val="nil"/>
            </w:tcBorders>
            <w:shd w:val="clear" w:color="auto" w:fill="auto"/>
            <w:noWrap/>
            <w:vAlign w:val="bottom"/>
            <w:hideMark/>
          </w:tcPr>
          <w:p w14:paraId="64AA13CA"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833</w:t>
            </w:r>
          </w:p>
        </w:tc>
        <w:tc>
          <w:tcPr>
            <w:tcW w:w="861" w:type="dxa"/>
            <w:tcBorders>
              <w:top w:val="nil"/>
              <w:left w:val="nil"/>
              <w:bottom w:val="nil"/>
              <w:right w:val="nil"/>
            </w:tcBorders>
            <w:shd w:val="clear" w:color="auto" w:fill="auto"/>
            <w:noWrap/>
            <w:vAlign w:val="bottom"/>
            <w:hideMark/>
          </w:tcPr>
          <w:p w14:paraId="6BC60BD7"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833</w:t>
            </w:r>
          </w:p>
        </w:tc>
      </w:tr>
      <w:tr w:rsidR="00D913F2" w:rsidRPr="00D913F2" w14:paraId="79F4B922" w14:textId="77777777" w:rsidTr="00D913F2">
        <w:trPr>
          <w:trHeight w:val="225"/>
        </w:trPr>
        <w:tc>
          <w:tcPr>
            <w:tcW w:w="3052" w:type="dxa"/>
            <w:tcBorders>
              <w:top w:val="nil"/>
              <w:left w:val="nil"/>
              <w:bottom w:val="nil"/>
              <w:right w:val="nil"/>
            </w:tcBorders>
            <w:shd w:val="clear" w:color="auto" w:fill="auto"/>
            <w:noWrap/>
            <w:vAlign w:val="bottom"/>
            <w:hideMark/>
          </w:tcPr>
          <w:p w14:paraId="370F8A81" w14:textId="77777777" w:rsidR="00D913F2" w:rsidRPr="00D913F2" w:rsidRDefault="00D913F2" w:rsidP="00D913F2">
            <w:pPr>
              <w:spacing w:after="0"/>
              <w:ind w:leftChars="150" w:left="285"/>
              <w:rPr>
                <w:rFonts w:ascii="Arial" w:hAnsi="Arial" w:cs="Arial"/>
                <w:b/>
                <w:bCs/>
                <w:sz w:val="16"/>
                <w:szCs w:val="16"/>
              </w:rPr>
            </w:pPr>
            <w:r w:rsidRPr="00D913F2">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A4141CA" w14:textId="77777777" w:rsidR="00D913F2" w:rsidRPr="00D913F2" w:rsidRDefault="00D913F2" w:rsidP="00D913F2">
            <w:pPr>
              <w:spacing w:after="0"/>
              <w:jc w:val="right"/>
              <w:rPr>
                <w:rFonts w:ascii="Arial" w:hAnsi="Arial" w:cs="Arial"/>
                <w:b/>
                <w:bCs/>
                <w:sz w:val="16"/>
                <w:szCs w:val="16"/>
              </w:rPr>
            </w:pPr>
            <w:r w:rsidRPr="00D913F2">
              <w:rPr>
                <w:rFonts w:ascii="Arial" w:hAnsi="Arial" w:cs="Arial"/>
                <w:b/>
                <w:bCs/>
                <w:sz w:val="16"/>
                <w:szCs w:val="16"/>
              </w:rPr>
              <w:t>965</w:t>
            </w:r>
          </w:p>
        </w:tc>
        <w:tc>
          <w:tcPr>
            <w:tcW w:w="844" w:type="dxa"/>
            <w:tcBorders>
              <w:top w:val="nil"/>
              <w:left w:val="nil"/>
              <w:bottom w:val="single" w:sz="4" w:space="0" w:color="auto"/>
              <w:right w:val="nil"/>
            </w:tcBorders>
            <w:shd w:val="clear" w:color="000000" w:fill="D9D9D9"/>
            <w:noWrap/>
            <w:vAlign w:val="bottom"/>
            <w:hideMark/>
          </w:tcPr>
          <w:p w14:paraId="6485D4CC"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780</w:t>
            </w:r>
          </w:p>
        </w:tc>
        <w:tc>
          <w:tcPr>
            <w:tcW w:w="861" w:type="dxa"/>
            <w:tcBorders>
              <w:top w:val="nil"/>
              <w:left w:val="nil"/>
              <w:bottom w:val="single" w:sz="4" w:space="0" w:color="auto"/>
              <w:right w:val="nil"/>
            </w:tcBorders>
            <w:shd w:val="clear" w:color="auto" w:fill="auto"/>
            <w:noWrap/>
            <w:vAlign w:val="bottom"/>
            <w:hideMark/>
          </w:tcPr>
          <w:p w14:paraId="7D417DF5" w14:textId="77777777" w:rsidR="00D913F2" w:rsidRPr="00D913F2" w:rsidRDefault="00D913F2" w:rsidP="00D913F2">
            <w:pPr>
              <w:spacing w:after="0"/>
              <w:jc w:val="right"/>
              <w:rPr>
                <w:rFonts w:ascii="Arial" w:hAnsi="Arial" w:cs="Arial"/>
                <w:b/>
                <w:bCs/>
                <w:sz w:val="16"/>
                <w:szCs w:val="16"/>
              </w:rPr>
            </w:pPr>
            <w:r w:rsidRPr="00D913F2">
              <w:rPr>
                <w:rFonts w:ascii="Arial" w:hAnsi="Arial" w:cs="Arial"/>
                <w:b/>
                <w:bCs/>
                <w:sz w:val="16"/>
                <w:szCs w:val="16"/>
              </w:rPr>
              <w:t>833</w:t>
            </w:r>
          </w:p>
        </w:tc>
        <w:tc>
          <w:tcPr>
            <w:tcW w:w="861" w:type="dxa"/>
            <w:tcBorders>
              <w:top w:val="nil"/>
              <w:left w:val="nil"/>
              <w:bottom w:val="single" w:sz="4" w:space="0" w:color="auto"/>
              <w:right w:val="nil"/>
            </w:tcBorders>
            <w:shd w:val="clear" w:color="auto" w:fill="auto"/>
            <w:noWrap/>
            <w:vAlign w:val="bottom"/>
            <w:hideMark/>
          </w:tcPr>
          <w:p w14:paraId="548A16C4" w14:textId="77777777" w:rsidR="00D913F2" w:rsidRPr="00D913F2" w:rsidRDefault="00D913F2" w:rsidP="00D913F2">
            <w:pPr>
              <w:spacing w:after="0"/>
              <w:jc w:val="right"/>
              <w:rPr>
                <w:rFonts w:ascii="Arial" w:hAnsi="Arial" w:cs="Arial"/>
                <w:b/>
                <w:bCs/>
                <w:sz w:val="16"/>
                <w:szCs w:val="16"/>
              </w:rPr>
            </w:pPr>
            <w:r w:rsidRPr="00D913F2">
              <w:rPr>
                <w:rFonts w:ascii="Arial" w:hAnsi="Arial" w:cs="Arial"/>
                <w:b/>
                <w:bCs/>
                <w:sz w:val="16"/>
                <w:szCs w:val="16"/>
              </w:rPr>
              <w:t>833</w:t>
            </w:r>
          </w:p>
        </w:tc>
        <w:tc>
          <w:tcPr>
            <w:tcW w:w="861" w:type="dxa"/>
            <w:tcBorders>
              <w:top w:val="nil"/>
              <w:left w:val="nil"/>
              <w:bottom w:val="single" w:sz="4" w:space="0" w:color="auto"/>
              <w:right w:val="nil"/>
            </w:tcBorders>
            <w:shd w:val="clear" w:color="auto" w:fill="auto"/>
            <w:noWrap/>
            <w:vAlign w:val="bottom"/>
            <w:hideMark/>
          </w:tcPr>
          <w:p w14:paraId="5098334C" w14:textId="77777777" w:rsidR="00D913F2" w:rsidRPr="00D913F2" w:rsidRDefault="00D913F2" w:rsidP="00D913F2">
            <w:pPr>
              <w:spacing w:after="0"/>
              <w:jc w:val="right"/>
              <w:rPr>
                <w:rFonts w:ascii="Arial" w:hAnsi="Arial" w:cs="Arial"/>
                <w:b/>
                <w:bCs/>
                <w:sz w:val="16"/>
                <w:szCs w:val="16"/>
              </w:rPr>
            </w:pPr>
            <w:r w:rsidRPr="00D913F2">
              <w:rPr>
                <w:rFonts w:ascii="Arial" w:hAnsi="Arial" w:cs="Arial"/>
                <w:b/>
                <w:bCs/>
                <w:sz w:val="16"/>
                <w:szCs w:val="16"/>
              </w:rPr>
              <w:t>833</w:t>
            </w:r>
          </w:p>
        </w:tc>
      </w:tr>
      <w:tr w:rsidR="00D913F2" w:rsidRPr="00D913F2" w14:paraId="0A4B0B5C" w14:textId="77777777" w:rsidTr="00D913F2">
        <w:trPr>
          <w:trHeight w:val="525"/>
        </w:trPr>
        <w:tc>
          <w:tcPr>
            <w:tcW w:w="3052" w:type="dxa"/>
            <w:tcBorders>
              <w:top w:val="nil"/>
              <w:left w:val="nil"/>
              <w:bottom w:val="nil"/>
              <w:right w:val="nil"/>
            </w:tcBorders>
            <w:shd w:val="clear" w:color="auto" w:fill="auto"/>
            <w:vAlign w:val="bottom"/>
            <w:hideMark/>
          </w:tcPr>
          <w:p w14:paraId="3C6F34FA" w14:textId="77777777" w:rsidR="00D913F2" w:rsidRPr="00D913F2" w:rsidRDefault="00D913F2" w:rsidP="00D913F2">
            <w:pPr>
              <w:spacing w:after="0"/>
              <w:ind w:leftChars="75" w:left="143"/>
              <w:rPr>
                <w:rFonts w:ascii="Arial" w:hAnsi="Arial" w:cs="Arial"/>
                <w:b/>
                <w:bCs/>
                <w:sz w:val="16"/>
                <w:szCs w:val="16"/>
              </w:rPr>
            </w:pPr>
            <w:r w:rsidRPr="00D913F2">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11503CC1"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(320)</w:t>
            </w:r>
          </w:p>
        </w:tc>
        <w:tc>
          <w:tcPr>
            <w:tcW w:w="844" w:type="dxa"/>
            <w:tcBorders>
              <w:top w:val="nil"/>
              <w:left w:val="nil"/>
              <w:bottom w:val="single" w:sz="4" w:space="0" w:color="auto"/>
              <w:right w:val="nil"/>
            </w:tcBorders>
            <w:shd w:val="clear" w:color="000000" w:fill="D9D9D9"/>
            <w:noWrap/>
            <w:vAlign w:val="bottom"/>
            <w:hideMark/>
          </w:tcPr>
          <w:p w14:paraId="4E377B19"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(129)</w:t>
            </w:r>
          </w:p>
        </w:tc>
        <w:tc>
          <w:tcPr>
            <w:tcW w:w="861" w:type="dxa"/>
            <w:tcBorders>
              <w:top w:val="nil"/>
              <w:left w:val="nil"/>
              <w:bottom w:val="single" w:sz="4" w:space="0" w:color="auto"/>
              <w:right w:val="nil"/>
            </w:tcBorders>
            <w:shd w:val="clear" w:color="auto" w:fill="auto"/>
            <w:noWrap/>
            <w:vAlign w:val="bottom"/>
            <w:hideMark/>
          </w:tcPr>
          <w:p w14:paraId="417A56C2"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(177)</w:t>
            </w:r>
          </w:p>
        </w:tc>
        <w:tc>
          <w:tcPr>
            <w:tcW w:w="861" w:type="dxa"/>
            <w:tcBorders>
              <w:top w:val="nil"/>
              <w:left w:val="nil"/>
              <w:bottom w:val="single" w:sz="4" w:space="0" w:color="auto"/>
              <w:right w:val="nil"/>
            </w:tcBorders>
            <w:shd w:val="clear" w:color="auto" w:fill="auto"/>
            <w:noWrap/>
            <w:vAlign w:val="bottom"/>
            <w:hideMark/>
          </w:tcPr>
          <w:p w14:paraId="0D5F20CE"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(171)</w:t>
            </w:r>
          </w:p>
        </w:tc>
        <w:tc>
          <w:tcPr>
            <w:tcW w:w="861" w:type="dxa"/>
            <w:tcBorders>
              <w:top w:val="nil"/>
              <w:left w:val="nil"/>
              <w:bottom w:val="single" w:sz="4" w:space="0" w:color="auto"/>
              <w:right w:val="nil"/>
            </w:tcBorders>
            <w:shd w:val="clear" w:color="auto" w:fill="auto"/>
            <w:noWrap/>
            <w:vAlign w:val="bottom"/>
            <w:hideMark/>
          </w:tcPr>
          <w:p w14:paraId="157A2786"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(172)</w:t>
            </w:r>
          </w:p>
        </w:tc>
      </w:tr>
      <w:tr w:rsidR="00D913F2" w:rsidRPr="00D913F2" w14:paraId="03E6A5DA" w14:textId="77777777" w:rsidTr="00D913F2">
        <w:trPr>
          <w:trHeight w:val="465"/>
        </w:trPr>
        <w:tc>
          <w:tcPr>
            <w:tcW w:w="3052" w:type="dxa"/>
            <w:tcBorders>
              <w:top w:val="nil"/>
              <w:left w:val="nil"/>
              <w:bottom w:val="nil"/>
              <w:right w:val="nil"/>
            </w:tcBorders>
            <w:shd w:val="clear" w:color="auto" w:fill="auto"/>
            <w:vAlign w:val="bottom"/>
            <w:hideMark/>
          </w:tcPr>
          <w:p w14:paraId="7BFF8D6D" w14:textId="77777777" w:rsidR="00D913F2" w:rsidRPr="00D913F2" w:rsidRDefault="00D913F2" w:rsidP="00D913F2">
            <w:pPr>
              <w:spacing w:after="0"/>
              <w:rPr>
                <w:rFonts w:ascii="Arial" w:hAnsi="Arial" w:cs="Arial"/>
                <w:b/>
                <w:bCs/>
                <w:sz w:val="16"/>
                <w:szCs w:val="16"/>
              </w:rPr>
            </w:pPr>
            <w:r w:rsidRPr="00D913F2">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15E199F8"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(1,063)</w:t>
            </w:r>
          </w:p>
        </w:tc>
        <w:tc>
          <w:tcPr>
            <w:tcW w:w="844" w:type="dxa"/>
            <w:tcBorders>
              <w:top w:val="nil"/>
              <w:left w:val="nil"/>
              <w:bottom w:val="single" w:sz="4" w:space="0" w:color="auto"/>
              <w:right w:val="nil"/>
            </w:tcBorders>
            <w:shd w:val="clear" w:color="000000" w:fill="D9D9D9"/>
            <w:noWrap/>
            <w:vAlign w:val="bottom"/>
            <w:hideMark/>
          </w:tcPr>
          <w:p w14:paraId="0ADC6CE1"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(4,116)</w:t>
            </w:r>
          </w:p>
        </w:tc>
        <w:tc>
          <w:tcPr>
            <w:tcW w:w="861" w:type="dxa"/>
            <w:tcBorders>
              <w:top w:val="nil"/>
              <w:left w:val="nil"/>
              <w:bottom w:val="single" w:sz="4" w:space="0" w:color="auto"/>
              <w:right w:val="nil"/>
            </w:tcBorders>
            <w:shd w:val="clear" w:color="auto" w:fill="auto"/>
            <w:noWrap/>
            <w:vAlign w:val="bottom"/>
            <w:hideMark/>
          </w:tcPr>
          <w:p w14:paraId="4549A68A"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5</w:t>
            </w:r>
          </w:p>
        </w:tc>
        <w:tc>
          <w:tcPr>
            <w:tcW w:w="861" w:type="dxa"/>
            <w:tcBorders>
              <w:top w:val="nil"/>
              <w:left w:val="nil"/>
              <w:bottom w:val="single" w:sz="4" w:space="0" w:color="auto"/>
              <w:right w:val="nil"/>
            </w:tcBorders>
            <w:shd w:val="clear" w:color="auto" w:fill="auto"/>
            <w:noWrap/>
            <w:vAlign w:val="bottom"/>
            <w:hideMark/>
          </w:tcPr>
          <w:p w14:paraId="3586DBD1"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5</w:t>
            </w:r>
          </w:p>
        </w:tc>
        <w:tc>
          <w:tcPr>
            <w:tcW w:w="861" w:type="dxa"/>
            <w:tcBorders>
              <w:top w:val="nil"/>
              <w:left w:val="nil"/>
              <w:bottom w:val="single" w:sz="4" w:space="0" w:color="auto"/>
              <w:right w:val="nil"/>
            </w:tcBorders>
            <w:shd w:val="clear" w:color="auto" w:fill="auto"/>
            <w:noWrap/>
            <w:vAlign w:val="bottom"/>
            <w:hideMark/>
          </w:tcPr>
          <w:p w14:paraId="11ABB90B"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5</w:t>
            </w:r>
          </w:p>
        </w:tc>
      </w:tr>
      <w:tr w:rsidR="00D913F2" w:rsidRPr="00D913F2" w14:paraId="6A6BF456" w14:textId="77777777" w:rsidTr="00D913F2">
        <w:trPr>
          <w:trHeight w:val="465"/>
        </w:trPr>
        <w:tc>
          <w:tcPr>
            <w:tcW w:w="3052" w:type="dxa"/>
            <w:tcBorders>
              <w:top w:val="nil"/>
              <w:left w:val="nil"/>
              <w:bottom w:val="nil"/>
              <w:right w:val="nil"/>
            </w:tcBorders>
            <w:shd w:val="clear" w:color="auto" w:fill="auto"/>
            <w:vAlign w:val="bottom"/>
            <w:hideMark/>
          </w:tcPr>
          <w:p w14:paraId="42756148" w14:textId="77777777" w:rsidR="00D913F2" w:rsidRPr="00D913F2" w:rsidRDefault="00D913F2" w:rsidP="00D913F2">
            <w:pPr>
              <w:spacing w:after="0"/>
              <w:ind w:leftChars="75" w:left="143"/>
              <w:rPr>
                <w:rFonts w:ascii="Arial" w:hAnsi="Arial" w:cs="Arial"/>
                <w:sz w:val="16"/>
                <w:szCs w:val="16"/>
              </w:rPr>
            </w:pPr>
            <w:r w:rsidRPr="00D913F2">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2C21CCC4"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8,053</w:t>
            </w:r>
          </w:p>
        </w:tc>
        <w:tc>
          <w:tcPr>
            <w:tcW w:w="844" w:type="dxa"/>
            <w:tcBorders>
              <w:top w:val="nil"/>
              <w:left w:val="nil"/>
              <w:bottom w:val="nil"/>
              <w:right w:val="nil"/>
            </w:tcBorders>
            <w:shd w:val="clear" w:color="000000" w:fill="D9D9D9"/>
            <w:noWrap/>
            <w:vAlign w:val="bottom"/>
            <w:hideMark/>
          </w:tcPr>
          <w:p w14:paraId="27B94B3A" w14:textId="77777777" w:rsidR="00D913F2" w:rsidRPr="00D913F2" w:rsidRDefault="00D913F2" w:rsidP="00D913F2">
            <w:pPr>
              <w:spacing w:after="0"/>
              <w:jc w:val="right"/>
              <w:rPr>
                <w:rFonts w:ascii="Arial" w:hAnsi="Arial" w:cs="Arial"/>
                <w:sz w:val="16"/>
                <w:szCs w:val="16"/>
              </w:rPr>
            </w:pPr>
            <w:r w:rsidRPr="00D913F2">
              <w:rPr>
                <w:rFonts w:ascii="Arial" w:hAnsi="Arial" w:cs="Arial"/>
                <w:sz w:val="16"/>
                <w:szCs w:val="16"/>
              </w:rPr>
              <w:t>6,990</w:t>
            </w:r>
          </w:p>
        </w:tc>
        <w:tc>
          <w:tcPr>
            <w:tcW w:w="861" w:type="dxa"/>
            <w:tcBorders>
              <w:top w:val="nil"/>
              <w:left w:val="nil"/>
              <w:bottom w:val="nil"/>
              <w:right w:val="nil"/>
            </w:tcBorders>
            <w:shd w:val="clear" w:color="auto" w:fill="auto"/>
            <w:noWrap/>
            <w:vAlign w:val="bottom"/>
            <w:hideMark/>
          </w:tcPr>
          <w:p w14:paraId="0A87C99D"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2,874</w:t>
            </w:r>
          </w:p>
        </w:tc>
        <w:tc>
          <w:tcPr>
            <w:tcW w:w="861" w:type="dxa"/>
            <w:tcBorders>
              <w:top w:val="nil"/>
              <w:left w:val="nil"/>
              <w:bottom w:val="nil"/>
              <w:right w:val="nil"/>
            </w:tcBorders>
            <w:shd w:val="clear" w:color="auto" w:fill="auto"/>
            <w:noWrap/>
            <w:vAlign w:val="bottom"/>
            <w:hideMark/>
          </w:tcPr>
          <w:p w14:paraId="164E41D6"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2,879</w:t>
            </w:r>
          </w:p>
        </w:tc>
        <w:tc>
          <w:tcPr>
            <w:tcW w:w="861" w:type="dxa"/>
            <w:tcBorders>
              <w:top w:val="nil"/>
              <w:left w:val="nil"/>
              <w:bottom w:val="nil"/>
              <w:right w:val="nil"/>
            </w:tcBorders>
            <w:shd w:val="clear" w:color="auto" w:fill="auto"/>
            <w:noWrap/>
            <w:vAlign w:val="bottom"/>
            <w:hideMark/>
          </w:tcPr>
          <w:p w14:paraId="53407240" w14:textId="77777777" w:rsidR="00D913F2" w:rsidRPr="00D913F2" w:rsidRDefault="00D913F2" w:rsidP="00D913F2">
            <w:pPr>
              <w:spacing w:after="0"/>
              <w:jc w:val="right"/>
              <w:rPr>
                <w:rFonts w:ascii="Arial" w:hAnsi="Arial" w:cs="Arial"/>
                <w:color w:val="auto"/>
                <w:sz w:val="16"/>
                <w:szCs w:val="16"/>
              </w:rPr>
            </w:pPr>
            <w:r w:rsidRPr="00D913F2">
              <w:rPr>
                <w:rFonts w:ascii="Arial" w:hAnsi="Arial" w:cs="Arial"/>
                <w:color w:val="auto"/>
                <w:sz w:val="16"/>
                <w:szCs w:val="16"/>
              </w:rPr>
              <w:t>2,884</w:t>
            </w:r>
          </w:p>
        </w:tc>
      </w:tr>
      <w:tr w:rsidR="00D913F2" w:rsidRPr="00D913F2" w14:paraId="6787E260" w14:textId="77777777" w:rsidTr="00D913F2">
        <w:trPr>
          <w:trHeight w:val="525"/>
        </w:trPr>
        <w:tc>
          <w:tcPr>
            <w:tcW w:w="3052" w:type="dxa"/>
            <w:tcBorders>
              <w:top w:val="nil"/>
              <w:left w:val="nil"/>
              <w:bottom w:val="single" w:sz="4" w:space="0" w:color="auto"/>
              <w:right w:val="nil"/>
            </w:tcBorders>
            <w:shd w:val="clear" w:color="auto" w:fill="auto"/>
            <w:vAlign w:val="bottom"/>
            <w:hideMark/>
          </w:tcPr>
          <w:p w14:paraId="4A898772" w14:textId="77777777" w:rsidR="00D913F2" w:rsidRPr="00D913F2" w:rsidRDefault="00D913F2" w:rsidP="00D913F2">
            <w:pPr>
              <w:spacing w:after="0"/>
              <w:rPr>
                <w:rFonts w:ascii="Arial" w:hAnsi="Arial" w:cs="Arial"/>
                <w:b/>
                <w:bCs/>
                <w:sz w:val="16"/>
                <w:szCs w:val="16"/>
              </w:rPr>
            </w:pPr>
            <w:r w:rsidRPr="00D913F2">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191DF217"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6,990</w:t>
            </w:r>
          </w:p>
        </w:tc>
        <w:tc>
          <w:tcPr>
            <w:tcW w:w="844" w:type="dxa"/>
            <w:tcBorders>
              <w:top w:val="nil"/>
              <w:left w:val="nil"/>
              <w:bottom w:val="single" w:sz="4" w:space="0" w:color="auto"/>
              <w:right w:val="nil"/>
            </w:tcBorders>
            <w:shd w:val="clear" w:color="000000" w:fill="D9D9D9"/>
            <w:noWrap/>
            <w:vAlign w:val="bottom"/>
            <w:hideMark/>
          </w:tcPr>
          <w:p w14:paraId="2CDD0F62"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2,874</w:t>
            </w:r>
          </w:p>
        </w:tc>
        <w:tc>
          <w:tcPr>
            <w:tcW w:w="861" w:type="dxa"/>
            <w:tcBorders>
              <w:top w:val="nil"/>
              <w:left w:val="nil"/>
              <w:bottom w:val="single" w:sz="4" w:space="0" w:color="auto"/>
              <w:right w:val="nil"/>
            </w:tcBorders>
            <w:shd w:val="clear" w:color="auto" w:fill="auto"/>
            <w:noWrap/>
            <w:vAlign w:val="bottom"/>
            <w:hideMark/>
          </w:tcPr>
          <w:p w14:paraId="37A3F0D4"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2,879</w:t>
            </w:r>
          </w:p>
        </w:tc>
        <w:tc>
          <w:tcPr>
            <w:tcW w:w="861" w:type="dxa"/>
            <w:tcBorders>
              <w:top w:val="nil"/>
              <w:left w:val="nil"/>
              <w:bottom w:val="single" w:sz="4" w:space="0" w:color="auto"/>
              <w:right w:val="nil"/>
            </w:tcBorders>
            <w:shd w:val="clear" w:color="auto" w:fill="auto"/>
            <w:noWrap/>
            <w:vAlign w:val="bottom"/>
            <w:hideMark/>
          </w:tcPr>
          <w:p w14:paraId="275AC0C5"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2,884</w:t>
            </w:r>
          </w:p>
        </w:tc>
        <w:tc>
          <w:tcPr>
            <w:tcW w:w="861" w:type="dxa"/>
            <w:tcBorders>
              <w:top w:val="nil"/>
              <w:left w:val="nil"/>
              <w:bottom w:val="single" w:sz="4" w:space="0" w:color="auto"/>
              <w:right w:val="nil"/>
            </w:tcBorders>
            <w:shd w:val="clear" w:color="auto" w:fill="auto"/>
            <w:noWrap/>
            <w:vAlign w:val="bottom"/>
            <w:hideMark/>
          </w:tcPr>
          <w:p w14:paraId="5FA2118B" w14:textId="77777777" w:rsidR="00D913F2" w:rsidRPr="00D913F2" w:rsidRDefault="00D913F2" w:rsidP="00D913F2">
            <w:pPr>
              <w:spacing w:after="0"/>
              <w:jc w:val="right"/>
              <w:rPr>
                <w:rFonts w:ascii="Arial" w:hAnsi="Arial" w:cs="Arial"/>
                <w:b/>
                <w:bCs/>
                <w:color w:val="auto"/>
                <w:sz w:val="16"/>
                <w:szCs w:val="16"/>
              </w:rPr>
            </w:pPr>
            <w:r w:rsidRPr="00D913F2">
              <w:rPr>
                <w:rFonts w:ascii="Arial" w:hAnsi="Arial" w:cs="Arial"/>
                <w:b/>
                <w:bCs/>
                <w:color w:val="auto"/>
                <w:sz w:val="16"/>
                <w:szCs w:val="16"/>
              </w:rPr>
              <w:t>2,889</w:t>
            </w:r>
          </w:p>
        </w:tc>
      </w:tr>
    </w:tbl>
    <w:p w14:paraId="00FD7B43" w14:textId="1288671C" w:rsidR="0082252D" w:rsidRDefault="0082252D" w:rsidP="0082252D">
      <w:pPr>
        <w:pStyle w:val="FootnoteText"/>
        <w:spacing w:before="120"/>
        <w:rPr>
          <w:lang w:eastAsia="en-US"/>
        </w:rPr>
      </w:pPr>
      <w:r w:rsidRPr="0082252D">
        <w:rPr>
          <w:lang w:eastAsia="en-US"/>
        </w:rPr>
        <w:t>DCB = Departmental Capital Budget</w:t>
      </w:r>
    </w:p>
    <w:p w14:paraId="2348FFBD" w14:textId="77777777" w:rsidR="0082252D" w:rsidRDefault="0082252D">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500C27CD" w14:textId="79E859F2" w:rsidR="00884F73" w:rsidRPr="00884F73" w:rsidRDefault="00884F73" w:rsidP="00884F73">
      <w:pPr>
        <w:rPr>
          <w:rFonts w:ascii="Arial" w:hAnsi="Arial" w:cs="Arial"/>
          <w:b/>
          <w:sz w:val="20"/>
          <w:szCs w:val="18"/>
          <w:lang w:eastAsia="en-US"/>
        </w:rPr>
      </w:pPr>
      <w:r w:rsidRPr="00884F73">
        <w:rPr>
          <w:rFonts w:ascii="Arial" w:hAnsi="Arial" w:cs="Arial"/>
          <w:b/>
          <w:sz w:val="20"/>
          <w:szCs w:val="18"/>
          <w:lang w:eastAsia="en-US"/>
        </w:rPr>
        <w:lastRenderedPageBreak/>
        <w:t>Table 3.5: Departmental capital budget statement (for the period</w:t>
      </w:r>
      <w:r w:rsidR="0026049D">
        <w:rPr>
          <w:rFonts w:ascii="Arial" w:hAnsi="Arial" w:cs="Arial"/>
          <w:b/>
          <w:sz w:val="20"/>
          <w:szCs w:val="18"/>
          <w:lang w:eastAsia="en-US"/>
        </w:rPr>
        <w:br/>
      </w:r>
      <w:r w:rsidRPr="00884F73">
        <w:rPr>
          <w:rFonts w:ascii="Arial" w:hAnsi="Arial" w:cs="Arial"/>
          <w:b/>
          <w:sz w:val="20"/>
          <w:szCs w:val="18"/>
          <w:lang w:eastAsia="en-US"/>
        </w:rPr>
        <w:t>ended 30 June)</w:t>
      </w:r>
    </w:p>
    <w:tbl>
      <w:tblPr>
        <w:tblW w:w="7394" w:type="dxa"/>
        <w:jc w:val="center"/>
        <w:tblLayout w:type="fixed"/>
        <w:tblLook w:val="04A0" w:firstRow="1" w:lastRow="0" w:firstColumn="1" w:lastColumn="0" w:noHBand="0" w:noVBand="1"/>
      </w:tblPr>
      <w:tblGrid>
        <w:gridCol w:w="2835"/>
        <w:gridCol w:w="964"/>
        <w:gridCol w:w="896"/>
        <w:gridCol w:w="907"/>
        <w:gridCol w:w="896"/>
        <w:gridCol w:w="896"/>
      </w:tblGrid>
      <w:tr w:rsidR="0082252D" w:rsidRPr="0082252D" w14:paraId="392BC8E4" w14:textId="77777777" w:rsidTr="0082252D">
        <w:trPr>
          <w:trHeight w:val="765"/>
          <w:jc w:val="center"/>
        </w:trPr>
        <w:tc>
          <w:tcPr>
            <w:tcW w:w="2835" w:type="dxa"/>
            <w:tcBorders>
              <w:top w:val="single" w:sz="4" w:space="0" w:color="auto"/>
              <w:left w:val="nil"/>
              <w:bottom w:val="nil"/>
              <w:right w:val="nil"/>
            </w:tcBorders>
            <w:shd w:val="clear" w:color="auto" w:fill="auto"/>
            <w:hideMark/>
          </w:tcPr>
          <w:p w14:paraId="30FD1A0D"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 </w:t>
            </w:r>
          </w:p>
        </w:tc>
        <w:tc>
          <w:tcPr>
            <w:tcW w:w="964" w:type="dxa"/>
            <w:tcBorders>
              <w:top w:val="single" w:sz="4" w:space="0" w:color="auto"/>
              <w:left w:val="nil"/>
              <w:bottom w:val="single" w:sz="4" w:space="0" w:color="auto"/>
              <w:right w:val="nil"/>
            </w:tcBorders>
            <w:shd w:val="clear" w:color="auto" w:fill="auto"/>
            <w:tcMar>
              <w:left w:w="0" w:type="dxa"/>
            </w:tcMar>
            <w:hideMark/>
          </w:tcPr>
          <w:p w14:paraId="78DD42E8"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2021–22 Estimated actual</w:t>
            </w:r>
            <w:r w:rsidRPr="0082252D">
              <w:rPr>
                <w:rFonts w:ascii="Arial" w:hAnsi="Arial" w:cs="Arial"/>
                <w:b/>
                <w:bCs/>
                <w:color w:val="auto"/>
                <w:sz w:val="16"/>
                <w:szCs w:val="16"/>
              </w:rPr>
              <w:br/>
            </w:r>
            <w:r w:rsidRPr="0082252D">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000000" w:fill="D9D9D9"/>
            <w:hideMark/>
          </w:tcPr>
          <w:p w14:paraId="5B5CA47B"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 xml:space="preserve">2022–23 Budget </w:t>
            </w:r>
            <w:r w:rsidRPr="0082252D">
              <w:rPr>
                <w:rFonts w:ascii="Arial" w:hAnsi="Arial" w:cs="Arial"/>
                <w:b/>
                <w:bCs/>
                <w:color w:val="auto"/>
                <w:sz w:val="16"/>
                <w:szCs w:val="16"/>
              </w:rPr>
              <w:br/>
            </w:r>
            <w:r w:rsidRPr="0082252D">
              <w:rPr>
                <w:rFonts w:ascii="Arial" w:hAnsi="Arial" w:cs="Arial"/>
                <w:b/>
                <w:bCs/>
                <w:color w:val="auto"/>
                <w:sz w:val="16"/>
                <w:szCs w:val="16"/>
              </w:rPr>
              <w:br/>
            </w:r>
            <w:r w:rsidRPr="0082252D">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auto" w:fill="auto"/>
            <w:hideMark/>
          </w:tcPr>
          <w:p w14:paraId="0C1EF999"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2023–24 Forward estimate</w:t>
            </w:r>
            <w:r w:rsidRPr="0082252D">
              <w:rPr>
                <w:rFonts w:ascii="Arial" w:hAnsi="Arial" w:cs="Arial"/>
                <w:b/>
                <w:bCs/>
                <w:color w:val="auto"/>
                <w:sz w:val="16"/>
                <w:szCs w:val="16"/>
              </w:rPr>
              <w:br/>
            </w:r>
            <w:r w:rsidRPr="0082252D">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auto" w:fill="auto"/>
            <w:hideMark/>
          </w:tcPr>
          <w:p w14:paraId="1B5A202D"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2024–25 Forward estimate</w:t>
            </w:r>
            <w:r w:rsidRPr="0082252D">
              <w:rPr>
                <w:rFonts w:ascii="Arial" w:hAnsi="Arial" w:cs="Arial"/>
                <w:b/>
                <w:bCs/>
                <w:color w:val="auto"/>
                <w:sz w:val="16"/>
                <w:szCs w:val="16"/>
              </w:rPr>
              <w:br/>
            </w:r>
            <w:r w:rsidRPr="0082252D">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auto" w:fill="auto"/>
            <w:hideMark/>
          </w:tcPr>
          <w:p w14:paraId="6B911DA9"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2025–26 Forward estimate</w:t>
            </w:r>
            <w:r w:rsidRPr="0082252D">
              <w:rPr>
                <w:rFonts w:ascii="Arial" w:hAnsi="Arial" w:cs="Arial"/>
                <w:b/>
                <w:bCs/>
                <w:color w:val="auto"/>
                <w:sz w:val="16"/>
                <w:szCs w:val="16"/>
              </w:rPr>
              <w:br/>
            </w:r>
            <w:r w:rsidRPr="0082252D">
              <w:rPr>
                <w:rFonts w:ascii="Arial" w:hAnsi="Arial" w:cs="Arial"/>
                <w:color w:val="auto"/>
                <w:sz w:val="16"/>
                <w:szCs w:val="16"/>
              </w:rPr>
              <w:t>$'000</w:t>
            </w:r>
          </w:p>
        </w:tc>
      </w:tr>
      <w:tr w:rsidR="0082252D" w:rsidRPr="0082252D" w14:paraId="4401D62E" w14:textId="77777777" w:rsidTr="0082252D">
        <w:trPr>
          <w:trHeight w:val="225"/>
          <w:jc w:val="center"/>
        </w:trPr>
        <w:tc>
          <w:tcPr>
            <w:tcW w:w="2835" w:type="dxa"/>
            <w:tcBorders>
              <w:top w:val="nil"/>
              <w:left w:val="nil"/>
              <w:bottom w:val="nil"/>
              <w:right w:val="nil"/>
            </w:tcBorders>
            <w:shd w:val="clear" w:color="000000" w:fill="FFFFFF"/>
            <w:noWrap/>
            <w:vAlign w:val="bottom"/>
            <w:hideMark/>
          </w:tcPr>
          <w:p w14:paraId="5FC6AD44"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CAPITAL APPROPRIATIONS</w:t>
            </w:r>
          </w:p>
        </w:tc>
        <w:tc>
          <w:tcPr>
            <w:tcW w:w="964" w:type="dxa"/>
            <w:tcBorders>
              <w:top w:val="single" w:sz="4" w:space="0" w:color="auto"/>
              <w:left w:val="nil"/>
              <w:bottom w:val="nil"/>
              <w:right w:val="nil"/>
            </w:tcBorders>
            <w:shd w:val="clear" w:color="000000" w:fill="FFFFFF"/>
            <w:noWrap/>
            <w:vAlign w:val="bottom"/>
            <w:hideMark/>
          </w:tcPr>
          <w:p w14:paraId="63F1ECC2"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96" w:type="dxa"/>
            <w:tcBorders>
              <w:top w:val="single" w:sz="4" w:space="0" w:color="auto"/>
              <w:left w:val="nil"/>
              <w:bottom w:val="nil"/>
              <w:right w:val="nil"/>
            </w:tcBorders>
            <w:shd w:val="clear" w:color="000000" w:fill="D9D9D9"/>
            <w:noWrap/>
            <w:vAlign w:val="bottom"/>
            <w:hideMark/>
          </w:tcPr>
          <w:p w14:paraId="5314AD43"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 </w:t>
            </w:r>
          </w:p>
        </w:tc>
        <w:tc>
          <w:tcPr>
            <w:tcW w:w="907" w:type="dxa"/>
            <w:tcBorders>
              <w:top w:val="single" w:sz="4" w:space="0" w:color="auto"/>
              <w:left w:val="nil"/>
              <w:bottom w:val="nil"/>
              <w:right w:val="nil"/>
            </w:tcBorders>
            <w:shd w:val="clear" w:color="auto" w:fill="auto"/>
            <w:noWrap/>
            <w:vAlign w:val="bottom"/>
            <w:hideMark/>
          </w:tcPr>
          <w:p w14:paraId="5B47B490"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 </w:t>
            </w:r>
          </w:p>
        </w:tc>
        <w:tc>
          <w:tcPr>
            <w:tcW w:w="896" w:type="dxa"/>
            <w:tcBorders>
              <w:top w:val="single" w:sz="4" w:space="0" w:color="auto"/>
              <w:left w:val="nil"/>
              <w:bottom w:val="nil"/>
              <w:right w:val="nil"/>
            </w:tcBorders>
            <w:shd w:val="clear" w:color="000000" w:fill="FFFFFF"/>
            <w:noWrap/>
            <w:vAlign w:val="bottom"/>
            <w:hideMark/>
          </w:tcPr>
          <w:p w14:paraId="68E6CE41"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96" w:type="dxa"/>
            <w:tcBorders>
              <w:top w:val="single" w:sz="4" w:space="0" w:color="auto"/>
              <w:left w:val="nil"/>
              <w:bottom w:val="nil"/>
              <w:right w:val="nil"/>
            </w:tcBorders>
            <w:shd w:val="clear" w:color="000000" w:fill="FFFFFF"/>
            <w:noWrap/>
            <w:vAlign w:val="bottom"/>
            <w:hideMark/>
          </w:tcPr>
          <w:p w14:paraId="79837A90"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r>
      <w:tr w:rsidR="0082252D" w:rsidRPr="0082252D" w14:paraId="568324EF" w14:textId="77777777" w:rsidTr="0082252D">
        <w:trPr>
          <w:trHeight w:val="225"/>
          <w:jc w:val="center"/>
        </w:trPr>
        <w:tc>
          <w:tcPr>
            <w:tcW w:w="2835" w:type="dxa"/>
            <w:tcBorders>
              <w:top w:val="nil"/>
              <w:left w:val="nil"/>
              <w:bottom w:val="nil"/>
              <w:right w:val="nil"/>
            </w:tcBorders>
            <w:shd w:val="clear" w:color="000000" w:fill="FFFFFF"/>
            <w:noWrap/>
            <w:vAlign w:val="bottom"/>
            <w:hideMark/>
          </w:tcPr>
          <w:p w14:paraId="158283E5"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Capital budget - Bill 1 (DCB)</w:t>
            </w:r>
          </w:p>
        </w:tc>
        <w:tc>
          <w:tcPr>
            <w:tcW w:w="964" w:type="dxa"/>
            <w:tcBorders>
              <w:top w:val="nil"/>
              <w:left w:val="nil"/>
              <w:bottom w:val="nil"/>
              <w:right w:val="nil"/>
            </w:tcBorders>
            <w:shd w:val="clear" w:color="auto" w:fill="auto"/>
            <w:noWrap/>
            <w:vAlign w:val="bottom"/>
            <w:hideMark/>
          </w:tcPr>
          <w:p w14:paraId="4B0AB23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645</w:t>
            </w:r>
          </w:p>
        </w:tc>
        <w:tc>
          <w:tcPr>
            <w:tcW w:w="896" w:type="dxa"/>
            <w:tcBorders>
              <w:top w:val="nil"/>
              <w:left w:val="nil"/>
              <w:bottom w:val="nil"/>
              <w:right w:val="nil"/>
            </w:tcBorders>
            <w:shd w:val="clear" w:color="000000" w:fill="D9D9D9"/>
            <w:noWrap/>
            <w:vAlign w:val="bottom"/>
            <w:hideMark/>
          </w:tcPr>
          <w:p w14:paraId="7463F9DD"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651</w:t>
            </w:r>
          </w:p>
        </w:tc>
        <w:tc>
          <w:tcPr>
            <w:tcW w:w="907" w:type="dxa"/>
            <w:tcBorders>
              <w:top w:val="nil"/>
              <w:left w:val="nil"/>
              <w:bottom w:val="nil"/>
              <w:right w:val="nil"/>
            </w:tcBorders>
            <w:shd w:val="clear" w:color="auto" w:fill="auto"/>
            <w:noWrap/>
            <w:vAlign w:val="bottom"/>
            <w:hideMark/>
          </w:tcPr>
          <w:p w14:paraId="3A75863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672</w:t>
            </w:r>
          </w:p>
        </w:tc>
        <w:tc>
          <w:tcPr>
            <w:tcW w:w="896" w:type="dxa"/>
            <w:tcBorders>
              <w:top w:val="nil"/>
              <w:left w:val="nil"/>
              <w:bottom w:val="nil"/>
              <w:right w:val="nil"/>
            </w:tcBorders>
            <w:shd w:val="clear" w:color="auto" w:fill="auto"/>
            <w:noWrap/>
            <w:vAlign w:val="bottom"/>
            <w:hideMark/>
          </w:tcPr>
          <w:p w14:paraId="49AB2B1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681</w:t>
            </w:r>
          </w:p>
        </w:tc>
        <w:tc>
          <w:tcPr>
            <w:tcW w:w="896" w:type="dxa"/>
            <w:tcBorders>
              <w:top w:val="nil"/>
              <w:left w:val="nil"/>
              <w:bottom w:val="nil"/>
              <w:right w:val="nil"/>
            </w:tcBorders>
            <w:shd w:val="clear" w:color="auto" w:fill="auto"/>
            <w:noWrap/>
            <w:vAlign w:val="bottom"/>
            <w:hideMark/>
          </w:tcPr>
          <w:p w14:paraId="46A22C1D"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681</w:t>
            </w:r>
          </w:p>
        </w:tc>
      </w:tr>
      <w:tr w:rsidR="0082252D" w:rsidRPr="0082252D" w14:paraId="0587A5E8" w14:textId="77777777" w:rsidTr="0082252D">
        <w:trPr>
          <w:trHeight w:val="225"/>
          <w:jc w:val="center"/>
        </w:trPr>
        <w:tc>
          <w:tcPr>
            <w:tcW w:w="2835" w:type="dxa"/>
            <w:tcBorders>
              <w:top w:val="nil"/>
              <w:left w:val="nil"/>
              <w:bottom w:val="nil"/>
              <w:right w:val="nil"/>
            </w:tcBorders>
            <w:shd w:val="clear" w:color="000000" w:fill="FFFFFF"/>
            <w:noWrap/>
            <w:vAlign w:val="bottom"/>
            <w:hideMark/>
          </w:tcPr>
          <w:p w14:paraId="002CBAD9"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Equity injections - Bill 2</w:t>
            </w:r>
          </w:p>
        </w:tc>
        <w:tc>
          <w:tcPr>
            <w:tcW w:w="964" w:type="dxa"/>
            <w:tcBorders>
              <w:top w:val="nil"/>
              <w:left w:val="nil"/>
              <w:bottom w:val="nil"/>
              <w:right w:val="nil"/>
            </w:tcBorders>
            <w:shd w:val="clear" w:color="auto" w:fill="auto"/>
            <w:noWrap/>
            <w:vAlign w:val="bottom"/>
            <w:hideMark/>
          </w:tcPr>
          <w:p w14:paraId="4F08B80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96" w:type="dxa"/>
            <w:tcBorders>
              <w:top w:val="nil"/>
              <w:left w:val="nil"/>
              <w:bottom w:val="nil"/>
              <w:right w:val="nil"/>
            </w:tcBorders>
            <w:shd w:val="clear" w:color="000000" w:fill="D9D9D9"/>
            <w:noWrap/>
            <w:vAlign w:val="bottom"/>
            <w:hideMark/>
          </w:tcPr>
          <w:p w14:paraId="1C88A9EE"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41EBD8F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96" w:type="dxa"/>
            <w:tcBorders>
              <w:top w:val="nil"/>
              <w:left w:val="nil"/>
              <w:bottom w:val="nil"/>
              <w:right w:val="nil"/>
            </w:tcBorders>
            <w:shd w:val="clear" w:color="auto" w:fill="auto"/>
            <w:noWrap/>
            <w:vAlign w:val="bottom"/>
            <w:hideMark/>
          </w:tcPr>
          <w:p w14:paraId="0FEF5CD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96" w:type="dxa"/>
            <w:tcBorders>
              <w:top w:val="nil"/>
              <w:left w:val="nil"/>
              <w:bottom w:val="nil"/>
              <w:right w:val="nil"/>
            </w:tcBorders>
            <w:shd w:val="clear" w:color="auto" w:fill="auto"/>
            <w:noWrap/>
            <w:vAlign w:val="bottom"/>
            <w:hideMark/>
          </w:tcPr>
          <w:p w14:paraId="6CC9672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r>
      <w:tr w:rsidR="0082252D" w:rsidRPr="0082252D" w14:paraId="7A01C763" w14:textId="77777777" w:rsidTr="0082252D">
        <w:trPr>
          <w:trHeight w:val="225"/>
          <w:jc w:val="center"/>
        </w:trPr>
        <w:tc>
          <w:tcPr>
            <w:tcW w:w="2835" w:type="dxa"/>
            <w:tcBorders>
              <w:top w:val="nil"/>
              <w:left w:val="nil"/>
              <w:bottom w:val="nil"/>
              <w:right w:val="nil"/>
            </w:tcBorders>
            <w:shd w:val="clear" w:color="000000" w:fill="FFFFFF"/>
            <w:noWrap/>
            <w:vAlign w:val="bottom"/>
            <w:hideMark/>
          </w:tcPr>
          <w:p w14:paraId="3FF45B45"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Total capital appropriations</w:t>
            </w:r>
          </w:p>
        </w:tc>
        <w:tc>
          <w:tcPr>
            <w:tcW w:w="964" w:type="dxa"/>
            <w:tcBorders>
              <w:top w:val="nil"/>
              <w:left w:val="nil"/>
              <w:bottom w:val="single" w:sz="4" w:space="0" w:color="auto"/>
              <w:right w:val="nil"/>
            </w:tcBorders>
            <w:shd w:val="clear" w:color="auto" w:fill="auto"/>
            <w:noWrap/>
            <w:vAlign w:val="bottom"/>
            <w:hideMark/>
          </w:tcPr>
          <w:p w14:paraId="1C5E436E"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645</w:t>
            </w:r>
          </w:p>
        </w:tc>
        <w:tc>
          <w:tcPr>
            <w:tcW w:w="896" w:type="dxa"/>
            <w:tcBorders>
              <w:top w:val="nil"/>
              <w:left w:val="nil"/>
              <w:bottom w:val="single" w:sz="4" w:space="0" w:color="auto"/>
              <w:right w:val="nil"/>
            </w:tcBorders>
            <w:shd w:val="clear" w:color="000000" w:fill="D9D9D9"/>
            <w:noWrap/>
            <w:vAlign w:val="bottom"/>
            <w:hideMark/>
          </w:tcPr>
          <w:p w14:paraId="674D92DF"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651</w:t>
            </w:r>
          </w:p>
        </w:tc>
        <w:tc>
          <w:tcPr>
            <w:tcW w:w="907" w:type="dxa"/>
            <w:tcBorders>
              <w:top w:val="nil"/>
              <w:left w:val="nil"/>
              <w:bottom w:val="single" w:sz="4" w:space="0" w:color="auto"/>
              <w:right w:val="nil"/>
            </w:tcBorders>
            <w:shd w:val="clear" w:color="auto" w:fill="auto"/>
            <w:noWrap/>
            <w:vAlign w:val="bottom"/>
            <w:hideMark/>
          </w:tcPr>
          <w:p w14:paraId="260872E5"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672</w:t>
            </w:r>
          </w:p>
        </w:tc>
        <w:tc>
          <w:tcPr>
            <w:tcW w:w="896" w:type="dxa"/>
            <w:tcBorders>
              <w:top w:val="nil"/>
              <w:left w:val="nil"/>
              <w:bottom w:val="single" w:sz="4" w:space="0" w:color="auto"/>
              <w:right w:val="nil"/>
            </w:tcBorders>
            <w:shd w:val="clear" w:color="auto" w:fill="auto"/>
            <w:noWrap/>
            <w:vAlign w:val="bottom"/>
            <w:hideMark/>
          </w:tcPr>
          <w:p w14:paraId="2D2C74AA"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681</w:t>
            </w:r>
          </w:p>
        </w:tc>
        <w:tc>
          <w:tcPr>
            <w:tcW w:w="896" w:type="dxa"/>
            <w:tcBorders>
              <w:top w:val="nil"/>
              <w:left w:val="nil"/>
              <w:bottom w:val="single" w:sz="4" w:space="0" w:color="auto"/>
              <w:right w:val="nil"/>
            </w:tcBorders>
            <w:shd w:val="clear" w:color="auto" w:fill="auto"/>
            <w:noWrap/>
            <w:vAlign w:val="bottom"/>
            <w:hideMark/>
          </w:tcPr>
          <w:p w14:paraId="1D845D73"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681</w:t>
            </w:r>
          </w:p>
        </w:tc>
      </w:tr>
      <w:tr w:rsidR="0082252D" w:rsidRPr="0082252D" w14:paraId="27CECC48" w14:textId="77777777" w:rsidTr="0082252D">
        <w:trPr>
          <w:trHeight w:val="454"/>
          <w:jc w:val="center"/>
        </w:trPr>
        <w:tc>
          <w:tcPr>
            <w:tcW w:w="2835" w:type="dxa"/>
            <w:tcBorders>
              <w:top w:val="nil"/>
              <w:left w:val="nil"/>
              <w:bottom w:val="nil"/>
              <w:right w:val="nil"/>
            </w:tcBorders>
            <w:shd w:val="clear" w:color="000000" w:fill="FFFFFF"/>
            <w:vAlign w:val="bottom"/>
            <w:hideMark/>
          </w:tcPr>
          <w:p w14:paraId="314B0D2A"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Total new capital appropriations represented by:</w:t>
            </w:r>
          </w:p>
        </w:tc>
        <w:tc>
          <w:tcPr>
            <w:tcW w:w="964" w:type="dxa"/>
            <w:tcBorders>
              <w:top w:val="nil"/>
              <w:left w:val="nil"/>
              <w:bottom w:val="nil"/>
              <w:right w:val="nil"/>
            </w:tcBorders>
            <w:shd w:val="clear" w:color="000000" w:fill="FFFFFF"/>
            <w:noWrap/>
            <w:vAlign w:val="bottom"/>
            <w:hideMark/>
          </w:tcPr>
          <w:p w14:paraId="2744C2D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96" w:type="dxa"/>
            <w:tcBorders>
              <w:top w:val="nil"/>
              <w:left w:val="nil"/>
              <w:bottom w:val="nil"/>
              <w:right w:val="nil"/>
            </w:tcBorders>
            <w:shd w:val="clear" w:color="000000" w:fill="D9D9D9"/>
            <w:noWrap/>
            <w:vAlign w:val="bottom"/>
            <w:hideMark/>
          </w:tcPr>
          <w:p w14:paraId="13F2E5D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6867D34D" w14:textId="77777777" w:rsidR="0082252D" w:rsidRPr="0082252D" w:rsidRDefault="0082252D" w:rsidP="0082252D">
            <w:pPr>
              <w:spacing w:after="0"/>
              <w:jc w:val="right"/>
              <w:rPr>
                <w:rFonts w:ascii="Arial" w:hAnsi="Arial" w:cs="Arial"/>
                <w:sz w:val="16"/>
                <w:szCs w:val="16"/>
              </w:rPr>
            </w:pPr>
          </w:p>
        </w:tc>
        <w:tc>
          <w:tcPr>
            <w:tcW w:w="896" w:type="dxa"/>
            <w:tcBorders>
              <w:top w:val="nil"/>
              <w:left w:val="nil"/>
              <w:bottom w:val="nil"/>
              <w:right w:val="nil"/>
            </w:tcBorders>
            <w:shd w:val="clear" w:color="000000" w:fill="FFFFFF"/>
            <w:noWrap/>
            <w:vAlign w:val="bottom"/>
            <w:hideMark/>
          </w:tcPr>
          <w:p w14:paraId="7222104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14:paraId="1FD775CC"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r>
      <w:tr w:rsidR="0082252D" w:rsidRPr="0082252D" w14:paraId="06DBD79D" w14:textId="77777777" w:rsidTr="0082252D">
        <w:trPr>
          <w:trHeight w:val="225"/>
          <w:jc w:val="center"/>
        </w:trPr>
        <w:tc>
          <w:tcPr>
            <w:tcW w:w="2835" w:type="dxa"/>
            <w:tcBorders>
              <w:top w:val="nil"/>
              <w:left w:val="nil"/>
              <w:bottom w:val="nil"/>
              <w:right w:val="nil"/>
            </w:tcBorders>
            <w:shd w:val="clear" w:color="000000" w:fill="FFFFFF"/>
            <w:noWrap/>
            <w:vAlign w:val="bottom"/>
            <w:hideMark/>
          </w:tcPr>
          <w:p w14:paraId="437FB056"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Purchase of non-financial assets</w:t>
            </w:r>
          </w:p>
        </w:tc>
        <w:tc>
          <w:tcPr>
            <w:tcW w:w="964" w:type="dxa"/>
            <w:tcBorders>
              <w:top w:val="nil"/>
              <w:left w:val="nil"/>
              <w:bottom w:val="nil"/>
              <w:right w:val="nil"/>
            </w:tcBorders>
            <w:shd w:val="clear" w:color="auto" w:fill="auto"/>
            <w:noWrap/>
            <w:vAlign w:val="bottom"/>
            <w:hideMark/>
          </w:tcPr>
          <w:p w14:paraId="149CA65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645</w:t>
            </w:r>
          </w:p>
        </w:tc>
        <w:tc>
          <w:tcPr>
            <w:tcW w:w="896" w:type="dxa"/>
            <w:tcBorders>
              <w:top w:val="nil"/>
              <w:left w:val="nil"/>
              <w:bottom w:val="nil"/>
              <w:right w:val="nil"/>
            </w:tcBorders>
            <w:shd w:val="clear" w:color="000000" w:fill="D9D9D9"/>
            <w:noWrap/>
            <w:vAlign w:val="bottom"/>
            <w:hideMark/>
          </w:tcPr>
          <w:p w14:paraId="58A61BF0"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651</w:t>
            </w:r>
          </w:p>
        </w:tc>
        <w:tc>
          <w:tcPr>
            <w:tcW w:w="907" w:type="dxa"/>
            <w:tcBorders>
              <w:top w:val="nil"/>
              <w:left w:val="nil"/>
              <w:bottom w:val="nil"/>
              <w:right w:val="nil"/>
            </w:tcBorders>
            <w:shd w:val="clear" w:color="auto" w:fill="auto"/>
            <w:noWrap/>
            <w:vAlign w:val="bottom"/>
            <w:hideMark/>
          </w:tcPr>
          <w:p w14:paraId="778AB93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672</w:t>
            </w:r>
          </w:p>
        </w:tc>
        <w:tc>
          <w:tcPr>
            <w:tcW w:w="896" w:type="dxa"/>
            <w:tcBorders>
              <w:top w:val="nil"/>
              <w:left w:val="nil"/>
              <w:bottom w:val="nil"/>
              <w:right w:val="nil"/>
            </w:tcBorders>
            <w:shd w:val="clear" w:color="auto" w:fill="auto"/>
            <w:noWrap/>
            <w:vAlign w:val="bottom"/>
            <w:hideMark/>
          </w:tcPr>
          <w:p w14:paraId="1FEFD2C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681</w:t>
            </w:r>
          </w:p>
        </w:tc>
        <w:tc>
          <w:tcPr>
            <w:tcW w:w="896" w:type="dxa"/>
            <w:tcBorders>
              <w:top w:val="nil"/>
              <w:left w:val="nil"/>
              <w:bottom w:val="nil"/>
              <w:right w:val="nil"/>
            </w:tcBorders>
            <w:shd w:val="clear" w:color="auto" w:fill="auto"/>
            <w:noWrap/>
            <w:vAlign w:val="bottom"/>
            <w:hideMark/>
          </w:tcPr>
          <w:p w14:paraId="4E7558C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681</w:t>
            </w:r>
          </w:p>
        </w:tc>
      </w:tr>
      <w:tr w:rsidR="0082252D" w:rsidRPr="0082252D" w14:paraId="26F880A5" w14:textId="77777777" w:rsidTr="0082252D">
        <w:trPr>
          <w:trHeight w:val="225"/>
          <w:jc w:val="center"/>
        </w:trPr>
        <w:tc>
          <w:tcPr>
            <w:tcW w:w="2835" w:type="dxa"/>
            <w:tcBorders>
              <w:top w:val="nil"/>
              <w:left w:val="nil"/>
              <w:bottom w:val="nil"/>
              <w:right w:val="nil"/>
            </w:tcBorders>
            <w:shd w:val="clear" w:color="000000" w:fill="FFFFFF"/>
            <w:noWrap/>
            <w:vAlign w:val="bottom"/>
            <w:hideMark/>
          </w:tcPr>
          <w:p w14:paraId="3AEB452D"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Total items</w:t>
            </w:r>
          </w:p>
        </w:tc>
        <w:tc>
          <w:tcPr>
            <w:tcW w:w="964" w:type="dxa"/>
            <w:tcBorders>
              <w:top w:val="nil"/>
              <w:left w:val="nil"/>
              <w:bottom w:val="single" w:sz="4" w:space="0" w:color="auto"/>
              <w:right w:val="nil"/>
            </w:tcBorders>
            <w:shd w:val="clear" w:color="auto" w:fill="auto"/>
            <w:noWrap/>
            <w:vAlign w:val="bottom"/>
            <w:hideMark/>
          </w:tcPr>
          <w:p w14:paraId="6EC9B074"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645</w:t>
            </w:r>
          </w:p>
        </w:tc>
        <w:tc>
          <w:tcPr>
            <w:tcW w:w="896" w:type="dxa"/>
            <w:tcBorders>
              <w:top w:val="nil"/>
              <w:left w:val="nil"/>
              <w:bottom w:val="single" w:sz="4" w:space="0" w:color="auto"/>
              <w:right w:val="nil"/>
            </w:tcBorders>
            <w:shd w:val="clear" w:color="000000" w:fill="D9D9D9"/>
            <w:noWrap/>
            <w:vAlign w:val="bottom"/>
            <w:hideMark/>
          </w:tcPr>
          <w:p w14:paraId="4A833B90"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651</w:t>
            </w:r>
          </w:p>
        </w:tc>
        <w:tc>
          <w:tcPr>
            <w:tcW w:w="907" w:type="dxa"/>
            <w:tcBorders>
              <w:top w:val="nil"/>
              <w:left w:val="nil"/>
              <w:bottom w:val="single" w:sz="4" w:space="0" w:color="auto"/>
              <w:right w:val="nil"/>
            </w:tcBorders>
            <w:shd w:val="clear" w:color="auto" w:fill="auto"/>
            <w:noWrap/>
            <w:vAlign w:val="bottom"/>
            <w:hideMark/>
          </w:tcPr>
          <w:p w14:paraId="2790F308"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672</w:t>
            </w:r>
          </w:p>
        </w:tc>
        <w:tc>
          <w:tcPr>
            <w:tcW w:w="896" w:type="dxa"/>
            <w:tcBorders>
              <w:top w:val="nil"/>
              <w:left w:val="nil"/>
              <w:bottom w:val="single" w:sz="4" w:space="0" w:color="auto"/>
              <w:right w:val="nil"/>
            </w:tcBorders>
            <w:shd w:val="clear" w:color="auto" w:fill="auto"/>
            <w:noWrap/>
            <w:vAlign w:val="bottom"/>
            <w:hideMark/>
          </w:tcPr>
          <w:p w14:paraId="7EC84D13"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681</w:t>
            </w:r>
          </w:p>
        </w:tc>
        <w:tc>
          <w:tcPr>
            <w:tcW w:w="896" w:type="dxa"/>
            <w:tcBorders>
              <w:top w:val="nil"/>
              <w:left w:val="nil"/>
              <w:bottom w:val="single" w:sz="4" w:space="0" w:color="auto"/>
              <w:right w:val="nil"/>
            </w:tcBorders>
            <w:shd w:val="clear" w:color="auto" w:fill="auto"/>
            <w:noWrap/>
            <w:vAlign w:val="bottom"/>
            <w:hideMark/>
          </w:tcPr>
          <w:p w14:paraId="6541C391"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681</w:t>
            </w:r>
          </w:p>
        </w:tc>
      </w:tr>
      <w:tr w:rsidR="0082252D" w:rsidRPr="0082252D" w14:paraId="4AC3378C" w14:textId="77777777" w:rsidTr="0082252D">
        <w:trPr>
          <w:trHeight w:val="454"/>
          <w:jc w:val="center"/>
        </w:trPr>
        <w:tc>
          <w:tcPr>
            <w:tcW w:w="2835" w:type="dxa"/>
            <w:tcBorders>
              <w:top w:val="nil"/>
              <w:left w:val="nil"/>
              <w:bottom w:val="nil"/>
              <w:right w:val="nil"/>
            </w:tcBorders>
            <w:shd w:val="clear" w:color="000000" w:fill="FFFFFF"/>
            <w:vAlign w:val="bottom"/>
            <w:hideMark/>
          </w:tcPr>
          <w:p w14:paraId="266C1428"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PURCHASE OF NON-FINANCIAL ASSETS</w:t>
            </w:r>
          </w:p>
        </w:tc>
        <w:tc>
          <w:tcPr>
            <w:tcW w:w="964" w:type="dxa"/>
            <w:tcBorders>
              <w:top w:val="nil"/>
              <w:left w:val="nil"/>
              <w:bottom w:val="nil"/>
              <w:right w:val="nil"/>
            </w:tcBorders>
            <w:shd w:val="clear" w:color="000000" w:fill="FFFFFF"/>
            <w:noWrap/>
            <w:vAlign w:val="bottom"/>
            <w:hideMark/>
          </w:tcPr>
          <w:p w14:paraId="1B4E10A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96" w:type="dxa"/>
            <w:tcBorders>
              <w:top w:val="nil"/>
              <w:left w:val="nil"/>
              <w:bottom w:val="nil"/>
              <w:right w:val="nil"/>
            </w:tcBorders>
            <w:shd w:val="clear" w:color="000000" w:fill="D9D9D9"/>
            <w:noWrap/>
            <w:vAlign w:val="bottom"/>
            <w:hideMark/>
          </w:tcPr>
          <w:p w14:paraId="1CE2CE5C"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 </w:t>
            </w:r>
          </w:p>
        </w:tc>
        <w:tc>
          <w:tcPr>
            <w:tcW w:w="907" w:type="dxa"/>
            <w:tcBorders>
              <w:top w:val="nil"/>
              <w:left w:val="nil"/>
              <w:bottom w:val="nil"/>
              <w:right w:val="nil"/>
            </w:tcBorders>
            <w:shd w:val="clear" w:color="auto" w:fill="auto"/>
            <w:noWrap/>
            <w:vAlign w:val="bottom"/>
            <w:hideMark/>
          </w:tcPr>
          <w:p w14:paraId="44136F85" w14:textId="77777777" w:rsidR="0082252D" w:rsidRPr="0082252D" w:rsidRDefault="0082252D" w:rsidP="0082252D">
            <w:pPr>
              <w:spacing w:after="0"/>
              <w:jc w:val="right"/>
              <w:rPr>
                <w:rFonts w:ascii="Arial" w:hAnsi="Arial" w:cs="Arial"/>
                <w:b/>
                <w:bCs/>
                <w:sz w:val="16"/>
                <w:szCs w:val="16"/>
              </w:rPr>
            </w:pPr>
          </w:p>
        </w:tc>
        <w:tc>
          <w:tcPr>
            <w:tcW w:w="896" w:type="dxa"/>
            <w:tcBorders>
              <w:top w:val="nil"/>
              <w:left w:val="nil"/>
              <w:bottom w:val="nil"/>
              <w:right w:val="nil"/>
            </w:tcBorders>
            <w:shd w:val="clear" w:color="auto" w:fill="auto"/>
            <w:noWrap/>
            <w:vAlign w:val="bottom"/>
            <w:hideMark/>
          </w:tcPr>
          <w:p w14:paraId="38AA21D3" w14:textId="77777777" w:rsidR="0082252D" w:rsidRPr="0082252D" w:rsidRDefault="0082252D" w:rsidP="0082252D">
            <w:pPr>
              <w:spacing w:after="0"/>
              <w:jc w:val="right"/>
              <w:rPr>
                <w:rFonts w:ascii="Times New Roman" w:hAnsi="Times New Roman"/>
                <w:color w:val="auto"/>
                <w:sz w:val="20"/>
              </w:rPr>
            </w:pPr>
          </w:p>
        </w:tc>
        <w:tc>
          <w:tcPr>
            <w:tcW w:w="896" w:type="dxa"/>
            <w:tcBorders>
              <w:top w:val="nil"/>
              <w:left w:val="nil"/>
              <w:bottom w:val="nil"/>
              <w:right w:val="nil"/>
            </w:tcBorders>
            <w:shd w:val="clear" w:color="000000" w:fill="FFFFFF"/>
            <w:noWrap/>
            <w:vAlign w:val="bottom"/>
            <w:hideMark/>
          </w:tcPr>
          <w:p w14:paraId="71E073B1"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r>
      <w:tr w:rsidR="0082252D" w:rsidRPr="0082252D" w14:paraId="3798EDD4" w14:textId="77777777" w:rsidTr="0082252D">
        <w:trPr>
          <w:trHeight w:val="456"/>
          <w:jc w:val="center"/>
        </w:trPr>
        <w:tc>
          <w:tcPr>
            <w:tcW w:w="2835" w:type="dxa"/>
            <w:tcBorders>
              <w:top w:val="nil"/>
              <w:left w:val="nil"/>
              <w:bottom w:val="nil"/>
              <w:right w:val="nil"/>
            </w:tcBorders>
            <w:shd w:val="clear" w:color="000000" w:fill="FFFFFF"/>
            <w:vAlign w:val="bottom"/>
            <w:hideMark/>
          </w:tcPr>
          <w:p w14:paraId="3E36E594"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Funded by capital appropriation</w:t>
            </w:r>
            <w:r w:rsidRPr="0082252D">
              <w:rPr>
                <w:rFonts w:ascii="Arial" w:hAnsi="Arial" w:cs="Arial"/>
                <w:color w:val="auto"/>
                <w:sz w:val="16"/>
                <w:szCs w:val="16"/>
              </w:rPr>
              <w:br/>
              <w:t xml:space="preserve"> - DCB</w:t>
            </w:r>
            <w:r w:rsidRPr="0082252D">
              <w:rPr>
                <w:rFonts w:ascii="Arial" w:hAnsi="Arial" w:cs="Arial"/>
                <w:color w:val="auto"/>
                <w:sz w:val="16"/>
                <w:szCs w:val="16"/>
                <w:vertAlign w:val="superscript"/>
              </w:rPr>
              <w:t xml:space="preserve"> (a)</w:t>
            </w:r>
          </w:p>
        </w:tc>
        <w:tc>
          <w:tcPr>
            <w:tcW w:w="964" w:type="dxa"/>
            <w:tcBorders>
              <w:top w:val="nil"/>
              <w:left w:val="nil"/>
              <w:bottom w:val="nil"/>
              <w:right w:val="nil"/>
            </w:tcBorders>
            <w:shd w:val="clear" w:color="auto" w:fill="auto"/>
            <w:noWrap/>
            <w:vAlign w:val="bottom"/>
            <w:hideMark/>
          </w:tcPr>
          <w:p w14:paraId="5B1231E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645</w:t>
            </w:r>
          </w:p>
        </w:tc>
        <w:tc>
          <w:tcPr>
            <w:tcW w:w="896" w:type="dxa"/>
            <w:tcBorders>
              <w:top w:val="nil"/>
              <w:left w:val="nil"/>
              <w:bottom w:val="nil"/>
              <w:right w:val="nil"/>
            </w:tcBorders>
            <w:shd w:val="clear" w:color="000000" w:fill="D9D9D9"/>
            <w:noWrap/>
            <w:vAlign w:val="bottom"/>
            <w:hideMark/>
          </w:tcPr>
          <w:p w14:paraId="64128F7D"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652</w:t>
            </w:r>
          </w:p>
        </w:tc>
        <w:tc>
          <w:tcPr>
            <w:tcW w:w="907" w:type="dxa"/>
            <w:tcBorders>
              <w:top w:val="nil"/>
              <w:left w:val="nil"/>
              <w:bottom w:val="nil"/>
              <w:right w:val="nil"/>
            </w:tcBorders>
            <w:shd w:val="clear" w:color="auto" w:fill="auto"/>
            <w:noWrap/>
            <w:vAlign w:val="bottom"/>
            <w:hideMark/>
          </w:tcPr>
          <w:p w14:paraId="37179D4E"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672</w:t>
            </w:r>
          </w:p>
        </w:tc>
        <w:tc>
          <w:tcPr>
            <w:tcW w:w="896" w:type="dxa"/>
            <w:tcBorders>
              <w:top w:val="nil"/>
              <w:left w:val="nil"/>
              <w:bottom w:val="nil"/>
              <w:right w:val="nil"/>
            </w:tcBorders>
            <w:shd w:val="clear" w:color="auto" w:fill="auto"/>
            <w:noWrap/>
            <w:vAlign w:val="bottom"/>
            <w:hideMark/>
          </w:tcPr>
          <w:p w14:paraId="1FFA8C9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681</w:t>
            </w:r>
          </w:p>
        </w:tc>
        <w:tc>
          <w:tcPr>
            <w:tcW w:w="896" w:type="dxa"/>
            <w:tcBorders>
              <w:top w:val="nil"/>
              <w:left w:val="nil"/>
              <w:bottom w:val="nil"/>
              <w:right w:val="nil"/>
            </w:tcBorders>
            <w:shd w:val="clear" w:color="auto" w:fill="auto"/>
            <w:noWrap/>
            <w:vAlign w:val="bottom"/>
            <w:hideMark/>
          </w:tcPr>
          <w:p w14:paraId="69F0026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681</w:t>
            </w:r>
          </w:p>
        </w:tc>
      </w:tr>
      <w:tr w:rsidR="0082252D" w:rsidRPr="0082252D" w14:paraId="74E3DF09" w14:textId="77777777" w:rsidTr="0082252D">
        <w:trPr>
          <w:trHeight w:val="454"/>
          <w:jc w:val="center"/>
        </w:trPr>
        <w:tc>
          <w:tcPr>
            <w:tcW w:w="2835" w:type="dxa"/>
            <w:tcBorders>
              <w:top w:val="nil"/>
              <w:left w:val="nil"/>
              <w:bottom w:val="nil"/>
              <w:right w:val="nil"/>
            </w:tcBorders>
            <w:shd w:val="clear" w:color="000000" w:fill="FFFFFF"/>
            <w:vAlign w:val="bottom"/>
            <w:hideMark/>
          </w:tcPr>
          <w:p w14:paraId="00E8B1A4"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Funded internally from departmental resources</w:t>
            </w:r>
          </w:p>
        </w:tc>
        <w:tc>
          <w:tcPr>
            <w:tcW w:w="964" w:type="dxa"/>
            <w:tcBorders>
              <w:top w:val="nil"/>
              <w:left w:val="nil"/>
              <w:bottom w:val="nil"/>
              <w:right w:val="nil"/>
            </w:tcBorders>
            <w:shd w:val="clear" w:color="auto" w:fill="auto"/>
            <w:noWrap/>
            <w:vAlign w:val="bottom"/>
            <w:hideMark/>
          </w:tcPr>
          <w:p w14:paraId="79F388F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96" w:type="dxa"/>
            <w:tcBorders>
              <w:top w:val="nil"/>
              <w:left w:val="nil"/>
              <w:bottom w:val="nil"/>
              <w:right w:val="nil"/>
            </w:tcBorders>
            <w:shd w:val="clear" w:color="000000" w:fill="D9D9D9"/>
            <w:noWrap/>
            <w:vAlign w:val="bottom"/>
            <w:hideMark/>
          </w:tcPr>
          <w:p w14:paraId="0EDA41E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661EF59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96" w:type="dxa"/>
            <w:tcBorders>
              <w:top w:val="nil"/>
              <w:left w:val="nil"/>
              <w:bottom w:val="nil"/>
              <w:right w:val="nil"/>
            </w:tcBorders>
            <w:shd w:val="clear" w:color="auto" w:fill="auto"/>
            <w:noWrap/>
            <w:vAlign w:val="bottom"/>
            <w:hideMark/>
          </w:tcPr>
          <w:p w14:paraId="4CC05DF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96" w:type="dxa"/>
            <w:tcBorders>
              <w:top w:val="nil"/>
              <w:left w:val="nil"/>
              <w:bottom w:val="nil"/>
              <w:right w:val="nil"/>
            </w:tcBorders>
            <w:shd w:val="clear" w:color="auto" w:fill="auto"/>
            <w:noWrap/>
            <w:vAlign w:val="bottom"/>
            <w:hideMark/>
          </w:tcPr>
          <w:p w14:paraId="0AE100A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r>
      <w:tr w:rsidR="0082252D" w:rsidRPr="0082252D" w14:paraId="5CD5352A" w14:textId="77777777" w:rsidTr="0082252D">
        <w:trPr>
          <w:trHeight w:val="432"/>
          <w:jc w:val="center"/>
        </w:trPr>
        <w:tc>
          <w:tcPr>
            <w:tcW w:w="2835" w:type="dxa"/>
            <w:tcBorders>
              <w:top w:val="nil"/>
              <w:left w:val="nil"/>
              <w:bottom w:val="nil"/>
              <w:right w:val="nil"/>
            </w:tcBorders>
            <w:shd w:val="clear" w:color="000000" w:fill="FFFFFF"/>
            <w:vAlign w:val="bottom"/>
            <w:hideMark/>
          </w:tcPr>
          <w:p w14:paraId="64F05594"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Total acquisitions of</w:t>
            </w:r>
            <w:r w:rsidRPr="0082252D">
              <w:rPr>
                <w:rFonts w:ascii="Arial" w:hAnsi="Arial" w:cs="Arial"/>
                <w:b/>
                <w:bCs/>
                <w:color w:val="auto"/>
                <w:sz w:val="16"/>
                <w:szCs w:val="16"/>
              </w:rPr>
              <w:br/>
              <w:t xml:space="preserve"> non-financial assets</w:t>
            </w:r>
          </w:p>
        </w:tc>
        <w:tc>
          <w:tcPr>
            <w:tcW w:w="964" w:type="dxa"/>
            <w:tcBorders>
              <w:top w:val="nil"/>
              <w:left w:val="nil"/>
              <w:bottom w:val="single" w:sz="4" w:space="0" w:color="auto"/>
              <w:right w:val="nil"/>
            </w:tcBorders>
            <w:shd w:val="clear" w:color="auto" w:fill="auto"/>
            <w:noWrap/>
            <w:vAlign w:val="bottom"/>
            <w:hideMark/>
          </w:tcPr>
          <w:p w14:paraId="730FEB99"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645</w:t>
            </w:r>
          </w:p>
        </w:tc>
        <w:tc>
          <w:tcPr>
            <w:tcW w:w="896" w:type="dxa"/>
            <w:tcBorders>
              <w:top w:val="nil"/>
              <w:left w:val="nil"/>
              <w:bottom w:val="single" w:sz="4" w:space="0" w:color="auto"/>
              <w:right w:val="nil"/>
            </w:tcBorders>
            <w:shd w:val="clear" w:color="000000" w:fill="D9D9D9"/>
            <w:noWrap/>
            <w:vAlign w:val="bottom"/>
            <w:hideMark/>
          </w:tcPr>
          <w:p w14:paraId="44CE4ECF"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652</w:t>
            </w:r>
          </w:p>
        </w:tc>
        <w:tc>
          <w:tcPr>
            <w:tcW w:w="907" w:type="dxa"/>
            <w:tcBorders>
              <w:top w:val="nil"/>
              <w:left w:val="nil"/>
              <w:bottom w:val="single" w:sz="4" w:space="0" w:color="auto"/>
              <w:right w:val="nil"/>
            </w:tcBorders>
            <w:shd w:val="clear" w:color="auto" w:fill="auto"/>
            <w:noWrap/>
            <w:vAlign w:val="bottom"/>
            <w:hideMark/>
          </w:tcPr>
          <w:p w14:paraId="39B2295A"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672</w:t>
            </w:r>
          </w:p>
        </w:tc>
        <w:tc>
          <w:tcPr>
            <w:tcW w:w="896" w:type="dxa"/>
            <w:tcBorders>
              <w:top w:val="nil"/>
              <w:left w:val="nil"/>
              <w:bottom w:val="single" w:sz="4" w:space="0" w:color="auto"/>
              <w:right w:val="nil"/>
            </w:tcBorders>
            <w:shd w:val="clear" w:color="auto" w:fill="auto"/>
            <w:noWrap/>
            <w:vAlign w:val="bottom"/>
            <w:hideMark/>
          </w:tcPr>
          <w:p w14:paraId="02E9267C"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681</w:t>
            </w:r>
          </w:p>
        </w:tc>
        <w:tc>
          <w:tcPr>
            <w:tcW w:w="896" w:type="dxa"/>
            <w:tcBorders>
              <w:top w:val="nil"/>
              <w:left w:val="nil"/>
              <w:bottom w:val="single" w:sz="4" w:space="0" w:color="auto"/>
              <w:right w:val="nil"/>
            </w:tcBorders>
            <w:shd w:val="clear" w:color="auto" w:fill="auto"/>
            <w:noWrap/>
            <w:vAlign w:val="bottom"/>
            <w:hideMark/>
          </w:tcPr>
          <w:p w14:paraId="45760CC8"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681</w:t>
            </w:r>
          </w:p>
        </w:tc>
      </w:tr>
      <w:tr w:rsidR="0082252D" w:rsidRPr="0082252D" w14:paraId="103C93C5" w14:textId="77777777" w:rsidTr="0082252D">
        <w:trPr>
          <w:trHeight w:val="624"/>
          <w:jc w:val="center"/>
        </w:trPr>
        <w:tc>
          <w:tcPr>
            <w:tcW w:w="2835" w:type="dxa"/>
            <w:tcBorders>
              <w:top w:val="nil"/>
              <w:left w:val="nil"/>
              <w:bottom w:val="nil"/>
              <w:right w:val="nil"/>
            </w:tcBorders>
            <w:shd w:val="clear" w:color="000000" w:fill="FFFFFF"/>
            <w:vAlign w:val="bottom"/>
            <w:hideMark/>
          </w:tcPr>
          <w:p w14:paraId="7A657B4C"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RECONCILIATION OF CASH USED TO ACQUIRE ASSETS TO ASSET MOVEMENT TABLE</w:t>
            </w:r>
          </w:p>
        </w:tc>
        <w:tc>
          <w:tcPr>
            <w:tcW w:w="964" w:type="dxa"/>
            <w:tcBorders>
              <w:top w:val="nil"/>
              <w:left w:val="nil"/>
              <w:bottom w:val="nil"/>
              <w:right w:val="nil"/>
            </w:tcBorders>
            <w:shd w:val="clear" w:color="auto" w:fill="auto"/>
            <w:noWrap/>
            <w:vAlign w:val="bottom"/>
            <w:hideMark/>
          </w:tcPr>
          <w:p w14:paraId="22381A28" w14:textId="77777777" w:rsidR="0082252D" w:rsidRPr="0082252D" w:rsidRDefault="0082252D" w:rsidP="0082252D">
            <w:pPr>
              <w:spacing w:after="0"/>
              <w:rPr>
                <w:rFonts w:ascii="Arial" w:hAnsi="Arial" w:cs="Arial"/>
                <w:b/>
                <w:bCs/>
                <w:color w:val="auto"/>
                <w:sz w:val="16"/>
                <w:szCs w:val="16"/>
              </w:rPr>
            </w:pPr>
          </w:p>
        </w:tc>
        <w:tc>
          <w:tcPr>
            <w:tcW w:w="896" w:type="dxa"/>
            <w:tcBorders>
              <w:top w:val="nil"/>
              <w:left w:val="nil"/>
              <w:bottom w:val="nil"/>
              <w:right w:val="nil"/>
            </w:tcBorders>
            <w:shd w:val="clear" w:color="000000" w:fill="D9D9D9"/>
            <w:noWrap/>
            <w:vAlign w:val="bottom"/>
            <w:hideMark/>
          </w:tcPr>
          <w:p w14:paraId="5D503AA2"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 </w:t>
            </w:r>
          </w:p>
        </w:tc>
        <w:tc>
          <w:tcPr>
            <w:tcW w:w="907" w:type="dxa"/>
            <w:tcBorders>
              <w:top w:val="nil"/>
              <w:left w:val="nil"/>
              <w:bottom w:val="nil"/>
              <w:right w:val="nil"/>
            </w:tcBorders>
            <w:shd w:val="clear" w:color="auto" w:fill="auto"/>
            <w:noWrap/>
            <w:vAlign w:val="bottom"/>
            <w:hideMark/>
          </w:tcPr>
          <w:p w14:paraId="69E64B57" w14:textId="77777777" w:rsidR="0082252D" w:rsidRPr="0082252D" w:rsidRDefault="0082252D" w:rsidP="0082252D">
            <w:pPr>
              <w:spacing w:after="0"/>
              <w:jc w:val="right"/>
              <w:rPr>
                <w:rFonts w:ascii="Arial" w:hAnsi="Arial" w:cs="Arial"/>
                <w:b/>
                <w:bCs/>
                <w:sz w:val="16"/>
                <w:szCs w:val="16"/>
              </w:rPr>
            </w:pPr>
          </w:p>
        </w:tc>
        <w:tc>
          <w:tcPr>
            <w:tcW w:w="896" w:type="dxa"/>
            <w:tcBorders>
              <w:top w:val="nil"/>
              <w:left w:val="nil"/>
              <w:bottom w:val="nil"/>
              <w:right w:val="nil"/>
            </w:tcBorders>
            <w:shd w:val="clear" w:color="auto" w:fill="auto"/>
            <w:noWrap/>
            <w:vAlign w:val="bottom"/>
            <w:hideMark/>
          </w:tcPr>
          <w:p w14:paraId="42E5376D" w14:textId="77777777" w:rsidR="0082252D" w:rsidRPr="0082252D" w:rsidRDefault="0082252D" w:rsidP="0082252D">
            <w:pPr>
              <w:spacing w:after="0"/>
              <w:jc w:val="right"/>
              <w:rPr>
                <w:rFonts w:ascii="Times New Roman" w:hAnsi="Times New Roman"/>
                <w:color w:val="auto"/>
                <w:sz w:val="20"/>
              </w:rPr>
            </w:pPr>
          </w:p>
        </w:tc>
        <w:tc>
          <w:tcPr>
            <w:tcW w:w="896" w:type="dxa"/>
            <w:tcBorders>
              <w:top w:val="nil"/>
              <w:left w:val="nil"/>
              <w:bottom w:val="nil"/>
              <w:right w:val="nil"/>
            </w:tcBorders>
            <w:shd w:val="clear" w:color="auto" w:fill="auto"/>
            <w:noWrap/>
            <w:vAlign w:val="bottom"/>
            <w:hideMark/>
          </w:tcPr>
          <w:p w14:paraId="6E8C1CDF" w14:textId="77777777" w:rsidR="0082252D" w:rsidRPr="0082252D" w:rsidRDefault="0082252D" w:rsidP="0082252D">
            <w:pPr>
              <w:spacing w:after="0"/>
              <w:jc w:val="right"/>
              <w:rPr>
                <w:rFonts w:ascii="Times New Roman" w:hAnsi="Times New Roman"/>
                <w:color w:val="auto"/>
                <w:sz w:val="20"/>
              </w:rPr>
            </w:pPr>
          </w:p>
        </w:tc>
      </w:tr>
      <w:tr w:rsidR="0082252D" w:rsidRPr="0082252D" w14:paraId="4A563B9C" w14:textId="77777777" w:rsidTr="0082252D">
        <w:trPr>
          <w:trHeight w:val="225"/>
          <w:jc w:val="center"/>
        </w:trPr>
        <w:tc>
          <w:tcPr>
            <w:tcW w:w="2835" w:type="dxa"/>
            <w:tcBorders>
              <w:top w:val="nil"/>
              <w:left w:val="nil"/>
              <w:bottom w:val="nil"/>
              <w:right w:val="nil"/>
            </w:tcBorders>
            <w:shd w:val="clear" w:color="000000" w:fill="FFFFFF"/>
            <w:noWrap/>
            <w:vAlign w:val="bottom"/>
            <w:hideMark/>
          </w:tcPr>
          <w:p w14:paraId="7EFDB0AC"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Total purchases</w:t>
            </w:r>
          </w:p>
        </w:tc>
        <w:tc>
          <w:tcPr>
            <w:tcW w:w="964" w:type="dxa"/>
            <w:tcBorders>
              <w:top w:val="nil"/>
              <w:left w:val="nil"/>
              <w:bottom w:val="single" w:sz="4" w:space="0" w:color="auto"/>
              <w:right w:val="nil"/>
            </w:tcBorders>
            <w:shd w:val="clear" w:color="auto" w:fill="auto"/>
            <w:noWrap/>
            <w:vAlign w:val="bottom"/>
            <w:hideMark/>
          </w:tcPr>
          <w:p w14:paraId="656FBAF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1,082</w:t>
            </w:r>
          </w:p>
        </w:tc>
        <w:tc>
          <w:tcPr>
            <w:tcW w:w="896" w:type="dxa"/>
            <w:tcBorders>
              <w:top w:val="nil"/>
              <w:left w:val="nil"/>
              <w:bottom w:val="single" w:sz="4" w:space="0" w:color="auto"/>
              <w:right w:val="nil"/>
            </w:tcBorders>
            <w:shd w:val="clear" w:color="000000" w:fill="D9D9D9"/>
            <w:noWrap/>
            <w:vAlign w:val="bottom"/>
            <w:hideMark/>
          </w:tcPr>
          <w:p w14:paraId="0A64283E"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4,767</w:t>
            </w:r>
          </w:p>
        </w:tc>
        <w:tc>
          <w:tcPr>
            <w:tcW w:w="907" w:type="dxa"/>
            <w:tcBorders>
              <w:top w:val="nil"/>
              <w:left w:val="nil"/>
              <w:bottom w:val="single" w:sz="4" w:space="0" w:color="auto"/>
              <w:right w:val="nil"/>
            </w:tcBorders>
            <w:shd w:val="clear" w:color="auto" w:fill="auto"/>
            <w:noWrap/>
            <w:vAlign w:val="bottom"/>
            <w:hideMark/>
          </w:tcPr>
          <w:p w14:paraId="3F6880D4"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656</w:t>
            </w:r>
          </w:p>
        </w:tc>
        <w:tc>
          <w:tcPr>
            <w:tcW w:w="896" w:type="dxa"/>
            <w:tcBorders>
              <w:top w:val="nil"/>
              <w:left w:val="nil"/>
              <w:bottom w:val="single" w:sz="4" w:space="0" w:color="auto"/>
              <w:right w:val="nil"/>
            </w:tcBorders>
            <w:shd w:val="clear" w:color="auto" w:fill="auto"/>
            <w:noWrap/>
            <w:vAlign w:val="bottom"/>
            <w:hideMark/>
          </w:tcPr>
          <w:p w14:paraId="27232899"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662</w:t>
            </w:r>
          </w:p>
        </w:tc>
        <w:tc>
          <w:tcPr>
            <w:tcW w:w="896" w:type="dxa"/>
            <w:tcBorders>
              <w:top w:val="nil"/>
              <w:left w:val="nil"/>
              <w:bottom w:val="single" w:sz="4" w:space="0" w:color="auto"/>
              <w:right w:val="nil"/>
            </w:tcBorders>
            <w:shd w:val="clear" w:color="auto" w:fill="auto"/>
            <w:noWrap/>
            <w:vAlign w:val="bottom"/>
            <w:hideMark/>
          </w:tcPr>
          <w:p w14:paraId="0AD9386C"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661</w:t>
            </w:r>
          </w:p>
        </w:tc>
      </w:tr>
      <w:tr w:rsidR="0082252D" w:rsidRPr="0082252D" w14:paraId="14DD436A" w14:textId="77777777" w:rsidTr="0082252D">
        <w:trPr>
          <w:trHeight w:val="288"/>
          <w:jc w:val="center"/>
        </w:trPr>
        <w:tc>
          <w:tcPr>
            <w:tcW w:w="2835" w:type="dxa"/>
            <w:tcBorders>
              <w:top w:val="nil"/>
              <w:left w:val="nil"/>
              <w:bottom w:val="single" w:sz="4" w:space="0" w:color="auto"/>
              <w:right w:val="nil"/>
            </w:tcBorders>
            <w:shd w:val="clear" w:color="000000" w:fill="FFFFFF"/>
            <w:vAlign w:val="bottom"/>
            <w:hideMark/>
          </w:tcPr>
          <w:p w14:paraId="6939A83C"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Total cash used to acquire assets</w:t>
            </w:r>
          </w:p>
        </w:tc>
        <w:tc>
          <w:tcPr>
            <w:tcW w:w="964" w:type="dxa"/>
            <w:tcBorders>
              <w:top w:val="nil"/>
              <w:left w:val="nil"/>
              <w:bottom w:val="single" w:sz="4" w:space="0" w:color="auto"/>
              <w:right w:val="nil"/>
            </w:tcBorders>
            <w:shd w:val="clear" w:color="auto" w:fill="auto"/>
            <w:noWrap/>
            <w:vAlign w:val="bottom"/>
            <w:hideMark/>
          </w:tcPr>
          <w:p w14:paraId="63F7FA75" w14:textId="77777777" w:rsidR="0082252D" w:rsidRPr="0082252D" w:rsidRDefault="0082252D" w:rsidP="0082252D">
            <w:pPr>
              <w:spacing w:after="0"/>
              <w:jc w:val="right"/>
              <w:rPr>
                <w:rFonts w:ascii="Arial" w:hAnsi="Arial" w:cs="Arial"/>
                <w:b/>
                <w:bCs/>
                <w:color w:val="auto"/>
                <w:sz w:val="16"/>
                <w:szCs w:val="16"/>
              </w:rPr>
            </w:pPr>
            <w:r w:rsidRPr="0082252D">
              <w:rPr>
                <w:rFonts w:ascii="Arial" w:hAnsi="Arial" w:cs="Arial"/>
                <w:b/>
                <w:bCs/>
                <w:color w:val="auto"/>
                <w:sz w:val="16"/>
                <w:szCs w:val="16"/>
              </w:rPr>
              <w:t>1,082</w:t>
            </w:r>
          </w:p>
        </w:tc>
        <w:tc>
          <w:tcPr>
            <w:tcW w:w="896" w:type="dxa"/>
            <w:tcBorders>
              <w:top w:val="nil"/>
              <w:left w:val="nil"/>
              <w:bottom w:val="single" w:sz="4" w:space="0" w:color="auto"/>
              <w:right w:val="nil"/>
            </w:tcBorders>
            <w:shd w:val="clear" w:color="000000" w:fill="D9D9D9"/>
            <w:noWrap/>
            <w:vAlign w:val="bottom"/>
            <w:hideMark/>
          </w:tcPr>
          <w:p w14:paraId="3B505397" w14:textId="77777777" w:rsidR="0082252D" w:rsidRPr="0082252D" w:rsidRDefault="0082252D" w:rsidP="0082252D">
            <w:pPr>
              <w:spacing w:after="0"/>
              <w:jc w:val="right"/>
              <w:rPr>
                <w:rFonts w:ascii="Arial" w:hAnsi="Arial" w:cs="Arial"/>
                <w:b/>
                <w:bCs/>
                <w:color w:val="auto"/>
                <w:sz w:val="16"/>
                <w:szCs w:val="16"/>
              </w:rPr>
            </w:pPr>
            <w:r w:rsidRPr="0082252D">
              <w:rPr>
                <w:rFonts w:ascii="Arial" w:hAnsi="Arial" w:cs="Arial"/>
                <w:b/>
                <w:bCs/>
                <w:color w:val="auto"/>
                <w:sz w:val="16"/>
                <w:szCs w:val="16"/>
              </w:rPr>
              <w:t>4,767</w:t>
            </w:r>
          </w:p>
        </w:tc>
        <w:tc>
          <w:tcPr>
            <w:tcW w:w="907" w:type="dxa"/>
            <w:tcBorders>
              <w:top w:val="nil"/>
              <w:left w:val="nil"/>
              <w:bottom w:val="single" w:sz="4" w:space="0" w:color="auto"/>
              <w:right w:val="nil"/>
            </w:tcBorders>
            <w:shd w:val="clear" w:color="auto" w:fill="auto"/>
            <w:noWrap/>
            <w:vAlign w:val="bottom"/>
            <w:hideMark/>
          </w:tcPr>
          <w:p w14:paraId="13A38FB7" w14:textId="77777777" w:rsidR="0082252D" w:rsidRPr="0082252D" w:rsidRDefault="0082252D" w:rsidP="0082252D">
            <w:pPr>
              <w:spacing w:after="0"/>
              <w:jc w:val="right"/>
              <w:rPr>
                <w:rFonts w:ascii="Arial" w:hAnsi="Arial" w:cs="Arial"/>
                <w:b/>
                <w:bCs/>
                <w:color w:val="auto"/>
                <w:sz w:val="16"/>
                <w:szCs w:val="16"/>
              </w:rPr>
            </w:pPr>
            <w:r w:rsidRPr="0082252D">
              <w:rPr>
                <w:rFonts w:ascii="Arial" w:hAnsi="Arial" w:cs="Arial"/>
                <w:b/>
                <w:bCs/>
                <w:color w:val="auto"/>
                <w:sz w:val="16"/>
                <w:szCs w:val="16"/>
              </w:rPr>
              <w:t>656</w:t>
            </w:r>
          </w:p>
        </w:tc>
        <w:tc>
          <w:tcPr>
            <w:tcW w:w="896" w:type="dxa"/>
            <w:tcBorders>
              <w:top w:val="nil"/>
              <w:left w:val="nil"/>
              <w:bottom w:val="single" w:sz="4" w:space="0" w:color="auto"/>
              <w:right w:val="nil"/>
            </w:tcBorders>
            <w:shd w:val="clear" w:color="auto" w:fill="auto"/>
            <w:noWrap/>
            <w:vAlign w:val="bottom"/>
            <w:hideMark/>
          </w:tcPr>
          <w:p w14:paraId="04CD1A61" w14:textId="77777777" w:rsidR="0082252D" w:rsidRPr="0082252D" w:rsidRDefault="0082252D" w:rsidP="0082252D">
            <w:pPr>
              <w:spacing w:after="0"/>
              <w:jc w:val="right"/>
              <w:rPr>
                <w:rFonts w:ascii="Arial" w:hAnsi="Arial" w:cs="Arial"/>
                <w:b/>
                <w:bCs/>
                <w:color w:val="auto"/>
                <w:sz w:val="16"/>
                <w:szCs w:val="16"/>
              </w:rPr>
            </w:pPr>
            <w:r w:rsidRPr="0082252D">
              <w:rPr>
                <w:rFonts w:ascii="Arial" w:hAnsi="Arial" w:cs="Arial"/>
                <w:b/>
                <w:bCs/>
                <w:color w:val="auto"/>
                <w:sz w:val="16"/>
                <w:szCs w:val="16"/>
              </w:rPr>
              <w:t>662</w:t>
            </w:r>
          </w:p>
        </w:tc>
        <w:tc>
          <w:tcPr>
            <w:tcW w:w="896" w:type="dxa"/>
            <w:tcBorders>
              <w:top w:val="nil"/>
              <w:left w:val="nil"/>
              <w:bottom w:val="single" w:sz="4" w:space="0" w:color="auto"/>
              <w:right w:val="nil"/>
            </w:tcBorders>
            <w:shd w:val="clear" w:color="auto" w:fill="auto"/>
            <w:noWrap/>
            <w:vAlign w:val="bottom"/>
            <w:hideMark/>
          </w:tcPr>
          <w:p w14:paraId="4B79A5DF" w14:textId="77777777" w:rsidR="0082252D" w:rsidRPr="0082252D" w:rsidRDefault="0082252D" w:rsidP="0082252D">
            <w:pPr>
              <w:spacing w:after="0"/>
              <w:jc w:val="right"/>
              <w:rPr>
                <w:rFonts w:ascii="Arial" w:hAnsi="Arial" w:cs="Arial"/>
                <w:b/>
                <w:bCs/>
                <w:color w:val="auto"/>
                <w:sz w:val="16"/>
                <w:szCs w:val="16"/>
              </w:rPr>
            </w:pPr>
            <w:r w:rsidRPr="0082252D">
              <w:rPr>
                <w:rFonts w:ascii="Arial" w:hAnsi="Arial" w:cs="Arial"/>
                <w:b/>
                <w:bCs/>
                <w:color w:val="auto"/>
                <w:sz w:val="16"/>
                <w:szCs w:val="16"/>
              </w:rPr>
              <w:t>661</w:t>
            </w:r>
          </w:p>
        </w:tc>
      </w:tr>
    </w:tbl>
    <w:p w14:paraId="2F2F18A0" w14:textId="6195C124" w:rsidR="0082252D" w:rsidRPr="0082252D" w:rsidRDefault="0082252D" w:rsidP="0082252D">
      <w:pPr>
        <w:pStyle w:val="FootnoteText"/>
        <w:spacing w:before="120"/>
      </w:pPr>
      <w:r w:rsidRPr="0082252D">
        <w:t>DCB = Departmental Capital Budget</w:t>
      </w:r>
    </w:p>
    <w:p w14:paraId="0C77CD70" w14:textId="66118FBA" w:rsidR="0082252D" w:rsidRDefault="0082252D" w:rsidP="0082252D">
      <w:pPr>
        <w:pStyle w:val="FootnoteText"/>
      </w:pPr>
      <w:r w:rsidRPr="0082252D">
        <w:rPr>
          <w:vertAlign w:val="superscript"/>
        </w:rPr>
        <w:t>(a)</w:t>
      </w:r>
      <w:r>
        <w:tab/>
      </w:r>
      <w:r w:rsidRPr="0082252D">
        <w:t>Does not include annual finance lease costs. Includes purchases from current and previous years' DCB.</w:t>
      </w:r>
    </w:p>
    <w:p w14:paraId="10936E34" w14:textId="77777777" w:rsidR="0082252D" w:rsidRDefault="0082252D">
      <w:pPr>
        <w:spacing w:after="160" w:line="259" w:lineRule="auto"/>
        <w:rPr>
          <w:rFonts w:ascii="Arial" w:hAnsi="Arial"/>
          <w:b/>
          <w:color w:val="auto"/>
          <w:sz w:val="20"/>
        </w:rPr>
      </w:pPr>
      <w:r>
        <w:rPr>
          <w:rFonts w:ascii="Arial" w:hAnsi="Arial"/>
          <w:b/>
          <w:color w:val="auto"/>
          <w:sz w:val="20"/>
        </w:rPr>
        <w:br w:type="page"/>
      </w:r>
    </w:p>
    <w:p w14:paraId="5E168A6A" w14:textId="2824385F" w:rsidR="00884F73" w:rsidRPr="00884F73" w:rsidRDefault="00884F73" w:rsidP="0026049D">
      <w:pPr>
        <w:keepNext/>
        <w:spacing w:before="120"/>
        <w:rPr>
          <w:rFonts w:ascii="Arial" w:hAnsi="Arial"/>
          <w:b/>
          <w:color w:val="auto"/>
          <w:sz w:val="20"/>
        </w:rPr>
      </w:pPr>
      <w:r w:rsidRPr="00884F73">
        <w:rPr>
          <w:rFonts w:ascii="Arial" w:hAnsi="Arial"/>
          <w:b/>
          <w:color w:val="auto"/>
          <w:sz w:val="20"/>
        </w:rPr>
        <w:lastRenderedPageBreak/>
        <w:t xml:space="preserve">Table 3.6: Statement of departmental asset movements </w:t>
      </w:r>
      <w:r w:rsidRPr="00884F73">
        <w:rPr>
          <w:rFonts w:ascii="Arial" w:hAnsi="Arial"/>
          <w:b/>
          <w:color w:val="auto"/>
          <w:sz w:val="20"/>
        </w:rPr>
        <w:br/>
        <w:t>(Budget year 2022–23)</w:t>
      </w:r>
    </w:p>
    <w:tbl>
      <w:tblPr>
        <w:tblW w:w="7374" w:type="dxa"/>
        <w:jc w:val="center"/>
        <w:tblLayout w:type="fixed"/>
        <w:tblLook w:val="04A0" w:firstRow="1" w:lastRow="0" w:firstColumn="1" w:lastColumn="0" w:noHBand="0" w:noVBand="1"/>
      </w:tblPr>
      <w:tblGrid>
        <w:gridCol w:w="3180"/>
        <w:gridCol w:w="1077"/>
        <w:gridCol w:w="1077"/>
        <w:gridCol w:w="1020"/>
        <w:gridCol w:w="1020"/>
      </w:tblGrid>
      <w:tr w:rsidR="0082252D" w:rsidRPr="0082252D" w14:paraId="76D35457" w14:textId="77777777" w:rsidTr="00790508">
        <w:trPr>
          <w:trHeight w:val="765"/>
          <w:jc w:val="center"/>
        </w:trPr>
        <w:tc>
          <w:tcPr>
            <w:tcW w:w="3180" w:type="dxa"/>
            <w:tcBorders>
              <w:top w:val="single" w:sz="4" w:space="0" w:color="auto"/>
              <w:left w:val="nil"/>
              <w:right w:val="nil"/>
            </w:tcBorders>
            <w:shd w:val="clear" w:color="auto" w:fill="auto"/>
            <w:hideMark/>
          </w:tcPr>
          <w:p w14:paraId="2E6F86D7" w14:textId="77777777" w:rsidR="0082252D" w:rsidRPr="0082252D" w:rsidRDefault="0082252D" w:rsidP="0082252D">
            <w:pPr>
              <w:spacing w:before="40" w:after="0"/>
              <w:jc w:val="right"/>
              <w:rPr>
                <w:rFonts w:ascii="Times New Roman" w:hAnsi="Times New Roman"/>
                <w:color w:val="auto"/>
                <w:sz w:val="20"/>
                <w:szCs w:val="24"/>
              </w:rPr>
            </w:pPr>
          </w:p>
        </w:tc>
        <w:tc>
          <w:tcPr>
            <w:tcW w:w="1077" w:type="dxa"/>
            <w:tcBorders>
              <w:top w:val="single" w:sz="4" w:space="0" w:color="auto"/>
              <w:left w:val="nil"/>
              <w:bottom w:val="single" w:sz="4" w:space="0" w:color="auto"/>
              <w:right w:val="nil"/>
            </w:tcBorders>
            <w:shd w:val="clear" w:color="auto" w:fill="auto"/>
            <w:hideMark/>
          </w:tcPr>
          <w:p w14:paraId="0794AAAB"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Buildings</w:t>
            </w:r>
            <w:r w:rsidRPr="0082252D">
              <w:rPr>
                <w:rFonts w:ascii="Arial" w:hAnsi="Arial" w:cs="Arial"/>
                <w:color w:val="auto"/>
                <w:sz w:val="16"/>
                <w:szCs w:val="16"/>
              </w:rPr>
              <w:t xml:space="preserve"> </w:t>
            </w:r>
            <w:r w:rsidRPr="0082252D">
              <w:rPr>
                <w:rFonts w:ascii="Arial" w:hAnsi="Arial" w:cs="Arial"/>
                <w:color w:val="auto"/>
                <w:sz w:val="16"/>
                <w:szCs w:val="16"/>
              </w:rPr>
              <w:br/>
            </w:r>
            <w:r w:rsidRPr="0082252D">
              <w:rPr>
                <w:rFonts w:ascii="Arial" w:hAnsi="Arial" w:cs="Arial"/>
                <w:color w:val="auto"/>
                <w:sz w:val="16"/>
                <w:szCs w:val="16"/>
              </w:rPr>
              <w:br/>
            </w:r>
            <w:r w:rsidRPr="0082252D">
              <w:rPr>
                <w:rFonts w:ascii="Arial" w:hAnsi="Arial" w:cs="Arial"/>
                <w:color w:val="auto"/>
                <w:sz w:val="16"/>
                <w:szCs w:val="16"/>
              </w:rPr>
              <w:br/>
              <w:t>$'000</w:t>
            </w:r>
          </w:p>
        </w:tc>
        <w:tc>
          <w:tcPr>
            <w:tcW w:w="1077" w:type="dxa"/>
            <w:tcBorders>
              <w:top w:val="single" w:sz="4" w:space="0" w:color="auto"/>
              <w:left w:val="nil"/>
              <w:bottom w:val="single" w:sz="4" w:space="0" w:color="auto"/>
              <w:right w:val="nil"/>
            </w:tcBorders>
            <w:shd w:val="clear" w:color="auto" w:fill="auto"/>
            <w:hideMark/>
          </w:tcPr>
          <w:p w14:paraId="6D641D50"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 xml:space="preserve">Property, plant and equipment </w:t>
            </w:r>
            <w:r w:rsidRPr="0082252D">
              <w:rPr>
                <w:rFonts w:ascii="Arial" w:hAnsi="Arial" w:cs="Arial"/>
                <w:b/>
                <w:bCs/>
                <w:color w:val="auto"/>
                <w:sz w:val="16"/>
                <w:szCs w:val="16"/>
              </w:rPr>
              <w:br/>
            </w:r>
            <w:r w:rsidRPr="0082252D">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34C572EF"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 xml:space="preserve">Intangibles </w:t>
            </w:r>
            <w:r w:rsidRPr="0082252D">
              <w:rPr>
                <w:rFonts w:ascii="Arial" w:hAnsi="Arial" w:cs="Arial"/>
                <w:b/>
                <w:bCs/>
                <w:color w:val="auto"/>
                <w:sz w:val="16"/>
                <w:szCs w:val="16"/>
              </w:rPr>
              <w:br/>
            </w:r>
            <w:r w:rsidRPr="0082252D">
              <w:rPr>
                <w:rFonts w:ascii="Arial" w:hAnsi="Arial" w:cs="Arial"/>
                <w:b/>
                <w:bCs/>
                <w:color w:val="auto"/>
                <w:sz w:val="16"/>
                <w:szCs w:val="16"/>
              </w:rPr>
              <w:br/>
            </w:r>
            <w:r w:rsidRPr="0082252D">
              <w:rPr>
                <w:rFonts w:ascii="Arial" w:hAnsi="Arial" w:cs="Arial"/>
                <w:b/>
                <w:bCs/>
                <w:color w:val="auto"/>
                <w:sz w:val="16"/>
                <w:szCs w:val="16"/>
              </w:rPr>
              <w:br/>
            </w:r>
            <w:r w:rsidRPr="0082252D">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hideMark/>
          </w:tcPr>
          <w:p w14:paraId="15D711D2"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 xml:space="preserve">Total </w:t>
            </w:r>
            <w:r w:rsidRPr="0082252D">
              <w:rPr>
                <w:rFonts w:ascii="Arial" w:hAnsi="Arial" w:cs="Arial"/>
                <w:b/>
                <w:bCs/>
                <w:color w:val="auto"/>
                <w:sz w:val="16"/>
                <w:szCs w:val="16"/>
              </w:rPr>
              <w:br/>
            </w:r>
            <w:r w:rsidRPr="0082252D">
              <w:rPr>
                <w:rFonts w:ascii="Arial" w:hAnsi="Arial" w:cs="Arial"/>
                <w:b/>
                <w:bCs/>
                <w:color w:val="auto"/>
                <w:sz w:val="16"/>
                <w:szCs w:val="16"/>
              </w:rPr>
              <w:br/>
            </w:r>
            <w:r w:rsidRPr="0082252D">
              <w:rPr>
                <w:rFonts w:ascii="Arial" w:hAnsi="Arial" w:cs="Arial"/>
                <w:b/>
                <w:bCs/>
                <w:color w:val="auto"/>
                <w:sz w:val="16"/>
                <w:szCs w:val="16"/>
              </w:rPr>
              <w:br/>
            </w:r>
            <w:r w:rsidRPr="0082252D">
              <w:rPr>
                <w:rFonts w:ascii="Arial" w:hAnsi="Arial" w:cs="Arial"/>
                <w:color w:val="auto"/>
                <w:sz w:val="16"/>
                <w:szCs w:val="16"/>
              </w:rPr>
              <w:t>$'000</w:t>
            </w:r>
          </w:p>
        </w:tc>
      </w:tr>
      <w:tr w:rsidR="0082252D" w:rsidRPr="0082252D" w14:paraId="754281A4" w14:textId="77777777" w:rsidTr="00790508">
        <w:trPr>
          <w:trHeight w:val="225"/>
          <w:jc w:val="center"/>
        </w:trPr>
        <w:tc>
          <w:tcPr>
            <w:tcW w:w="3180" w:type="dxa"/>
            <w:tcBorders>
              <w:left w:val="nil"/>
              <w:bottom w:val="nil"/>
              <w:right w:val="nil"/>
            </w:tcBorders>
            <w:shd w:val="clear" w:color="auto" w:fill="auto"/>
            <w:noWrap/>
            <w:vAlign w:val="bottom"/>
            <w:hideMark/>
          </w:tcPr>
          <w:p w14:paraId="24579082"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As at 1 July 2022</w:t>
            </w:r>
          </w:p>
        </w:tc>
        <w:tc>
          <w:tcPr>
            <w:tcW w:w="1077" w:type="dxa"/>
            <w:tcBorders>
              <w:top w:val="nil"/>
              <w:left w:val="nil"/>
              <w:bottom w:val="nil"/>
              <w:right w:val="nil"/>
            </w:tcBorders>
            <w:shd w:val="clear" w:color="auto" w:fill="auto"/>
            <w:noWrap/>
            <w:vAlign w:val="bottom"/>
            <w:hideMark/>
          </w:tcPr>
          <w:p w14:paraId="4E4F8B4A" w14:textId="77777777" w:rsidR="0082252D" w:rsidRPr="0082252D" w:rsidRDefault="0082252D" w:rsidP="0082252D">
            <w:pPr>
              <w:spacing w:after="0"/>
              <w:rPr>
                <w:rFonts w:ascii="Arial" w:hAnsi="Arial" w:cs="Arial"/>
                <w:b/>
                <w:bCs/>
                <w:color w:val="auto"/>
                <w:sz w:val="16"/>
                <w:szCs w:val="16"/>
              </w:rPr>
            </w:pPr>
          </w:p>
        </w:tc>
        <w:tc>
          <w:tcPr>
            <w:tcW w:w="1077" w:type="dxa"/>
            <w:tcBorders>
              <w:top w:val="nil"/>
              <w:left w:val="nil"/>
              <w:bottom w:val="nil"/>
              <w:right w:val="nil"/>
            </w:tcBorders>
            <w:shd w:val="clear" w:color="auto" w:fill="auto"/>
            <w:noWrap/>
            <w:vAlign w:val="bottom"/>
            <w:hideMark/>
          </w:tcPr>
          <w:p w14:paraId="5C9F7B56"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D4B69D5"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127F72F" w14:textId="77777777" w:rsidR="0082252D" w:rsidRPr="0082252D" w:rsidRDefault="0082252D" w:rsidP="0082252D">
            <w:pPr>
              <w:spacing w:after="0"/>
              <w:jc w:val="right"/>
              <w:rPr>
                <w:rFonts w:ascii="Times New Roman" w:hAnsi="Times New Roman"/>
                <w:color w:val="auto"/>
                <w:sz w:val="20"/>
              </w:rPr>
            </w:pPr>
          </w:p>
        </w:tc>
      </w:tr>
      <w:tr w:rsidR="0082252D" w:rsidRPr="0082252D" w14:paraId="6A63EA73"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137459EE"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 xml:space="preserve">Gross book value </w:t>
            </w:r>
          </w:p>
        </w:tc>
        <w:tc>
          <w:tcPr>
            <w:tcW w:w="1077" w:type="dxa"/>
            <w:tcBorders>
              <w:top w:val="nil"/>
              <w:left w:val="nil"/>
              <w:bottom w:val="nil"/>
              <w:right w:val="nil"/>
            </w:tcBorders>
            <w:shd w:val="clear" w:color="auto" w:fill="auto"/>
            <w:noWrap/>
            <w:vAlign w:val="bottom"/>
            <w:hideMark/>
          </w:tcPr>
          <w:p w14:paraId="71AACD4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1,854</w:t>
            </w:r>
          </w:p>
        </w:tc>
        <w:tc>
          <w:tcPr>
            <w:tcW w:w="1077" w:type="dxa"/>
            <w:tcBorders>
              <w:top w:val="nil"/>
              <w:left w:val="nil"/>
              <w:bottom w:val="nil"/>
              <w:right w:val="nil"/>
            </w:tcBorders>
            <w:shd w:val="clear" w:color="auto" w:fill="auto"/>
            <w:noWrap/>
            <w:vAlign w:val="bottom"/>
            <w:hideMark/>
          </w:tcPr>
          <w:p w14:paraId="4093455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1,196</w:t>
            </w:r>
          </w:p>
        </w:tc>
        <w:tc>
          <w:tcPr>
            <w:tcW w:w="1020" w:type="dxa"/>
            <w:tcBorders>
              <w:top w:val="nil"/>
              <w:left w:val="nil"/>
              <w:bottom w:val="nil"/>
              <w:right w:val="nil"/>
            </w:tcBorders>
            <w:shd w:val="clear" w:color="auto" w:fill="auto"/>
            <w:noWrap/>
            <w:vAlign w:val="bottom"/>
            <w:hideMark/>
          </w:tcPr>
          <w:p w14:paraId="6CD7D4F9"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3,904</w:t>
            </w:r>
          </w:p>
        </w:tc>
        <w:tc>
          <w:tcPr>
            <w:tcW w:w="1020" w:type="dxa"/>
            <w:tcBorders>
              <w:top w:val="nil"/>
              <w:left w:val="nil"/>
              <w:bottom w:val="nil"/>
              <w:right w:val="nil"/>
            </w:tcBorders>
            <w:shd w:val="clear" w:color="auto" w:fill="auto"/>
            <w:noWrap/>
            <w:vAlign w:val="bottom"/>
            <w:hideMark/>
          </w:tcPr>
          <w:p w14:paraId="2F124167"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6,954</w:t>
            </w:r>
          </w:p>
        </w:tc>
      </w:tr>
      <w:tr w:rsidR="0082252D" w:rsidRPr="0082252D" w14:paraId="5F7E2D57" w14:textId="77777777" w:rsidTr="0082252D">
        <w:trPr>
          <w:trHeight w:val="225"/>
          <w:jc w:val="center"/>
        </w:trPr>
        <w:tc>
          <w:tcPr>
            <w:tcW w:w="3180" w:type="dxa"/>
            <w:tcBorders>
              <w:top w:val="nil"/>
              <w:left w:val="nil"/>
              <w:bottom w:val="nil"/>
              <w:right w:val="nil"/>
            </w:tcBorders>
            <w:shd w:val="clear" w:color="auto" w:fill="auto"/>
            <w:vAlign w:val="bottom"/>
            <w:hideMark/>
          </w:tcPr>
          <w:p w14:paraId="16263C69"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 xml:space="preserve">Gross book value - </w:t>
            </w:r>
            <w:proofErr w:type="spellStart"/>
            <w:r w:rsidRPr="0082252D">
              <w:rPr>
                <w:rFonts w:ascii="Arial" w:hAnsi="Arial" w:cs="Arial"/>
                <w:color w:val="auto"/>
                <w:sz w:val="16"/>
                <w:szCs w:val="16"/>
              </w:rPr>
              <w:t>RoU</w:t>
            </w:r>
            <w:proofErr w:type="spellEnd"/>
          </w:p>
        </w:tc>
        <w:tc>
          <w:tcPr>
            <w:tcW w:w="1077" w:type="dxa"/>
            <w:tcBorders>
              <w:top w:val="nil"/>
              <w:left w:val="nil"/>
              <w:bottom w:val="nil"/>
              <w:right w:val="nil"/>
            </w:tcBorders>
            <w:shd w:val="clear" w:color="auto" w:fill="auto"/>
            <w:noWrap/>
            <w:vAlign w:val="bottom"/>
            <w:hideMark/>
          </w:tcPr>
          <w:p w14:paraId="53E83A92"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7,875</w:t>
            </w:r>
          </w:p>
        </w:tc>
        <w:tc>
          <w:tcPr>
            <w:tcW w:w="1077" w:type="dxa"/>
            <w:tcBorders>
              <w:top w:val="nil"/>
              <w:left w:val="nil"/>
              <w:bottom w:val="nil"/>
              <w:right w:val="nil"/>
            </w:tcBorders>
            <w:shd w:val="clear" w:color="auto" w:fill="auto"/>
            <w:noWrap/>
            <w:vAlign w:val="bottom"/>
            <w:hideMark/>
          </w:tcPr>
          <w:p w14:paraId="0F1BD63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9F6F53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22B3ADE"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7,875</w:t>
            </w:r>
          </w:p>
        </w:tc>
      </w:tr>
      <w:tr w:rsidR="0082252D" w:rsidRPr="0082252D" w14:paraId="23CE0A14" w14:textId="77777777" w:rsidTr="0082252D">
        <w:trPr>
          <w:trHeight w:val="432"/>
          <w:jc w:val="center"/>
        </w:trPr>
        <w:tc>
          <w:tcPr>
            <w:tcW w:w="3180" w:type="dxa"/>
            <w:tcBorders>
              <w:top w:val="nil"/>
              <w:left w:val="nil"/>
              <w:bottom w:val="nil"/>
              <w:right w:val="nil"/>
            </w:tcBorders>
            <w:shd w:val="clear" w:color="auto" w:fill="auto"/>
            <w:vAlign w:val="bottom"/>
            <w:hideMark/>
          </w:tcPr>
          <w:p w14:paraId="069E4284"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Accumulated depreciation/</w:t>
            </w:r>
            <w:r w:rsidRPr="0082252D">
              <w:rPr>
                <w:rFonts w:ascii="Arial" w:hAnsi="Arial" w:cs="Arial"/>
                <w:color w:val="auto"/>
                <w:sz w:val="16"/>
                <w:szCs w:val="16"/>
              </w:rPr>
              <w:br/>
              <w:t>amortisation and impairment</w:t>
            </w:r>
          </w:p>
        </w:tc>
        <w:tc>
          <w:tcPr>
            <w:tcW w:w="1077" w:type="dxa"/>
            <w:tcBorders>
              <w:top w:val="nil"/>
              <w:left w:val="nil"/>
              <w:bottom w:val="nil"/>
              <w:right w:val="nil"/>
            </w:tcBorders>
            <w:shd w:val="clear" w:color="auto" w:fill="auto"/>
            <w:noWrap/>
            <w:vAlign w:val="bottom"/>
            <w:hideMark/>
          </w:tcPr>
          <w:p w14:paraId="006A889D"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(402)</w:t>
            </w:r>
          </w:p>
        </w:tc>
        <w:tc>
          <w:tcPr>
            <w:tcW w:w="1077" w:type="dxa"/>
            <w:tcBorders>
              <w:top w:val="nil"/>
              <w:left w:val="nil"/>
              <w:bottom w:val="nil"/>
              <w:right w:val="nil"/>
            </w:tcBorders>
            <w:shd w:val="clear" w:color="auto" w:fill="auto"/>
            <w:noWrap/>
            <w:vAlign w:val="bottom"/>
            <w:hideMark/>
          </w:tcPr>
          <w:p w14:paraId="1207AD8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(668)</w:t>
            </w:r>
          </w:p>
        </w:tc>
        <w:tc>
          <w:tcPr>
            <w:tcW w:w="1020" w:type="dxa"/>
            <w:tcBorders>
              <w:top w:val="nil"/>
              <w:left w:val="nil"/>
              <w:bottom w:val="nil"/>
              <w:right w:val="nil"/>
            </w:tcBorders>
            <w:shd w:val="clear" w:color="auto" w:fill="auto"/>
            <w:noWrap/>
            <w:vAlign w:val="bottom"/>
            <w:hideMark/>
          </w:tcPr>
          <w:p w14:paraId="4B98DA40"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(3,849)</w:t>
            </w:r>
          </w:p>
        </w:tc>
        <w:tc>
          <w:tcPr>
            <w:tcW w:w="1020" w:type="dxa"/>
            <w:tcBorders>
              <w:top w:val="nil"/>
              <w:left w:val="nil"/>
              <w:bottom w:val="nil"/>
              <w:right w:val="nil"/>
            </w:tcBorders>
            <w:shd w:val="clear" w:color="auto" w:fill="auto"/>
            <w:noWrap/>
            <w:vAlign w:val="bottom"/>
            <w:hideMark/>
          </w:tcPr>
          <w:p w14:paraId="41F9B629"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(4,919)</w:t>
            </w:r>
          </w:p>
        </w:tc>
      </w:tr>
      <w:tr w:rsidR="0082252D" w:rsidRPr="0082252D" w14:paraId="17101A30" w14:textId="77777777" w:rsidTr="0082252D">
        <w:trPr>
          <w:trHeight w:val="432"/>
          <w:jc w:val="center"/>
        </w:trPr>
        <w:tc>
          <w:tcPr>
            <w:tcW w:w="3180" w:type="dxa"/>
            <w:tcBorders>
              <w:top w:val="nil"/>
              <w:left w:val="nil"/>
              <w:bottom w:val="nil"/>
              <w:right w:val="nil"/>
            </w:tcBorders>
            <w:shd w:val="clear" w:color="auto" w:fill="auto"/>
            <w:vAlign w:val="bottom"/>
            <w:hideMark/>
          </w:tcPr>
          <w:p w14:paraId="32656A2C" w14:textId="77777777" w:rsidR="0082252D" w:rsidRPr="0082252D" w:rsidRDefault="0082252D" w:rsidP="0082252D">
            <w:pPr>
              <w:spacing w:after="0"/>
              <w:ind w:leftChars="75" w:left="143"/>
              <w:rPr>
                <w:rFonts w:ascii="Arial" w:hAnsi="Arial" w:cs="Arial"/>
                <w:sz w:val="16"/>
                <w:szCs w:val="16"/>
              </w:rPr>
            </w:pPr>
            <w:r w:rsidRPr="0082252D">
              <w:rPr>
                <w:rFonts w:ascii="Arial" w:hAnsi="Arial" w:cs="Arial"/>
                <w:sz w:val="16"/>
                <w:szCs w:val="16"/>
              </w:rPr>
              <w:t xml:space="preserve">Accumulated depreciation/ amortisation and impairment - </w:t>
            </w:r>
            <w:proofErr w:type="spellStart"/>
            <w:r w:rsidRPr="0082252D">
              <w:rPr>
                <w:rFonts w:ascii="Arial" w:hAnsi="Arial" w:cs="Arial"/>
                <w:sz w:val="16"/>
                <w:szCs w:val="16"/>
              </w:rPr>
              <w:t>RoU</w:t>
            </w:r>
            <w:proofErr w:type="spellEnd"/>
          </w:p>
        </w:tc>
        <w:tc>
          <w:tcPr>
            <w:tcW w:w="1077" w:type="dxa"/>
            <w:tcBorders>
              <w:top w:val="nil"/>
              <w:left w:val="nil"/>
              <w:bottom w:val="single" w:sz="4" w:space="0" w:color="auto"/>
              <w:right w:val="nil"/>
            </w:tcBorders>
            <w:shd w:val="clear" w:color="auto" w:fill="auto"/>
            <w:noWrap/>
            <w:vAlign w:val="bottom"/>
            <w:hideMark/>
          </w:tcPr>
          <w:p w14:paraId="77A6E9B4"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(3,038)</w:t>
            </w:r>
          </w:p>
        </w:tc>
        <w:tc>
          <w:tcPr>
            <w:tcW w:w="1077" w:type="dxa"/>
            <w:tcBorders>
              <w:top w:val="nil"/>
              <w:left w:val="nil"/>
              <w:bottom w:val="single" w:sz="4" w:space="0" w:color="auto"/>
              <w:right w:val="nil"/>
            </w:tcBorders>
            <w:shd w:val="clear" w:color="auto" w:fill="auto"/>
            <w:noWrap/>
            <w:vAlign w:val="bottom"/>
            <w:hideMark/>
          </w:tcPr>
          <w:p w14:paraId="5960A8C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6C37ED60"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89A6B38"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(3,038)</w:t>
            </w:r>
          </w:p>
        </w:tc>
      </w:tr>
      <w:tr w:rsidR="0082252D" w:rsidRPr="0082252D" w14:paraId="66490BA8"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5FC96AEB" w14:textId="77777777" w:rsidR="0082252D" w:rsidRPr="0082252D" w:rsidRDefault="0082252D" w:rsidP="0082252D">
            <w:pPr>
              <w:spacing w:after="0"/>
              <w:ind w:firstLineChars="100" w:firstLine="160"/>
              <w:rPr>
                <w:rFonts w:ascii="Arial" w:hAnsi="Arial" w:cs="Arial"/>
                <w:b/>
                <w:bCs/>
                <w:color w:val="auto"/>
                <w:sz w:val="16"/>
                <w:szCs w:val="16"/>
              </w:rPr>
            </w:pPr>
            <w:r w:rsidRPr="0082252D">
              <w:rPr>
                <w:rFonts w:ascii="Arial" w:hAnsi="Arial" w:cs="Arial"/>
                <w:b/>
                <w:bCs/>
                <w:color w:val="auto"/>
                <w:sz w:val="16"/>
                <w:szCs w:val="16"/>
              </w:rPr>
              <w:t>Opening net book balance</w:t>
            </w:r>
          </w:p>
        </w:tc>
        <w:tc>
          <w:tcPr>
            <w:tcW w:w="1077" w:type="dxa"/>
            <w:tcBorders>
              <w:top w:val="nil"/>
              <w:left w:val="nil"/>
              <w:bottom w:val="single" w:sz="4" w:space="0" w:color="auto"/>
              <w:right w:val="nil"/>
            </w:tcBorders>
            <w:shd w:val="clear" w:color="auto" w:fill="auto"/>
            <w:noWrap/>
            <w:vAlign w:val="bottom"/>
            <w:hideMark/>
          </w:tcPr>
          <w:p w14:paraId="4D179E26"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6,289</w:t>
            </w:r>
          </w:p>
        </w:tc>
        <w:tc>
          <w:tcPr>
            <w:tcW w:w="1077" w:type="dxa"/>
            <w:tcBorders>
              <w:top w:val="nil"/>
              <w:left w:val="nil"/>
              <w:bottom w:val="single" w:sz="4" w:space="0" w:color="auto"/>
              <w:right w:val="nil"/>
            </w:tcBorders>
            <w:shd w:val="clear" w:color="auto" w:fill="auto"/>
            <w:noWrap/>
            <w:vAlign w:val="bottom"/>
            <w:hideMark/>
          </w:tcPr>
          <w:p w14:paraId="1E1AFD69"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528</w:t>
            </w:r>
          </w:p>
        </w:tc>
        <w:tc>
          <w:tcPr>
            <w:tcW w:w="1020" w:type="dxa"/>
            <w:tcBorders>
              <w:top w:val="nil"/>
              <w:left w:val="nil"/>
              <w:bottom w:val="single" w:sz="4" w:space="0" w:color="auto"/>
              <w:right w:val="nil"/>
            </w:tcBorders>
            <w:shd w:val="clear" w:color="auto" w:fill="auto"/>
            <w:noWrap/>
            <w:vAlign w:val="bottom"/>
            <w:hideMark/>
          </w:tcPr>
          <w:p w14:paraId="0C786450"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55</w:t>
            </w:r>
          </w:p>
        </w:tc>
        <w:tc>
          <w:tcPr>
            <w:tcW w:w="1020" w:type="dxa"/>
            <w:tcBorders>
              <w:top w:val="single" w:sz="4" w:space="0" w:color="auto"/>
              <w:left w:val="nil"/>
              <w:bottom w:val="single" w:sz="4" w:space="0" w:color="auto"/>
              <w:right w:val="nil"/>
            </w:tcBorders>
            <w:shd w:val="clear" w:color="auto" w:fill="auto"/>
            <w:noWrap/>
            <w:vAlign w:val="bottom"/>
            <w:hideMark/>
          </w:tcPr>
          <w:p w14:paraId="01AD0943"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6,872</w:t>
            </w:r>
          </w:p>
        </w:tc>
      </w:tr>
      <w:tr w:rsidR="0082252D" w:rsidRPr="0082252D" w14:paraId="2C45F72A" w14:textId="77777777" w:rsidTr="0082252D">
        <w:trPr>
          <w:trHeight w:val="283"/>
          <w:jc w:val="center"/>
        </w:trPr>
        <w:tc>
          <w:tcPr>
            <w:tcW w:w="3180" w:type="dxa"/>
            <w:tcBorders>
              <w:top w:val="nil"/>
              <w:left w:val="nil"/>
              <w:bottom w:val="nil"/>
              <w:right w:val="nil"/>
            </w:tcBorders>
            <w:shd w:val="clear" w:color="auto" w:fill="auto"/>
            <w:noWrap/>
            <w:vAlign w:val="bottom"/>
            <w:hideMark/>
          </w:tcPr>
          <w:p w14:paraId="1B510E58"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CAPITAL ASSET ADDITIONS</w:t>
            </w:r>
          </w:p>
        </w:tc>
        <w:tc>
          <w:tcPr>
            <w:tcW w:w="1077" w:type="dxa"/>
            <w:tcBorders>
              <w:top w:val="nil"/>
              <w:left w:val="nil"/>
              <w:bottom w:val="nil"/>
              <w:right w:val="nil"/>
            </w:tcBorders>
            <w:shd w:val="clear" w:color="auto" w:fill="auto"/>
            <w:noWrap/>
            <w:vAlign w:val="bottom"/>
            <w:hideMark/>
          </w:tcPr>
          <w:p w14:paraId="0F9FF613" w14:textId="77777777" w:rsidR="0082252D" w:rsidRPr="0082252D" w:rsidRDefault="0082252D" w:rsidP="0082252D">
            <w:pPr>
              <w:spacing w:after="0"/>
              <w:rPr>
                <w:rFonts w:ascii="Arial" w:hAnsi="Arial" w:cs="Arial"/>
                <w:b/>
                <w:bCs/>
                <w:color w:val="auto"/>
                <w:sz w:val="16"/>
                <w:szCs w:val="16"/>
              </w:rPr>
            </w:pPr>
          </w:p>
        </w:tc>
        <w:tc>
          <w:tcPr>
            <w:tcW w:w="1077" w:type="dxa"/>
            <w:tcBorders>
              <w:top w:val="nil"/>
              <w:left w:val="nil"/>
              <w:bottom w:val="nil"/>
              <w:right w:val="nil"/>
            </w:tcBorders>
            <w:shd w:val="clear" w:color="auto" w:fill="auto"/>
            <w:noWrap/>
            <w:vAlign w:val="bottom"/>
            <w:hideMark/>
          </w:tcPr>
          <w:p w14:paraId="06B001E9"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945F44E"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BBA11B3" w14:textId="77777777" w:rsidR="0082252D" w:rsidRPr="0082252D" w:rsidRDefault="0082252D" w:rsidP="0082252D">
            <w:pPr>
              <w:spacing w:after="0"/>
              <w:jc w:val="right"/>
              <w:rPr>
                <w:rFonts w:ascii="Times New Roman" w:hAnsi="Times New Roman"/>
                <w:color w:val="auto"/>
                <w:sz w:val="20"/>
              </w:rPr>
            </w:pPr>
          </w:p>
        </w:tc>
      </w:tr>
      <w:tr w:rsidR="0082252D" w:rsidRPr="0082252D" w14:paraId="53C41B06" w14:textId="77777777" w:rsidTr="0082252D">
        <w:trPr>
          <w:trHeight w:val="432"/>
          <w:jc w:val="center"/>
        </w:trPr>
        <w:tc>
          <w:tcPr>
            <w:tcW w:w="3180" w:type="dxa"/>
            <w:tcBorders>
              <w:top w:val="nil"/>
              <w:left w:val="nil"/>
              <w:bottom w:val="nil"/>
              <w:right w:val="nil"/>
            </w:tcBorders>
            <w:shd w:val="clear" w:color="auto" w:fill="auto"/>
            <w:vAlign w:val="bottom"/>
            <w:hideMark/>
          </w:tcPr>
          <w:p w14:paraId="1327D8E8"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Estimated expenditure on new or replacement assets</w:t>
            </w:r>
          </w:p>
        </w:tc>
        <w:tc>
          <w:tcPr>
            <w:tcW w:w="1077" w:type="dxa"/>
            <w:tcBorders>
              <w:top w:val="nil"/>
              <w:left w:val="nil"/>
              <w:bottom w:val="nil"/>
              <w:right w:val="nil"/>
            </w:tcBorders>
            <w:shd w:val="clear" w:color="auto" w:fill="auto"/>
            <w:noWrap/>
            <w:vAlign w:val="bottom"/>
            <w:hideMark/>
          </w:tcPr>
          <w:p w14:paraId="7AB8FD2A" w14:textId="77777777" w:rsidR="0082252D" w:rsidRPr="0082252D" w:rsidRDefault="0082252D" w:rsidP="0082252D">
            <w:pPr>
              <w:spacing w:after="0"/>
              <w:ind w:firstLineChars="100" w:firstLine="160"/>
              <w:rPr>
                <w:rFonts w:ascii="Arial" w:hAnsi="Arial" w:cs="Arial"/>
                <w:b/>
                <w:bCs/>
                <w:color w:val="auto"/>
                <w:sz w:val="16"/>
                <w:szCs w:val="16"/>
              </w:rPr>
            </w:pPr>
          </w:p>
        </w:tc>
        <w:tc>
          <w:tcPr>
            <w:tcW w:w="1077" w:type="dxa"/>
            <w:tcBorders>
              <w:top w:val="nil"/>
              <w:left w:val="nil"/>
              <w:bottom w:val="nil"/>
              <w:right w:val="nil"/>
            </w:tcBorders>
            <w:shd w:val="clear" w:color="auto" w:fill="auto"/>
            <w:noWrap/>
            <w:vAlign w:val="bottom"/>
            <w:hideMark/>
          </w:tcPr>
          <w:p w14:paraId="25D54000"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10510B4"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A5E6E8E" w14:textId="77777777" w:rsidR="0082252D" w:rsidRPr="0082252D" w:rsidRDefault="0082252D" w:rsidP="0082252D">
            <w:pPr>
              <w:spacing w:after="0"/>
              <w:jc w:val="right"/>
              <w:rPr>
                <w:rFonts w:ascii="Times New Roman" w:hAnsi="Times New Roman"/>
                <w:color w:val="auto"/>
                <w:sz w:val="20"/>
              </w:rPr>
            </w:pPr>
          </w:p>
        </w:tc>
      </w:tr>
      <w:tr w:rsidR="0082252D" w:rsidRPr="0082252D" w14:paraId="0DA4E611"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254D8787"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By purchase - appropriation equity</w:t>
            </w:r>
          </w:p>
        </w:tc>
        <w:tc>
          <w:tcPr>
            <w:tcW w:w="1077" w:type="dxa"/>
            <w:tcBorders>
              <w:top w:val="nil"/>
              <w:left w:val="nil"/>
              <w:bottom w:val="nil"/>
              <w:right w:val="nil"/>
            </w:tcBorders>
            <w:shd w:val="clear" w:color="auto" w:fill="auto"/>
            <w:noWrap/>
            <w:vAlign w:val="bottom"/>
            <w:hideMark/>
          </w:tcPr>
          <w:p w14:paraId="2A55116C"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1C8A2BBC"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BBC9A6B"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D7CF3E2"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w:t>
            </w:r>
          </w:p>
        </w:tc>
      </w:tr>
      <w:tr w:rsidR="0082252D" w:rsidRPr="0082252D" w14:paraId="705F8AA6" w14:textId="77777777" w:rsidTr="0082252D">
        <w:trPr>
          <w:trHeight w:val="450"/>
          <w:jc w:val="center"/>
        </w:trPr>
        <w:tc>
          <w:tcPr>
            <w:tcW w:w="3180" w:type="dxa"/>
            <w:tcBorders>
              <w:top w:val="nil"/>
              <w:left w:val="nil"/>
              <w:bottom w:val="nil"/>
              <w:right w:val="nil"/>
            </w:tcBorders>
            <w:shd w:val="clear" w:color="auto" w:fill="auto"/>
            <w:vAlign w:val="bottom"/>
            <w:hideMark/>
          </w:tcPr>
          <w:p w14:paraId="0A1AE02A"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By purchase - appropriation ordinary annual services</w:t>
            </w:r>
          </w:p>
        </w:tc>
        <w:tc>
          <w:tcPr>
            <w:tcW w:w="1077" w:type="dxa"/>
            <w:tcBorders>
              <w:top w:val="nil"/>
              <w:left w:val="nil"/>
              <w:bottom w:val="nil"/>
              <w:right w:val="nil"/>
            </w:tcBorders>
            <w:shd w:val="clear" w:color="auto" w:fill="auto"/>
            <w:noWrap/>
            <w:vAlign w:val="bottom"/>
            <w:hideMark/>
          </w:tcPr>
          <w:p w14:paraId="4416516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2,049</w:t>
            </w:r>
          </w:p>
        </w:tc>
        <w:tc>
          <w:tcPr>
            <w:tcW w:w="1077" w:type="dxa"/>
            <w:tcBorders>
              <w:top w:val="nil"/>
              <w:left w:val="nil"/>
              <w:bottom w:val="nil"/>
              <w:right w:val="nil"/>
            </w:tcBorders>
            <w:shd w:val="clear" w:color="auto" w:fill="auto"/>
            <w:noWrap/>
            <w:vAlign w:val="bottom"/>
            <w:hideMark/>
          </w:tcPr>
          <w:p w14:paraId="273D7AFE"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2,506</w:t>
            </w:r>
          </w:p>
        </w:tc>
        <w:tc>
          <w:tcPr>
            <w:tcW w:w="1020" w:type="dxa"/>
            <w:tcBorders>
              <w:top w:val="nil"/>
              <w:left w:val="nil"/>
              <w:bottom w:val="nil"/>
              <w:right w:val="nil"/>
            </w:tcBorders>
            <w:shd w:val="clear" w:color="auto" w:fill="auto"/>
            <w:noWrap/>
            <w:vAlign w:val="bottom"/>
            <w:hideMark/>
          </w:tcPr>
          <w:p w14:paraId="7CA419F1"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212</w:t>
            </w:r>
          </w:p>
        </w:tc>
        <w:tc>
          <w:tcPr>
            <w:tcW w:w="1020" w:type="dxa"/>
            <w:tcBorders>
              <w:top w:val="nil"/>
              <w:left w:val="nil"/>
              <w:bottom w:val="nil"/>
              <w:right w:val="nil"/>
            </w:tcBorders>
            <w:shd w:val="clear" w:color="auto" w:fill="auto"/>
            <w:noWrap/>
            <w:vAlign w:val="bottom"/>
            <w:hideMark/>
          </w:tcPr>
          <w:p w14:paraId="3E84312E"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4,767</w:t>
            </w:r>
          </w:p>
        </w:tc>
      </w:tr>
      <w:tr w:rsidR="0082252D" w:rsidRPr="0082252D" w14:paraId="6B13E5E6" w14:textId="77777777" w:rsidTr="0082252D">
        <w:trPr>
          <w:trHeight w:val="255"/>
          <w:jc w:val="center"/>
        </w:trPr>
        <w:tc>
          <w:tcPr>
            <w:tcW w:w="3180" w:type="dxa"/>
            <w:tcBorders>
              <w:top w:val="nil"/>
              <w:left w:val="nil"/>
              <w:bottom w:val="nil"/>
              <w:right w:val="nil"/>
            </w:tcBorders>
            <w:shd w:val="clear" w:color="auto" w:fill="auto"/>
            <w:noWrap/>
            <w:vAlign w:val="bottom"/>
            <w:hideMark/>
          </w:tcPr>
          <w:p w14:paraId="1C56F373"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 xml:space="preserve">By purchase - </w:t>
            </w:r>
            <w:proofErr w:type="spellStart"/>
            <w:r w:rsidRPr="0082252D">
              <w:rPr>
                <w:rFonts w:ascii="Arial" w:hAnsi="Arial" w:cs="Arial"/>
                <w:color w:val="auto"/>
                <w:sz w:val="16"/>
                <w:szCs w:val="16"/>
              </w:rPr>
              <w:t>RoU</w:t>
            </w:r>
            <w:proofErr w:type="spellEnd"/>
          </w:p>
        </w:tc>
        <w:tc>
          <w:tcPr>
            <w:tcW w:w="1077" w:type="dxa"/>
            <w:tcBorders>
              <w:top w:val="nil"/>
              <w:left w:val="nil"/>
              <w:bottom w:val="nil"/>
              <w:right w:val="nil"/>
            </w:tcBorders>
            <w:shd w:val="clear" w:color="auto" w:fill="auto"/>
            <w:noWrap/>
            <w:vAlign w:val="bottom"/>
            <w:hideMark/>
          </w:tcPr>
          <w:p w14:paraId="4EC6410B"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26BA1AA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C9DB32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8EF3011"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w:t>
            </w:r>
          </w:p>
        </w:tc>
      </w:tr>
      <w:tr w:rsidR="0082252D" w:rsidRPr="0082252D" w14:paraId="1C774E54"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75678DB4" w14:textId="77777777" w:rsidR="0082252D" w:rsidRPr="0082252D" w:rsidRDefault="0082252D" w:rsidP="0082252D">
            <w:pPr>
              <w:spacing w:after="0"/>
              <w:ind w:leftChars="75" w:left="143"/>
              <w:rPr>
                <w:rFonts w:ascii="Arial" w:hAnsi="Arial" w:cs="Arial"/>
                <w:b/>
                <w:bCs/>
                <w:sz w:val="16"/>
                <w:szCs w:val="16"/>
              </w:rPr>
            </w:pPr>
            <w:r w:rsidRPr="0082252D">
              <w:rPr>
                <w:rFonts w:ascii="Arial" w:hAnsi="Arial" w:cs="Arial"/>
                <w:b/>
                <w:bCs/>
                <w:sz w:val="16"/>
                <w:szCs w:val="16"/>
              </w:rPr>
              <w:t>Total additions</w:t>
            </w:r>
          </w:p>
        </w:tc>
        <w:tc>
          <w:tcPr>
            <w:tcW w:w="1077" w:type="dxa"/>
            <w:tcBorders>
              <w:top w:val="nil"/>
              <w:left w:val="nil"/>
              <w:bottom w:val="single" w:sz="4" w:space="0" w:color="auto"/>
              <w:right w:val="nil"/>
            </w:tcBorders>
            <w:shd w:val="clear" w:color="auto" w:fill="auto"/>
            <w:noWrap/>
            <w:vAlign w:val="bottom"/>
            <w:hideMark/>
          </w:tcPr>
          <w:p w14:paraId="20B43AFD"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2,049</w:t>
            </w:r>
          </w:p>
        </w:tc>
        <w:tc>
          <w:tcPr>
            <w:tcW w:w="1077" w:type="dxa"/>
            <w:tcBorders>
              <w:top w:val="nil"/>
              <w:left w:val="nil"/>
              <w:bottom w:val="single" w:sz="4" w:space="0" w:color="auto"/>
              <w:right w:val="nil"/>
            </w:tcBorders>
            <w:shd w:val="clear" w:color="auto" w:fill="auto"/>
            <w:noWrap/>
            <w:vAlign w:val="bottom"/>
            <w:hideMark/>
          </w:tcPr>
          <w:p w14:paraId="3D47B47B"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2,506</w:t>
            </w:r>
          </w:p>
        </w:tc>
        <w:tc>
          <w:tcPr>
            <w:tcW w:w="1020" w:type="dxa"/>
            <w:tcBorders>
              <w:top w:val="nil"/>
              <w:left w:val="nil"/>
              <w:bottom w:val="single" w:sz="4" w:space="0" w:color="auto"/>
              <w:right w:val="nil"/>
            </w:tcBorders>
            <w:shd w:val="clear" w:color="auto" w:fill="auto"/>
            <w:noWrap/>
            <w:vAlign w:val="bottom"/>
            <w:hideMark/>
          </w:tcPr>
          <w:p w14:paraId="02E3B1D9"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212</w:t>
            </w:r>
          </w:p>
        </w:tc>
        <w:tc>
          <w:tcPr>
            <w:tcW w:w="1020" w:type="dxa"/>
            <w:tcBorders>
              <w:top w:val="nil"/>
              <w:left w:val="nil"/>
              <w:bottom w:val="single" w:sz="4" w:space="0" w:color="auto"/>
              <w:right w:val="nil"/>
            </w:tcBorders>
            <w:shd w:val="clear" w:color="auto" w:fill="auto"/>
            <w:noWrap/>
            <w:vAlign w:val="bottom"/>
            <w:hideMark/>
          </w:tcPr>
          <w:p w14:paraId="742A792B"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4,767</w:t>
            </w:r>
          </w:p>
        </w:tc>
      </w:tr>
      <w:tr w:rsidR="0082252D" w:rsidRPr="0082252D" w14:paraId="6A2D8F9A" w14:textId="77777777" w:rsidTr="0082252D">
        <w:trPr>
          <w:trHeight w:val="283"/>
          <w:jc w:val="center"/>
        </w:trPr>
        <w:tc>
          <w:tcPr>
            <w:tcW w:w="3180" w:type="dxa"/>
            <w:tcBorders>
              <w:top w:val="nil"/>
              <w:left w:val="nil"/>
              <w:bottom w:val="nil"/>
              <w:right w:val="nil"/>
            </w:tcBorders>
            <w:shd w:val="clear" w:color="auto" w:fill="auto"/>
            <w:noWrap/>
            <w:vAlign w:val="bottom"/>
            <w:hideMark/>
          </w:tcPr>
          <w:p w14:paraId="28049FB2"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Other movements</w:t>
            </w:r>
          </w:p>
        </w:tc>
        <w:tc>
          <w:tcPr>
            <w:tcW w:w="1077" w:type="dxa"/>
            <w:tcBorders>
              <w:top w:val="nil"/>
              <w:left w:val="nil"/>
              <w:bottom w:val="nil"/>
              <w:right w:val="nil"/>
            </w:tcBorders>
            <w:shd w:val="clear" w:color="auto" w:fill="auto"/>
            <w:noWrap/>
            <w:vAlign w:val="bottom"/>
            <w:hideMark/>
          </w:tcPr>
          <w:p w14:paraId="546F2576" w14:textId="77777777" w:rsidR="0082252D" w:rsidRPr="0082252D" w:rsidRDefault="0082252D" w:rsidP="0082252D">
            <w:pPr>
              <w:spacing w:after="0"/>
              <w:rPr>
                <w:rFonts w:ascii="Arial" w:hAnsi="Arial" w:cs="Arial"/>
                <w:b/>
                <w:bCs/>
                <w:color w:val="auto"/>
                <w:sz w:val="16"/>
                <w:szCs w:val="16"/>
              </w:rPr>
            </w:pPr>
          </w:p>
        </w:tc>
        <w:tc>
          <w:tcPr>
            <w:tcW w:w="1077" w:type="dxa"/>
            <w:tcBorders>
              <w:top w:val="nil"/>
              <w:left w:val="nil"/>
              <w:bottom w:val="nil"/>
              <w:right w:val="nil"/>
            </w:tcBorders>
            <w:shd w:val="clear" w:color="auto" w:fill="auto"/>
            <w:noWrap/>
            <w:vAlign w:val="bottom"/>
            <w:hideMark/>
          </w:tcPr>
          <w:p w14:paraId="46FD09BE"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746B8ABF"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CB6C196" w14:textId="77777777" w:rsidR="0082252D" w:rsidRPr="0082252D" w:rsidRDefault="0082252D" w:rsidP="0082252D">
            <w:pPr>
              <w:spacing w:after="0"/>
              <w:jc w:val="right"/>
              <w:rPr>
                <w:rFonts w:ascii="Times New Roman" w:hAnsi="Times New Roman"/>
                <w:color w:val="auto"/>
                <w:sz w:val="20"/>
              </w:rPr>
            </w:pPr>
          </w:p>
        </w:tc>
      </w:tr>
      <w:tr w:rsidR="0082252D" w:rsidRPr="0082252D" w14:paraId="41D3390B"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70EAE74D"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Depreciation/amortisation expense</w:t>
            </w:r>
          </w:p>
        </w:tc>
        <w:tc>
          <w:tcPr>
            <w:tcW w:w="1077" w:type="dxa"/>
            <w:tcBorders>
              <w:top w:val="nil"/>
              <w:left w:val="nil"/>
              <w:bottom w:val="nil"/>
              <w:right w:val="nil"/>
            </w:tcBorders>
            <w:shd w:val="clear" w:color="auto" w:fill="auto"/>
            <w:noWrap/>
            <w:vAlign w:val="bottom"/>
            <w:hideMark/>
          </w:tcPr>
          <w:p w14:paraId="7EB86570"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(460)</w:t>
            </w:r>
          </w:p>
        </w:tc>
        <w:tc>
          <w:tcPr>
            <w:tcW w:w="1077" w:type="dxa"/>
            <w:tcBorders>
              <w:top w:val="nil"/>
              <w:left w:val="nil"/>
              <w:bottom w:val="nil"/>
              <w:right w:val="nil"/>
            </w:tcBorders>
            <w:shd w:val="clear" w:color="auto" w:fill="auto"/>
            <w:noWrap/>
            <w:vAlign w:val="bottom"/>
            <w:hideMark/>
          </w:tcPr>
          <w:p w14:paraId="03186C42"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(171)</w:t>
            </w:r>
          </w:p>
        </w:tc>
        <w:tc>
          <w:tcPr>
            <w:tcW w:w="1020" w:type="dxa"/>
            <w:tcBorders>
              <w:top w:val="nil"/>
              <w:left w:val="nil"/>
              <w:bottom w:val="nil"/>
              <w:right w:val="nil"/>
            </w:tcBorders>
            <w:shd w:val="clear" w:color="auto" w:fill="auto"/>
            <w:noWrap/>
            <w:vAlign w:val="bottom"/>
            <w:hideMark/>
          </w:tcPr>
          <w:p w14:paraId="5AFDC91C"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(168)</w:t>
            </w:r>
          </w:p>
        </w:tc>
        <w:tc>
          <w:tcPr>
            <w:tcW w:w="1020" w:type="dxa"/>
            <w:tcBorders>
              <w:top w:val="nil"/>
              <w:left w:val="nil"/>
              <w:bottom w:val="nil"/>
              <w:right w:val="nil"/>
            </w:tcBorders>
            <w:shd w:val="clear" w:color="auto" w:fill="auto"/>
            <w:noWrap/>
            <w:vAlign w:val="bottom"/>
            <w:hideMark/>
          </w:tcPr>
          <w:p w14:paraId="55192CA9"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(799)</w:t>
            </w:r>
          </w:p>
        </w:tc>
      </w:tr>
      <w:tr w:rsidR="0082252D" w:rsidRPr="0082252D" w14:paraId="59392FB2" w14:textId="77777777" w:rsidTr="0082252D">
        <w:trPr>
          <w:trHeight w:val="450"/>
          <w:jc w:val="center"/>
        </w:trPr>
        <w:tc>
          <w:tcPr>
            <w:tcW w:w="3180" w:type="dxa"/>
            <w:tcBorders>
              <w:top w:val="nil"/>
              <w:left w:val="nil"/>
              <w:bottom w:val="nil"/>
              <w:right w:val="nil"/>
            </w:tcBorders>
            <w:shd w:val="clear" w:color="auto" w:fill="auto"/>
            <w:vAlign w:val="bottom"/>
            <w:hideMark/>
          </w:tcPr>
          <w:p w14:paraId="5F40392E" w14:textId="77777777" w:rsidR="0082252D" w:rsidRPr="0082252D" w:rsidRDefault="0082252D" w:rsidP="0082252D">
            <w:pPr>
              <w:spacing w:after="0"/>
              <w:ind w:leftChars="75" w:left="143"/>
              <w:rPr>
                <w:rFonts w:ascii="Arial" w:hAnsi="Arial" w:cs="Arial"/>
                <w:sz w:val="16"/>
                <w:szCs w:val="16"/>
              </w:rPr>
            </w:pPr>
            <w:r w:rsidRPr="0082252D">
              <w:rPr>
                <w:rFonts w:ascii="Arial" w:hAnsi="Arial" w:cs="Arial"/>
                <w:sz w:val="16"/>
                <w:szCs w:val="16"/>
              </w:rPr>
              <w:t xml:space="preserve">Depreciation/amortisation expense - </w:t>
            </w:r>
            <w:proofErr w:type="spellStart"/>
            <w:r w:rsidRPr="0082252D">
              <w:rPr>
                <w:rFonts w:ascii="Arial" w:hAnsi="Arial" w:cs="Arial"/>
                <w:sz w:val="16"/>
                <w:szCs w:val="16"/>
              </w:rPr>
              <w:t>RoU</w:t>
            </w:r>
            <w:proofErr w:type="spellEnd"/>
          </w:p>
        </w:tc>
        <w:tc>
          <w:tcPr>
            <w:tcW w:w="1077" w:type="dxa"/>
            <w:tcBorders>
              <w:top w:val="nil"/>
              <w:left w:val="nil"/>
              <w:bottom w:val="nil"/>
              <w:right w:val="nil"/>
            </w:tcBorders>
            <w:shd w:val="clear" w:color="auto" w:fill="auto"/>
            <w:noWrap/>
            <w:vAlign w:val="bottom"/>
            <w:hideMark/>
          </w:tcPr>
          <w:p w14:paraId="3DDE7FE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(767)</w:t>
            </w:r>
          </w:p>
        </w:tc>
        <w:tc>
          <w:tcPr>
            <w:tcW w:w="1077" w:type="dxa"/>
            <w:tcBorders>
              <w:top w:val="nil"/>
              <w:left w:val="nil"/>
              <w:bottom w:val="nil"/>
              <w:right w:val="nil"/>
            </w:tcBorders>
            <w:shd w:val="clear" w:color="auto" w:fill="auto"/>
            <w:noWrap/>
            <w:vAlign w:val="bottom"/>
            <w:hideMark/>
          </w:tcPr>
          <w:p w14:paraId="1BDE048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F619F8B"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F3256CF"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(767)</w:t>
            </w:r>
          </w:p>
        </w:tc>
      </w:tr>
      <w:tr w:rsidR="0082252D" w:rsidRPr="0082252D" w14:paraId="4DD0E144"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01E79A1B" w14:textId="77777777" w:rsidR="0082252D" w:rsidRPr="0082252D" w:rsidRDefault="0082252D" w:rsidP="0082252D">
            <w:pPr>
              <w:spacing w:after="0"/>
              <w:ind w:leftChars="75" w:left="143"/>
              <w:rPr>
                <w:rFonts w:ascii="Arial" w:hAnsi="Arial" w:cs="Arial"/>
                <w:b/>
                <w:bCs/>
                <w:sz w:val="16"/>
                <w:szCs w:val="16"/>
              </w:rPr>
            </w:pPr>
            <w:r w:rsidRPr="0082252D">
              <w:rPr>
                <w:rFonts w:ascii="Arial" w:hAnsi="Arial" w:cs="Arial"/>
                <w:b/>
                <w:bCs/>
                <w:sz w:val="16"/>
                <w:szCs w:val="16"/>
              </w:rPr>
              <w:t>Total other movements</w:t>
            </w:r>
          </w:p>
        </w:tc>
        <w:tc>
          <w:tcPr>
            <w:tcW w:w="1077" w:type="dxa"/>
            <w:tcBorders>
              <w:top w:val="nil"/>
              <w:left w:val="nil"/>
              <w:bottom w:val="single" w:sz="4" w:space="0" w:color="auto"/>
              <w:right w:val="nil"/>
            </w:tcBorders>
            <w:shd w:val="clear" w:color="auto" w:fill="auto"/>
            <w:noWrap/>
            <w:vAlign w:val="bottom"/>
            <w:hideMark/>
          </w:tcPr>
          <w:p w14:paraId="2D0FBA81"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(1,227)</w:t>
            </w:r>
          </w:p>
        </w:tc>
        <w:tc>
          <w:tcPr>
            <w:tcW w:w="1077" w:type="dxa"/>
            <w:tcBorders>
              <w:top w:val="nil"/>
              <w:left w:val="nil"/>
              <w:bottom w:val="single" w:sz="4" w:space="0" w:color="auto"/>
              <w:right w:val="nil"/>
            </w:tcBorders>
            <w:shd w:val="clear" w:color="auto" w:fill="auto"/>
            <w:noWrap/>
            <w:vAlign w:val="bottom"/>
            <w:hideMark/>
          </w:tcPr>
          <w:p w14:paraId="4F729F49"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(171)</w:t>
            </w:r>
          </w:p>
        </w:tc>
        <w:tc>
          <w:tcPr>
            <w:tcW w:w="1020" w:type="dxa"/>
            <w:tcBorders>
              <w:top w:val="nil"/>
              <w:left w:val="nil"/>
              <w:bottom w:val="single" w:sz="4" w:space="0" w:color="auto"/>
              <w:right w:val="nil"/>
            </w:tcBorders>
            <w:shd w:val="clear" w:color="auto" w:fill="auto"/>
            <w:noWrap/>
            <w:vAlign w:val="bottom"/>
            <w:hideMark/>
          </w:tcPr>
          <w:p w14:paraId="7B559BBE"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(168)</w:t>
            </w:r>
          </w:p>
        </w:tc>
        <w:tc>
          <w:tcPr>
            <w:tcW w:w="1020" w:type="dxa"/>
            <w:tcBorders>
              <w:top w:val="nil"/>
              <w:left w:val="nil"/>
              <w:bottom w:val="single" w:sz="4" w:space="0" w:color="auto"/>
              <w:right w:val="nil"/>
            </w:tcBorders>
            <w:shd w:val="clear" w:color="auto" w:fill="auto"/>
            <w:noWrap/>
            <w:vAlign w:val="bottom"/>
            <w:hideMark/>
          </w:tcPr>
          <w:p w14:paraId="1E44BB44"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(1,566)</w:t>
            </w:r>
          </w:p>
        </w:tc>
      </w:tr>
      <w:tr w:rsidR="0082252D" w:rsidRPr="0082252D" w14:paraId="32F024C7" w14:textId="77777777" w:rsidTr="0082252D">
        <w:trPr>
          <w:trHeight w:val="283"/>
          <w:jc w:val="center"/>
        </w:trPr>
        <w:tc>
          <w:tcPr>
            <w:tcW w:w="3180" w:type="dxa"/>
            <w:tcBorders>
              <w:top w:val="nil"/>
              <w:left w:val="nil"/>
              <w:bottom w:val="nil"/>
              <w:right w:val="nil"/>
            </w:tcBorders>
            <w:shd w:val="clear" w:color="auto" w:fill="auto"/>
            <w:noWrap/>
            <w:vAlign w:val="bottom"/>
            <w:hideMark/>
          </w:tcPr>
          <w:p w14:paraId="615EC511"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As at 30 June 2023</w:t>
            </w:r>
          </w:p>
        </w:tc>
        <w:tc>
          <w:tcPr>
            <w:tcW w:w="1077" w:type="dxa"/>
            <w:tcBorders>
              <w:top w:val="nil"/>
              <w:left w:val="nil"/>
              <w:bottom w:val="nil"/>
              <w:right w:val="nil"/>
            </w:tcBorders>
            <w:shd w:val="clear" w:color="auto" w:fill="auto"/>
            <w:noWrap/>
            <w:vAlign w:val="bottom"/>
            <w:hideMark/>
          </w:tcPr>
          <w:p w14:paraId="0BBB1570" w14:textId="77777777" w:rsidR="0082252D" w:rsidRPr="0082252D" w:rsidRDefault="0082252D" w:rsidP="0082252D">
            <w:pPr>
              <w:spacing w:after="0"/>
              <w:rPr>
                <w:rFonts w:ascii="Arial" w:hAnsi="Arial" w:cs="Arial"/>
                <w:b/>
                <w:bCs/>
                <w:color w:val="auto"/>
                <w:sz w:val="16"/>
                <w:szCs w:val="16"/>
              </w:rPr>
            </w:pPr>
          </w:p>
        </w:tc>
        <w:tc>
          <w:tcPr>
            <w:tcW w:w="1077" w:type="dxa"/>
            <w:tcBorders>
              <w:top w:val="nil"/>
              <w:left w:val="nil"/>
              <w:bottom w:val="nil"/>
              <w:right w:val="nil"/>
            </w:tcBorders>
            <w:shd w:val="clear" w:color="auto" w:fill="auto"/>
            <w:noWrap/>
            <w:vAlign w:val="bottom"/>
            <w:hideMark/>
          </w:tcPr>
          <w:p w14:paraId="2332319F"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7A6629F" w14:textId="77777777" w:rsidR="0082252D" w:rsidRPr="0082252D" w:rsidRDefault="0082252D" w:rsidP="0082252D">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5226101" w14:textId="77777777" w:rsidR="0082252D" w:rsidRPr="0082252D" w:rsidRDefault="0082252D" w:rsidP="0082252D">
            <w:pPr>
              <w:spacing w:after="0"/>
              <w:jc w:val="right"/>
              <w:rPr>
                <w:rFonts w:ascii="Times New Roman" w:hAnsi="Times New Roman"/>
                <w:color w:val="auto"/>
                <w:sz w:val="20"/>
              </w:rPr>
            </w:pPr>
          </w:p>
        </w:tc>
      </w:tr>
      <w:tr w:rsidR="0082252D" w:rsidRPr="0082252D" w14:paraId="332763C1"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41BFAFB9"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Gross book value</w:t>
            </w:r>
          </w:p>
        </w:tc>
        <w:tc>
          <w:tcPr>
            <w:tcW w:w="1077" w:type="dxa"/>
            <w:tcBorders>
              <w:top w:val="nil"/>
              <w:left w:val="nil"/>
              <w:bottom w:val="nil"/>
              <w:right w:val="nil"/>
            </w:tcBorders>
            <w:shd w:val="clear" w:color="auto" w:fill="auto"/>
            <w:noWrap/>
            <w:vAlign w:val="bottom"/>
            <w:hideMark/>
          </w:tcPr>
          <w:p w14:paraId="71C5265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3,903</w:t>
            </w:r>
          </w:p>
        </w:tc>
        <w:tc>
          <w:tcPr>
            <w:tcW w:w="1077" w:type="dxa"/>
            <w:tcBorders>
              <w:top w:val="nil"/>
              <w:left w:val="nil"/>
              <w:bottom w:val="nil"/>
              <w:right w:val="nil"/>
            </w:tcBorders>
            <w:shd w:val="clear" w:color="auto" w:fill="auto"/>
            <w:noWrap/>
            <w:vAlign w:val="bottom"/>
            <w:hideMark/>
          </w:tcPr>
          <w:p w14:paraId="335CEB84"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3,702</w:t>
            </w:r>
          </w:p>
        </w:tc>
        <w:tc>
          <w:tcPr>
            <w:tcW w:w="1020" w:type="dxa"/>
            <w:tcBorders>
              <w:top w:val="nil"/>
              <w:left w:val="nil"/>
              <w:bottom w:val="nil"/>
              <w:right w:val="nil"/>
            </w:tcBorders>
            <w:shd w:val="clear" w:color="auto" w:fill="auto"/>
            <w:noWrap/>
            <w:vAlign w:val="bottom"/>
            <w:hideMark/>
          </w:tcPr>
          <w:p w14:paraId="0EC3F00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4,116</w:t>
            </w:r>
          </w:p>
        </w:tc>
        <w:tc>
          <w:tcPr>
            <w:tcW w:w="1020" w:type="dxa"/>
            <w:tcBorders>
              <w:top w:val="nil"/>
              <w:left w:val="nil"/>
              <w:bottom w:val="nil"/>
              <w:right w:val="nil"/>
            </w:tcBorders>
            <w:shd w:val="clear" w:color="auto" w:fill="auto"/>
            <w:noWrap/>
            <w:vAlign w:val="bottom"/>
            <w:hideMark/>
          </w:tcPr>
          <w:p w14:paraId="0DDB5A64"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11,721</w:t>
            </w:r>
          </w:p>
        </w:tc>
      </w:tr>
      <w:tr w:rsidR="0082252D" w:rsidRPr="0082252D" w14:paraId="22447961" w14:textId="77777777" w:rsidTr="0082252D">
        <w:trPr>
          <w:trHeight w:val="225"/>
          <w:jc w:val="center"/>
        </w:trPr>
        <w:tc>
          <w:tcPr>
            <w:tcW w:w="3180" w:type="dxa"/>
            <w:tcBorders>
              <w:top w:val="nil"/>
              <w:left w:val="nil"/>
              <w:bottom w:val="nil"/>
              <w:right w:val="nil"/>
            </w:tcBorders>
            <w:shd w:val="clear" w:color="auto" w:fill="auto"/>
            <w:noWrap/>
            <w:vAlign w:val="bottom"/>
            <w:hideMark/>
          </w:tcPr>
          <w:p w14:paraId="092AAA26"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 xml:space="preserve">Gross book value - </w:t>
            </w:r>
            <w:proofErr w:type="spellStart"/>
            <w:r w:rsidRPr="0082252D">
              <w:rPr>
                <w:rFonts w:ascii="Arial" w:hAnsi="Arial" w:cs="Arial"/>
                <w:color w:val="auto"/>
                <w:sz w:val="16"/>
                <w:szCs w:val="16"/>
              </w:rPr>
              <w:t>RoU</w:t>
            </w:r>
            <w:proofErr w:type="spellEnd"/>
          </w:p>
        </w:tc>
        <w:tc>
          <w:tcPr>
            <w:tcW w:w="1077" w:type="dxa"/>
            <w:tcBorders>
              <w:top w:val="nil"/>
              <w:left w:val="nil"/>
              <w:bottom w:val="nil"/>
              <w:right w:val="nil"/>
            </w:tcBorders>
            <w:shd w:val="clear" w:color="auto" w:fill="auto"/>
            <w:noWrap/>
            <w:vAlign w:val="bottom"/>
            <w:hideMark/>
          </w:tcPr>
          <w:p w14:paraId="44CE2EC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7,875</w:t>
            </w:r>
          </w:p>
        </w:tc>
        <w:tc>
          <w:tcPr>
            <w:tcW w:w="1077" w:type="dxa"/>
            <w:tcBorders>
              <w:top w:val="nil"/>
              <w:left w:val="nil"/>
              <w:bottom w:val="nil"/>
              <w:right w:val="nil"/>
            </w:tcBorders>
            <w:shd w:val="clear" w:color="auto" w:fill="auto"/>
            <w:noWrap/>
            <w:vAlign w:val="bottom"/>
            <w:hideMark/>
          </w:tcPr>
          <w:p w14:paraId="34E539E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8EAE97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70B9448"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7,875</w:t>
            </w:r>
          </w:p>
        </w:tc>
      </w:tr>
      <w:tr w:rsidR="0082252D" w:rsidRPr="0082252D" w14:paraId="5F4983FB" w14:textId="77777777" w:rsidTr="0082252D">
        <w:trPr>
          <w:trHeight w:val="432"/>
          <w:jc w:val="center"/>
        </w:trPr>
        <w:tc>
          <w:tcPr>
            <w:tcW w:w="3180" w:type="dxa"/>
            <w:tcBorders>
              <w:top w:val="nil"/>
              <w:left w:val="nil"/>
              <w:bottom w:val="nil"/>
              <w:right w:val="nil"/>
            </w:tcBorders>
            <w:shd w:val="clear" w:color="auto" w:fill="auto"/>
            <w:vAlign w:val="bottom"/>
            <w:hideMark/>
          </w:tcPr>
          <w:p w14:paraId="37F1554E"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Accumulated depreciation/ amortisation and impairment</w:t>
            </w:r>
          </w:p>
        </w:tc>
        <w:tc>
          <w:tcPr>
            <w:tcW w:w="1077" w:type="dxa"/>
            <w:tcBorders>
              <w:top w:val="nil"/>
              <w:left w:val="nil"/>
              <w:bottom w:val="nil"/>
              <w:right w:val="nil"/>
            </w:tcBorders>
            <w:shd w:val="clear" w:color="auto" w:fill="auto"/>
            <w:noWrap/>
            <w:vAlign w:val="bottom"/>
            <w:hideMark/>
          </w:tcPr>
          <w:p w14:paraId="40626DB9"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(862)</w:t>
            </w:r>
          </w:p>
        </w:tc>
        <w:tc>
          <w:tcPr>
            <w:tcW w:w="1077" w:type="dxa"/>
            <w:tcBorders>
              <w:top w:val="nil"/>
              <w:left w:val="nil"/>
              <w:bottom w:val="nil"/>
              <w:right w:val="nil"/>
            </w:tcBorders>
            <w:shd w:val="clear" w:color="auto" w:fill="auto"/>
            <w:noWrap/>
            <w:vAlign w:val="bottom"/>
            <w:hideMark/>
          </w:tcPr>
          <w:p w14:paraId="1B182AA0"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(839)</w:t>
            </w:r>
          </w:p>
        </w:tc>
        <w:tc>
          <w:tcPr>
            <w:tcW w:w="1020" w:type="dxa"/>
            <w:tcBorders>
              <w:top w:val="nil"/>
              <w:left w:val="nil"/>
              <w:bottom w:val="nil"/>
              <w:right w:val="nil"/>
            </w:tcBorders>
            <w:shd w:val="clear" w:color="auto" w:fill="auto"/>
            <w:noWrap/>
            <w:vAlign w:val="bottom"/>
            <w:hideMark/>
          </w:tcPr>
          <w:p w14:paraId="0927FC7E"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(4,017)</w:t>
            </w:r>
          </w:p>
        </w:tc>
        <w:tc>
          <w:tcPr>
            <w:tcW w:w="1020" w:type="dxa"/>
            <w:tcBorders>
              <w:top w:val="nil"/>
              <w:left w:val="nil"/>
              <w:bottom w:val="nil"/>
              <w:right w:val="nil"/>
            </w:tcBorders>
            <w:shd w:val="clear" w:color="auto" w:fill="auto"/>
            <w:noWrap/>
            <w:vAlign w:val="bottom"/>
            <w:hideMark/>
          </w:tcPr>
          <w:p w14:paraId="5E0E225F"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(5,718)</w:t>
            </w:r>
          </w:p>
        </w:tc>
      </w:tr>
      <w:tr w:rsidR="0082252D" w:rsidRPr="0082252D" w14:paraId="3346C981" w14:textId="77777777" w:rsidTr="0082252D">
        <w:trPr>
          <w:trHeight w:val="432"/>
          <w:jc w:val="center"/>
        </w:trPr>
        <w:tc>
          <w:tcPr>
            <w:tcW w:w="3180" w:type="dxa"/>
            <w:tcBorders>
              <w:top w:val="nil"/>
              <w:left w:val="nil"/>
              <w:bottom w:val="nil"/>
              <w:right w:val="nil"/>
            </w:tcBorders>
            <w:shd w:val="clear" w:color="auto" w:fill="auto"/>
            <w:vAlign w:val="bottom"/>
            <w:hideMark/>
          </w:tcPr>
          <w:p w14:paraId="22591C7C"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 xml:space="preserve">Accumulated depreciation/ amortisation and impairment - </w:t>
            </w:r>
            <w:proofErr w:type="spellStart"/>
            <w:r w:rsidRPr="0082252D">
              <w:rPr>
                <w:rFonts w:ascii="Arial" w:hAnsi="Arial" w:cs="Arial"/>
                <w:color w:val="auto"/>
                <w:sz w:val="16"/>
                <w:szCs w:val="16"/>
              </w:rPr>
              <w:t>RoU</w:t>
            </w:r>
            <w:proofErr w:type="spellEnd"/>
          </w:p>
        </w:tc>
        <w:tc>
          <w:tcPr>
            <w:tcW w:w="1077" w:type="dxa"/>
            <w:tcBorders>
              <w:top w:val="nil"/>
              <w:left w:val="nil"/>
              <w:bottom w:val="single" w:sz="4" w:space="0" w:color="auto"/>
              <w:right w:val="nil"/>
            </w:tcBorders>
            <w:shd w:val="clear" w:color="auto" w:fill="auto"/>
            <w:noWrap/>
            <w:vAlign w:val="bottom"/>
            <w:hideMark/>
          </w:tcPr>
          <w:p w14:paraId="4FA694E4"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(3,805)</w:t>
            </w:r>
          </w:p>
        </w:tc>
        <w:tc>
          <w:tcPr>
            <w:tcW w:w="1077" w:type="dxa"/>
            <w:tcBorders>
              <w:top w:val="nil"/>
              <w:left w:val="nil"/>
              <w:bottom w:val="single" w:sz="4" w:space="0" w:color="auto"/>
              <w:right w:val="nil"/>
            </w:tcBorders>
            <w:shd w:val="clear" w:color="auto" w:fill="auto"/>
            <w:noWrap/>
            <w:vAlign w:val="bottom"/>
            <w:hideMark/>
          </w:tcPr>
          <w:p w14:paraId="44AAD27C"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6859A8D9"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2AF89D0"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(3,805)</w:t>
            </w:r>
          </w:p>
        </w:tc>
      </w:tr>
      <w:tr w:rsidR="0082252D" w:rsidRPr="0082252D" w14:paraId="28BA7A74" w14:textId="77777777" w:rsidTr="0082252D">
        <w:trPr>
          <w:trHeight w:val="225"/>
          <w:jc w:val="center"/>
        </w:trPr>
        <w:tc>
          <w:tcPr>
            <w:tcW w:w="3180" w:type="dxa"/>
            <w:tcBorders>
              <w:top w:val="nil"/>
              <w:left w:val="nil"/>
              <w:bottom w:val="single" w:sz="4" w:space="0" w:color="auto"/>
              <w:right w:val="nil"/>
            </w:tcBorders>
            <w:shd w:val="clear" w:color="auto" w:fill="auto"/>
            <w:noWrap/>
            <w:vAlign w:val="bottom"/>
            <w:hideMark/>
          </w:tcPr>
          <w:p w14:paraId="3DAD24A4"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Closing net book balance</w:t>
            </w:r>
          </w:p>
        </w:tc>
        <w:tc>
          <w:tcPr>
            <w:tcW w:w="1077" w:type="dxa"/>
            <w:tcBorders>
              <w:top w:val="nil"/>
              <w:left w:val="nil"/>
              <w:bottom w:val="single" w:sz="4" w:space="0" w:color="auto"/>
              <w:right w:val="nil"/>
            </w:tcBorders>
            <w:shd w:val="clear" w:color="auto" w:fill="auto"/>
            <w:noWrap/>
            <w:vAlign w:val="bottom"/>
            <w:hideMark/>
          </w:tcPr>
          <w:p w14:paraId="36638C0F"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7,111</w:t>
            </w:r>
          </w:p>
        </w:tc>
        <w:tc>
          <w:tcPr>
            <w:tcW w:w="1077" w:type="dxa"/>
            <w:tcBorders>
              <w:top w:val="nil"/>
              <w:left w:val="nil"/>
              <w:bottom w:val="single" w:sz="4" w:space="0" w:color="auto"/>
              <w:right w:val="nil"/>
            </w:tcBorders>
            <w:shd w:val="clear" w:color="auto" w:fill="auto"/>
            <w:noWrap/>
            <w:vAlign w:val="bottom"/>
            <w:hideMark/>
          </w:tcPr>
          <w:p w14:paraId="2400E52E"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2,863</w:t>
            </w:r>
          </w:p>
        </w:tc>
        <w:tc>
          <w:tcPr>
            <w:tcW w:w="1020" w:type="dxa"/>
            <w:tcBorders>
              <w:top w:val="nil"/>
              <w:left w:val="nil"/>
              <w:bottom w:val="single" w:sz="4" w:space="0" w:color="auto"/>
              <w:right w:val="nil"/>
            </w:tcBorders>
            <w:shd w:val="clear" w:color="auto" w:fill="auto"/>
            <w:noWrap/>
            <w:vAlign w:val="bottom"/>
            <w:hideMark/>
          </w:tcPr>
          <w:p w14:paraId="5164E55C"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99</w:t>
            </w:r>
          </w:p>
        </w:tc>
        <w:tc>
          <w:tcPr>
            <w:tcW w:w="1020" w:type="dxa"/>
            <w:tcBorders>
              <w:top w:val="single" w:sz="4" w:space="0" w:color="auto"/>
              <w:left w:val="nil"/>
              <w:bottom w:val="single" w:sz="4" w:space="0" w:color="auto"/>
              <w:right w:val="nil"/>
            </w:tcBorders>
            <w:shd w:val="clear" w:color="auto" w:fill="auto"/>
            <w:noWrap/>
            <w:vAlign w:val="bottom"/>
            <w:hideMark/>
          </w:tcPr>
          <w:p w14:paraId="26BFD77C"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10,073</w:t>
            </w:r>
          </w:p>
        </w:tc>
      </w:tr>
    </w:tbl>
    <w:p w14:paraId="2DE54738" w14:textId="2C5010F8" w:rsidR="0082252D" w:rsidRDefault="0082252D" w:rsidP="0082252D">
      <w:pPr>
        <w:pStyle w:val="FootnoteText"/>
        <w:spacing w:before="120"/>
      </w:pPr>
      <w:proofErr w:type="spellStart"/>
      <w:r w:rsidRPr="0082252D">
        <w:t>RoU</w:t>
      </w:r>
      <w:proofErr w:type="spellEnd"/>
      <w:r w:rsidRPr="0082252D">
        <w:t xml:space="preserve"> = Right-of-Use asset</w:t>
      </w:r>
    </w:p>
    <w:p w14:paraId="1C0880B7" w14:textId="77777777" w:rsidR="0082252D" w:rsidRDefault="0082252D">
      <w:pPr>
        <w:spacing w:after="160" w:line="259" w:lineRule="auto"/>
        <w:rPr>
          <w:rFonts w:ascii="Arial" w:hAnsi="Arial"/>
          <w:b/>
          <w:color w:val="auto"/>
          <w:sz w:val="20"/>
        </w:rPr>
      </w:pPr>
      <w:r>
        <w:rPr>
          <w:rFonts w:ascii="Arial" w:hAnsi="Arial"/>
          <w:b/>
          <w:color w:val="auto"/>
          <w:sz w:val="20"/>
        </w:rPr>
        <w:br w:type="page"/>
      </w:r>
    </w:p>
    <w:p w14:paraId="319992EB" w14:textId="42E9BD1B" w:rsidR="00884F73" w:rsidRPr="00884F73" w:rsidRDefault="00884F73" w:rsidP="0026049D">
      <w:pPr>
        <w:keepNext/>
        <w:spacing w:before="120"/>
        <w:rPr>
          <w:rFonts w:ascii="Arial" w:hAnsi="Arial"/>
          <w:b/>
          <w:color w:val="auto"/>
          <w:sz w:val="20"/>
        </w:rPr>
      </w:pPr>
      <w:r w:rsidRPr="00884F73">
        <w:rPr>
          <w:rFonts w:ascii="Arial" w:hAnsi="Arial"/>
          <w:b/>
          <w:color w:val="auto"/>
          <w:sz w:val="20"/>
        </w:rPr>
        <w:lastRenderedPageBreak/>
        <w:t>Table 3.7: Schedule of budgeted income and expenses administered on behalf of Government (for the period ended 30 June)</w:t>
      </w:r>
    </w:p>
    <w:tbl>
      <w:tblPr>
        <w:tblW w:w="7389" w:type="dxa"/>
        <w:jc w:val="center"/>
        <w:tblLayout w:type="fixed"/>
        <w:tblLook w:val="04A0" w:firstRow="1" w:lastRow="0" w:firstColumn="1" w:lastColumn="0" w:noHBand="0" w:noVBand="1"/>
      </w:tblPr>
      <w:tblGrid>
        <w:gridCol w:w="2977"/>
        <w:gridCol w:w="964"/>
        <w:gridCol w:w="862"/>
        <w:gridCol w:w="862"/>
        <w:gridCol w:w="862"/>
        <w:gridCol w:w="862"/>
      </w:tblGrid>
      <w:tr w:rsidR="0082252D" w:rsidRPr="0082252D" w14:paraId="6CA22D1A" w14:textId="77777777" w:rsidTr="00760DE2">
        <w:trPr>
          <w:trHeight w:val="765"/>
          <w:jc w:val="center"/>
        </w:trPr>
        <w:tc>
          <w:tcPr>
            <w:tcW w:w="2977" w:type="dxa"/>
            <w:tcBorders>
              <w:top w:val="single" w:sz="4" w:space="0" w:color="auto"/>
              <w:left w:val="nil"/>
              <w:bottom w:val="nil"/>
              <w:right w:val="nil"/>
            </w:tcBorders>
            <w:shd w:val="clear" w:color="auto" w:fill="auto"/>
            <w:hideMark/>
          </w:tcPr>
          <w:p w14:paraId="2B1D5B57"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 </w:t>
            </w:r>
          </w:p>
        </w:tc>
        <w:tc>
          <w:tcPr>
            <w:tcW w:w="964" w:type="dxa"/>
            <w:tcBorders>
              <w:top w:val="single" w:sz="4" w:space="0" w:color="auto"/>
              <w:left w:val="nil"/>
              <w:bottom w:val="single" w:sz="4" w:space="0" w:color="auto"/>
              <w:right w:val="nil"/>
            </w:tcBorders>
            <w:shd w:val="clear" w:color="auto" w:fill="auto"/>
            <w:tcMar>
              <w:left w:w="0" w:type="dxa"/>
            </w:tcMar>
            <w:hideMark/>
          </w:tcPr>
          <w:p w14:paraId="2045D85F"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2021–22 Estimated actual</w:t>
            </w:r>
            <w:r w:rsidRPr="0082252D">
              <w:rPr>
                <w:rFonts w:ascii="Arial" w:hAnsi="Arial" w:cs="Arial"/>
                <w:b/>
                <w:bCs/>
                <w:color w:val="auto"/>
                <w:sz w:val="16"/>
                <w:szCs w:val="16"/>
              </w:rPr>
              <w:br/>
            </w:r>
            <w:r w:rsidRPr="0082252D">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000000" w:fill="D9D9D9"/>
            <w:tcMar>
              <w:left w:w="0" w:type="dxa"/>
            </w:tcMar>
            <w:hideMark/>
          </w:tcPr>
          <w:p w14:paraId="328A7E18"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 xml:space="preserve">2022–23 Budget </w:t>
            </w:r>
            <w:r w:rsidRPr="0082252D">
              <w:rPr>
                <w:rFonts w:ascii="Arial" w:hAnsi="Arial" w:cs="Arial"/>
                <w:b/>
                <w:bCs/>
                <w:color w:val="auto"/>
                <w:sz w:val="16"/>
                <w:szCs w:val="16"/>
              </w:rPr>
              <w:br/>
            </w:r>
            <w:r w:rsidRPr="0082252D">
              <w:rPr>
                <w:rFonts w:ascii="Arial" w:hAnsi="Arial" w:cs="Arial"/>
                <w:b/>
                <w:bCs/>
                <w:color w:val="auto"/>
                <w:sz w:val="16"/>
                <w:szCs w:val="16"/>
              </w:rPr>
              <w:br/>
            </w:r>
            <w:r w:rsidRPr="0082252D">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auto" w:fill="auto"/>
            <w:tcMar>
              <w:left w:w="0" w:type="dxa"/>
            </w:tcMar>
            <w:hideMark/>
          </w:tcPr>
          <w:p w14:paraId="0614206F"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2023–24 Forward estimate</w:t>
            </w:r>
            <w:r w:rsidRPr="0082252D">
              <w:rPr>
                <w:rFonts w:ascii="Arial" w:hAnsi="Arial" w:cs="Arial"/>
                <w:b/>
                <w:bCs/>
                <w:color w:val="auto"/>
                <w:sz w:val="16"/>
                <w:szCs w:val="16"/>
              </w:rPr>
              <w:br/>
            </w:r>
            <w:r w:rsidRPr="0082252D">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auto" w:fill="auto"/>
            <w:tcMar>
              <w:left w:w="0" w:type="dxa"/>
            </w:tcMar>
            <w:hideMark/>
          </w:tcPr>
          <w:p w14:paraId="4D2D0143"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2024–25 Forward estimate</w:t>
            </w:r>
            <w:r w:rsidRPr="0082252D">
              <w:rPr>
                <w:rFonts w:ascii="Arial" w:hAnsi="Arial" w:cs="Arial"/>
                <w:b/>
                <w:bCs/>
                <w:color w:val="auto"/>
                <w:sz w:val="16"/>
                <w:szCs w:val="16"/>
              </w:rPr>
              <w:br/>
            </w:r>
            <w:r w:rsidRPr="0082252D">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auto" w:fill="auto"/>
            <w:tcMar>
              <w:left w:w="0" w:type="dxa"/>
            </w:tcMar>
            <w:hideMark/>
          </w:tcPr>
          <w:p w14:paraId="5296575B" w14:textId="77777777" w:rsidR="0082252D" w:rsidRPr="0082252D" w:rsidRDefault="0082252D" w:rsidP="0082252D">
            <w:pPr>
              <w:spacing w:before="40" w:after="0"/>
              <w:jc w:val="right"/>
              <w:rPr>
                <w:rFonts w:ascii="Arial" w:hAnsi="Arial" w:cs="Arial"/>
                <w:b/>
                <w:bCs/>
                <w:color w:val="auto"/>
                <w:sz w:val="16"/>
                <w:szCs w:val="16"/>
              </w:rPr>
            </w:pPr>
            <w:r w:rsidRPr="0082252D">
              <w:rPr>
                <w:rFonts w:ascii="Arial" w:hAnsi="Arial" w:cs="Arial"/>
                <w:b/>
                <w:bCs/>
                <w:color w:val="auto"/>
                <w:sz w:val="16"/>
                <w:szCs w:val="16"/>
              </w:rPr>
              <w:t>2025–26 Forward estimate</w:t>
            </w:r>
            <w:r w:rsidRPr="0082252D">
              <w:rPr>
                <w:rFonts w:ascii="Arial" w:hAnsi="Arial" w:cs="Arial"/>
                <w:b/>
                <w:bCs/>
                <w:color w:val="auto"/>
                <w:sz w:val="16"/>
                <w:szCs w:val="16"/>
              </w:rPr>
              <w:br/>
            </w:r>
            <w:r w:rsidRPr="0082252D">
              <w:rPr>
                <w:rFonts w:ascii="Arial" w:hAnsi="Arial" w:cs="Arial"/>
                <w:color w:val="auto"/>
                <w:sz w:val="16"/>
                <w:szCs w:val="16"/>
              </w:rPr>
              <w:t>$'000</w:t>
            </w:r>
          </w:p>
        </w:tc>
      </w:tr>
      <w:tr w:rsidR="00760DE2" w:rsidRPr="0082252D" w14:paraId="5456896B" w14:textId="77777777" w:rsidTr="00760DE2">
        <w:trPr>
          <w:trHeight w:val="397"/>
          <w:jc w:val="center"/>
        </w:trPr>
        <w:tc>
          <w:tcPr>
            <w:tcW w:w="2977" w:type="dxa"/>
            <w:tcBorders>
              <w:top w:val="nil"/>
              <w:left w:val="nil"/>
              <w:bottom w:val="nil"/>
              <w:right w:val="nil"/>
            </w:tcBorders>
            <w:shd w:val="clear" w:color="auto" w:fill="auto"/>
            <w:vAlign w:val="bottom"/>
            <w:hideMark/>
          </w:tcPr>
          <w:p w14:paraId="24A91FA1"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EXPENSES ADMINISTERED ON BEHALF OF GOVERNMENT</w:t>
            </w:r>
          </w:p>
        </w:tc>
        <w:tc>
          <w:tcPr>
            <w:tcW w:w="964" w:type="dxa"/>
            <w:tcBorders>
              <w:top w:val="nil"/>
              <w:left w:val="nil"/>
              <w:bottom w:val="nil"/>
              <w:right w:val="nil"/>
            </w:tcBorders>
            <w:shd w:val="clear" w:color="auto" w:fill="auto"/>
            <w:noWrap/>
            <w:vAlign w:val="bottom"/>
            <w:hideMark/>
          </w:tcPr>
          <w:p w14:paraId="072F2D99" w14:textId="77777777" w:rsidR="0082252D" w:rsidRPr="0082252D" w:rsidRDefault="0082252D" w:rsidP="0082252D">
            <w:pPr>
              <w:spacing w:after="0"/>
              <w:rPr>
                <w:rFonts w:ascii="Arial" w:hAnsi="Arial" w:cs="Arial"/>
                <w:b/>
                <w:bCs/>
                <w:color w:val="auto"/>
                <w:sz w:val="16"/>
                <w:szCs w:val="16"/>
              </w:rPr>
            </w:pPr>
          </w:p>
        </w:tc>
        <w:tc>
          <w:tcPr>
            <w:tcW w:w="862" w:type="dxa"/>
            <w:tcBorders>
              <w:top w:val="nil"/>
              <w:left w:val="nil"/>
              <w:bottom w:val="nil"/>
              <w:right w:val="nil"/>
            </w:tcBorders>
            <w:shd w:val="clear" w:color="000000" w:fill="D9D9D9"/>
            <w:noWrap/>
            <w:vAlign w:val="bottom"/>
            <w:hideMark/>
          </w:tcPr>
          <w:p w14:paraId="37F4EC59"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4A1BDACA" w14:textId="77777777" w:rsidR="0082252D" w:rsidRPr="0082252D" w:rsidRDefault="0082252D" w:rsidP="0082252D">
            <w:pPr>
              <w:spacing w:after="0"/>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29A543A9" w14:textId="77777777" w:rsidR="0082252D" w:rsidRPr="0082252D" w:rsidRDefault="0082252D" w:rsidP="0082252D">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442180C9" w14:textId="77777777" w:rsidR="0082252D" w:rsidRPr="0082252D" w:rsidRDefault="0082252D" w:rsidP="0082252D">
            <w:pPr>
              <w:spacing w:after="0"/>
              <w:jc w:val="right"/>
              <w:rPr>
                <w:rFonts w:ascii="Times New Roman" w:hAnsi="Times New Roman"/>
                <w:color w:val="auto"/>
                <w:sz w:val="20"/>
              </w:rPr>
            </w:pPr>
          </w:p>
        </w:tc>
      </w:tr>
      <w:tr w:rsidR="00760DE2" w:rsidRPr="0082252D" w14:paraId="6ADC439B" w14:textId="77777777" w:rsidTr="00760DE2">
        <w:trPr>
          <w:trHeight w:val="170"/>
          <w:jc w:val="center"/>
        </w:trPr>
        <w:tc>
          <w:tcPr>
            <w:tcW w:w="2977" w:type="dxa"/>
            <w:tcBorders>
              <w:top w:val="nil"/>
              <w:left w:val="nil"/>
              <w:bottom w:val="nil"/>
              <w:right w:val="nil"/>
            </w:tcBorders>
            <w:shd w:val="clear" w:color="auto" w:fill="auto"/>
            <w:noWrap/>
            <w:vAlign w:val="bottom"/>
            <w:hideMark/>
          </w:tcPr>
          <w:p w14:paraId="16E2A504" w14:textId="77777777" w:rsidR="0082252D" w:rsidRPr="0082252D" w:rsidRDefault="0082252D" w:rsidP="0082252D">
            <w:pPr>
              <w:spacing w:after="0"/>
              <w:ind w:leftChars="75" w:left="143"/>
              <w:rPr>
                <w:rFonts w:ascii="Arial" w:hAnsi="Arial" w:cs="Arial"/>
                <w:color w:val="auto"/>
                <w:sz w:val="16"/>
                <w:szCs w:val="16"/>
              </w:rPr>
            </w:pPr>
            <w:r w:rsidRPr="0082252D">
              <w:rPr>
                <w:rFonts w:ascii="Arial" w:hAnsi="Arial" w:cs="Arial"/>
                <w:color w:val="auto"/>
                <w:sz w:val="16"/>
                <w:szCs w:val="16"/>
              </w:rPr>
              <w:t>Suppliers</w:t>
            </w:r>
          </w:p>
        </w:tc>
        <w:tc>
          <w:tcPr>
            <w:tcW w:w="964" w:type="dxa"/>
            <w:tcBorders>
              <w:top w:val="nil"/>
              <w:left w:val="nil"/>
              <w:bottom w:val="nil"/>
              <w:right w:val="nil"/>
            </w:tcBorders>
            <w:shd w:val="clear" w:color="auto" w:fill="auto"/>
            <w:noWrap/>
            <w:vAlign w:val="bottom"/>
            <w:hideMark/>
          </w:tcPr>
          <w:p w14:paraId="0FE1477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1,396,321</w:t>
            </w:r>
          </w:p>
        </w:tc>
        <w:tc>
          <w:tcPr>
            <w:tcW w:w="862" w:type="dxa"/>
            <w:tcBorders>
              <w:top w:val="nil"/>
              <w:left w:val="nil"/>
              <w:bottom w:val="nil"/>
              <w:right w:val="nil"/>
            </w:tcBorders>
            <w:shd w:val="clear" w:color="000000" w:fill="D9D9D9"/>
            <w:noWrap/>
            <w:tcMar>
              <w:left w:w="0" w:type="dxa"/>
            </w:tcMar>
            <w:vAlign w:val="bottom"/>
            <w:hideMark/>
          </w:tcPr>
          <w:p w14:paraId="507EB4B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1,579,416</w:t>
            </w:r>
          </w:p>
        </w:tc>
        <w:tc>
          <w:tcPr>
            <w:tcW w:w="862" w:type="dxa"/>
            <w:tcBorders>
              <w:top w:val="nil"/>
              <w:left w:val="nil"/>
              <w:bottom w:val="nil"/>
              <w:right w:val="nil"/>
            </w:tcBorders>
            <w:shd w:val="clear" w:color="auto" w:fill="auto"/>
            <w:noWrap/>
            <w:tcMar>
              <w:left w:w="0" w:type="dxa"/>
            </w:tcMar>
            <w:vAlign w:val="bottom"/>
            <w:hideMark/>
          </w:tcPr>
          <w:p w14:paraId="27E76ADB"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1,670,875</w:t>
            </w:r>
          </w:p>
        </w:tc>
        <w:tc>
          <w:tcPr>
            <w:tcW w:w="862" w:type="dxa"/>
            <w:tcBorders>
              <w:top w:val="nil"/>
              <w:left w:val="nil"/>
              <w:bottom w:val="nil"/>
              <w:right w:val="nil"/>
            </w:tcBorders>
            <w:shd w:val="clear" w:color="auto" w:fill="auto"/>
            <w:noWrap/>
            <w:tcMar>
              <w:left w:w="0" w:type="dxa"/>
            </w:tcMar>
            <w:vAlign w:val="bottom"/>
            <w:hideMark/>
          </w:tcPr>
          <w:p w14:paraId="73FB2AF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1,773,067</w:t>
            </w:r>
          </w:p>
        </w:tc>
        <w:tc>
          <w:tcPr>
            <w:tcW w:w="862" w:type="dxa"/>
            <w:tcBorders>
              <w:top w:val="nil"/>
              <w:left w:val="nil"/>
              <w:bottom w:val="nil"/>
              <w:right w:val="nil"/>
            </w:tcBorders>
            <w:shd w:val="clear" w:color="auto" w:fill="auto"/>
            <w:noWrap/>
            <w:tcMar>
              <w:left w:w="0" w:type="dxa"/>
            </w:tcMar>
            <w:vAlign w:val="bottom"/>
            <w:hideMark/>
          </w:tcPr>
          <w:p w14:paraId="05AD77DE"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1,950,173</w:t>
            </w:r>
          </w:p>
        </w:tc>
      </w:tr>
      <w:tr w:rsidR="00760DE2" w:rsidRPr="0082252D" w14:paraId="4255A9B0" w14:textId="77777777" w:rsidTr="00760DE2">
        <w:trPr>
          <w:trHeight w:val="225"/>
          <w:jc w:val="center"/>
        </w:trPr>
        <w:tc>
          <w:tcPr>
            <w:tcW w:w="2977" w:type="dxa"/>
            <w:tcBorders>
              <w:top w:val="nil"/>
              <w:left w:val="nil"/>
              <w:bottom w:val="nil"/>
              <w:right w:val="nil"/>
            </w:tcBorders>
            <w:shd w:val="clear" w:color="auto" w:fill="auto"/>
            <w:noWrap/>
            <w:vAlign w:val="bottom"/>
            <w:hideMark/>
          </w:tcPr>
          <w:p w14:paraId="1F1A87D9" w14:textId="77777777" w:rsidR="0082252D" w:rsidRPr="0082252D" w:rsidRDefault="0082252D" w:rsidP="0082252D">
            <w:pPr>
              <w:spacing w:after="0"/>
              <w:ind w:leftChars="75" w:left="143"/>
              <w:rPr>
                <w:rFonts w:ascii="Arial" w:hAnsi="Arial" w:cs="Arial"/>
                <w:sz w:val="16"/>
                <w:szCs w:val="16"/>
              </w:rPr>
            </w:pPr>
            <w:r w:rsidRPr="0082252D">
              <w:rPr>
                <w:rFonts w:ascii="Arial" w:hAnsi="Arial" w:cs="Arial"/>
                <w:sz w:val="16"/>
                <w:szCs w:val="16"/>
              </w:rPr>
              <w:t>Grants</w:t>
            </w:r>
          </w:p>
        </w:tc>
        <w:tc>
          <w:tcPr>
            <w:tcW w:w="964" w:type="dxa"/>
            <w:tcBorders>
              <w:top w:val="nil"/>
              <w:left w:val="nil"/>
              <w:bottom w:val="nil"/>
              <w:right w:val="nil"/>
            </w:tcBorders>
            <w:shd w:val="clear" w:color="auto" w:fill="auto"/>
            <w:noWrap/>
            <w:vAlign w:val="bottom"/>
            <w:hideMark/>
          </w:tcPr>
          <w:p w14:paraId="57DA511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372</w:t>
            </w:r>
          </w:p>
        </w:tc>
        <w:tc>
          <w:tcPr>
            <w:tcW w:w="862" w:type="dxa"/>
            <w:tcBorders>
              <w:top w:val="nil"/>
              <w:left w:val="nil"/>
              <w:bottom w:val="nil"/>
              <w:right w:val="nil"/>
            </w:tcBorders>
            <w:shd w:val="clear" w:color="000000" w:fill="D9D9D9"/>
            <w:noWrap/>
            <w:tcMar>
              <w:left w:w="0" w:type="dxa"/>
            </w:tcMar>
            <w:vAlign w:val="bottom"/>
            <w:hideMark/>
          </w:tcPr>
          <w:p w14:paraId="6D65E79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7971D4C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1EFCE98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6797B70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r>
      <w:tr w:rsidR="00760DE2" w:rsidRPr="0082252D" w14:paraId="0656EDFB" w14:textId="77777777" w:rsidTr="00760DE2">
        <w:trPr>
          <w:trHeight w:val="225"/>
          <w:jc w:val="center"/>
        </w:trPr>
        <w:tc>
          <w:tcPr>
            <w:tcW w:w="2977" w:type="dxa"/>
            <w:tcBorders>
              <w:top w:val="nil"/>
              <w:left w:val="nil"/>
              <w:bottom w:val="nil"/>
              <w:right w:val="nil"/>
            </w:tcBorders>
            <w:shd w:val="clear" w:color="auto" w:fill="auto"/>
            <w:noWrap/>
            <w:vAlign w:val="bottom"/>
            <w:hideMark/>
          </w:tcPr>
          <w:p w14:paraId="6B5BA179" w14:textId="77777777" w:rsidR="0082252D" w:rsidRPr="0082252D" w:rsidRDefault="0082252D" w:rsidP="0082252D">
            <w:pPr>
              <w:spacing w:after="0"/>
              <w:ind w:leftChars="75" w:left="143"/>
              <w:rPr>
                <w:rFonts w:ascii="Arial" w:hAnsi="Arial" w:cs="Arial"/>
                <w:sz w:val="16"/>
                <w:szCs w:val="16"/>
              </w:rPr>
            </w:pPr>
            <w:r w:rsidRPr="0082252D">
              <w:rPr>
                <w:rFonts w:ascii="Arial" w:hAnsi="Arial" w:cs="Arial"/>
                <w:sz w:val="16"/>
                <w:szCs w:val="16"/>
              </w:rPr>
              <w:t>Employee benefits</w:t>
            </w:r>
          </w:p>
        </w:tc>
        <w:tc>
          <w:tcPr>
            <w:tcW w:w="964" w:type="dxa"/>
            <w:tcBorders>
              <w:top w:val="nil"/>
              <w:left w:val="nil"/>
              <w:bottom w:val="nil"/>
              <w:right w:val="nil"/>
            </w:tcBorders>
            <w:shd w:val="clear" w:color="auto" w:fill="auto"/>
            <w:noWrap/>
            <w:vAlign w:val="bottom"/>
            <w:hideMark/>
          </w:tcPr>
          <w:p w14:paraId="354E854F"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869</w:t>
            </w:r>
          </w:p>
        </w:tc>
        <w:tc>
          <w:tcPr>
            <w:tcW w:w="862" w:type="dxa"/>
            <w:tcBorders>
              <w:top w:val="nil"/>
              <w:left w:val="nil"/>
              <w:bottom w:val="nil"/>
              <w:right w:val="nil"/>
            </w:tcBorders>
            <w:shd w:val="clear" w:color="000000" w:fill="D9D9D9"/>
            <w:noWrap/>
            <w:tcMar>
              <w:left w:w="0" w:type="dxa"/>
            </w:tcMar>
            <w:vAlign w:val="bottom"/>
            <w:hideMark/>
          </w:tcPr>
          <w:p w14:paraId="205D065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2BC8D488"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528E1D3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3104204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r>
      <w:tr w:rsidR="00760DE2" w:rsidRPr="0082252D" w14:paraId="0948FE9B" w14:textId="77777777" w:rsidTr="00760DE2">
        <w:trPr>
          <w:trHeight w:val="225"/>
          <w:jc w:val="center"/>
        </w:trPr>
        <w:tc>
          <w:tcPr>
            <w:tcW w:w="2977" w:type="dxa"/>
            <w:tcBorders>
              <w:top w:val="nil"/>
              <w:left w:val="nil"/>
              <w:bottom w:val="nil"/>
              <w:right w:val="nil"/>
            </w:tcBorders>
            <w:shd w:val="clear" w:color="auto" w:fill="auto"/>
            <w:noWrap/>
            <w:vAlign w:val="bottom"/>
            <w:hideMark/>
          </w:tcPr>
          <w:p w14:paraId="4FF473C6" w14:textId="77777777" w:rsidR="0082252D" w:rsidRPr="0082252D" w:rsidRDefault="0082252D" w:rsidP="0082252D">
            <w:pPr>
              <w:spacing w:after="0"/>
              <w:ind w:leftChars="75" w:left="143"/>
              <w:rPr>
                <w:rFonts w:ascii="Arial" w:hAnsi="Arial" w:cs="Arial"/>
                <w:sz w:val="16"/>
                <w:szCs w:val="16"/>
              </w:rPr>
            </w:pPr>
            <w:r w:rsidRPr="0082252D">
              <w:rPr>
                <w:rFonts w:ascii="Arial" w:hAnsi="Arial" w:cs="Arial"/>
                <w:sz w:val="16"/>
                <w:szCs w:val="16"/>
              </w:rPr>
              <w:t>Depreciation and amortisation</w:t>
            </w:r>
          </w:p>
        </w:tc>
        <w:tc>
          <w:tcPr>
            <w:tcW w:w="964" w:type="dxa"/>
            <w:tcBorders>
              <w:top w:val="nil"/>
              <w:left w:val="nil"/>
              <w:bottom w:val="nil"/>
              <w:right w:val="nil"/>
            </w:tcBorders>
            <w:shd w:val="clear" w:color="auto" w:fill="auto"/>
            <w:noWrap/>
            <w:vAlign w:val="bottom"/>
            <w:hideMark/>
          </w:tcPr>
          <w:p w14:paraId="700A589B"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1,933</w:t>
            </w:r>
          </w:p>
        </w:tc>
        <w:tc>
          <w:tcPr>
            <w:tcW w:w="862" w:type="dxa"/>
            <w:tcBorders>
              <w:top w:val="nil"/>
              <w:left w:val="nil"/>
              <w:bottom w:val="nil"/>
              <w:right w:val="nil"/>
            </w:tcBorders>
            <w:shd w:val="clear" w:color="000000" w:fill="D9D9D9"/>
            <w:noWrap/>
            <w:tcMar>
              <w:left w:w="0" w:type="dxa"/>
            </w:tcMar>
            <w:vAlign w:val="bottom"/>
            <w:hideMark/>
          </w:tcPr>
          <w:p w14:paraId="57F61ECE"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18089F4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1DD3237D"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auto" w:fill="auto"/>
            <w:noWrap/>
            <w:tcMar>
              <w:left w:w="0" w:type="dxa"/>
            </w:tcMar>
            <w:vAlign w:val="bottom"/>
            <w:hideMark/>
          </w:tcPr>
          <w:p w14:paraId="48052AD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r>
      <w:tr w:rsidR="00760DE2" w:rsidRPr="0082252D" w14:paraId="0569AF0D" w14:textId="77777777" w:rsidTr="00760DE2">
        <w:trPr>
          <w:trHeight w:val="454"/>
          <w:jc w:val="center"/>
        </w:trPr>
        <w:tc>
          <w:tcPr>
            <w:tcW w:w="2977" w:type="dxa"/>
            <w:tcBorders>
              <w:top w:val="nil"/>
              <w:left w:val="nil"/>
              <w:bottom w:val="nil"/>
              <w:right w:val="nil"/>
            </w:tcBorders>
            <w:shd w:val="clear" w:color="auto" w:fill="auto"/>
            <w:vAlign w:val="bottom"/>
            <w:hideMark/>
          </w:tcPr>
          <w:p w14:paraId="505C2FE3"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Total expenses administered on behalf of Government</w:t>
            </w:r>
          </w:p>
        </w:tc>
        <w:tc>
          <w:tcPr>
            <w:tcW w:w="964" w:type="dxa"/>
            <w:tcBorders>
              <w:top w:val="nil"/>
              <w:left w:val="nil"/>
              <w:bottom w:val="single" w:sz="4" w:space="0" w:color="auto"/>
              <w:right w:val="nil"/>
            </w:tcBorders>
            <w:shd w:val="clear" w:color="auto" w:fill="auto"/>
            <w:noWrap/>
            <w:vAlign w:val="bottom"/>
            <w:hideMark/>
          </w:tcPr>
          <w:p w14:paraId="7BA5FE6A"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1,399,495</w:t>
            </w:r>
          </w:p>
        </w:tc>
        <w:tc>
          <w:tcPr>
            <w:tcW w:w="862" w:type="dxa"/>
            <w:tcBorders>
              <w:top w:val="nil"/>
              <w:left w:val="nil"/>
              <w:bottom w:val="single" w:sz="4" w:space="0" w:color="auto"/>
              <w:right w:val="nil"/>
            </w:tcBorders>
            <w:shd w:val="clear" w:color="000000" w:fill="D9D9D9"/>
            <w:noWrap/>
            <w:tcMar>
              <w:left w:w="0" w:type="dxa"/>
            </w:tcMar>
            <w:vAlign w:val="bottom"/>
            <w:hideMark/>
          </w:tcPr>
          <w:p w14:paraId="2A1E1861"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1,579,416</w:t>
            </w:r>
          </w:p>
        </w:tc>
        <w:tc>
          <w:tcPr>
            <w:tcW w:w="862" w:type="dxa"/>
            <w:tcBorders>
              <w:top w:val="nil"/>
              <w:left w:val="nil"/>
              <w:bottom w:val="single" w:sz="4" w:space="0" w:color="auto"/>
              <w:right w:val="nil"/>
            </w:tcBorders>
            <w:shd w:val="clear" w:color="auto" w:fill="auto"/>
            <w:noWrap/>
            <w:tcMar>
              <w:left w:w="0" w:type="dxa"/>
            </w:tcMar>
            <w:vAlign w:val="bottom"/>
            <w:hideMark/>
          </w:tcPr>
          <w:p w14:paraId="5F99FC0E"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1,670,875</w:t>
            </w:r>
          </w:p>
        </w:tc>
        <w:tc>
          <w:tcPr>
            <w:tcW w:w="862" w:type="dxa"/>
            <w:tcBorders>
              <w:top w:val="nil"/>
              <w:left w:val="nil"/>
              <w:bottom w:val="single" w:sz="4" w:space="0" w:color="auto"/>
              <w:right w:val="nil"/>
            </w:tcBorders>
            <w:shd w:val="clear" w:color="auto" w:fill="auto"/>
            <w:noWrap/>
            <w:tcMar>
              <w:left w:w="0" w:type="dxa"/>
            </w:tcMar>
            <w:vAlign w:val="bottom"/>
            <w:hideMark/>
          </w:tcPr>
          <w:p w14:paraId="3167957B"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1,773,067</w:t>
            </w:r>
          </w:p>
        </w:tc>
        <w:tc>
          <w:tcPr>
            <w:tcW w:w="862" w:type="dxa"/>
            <w:tcBorders>
              <w:top w:val="nil"/>
              <w:left w:val="nil"/>
              <w:bottom w:val="single" w:sz="4" w:space="0" w:color="auto"/>
              <w:right w:val="nil"/>
            </w:tcBorders>
            <w:shd w:val="clear" w:color="auto" w:fill="auto"/>
            <w:noWrap/>
            <w:tcMar>
              <w:left w:w="0" w:type="dxa"/>
            </w:tcMar>
            <w:vAlign w:val="bottom"/>
            <w:hideMark/>
          </w:tcPr>
          <w:p w14:paraId="6DDE54D7"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1,950,173</w:t>
            </w:r>
          </w:p>
        </w:tc>
      </w:tr>
      <w:tr w:rsidR="00760DE2" w:rsidRPr="0082252D" w14:paraId="4ED84202" w14:textId="77777777" w:rsidTr="00760DE2">
        <w:trPr>
          <w:trHeight w:val="454"/>
          <w:jc w:val="center"/>
        </w:trPr>
        <w:tc>
          <w:tcPr>
            <w:tcW w:w="2977" w:type="dxa"/>
            <w:tcBorders>
              <w:top w:val="nil"/>
              <w:left w:val="nil"/>
              <w:bottom w:val="nil"/>
              <w:right w:val="nil"/>
            </w:tcBorders>
            <w:shd w:val="clear" w:color="auto" w:fill="auto"/>
            <w:vAlign w:val="bottom"/>
            <w:hideMark/>
          </w:tcPr>
          <w:p w14:paraId="426D2B69" w14:textId="77777777" w:rsidR="0082252D" w:rsidRPr="0082252D" w:rsidRDefault="0082252D" w:rsidP="0082252D">
            <w:pPr>
              <w:spacing w:after="0"/>
              <w:rPr>
                <w:rFonts w:ascii="Arial" w:hAnsi="Arial" w:cs="Arial"/>
                <w:b/>
                <w:bCs/>
                <w:color w:val="auto"/>
                <w:sz w:val="16"/>
                <w:szCs w:val="16"/>
              </w:rPr>
            </w:pPr>
            <w:r w:rsidRPr="0082252D">
              <w:rPr>
                <w:rFonts w:ascii="Arial" w:hAnsi="Arial" w:cs="Arial"/>
                <w:b/>
                <w:bCs/>
                <w:color w:val="auto"/>
                <w:sz w:val="16"/>
                <w:szCs w:val="16"/>
              </w:rPr>
              <w:t>INCOME ADMINISTERED ON BEHALF OF GOVERNMENT</w:t>
            </w:r>
          </w:p>
        </w:tc>
        <w:tc>
          <w:tcPr>
            <w:tcW w:w="964" w:type="dxa"/>
            <w:tcBorders>
              <w:top w:val="nil"/>
              <w:left w:val="nil"/>
              <w:bottom w:val="nil"/>
              <w:right w:val="nil"/>
            </w:tcBorders>
            <w:shd w:val="clear" w:color="auto" w:fill="auto"/>
            <w:noWrap/>
            <w:vAlign w:val="bottom"/>
            <w:hideMark/>
          </w:tcPr>
          <w:p w14:paraId="712742FE" w14:textId="77777777" w:rsidR="0082252D" w:rsidRPr="0082252D" w:rsidRDefault="0082252D" w:rsidP="0082252D">
            <w:pPr>
              <w:spacing w:after="0"/>
              <w:rPr>
                <w:rFonts w:ascii="Arial" w:hAnsi="Arial" w:cs="Arial"/>
                <w:b/>
                <w:bCs/>
                <w:color w:val="auto"/>
                <w:sz w:val="16"/>
                <w:szCs w:val="16"/>
              </w:rPr>
            </w:pPr>
          </w:p>
        </w:tc>
        <w:tc>
          <w:tcPr>
            <w:tcW w:w="862" w:type="dxa"/>
            <w:tcBorders>
              <w:top w:val="nil"/>
              <w:left w:val="nil"/>
              <w:bottom w:val="nil"/>
              <w:right w:val="nil"/>
            </w:tcBorders>
            <w:shd w:val="clear" w:color="000000" w:fill="D9D9D9"/>
            <w:noWrap/>
            <w:tcMar>
              <w:left w:w="0" w:type="dxa"/>
            </w:tcMar>
            <w:vAlign w:val="bottom"/>
            <w:hideMark/>
          </w:tcPr>
          <w:p w14:paraId="0A42010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62" w:type="dxa"/>
            <w:tcBorders>
              <w:top w:val="nil"/>
              <w:left w:val="nil"/>
              <w:bottom w:val="nil"/>
              <w:right w:val="nil"/>
            </w:tcBorders>
            <w:shd w:val="clear" w:color="auto" w:fill="auto"/>
            <w:noWrap/>
            <w:tcMar>
              <w:left w:w="0" w:type="dxa"/>
            </w:tcMar>
            <w:vAlign w:val="bottom"/>
            <w:hideMark/>
          </w:tcPr>
          <w:p w14:paraId="212E8C5D" w14:textId="77777777" w:rsidR="0082252D" w:rsidRPr="0082252D" w:rsidRDefault="0082252D" w:rsidP="0082252D">
            <w:pPr>
              <w:spacing w:after="0"/>
              <w:jc w:val="right"/>
              <w:rPr>
                <w:rFonts w:ascii="Arial" w:hAnsi="Arial" w:cs="Arial"/>
                <w:sz w:val="16"/>
                <w:szCs w:val="16"/>
              </w:rPr>
            </w:pPr>
          </w:p>
        </w:tc>
        <w:tc>
          <w:tcPr>
            <w:tcW w:w="862" w:type="dxa"/>
            <w:tcBorders>
              <w:top w:val="nil"/>
              <w:left w:val="nil"/>
              <w:bottom w:val="nil"/>
              <w:right w:val="nil"/>
            </w:tcBorders>
            <w:shd w:val="clear" w:color="auto" w:fill="auto"/>
            <w:noWrap/>
            <w:tcMar>
              <w:left w:w="0" w:type="dxa"/>
            </w:tcMar>
            <w:vAlign w:val="bottom"/>
            <w:hideMark/>
          </w:tcPr>
          <w:p w14:paraId="11CB9A50" w14:textId="77777777" w:rsidR="0082252D" w:rsidRPr="0082252D" w:rsidRDefault="0082252D" w:rsidP="0082252D">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tcMar>
              <w:left w:w="0" w:type="dxa"/>
            </w:tcMar>
            <w:vAlign w:val="bottom"/>
            <w:hideMark/>
          </w:tcPr>
          <w:p w14:paraId="4AEBB053" w14:textId="77777777" w:rsidR="0082252D" w:rsidRPr="0082252D" w:rsidRDefault="0082252D" w:rsidP="0082252D">
            <w:pPr>
              <w:spacing w:after="0"/>
              <w:jc w:val="right"/>
              <w:rPr>
                <w:rFonts w:ascii="Times New Roman" w:hAnsi="Times New Roman"/>
                <w:color w:val="auto"/>
                <w:sz w:val="20"/>
              </w:rPr>
            </w:pPr>
          </w:p>
        </w:tc>
      </w:tr>
      <w:tr w:rsidR="00760DE2" w:rsidRPr="0082252D" w14:paraId="181F9804" w14:textId="77777777" w:rsidTr="00760DE2">
        <w:trPr>
          <w:trHeight w:val="225"/>
          <w:jc w:val="center"/>
        </w:trPr>
        <w:tc>
          <w:tcPr>
            <w:tcW w:w="2977" w:type="dxa"/>
            <w:tcBorders>
              <w:top w:val="nil"/>
              <w:left w:val="nil"/>
              <w:bottom w:val="nil"/>
              <w:right w:val="nil"/>
            </w:tcBorders>
            <w:shd w:val="clear" w:color="auto" w:fill="auto"/>
            <w:noWrap/>
            <w:vAlign w:val="bottom"/>
            <w:hideMark/>
          </w:tcPr>
          <w:p w14:paraId="5969291B"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Revenue</w:t>
            </w:r>
          </w:p>
        </w:tc>
        <w:tc>
          <w:tcPr>
            <w:tcW w:w="964" w:type="dxa"/>
            <w:tcBorders>
              <w:top w:val="nil"/>
              <w:left w:val="nil"/>
              <w:bottom w:val="nil"/>
              <w:right w:val="nil"/>
            </w:tcBorders>
            <w:shd w:val="clear" w:color="auto" w:fill="auto"/>
            <w:noWrap/>
            <w:vAlign w:val="bottom"/>
            <w:hideMark/>
          </w:tcPr>
          <w:p w14:paraId="325ADD9B" w14:textId="77777777" w:rsidR="0082252D" w:rsidRPr="0082252D" w:rsidRDefault="0082252D" w:rsidP="0082252D">
            <w:pPr>
              <w:spacing w:after="0"/>
              <w:ind w:firstLineChars="100" w:firstLine="160"/>
              <w:rPr>
                <w:rFonts w:ascii="Arial" w:hAnsi="Arial" w:cs="Arial"/>
                <w:b/>
                <w:bCs/>
                <w:color w:val="auto"/>
                <w:sz w:val="16"/>
                <w:szCs w:val="16"/>
              </w:rPr>
            </w:pPr>
          </w:p>
        </w:tc>
        <w:tc>
          <w:tcPr>
            <w:tcW w:w="862" w:type="dxa"/>
            <w:tcBorders>
              <w:top w:val="nil"/>
              <w:left w:val="nil"/>
              <w:bottom w:val="nil"/>
              <w:right w:val="nil"/>
            </w:tcBorders>
            <w:shd w:val="clear" w:color="000000" w:fill="D9D9D9"/>
            <w:noWrap/>
            <w:tcMar>
              <w:left w:w="0" w:type="dxa"/>
            </w:tcMar>
            <w:vAlign w:val="bottom"/>
            <w:hideMark/>
          </w:tcPr>
          <w:p w14:paraId="62F45341"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62" w:type="dxa"/>
            <w:tcBorders>
              <w:top w:val="nil"/>
              <w:left w:val="nil"/>
              <w:bottom w:val="nil"/>
              <w:right w:val="nil"/>
            </w:tcBorders>
            <w:shd w:val="clear" w:color="auto" w:fill="auto"/>
            <w:noWrap/>
            <w:tcMar>
              <w:left w:w="0" w:type="dxa"/>
            </w:tcMar>
            <w:vAlign w:val="bottom"/>
            <w:hideMark/>
          </w:tcPr>
          <w:p w14:paraId="522ADD8C" w14:textId="77777777" w:rsidR="0082252D" w:rsidRPr="0082252D" w:rsidRDefault="0082252D" w:rsidP="0082252D">
            <w:pPr>
              <w:spacing w:after="0"/>
              <w:jc w:val="right"/>
              <w:rPr>
                <w:rFonts w:ascii="Arial" w:hAnsi="Arial" w:cs="Arial"/>
                <w:sz w:val="16"/>
                <w:szCs w:val="16"/>
              </w:rPr>
            </w:pPr>
          </w:p>
        </w:tc>
        <w:tc>
          <w:tcPr>
            <w:tcW w:w="862" w:type="dxa"/>
            <w:tcBorders>
              <w:top w:val="nil"/>
              <w:left w:val="nil"/>
              <w:bottom w:val="nil"/>
              <w:right w:val="nil"/>
            </w:tcBorders>
            <w:shd w:val="clear" w:color="auto" w:fill="auto"/>
            <w:noWrap/>
            <w:tcMar>
              <w:left w:w="0" w:type="dxa"/>
            </w:tcMar>
            <w:vAlign w:val="bottom"/>
            <w:hideMark/>
          </w:tcPr>
          <w:p w14:paraId="51822424" w14:textId="77777777" w:rsidR="0082252D" w:rsidRPr="0082252D" w:rsidRDefault="0082252D" w:rsidP="0082252D">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tcMar>
              <w:left w:w="0" w:type="dxa"/>
            </w:tcMar>
            <w:vAlign w:val="bottom"/>
            <w:hideMark/>
          </w:tcPr>
          <w:p w14:paraId="08B16295" w14:textId="77777777" w:rsidR="0082252D" w:rsidRPr="0082252D" w:rsidRDefault="0082252D" w:rsidP="0082252D">
            <w:pPr>
              <w:spacing w:after="0"/>
              <w:jc w:val="right"/>
              <w:rPr>
                <w:rFonts w:ascii="Times New Roman" w:hAnsi="Times New Roman"/>
                <w:color w:val="auto"/>
                <w:sz w:val="20"/>
              </w:rPr>
            </w:pPr>
          </w:p>
        </w:tc>
      </w:tr>
      <w:tr w:rsidR="00760DE2" w:rsidRPr="0082252D" w14:paraId="3010CE0A" w14:textId="77777777" w:rsidTr="00760DE2">
        <w:trPr>
          <w:trHeight w:val="225"/>
          <w:jc w:val="center"/>
        </w:trPr>
        <w:tc>
          <w:tcPr>
            <w:tcW w:w="2977" w:type="dxa"/>
            <w:tcBorders>
              <w:top w:val="nil"/>
              <w:left w:val="nil"/>
              <w:bottom w:val="nil"/>
              <w:right w:val="nil"/>
            </w:tcBorders>
            <w:shd w:val="clear" w:color="auto" w:fill="auto"/>
            <w:noWrap/>
            <w:vAlign w:val="bottom"/>
            <w:hideMark/>
          </w:tcPr>
          <w:p w14:paraId="0F17998A" w14:textId="77777777" w:rsidR="0082252D" w:rsidRPr="0082252D" w:rsidRDefault="0082252D" w:rsidP="0082252D">
            <w:pPr>
              <w:spacing w:after="0"/>
              <w:ind w:firstLineChars="200" w:firstLine="320"/>
              <w:rPr>
                <w:rFonts w:ascii="Arial" w:hAnsi="Arial" w:cs="Arial"/>
                <w:b/>
                <w:bCs/>
                <w:color w:val="auto"/>
                <w:sz w:val="16"/>
                <w:szCs w:val="16"/>
              </w:rPr>
            </w:pPr>
            <w:r w:rsidRPr="0082252D">
              <w:rPr>
                <w:rFonts w:ascii="Arial" w:hAnsi="Arial" w:cs="Arial"/>
                <w:b/>
                <w:bCs/>
                <w:color w:val="auto"/>
                <w:sz w:val="16"/>
                <w:szCs w:val="16"/>
              </w:rPr>
              <w:t>Non-taxation</w:t>
            </w:r>
          </w:p>
        </w:tc>
        <w:tc>
          <w:tcPr>
            <w:tcW w:w="964" w:type="dxa"/>
            <w:tcBorders>
              <w:top w:val="nil"/>
              <w:left w:val="nil"/>
              <w:bottom w:val="nil"/>
              <w:right w:val="nil"/>
            </w:tcBorders>
            <w:shd w:val="clear" w:color="auto" w:fill="auto"/>
            <w:noWrap/>
            <w:vAlign w:val="bottom"/>
            <w:hideMark/>
          </w:tcPr>
          <w:p w14:paraId="1769EC92" w14:textId="77777777" w:rsidR="0082252D" w:rsidRPr="0082252D" w:rsidRDefault="0082252D" w:rsidP="0082252D">
            <w:pPr>
              <w:spacing w:after="0"/>
              <w:ind w:firstLineChars="200" w:firstLine="320"/>
              <w:rPr>
                <w:rFonts w:ascii="Arial" w:hAnsi="Arial" w:cs="Arial"/>
                <w:b/>
                <w:bCs/>
                <w:color w:val="auto"/>
                <w:sz w:val="16"/>
                <w:szCs w:val="16"/>
              </w:rPr>
            </w:pPr>
          </w:p>
        </w:tc>
        <w:tc>
          <w:tcPr>
            <w:tcW w:w="862" w:type="dxa"/>
            <w:tcBorders>
              <w:top w:val="nil"/>
              <w:left w:val="nil"/>
              <w:bottom w:val="nil"/>
              <w:right w:val="nil"/>
            </w:tcBorders>
            <w:shd w:val="clear" w:color="000000" w:fill="D9D9D9"/>
            <w:noWrap/>
            <w:tcMar>
              <w:left w:w="0" w:type="dxa"/>
            </w:tcMar>
            <w:vAlign w:val="bottom"/>
            <w:hideMark/>
          </w:tcPr>
          <w:p w14:paraId="55A561AC"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 </w:t>
            </w:r>
          </w:p>
        </w:tc>
        <w:tc>
          <w:tcPr>
            <w:tcW w:w="862" w:type="dxa"/>
            <w:tcBorders>
              <w:top w:val="nil"/>
              <w:left w:val="nil"/>
              <w:bottom w:val="nil"/>
              <w:right w:val="nil"/>
            </w:tcBorders>
            <w:shd w:val="clear" w:color="auto" w:fill="auto"/>
            <w:noWrap/>
            <w:tcMar>
              <w:left w:w="0" w:type="dxa"/>
            </w:tcMar>
            <w:vAlign w:val="bottom"/>
            <w:hideMark/>
          </w:tcPr>
          <w:p w14:paraId="44A0EC02" w14:textId="77777777" w:rsidR="0082252D" w:rsidRPr="0082252D" w:rsidRDefault="0082252D" w:rsidP="0082252D">
            <w:pPr>
              <w:spacing w:after="0"/>
              <w:jc w:val="right"/>
              <w:rPr>
                <w:rFonts w:ascii="Arial" w:hAnsi="Arial" w:cs="Arial"/>
                <w:sz w:val="16"/>
                <w:szCs w:val="16"/>
              </w:rPr>
            </w:pPr>
          </w:p>
        </w:tc>
        <w:tc>
          <w:tcPr>
            <w:tcW w:w="862" w:type="dxa"/>
            <w:tcBorders>
              <w:top w:val="nil"/>
              <w:left w:val="nil"/>
              <w:bottom w:val="nil"/>
              <w:right w:val="nil"/>
            </w:tcBorders>
            <w:shd w:val="clear" w:color="auto" w:fill="auto"/>
            <w:noWrap/>
            <w:tcMar>
              <w:left w:w="0" w:type="dxa"/>
            </w:tcMar>
            <w:vAlign w:val="bottom"/>
            <w:hideMark/>
          </w:tcPr>
          <w:p w14:paraId="6C8AF179" w14:textId="77777777" w:rsidR="0082252D" w:rsidRPr="0082252D" w:rsidRDefault="0082252D" w:rsidP="0082252D">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tcMar>
              <w:left w:w="0" w:type="dxa"/>
            </w:tcMar>
            <w:vAlign w:val="bottom"/>
            <w:hideMark/>
          </w:tcPr>
          <w:p w14:paraId="295EAC9D" w14:textId="77777777" w:rsidR="0082252D" w:rsidRPr="0082252D" w:rsidRDefault="0082252D" w:rsidP="0082252D">
            <w:pPr>
              <w:spacing w:after="0"/>
              <w:jc w:val="right"/>
              <w:rPr>
                <w:rFonts w:ascii="Times New Roman" w:hAnsi="Times New Roman"/>
                <w:color w:val="auto"/>
                <w:sz w:val="20"/>
              </w:rPr>
            </w:pPr>
          </w:p>
        </w:tc>
      </w:tr>
      <w:tr w:rsidR="00760DE2" w:rsidRPr="0082252D" w14:paraId="2FA216E6" w14:textId="77777777" w:rsidTr="00760DE2">
        <w:trPr>
          <w:trHeight w:val="225"/>
          <w:jc w:val="center"/>
        </w:trPr>
        <w:tc>
          <w:tcPr>
            <w:tcW w:w="2977" w:type="dxa"/>
            <w:tcBorders>
              <w:top w:val="nil"/>
              <w:left w:val="nil"/>
              <w:bottom w:val="nil"/>
              <w:right w:val="nil"/>
            </w:tcBorders>
            <w:shd w:val="clear" w:color="auto" w:fill="auto"/>
            <w:noWrap/>
            <w:vAlign w:val="bottom"/>
            <w:hideMark/>
          </w:tcPr>
          <w:p w14:paraId="0FBD28A8" w14:textId="77777777" w:rsidR="0082252D" w:rsidRPr="0082252D" w:rsidRDefault="0082252D" w:rsidP="0082252D">
            <w:pPr>
              <w:spacing w:after="0"/>
              <w:ind w:firstLineChars="300" w:firstLine="480"/>
              <w:rPr>
                <w:rFonts w:ascii="Arial" w:hAnsi="Arial" w:cs="Arial"/>
                <w:color w:val="auto"/>
                <w:sz w:val="16"/>
                <w:szCs w:val="16"/>
              </w:rPr>
            </w:pPr>
            <w:r w:rsidRPr="0082252D">
              <w:rPr>
                <w:rFonts w:ascii="Arial" w:hAnsi="Arial" w:cs="Arial"/>
                <w:color w:val="auto"/>
                <w:sz w:val="16"/>
                <w:szCs w:val="16"/>
              </w:rPr>
              <w:t>Sales of goods and services</w:t>
            </w:r>
          </w:p>
        </w:tc>
        <w:tc>
          <w:tcPr>
            <w:tcW w:w="964" w:type="dxa"/>
            <w:tcBorders>
              <w:top w:val="nil"/>
              <w:left w:val="nil"/>
              <w:bottom w:val="nil"/>
              <w:right w:val="nil"/>
            </w:tcBorders>
            <w:shd w:val="clear" w:color="auto" w:fill="auto"/>
            <w:noWrap/>
            <w:vAlign w:val="bottom"/>
            <w:hideMark/>
          </w:tcPr>
          <w:p w14:paraId="66CD726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1,468,979</w:t>
            </w:r>
          </w:p>
        </w:tc>
        <w:tc>
          <w:tcPr>
            <w:tcW w:w="862" w:type="dxa"/>
            <w:tcBorders>
              <w:top w:val="nil"/>
              <w:left w:val="nil"/>
              <w:bottom w:val="nil"/>
              <w:right w:val="nil"/>
            </w:tcBorders>
            <w:shd w:val="clear" w:color="000000" w:fill="D9D9D9"/>
            <w:noWrap/>
            <w:tcMar>
              <w:left w:w="0" w:type="dxa"/>
            </w:tcMar>
            <w:vAlign w:val="bottom"/>
            <w:hideMark/>
          </w:tcPr>
          <w:p w14:paraId="72AA83D3"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1,583,885</w:t>
            </w:r>
          </w:p>
        </w:tc>
        <w:tc>
          <w:tcPr>
            <w:tcW w:w="862" w:type="dxa"/>
            <w:tcBorders>
              <w:top w:val="nil"/>
              <w:left w:val="nil"/>
              <w:bottom w:val="nil"/>
              <w:right w:val="nil"/>
            </w:tcBorders>
            <w:shd w:val="clear" w:color="auto" w:fill="auto"/>
            <w:noWrap/>
            <w:tcMar>
              <w:left w:w="0" w:type="dxa"/>
            </w:tcMar>
            <w:vAlign w:val="bottom"/>
            <w:hideMark/>
          </w:tcPr>
          <w:p w14:paraId="12902E84"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1,675,333</w:t>
            </w:r>
          </w:p>
        </w:tc>
        <w:tc>
          <w:tcPr>
            <w:tcW w:w="862" w:type="dxa"/>
            <w:tcBorders>
              <w:top w:val="nil"/>
              <w:left w:val="nil"/>
              <w:bottom w:val="nil"/>
              <w:right w:val="nil"/>
            </w:tcBorders>
            <w:shd w:val="clear" w:color="auto" w:fill="auto"/>
            <w:noWrap/>
            <w:tcMar>
              <w:left w:w="0" w:type="dxa"/>
            </w:tcMar>
            <w:vAlign w:val="bottom"/>
            <w:hideMark/>
          </w:tcPr>
          <w:p w14:paraId="405530FB"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1,772,513</w:t>
            </w:r>
          </w:p>
        </w:tc>
        <w:tc>
          <w:tcPr>
            <w:tcW w:w="862" w:type="dxa"/>
            <w:tcBorders>
              <w:top w:val="nil"/>
              <w:left w:val="nil"/>
              <w:bottom w:val="nil"/>
              <w:right w:val="nil"/>
            </w:tcBorders>
            <w:shd w:val="clear" w:color="auto" w:fill="auto"/>
            <w:noWrap/>
            <w:tcMar>
              <w:left w:w="0" w:type="dxa"/>
            </w:tcMar>
            <w:vAlign w:val="bottom"/>
            <w:hideMark/>
          </w:tcPr>
          <w:p w14:paraId="1F44DB69"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1,949,607</w:t>
            </w:r>
          </w:p>
        </w:tc>
      </w:tr>
      <w:tr w:rsidR="00760DE2" w:rsidRPr="0082252D" w14:paraId="1011242F" w14:textId="77777777" w:rsidTr="00760DE2">
        <w:trPr>
          <w:trHeight w:val="225"/>
          <w:jc w:val="center"/>
        </w:trPr>
        <w:tc>
          <w:tcPr>
            <w:tcW w:w="2977" w:type="dxa"/>
            <w:tcBorders>
              <w:top w:val="nil"/>
              <w:left w:val="nil"/>
              <w:bottom w:val="nil"/>
              <w:right w:val="nil"/>
            </w:tcBorders>
            <w:shd w:val="clear" w:color="auto" w:fill="auto"/>
            <w:noWrap/>
            <w:vAlign w:val="bottom"/>
            <w:hideMark/>
          </w:tcPr>
          <w:p w14:paraId="78554187" w14:textId="77777777" w:rsidR="0082252D" w:rsidRPr="0082252D" w:rsidRDefault="0082252D" w:rsidP="0082252D">
            <w:pPr>
              <w:spacing w:after="0"/>
              <w:ind w:firstLineChars="300" w:firstLine="480"/>
              <w:rPr>
                <w:rFonts w:ascii="Arial" w:hAnsi="Arial" w:cs="Arial"/>
                <w:color w:val="auto"/>
                <w:sz w:val="16"/>
                <w:szCs w:val="16"/>
              </w:rPr>
            </w:pPr>
            <w:r w:rsidRPr="0082252D">
              <w:rPr>
                <w:rFonts w:ascii="Arial" w:hAnsi="Arial" w:cs="Arial"/>
                <w:color w:val="auto"/>
                <w:sz w:val="16"/>
                <w:szCs w:val="16"/>
              </w:rPr>
              <w:t xml:space="preserve">Interest </w:t>
            </w:r>
          </w:p>
        </w:tc>
        <w:tc>
          <w:tcPr>
            <w:tcW w:w="964" w:type="dxa"/>
            <w:tcBorders>
              <w:top w:val="nil"/>
              <w:left w:val="nil"/>
              <w:bottom w:val="nil"/>
              <w:right w:val="nil"/>
            </w:tcBorders>
            <w:shd w:val="clear" w:color="auto" w:fill="auto"/>
            <w:noWrap/>
            <w:vAlign w:val="bottom"/>
            <w:hideMark/>
          </w:tcPr>
          <w:p w14:paraId="79BFDF49"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1,686</w:t>
            </w:r>
          </w:p>
        </w:tc>
        <w:tc>
          <w:tcPr>
            <w:tcW w:w="862" w:type="dxa"/>
            <w:tcBorders>
              <w:top w:val="nil"/>
              <w:left w:val="nil"/>
              <w:bottom w:val="nil"/>
              <w:right w:val="nil"/>
            </w:tcBorders>
            <w:shd w:val="clear" w:color="000000" w:fill="D9D9D9"/>
            <w:noWrap/>
            <w:tcMar>
              <w:left w:w="0" w:type="dxa"/>
            </w:tcMar>
            <w:vAlign w:val="bottom"/>
            <w:hideMark/>
          </w:tcPr>
          <w:p w14:paraId="50E5EE7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4,146</w:t>
            </w:r>
          </w:p>
        </w:tc>
        <w:tc>
          <w:tcPr>
            <w:tcW w:w="862" w:type="dxa"/>
            <w:tcBorders>
              <w:top w:val="nil"/>
              <w:left w:val="nil"/>
              <w:bottom w:val="nil"/>
              <w:right w:val="nil"/>
            </w:tcBorders>
            <w:shd w:val="clear" w:color="auto" w:fill="auto"/>
            <w:noWrap/>
            <w:tcMar>
              <w:left w:w="0" w:type="dxa"/>
            </w:tcMar>
            <w:vAlign w:val="bottom"/>
            <w:hideMark/>
          </w:tcPr>
          <w:p w14:paraId="1FFA9B02"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4,146</w:t>
            </w:r>
          </w:p>
        </w:tc>
        <w:tc>
          <w:tcPr>
            <w:tcW w:w="862" w:type="dxa"/>
            <w:tcBorders>
              <w:top w:val="nil"/>
              <w:left w:val="nil"/>
              <w:bottom w:val="nil"/>
              <w:right w:val="nil"/>
            </w:tcBorders>
            <w:shd w:val="clear" w:color="auto" w:fill="auto"/>
            <w:noWrap/>
            <w:tcMar>
              <w:left w:w="0" w:type="dxa"/>
            </w:tcMar>
            <w:vAlign w:val="bottom"/>
            <w:hideMark/>
          </w:tcPr>
          <w:p w14:paraId="6C1969A6"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4,146</w:t>
            </w:r>
          </w:p>
        </w:tc>
        <w:tc>
          <w:tcPr>
            <w:tcW w:w="862" w:type="dxa"/>
            <w:tcBorders>
              <w:top w:val="nil"/>
              <w:left w:val="nil"/>
              <w:bottom w:val="nil"/>
              <w:right w:val="nil"/>
            </w:tcBorders>
            <w:shd w:val="clear" w:color="auto" w:fill="auto"/>
            <w:noWrap/>
            <w:tcMar>
              <w:left w:w="0" w:type="dxa"/>
            </w:tcMar>
            <w:vAlign w:val="bottom"/>
            <w:hideMark/>
          </w:tcPr>
          <w:p w14:paraId="25F701EA"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4,146</w:t>
            </w:r>
          </w:p>
        </w:tc>
      </w:tr>
      <w:tr w:rsidR="00760DE2" w:rsidRPr="0082252D" w14:paraId="61F3559C" w14:textId="77777777" w:rsidTr="00760DE2">
        <w:trPr>
          <w:trHeight w:val="228"/>
          <w:jc w:val="center"/>
        </w:trPr>
        <w:tc>
          <w:tcPr>
            <w:tcW w:w="2977" w:type="dxa"/>
            <w:tcBorders>
              <w:top w:val="nil"/>
              <w:left w:val="nil"/>
              <w:bottom w:val="nil"/>
              <w:right w:val="nil"/>
            </w:tcBorders>
            <w:shd w:val="clear" w:color="auto" w:fill="auto"/>
            <w:noWrap/>
            <w:vAlign w:val="bottom"/>
            <w:hideMark/>
          </w:tcPr>
          <w:p w14:paraId="7CA5DF0F" w14:textId="77777777" w:rsidR="0082252D" w:rsidRPr="0082252D" w:rsidRDefault="0082252D" w:rsidP="0082252D">
            <w:pPr>
              <w:spacing w:after="0"/>
              <w:ind w:firstLineChars="300" w:firstLine="480"/>
              <w:rPr>
                <w:rFonts w:ascii="Arial" w:hAnsi="Arial" w:cs="Arial"/>
                <w:color w:val="auto"/>
                <w:sz w:val="16"/>
                <w:szCs w:val="16"/>
              </w:rPr>
            </w:pPr>
            <w:r w:rsidRPr="0082252D">
              <w:rPr>
                <w:rFonts w:ascii="Arial" w:hAnsi="Arial" w:cs="Arial"/>
                <w:color w:val="auto"/>
                <w:sz w:val="16"/>
                <w:szCs w:val="16"/>
              </w:rPr>
              <w:t>Other non-tax revenue</w:t>
            </w:r>
          </w:p>
        </w:tc>
        <w:tc>
          <w:tcPr>
            <w:tcW w:w="964" w:type="dxa"/>
            <w:tcBorders>
              <w:top w:val="nil"/>
              <w:left w:val="nil"/>
              <w:bottom w:val="nil"/>
              <w:right w:val="nil"/>
            </w:tcBorders>
            <w:shd w:val="clear" w:color="auto" w:fill="auto"/>
            <w:noWrap/>
            <w:vAlign w:val="bottom"/>
            <w:hideMark/>
          </w:tcPr>
          <w:p w14:paraId="026B474D"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w:t>
            </w:r>
          </w:p>
        </w:tc>
        <w:tc>
          <w:tcPr>
            <w:tcW w:w="862" w:type="dxa"/>
            <w:tcBorders>
              <w:top w:val="nil"/>
              <w:left w:val="nil"/>
              <w:bottom w:val="nil"/>
              <w:right w:val="nil"/>
            </w:tcBorders>
            <w:shd w:val="clear" w:color="000000" w:fill="D9D9D9"/>
            <w:noWrap/>
            <w:tcMar>
              <w:left w:w="0" w:type="dxa"/>
            </w:tcMar>
            <w:vAlign w:val="bottom"/>
            <w:hideMark/>
          </w:tcPr>
          <w:p w14:paraId="689B0A65"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531</w:t>
            </w:r>
          </w:p>
        </w:tc>
        <w:tc>
          <w:tcPr>
            <w:tcW w:w="862" w:type="dxa"/>
            <w:tcBorders>
              <w:top w:val="nil"/>
              <w:left w:val="nil"/>
              <w:bottom w:val="nil"/>
              <w:right w:val="nil"/>
            </w:tcBorders>
            <w:shd w:val="clear" w:color="auto" w:fill="auto"/>
            <w:noWrap/>
            <w:tcMar>
              <w:left w:w="0" w:type="dxa"/>
            </w:tcMar>
            <w:vAlign w:val="bottom"/>
            <w:hideMark/>
          </w:tcPr>
          <w:p w14:paraId="1EEAB217"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542</w:t>
            </w:r>
          </w:p>
        </w:tc>
        <w:tc>
          <w:tcPr>
            <w:tcW w:w="862" w:type="dxa"/>
            <w:tcBorders>
              <w:top w:val="nil"/>
              <w:left w:val="nil"/>
              <w:bottom w:val="nil"/>
              <w:right w:val="nil"/>
            </w:tcBorders>
            <w:shd w:val="clear" w:color="auto" w:fill="auto"/>
            <w:noWrap/>
            <w:tcMar>
              <w:left w:w="0" w:type="dxa"/>
            </w:tcMar>
            <w:vAlign w:val="bottom"/>
            <w:hideMark/>
          </w:tcPr>
          <w:p w14:paraId="2CBEEE54"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554</w:t>
            </w:r>
          </w:p>
        </w:tc>
        <w:tc>
          <w:tcPr>
            <w:tcW w:w="862" w:type="dxa"/>
            <w:tcBorders>
              <w:top w:val="nil"/>
              <w:left w:val="nil"/>
              <w:bottom w:val="nil"/>
              <w:right w:val="nil"/>
            </w:tcBorders>
            <w:shd w:val="clear" w:color="auto" w:fill="auto"/>
            <w:noWrap/>
            <w:tcMar>
              <w:left w:w="0" w:type="dxa"/>
            </w:tcMar>
            <w:vAlign w:val="bottom"/>
            <w:hideMark/>
          </w:tcPr>
          <w:p w14:paraId="33C9DB6B" w14:textId="77777777" w:rsidR="0082252D" w:rsidRPr="0082252D" w:rsidRDefault="0082252D" w:rsidP="0082252D">
            <w:pPr>
              <w:spacing w:after="0"/>
              <w:jc w:val="right"/>
              <w:rPr>
                <w:rFonts w:ascii="Arial" w:hAnsi="Arial" w:cs="Arial"/>
                <w:sz w:val="16"/>
                <w:szCs w:val="16"/>
              </w:rPr>
            </w:pPr>
            <w:r w:rsidRPr="0082252D">
              <w:rPr>
                <w:rFonts w:ascii="Arial" w:hAnsi="Arial" w:cs="Arial"/>
                <w:sz w:val="16"/>
                <w:szCs w:val="16"/>
              </w:rPr>
              <w:t>566</w:t>
            </w:r>
          </w:p>
        </w:tc>
      </w:tr>
      <w:tr w:rsidR="00760DE2" w:rsidRPr="0082252D" w14:paraId="100C3D0C" w14:textId="77777777" w:rsidTr="00760DE2">
        <w:trPr>
          <w:trHeight w:val="288"/>
          <w:jc w:val="center"/>
        </w:trPr>
        <w:tc>
          <w:tcPr>
            <w:tcW w:w="2977" w:type="dxa"/>
            <w:tcBorders>
              <w:top w:val="nil"/>
              <w:left w:val="nil"/>
              <w:bottom w:val="nil"/>
              <w:right w:val="nil"/>
            </w:tcBorders>
            <w:shd w:val="clear" w:color="auto" w:fill="auto"/>
            <w:noWrap/>
            <w:vAlign w:val="bottom"/>
            <w:hideMark/>
          </w:tcPr>
          <w:p w14:paraId="4F283549" w14:textId="77777777" w:rsidR="0082252D" w:rsidRPr="0082252D" w:rsidRDefault="0082252D" w:rsidP="0082252D">
            <w:pPr>
              <w:spacing w:after="0"/>
              <w:ind w:firstLineChars="300" w:firstLine="480"/>
              <w:rPr>
                <w:rFonts w:ascii="Arial" w:hAnsi="Arial" w:cs="Arial"/>
                <w:b/>
                <w:bCs/>
                <w:color w:val="auto"/>
                <w:sz w:val="16"/>
                <w:szCs w:val="16"/>
              </w:rPr>
            </w:pPr>
            <w:r w:rsidRPr="0082252D">
              <w:rPr>
                <w:rFonts w:ascii="Arial" w:hAnsi="Arial" w:cs="Arial"/>
                <w:b/>
                <w:bCs/>
                <w:color w:val="auto"/>
                <w:sz w:val="16"/>
                <w:szCs w:val="16"/>
              </w:rPr>
              <w:t>Total non-taxation revenue</w:t>
            </w:r>
          </w:p>
        </w:tc>
        <w:tc>
          <w:tcPr>
            <w:tcW w:w="964" w:type="dxa"/>
            <w:tcBorders>
              <w:top w:val="nil"/>
              <w:left w:val="nil"/>
              <w:bottom w:val="single" w:sz="4" w:space="0" w:color="auto"/>
              <w:right w:val="nil"/>
            </w:tcBorders>
            <w:shd w:val="clear" w:color="auto" w:fill="auto"/>
            <w:noWrap/>
            <w:vAlign w:val="bottom"/>
            <w:hideMark/>
          </w:tcPr>
          <w:p w14:paraId="549115C6"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1,470,665</w:t>
            </w:r>
          </w:p>
        </w:tc>
        <w:tc>
          <w:tcPr>
            <w:tcW w:w="862" w:type="dxa"/>
            <w:tcBorders>
              <w:top w:val="nil"/>
              <w:left w:val="nil"/>
              <w:bottom w:val="single" w:sz="4" w:space="0" w:color="auto"/>
              <w:right w:val="nil"/>
            </w:tcBorders>
            <w:shd w:val="clear" w:color="000000" w:fill="D9D9D9"/>
            <w:noWrap/>
            <w:tcMar>
              <w:left w:w="0" w:type="dxa"/>
            </w:tcMar>
            <w:vAlign w:val="bottom"/>
            <w:hideMark/>
          </w:tcPr>
          <w:p w14:paraId="5CFD281E"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1,588,562</w:t>
            </w:r>
          </w:p>
        </w:tc>
        <w:tc>
          <w:tcPr>
            <w:tcW w:w="862" w:type="dxa"/>
            <w:tcBorders>
              <w:top w:val="nil"/>
              <w:left w:val="nil"/>
              <w:bottom w:val="single" w:sz="4" w:space="0" w:color="auto"/>
              <w:right w:val="nil"/>
            </w:tcBorders>
            <w:shd w:val="clear" w:color="auto" w:fill="auto"/>
            <w:noWrap/>
            <w:tcMar>
              <w:left w:w="0" w:type="dxa"/>
            </w:tcMar>
            <w:vAlign w:val="bottom"/>
            <w:hideMark/>
          </w:tcPr>
          <w:p w14:paraId="76F8E2E8"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1,680,021</w:t>
            </w:r>
          </w:p>
        </w:tc>
        <w:tc>
          <w:tcPr>
            <w:tcW w:w="862" w:type="dxa"/>
            <w:tcBorders>
              <w:top w:val="nil"/>
              <w:left w:val="nil"/>
              <w:bottom w:val="single" w:sz="4" w:space="0" w:color="auto"/>
              <w:right w:val="nil"/>
            </w:tcBorders>
            <w:shd w:val="clear" w:color="auto" w:fill="auto"/>
            <w:noWrap/>
            <w:tcMar>
              <w:left w:w="0" w:type="dxa"/>
            </w:tcMar>
            <w:vAlign w:val="bottom"/>
            <w:hideMark/>
          </w:tcPr>
          <w:p w14:paraId="4525E095"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1,777,213</w:t>
            </w:r>
          </w:p>
        </w:tc>
        <w:tc>
          <w:tcPr>
            <w:tcW w:w="862" w:type="dxa"/>
            <w:tcBorders>
              <w:top w:val="nil"/>
              <w:left w:val="nil"/>
              <w:bottom w:val="single" w:sz="4" w:space="0" w:color="auto"/>
              <w:right w:val="nil"/>
            </w:tcBorders>
            <w:shd w:val="clear" w:color="auto" w:fill="auto"/>
            <w:noWrap/>
            <w:tcMar>
              <w:left w:w="0" w:type="dxa"/>
            </w:tcMar>
            <w:vAlign w:val="bottom"/>
            <w:hideMark/>
          </w:tcPr>
          <w:p w14:paraId="5925892C"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1,954,319</w:t>
            </w:r>
          </w:p>
        </w:tc>
      </w:tr>
      <w:tr w:rsidR="00760DE2" w:rsidRPr="0082252D" w14:paraId="7A70DA54" w14:textId="77777777" w:rsidTr="00760DE2">
        <w:trPr>
          <w:trHeight w:val="454"/>
          <w:jc w:val="center"/>
        </w:trPr>
        <w:tc>
          <w:tcPr>
            <w:tcW w:w="2977" w:type="dxa"/>
            <w:tcBorders>
              <w:top w:val="nil"/>
              <w:left w:val="nil"/>
              <w:bottom w:val="nil"/>
              <w:right w:val="nil"/>
            </w:tcBorders>
            <w:shd w:val="clear" w:color="auto" w:fill="auto"/>
            <w:vAlign w:val="bottom"/>
            <w:hideMark/>
          </w:tcPr>
          <w:p w14:paraId="408EA397"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Total revenues administered on behalf of Government</w:t>
            </w:r>
          </w:p>
        </w:tc>
        <w:tc>
          <w:tcPr>
            <w:tcW w:w="964" w:type="dxa"/>
            <w:tcBorders>
              <w:top w:val="nil"/>
              <w:left w:val="nil"/>
              <w:bottom w:val="single" w:sz="4" w:space="0" w:color="auto"/>
              <w:right w:val="nil"/>
            </w:tcBorders>
            <w:shd w:val="clear" w:color="auto" w:fill="auto"/>
            <w:noWrap/>
            <w:vAlign w:val="bottom"/>
            <w:hideMark/>
          </w:tcPr>
          <w:p w14:paraId="3B26B478"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1,470,665</w:t>
            </w:r>
          </w:p>
        </w:tc>
        <w:tc>
          <w:tcPr>
            <w:tcW w:w="862" w:type="dxa"/>
            <w:tcBorders>
              <w:top w:val="nil"/>
              <w:left w:val="nil"/>
              <w:bottom w:val="single" w:sz="4" w:space="0" w:color="auto"/>
              <w:right w:val="nil"/>
            </w:tcBorders>
            <w:shd w:val="clear" w:color="000000" w:fill="D9D9D9"/>
            <w:noWrap/>
            <w:tcMar>
              <w:left w:w="0" w:type="dxa"/>
            </w:tcMar>
            <w:vAlign w:val="bottom"/>
            <w:hideMark/>
          </w:tcPr>
          <w:p w14:paraId="56E6268D"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1,588,562</w:t>
            </w:r>
          </w:p>
        </w:tc>
        <w:tc>
          <w:tcPr>
            <w:tcW w:w="862" w:type="dxa"/>
            <w:tcBorders>
              <w:top w:val="nil"/>
              <w:left w:val="nil"/>
              <w:bottom w:val="single" w:sz="4" w:space="0" w:color="auto"/>
              <w:right w:val="nil"/>
            </w:tcBorders>
            <w:shd w:val="clear" w:color="auto" w:fill="auto"/>
            <w:noWrap/>
            <w:tcMar>
              <w:left w:w="0" w:type="dxa"/>
            </w:tcMar>
            <w:vAlign w:val="bottom"/>
            <w:hideMark/>
          </w:tcPr>
          <w:p w14:paraId="5661C996"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1,680,021</w:t>
            </w:r>
          </w:p>
        </w:tc>
        <w:tc>
          <w:tcPr>
            <w:tcW w:w="862" w:type="dxa"/>
            <w:tcBorders>
              <w:top w:val="nil"/>
              <w:left w:val="nil"/>
              <w:bottom w:val="single" w:sz="4" w:space="0" w:color="auto"/>
              <w:right w:val="nil"/>
            </w:tcBorders>
            <w:shd w:val="clear" w:color="auto" w:fill="auto"/>
            <w:noWrap/>
            <w:tcMar>
              <w:left w:w="0" w:type="dxa"/>
            </w:tcMar>
            <w:vAlign w:val="bottom"/>
            <w:hideMark/>
          </w:tcPr>
          <w:p w14:paraId="007F5B95"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1,777,213</w:t>
            </w:r>
          </w:p>
        </w:tc>
        <w:tc>
          <w:tcPr>
            <w:tcW w:w="862" w:type="dxa"/>
            <w:tcBorders>
              <w:top w:val="nil"/>
              <w:left w:val="nil"/>
              <w:bottom w:val="single" w:sz="4" w:space="0" w:color="auto"/>
              <w:right w:val="nil"/>
            </w:tcBorders>
            <w:shd w:val="clear" w:color="auto" w:fill="auto"/>
            <w:noWrap/>
            <w:tcMar>
              <w:left w:w="0" w:type="dxa"/>
            </w:tcMar>
            <w:vAlign w:val="bottom"/>
            <w:hideMark/>
          </w:tcPr>
          <w:p w14:paraId="30E91FAC"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1,954,319</w:t>
            </w:r>
          </w:p>
        </w:tc>
      </w:tr>
      <w:tr w:rsidR="00760DE2" w:rsidRPr="0082252D" w14:paraId="71A4BAAD" w14:textId="77777777" w:rsidTr="00760DE2">
        <w:trPr>
          <w:trHeight w:val="454"/>
          <w:jc w:val="center"/>
        </w:trPr>
        <w:tc>
          <w:tcPr>
            <w:tcW w:w="2977" w:type="dxa"/>
            <w:tcBorders>
              <w:top w:val="nil"/>
              <w:left w:val="nil"/>
              <w:bottom w:val="single" w:sz="4" w:space="0" w:color="auto"/>
              <w:right w:val="nil"/>
            </w:tcBorders>
            <w:shd w:val="clear" w:color="auto" w:fill="auto"/>
            <w:vAlign w:val="bottom"/>
            <w:hideMark/>
          </w:tcPr>
          <w:p w14:paraId="5674D3D8" w14:textId="77777777" w:rsidR="0082252D" w:rsidRPr="0082252D" w:rsidRDefault="0082252D" w:rsidP="0082252D">
            <w:pPr>
              <w:spacing w:after="0"/>
              <w:ind w:leftChars="75" w:left="143"/>
              <w:rPr>
                <w:rFonts w:ascii="Arial" w:hAnsi="Arial" w:cs="Arial"/>
                <w:b/>
                <w:bCs/>
                <w:color w:val="auto"/>
                <w:sz w:val="16"/>
                <w:szCs w:val="16"/>
              </w:rPr>
            </w:pPr>
            <w:r w:rsidRPr="0082252D">
              <w:rPr>
                <w:rFonts w:ascii="Arial" w:hAnsi="Arial" w:cs="Arial"/>
                <w:b/>
                <w:bCs/>
                <w:color w:val="auto"/>
                <w:sz w:val="16"/>
                <w:szCs w:val="16"/>
              </w:rPr>
              <w:t>Total income administered on behalf of Government</w:t>
            </w:r>
          </w:p>
        </w:tc>
        <w:tc>
          <w:tcPr>
            <w:tcW w:w="964" w:type="dxa"/>
            <w:tcBorders>
              <w:top w:val="nil"/>
              <w:left w:val="nil"/>
              <w:bottom w:val="single" w:sz="4" w:space="0" w:color="auto"/>
              <w:right w:val="nil"/>
            </w:tcBorders>
            <w:shd w:val="clear" w:color="auto" w:fill="auto"/>
            <w:noWrap/>
            <w:vAlign w:val="bottom"/>
            <w:hideMark/>
          </w:tcPr>
          <w:p w14:paraId="5AEFE959"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1,470,665</w:t>
            </w:r>
          </w:p>
        </w:tc>
        <w:tc>
          <w:tcPr>
            <w:tcW w:w="862" w:type="dxa"/>
            <w:tcBorders>
              <w:top w:val="nil"/>
              <w:left w:val="nil"/>
              <w:bottom w:val="single" w:sz="4" w:space="0" w:color="auto"/>
              <w:right w:val="nil"/>
            </w:tcBorders>
            <w:shd w:val="clear" w:color="000000" w:fill="D9D9D9"/>
            <w:noWrap/>
            <w:tcMar>
              <w:left w:w="0" w:type="dxa"/>
            </w:tcMar>
            <w:vAlign w:val="bottom"/>
            <w:hideMark/>
          </w:tcPr>
          <w:p w14:paraId="40D7DA0B"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1,588,562</w:t>
            </w:r>
          </w:p>
        </w:tc>
        <w:tc>
          <w:tcPr>
            <w:tcW w:w="862" w:type="dxa"/>
            <w:tcBorders>
              <w:top w:val="nil"/>
              <w:left w:val="nil"/>
              <w:bottom w:val="single" w:sz="4" w:space="0" w:color="auto"/>
              <w:right w:val="nil"/>
            </w:tcBorders>
            <w:shd w:val="clear" w:color="auto" w:fill="auto"/>
            <w:noWrap/>
            <w:tcMar>
              <w:left w:w="0" w:type="dxa"/>
            </w:tcMar>
            <w:vAlign w:val="bottom"/>
            <w:hideMark/>
          </w:tcPr>
          <w:p w14:paraId="33D4A240"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1,680,021</w:t>
            </w:r>
          </w:p>
        </w:tc>
        <w:tc>
          <w:tcPr>
            <w:tcW w:w="862" w:type="dxa"/>
            <w:tcBorders>
              <w:top w:val="nil"/>
              <w:left w:val="nil"/>
              <w:bottom w:val="single" w:sz="4" w:space="0" w:color="auto"/>
              <w:right w:val="nil"/>
            </w:tcBorders>
            <w:shd w:val="clear" w:color="auto" w:fill="auto"/>
            <w:noWrap/>
            <w:tcMar>
              <w:left w:w="0" w:type="dxa"/>
            </w:tcMar>
            <w:vAlign w:val="bottom"/>
            <w:hideMark/>
          </w:tcPr>
          <w:p w14:paraId="7F614B4F"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1,777,213</w:t>
            </w:r>
          </w:p>
        </w:tc>
        <w:tc>
          <w:tcPr>
            <w:tcW w:w="862" w:type="dxa"/>
            <w:tcBorders>
              <w:top w:val="nil"/>
              <w:left w:val="nil"/>
              <w:bottom w:val="single" w:sz="4" w:space="0" w:color="auto"/>
              <w:right w:val="nil"/>
            </w:tcBorders>
            <w:shd w:val="clear" w:color="auto" w:fill="auto"/>
            <w:noWrap/>
            <w:tcMar>
              <w:left w:w="0" w:type="dxa"/>
            </w:tcMar>
            <w:vAlign w:val="bottom"/>
            <w:hideMark/>
          </w:tcPr>
          <w:p w14:paraId="529322A3" w14:textId="77777777" w:rsidR="0082252D" w:rsidRPr="0082252D" w:rsidRDefault="0082252D" w:rsidP="0082252D">
            <w:pPr>
              <w:spacing w:after="0"/>
              <w:jc w:val="right"/>
              <w:rPr>
                <w:rFonts w:ascii="Arial" w:hAnsi="Arial" w:cs="Arial"/>
                <w:b/>
                <w:bCs/>
                <w:sz w:val="16"/>
                <w:szCs w:val="16"/>
              </w:rPr>
            </w:pPr>
            <w:r w:rsidRPr="0082252D">
              <w:rPr>
                <w:rFonts w:ascii="Arial" w:hAnsi="Arial" w:cs="Arial"/>
                <w:b/>
                <w:bCs/>
                <w:sz w:val="16"/>
                <w:szCs w:val="16"/>
              </w:rPr>
              <w:t>1,954,319</w:t>
            </w:r>
          </w:p>
        </w:tc>
      </w:tr>
    </w:tbl>
    <w:p w14:paraId="7782D4D2" w14:textId="77777777" w:rsidR="00760DE2" w:rsidRDefault="00760DE2">
      <w:pPr>
        <w:spacing w:after="160" w:line="259" w:lineRule="auto"/>
        <w:rPr>
          <w:rFonts w:ascii="Arial" w:hAnsi="Arial"/>
          <w:b/>
          <w:color w:val="auto"/>
          <w:sz w:val="20"/>
        </w:rPr>
      </w:pPr>
      <w:r>
        <w:rPr>
          <w:rFonts w:ascii="Arial" w:hAnsi="Arial"/>
          <w:b/>
          <w:color w:val="auto"/>
          <w:sz w:val="20"/>
        </w:rPr>
        <w:br w:type="page"/>
      </w:r>
    </w:p>
    <w:p w14:paraId="5ED633A2" w14:textId="1AD4F9E0" w:rsidR="00884F73" w:rsidRPr="00884F73" w:rsidRDefault="00884F73" w:rsidP="0026049D">
      <w:pPr>
        <w:keepNext/>
        <w:spacing w:before="120"/>
        <w:rPr>
          <w:rFonts w:ascii="Arial" w:hAnsi="Arial"/>
          <w:b/>
          <w:color w:val="auto"/>
          <w:sz w:val="20"/>
        </w:rPr>
      </w:pPr>
      <w:r w:rsidRPr="00884F73">
        <w:rPr>
          <w:rFonts w:ascii="Arial" w:hAnsi="Arial"/>
          <w:b/>
          <w:color w:val="auto"/>
          <w:sz w:val="20"/>
        </w:rPr>
        <w:lastRenderedPageBreak/>
        <w:t>Table 3.8: Schedule of budgeted assets and liabilities administered on behalf of Government (as at 30 June)</w:t>
      </w:r>
    </w:p>
    <w:tbl>
      <w:tblPr>
        <w:tblW w:w="7371" w:type="dxa"/>
        <w:jc w:val="center"/>
        <w:tblLayout w:type="fixed"/>
        <w:tblLook w:val="04A0" w:firstRow="1" w:lastRow="0" w:firstColumn="1" w:lastColumn="0" w:noHBand="0" w:noVBand="1"/>
      </w:tblPr>
      <w:tblGrid>
        <w:gridCol w:w="2835"/>
        <w:gridCol w:w="1005"/>
        <w:gridCol w:w="920"/>
        <w:gridCol w:w="920"/>
        <w:gridCol w:w="920"/>
        <w:gridCol w:w="771"/>
      </w:tblGrid>
      <w:tr w:rsidR="00760DE2" w:rsidRPr="00760DE2" w14:paraId="4C9B37F0" w14:textId="77777777" w:rsidTr="00760DE2">
        <w:trPr>
          <w:trHeight w:val="765"/>
          <w:jc w:val="center"/>
        </w:trPr>
        <w:tc>
          <w:tcPr>
            <w:tcW w:w="2835" w:type="dxa"/>
            <w:tcBorders>
              <w:top w:val="single" w:sz="4" w:space="0" w:color="auto"/>
              <w:left w:val="nil"/>
              <w:bottom w:val="nil"/>
              <w:right w:val="nil"/>
            </w:tcBorders>
            <w:shd w:val="clear" w:color="auto" w:fill="auto"/>
            <w:hideMark/>
          </w:tcPr>
          <w:p w14:paraId="62C5D80F" w14:textId="77777777" w:rsidR="00760DE2" w:rsidRPr="00760DE2" w:rsidRDefault="00760DE2" w:rsidP="00760DE2">
            <w:pPr>
              <w:spacing w:before="40" w:after="0"/>
              <w:jc w:val="right"/>
              <w:rPr>
                <w:rFonts w:ascii="Arial" w:hAnsi="Arial" w:cs="Arial"/>
                <w:b/>
                <w:bCs/>
                <w:color w:val="auto"/>
                <w:sz w:val="16"/>
                <w:szCs w:val="16"/>
              </w:rPr>
            </w:pPr>
            <w:r w:rsidRPr="00760DE2">
              <w:rPr>
                <w:rFonts w:ascii="Arial" w:hAnsi="Arial" w:cs="Arial"/>
                <w:b/>
                <w:bCs/>
                <w:color w:val="auto"/>
                <w:sz w:val="16"/>
                <w:szCs w:val="16"/>
              </w:rPr>
              <w:t> </w:t>
            </w:r>
          </w:p>
        </w:tc>
        <w:tc>
          <w:tcPr>
            <w:tcW w:w="1005" w:type="dxa"/>
            <w:tcBorders>
              <w:top w:val="single" w:sz="4" w:space="0" w:color="auto"/>
              <w:left w:val="nil"/>
              <w:bottom w:val="single" w:sz="4" w:space="0" w:color="auto"/>
              <w:right w:val="nil"/>
            </w:tcBorders>
            <w:shd w:val="clear" w:color="auto" w:fill="auto"/>
            <w:hideMark/>
          </w:tcPr>
          <w:p w14:paraId="5AFE9E79" w14:textId="77777777" w:rsidR="00760DE2" w:rsidRPr="00760DE2" w:rsidRDefault="00760DE2" w:rsidP="00760DE2">
            <w:pPr>
              <w:spacing w:before="40" w:after="0"/>
              <w:jc w:val="right"/>
              <w:rPr>
                <w:rFonts w:ascii="Arial" w:hAnsi="Arial" w:cs="Arial"/>
                <w:b/>
                <w:bCs/>
                <w:color w:val="auto"/>
                <w:sz w:val="16"/>
                <w:szCs w:val="16"/>
              </w:rPr>
            </w:pPr>
            <w:r w:rsidRPr="00760DE2">
              <w:rPr>
                <w:rFonts w:ascii="Arial" w:hAnsi="Arial" w:cs="Arial"/>
                <w:b/>
                <w:bCs/>
                <w:color w:val="auto"/>
                <w:sz w:val="16"/>
                <w:szCs w:val="16"/>
              </w:rPr>
              <w:t>2021–22 Estimated actual</w:t>
            </w:r>
            <w:r w:rsidRPr="00760DE2">
              <w:rPr>
                <w:rFonts w:ascii="Arial" w:hAnsi="Arial" w:cs="Arial"/>
                <w:b/>
                <w:bCs/>
                <w:color w:val="auto"/>
                <w:sz w:val="16"/>
                <w:szCs w:val="16"/>
              </w:rPr>
              <w:br/>
            </w:r>
            <w:r w:rsidRPr="00760DE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75127ECA" w14:textId="77777777" w:rsidR="00760DE2" w:rsidRPr="00760DE2" w:rsidRDefault="00760DE2" w:rsidP="00760DE2">
            <w:pPr>
              <w:spacing w:before="40" w:after="0"/>
              <w:jc w:val="right"/>
              <w:rPr>
                <w:rFonts w:ascii="Arial" w:hAnsi="Arial" w:cs="Arial"/>
                <w:b/>
                <w:bCs/>
                <w:color w:val="auto"/>
                <w:sz w:val="16"/>
                <w:szCs w:val="16"/>
              </w:rPr>
            </w:pPr>
            <w:r w:rsidRPr="00760DE2">
              <w:rPr>
                <w:rFonts w:ascii="Arial" w:hAnsi="Arial" w:cs="Arial"/>
                <w:b/>
                <w:bCs/>
                <w:color w:val="auto"/>
                <w:sz w:val="16"/>
                <w:szCs w:val="16"/>
              </w:rPr>
              <w:t xml:space="preserve">2022–23 Budget </w:t>
            </w:r>
            <w:r w:rsidRPr="00760DE2">
              <w:rPr>
                <w:rFonts w:ascii="Arial" w:hAnsi="Arial" w:cs="Arial"/>
                <w:b/>
                <w:bCs/>
                <w:color w:val="auto"/>
                <w:sz w:val="16"/>
                <w:szCs w:val="16"/>
              </w:rPr>
              <w:br/>
            </w:r>
            <w:r w:rsidRPr="00760DE2">
              <w:rPr>
                <w:rFonts w:ascii="Arial" w:hAnsi="Arial" w:cs="Arial"/>
                <w:b/>
                <w:bCs/>
                <w:color w:val="auto"/>
                <w:sz w:val="16"/>
                <w:szCs w:val="16"/>
              </w:rPr>
              <w:br/>
            </w:r>
            <w:r w:rsidRPr="00760DE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61970EBB" w14:textId="77777777" w:rsidR="00760DE2" w:rsidRPr="00760DE2" w:rsidRDefault="00760DE2" w:rsidP="00760DE2">
            <w:pPr>
              <w:spacing w:before="40" w:after="0"/>
              <w:jc w:val="right"/>
              <w:rPr>
                <w:rFonts w:ascii="Arial" w:hAnsi="Arial" w:cs="Arial"/>
                <w:b/>
                <w:bCs/>
                <w:color w:val="auto"/>
                <w:sz w:val="16"/>
                <w:szCs w:val="16"/>
              </w:rPr>
            </w:pPr>
            <w:r w:rsidRPr="00760DE2">
              <w:rPr>
                <w:rFonts w:ascii="Arial" w:hAnsi="Arial" w:cs="Arial"/>
                <w:b/>
                <w:bCs/>
                <w:color w:val="auto"/>
                <w:sz w:val="16"/>
                <w:szCs w:val="16"/>
              </w:rPr>
              <w:t>2023–24 Forward estimate</w:t>
            </w:r>
            <w:r w:rsidRPr="00760DE2">
              <w:rPr>
                <w:rFonts w:ascii="Arial" w:hAnsi="Arial" w:cs="Arial"/>
                <w:b/>
                <w:bCs/>
                <w:color w:val="auto"/>
                <w:sz w:val="16"/>
                <w:szCs w:val="16"/>
              </w:rPr>
              <w:br/>
            </w:r>
            <w:r w:rsidRPr="00760DE2">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7B1D05CE" w14:textId="77777777" w:rsidR="00760DE2" w:rsidRPr="00760DE2" w:rsidRDefault="00760DE2" w:rsidP="00760DE2">
            <w:pPr>
              <w:spacing w:before="40" w:after="0"/>
              <w:jc w:val="right"/>
              <w:rPr>
                <w:rFonts w:ascii="Arial" w:hAnsi="Arial" w:cs="Arial"/>
                <w:b/>
                <w:bCs/>
                <w:color w:val="auto"/>
                <w:sz w:val="16"/>
                <w:szCs w:val="16"/>
              </w:rPr>
            </w:pPr>
            <w:r w:rsidRPr="00760DE2">
              <w:rPr>
                <w:rFonts w:ascii="Arial" w:hAnsi="Arial" w:cs="Arial"/>
                <w:b/>
                <w:bCs/>
                <w:color w:val="auto"/>
                <w:sz w:val="16"/>
                <w:szCs w:val="16"/>
              </w:rPr>
              <w:t>2024–25 Forward estimate</w:t>
            </w:r>
            <w:r w:rsidRPr="00760DE2">
              <w:rPr>
                <w:rFonts w:ascii="Arial" w:hAnsi="Arial" w:cs="Arial"/>
                <w:b/>
                <w:bCs/>
                <w:color w:val="auto"/>
                <w:sz w:val="16"/>
                <w:szCs w:val="16"/>
              </w:rPr>
              <w:br/>
            </w:r>
            <w:r w:rsidRPr="00760DE2">
              <w:rPr>
                <w:rFonts w:ascii="Arial" w:hAnsi="Arial" w:cs="Arial"/>
                <w:color w:val="auto"/>
                <w:sz w:val="16"/>
                <w:szCs w:val="16"/>
              </w:rPr>
              <w:t>$'000</w:t>
            </w:r>
          </w:p>
        </w:tc>
        <w:tc>
          <w:tcPr>
            <w:tcW w:w="771" w:type="dxa"/>
            <w:tcBorders>
              <w:top w:val="single" w:sz="4" w:space="0" w:color="auto"/>
              <w:left w:val="nil"/>
              <w:bottom w:val="single" w:sz="4" w:space="0" w:color="auto"/>
              <w:right w:val="nil"/>
            </w:tcBorders>
            <w:shd w:val="clear" w:color="auto" w:fill="auto"/>
            <w:tcMar>
              <w:left w:w="0" w:type="dxa"/>
            </w:tcMar>
            <w:hideMark/>
          </w:tcPr>
          <w:p w14:paraId="2374A2EE" w14:textId="77777777" w:rsidR="00760DE2" w:rsidRPr="00760DE2" w:rsidRDefault="00760DE2" w:rsidP="00760DE2">
            <w:pPr>
              <w:spacing w:before="40" w:after="0"/>
              <w:jc w:val="right"/>
              <w:rPr>
                <w:rFonts w:ascii="Arial" w:hAnsi="Arial" w:cs="Arial"/>
                <w:b/>
                <w:bCs/>
                <w:color w:val="auto"/>
                <w:sz w:val="16"/>
                <w:szCs w:val="16"/>
              </w:rPr>
            </w:pPr>
            <w:r w:rsidRPr="00760DE2">
              <w:rPr>
                <w:rFonts w:ascii="Arial" w:hAnsi="Arial" w:cs="Arial"/>
                <w:b/>
                <w:bCs/>
                <w:color w:val="auto"/>
                <w:sz w:val="16"/>
                <w:szCs w:val="16"/>
              </w:rPr>
              <w:t>2025–26 Forward estimate</w:t>
            </w:r>
            <w:r w:rsidRPr="00760DE2">
              <w:rPr>
                <w:rFonts w:ascii="Arial" w:hAnsi="Arial" w:cs="Arial"/>
                <w:b/>
                <w:bCs/>
                <w:color w:val="auto"/>
                <w:sz w:val="16"/>
                <w:szCs w:val="16"/>
              </w:rPr>
              <w:br/>
            </w:r>
            <w:r w:rsidRPr="00760DE2">
              <w:rPr>
                <w:rFonts w:ascii="Arial" w:hAnsi="Arial" w:cs="Arial"/>
                <w:color w:val="auto"/>
                <w:sz w:val="16"/>
                <w:szCs w:val="16"/>
              </w:rPr>
              <w:t>$'000</w:t>
            </w:r>
          </w:p>
        </w:tc>
      </w:tr>
      <w:tr w:rsidR="00760DE2" w:rsidRPr="00760DE2" w14:paraId="3A2BC758" w14:textId="77777777" w:rsidTr="00760DE2">
        <w:trPr>
          <w:trHeight w:val="397"/>
          <w:jc w:val="center"/>
        </w:trPr>
        <w:tc>
          <w:tcPr>
            <w:tcW w:w="2835" w:type="dxa"/>
            <w:tcBorders>
              <w:top w:val="nil"/>
              <w:left w:val="nil"/>
              <w:bottom w:val="nil"/>
              <w:right w:val="nil"/>
            </w:tcBorders>
            <w:shd w:val="clear" w:color="auto" w:fill="auto"/>
            <w:vAlign w:val="bottom"/>
            <w:hideMark/>
          </w:tcPr>
          <w:p w14:paraId="79BDC3DB"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ASSETS ADMINISTERED ON BEHALF OF GOVERNMENT</w:t>
            </w:r>
          </w:p>
        </w:tc>
        <w:tc>
          <w:tcPr>
            <w:tcW w:w="1005" w:type="dxa"/>
            <w:tcBorders>
              <w:top w:val="nil"/>
              <w:left w:val="nil"/>
              <w:bottom w:val="nil"/>
              <w:right w:val="nil"/>
            </w:tcBorders>
            <w:shd w:val="clear" w:color="auto" w:fill="auto"/>
            <w:noWrap/>
            <w:vAlign w:val="bottom"/>
            <w:hideMark/>
          </w:tcPr>
          <w:p w14:paraId="000FA851" w14:textId="77777777" w:rsidR="00760DE2" w:rsidRPr="00760DE2" w:rsidRDefault="00760DE2" w:rsidP="00760DE2">
            <w:pPr>
              <w:spacing w:after="0"/>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73B8D35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4916983" w14:textId="77777777" w:rsidR="00760DE2" w:rsidRPr="00760DE2" w:rsidRDefault="00760DE2" w:rsidP="00760DE2">
            <w:pPr>
              <w:spacing w:after="0"/>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98975DF" w14:textId="77777777" w:rsidR="00760DE2" w:rsidRPr="00760DE2" w:rsidRDefault="00760DE2" w:rsidP="00760DE2">
            <w:pPr>
              <w:spacing w:after="0"/>
              <w:jc w:val="right"/>
              <w:rPr>
                <w:rFonts w:ascii="Times New Roman" w:hAnsi="Times New Roman"/>
                <w:color w:val="auto"/>
                <w:sz w:val="20"/>
              </w:rPr>
            </w:pPr>
          </w:p>
        </w:tc>
        <w:tc>
          <w:tcPr>
            <w:tcW w:w="771" w:type="dxa"/>
            <w:tcBorders>
              <w:top w:val="nil"/>
              <w:left w:val="nil"/>
              <w:bottom w:val="nil"/>
              <w:right w:val="nil"/>
            </w:tcBorders>
            <w:shd w:val="clear" w:color="auto" w:fill="auto"/>
            <w:noWrap/>
            <w:vAlign w:val="bottom"/>
            <w:hideMark/>
          </w:tcPr>
          <w:p w14:paraId="197BB718" w14:textId="77777777" w:rsidR="00760DE2" w:rsidRPr="00760DE2" w:rsidRDefault="00760DE2" w:rsidP="00760DE2">
            <w:pPr>
              <w:spacing w:after="0"/>
              <w:jc w:val="right"/>
              <w:rPr>
                <w:rFonts w:ascii="Times New Roman" w:hAnsi="Times New Roman"/>
                <w:color w:val="auto"/>
                <w:sz w:val="20"/>
              </w:rPr>
            </w:pPr>
          </w:p>
        </w:tc>
      </w:tr>
      <w:tr w:rsidR="00760DE2" w:rsidRPr="00760DE2" w14:paraId="531F4C5A" w14:textId="77777777" w:rsidTr="00760DE2">
        <w:trPr>
          <w:trHeight w:val="227"/>
          <w:jc w:val="center"/>
        </w:trPr>
        <w:tc>
          <w:tcPr>
            <w:tcW w:w="2835" w:type="dxa"/>
            <w:tcBorders>
              <w:top w:val="nil"/>
              <w:left w:val="nil"/>
              <w:bottom w:val="nil"/>
              <w:right w:val="nil"/>
            </w:tcBorders>
            <w:shd w:val="clear" w:color="auto" w:fill="auto"/>
            <w:noWrap/>
            <w:vAlign w:val="bottom"/>
            <w:hideMark/>
          </w:tcPr>
          <w:p w14:paraId="3C8B5A94" w14:textId="77777777" w:rsidR="00760DE2" w:rsidRPr="00760DE2" w:rsidRDefault="00760DE2" w:rsidP="00760DE2">
            <w:pPr>
              <w:spacing w:after="0"/>
              <w:ind w:leftChars="75" w:left="143"/>
              <w:rPr>
                <w:rFonts w:ascii="Arial" w:hAnsi="Arial" w:cs="Arial"/>
                <w:b/>
                <w:bCs/>
                <w:sz w:val="16"/>
                <w:szCs w:val="16"/>
              </w:rPr>
            </w:pPr>
            <w:r w:rsidRPr="00760DE2">
              <w:rPr>
                <w:rFonts w:ascii="Arial" w:hAnsi="Arial" w:cs="Arial"/>
                <w:b/>
                <w:bCs/>
                <w:sz w:val="16"/>
                <w:szCs w:val="16"/>
              </w:rPr>
              <w:t>Financial assets</w:t>
            </w:r>
          </w:p>
        </w:tc>
        <w:tc>
          <w:tcPr>
            <w:tcW w:w="1005" w:type="dxa"/>
            <w:tcBorders>
              <w:top w:val="nil"/>
              <w:left w:val="nil"/>
              <w:bottom w:val="nil"/>
              <w:right w:val="nil"/>
            </w:tcBorders>
            <w:shd w:val="clear" w:color="auto" w:fill="auto"/>
            <w:noWrap/>
            <w:vAlign w:val="bottom"/>
            <w:hideMark/>
          </w:tcPr>
          <w:p w14:paraId="491EB0EA" w14:textId="77777777" w:rsidR="00760DE2" w:rsidRPr="00760DE2" w:rsidRDefault="00760DE2" w:rsidP="00760DE2">
            <w:pPr>
              <w:spacing w:after="0"/>
              <w:ind w:firstLineChars="100" w:firstLine="160"/>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3975CFF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77B8BB41" w14:textId="77777777" w:rsidR="00760DE2" w:rsidRPr="00760DE2" w:rsidRDefault="00760DE2" w:rsidP="00760DE2">
            <w:pPr>
              <w:spacing w:after="0"/>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4F49C1C" w14:textId="77777777" w:rsidR="00760DE2" w:rsidRPr="00760DE2" w:rsidRDefault="00760DE2" w:rsidP="00760DE2">
            <w:pPr>
              <w:spacing w:after="0"/>
              <w:jc w:val="right"/>
              <w:rPr>
                <w:rFonts w:ascii="Times New Roman" w:hAnsi="Times New Roman"/>
                <w:color w:val="auto"/>
                <w:sz w:val="20"/>
              </w:rPr>
            </w:pPr>
          </w:p>
        </w:tc>
        <w:tc>
          <w:tcPr>
            <w:tcW w:w="771" w:type="dxa"/>
            <w:tcBorders>
              <w:top w:val="nil"/>
              <w:left w:val="nil"/>
              <w:bottom w:val="nil"/>
              <w:right w:val="nil"/>
            </w:tcBorders>
            <w:shd w:val="clear" w:color="auto" w:fill="auto"/>
            <w:noWrap/>
            <w:vAlign w:val="bottom"/>
            <w:hideMark/>
          </w:tcPr>
          <w:p w14:paraId="37159C70" w14:textId="77777777" w:rsidR="00760DE2" w:rsidRPr="00760DE2" w:rsidRDefault="00760DE2" w:rsidP="00760DE2">
            <w:pPr>
              <w:spacing w:after="0"/>
              <w:jc w:val="right"/>
              <w:rPr>
                <w:rFonts w:ascii="Times New Roman" w:hAnsi="Times New Roman"/>
                <w:color w:val="auto"/>
                <w:sz w:val="20"/>
              </w:rPr>
            </w:pPr>
          </w:p>
        </w:tc>
      </w:tr>
      <w:tr w:rsidR="00760DE2" w:rsidRPr="00760DE2" w14:paraId="39C300EA" w14:textId="77777777" w:rsidTr="00760DE2">
        <w:trPr>
          <w:trHeight w:val="227"/>
          <w:jc w:val="center"/>
        </w:trPr>
        <w:tc>
          <w:tcPr>
            <w:tcW w:w="2835" w:type="dxa"/>
            <w:tcBorders>
              <w:top w:val="nil"/>
              <w:left w:val="nil"/>
              <w:bottom w:val="nil"/>
              <w:right w:val="nil"/>
            </w:tcBorders>
            <w:shd w:val="clear" w:color="auto" w:fill="auto"/>
            <w:noWrap/>
            <w:vAlign w:val="bottom"/>
            <w:hideMark/>
          </w:tcPr>
          <w:p w14:paraId="72C10676" w14:textId="77777777" w:rsidR="00760DE2" w:rsidRPr="00760DE2" w:rsidRDefault="00760DE2" w:rsidP="00760DE2">
            <w:pPr>
              <w:spacing w:after="0"/>
              <w:ind w:firstLineChars="200" w:firstLine="320"/>
              <w:rPr>
                <w:rFonts w:ascii="Arial" w:hAnsi="Arial" w:cs="Arial"/>
                <w:sz w:val="16"/>
                <w:szCs w:val="16"/>
              </w:rPr>
            </w:pPr>
            <w:r w:rsidRPr="00760DE2">
              <w:rPr>
                <w:rFonts w:ascii="Arial" w:hAnsi="Arial" w:cs="Arial"/>
                <w:sz w:val="16"/>
                <w:szCs w:val="16"/>
              </w:rPr>
              <w:t>Cash and cash equivalents</w:t>
            </w:r>
          </w:p>
        </w:tc>
        <w:tc>
          <w:tcPr>
            <w:tcW w:w="1005" w:type="dxa"/>
            <w:tcBorders>
              <w:top w:val="nil"/>
              <w:left w:val="nil"/>
              <w:bottom w:val="nil"/>
              <w:right w:val="nil"/>
            </w:tcBorders>
            <w:shd w:val="clear" w:color="auto" w:fill="auto"/>
            <w:noWrap/>
            <w:vAlign w:val="bottom"/>
            <w:hideMark/>
          </w:tcPr>
          <w:p w14:paraId="7221E10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182,649</w:t>
            </w:r>
          </w:p>
        </w:tc>
        <w:tc>
          <w:tcPr>
            <w:tcW w:w="920" w:type="dxa"/>
            <w:tcBorders>
              <w:top w:val="nil"/>
              <w:left w:val="nil"/>
              <w:bottom w:val="nil"/>
              <w:right w:val="nil"/>
            </w:tcBorders>
            <w:shd w:val="clear" w:color="000000" w:fill="D9D9D9"/>
            <w:noWrap/>
            <w:vAlign w:val="bottom"/>
            <w:hideMark/>
          </w:tcPr>
          <w:p w14:paraId="18C3265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187,831</w:t>
            </w:r>
          </w:p>
        </w:tc>
        <w:tc>
          <w:tcPr>
            <w:tcW w:w="920" w:type="dxa"/>
            <w:tcBorders>
              <w:top w:val="nil"/>
              <w:left w:val="nil"/>
              <w:bottom w:val="nil"/>
              <w:right w:val="nil"/>
            </w:tcBorders>
            <w:shd w:val="clear" w:color="auto" w:fill="auto"/>
            <w:noWrap/>
            <w:vAlign w:val="bottom"/>
            <w:hideMark/>
          </w:tcPr>
          <w:p w14:paraId="11A3564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192,831</w:t>
            </w:r>
          </w:p>
        </w:tc>
        <w:tc>
          <w:tcPr>
            <w:tcW w:w="920" w:type="dxa"/>
            <w:tcBorders>
              <w:top w:val="nil"/>
              <w:left w:val="nil"/>
              <w:bottom w:val="nil"/>
              <w:right w:val="nil"/>
            </w:tcBorders>
            <w:shd w:val="clear" w:color="auto" w:fill="auto"/>
            <w:noWrap/>
            <w:vAlign w:val="bottom"/>
            <w:hideMark/>
          </w:tcPr>
          <w:p w14:paraId="42321792"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192,831</w:t>
            </w:r>
          </w:p>
        </w:tc>
        <w:tc>
          <w:tcPr>
            <w:tcW w:w="771" w:type="dxa"/>
            <w:tcBorders>
              <w:top w:val="nil"/>
              <w:left w:val="nil"/>
              <w:bottom w:val="nil"/>
              <w:right w:val="nil"/>
            </w:tcBorders>
            <w:shd w:val="clear" w:color="auto" w:fill="auto"/>
            <w:noWrap/>
            <w:tcMar>
              <w:left w:w="0" w:type="dxa"/>
            </w:tcMar>
            <w:vAlign w:val="bottom"/>
            <w:hideMark/>
          </w:tcPr>
          <w:p w14:paraId="16BF08D8"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192,831</w:t>
            </w:r>
          </w:p>
        </w:tc>
      </w:tr>
      <w:tr w:rsidR="00760DE2" w:rsidRPr="00760DE2" w14:paraId="41C22E1B"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0906DE90" w14:textId="77777777" w:rsidR="00760DE2" w:rsidRPr="00760DE2" w:rsidRDefault="00760DE2" w:rsidP="00760DE2">
            <w:pPr>
              <w:spacing w:after="0"/>
              <w:ind w:firstLineChars="200" w:firstLine="320"/>
              <w:rPr>
                <w:rFonts w:ascii="Arial" w:hAnsi="Arial" w:cs="Arial"/>
                <w:sz w:val="16"/>
                <w:szCs w:val="16"/>
              </w:rPr>
            </w:pPr>
            <w:r w:rsidRPr="00760DE2">
              <w:rPr>
                <w:rFonts w:ascii="Arial" w:hAnsi="Arial" w:cs="Arial"/>
                <w:sz w:val="16"/>
                <w:szCs w:val="16"/>
              </w:rPr>
              <w:t>Receivables</w:t>
            </w:r>
          </w:p>
        </w:tc>
        <w:tc>
          <w:tcPr>
            <w:tcW w:w="1005" w:type="dxa"/>
            <w:tcBorders>
              <w:top w:val="nil"/>
              <w:left w:val="nil"/>
              <w:bottom w:val="nil"/>
              <w:right w:val="nil"/>
            </w:tcBorders>
            <w:shd w:val="clear" w:color="auto" w:fill="auto"/>
            <w:noWrap/>
            <w:vAlign w:val="bottom"/>
            <w:hideMark/>
          </w:tcPr>
          <w:p w14:paraId="6794EDB6"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47,830</w:t>
            </w:r>
          </w:p>
        </w:tc>
        <w:tc>
          <w:tcPr>
            <w:tcW w:w="920" w:type="dxa"/>
            <w:tcBorders>
              <w:top w:val="nil"/>
              <w:left w:val="nil"/>
              <w:bottom w:val="nil"/>
              <w:right w:val="nil"/>
            </w:tcBorders>
            <w:shd w:val="clear" w:color="000000" w:fill="D9D9D9"/>
            <w:noWrap/>
            <w:vAlign w:val="bottom"/>
            <w:hideMark/>
          </w:tcPr>
          <w:p w14:paraId="5770502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47,830</w:t>
            </w:r>
          </w:p>
        </w:tc>
        <w:tc>
          <w:tcPr>
            <w:tcW w:w="920" w:type="dxa"/>
            <w:tcBorders>
              <w:top w:val="nil"/>
              <w:left w:val="nil"/>
              <w:bottom w:val="nil"/>
              <w:right w:val="nil"/>
            </w:tcBorders>
            <w:shd w:val="clear" w:color="auto" w:fill="auto"/>
            <w:noWrap/>
            <w:vAlign w:val="bottom"/>
            <w:hideMark/>
          </w:tcPr>
          <w:p w14:paraId="0AC0F89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47,830</w:t>
            </w:r>
          </w:p>
        </w:tc>
        <w:tc>
          <w:tcPr>
            <w:tcW w:w="920" w:type="dxa"/>
            <w:tcBorders>
              <w:top w:val="nil"/>
              <w:left w:val="nil"/>
              <w:bottom w:val="nil"/>
              <w:right w:val="nil"/>
            </w:tcBorders>
            <w:shd w:val="clear" w:color="auto" w:fill="auto"/>
            <w:noWrap/>
            <w:vAlign w:val="bottom"/>
            <w:hideMark/>
          </w:tcPr>
          <w:p w14:paraId="280D6058"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47,830</w:t>
            </w:r>
          </w:p>
        </w:tc>
        <w:tc>
          <w:tcPr>
            <w:tcW w:w="771" w:type="dxa"/>
            <w:tcBorders>
              <w:top w:val="nil"/>
              <w:left w:val="nil"/>
              <w:bottom w:val="nil"/>
              <w:right w:val="nil"/>
            </w:tcBorders>
            <w:shd w:val="clear" w:color="auto" w:fill="auto"/>
            <w:noWrap/>
            <w:tcMar>
              <w:left w:w="0" w:type="dxa"/>
            </w:tcMar>
            <w:vAlign w:val="bottom"/>
            <w:hideMark/>
          </w:tcPr>
          <w:p w14:paraId="2435DF3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47,830</w:t>
            </w:r>
          </w:p>
        </w:tc>
      </w:tr>
      <w:tr w:rsidR="00760DE2" w:rsidRPr="00760DE2" w14:paraId="2005E61E"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516FA0D1" w14:textId="77777777" w:rsidR="00760DE2" w:rsidRPr="00760DE2" w:rsidRDefault="00760DE2" w:rsidP="00760DE2">
            <w:pPr>
              <w:spacing w:after="0"/>
              <w:ind w:firstLineChars="200" w:firstLine="320"/>
              <w:rPr>
                <w:rFonts w:ascii="Arial" w:hAnsi="Arial" w:cs="Arial"/>
                <w:sz w:val="16"/>
                <w:szCs w:val="16"/>
              </w:rPr>
            </w:pPr>
            <w:r w:rsidRPr="00760DE2">
              <w:rPr>
                <w:rFonts w:ascii="Arial" w:hAnsi="Arial" w:cs="Arial"/>
                <w:sz w:val="16"/>
                <w:szCs w:val="16"/>
              </w:rPr>
              <w:t>Investments</w:t>
            </w:r>
          </w:p>
        </w:tc>
        <w:tc>
          <w:tcPr>
            <w:tcW w:w="1005" w:type="dxa"/>
            <w:tcBorders>
              <w:top w:val="nil"/>
              <w:left w:val="nil"/>
              <w:bottom w:val="nil"/>
              <w:right w:val="nil"/>
            </w:tcBorders>
            <w:shd w:val="clear" w:color="auto" w:fill="auto"/>
            <w:noWrap/>
            <w:vAlign w:val="bottom"/>
            <w:hideMark/>
          </w:tcPr>
          <w:p w14:paraId="4279580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138,973</w:t>
            </w:r>
          </w:p>
        </w:tc>
        <w:tc>
          <w:tcPr>
            <w:tcW w:w="920" w:type="dxa"/>
            <w:tcBorders>
              <w:top w:val="nil"/>
              <w:left w:val="nil"/>
              <w:bottom w:val="nil"/>
              <w:right w:val="nil"/>
            </w:tcBorders>
            <w:shd w:val="clear" w:color="000000" w:fill="D9D9D9"/>
            <w:noWrap/>
            <w:vAlign w:val="bottom"/>
            <w:hideMark/>
          </w:tcPr>
          <w:p w14:paraId="4433DAA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143,119</w:t>
            </w:r>
          </w:p>
        </w:tc>
        <w:tc>
          <w:tcPr>
            <w:tcW w:w="920" w:type="dxa"/>
            <w:tcBorders>
              <w:top w:val="nil"/>
              <w:left w:val="nil"/>
              <w:bottom w:val="nil"/>
              <w:right w:val="nil"/>
            </w:tcBorders>
            <w:shd w:val="clear" w:color="auto" w:fill="auto"/>
            <w:noWrap/>
            <w:vAlign w:val="bottom"/>
            <w:hideMark/>
          </w:tcPr>
          <w:p w14:paraId="145893D6"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147,265</w:t>
            </w:r>
          </w:p>
        </w:tc>
        <w:tc>
          <w:tcPr>
            <w:tcW w:w="920" w:type="dxa"/>
            <w:tcBorders>
              <w:top w:val="nil"/>
              <w:left w:val="nil"/>
              <w:bottom w:val="nil"/>
              <w:right w:val="nil"/>
            </w:tcBorders>
            <w:shd w:val="clear" w:color="auto" w:fill="auto"/>
            <w:noWrap/>
            <w:vAlign w:val="bottom"/>
            <w:hideMark/>
          </w:tcPr>
          <w:p w14:paraId="252C37A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151,411</w:t>
            </w:r>
          </w:p>
        </w:tc>
        <w:tc>
          <w:tcPr>
            <w:tcW w:w="771" w:type="dxa"/>
            <w:tcBorders>
              <w:top w:val="nil"/>
              <w:left w:val="nil"/>
              <w:bottom w:val="nil"/>
              <w:right w:val="nil"/>
            </w:tcBorders>
            <w:shd w:val="clear" w:color="auto" w:fill="auto"/>
            <w:noWrap/>
            <w:tcMar>
              <w:left w:w="0" w:type="dxa"/>
            </w:tcMar>
            <w:vAlign w:val="bottom"/>
            <w:hideMark/>
          </w:tcPr>
          <w:p w14:paraId="2C60FE3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155,557</w:t>
            </w:r>
          </w:p>
        </w:tc>
      </w:tr>
      <w:tr w:rsidR="00760DE2" w:rsidRPr="00760DE2" w14:paraId="05B660C3"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1D59C7B8" w14:textId="77777777" w:rsidR="00760DE2" w:rsidRPr="00760DE2" w:rsidRDefault="00760DE2" w:rsidP="00760DE2">
            <w:pPr>
              <w:spacing w:after="0"/>
              <w:ind w:firstLineChars="200" w:firstLine="320"/>
              <w:rPr>
                <w:rFonts w:ascii="Arial" w:hAnsi="Arial" w:cs="Arial"/>
                <w:b/>
                <w:bCs/>
                <w:sz w:val="16"/>
                <w:szCs w:val="16"/>
              </w:rPr>
            </w:pPr>
            <w:r w:rsidRPr="00760DE2">
              <w:rPr>
                <w:rFonts w:ascii="Arial" w:hAnsi="Arial" w:cs="Arial"/>
                <w:b/>
                <w:bCs/>
                <w:sz w:val="16"/>
                <w:szCs w:val="16"/>
              </w:rPr>
              <w:t>Total financial assets</w:t>
            </w:r>
          </w:p>
        </w:tc>
        <w:tc>
          <w:tcPr>
            <w:tcW w:w="1005" w:type="dxa"/>
            <w:tcBorders>
              <w:top w:val="nil"/>
              <w:left w:val="nil"/>
              <w:bottom w:val="single" w:sz="4" w:space="0" w:color="auto"/>
              <w:right w:val="nil"/>
            </w:tcBorders>
            <w:shd w:val="clear" w:color="auto" w:fill="auto"/>
            <w:noWrap/>
            <w:vAlign w:val="bottom"/>
            <w:hideMark/>
          </w:tcPr>
          <w:p w14:paraId="184FA7E0"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369,452</w:t>
            </w:r>
          </w:p>
        </w:tc>
        <w:tc>
          <w:tcPr>
            <w:tcW w:w="920" w:type="dxa"/>
            <w:tcBorders>
              <w:top w:val="nil"/>
              <w:left w:val="nil"/>
              <w:bottom w:val="single" w:sz="4" w:space="0" w:color="auto"/>
              <w:right w:val="nil"/>
            </w:tcBorders>
            <w:shd w:val="clear" w:color="000000" w:fill="D9D9D9"/>
            <w:noWrap/>
            <w:vAlign w:val="bottom"/>
            <w:hideMark/>
          </w:tcPr>
          <w:p w14:paraId="42E80189"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378,780</w:t>
            </w:r>
          </w:p>
        </w:tc>
        <w:tc>
          <w:tcPr>
            <w:tcW w:w="920" w:type="dxa"/>
            <w:tcBorders>
              <w:top w:val="nil"/>
              <w:left w:val="nil"/>
              <w:bottom w:val="single" w:sz="4" w:space="0" w:color="auto"/>
              <w:right w:val="nil"/>
            </w:tcBorders>
            <w:shd w:val="clear" w:color="auto" w:fill="auto"/>
            <w:noWrap/>
            <w:vAlign w:val="bottom"/>
            <w:hideMark/>
          </w:tcPr>
          <w:p w14:paraId="598FB158"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387,926</w:t>
            </w:r>
          </w:p>
        </w:tc>
        <w:tc>
          <w:tcPr>
            <w:tcW w:w="920" w:type="dxa"/>
            <w:tcBorders>
              <w:top w:val="nil"/>
              <w:left w:val="nil"/>
              <w:bottom w:val="single" w:sz="4" w:space="0" w:color="auto"/>
              <w:right w:val="nil"/>
            </w:tcBorders>
            <w:shd w:val="clear" w:color="auto" w:fill="auto"/>
            <w:noWrap/>
            <w:vAlign w:val="bottom"/>
            <w:hideMark/>
          </w:tcPr>
          <w:p w14:paraId="78936F3B"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392,072</w:t>
            </w:r>
          </w:p>
        </w:tc>
        <w:tc>
          <w:tcPr>
            <w:tcW w:w="771" w:type="dxa"/>
            <w:tcBorders>
              <w:top w:val="nil"/>
              <w:left w:val="nil"/>
              <w:bottom w:val="single" w:sz="4" w:space="0" w:color="auto"/>
              <w:right w:val="nil"/>
            </w:tcBorders>
            <w:shd w:val="clear" w:color="auto" w:fill="auto"/>
            <w:noWrap/>
            <w:tcMar>
              <w:left w:w="0" w:type="dxa"/>
            </w:tcMar>
            <w:vAlign w:val="bottom"/>
            <w:hideMark/>
          </w:tcPr>
          <w:p w14:paraId="4B1F2AB6"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396,218</w:t>
            </w:r>
          </w:p>
        </w:tc>
      </w:tr>
      <w:tr w:rsidR="00760DE2" w:rsidRPr="00760DE2" w14:paraId="0EEF4C80" w14:textId="77777777" w:rsidTr="00760DE2">
        <w:trPr>
          <w:trHeight w:val="283"/>
          <w:jc w:val="center"/>
        </w:trPr>
        <w:tc>
          <w:tcPr>
            <w:tcW w:w="2835" w:type="dxa"/>
            <w:tcBorders>
              <w:top w:val="nil"/>
              <w:left w:val="nil"/>
              <w:bottom w:val="nil"/>
              <w:right w:val="nil"/>
            </w:tcBorders>
            <w:shd w:val="clear" w:color="auto" w:fill="auto"/>
            <w:noWrap/>
            <w:vAlign w:val="bottom"/>
            <w:hideMark/>
          </w:tcPr>
          <w:p w14:paraId="40AAC7BF" w14:textId="77777777" w:rsidR="00760DE2" w:rsidRPr="00760DE2" w:rsidRDefault="00760DE2" w:rsidP="00760DE2">
            <w:pPr>
              <w:spacing w:after="0"/>
              <w:ind w:leftChars="75" w:left="143"/>
              <w:rPr>
                <w:rFonts w:ascii="Arial" w:hAnsi="Arial" w:cs="Arial"/>
                <w:b/>
                <w:bCs/>
                <w:sz w:val="16"/>
                <w:szCs w:val="16"/>
              </w:rPr>
            </w:pPr>
            <w:r w:rsidRPr="00760DE2">
              <w:rPr>
                <w:rFonts w:ascii="Arial" w:hAnsi="Arial" w:cs="Arial"/>
                <w:b/>
                <w:bCs/>
                <w:sz w:val="16"/>
                <w:szCs w:val="16"/>
              </w:rPr>
              <w:t>Non-financial assets</w:t>
            </w:r>
          </w:p>
        </w:tc>
        <w:tc>
          <w:tcPr>
            <w:tcW w:w="1005" w:type="dxa"/>
            <w:tcBorders>
              <w:top w:val="nil"/>
              <w:left w:val="nil"/>
              <w:bottom w:val="nil"/>
              <w:right w:val="nil"/>
            </w:tcBorders>
            <w:shd w:val="clear" w:color="auto" w:fill="auto"/>
            <w:noWrap/>
            <w:vAlign w:val="bottom"/>
            <w:hideMark/>
          </w:tcPr>
          <w:p w14:paraId="72BDB8FC" w14:textId="77777777" w:rsidR="00760DE2" w:rsidRPr="00760DE2" w:rsidRDefault="00760DE2" w:rsidP="00760DE2">
            <w:pPr>
              <w:spacing w:after="0"/>
              <w:ind w:firstLineChars="100" w:firstLine="160"/>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736E8A2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72B664D0" w14:textId="77777777" w:rsidR="00760DE2" w:rsidRPr="00760DE2" w:rsidRDefault="00760DE2" w:rsidP="00760DE2">
            <w:pPr>
              <w:spacing w:after="0"/>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A466264" w14:textId="77777777" w:rsidR="00760DE2" w:rsidRPr="00760DE2" w:rsidRDefault="00760DE2" w:rsidP="00760DE2">
            <w:pPr>
              <w:spacing w:after="0"/>
              <w:jc w:val="right"/>
              <w:rPr>
                <w:rFonts w:ascii="Times New Roman" w:hAnsi="Times New Roman"/>
                <w:color w:val="auto"/>
                <w:sz w:val="20"/>
              </w:rPr>
            </w:pPr>
          </w:p>
        </w:tc>
        <w:tc>
          <w:tcPr>
            <w:tcW w:w="771" w:type="dxa"/>
            <w:tcBorders>
              <w:top w:val="nil"/>
              <w:left w:val="nil"/>
              <w:bottom w:val="nil"/>
              <w:right w:val="nil"/>
            </w:tcBorders>
            <w:shd w:val="clear" w:color="auto" w:fill="auto"/>
            <w:noWrap/>
            <w:tcMar>
              <w:left w:w="0" w:type="dxa"/>
            </w:tcMar>
            <w:vAlign w:val="bottom"/>
            <w:hideMark/>
          </w:tcPr>
          <w:p w14:paraId="593986A5" w14:textId="77777777" w:rsidR="00760DE2" w:rsidRPr="00760DE2" w:rsidRDefault="00760DE2" w:rsidP="00760DE2">
            <w:pPr>
              <w:spacing w:after="0"/>
              <w:jc w:val="right"/>
              <w:rPr>
                <w:rFonts w:ascii="Times New Roman" w:hAnsi="Times New Roman"/>
                <w:color w:val="auto"/>
                <w:sz w:val="20"/>
              </w:rPr>
            </w:pPr>
          </w:p>
        </w:tc>
      </w:tr>
      <w:tr w:rsidR="00760DE2" w:rsidRPr="00760DE2" w14:paraId="1F2BB699"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0D5674D7" w14:textId="77777777" w:rsidR="00760DE2" w:rsidRPr="00760DE2" w:rsidRDefault="00760DE2" w:rsidP="00760DE2">
            <w:pPr>
              <w:spacing w:after="0"/>
              <w:ind w:firstLineChars="200" w:firstLine="320"/>
              <w:rPr>
                <w:rFonts w:ascii="Arial" w:hAnsi="Arial" w:cs="Arial"/>
                <w:sz w:val="16"/>
                <w:szCs w:val="16"/>
              </w:rPr>
            </w:pPr>
            <w:r w:rsidRPr="00760DE2">
              <w:rPr>
                <w:rFonts w:ascii="Arial" w:hAnsi="Arial" w:cs="Arial"/>
                <w:sz w:val="16"/>
                <w:szCs w:val="16"/>
              </w:rPr>
              <w:t>Property, plant and equipment</w:t>
            </w:r>
          </w:p>
        </w:tc>
        <w:tc>
          <w:tcPr>
            <w:tcW w:w="1005" w:type="dxa"/>
            <w:tcBorders>
              <w:top w:val="nil"/>
              <w:left w:val="nil"/>
              <w:bottom w:val="nil"/>
              <w:right w:val="nil"/>
            </w:tcBorders>
            <w:shd w:val="clear" w:color="auto" w:fill="auto"/>
            <w:noWrap/>
            <w:vAlign w:val="bottom"/>
            <w:hideMark/>
          </w:tcPr>
          <w:p w14:paraId="48CD0145"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w:t>
            </w:r>
          </w:p>
        </w:tc>
        <w:tc>
          <w:tcPr>
            <w:tcW w:w="920" w:type="dxa"/>
            <w:tcBorders>
              <w:top w:val="nil"/>
              <w:left w:val="nil"/>
              <w:bottom w:val="nil"/>
              <w:right w:val="nil"/>
            </w:tcBorders>
            <w:shd w:val="clear" w:color="000000" w:fill="D9D9D9"/>
            <w:noWrap/>
            <w:vAlign w:val="bottom"/>
            <w:hideMark/>
          </w:tcPr>
          <w:p w14:paraId="7BB69180"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w:t>
            </w:r>
          </w:p>
        </w:tc>
        <w:tc>
          <w:tcPr>
            <w:tcW w:w="920" w:type="dxa"/>
            <w:tcBorders>
              <w:top w:val="nil"/>
              <w:left w:val="nil"/>
              <w:bottom w:val="nil"/>
              <w:right w:val="nil"/>
            </w:tcBorders>
            <w:shd w:val="clear" w:color="auto" w:fill="auto"/>
            <w:noWrap/>
            <w:vAlign w:val="bottom"/>
            <w:hideMark/>
          </w:tcPr>
          <w:p w14:paraId="25F8C8B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w:t>
            </w:r>
          </w:p>
        </w:tc>
        <w:tc>
          <w:tcPr>
            <w:tcW w:w="920" w:type="dxa"/>
            <w:tcBorders>
              <w:top w:val="nil"/>
              <w:left w:val="nil"/>
              <w:bottom w:val="nil"/>
              <w:right w:val="nil"/>
            </w:tcBorders>
            <w:shd w:val="clear" w:color="auto" w:fill="auto"/>
            <w:noWrap/>
            <w:vAlign w:val="bottom"/>
            <w:hideMark/>
          </w:tcPr>
          <w:p w14:paraId="543A1AE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w:t>
            </w:r>
          </w:p>
        </w:tc>
        <w:tc>
          <w:tcPr>
            <w:tcW w:w="771" w:type="dxa"/>
            <w:tcBorders>
              <w:top w:val="nil"/>
              <w:left w:val="nil"/>
              <w:bottom w:val="nil"/>
              <w:right w:val="nil"/>
            </w:tcBorders>
            <w:shd w:val="clear" w:color="auto" w:fill="auto"/>
            <w:noWrap/>
            <w:tcMar>
              <w:left w:w="0" w:type="dxa"/>
            </w:tcMar>
            <w:vAlign w:val="bottom"/>
            <w:hideMark/>
          </w:tcPr>
          <w:p w14:paraId="54280A9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w:t>
            </w:r>
          </w:p>
        </w:tc>
      </w:tr>
      <w:tr w:rsidR="00760DE2" w:rsidRPr="00760DE2" w14:paraId="57BABD6E"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6B08E0B3" w14:textId="77777777" w:rsidR="00760DE2" w:rsidRPr="00760DE2" w:rsidRDefault="00760DE2" w:rsidP="00760DE2">
            <w:pPr>
              <w:spacing w:after="0"/>
              <w:ind w:firstLineChars="200" w:firstLine="320"/>
              <w:rPr>
                <w:rFonts w:ascii="Arial" w:hAnsi="Arial" w:cs="Arial"/>
                <w:sz w:val="16"/>
                <w:szCs w:val="16"/>
              </w:rPr>
            </w:pPr>
            <w:r w:rsidRPr="00760DE2">
              <w:rPr>
                <w:rFonts w:ascii="Arial" w:hAnsi="Arial" w:cs="Arial"/>
                <w:sz w:val="16"/>
                <w:szCs w:val="16"/>
              </w:rPr>
              <w:t>Intangibles</w:t>
            </w:r>
          </w:p>
        </w:tc>
        <w:tc>
          <w:tcPr>
            <w:tcW w:w="1005" w:type="dxa"/>
            <w:tcBorders>
              <w:top w:val="nil"/>
              <w:left w:val="nil"/>
              <w:bottom w:val="nil"/>
              <w:right w:val="nil"/>
            </w:tcBorders>
            <w:shd w:val="clear" w:color="auto" w:fill="auto"/>
            <w:noWrap/>
            <w:vAlign w:val="bottom"/>
            <w:hideMark/>
          </w:tcPr>
          <w:p w14:paraId="4EA11A0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4,502</w:t>
            </w:r>
          </w:p>
        </w:tc>
        <w:tc>
          <w:tcPr>
            <w:tcW w:w="920" w:type="dxa"/>
            <w:tcBorders>
              <w:top w:val="nil"/>
              <w:left w:val="nil"/>
              <w:bottom w:val="nil"/>
              <w:right w:val="nil"/>
            </w:tcBorders>
            <w:shd w:val="clear" w:color="000000" w:fill="D9D9D9"/>
            <w:noWrap/>
            <w:vAlign w:val="bottom"/>
            <w:hideMark/>
          </w:tcPr>
          <w:p w14:paraId="15715BA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4,502</w:t>
            </w:r>
          </w:p>
        </w:tc>
        <w:tc>
          <w:tcPr>
            <w:tcW w:w="920" w:type="dxa"/>
            <w:tcBorders>
              <w:top w:val="nil"/>
              <w:left w:val="nil"/>
              <w:bottom w:val="nil"/>
              <w:right w:val="nil"/>
            </w:tcBorders>
            <w:shd w:val="clear" w:color="auto" w:fill="auto"/>
            <w:noWrap/>
            <w:vAlign w:val="bottom"/>
            <w:hideMark/>
          </w:tcPr>
          <w:p w14:paraId="38D539C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4,502</w:t>
            </w:r>
          </w:p>
        </w:tc>
        <w:tc>
          <w:tcPr>
            <w:tcW w:w="920" w:type="dxa"/>
            <w:tcBorders>
              <w:top w:val="nil"/>
              <w:left w:val="nil"/>
              <w:bottom w:val="nil"/>
              <w:right w:val="nil"/>
            </w:tcBorders>
            <w:shd w:val="clear" w:color="auto" w:fill="auto"/>
            <w:noWrap/>
            <w:vAlign w:val="bottom"/>
            <w:hideMark/>
          </w:tcPr>
          <w:p w14:paraId="6717798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4,502</w:t>
            </w:r>
          </w:p>
        </w:tc>
        <w:tc>
          <w:tcPr>
            <w:tcW w:w="771" w:type="dxa"/>
            <w:tcBorders>
              <w:top w:val="nil"/>
              <w:left w:val="nil"/>
              <w:bottom w:val="nil"/>
              <w:right w:val="nil"/>
            </w:tcBorders>
            <w:shd w:val="clear" w:color="auto" w:fill="auto"/>
            <w:noWrap/>
            <w:tcMar>
              <w:left w:w="0" w:type="dxa"/>
            </w:tcMar>
            <w:vAlign w:val="bottom"/>
            <w:hideMark/>
          </w:tcPr>
          <w:p w14:paraId="0A9D831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4,502</w:t>
            </w:r>
          </w:p>
        </w:tc>
      </w:tr>
      <w:tr w:rsidR="00760DE2" w:rsidRPr="00760DE2" w14:paraId="0C84CD44"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32020804" w14:textId="77777777" w:rsidR="00760DE2" w:rsidRPr="00760DE2" w:rsidRDefault="00760DE2" w:rsidP="00760DE2">
            <w:pPr>
              <w:spacing w:after="0"/>
              <w:ind w:firstLineChars="200" w:firstLine="320"/>
              <w:rPr>
                <w:rFonts w:ascii="Arial" w:hAnsi="Arial" w:cs="Arial"/>
                <w:sz w:val="16"/>
                <w:szCs w:val="16"/>
              </w:rPr>
            </w:pPr>
            <w:r w:rsidRPr="00760DE2">
              <w:rPr>
                <w:rFonts w:ascii="Arial" w:hAnsi="Arial" w:cs="Arial"/>
                <w:sz w:val="16"/>
                <w:szCs w:val="16"/>
              </w:rPr>
              <w:t>Inventories</w:t>
            </w:r>
          </w:p>
        </w:tc>
        <w:tc>
          <w:tcPr>
            <w:tcW w:w="1005" w:type="dxa"/>
            <w:tcBorders>
              <w:top w:val="nil"/>
              <w:left w:val="nil"/>
              <w:bottom w:val="nil"/>
              <w:right w:val="nil"/>
            </w:tcBorders>
            <w:shd w:val="clear" w:color="auto" w:fill="auto"/>
            <w:noWrap/>
            <w:vAlign w:val="bottom"/>
            <w:hideMark/>
          </w:tcPr>
          <w:p w14:paraId="12FA603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115,177</w:t>
            </w:r>
          </w:p>
        </w:tc>
        <w:tc>
          <w:tcPr>
            <w:tcW w:w="920" w:type="dxa"/>
            <w:tcBorders>
              <w:top w:val="nil"/>
              <w:left w:val="nil"/>
              <w:bottom w:val="nil"/>
              <w:right w:val="nil"/>
            </w:tcBorders>
            <w:shd w:val="clear" w:color="000000" w:fill="D9D9D9"/>
            <w:noWrap/>
            <w:vAlign w:val="bottom"/>
            <w:hideMark/>
          </w:tcPr>
          <w:p w14:paraId="2A4AD562"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115,177</w:t>
            </w:r>
          </w:p>
        </w:tc>
        <w:tc>
          <w:tcPr>
            <w:tcW w:w="920" w:type="dxa"/>
            <w:tcBorders>
              <w:top w:val="nil"/>
              <w:left w:val="nil"/>
              <w:bottom w:val="nil"/>
              <w:right w:val="nil"/>
            </w:tcBorders>
            <w:shd w:val="clear" w:color="auto" w:fill="auto"/>
            <w:noWrap/>
            <w:vAlign w:val="bottom"/>
            <w:hideMark/>
          </w:tcPr>
          <w:p w14:paraId="13E8E68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115,177</w:t>
            </w:r>
          </w:p>
        </w:tc>
        <w:tc>
          <w:tcPr>
            <w:tcW w:w="920" w:type="dxa"/>
            <w:tcBorders>
              <w:top w:val="nil"/>
              <w:left w:val="nil"/>
              <w:bottom w:val="nil"/>
              <w:right w:val="nil"/>
            </w:tcBorders>
            <w:shd w:val="clear" w:color="auto" w:fill="auto"/>
            <w:noWrap/>
            <w:vAlign w:val="bottom"/>
            <w:hideMark/>
          </w:tcPr>
          <w:p w14:paraId="68E14972"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115,177</w:t>
            </w:r>
          </w:p>
        </w:tc>
        <w:tc>
          <w:tcPr>
            <w:tcW w:w="771" w:type="dxa"/>
            <w:tcBorders>
              <w:top w:val="nil"/>
              <w:left w:val="nil"/>
              <w:bottom w:val="nil"/>
              <w:right w:val="nil"/>
            </w:tcBorders>
            <w:shd w:val="clear" w:color="auto" w:fill="auto"/>
            <w:noWrap/>
            <w:tcMar>
              <w:left w:w="0" w:type="dxa"/>
            </w:tcMar>
            <w:vAlign w:val="bottom"/>
            <w:hideMark/>
          </w:tcPr>
          <w:p w14:paraId="25CB8A4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115,177</w:t>
            </w:r>
          </w:p>
        </w:tc>
      </w:tr>
      <w:tr w:rsidR="00760DE2" w:rsidRPr="00760DE2" w14:paraId="216181BD"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5DC36CC3" w14:textId="77777777" w:rsidR="00760DE2" w:rsidRPr="00760DE2" w:rsidRDefault="00760DE2" w:rsidP="00760DE2">
            <w:pPr>
              <w:spacing w:after="0"/>
              <w:ind w:firstLineChars="200" w:firstLine="320"/>
              <w:rPr>
                <w:rFonts w:ascii="Arial" w:hAnsi="Arial" w:cs="Arial"/>
                <w:sz w:val="16"/>
                <w:szCs w:val="16"/>
              </w:rPr>
            </w:pPr>
            <w:r w:rsidRPr="00760DE2">
              <w:rPr>
                <w:rFonts w:ascii="Arial" w:hAnsi="Arial" w:cs="Arial"/>
                <w:sz w:val="16"/>
                <w:szCs w:val="16"/>
              </w:rPr>
              <w:t>Other</w:t>
            </w:r>
          </w:p>
        </w:tc>
        <w:tc>
          <w:tcPr>
            <w:tcW w:w="1005" w:type="dxa"/>
            <w:tcBorders>
              <w:top w:val="nil"/>
              <w:left w:val="nil"/>
              <w:bottom w:val="nil"/>
              <w:right w:val="nil"/>
            </w:tcBorders>
            <w:shd w:val="clear" w:color="auto" w:fill="auto"/>
            <w:noWrap/>
            <w:vAlign w:val="bottom"/>
            <w:hideMark/>
          </w:tcPr>
          <w:p w14:paraId="2D30647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60,357</w:t>
            </w:r>
          </w:p>
        </w:tc>
        <w:tc>
          <w:tcPr>
            <w:tcW w:w="920" w:type="dxa"/>
            <w:tcBorders>
              <w:top w:val="nil"/>
              <w:left w:val="nil"/>
              <w:bottom w:val="nil"/>
              <w:right w:val="nil"/>
            </w:tcBorders>
            <w:shd w:val="clear" w:color="000000" w:fill="D9D9D9"/>
            <w:noWrap/>
            <w:vAlign w:val="bottom"/>
            <w:hideMark/>
          </w:tcPr>
          <w:p w14:paraId="348BB540"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60,359</w:t>
            </w:r>
          </w:p>
        </w:tc>
        <w:tc>
          <w:tcPr>
            <w:tcW w:w="920" w:type="dxa"/>
            <w:tcBorders>
              <w:top w:val="nil"/>
              <w:left w:val="nil"/>
              <w:bottom w:val="nil"/>
              <w:right w:val="nil"/>
            </w:tcBorders>
            <w:shd w:val="clear" w:color="auto" w:fill="auto"/>
            <w:noWrap/>
            <w:vAlign w:val="bottom"/>
            <w:hideMark/>
          </w:tcPr>
          <w:p w14:paraId="6EB527A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60,359</w:t>
            </w:r>
          </w:p>
        </w:tc>
        <w:tc>
          <w:tcPr>
            <w:tcW w:w="920" w:type="dxa"/>
            <w:tcBorders>
              <w:top w:val="nil"/>
              <w:left w:val="nil"/>
              <w:bottom w:val="nil"/>
              <w:right w:val="nil"/>
            </w:tcBorders>
            <w:shd w:val="clear" w:color="auto" w:fill="auto"/>
            <w:noWrap/>
            <w:vAlign w:val="bottom"/>
            <w:hideMark/>
          </w:tcPr>
          <w:p w14:paraId="36BFE00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60,359</w:t>
            </w:r>
          </w:p>
        </w:tc>
        <w:tc>
          <w:tcPr>
            <w:tcW w:w="771" w:type="dxa"/>
            <w:tcBorders>
              <w:top w:val="nil"/>
              <w:left w:val="nil"/>
              <w:bottom w:val="nil"/>
              <w:right w:val="nil"/>
            </w:tcBorders>
            <w:shd w:val="clear" w:color="auto" w:fill="auto"/>
            <w:noWrap/>
            <w:tcMar>
              <w:left w:w="0" w:type="dxa"/>
            </w:tcMar>
            <w:vAlign w:val="bottom"/>
            <w:hideMark/>
          </w:tcPr>
          <w:p w14:paraId="7A015D34"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60,359</w:t>
            </w:r>
          </w:p>
        </w:tc>
      </w:tr>
      <w:tr w:rsidR="00760DE2" w:rsidRPr="00760DE2" w14:paraId="763EBA07"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34BAEE3A" w14:textId="77777777" w:rsidR="00760DE2" w:rsidRPr="00760DE2" w:rsidRDefault="00760DE2" w:rsidP="00760DE2">
            <w:pPr>
              <w:spacing w:after="0"/>
              <w:ind w:firstLineChars="200" w:firstLine="320"/>
              <w:rPr>
                <w:rFonts w:ascii="Arial" w:hAnsi="Arial" w:cs="Arial"/>
                <w:b/>
                <w:bCs/>
                <w:sz w:val="16"/>
                <w:szCs w:val="16"/>
              </w:rPr>
            </w:pPr>
            <w:r w:rsidRPr="00760DE2">
              <w:rPr>
                <w:rFonts w:ascii="Arial" w:hAnsi="Arial" w:cs="Arial"/>
                <w:b/>
                <w:bCs/>
                <w:sz w:val="16"/>
                <w:szCs w:val="16"/>
              </w:rPr>
              <w:t>Total non-financial assets</w:t>
            </w:r>
          </w:p>
        </w:tc>
        <w:tc>
          <w:tcPr>
            <w:tcW w:w="1005" w:type="dxa"/>
            <w:tcBorders>
              <w:top w:val="nil"/>
              <w:left w:val="nil"/>
              <w:bottom w:val="single" w:sz="4" w:space="0" w:color="auto"/>
              <w:right w:val="nil"/>
            </w:tcBorders>
            <w:shd w:val="clear" w:color="auto" w:fill="auto"/>
            <w:noWrap/>
            <w:vAlign w:val="bottom"/>
            <w:hideMark/>
          </w:tcPr>
          <w:p w14:paraId="0251F440"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180,047</w:t>
            </w:r>
          </w:p>
        </w:tc>
        <w:tc>
          <w:tcPr>
            <w:tcW w:w="920" w:type="dxa"/>
            <w:tcBorders>
              <w:top w:val="nil"/>
              <w:left w:val="nil"/>
              <w:bottom w:val="single" w:sz="4" w:space="0" w:color="auto"/>
              <w:right w:val="nil"/>
            </w:tcBorders>
            <w:shd w:val="clear" w:color="000000" w:fill="D9D9D9"/>
            <w:noWrap/>
            <w:vAlign w:val="bottom"/>
            <w:hideMark/>
          </w:tcPr>
          <w:p w14:paraId="1D13F22D"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180,049</w:t>
            </w:r>
          </w:p>
        </w:tc>
        <w:tc>
          <w:tcPr>
            <w:tcW w:w="920" w:type="dxa"/>
            <w:tcBorders>
              <w:top w:val="nil"/>
              <w:left w:val="nil"/>
              <w:bottom w:val="single" w:sz="4" w:space="0" w:color="auto"/>
              <w:right w:val="nil"/>
            </w:tcBorders>
            <w:shd w:val="clear" w:color="auto" w:fill="auto"/>
            <w:noWrap/>
            <w:vAlign w:val="bottom"/>
            <w:hideMark/>
          </w:tcPr>
          <w:p w14:paraId="213E614C"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180,049</w:t>
            </w:r>
          </w:p>
        </w:tc>
        <w:tc>
          <w:tcPr>
            <w:tcW w:w="920" w:type="dxa"/>
            <w:tcBorders>
              <w:top w:val="nil"/>
              <w:left w:val="nil"/>
              <w:bottom w:val="single" w:sz="4" w:space="0" w:color="auto"/>
              <w:right w:val="nil"/>
            </w:tcBorders>
            <w:shd w:val="clear" w:color="auto" w:fill="auto"/>
            <w:noWrap/>
            <w:vAlign w:val="bottom"/>
            <w:hideMark/>
          </w:tcPr>
          <w:p w14:paraId="71276CE2"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180,049</w:t>
            </w:r>
          </w:p>
        </w:tc>
        <w:tc>
          <w:tcPr>
            <w:tcW w:w="771" w:type="dxa"/>
            <w:tcBorders>
              <w:top w:val="nil"/>
              <w:left w:val="nil"/>
              <w:bottom w:val="single" w:sz="4" w:space="0" w:color="auto"/>
              <w:right w:val="nil"/>
            </w:tcBorders>
            <w:shd w:val="clear" w:color="auto" w:fill="auto"/>
            <w:noWrap/>
            <w:tcMar>
              <w:left w:w="0" w:type="dxa"/>
            </w:tcMar>
            <w:vAlign w:val="bottom"/>
            <w:hideMark/>
          </w:tcPr>
          <w:p w14:paraId="108916DC"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180,049</w:t>
            </w:r>
          </w:p>
        </w:tc>
      </w:tr>
      <w:tr w:rsidR="00760DE2" w:rsidRPr="00760DE2" w14:paraId="0A8B221C" w14:textId="77777777" w:rsidTr="00760DE2">
        <w:trPr>
          <w:trHeight w:val="397"/>
          <w:jc w:val="center"/>
        </w:trPr>
        <w:tc>
          <w:tcPr>
            <w:tcW w:w="2835" w:type="dxa"/>
            <w:tcBorders>
              <w:top w:val="nil"/>
              <w:left w:val="nil"/>
              <w:bottom w:val="nil"/>
              <w:right w:val="nil"/>
            </w:tcBorders>
            <w:shd w:val="clear" w:color="auto" w:fill="auto"/>
            <w:vAlign w:val="bottom"/>
            <w:hideMark/>
          </w:tcPr>
          <w:p w14:paraId="5F73A304" w14:textId="77777777" w:rsidR="00760DE2" w:rsidRPr="00760DE2" w:rsidRDefault="00760DE2" w:rsidP="00760DE2">
            <w:pPr>
              <w:spacing w:after="0"/>
              <w:ind w:leftChars="75" w:left="143"/>
              <w:rPr>
                <w:rFonts w:ascii="Arial" w:hAnsi="Arial" w:cs="Arial"/>
                <w:b/>
                <w:bCs/>
                <w:sz w:val="16"/>
                <w:szCs w:val="16"/>
              </w:rPr>
            </w:pPr>
            <w:r w:rsidRPr="00760DE2">
              <w:rPr>
                <w:rFonts w:ascii="Arial" w:hAnsi="Arial" w:cs="Arial"/>
                <w:b/>
                <w:bCs/>
                <w:sz w:val="16"/>
                <w:szCs w:val="16"/>
              </w:rPr>
              <w:t>Total assets administered  on behalf of Government</w:t>
            </w:r>
          </w:p>
        </w:tc>
        <w:tc>
          <w:tcPr>
            <w:tcW w:w="1005" w:type="dxa"/>
            <w:tcBorders>
              <w:top w:val="nil"/>
              <w:left w:val="nil"/>
              <w:bottom w:val="single" w:sz="4" w:space="0" w:color="auto"/>
              <w:right w:val="nil"/>
            </w:tcBorders>
            <w:shd w:val="clear" w:color="auto" w:fill="auto"/>
            <w:noWrap/>
            <w:vAlign w:val="bottom"/>
            <w:hideMark/>
          </w:tcPr>
          <w:p w14:paraId="7241AFAF"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549,499</w:t>
            </w:r>
          </w:p>
        </w:tc>
        <w:tc>
          <w:tcPr>
            <w:tcW w:w="920" w:type="dxa"/>
            <w:tcBorders>
              <w:top w:val="nil"/>
              <w:left w:val="nil"/>
              <w:bottom w:val="single" w:sz="4" w:space="0" w:color="auto"/>
              <w:right w:val="nil"/>
            </w:tcBorders>
            <w:shd w:val="clear" w:color="000000" w:fill="D9D9D9"/>
            <w:noWrap/>
            <w:vAlign w:val="bottom"/>
            <w:hideMark/>
          </w:tcPr>
          <w:p w14:paraId="5CFDC79B"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558,829</w:t>
            </w:r>
          </w:p>
        </w:tc>
        <w:tc>
          <w:tcPr>
            <w:tcW w:w="920" w:type="dxa"/>
            <w:tcBorders>
              <w:top w:val="nil"/>
              <w:left w:val="nil"/>
              <w:bottom w:val="single" w:sz="4" w:space="0" w:color="auto"/>
              <w:right w:val="nil"/>
            </w:tcBorders>
            <w:shd w:val="clear" w:color="auto" w:fill="auto"/>
            <w:noWrap/>
            <w:vAlign w:val="bottom"/>
            <w:hideMark/>
          </w:tcPr>
          <w:p w14:paraId="0EDF690B"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567,975</w:t>
            </w:r>
          </w:p>
        </w:tc>
        <w:tc>
          <w:tcPr>
            <w:tcW w:w="920" w:type="dxa"/>
            <w:tcBorders>
              <w:top w:val="nil"/>
              <w:left w:val="nil"/>
              <w:bottom w:val="single" w:sz="4" w:space="0" w:color="auto"/>
              <w:right w:val="nil"/>
            </w:tcBorders>
            <w:shd w:val="clear" w:color="auto" w:fill="auto"/>
            <w:noWrap/>
            <w:vAlign w:val="bottom"/>
            <w:hideMark/>
          </w:tcPr>
          <w:p w14:paraId="2BCD7568"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572,121</w:t>
            </w:r>
          </w:p>
        </w:tc>
        <w:tc>
          <w:tcPr>
            <w:tcW w:w="771" w:type="dxa"/>
            <w:tcBorders>
              <w:top w:val="nil"/>
              <w:left w:val="nil"/>
              <w:bottom w:val="single" w:sz="4" w:space="0" w:color="auto"/>
              <w:right w:val="nil"/>
            </w:tcBorders>
            <w:shd w:val="clear" w:color="auto" w:fill="auto"/>
            <w:noWrap/>
            <w:tcMar>
              <w:left w:w="0" w:type="dxa"/>
            </w:tcMar>
            <w:vAlign w:val="bottom"/>
            <w:hideMark/>
          </w:tcPr>
          <w:p w14:paraId="041DE948"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576,267</w:t>
            </w:r>
          </w:p>
        </w:tc>
      </w:tr>
      <w:tr w:rsidR="00760DE2" w:rsidRPr="00760DE2" w14:paraId="5C9C4862" w14:textId="77777777" w:rsidTr="00760DE2">
        <w:trPr>
          <w:trHeight w:val="454"/>
          <w:jc w:val="center"/>
        </w:trPr>
        <w:tc>
          <w:tcPr>
            <w:tcW w:w="2835" w:type="dxa"/>
            <w:tcBorders>
              <w:top w:val="nil"/>
              <w:left w:val="nil"/>
              <w:bottom w:val="nil"/>
              <w:right w:val="nil"/>
            </w:tcBorders>
            <w:shd w:val="clear" w:color="auto" w:fill="auto"/>
            <w:vAlign w:val="bottom"/>
            <w:hideMark/>
          </w:tcPr>
          <w:p w14:paraId="16A8536E"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LIABILITIES ADMINISTERED ON BEHALF OF GOVERNMENT</w:t>
            </w:r>
          </w:p>
        </w:tc>
        <w:tc>
          <w:tcPr>
            <w:tcW w:w="1005" w:type="dxa"/>
            <w:tcBorders>
              <w:top w:val="nil"/>
              <w:left w:val="nil"/>
              <w:bottom w:val="nil"/>
              <w:right w:val="nil"/>
            </w:tcBorders>
            <w:shd w:val="clear" w:color="auto" w:fill="auto"/>
            <w:noWrap/>
            <w:vAlign w:val="bottom"/>
            <w:hideMark/>
          </w:tcPr>
          <w:p w14:paraId="529572D5" w14:textId="77777777" w:rsidR="00760DE2" w:rsidRPr="00760DE2" w:rsidRDefault="00760DE2" w:rsidP="00760DE2">
            <w:pPr>
              <w:spacing w:after="0"/>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4A634758"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5DB4DF5F" w14:textId="77777777" w:rsidR="00760DE2" w:rsidRPr="00760DE2" w:rsidRDefault="00760DE2" w:rsidP="00760DE2">
            <w:pPr>
              <w:spacing w:after="0"/>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EEA28A2" w14:textId="77777777" w:rsidR="00760DE2" w:rsidRPr="00760DE2" w:rsidRDefault="00760DE2" w:rsidP="00760DE2">
            <w:pPr>
              <w:spacing w:after="0"/>
              <w:jc w:val="right"/>
              <w:rPr>
                <w:rFonts w:ascii="Times New Roman" w:hAnsi="Times New Roman"/>
                <w:color w:val="auto"/>
                <w:sz w:val="20"/>
              </w:rPr>
            </w:pPr>
          </w:p>
        </w:tc>
        <w:tc>
          <w:tcPr>
            <w:tcW w:w="771" w:type="dxa"/>
            <w:tcBorders>
              <w:top w:val="nil"/>
              <w:left w:val="nil"/>
              <w:bottom w:val="nil"/>
              <w:right w:val="nil"/>
            </w:tcBorders>
            <w:shd w:val="clear" w:color="auto" w:fill="auto"/>
            <w:noWrap/>
            <w:tcMar>
              <w:left w:w="0" w:type="dxa"/>
            </w:tcMar>
            <w:vAlign w:val="bottom"/>
            <w:hideMark/>
          </w:tcPr>
          <w:p w14:paraId="7825C8FB" w14:textId="77777777" w:rsidR="00760DE2" w:rsidRPr="00760DE2" w:rsidRDefault="00760DE2" w:rsidP="00760DE2">
            <w:pPr>
              <w:spacing w:after="0"/>
              <w:jc w:val="right"/>
              <w:rPr>
                <w:rFonts w:ascii="Times New Roman" w:hAnsi="Times New Roman"/>
                <w:color w:val="auto"/>
                <w:sz w:val="20"/>
              </w:rPr>
            </w:pPr>
          </w:p>
        </w:tc>
      </w:tr>
      <w:tr w:rsidR="00760DE2" w:rsidRPr="00760DE2" w14:paraId="7EE757A3" w14:textId="77777777" w:rsidTr="00760DE2">
        <w:trPr>
          <w:trHeight w:val="283"/>
          <w:jc w:val="center"/>
        </w:trPr>
        <w:tc>
          <w:tcPr>
            <w:tcW w:w="2835" w:type="dxa"/>
            <w:tcBorders>
              <w:top w:val="nil"/>
              <w:left w:val="nil"/>
              <w:bottom w:val="nil"/>
              <w:right w:val="nil"/>
            </w:tcBorders>
            <w:shd w:val="clear" w:color="auto" w:fill="auto"/>
            <w:vAlign w:val="bottom"/>
            <w:hideMark/>
          </w:tcPr>
          <w:p w14:paraId="7291B389" w14:textId="77777777" w:rsidR="00760DE2" w:rsidRPr="00760DE2" w:rsidRDefault="00760DE2" w:rsidP="00760DE2">
            <w:pPr>
              <w:spacing w:after="0"/>
              <w:ind w:leftChars="75" w:left="143"/>
              <w:rPr>
                <w:rFonts w:ascii="Arial" w:hAnsi="Arial" w:cs="Arial"/>
                <w:b/>
                <w:bCs/>
                <w:sz w:val="16"/>
                <w:szCs w:val="16"/>
              </w:rPr>
            </w:pPr>
            <w:r w:rsidRPr="00760DE2">
              <w:rPr>
                <w:rFonts w:ascii="Arial" w:hAnsi="Arial" w:cs="Arial"/>
                <w:b/>
                <w:bCs/>
                <w:sz w:val="16"/>
                <w:szCs w:val="16"/>
              </w:rPr>
              <w:t>Payables</w:t>
            </w:r>
          </w:p>
        </w:tc>
        <w:tc>
          <w:tcPr>
            <w:tcW w:w="1005" w:type="dxa"/>
            <w:tcBorders>
              <w:top w:val="nil"/>
              <w:left w:val="nil"/>
              <w:bottom w:val="nil"/>
              <w:right w:val="nil"/>
            </w:tcBorders>
            <w:shd w:val="clear" w:color="auto" w:fill="auto"/>
            <w:noWrap/>
            <w:vAlign w:val="bottom"/>
            <w:hideMark/>
          </w:tcPr>
          <w:p w14:paraId="5AA18A1A" w14:textId="77777777" w:rsidR="00760DE2" w:rsidRPr="00760DE2" w:rsidRDefault="00760DE2" w:rsidP="00760DE2">
            <w:pPr>
              <w:spacing w:after="0"/>
              <w:ind w:firstLineChars="100" w:firstLine="160"/>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023BE0B0"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4E27803A" w14:textId="77777777" w:rsidR="00760DE2" w:rsidRPr="00760DE2" w:rsidRDefault="00760DE2" w:rsidP="00760DE2">
            <w:pPr>
              <w:spacing w:after="0"/>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C6F0511" w14:textId="77777777" w:rsidR="00760DE2" w:rsidRPr="00760DE2" w:rsidRDefault="00760DE2" w:rsidP="00760DE2">
            <w:pPr>
              <w:spacing w:after="0"/>
              <w:jc w:val="right"/>
              <w:rPr>
                <w:rFonts w:ascii="Times New Roman" w:hAnsi="Times New Roman"/>
                <w:color w:val="auto"/>
                <w:sz w:val="20"/>
              </w:rPr>
            </w:pPr>
          </w:p>
        </w:tc>
        <w:tc>
          <w:tcPr>
            <w:tcW w:w="771" w:type="dxa"/>
            <w:tcBorders>
              <w:top w:val="nil"/>
              <w:left w:val="nil"/>
              <w:bottom w:val="nil"/>
              <w:right w:val="nil"/>
            </w:tcBorders>
            <w:shd w:val="clear" w:color="auto" w:fill="auto"/>
            <w:noWrap/>
            <w:tcMar>
              <w:left w:w="0" w:type="dxa"/>
            </w:tcMar>
            <w:vAlign w:val="bottom"/>
            <w:hideMark/>
          </w:tcPr>
          <w:p w14:paraId="2A223F69" w14:textId="77777777" w:rsidR="00760DE2" w:rsidRPr="00760DE2" w:rsidRDefault="00760DE2" w:rsidP="00760DE2">
            <w:pPr>
              <w:spacing w:after="0"/>
              <w:jc w:val="right"/>
              <w:rPr>
                <w:rFonts w:ascii="Times New Roman" w:hAnsi="Times New Roman"/>
                <w:color w:val="auto"/>
                <w:sz w:val="20"/>
              </w:rPr>
            </w:pPr>
          </w:p>
        </w:tc>
      </w:tr>
      <w:tr w:rsidR="00760DE2" w:rsidRPr="00760DE2" w14:paraId="47B00B19"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0C1A06C6" w14:textId="77777777" w:rsidR="00760DE2" w:rsidRPr="00760DE2" w:rsidRDefault="00760DE2" w:rsidP="00760DE2">
            <w:pPr>
              <w:spacing w:after="0"/>
              <w:ind w:firstLineChars="300" w:firstLine="480"/>
              <w:rPr>
                <w:rFonts w:ascii="Arial" w:hAnsi="Arial" w:cs="Arial"/>
                <w:color w:val="auto"/>
                <w:sz w:val="16"/>
                <w:szCs w:val="16"/>
              </w:rPr>
            </w:pPr>
            <w:r w:rsidRPr="00760DE2">
              <w:rPr>
                <w:rFonts w:ascii="Arial" w:hAnsi="Arial" w:cs="Arial"/>
                <w:color w:val="auto"/>
                <w:sz w:val="16"/>
                <w:szCs w:val="16"/>
              </w:rPr>
              <w:t>Suppliers</w:t>
            </w:r>
          </w:p>
        </w:tc>
        <w:tc>
          <w:tcPr>
            <w:tcW w:w="1005" w:type="dxa"/>
            <w:tcBorders>
              <w:top w:val="nil"/>
              <w:left w:val="nil"/>
              <w:bottom w:val="nil"/>
              <w:right w:val="nil"/>
            </w:tcBorders>
            <w:shd w:val="clear" w:color="auto" w:fill="auto"/>
            <w:noWrap/>
            <w:vAlign w:val="bottom"/>
            <w:hideMark/>
          </w:tcPr>
          <w:p w14:paraId="5D828576"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22,009</w:t>
            </w:r>
          </w:p>
        </w:tc>
        <w:tc>
          <w:tcPr>
            <w:tcW w:w="920" w:type="dxa"/>
            <w:tcBorders>
              <w:top w:val="nil"/>
              <w:left w:val="nil"/>
              <w:bottom w:val="nil"/>
              <w:right w:val="nil"/>
            </w:tcBorders>
            <w:shd w:val="clear" w:color="000000" w:fill="D9D9D9"/>
            <w:noWrap/>
            <w:vAlign w:val="bottom"/>
            <w:hideMark/>
          </w:tcPr>
          <w:p w14:paraId="7346EE2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22,009</w:t>
            </w:r>
          </w:p>
        </w:tc>
        <w:tc>
          <w:tcPr>
            <w:tcW w:w="920" w:type="dxa"/>
            <w:tcBorders>
              <w:top w:val="nil"/>
              <w:left w:val="nil"/>
              <w:bottom w:val="nil"/>
              <w:right w:val="nil"/>
            </w:tcBorders>
            <w:shd w:val="clear" w:color="auto" w:fill="auto"/>
            <w:noWrap/>
            <w:vAlign w:val="bottom"/>
            <w:hideMark/>
          </w:tcPr>
          <w:p w14:paraId="032B8320"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22,009</w:t>
            </w:r>
          </w:p>
        </w:tc>
        <w:tc>
          <w:tcPr>
            <w:tcW w:w="920" w:type="dxa"/>
            <w:tcBorders>
              <w:top w:val="nil"/>
              <w:left w:val="nil"/>
              <w:bottom w:val="nil"/>
              <w:right w:val="nil"/>
            </w:tcBorders>
            <w:shd w:val="clear" w:color="auto" w:fill="auto"/>
            <w:noWrap/>
            <w:vAlign w:val="bottom"/>
            <w:hideMark/>
          </w:tcPr>
          <w:p w14:paraId="3752093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22,009</w:t>
            </w:r>
          </w:p>
        </w:tc>
        <w:tc>
          <w:tcPr>
            <w:tcW w:w="771" w:type="dxa"/>
            <w:tcBorders>
              <w:top w:val="nil"/>
              <w:left w:val="nil"/>
              <w:bottom w:val="nil"/>
              <w:right w:val="nil"/>
            </w:tcBorders>
            <w:shd w:val="clear" w:color="auto" w:fill="auto"/>
            <w:noWrap/>
            <w:tcMar>
              <w:left w:w="0" w:type="dxa"/>
            </w:tcMar>
            <w:vAlign w:val="bottom"/>
            <w:hideMark/>
          </w:tcPr>
          <w:p w14:paraId="61384B5D"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22,009</w:t>
            </w:r>
          </w:p>
        </w:tc>
      </w:tr>
      <w:tr w:rsidR="00760DE2" w:rsidRPr="00760DE2" w14:paraId="2B0F8CFF"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47A68F87" w14:textId="77777777" w:rsidR="00760DE2" w:rsidRPr="00760DE2" w:rsidRDefault="00760DE2" w:rsidP="00760DE2">
            <w:pPr>
              <w:spacing w:after="0"/>
              <w:ind w:firstLineChars="300" w:firstLine="480"/>
              <w:rPr>
                <w:rFonts w:ascii="Arial" w:hAnsi="Arial" w:cs="Arial"/>
                <w:color w:val="auto"/>
                <w:sz w:val="16"/>
                <w:szCs w:val="16"/>
              </w:rPr>
            </w:pPr>
            <w:r w:rsidRPr="00760DE2">
              <w:rPr>
                <w:rFonts w:ascii="Arial" w:hAnsi="Arial" w:cs="Arial"/>
                <w:color w:val="auto"/>
                <w:sz w:val="16"/>
                <w:szCs w:val="16"/>
              </w:rPr>
              <w:t>Other</w:t>
            </w:r>
          </w:p>
        </w:tc>
        <w:tc>
          <w:tcPr>
            <w:tcW w:w="1005" w:type="dxa"/>
            <w:tcBorders>
              <w:top w:val="nil"/>
              <w:left w:val="nil"/>
              <w:bottom w:val="nil"/>
              <w:right w:val="nil"/>
            </w:tcBorders>
            <w:shd w:val="clear" w:color="auto" w:fill="auto"/>
            <w:noWrap/>
            <w:vAlign w:val="bottom"/>
            <w:hideMark/>
          </w:tcPr>
          <w:p w14:paraId="5BDD18E4"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125,671</w:t>
            </w:r>
          </w:p>
        </w:tc>
        <w:tc>
          <w:tcPr>
            <w:tcW w:w="920" w:type="dxa"/>
            <w:tcBorders>
              <w:top w:val="nil"/>
              <w:left w:val="nil"/>
              <w:bottom w:val="nil"/>
              <w:right w:val="nil"/>
            </w:tcBorders>
            <w:shd w:val="clear" w:color="000000" w:fill="D9D9D9"/>
            <w:noWrap/>
            <w:vAlign w:val="bottom"/>
            <w:hideMark/>
          </w:tcPr>
          <w:p w14:paraId="4C10BD6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125,671</w:t>
            </w:r>
          </w:p>
        </w:tc>
        <w:tc>
          <w:tcPr>
            <w:tcW w:w="920" w:type="dxa"/>
            <w:tcBorders>
              <w:top w:val="nil"/>
              <w:left w:val="nil"/>
              <w:bottom w:val="nil"/>
              <w:right w:val="nil"/>
            </w:tcBorders>
            <w:shd w:val="clear" w:color="auto" w:fill="auto"/>
            <w:noWrap/>
            <w:vAlign w:val="bottom"/>
            <w:hideMark/>
          </w:tcPr>
          <w:p w14:paraId="393F7C80"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125,671</w:t>
            </w:r>
          </w:p>
        </w:tc>
        <w:tc>
          <w:tcPr>
            <w:tcW w:w="920" w:type="dxa"/>
            <w:tcBorders>
              <w:top w:val="nil"/>
              <w:left w:val="nil"/>
              <w:bottom w:val="nil"/>
              <w:right w:val="nil"/>
            </w:tcBorders>
            <w:shd w:val="clear" w:color="auto" w:fill="auto"/>
            <w:noWrap/>
            <w:vAlign w:val="bottom"/>
            <w:hideMark/>
          </w:tcPr>
          <w:p w14:paraId="5398110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125,671</w:t>
            </w:r>
          </w:p>
        </w:tc>
        <w:tc>
          <w:tcPr>
            <w:tcW w:w="771" w:type="dxa"/>
            <w:tcBorders>
              <w:top w:val="nil"/>
              <w:left w:val="nil"/>
              <w:bottom w:val="nil"/>
              <w:right w:val="nil"/>
            </w:tcBorders>
            <w:shd w:val="clear" w:color="auto" w:fill="auto"/>
            <w:noWrap/>
            <w:tcMar>
              <w:left w:w="0" w:type="dxa"/>
            </w:tcMar>
            <w:vAlign w:val="bottom"/>
            <w:hideMark/>
          </w:tcPr>
          <w:p w14:paraId="0BD2A4F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125,671</w:t>
            </w:r>
          </w:p>
        </w:tc>
      </w:tr>
      <w:tr w:rsidR="00760DE2" w:rsidRPr="00760DE2" w14:paraId="21A9C63E" w14:textId="77777777" w:rsidTr="00760DE2">
        <w:trPr>
          <w:trHeight w:val="225"/>
          <w:jc w:val="center"/>
        </w:trPr>
        <w:tc>
          <w:tcPr>
            <w:tcW w:w="2835" w:type="dxa"/>
            <w:tcBorders>
              <w:top w:val="nil"/>
              <w:left w:val="nil"/>
              <w:bottom w:val="nil"/>
              <w:right w:val="nil"/>
            </w:tcBorders>
            <w:shd w:val="clear" w:color="auto" w:fill="auto"/>
            <w:noWrap/>
            <w:vAlign w:val="bottom"/>
            <w:hideMark/>
          </w:tcPr>
          <w:p w14:paraId="0EA0D062" w14:textId="77777777" w:rsidR="00760DE2" w:rsidRPr="00760DE2" w:rsidRDefault="00760DE2" w:rsidP="00760DE2">
            <w:pPr>
              <w:spacing w:after="0"/>
              <w:ind w:firstLineChars="300" w:firstLine="480"/>
              <w:rPr>
                <w:rFonts w:ascii="Arial" w:hAnsi="Arial" w:cs="Arial"/>
                <w:b/>
                <w:bCs/>
                <w:sz w:val="16"/>
                <w:szCs w:val="16"/>
              </w:rPr>
            </w:pPr>
            <w:r w:rsidRPr="00760DE2">
              <w:rPr>
                <w:rFonts w:ascii="Arial" w:hAnsi="Arial" w:cs="Arial"/>
                <w:b/>
                <w:bCs/>
                <w:sz w:val="16"/>
                <w:szCs w:val="16"/>
              </w:rPr>
              <w:t>Total payables</w:t>
            </w:r>
          </w:p>
        </w:tc>
        <w:tc>
          <w:tcPr>
            <w:tcW w:w="1005" w:type="dxa"/>
            <w:tcBorders>
              <w:top w:val="nil"/>
              <w:left w:val="nil"/>
              <w:bottom w:val="single" w:sz="4" w:space="0" w:color="auto"/>
              <w:right w:val="nil"/>
            </w:tcBorders>
            <w:shd w:val="clear" w:color="auto" w:fill="auto"/>
            <w:noWrap/>
            <w:vAlign w:val="bottom"/>
            <w:hideMark/>
          </w:tcPr>
          <w:p w14:paraId="4A66E67D"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920" w:type="dxa"/>
            <w:tcBorders>
              <w:top w:val="nil"/>
              <w:left w:val="nil"/>
              <w:bottom w:val="single" w:sz="4" w:space="0" w:color="auto"/>
              <w:right w:val="nil"/>
            </w:tcBorders>
            <w:shd w:val="clear" w:color="000000" w:fill="D9D9D9"/>
            <w:noWrap/>
            <w:vAlign w:val="bottom"/>
            <w:hideMark/>
          </w:tcPr>
          <w:p w14:paraId="68A52DA9"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920" w:type="dxa"/>
            <w:tcBorders>
              <w:top w:val="nil"/>
              <w:left w:val="nil"/>
              <w:bottom w:val="single" w:sz="4" w:space="0" w:color="auto"/>
              <w:right w:val="nil"/>
            </w:tcBorders>
            <w:shd w:val="clear" w:color="auto" w:fill="auto"/>
            <w:noWrap/>
            <w:vAlign w:val="bottom"/>
            <w:hideMark/>
          </w:tcPr>
          <w:p w14:paraId="23D5ADF3"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920" w:type="dxa"/>
            <w:tcBorders>
              <w:top w:val="nil"/>
              <w:left w:val="nil"/>
              <w:bottom w:val="single" w:sz="4" w:space="0" w:color="auto"/>
              <w:right w:val="nil"/>
            </w:tcBorders>
            <w:shd w:val="clear" w:color="auto" w:fill="auto"/>
            <w:noWrap/>
            <w:vAlign w:val="bottom"/>
            <w:hideMark/>
          </w:tcPr>
          <w:p w14:paraId="577EF8ED"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771" w:type="dxa"/>
            <w:tcBorders>
              <w:top w:val="nil"/>
              <w:left w:val="nil"/>
              <w:bottom w:val="single" w:sz="4" w:space="0" w:color="auto"/>
              <w:right w:val="nil"/>
            </w:tcBorders>
            <w:shd w:val="clear" w:color="auto" w:fill="auto"/>
            <w:noWrap/>
            <w:tcMar>
              <w:left w:w="0" w:type="dxa"/>
            </w:tcMar>
            <w:vAlign w:val="bottom"/>
            <w:hideMark/>
          </w:tcPr>
          <w:p w14:paraId="3D207809"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r>
      <w:tr w:rsidR="00760DE2" w:rsidRPr="00760DE2" w14:paraId="7D9092B3" w14:textId="77777777" w:rsidTr="00760DE2">
        <w:trPr>
          <w:trHeight w:val="454"/>
          <w:jc w:val="center"/>
        </w:trPr>
        <w:tc>
          <w:tcPr>
            <w:tcW w:w="2835" w:type="dxa"/>
            <w:tcBorders>
              <w:top w:val="nil"/>
              <w:left w:val="nil"/>
              <w:bottom w:val="single" w:sz="4" w:space="0" w:color="auto"/>
              <w:right w:val="nil"/>
            </w:tcBorders>
            <w:shd w:val="clear" w:color="auto" w:fill="auto"/>
            <w:vAlign w:val="bottom"/>
            <w:hideMark/>
          </w:tcPr>
          <w:p w14:paraId="0926EB41" w14:textId="77777777" w:rsidR="00760DE2" w:rsidRPr="00760DE2" w:rsidRDefault="00760DE2" w:rsidP="00760DE2">
            <w:pPr>
              <w:spacing w:after="0"/>
              <w:ind w:leftChars="75" w:left="143"/>
              <w:rPr>
                <w:rFonts w:ascii="Arial" w:hAnsi="Arial" w:cs="Arial"/>
                <w:b/>
                <w:bCs/>
                <w:sz w:val="16"/>
                <w:szCs w:val="16"/>
              </w:rPr>
            </w:pPr>
            <w:r w:rsidRPr="00760DE2">
              <w:rPr>
                <w:rFonts w:ascii="Arial" w:hAnsi="Arial" w:cs="Arial"/>
                <w:b/>
                <w:bCs/>
                <w:sz w:val="16"/>
                <w:szCs w:val="16"/>
              </w:rPr>
              <w:t>Total liabilities administered on behalf of Government</w:t>
            </w:r>
          </w:p>
        </w:tc>
        <w:tc>
          <w:tcPr>
            <w:tcW w:w="1005" w:type="dxa"/>
            <w:tcBorders>
              <w:top w:val="nil"/>
              <w:left w:val="nil"/>
              <w:bottom w:val="single" w:sz="4" w:space="0" w:color="auto"/>
              <w:right w:val="nil"/>
            </w:tcBorders>
            <w:shd w:val="clear" w:color="auto" w:fill="auto"/>
            <w:noWrap/>
            <w:vAlign w:val="bottom"/>
            <w:hideMark/>
          </w:tcPr>
          <w:p w14:paraId="351BCEF7"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920" w:type="dxa"/>
            <w:tcBorders>
              <w:top w:val="nil"/>
              <w:left w:val="nil"/>
              <w:bottom w:val="single" w:sz="4" w:space="0" w:color="auto"/>
              <w:right w:val="nil"/>
            </w:tcBorders>
            <w:shd w:val="clear" w:color="000000" w:fill="D9D9D9"/>
            <w:noWrap/>
            <w:vAlign w:val="bottom"/>
            <w:hideMark/>
          </w:tcPr>
          <w:p w14:paraId="06DFB5F9"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920" w:type="dxa"/>
            <w:tcBorders>
              <w:top w:val="nil"/>
              <w:left w:val="nil"/>
              <w:bottom w:val="single" w:sz="4" w:space="0" w:color="auto"/>
              <w:right w:val="nil"/>
            </w:tcBorders>
            <w:shd w:val="clear" w:color="auto" w:fill="auto"/>
            <w:noWrap/>
            <w:vAlign w:val="bottom"/>
            <w:hideMark/>
          </w:tcPr>
          <w:p w14:paraId="4F54B592"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920" w:type="dxa"/>
            <w:tcBorders>
              <w:top w:val="nil"/>
              <w:left w:val="nil"/>
              <w:bottom w:val="single" w:sz="4" w:space="0" w:color="auto"/>
              <w:right w:val="nil"/>
            </w:tcBorders>
            <w:shd w:val="clear" w:color="auto" w:fill="auto"/>
            <w:noWrap/>
            <w:vAlign w:val="bottom"/>
            <w:hideMark/>
          </w:tcPr>
          <w:p w14:paraId="7FC69101"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c>
          <w:tcPr>
            <w:tcW w:w="771" w:type="dxa"/>
            <w:tcBorders>
              <w:top w:val="nil"/>
              <w:left w:val="nil"/>
              <w:bottom w:val="single" w:sz="4" w:space="0" w:color="auto"/>
              <w:right w:val="nil"/>
            </w:tcBorders>
            <w:shd w:val="clear" w:color="auto" w:fill="auto"/>
            <w:noWrap/>
            <w:tcMar>
              <w:left w:w="0" w:type="dxa"/>
            </w:tcMar>
            <w:vAlign w:val="bottom"/>
            <w:hideMark/>
          </w:tcPr>
          <w:p w14:paraId="7FB5D3F0" w14:textId="77777777" w:rsidR="00760DE2" w:rsidRPr="00760DE2" w:rsidRDefault="00760DE2" w:rsidP="00760DE2">
            <w:pPr>
              <w:spacing w:after="0"/>
              <w:jc w:val="right"/>
              <w:rPr>
                <w:rFonts w:ascii="Arial" w:hAnsi="Arial" w:cs="Arial"/>
                <w:b/>
                <w:bCs/>
                <w:sz w:val="16"/>
                <w:szCs w:val="16"/>
              </w:rPr>
            </w:pPr>
            <w:r w:rsidRPr="00760DE2">
              <w:rPr>
                <w:rFonts w:ascii="Arial" w:hAnsi="Arial" w:cs="Arial"/>
                <w:b/>
                <w:bCs/>
                <w:sz w:val="16"/>
                <w:szCs w:val="16"/>
              </w:rPr>
              <w:t>147,680</w:t>
            </w:r>
          </w:p>
        </w:tc>
      </w:tr>
    </w:tbl>
    <w:p w14:paraId="5667FEE3" w14:textId="77777777" w:rsidR="00760DE2" w:rsidRDefault="00760DE2">
      <w:pPr>
        <w:spacing w:after="160" w:line="259" w:lineRule="auto"/>
        <w:rPr>
          <w:rFonts w:ascii="Arial" w:hAnsi="Arial"/>
          <w:b/>
          <w:color w:val="auto"/>
          <w:sz w:val="20"/>
        </w:rPr>
      </w:pPr>
      <w:r>
        <w:rPr>
          <w:rFonts w:ascii="Arial" w:hAnsi="Arial"/>
          <w:b/>
          <w:color w:val="auto"/>
          <w:sz w:val="20"/>
        </w:rPr>
        <w:br w:type="page"/>
      </w:r>
    </w:p>
    <w:p w14:paraId="21F0FAB3" w14:textId="0CDEB239" w:rsidR="00884F73" w:rsidRPr="00884F73" w:rsidRDefault="00884F73" w:rsidP="0026049D">
      <w:pPr>
        <w:keepNext/>
        <w:spacing w:before="120"/>
        <w:rPr>
          <w:rFonts w:ascii="Arial" w:hAnsi="Arial"/>
          <w:b/>
          <w:color w:val="auto"/>
          <w:sz w:val="20"/>
        </w:rPr>
      </w:pPr>
      <w:r w:rsidRPr="00884F73">
        <w:rPr>
          <w:rFonts w:ascii="Arial" w:hAnsi="Arial"/>
          <w:b/>
          <w:color w:val="auto"/>
          <w:sz w:val="20"/>
        </w:rPr>
        <w:lastRenderedPageBreak/>
        <w:t>Table 3.9: Schedule of budgeted administered cash flows (for the period ended 30 June)</w:t>
      </w:r>
    </w:p>
    <w:tbl>
      <w:tblPr>
        <w:tblW w:w="7371" w:type="dxa"/>
        <w:jc w:val="center"/>
        <w:tblLayout w:type="fixed"/>
        <w:tblLook w:val="04A0" w:firstRow="1" w:lastRow="0" w:firstColumn="1" w:lastColumn="0" w:noHBand="0" w:noVBand="1"/>
      </w:tblPr>
      <w:tblGrid>
        <w:gridCol w:w="2791"/>
        <w:gridCol w:w="916"/>
        <w:gridCol w:w="916"/>
        <w:gridCol w:w="916"/>
        <w:gridCol w:w="916"/>
        <w:gridCol w:w="916"/>
      </w:tblGrid>
      <w:tr w:rsidR="00760DE2" w:rsidRPr="00760DE2" w14:paraId="0F7136C3" w14:textId="77777777" w:rsidTr="00371CDE">
        <w:trPr>
          <w:trHeight w:val="765"/>
          <w:jc w:val="center"/>
        </w:trPr>
        <w:tc>
          <w:tcPr>
            <w:tcW w:w="1004" w:type="dxa"/>
            <w:tcBorders>
              <w:top w:val="single" w:sz="4" w:space="0" w:color="auto"/>
              <w:left w:val="nil"/>
              <w:bottom w:val="nil"/>
              <w:right w:val="nil"/>
            </w:tcBorders>
            <w:shd w:val="clear" w:color="auto" w:fill="auto"/>
            <w:hideMark/>
          </w:tcPr>
          <w:p w14:paraId="488ABDFB" w14:textId="7B2B86E2" w:rsidR="00760DE2" w:rsidRPr="00760DE2" w:rsidRDefault="00760DE2" w:rsidP="00371CDE">
            <w:pPr>
              <w:spacing w:before="40" w:after="0"/>
              <w:jc w:val="right"/>
              <w:rPr>
                <w:rFonts w:ascii="Arial" w:hAnsi="Arial" w:cs="Arial"/>
                <w:b/>
                <w:bCs/>
                <w:color w:val="auto"/>
                <w:sz w:val="16"/>
                <w:szCs w:val="16"/>
              </w:rPr>
            </w:pPr>
          </w:p>
        </w:tc>
        <w:tc>
          <w:tcPr>
            <w:tcW w:w="1004" w:type="dxa"/>
            <w:tcBorders>
              <w:top w:val="single" w:sz="4" w:space="0" w:color="auto"/>
              <w:left w:val="nil"/>
              <w:bottom w:val="single" w:sz="4" w:space="0" w:color="auto"/>
              <w:right w:val="nil"/>
            </w:tcBorders>
            <w:shd w:val="clear" w:color="auto" w:fill="auto"/>
            <w:tcMar>
              <w:left w:w="0" w:type="dxa"/>
            </w:tcMar>
            <w:hideMark/>
          </w:tcPr>
          <w:p w14:paraId="0DA724AC" w14:textId="77777777" w:rsidR="00760DE2" w:rsidRPr="00760DE2" w:rsidRDefault="00760DE2" w:rsidP="00371CDE">
            <w:pPr>
              <w:spacing w:before="40" w:after="0"/>
              <w:jc w:val="right"/>
              <w:rPr>
                <w:rFonts w:ascii="Arial" w:hAnsi="Arial" w:cs="Arial"/>
                <w:b/>
                <w:bCs/>
                <w:color w:val="auto"/>
                <w:sz w:val="16"/>
                <w:szCs w:val="16"/>
              </w:rPr>
            </w:pPr>
            <w:r w:rsidRPr="00760DE2">
              <w:rPr>
                <w:rFonts w:ascii="Arial" w:hAnsi="Arial" w:cs="Arial"/>
                <w:b/>
                <w:bCs/>
                <w:color w:val="auto"/>
                <w:sz w:val="16"/>
                <w:szCs w:val="16"/>
              </w:rPr>
              <w:t>2021–22 Estimated actual</w:t>
            </w:r>
            <w:r w:rsidRPr="00760DE2">
              <w:rPr>
                <w:rFonts w:ascii="Arial" w:hAnsi="Arial" w:cs="Arial"/>
                <w:b/>
                <w:bCs/>
                <w:color w:val="auto"/>
                <w:sz w:val="16"/>
                <w:szCs w:val="16"/>
              </w:rPr>
              <w:br/>
            </w:r>
            <w:r w:rsidRPr="00760DE2">
              <w:rPr>
                <w:rFonts w:ascii="Arial" w:hAnsi="Arial" w:cs="Arial"/>
                <w:color w:val="auto"/>
                <w:sz w:val="16"/>
                <w:szCs w:val="16"/>
              </w:rPr>
              <w:t>$'000</w:t>
            </w:r>
          </w:p>
        </w:tc>
        <w:tc>
          <w:tcPr>
            <w:tcW w:w="1004" w:type="dxa"/>
            <w:tcBorders>
              <w:top w:val="single" w:sz="4" w:space="0" w:color="auto"/>
              <w:left w:val="nil"/>
              <w:bottom w:val="single" w:sz="4" w:space="0" w:color="auto"/>
              <w:right w:val="nil"/>
            </w:tcBorders>
            <w:shd w:val="clear" w:color="000000" w:fill="D9D9D9"/>
            <w:hideMark/>
          </w:tcPr>
          <w:p w14:paraId="60368FD5" w14:textId="77777777" w:rsidR="00760DE2" w:rsidRPr="00760DE2" w:rsidRDefault="00760DE2" w:rsidP="00371CDE">
            <w:pPr>
              <w:spacing w:before="40" w:after="0"/>
              <w:jc w:val="right"/>
              <w:rPr>
                <w:rFonts w:ascii="Arial" w:hAnsi="Arial" w:cs="Arial"/>
                <w:b/>
                <w:bCs/>
                <w:color w:val="auto"/>
                <w:sz w:val="16"/>
                <w:szCs w:val="16"/>
              </w:rPr>
            </w:pPr>
            <w:r w:rsidRPr="00760DE2">
              <w:rPr>
                <w:rFonts w:ascii="Arial" w:hAnsi="Arial" w:cs="Arial"/>
                <w:b/>
                <w:bCs/>
                <w:color w:val="auto"/>
                <w:sz w:val="16"/>
                <w:szCs w:val="16"/>
              </w:rPr>
              <w:t xml:space="preserve">2022–23 Budget </w:t>
            </w:r>
            <w:r w:rsidRPr="00760DE2">
              <w:rPr>
                <w:rFonts w:ascii="Arial" w:hAnsi="Arial" w:cs="Arial"/>
                <w:b/>
                <w:bCs/>
                <w:color w:val="auto"/>
                <w:sz w:val="16"/>
                <w:szCs w:val="16"/>
              </w:rPr>
              <w:br/>
            </w:r>
            <w:r w:rsidRPr="00760DE2">
              <w:rPr>
                <w:rFonts w:ascii="Arial" w:hAnsi="Arial" w:cs="Arial"/>
                <w:b/>
                <w:bCs/>
                <w:color w:val="auto"/>
                <w:sz w:val="16"/>
                <w:szCs w:val="16"/>
              </w:rPr>
              <w:br/>
            </w:r>
            <w:r w:rsidRPr="00760DE2">
              <w:rPr>
                <w:rFonts w:ascii="Arial" w:hAnsi="Arial" w:cs="Arial"/>
                <w:color w:val="auto"/>
                <w:sz w:val="16"/>
                <w:szCs w:val="16"/>
              </w:rPr>
              <w:t>$'000</w:t>
            </w:r>
          </w:p>
        </w:tc>
        <w:tc>
          <w:tcPr>
            <w:tcW w:w="1004" w:type="dxa"/>
            <w:tcBorders>
              <w:top w:val="single" w:sz="4" w:space="0" w:color="auto"/>
              <w:left w:val="nil"/>
              <w:bottom w:val="single" w:sz="4" w:space="0" w:color="auto"/>
              <w:right w:val="nil"/>
            </w:tcBorders>
            <w:shd w:val="clear" w:color="auto" w:fill="auto"/>
            <w:hideMark/>
          </w:tcPr>
          <w:p w14:paraId="2838C4CF" w14:textId="77777777" w:rsidR="00760DE2" w:rsidRPr="00760DE2" w:rsidRDefault="00760DE2" w:rsidP="00371CDE">
            <w:pPr>
              <w:spacing w:before="40" w:after="0"/>
              <w:jc w:val="right"/>
              <w:rPr>
                <w:rFonts w:ascii="Arial" w:hAnsi="Arial" w:cs="Arial"/>
                <w:b/>
                <w:bCs/>
                <w:color w:val="auto"/>
                <w:sz w:val="16"/>
                <w:szCs w:val="16"/>
              </w:rPr>
            </w:pPr>
            <w:r w:rsidRPr="00760DE2">
              <w:rPr>
                <w:rFonts w:ascii="Arial" w:hAnsi="Arial" w:cs="Arial"/>
                <w:b/>
                <w:bCs/>
                <w:color w:val="auto"/>
                <w:sz w:val="16"/>
                <w:szCs w:val="16"/>
              </w:rPr>
              <w:t>2023–24 Forward estimate</w:t>
            </w:r>
            <w:r w:rsidRPr="00760DE2">
              <w:rPr>
                <w:rFonts w:ascii="Arial" w:hAnsi="Arial" w:cs="Arial"/>
                <w:b/>
                <w:bCs/>
                <w:color w:val="auto"/>
                <w:sz w:val="16"/>
                <w:szCs w:val="16"/>
              </w:rPr>
              <w:br/>
            </w:r>
            <w:r w:rsidRPr="00760DE2">
              <w:rPr>
                <w:rFonts w:ascii="Arial" w:hAnsi="Arial" w:cs="Arial"/>
                <w:color w:val="auto"/>
                <w:sz w:val="16"/>
                <w:szCs w:val="16"/>
              </w:rPr>
              <w:t>$'000</w:t>
            </w:r>
          </w:p>
        </w:tc>
        <w:tc>
          <w:tcPr>
            <w:tcW w:w="1004" w:type="dxa"/>
            <w:tcBorders>
              <w:top w:val="single" w:sz="4" w:space="0" w:color="auto"/>
              <w:left w:val="nil"/>
              <w:bottom w:val="single" w:sz="4" w:space="0" w:color="auto"/>
              <w:right w:val="nil"/>
            </w:tcBorders>
            <w:shd w:val="clear" w:color="auto" w:fill="auto"/>
            <w:hideMark/>
          </w:tcPr>
          <w:p w14:paraId="24E2F84A" w14:textId="77777777" w:rsidR="00760DE2" w:rsidRPr="00760DE2" w:rsidRDefault="00760DE2" w:rsidP="00371CDE">
            <w:pPr>
              <w:spacing w:before="40" w:after="0"/>
              <w:jc w:val="right"/>
              <w:rPr>
                <w:rFonts w:ascii="Arial" w:hAnsi="Arial" w:cs="Arial"/>
                <w:b/>
                <w:bCs/>
                <w:color w:val="auto"/>
                <w:sz w:val="16"/>
                <w:szCs w:val="16"/>
              </w:rPr>
            </w:pPr>
            <w:r w:rsidRPr="00760DE2">
              <w:rPr>
                <w:rFonts w:ascii="Arial" w:hAnsi="Arial" w:cs="Arial"/>
                <w:b/>
                <w:bCs/>
                <w:color w:val="auto"/>
                <w:sz w:val="16"/>
                <w:szCs w:val="16"/>
              </w:rPr>
              <w:t>2024–25 Forward estimate</w:t>
            </w:r>
            <w:r w:rsidRPr="00760DE2">
              <w:rPr>
                <w:rFonts w:ascii="Arial" w:hAnsi="Arial" w:cs="Arial"/>
                <w:b/>
                <w:bCs/>
                <w:color w:val="auto"/>
                <w:sz w:val="16"/>
                <w:szCs w:val="16"/>
              </w:rPr>
              <w:br/>
            </w:r>
            <w:r w:rsidRPr="00760DE2">
              <w:rPr>
                <w:rFonts w:ascii="Arial" w:hAnsi="Arial" w:cs="Arial"/>
                <w:color w:val="auto"/>
                <w:sz w:val="16"/>
                <w:szCs w:val="16"/>
              </w:rPr>
              <w:t>$'000</w:t>
            </w:r>
          </w:p>
        </w:tc>
        <w:tc>
          <w:tcPr>
            <w:tcW w:w="1004" w:type="dxa"/>
            <w:tcBorders>
              <w:top w:val="single" w:sz="4" w:space="0" w:color="auto"/>
              <w:left w:val="nil"/>
              <w:bottom w:val="single" w:sz="4" w:space="0" w:color="auto"/>
              <w:right w:val="nil"/>
            </w:tcBorders>
            <w:shd w:val="clear" w:color="auto" w:fill="auto"/>
            <w:tcMar>
              <w:left w:w="0" w:type="dxa"/>
            </w:tcMar>
            <w:hideMark/>
          </w:tcPr>
          <w:p w14:paraId="325C067A" w14:textId="77777777" w:rsidR="00760DE2" w:rsidRPr="00760DE2" w:rsidRDefault="00760DE2" w:rsidP="00371CDE">
            <w:pPr>
              <w:spacing w:before="40" w:after="0"/>
              <w:jc w:val="right"/>
              <w:rPr>
                <w:rFonts w:ascii="Arial" w:hAnsi="Arial" w:cs="Arial"/>
                <w:b/>
                <w:bCs/>
                <w:color w:val="auto"/>
                <w:sz w:val="16"/>
                <w:szCs w:val="16"/>
              </w:rPr>
            </w:pPr>
            <w:r w:rsidRPr="00760DE2">
              <w:rPr>
                <w:rFonts w:ascii="Arial" w:hAnsi="Arial" w:cs="Arial"/>
                <w:b/>
                <w:bCs/>
                <w:color w:val="auto"/>
                <w:sz w:val="16"/>
                <w:szCs w:val="16"/>
              </w:rPr>
              <w:t>2025–26 Forward estimate</w:t>
            </w:r>
            <w:r w:rsidRPr="00760DE2">
              <w:rPr>
                <w:rFonts w:ascii="Arial" w:hAnsi="Arial" w:cs="Arial"/>
                <w:b/>
                <w:bCs/>
                <w:color w:val="auto"/>
                <w:sz w:val="16"/>
                <w:szCs w:val="16"/>
              </w:rPr>
              <w:br/>
            </w:r>
            <w:r w:rsidRPr="00760DE2">
              <w:rPr>
                <w:rFonts w:ascii="Arial" w:hAnsi="Arial" w:cs="Arial"/>
                <w:color w:val="auto"/>
                <w:sz w:val="16"/>
                <w:szCs w:val="16"/>
              </w:rPr>
              <w:t>$'000</w:t>
            </w:r>
          </w:p>
        </w:tc>
      </w:tr>
      <w:tr w:rsidR="00760DE2" w:rsidRPr="00760DE2" w14:paraId="55B94AB5"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054E9269"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OPERATING ACTIVITIES</w:t>
            </w:r>
          </w:p>
        </w:tc>
        <w:tc>
          <w:tcPr>
            <w:tcW w:w="850" w:type="dxa"/>
            <w:tcBorders>
              <w:top w:val="nil"/>
              <w:left w:val="nil"/>
              <w:bottom w:val="nil"/>
              <w:right w:val="nil"/>
            </w:tcBorders>
            <w:shd w:val="clear" w:color="auto" w:fill="auto"/>
            <w:noWrap/>
            <w:vAlign w:val="bottom"/>
            <w:hideMark/>
          </w:tcPr>
          <w:p w14:paraId="32538922" w14:textId="77777777" w:rsidR="00760DE2" w:rsidRPr="00760DE2" w:rsidRDefault="00760DE2" w:rsidP="00760DE2">
            <w:pPr>
              <w:spacing w:after="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49C09FA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7DBA0D14" w14:textId="77777777" w:rsidR="00760DE2" w:rsidRPr="00760DE2" w:rsidRDefault="00760DE2" w:rsidP="00760DE2">
            <w:pPr>
              <w:spacing w:after="0"/>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594ADAD" w14:textId="77777777" w:rsidR="00760DE2" w:rsidRPr="00760DE2"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vAlign w:val="bottom"/>
            <w:hideMark/>
          </w:tcPr>
          <w:p w14:paraId="13D7B7F7" w14:textId="77777777" w:rsidR="00760DE2" w:rsidRPr="00760DE2" w:rsidRDefault="00760DE2" w:rsidP="00760DE2">
            <w:pPr>
              <w:spacing w:after="0"/>
              <w:jc w:val="right"/>
              <w:rPr>
                <w:rFonts w:ascii="Times New Roman" w:hAnsi="Times New Roman"/>
                <w:color w:val="auto"/>
                <w:sz w:val="20"/>
              </w:rPr>
            </w:pPr>
          </w:p>
        </w:tc>
      </w:tr>
      <w:tr w:rsidR="00760DE2" w:rsidRPr="00760DE2" w14:paraId="0128687C"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4073E2A3" w14:textId="77777777" w:rsidR="00760DE2" w:rsidRPr="00760DE2" w:rsidRDefault="00760DE2" w:rsidP="00760DE2">
            <w:pPr>
              <w:spacing w:after="0"/>
              <w:ind w:firstLineChars="100" w:firstLine="160"/>
              <w:rPr>
                <w:rFonts w:ascii="Arial" w:hAnsi="Arial" w:cs="Arial"/>
                <w:b/>
                <w:bCs/>
                <w:sz w:val="16"/>
                <w:szCs w:val="16"/>
              </w:rPr>
            </w:pPr>
            <w:r w:rsidRPr="00760DE2">
              <w:rPr>
                <w:rFonts w:ascii="Arial" w:hAnsi="Arial" w:cs="Arial"/>
                <w:b/>
                <w:bCs/>
                <w:sz w:val="16"/>
                <w:szCs w:val="16"/>
              </w:rPr>
              <w:t>Cash received</w:t>
            </w:r>
          </w:p>
        </w:tc>
        <w:tc>
          <w:tcPr>
            <w:tcW w:w="850" w:type="dxa"/>
            <w:tcBorders>
              <w:top w:val="nil"/>
              <w:left w:val="nil"/>
              <w:bottom w:val="nil"/>
              <w:right w:val="nil"/>
            </w:tcBorders>
            <w:shd w:val="clear" w:color="auto" w:fill="auto"/>
            <w:noWrap/>
            <w:tcMar>
              <w:left w:w="0" w:type="dxa"/>
            </w:tcMar>
            <w:vAlign w:val="bottom"/>
            <w:hideMark/>
          </w:tcPr>
          <w:p w14:paraId="38CA5BBC" w14:textId="77777777" w:rsidR="00760DE2" w:rsidRPr="00760DE2" w:rsidRDefault="00760DE2" w:rsidP="00760DE2">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tcMar>
              <w:left w:w="0" w:type="dxa"/>
            </w:tcMar>
            <w:vAlign w:val="bottom"/>
            <w:hideMark/>
          </w:tcPr>
          <w:p w14:paraId="462E10F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 </w:t>
            </w:r>
          </w:p>
        </w:tc>
        <w:tc>
          <w:tcPr>
            <w:tcW w:w="850" w:type="dxa"/>
            <w:tcBorders>
              <w:top w:val="nil"/>
              <w:left w:val="nil"/>
              <w:bottom w:val="nil"/>
              <w:right w:val="nil"/>
            </w:tcBorders>
            <w:shd w:val="clear" w:color="auto" w:fill="auto"/>
            <w:noWrap/>
            <w:tcMar>
              <w:left w:w="0" w:type="dxa"/>
            </w:tcMar>
            <w:vAlign w:val="bottom"/>
            <w:hideMark/>
          </w:tcPr>
          <w:p w14:paraId="704CB8A0" w14:textId="77777777" w:rsidR="00760DE2" w:rsidRPr="00760DE2" w:rsidRDefault="00760DE2" w:rsidP="00760DE2">
            <w:pPr>
              <w:spacing w:after="0"/>
              <w:jc w:val="right"/>
              <w:rPr>
                <w:rFonts w:ascii="Arial" w:hAnsi="Arial" w:cs="Arial"/>
                <w:sz w:val="16"/>
                <w:szCs w:val="16"/>
              </w:rPr>
            </w:pPr>
          </w:p>
        </w:tc>
        <w:tc>
          <w:tcPr>
            <w:tcW w:w="850" w:type="dxa"/>
            <w:tcBorders>
              <w:top w:val="nil"/>
              <w:left w:val="nil"/>
              <w:bottom w:val="nil"/>
              <w:right w:val="nil"/>
            </w:tcBorders>
            <w:shd w:val="clear" w:color="auto" w:fill="auto"/>
            <w:noWrap/>
            <w:tcMar>
              <w:left w:w="0" w:type="dxa"/>
            </w:tcMar>
            <w:vAlign w:val="bottom"/>
            <w:hideMark/>
          </w:tcPr>
          <w:p w14:paraId="4A53D27A" w14:textId="77777777" w:rsidR="00760DE2" w:rsidRPr="00760DE2"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tcMar>
              <w:left w:w="0" w:type="dxa"/>
            </w:tcMar>
            <w:vAlign w:val="bottom"/>
            <w:hideMark/>
          </w:tcPr>
          <w:p w14:paraId="0CBE7202" w14:textId="77777777" w:rsidR="00760DE2" w:rsidRPr="00760DE2" w:rsidRDefault="00760DE2" w:rsidP="00760DE2">
            <w:pPr>
              <w:spacing w:after="0"/>
              <w:jc w:val="right"/>
              <w:rPr>
                <w:rFonts w:ascii="Times New Roman" w:hAnsi="Times New Roman"/>
                <w:color w:val="auto"/>
                <w:sz w:val="20"/>
              </w:rPr>
            </w:pPr>
          </w:p>
        </w:tc>
      </w:tr>
      <w:tr w:rsidR="00760DE2" w:rsidRPr="00760DE2" w14:paraId="6FFF6520"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063D018A"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Commonwealth contributions</w:t>
            </w:r>
          </w:p>
        </w:tc>
        <w:tc>
          <w:tcPr>
            <w:tcW w:w="850" w:type="dxa"/>
            <w:tcBorders>
              <w:top w:val="nil"/>
              <w:left w:val="nil"/>
              <w:bottom w:val="nil"/>
              <w:right w:val="nil"/>
            </w:tcBorders>
            <w:shd w:val="clear" w:color="auto" w:fill="auto"/>
            <w:noWrap/>
            <w:tcMar>
              <w:left w:w="0" w:type="dxa"/>
            </w:tcMar>
            <w:vAlign w:val="bottom"/>
            <w:hideMark/>
          </w:tcPr>
          <w:p w14:paraId="6D70D03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000000" w:fill="D9D9D9"/>
            <w:noWrap/>
            <w:tcMar>
              <w:left w:w="0" w:type="dxa"/>
            </w:tcMar>
            <w:vAlign w:val="bottom"/>
            <w:hideMark/>
          </w:tcPr>
          <w:p w14:paraId="1BF0C574"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531</w:t>
            </w:r>
          </w:p>
        </w:tc>
        <w:tc>
          <w:tcPr>
            <w:tcW w:w="850" w:type="dxa"/>
            <w:tcBorders>
              <w:top w:val="nil"/>
              <w:left w:val="nil"/>
              <w:bottom w:val="nil"/>
              <w:right w:val="nil"/>
            </w:tcBorders>
            <w:shd w:val="clear" w:color="auto" w:fill="auto"/>
            <w:noWrap/>
            <w:tcMar>
              <w:left w:w="0" w:type="dxa"/>
            </w:tcMar>
            <w:vAlign w:val="bottom"/>
            <w:hideMark/>
          </w:tcPr>
          <w:p w14:paraId="7ED3A3E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542</w:t>
            </w:r>
          </w:p>
        </w:tc>
        <w:tc>
          <w:tcPr>
            <w:tcW w:w="850" w:type="dxa"/>
            <w:tcBorders>
              <w:top w:val="nil"/>
              <w:left w:val="nil"/>
              <w:bottom w:val="nil"/>
              <w:right w:val="nil"/>
            </w:tcBorders>
            <w:shd w:val="clear" w:color="auto" w:fill="auto"/>
            <w:noWrap/>
            <w:tcMar>
              <w:left w:w="0" w:type="dxa"/>
            </w:tcMar>
            <w:vAlign w:val="bottom"/>
            <w:hideMark/>
          </w:tcPr>
          <w:p w14:paraId="184451B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554</w:t>
            </w:r>
          </w:p>
        </w:tc>
        <w:tc>
          <w:tcPr>
            <w:tcW w:w="852" w:type="dxa"/>
            <w:tcBorders>
              <w:top w:val="nil"/>
              <w:left w:val="nil"/>
              <w:bottom w:val="nil"/>
              <w:right w:val="nil"/>
            </w:tcBorders>
            <w:shd w:val="clear" w:color="auto" w:fill="auto"/>
            <w:noWrap/>
            <w:tcMar>
              <w:left w:w="0" w:type="dxa"/>
            </w:tcMar>
            <w:vAlign w:val="bottom"/>
            <w:hideMark/>
          </w:tcPr>
          <w:p w14:paraId="10002105"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566</w:t>
            </w:r>
          </w:p>
        </w:tc>
      </w:tr>
      <w:tr w:rsidR="00760DE2" w:rsidRPr="00760DE2" w14:paraId="1E5225ED"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33D77230"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State and territory contributions</w:t>
            </w:r>
          </w:p>
        </w:tc>
        <w:tc>
          <w:tcPr>
            <w:tcW w:w="850" w:type="dxa"/>
            <w:tcBorders>
              <w:top w:val="nil"/>
              <w:left w:val="nil"/>
              <w:bottom w:val="nil"/>
              <w:right w:val="nil"/>
            </w:tcBorders>
            <w:shd w:val="clear" w:color="auto" w:fill="auto"/>
            <w:noWrap/>
            <w:tcMar>
              <w:left w:w="0" w:type="dxa"/>
            </w:tcMar>
            <w:vAlign w:val="bottom"/>
            <w:hideMark/>
          </w:tcPr>
          <w:p w14:paraId="6B447520"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1,467,456</w:t>
            </w:r>
          </w:p>
        </w:tc>
        <w:tc>
          <w:tcPr>
            <w:tcW w:w="850" w:type="dxa"/>
            <w:tcBorders>
              <w:top w:val="nil"/>
              <w:left w:val="nil"/>
              <w:bottom w:val="nil"/>
              <w:right w:val="nil"/>
            </w:tcBorders>
            <w:shd w:val="clear" w:color="000000" w:fill="D9D9D9"/>
            <w:noWrap/>
            <w:tcMar>
              <w:left w:w="0" w:type="dxa"/>
            </w:tcMar>
            <w:vAlign w:val="bottom"/>
            <w:hideMark/>
          </w:tcPr>
          <w:p w14:paraId="3C4E36B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1,583,885</w:t>
            </w:r>
          </w:p>
        </w:tc>
        <w:tc>
          <w:tcPr>
            <w:tcW w:w="850" w:type="dxa"/>
            <w:tcBorders>
              <w:top w:val="nil"/>
              <w:left w:val="nil"/>
              <w:bottom w:val="nil"/>
              <w:right w:val="nil"/>
            </w:tcBorders>
            <w:shd w:val="clear" w:color="auto" w:fill="auto"/>
            <w:noWrap/>
            <w:tcMar>
              <w:left w:w="0" w:type="dxa"/>
            </w:tcMar>
            <w:vAlign w:val="bottom"/>
            <w:hideMark/>
          </w:tcPr>
          <w:p w14:paraId="1F9638D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1,675,333</w:t>
            </w:r>
          </w:p>
        </w:tc>
        <w:tc>
          <w:tcPr>
            <w:tcW w:w="850" w:type="dxa"/>
            <w:tcBorders>
              <w:top w:val="nil"/>
              <w:left w:val="nil"/>
              <w:bottom w:val="nil"/>
              <w:right w:val="nil"/>
            </w:tcBorders>
            <w:shd w:val="clear" w:color="auto" w:fill="auto"/>
            <w:noWrap/>
            <w:tcMar>
              <w:left w:w="0" w:type="dxa"/>
            </w:tcMar>
            <w:vAlign w:val="bottom"/>
            <w:hideMark/>
          </w:tcPr>
          <w:p w14:paraId="610F5D94"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1,772,513</w:t>
            </w:r>
          </w:p>
        </w:tc>
        <w:tc>
          <w:tcPr>
            <w:tcW w:w="852" w:type="dxa"/>
            <w:tcBorders>
              <w:top w:val="nil"/>
              <w:left w:val="nil"/>
              <w:bottom w:val="nil"/>
              <w:right w:val="nil"/>
            </w:tcBorders>
            <w:shd w:val="clear" w:color="auto" w:fill="auto"/>
            <w:noWrap/>
            <w:tcMar>
              <w:left w:w="0" w:type="dxa"/>
            </w:tcMar>
            <w:vAlign w:val="bottom"/>
            <w:hideMark/>
          </w:tcPr>
          <w:p w14:paraId="2585EFED"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1,949,607</w:t>
            </w:r>
          </w:p>
        </w:tc>
      </w:tr>
      <w:tr w:rsidR="00760DE2" w:rsidRPr="00760DE2" w14:paraId="01C7F58D"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5085ABDF"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Interest</w:t>
            </w:r>
          </w:p>
        </w:tc>
        <w:tc>
          <w:tcPr>
            <w:tcW w:w="850" w:type="dxa"/>
            <w:tcBorders>
              <w:top w:val="nil"/>
              <w:left w:val="nil"/>
              <w:bottom w:val="nil"/>
              <w:right w:val="nil"/>
            </w:tcBorders>
            <w:shd w:val="clear" w:color="auto" w:fill="auto"/>
            <w:noWrap/>
            <w:tcMar>
              <w:left w:w="0" w:type="dxa"/>
            </w:tcMar>
            <w:vAlign w:val="bottom"/>
            <w:hideMark/>
          </w:tcPr>
          <w:p w14:paraId="331F5B6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1,833</w:t>
            </w:r>
          </w:p>
        </w:tc>
        <w:tc>
          <w:tcPr>
            <w:tcW w:w="850" w:type="dxa"/>
            <w:tcBorders>
              <w:top w:val="nil"/>
              <w:left w:val="nil"/>
              <w:bottom w:val="nil"/>
              <w:right w:val="nil"/>
            </w:tcBorders>
            <w:shd w:val="clear" w:color="000000" w:fill="D9D9D9"/>
            <w:noWrap/>
            <w:tcMar>
              <w:left w:w="0" w:type="dxa"/>
            </w:tcMar>
            <w:vAlign w:val="bottom"/>
            <w:hideMark/>
          </w:tcPr>
          <w:p w14:paraId="5501A27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c>
          <w:tcPr>
            <w:tcW w:w="850" w:type="dxa"/>
            <w:tcBorders>
              <w:top w:val="nil"/>
              <w:left w:val="nil"/>
              <w:bottom w:val="nil"/>
              <w:right w:val="nil"/>
            </w:tcBorders>
            <w:shd w:val="clear" w:color="auto" w:fill="auto"/>
            <w:noWrap/>
            <w:tcMar>
              <w:left w:w="0" w:type="dxa"/>
            </w:tcMar>
            <w:vAlign w:val="bottom"/>
            <w:hideMark/>
          </w:tcPr>
          <w:p w14:paraId="3AC32765"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c>
          <w:tcPr>
            <w:tcW w:w="850" w:type="dxa"/>
            <w:tcBorders>
              <w:top w:val="nil"/>
              <w:left w:val="nil"/>
              <w:bottom w:val="nil"/>
              <w:right w:val="nil"/>
            </w:tcBorders>
            <w:shd w:val="clear" w:color="auto" w:fill="auto"/>
            <w:noWrap/>
            <w:tcMar>
              <w:left w:w="0" w:type="dxa"/>
            </w:tcMar>
            <w:vAlign w:val="bottom"/>
            <w:hideMark/>
          </w:tcPr>
          <w:p w14:paraId="6BCB17F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c>
          <w:tcPr>
            <w:tcW w:w="852" w:type="dxa"/>
            <w:tcBorders>
              <w:top w:val="nil"/>
              <w:left w:val="nil"/>
              <w:bottom w:val="nil"/>
              <w:right w:val="nil"/>
            </w:tcBorders>
            <w:shd w:val="clear" w:color="auto" w:fill="auto"/>
            <w:noWrap/>
            <w:tcMar>
              <w:left w:w="0" w:type="dxa"/>
            </w:tcMar>
            <w:vAlign w:val="bottom"/>
            <w:hideMark/>
          </w:tcPr>
          <w:p w14:paraId="696278F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r>
      <w:tr w:rsidR="00760DE2" w:rsidRPr="00760DE2" w14:paraId="5399B31B"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6F23D6D2"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Net GST received</w:t>
            </w:r>
          </w:p>
        </w:tc>
        <w:tc>
          <w:tcPr>
            <w:tcW w:w="850" w:type="dxa"/>
            <w:tcBorders>
              <w:top w:val="nil"/>
              <w:left w:val="nil"/>
              <w:bottom w:val="nil"/>
              <w:right w:val="nil"/>
            </w:tcBorders>
            <w:shd w:val="clear" w:color="auto" w:fill="auto"/>
            <w:noWrap/>
            <w:tcMar>
              <w:left w:w="0" w:type="dxa"/>
            </w:tcMar>
            <w:vAlign w:val="bottom"/>
            <w:hideMark/>
          </w:tcPr>
          <w:p w14:paraId="4CF523C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133,262</w:t>
            </w:r>
          </w:p>
        </w:tc>
        <w:tc>
          <w:tcPr>
            <w:tcW w:w="850" w:type="dxa"/>
            <w:tcBorders>
              <w:top w:val="nil"/>
              <w:left w:val="nil"/>
              <w:bottom w:val="nil"/>
              <w:right w:val="nil"/>
            </w:tcBorders>
            <w:shd w:val="clear" w:color="000000" w:fill="D9D9D9"/>
            <w:noWrap/>
            <w:tcMar>
              <w:left w:w="0" w:type="dxa"/>
            </w:tcMar>
            <w:vAlign w:val="bottom"/>
            <w:hideMark/>
          </w:tcPr>
          <w:p w14:paraId="7369C8C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178,598</w:t>
            </w:r>
          </w:p>
        </w:tc>
        <w:tc>
          <w:tcPr>
            <w:tcW w:w="850" w:type="dxa"/>
            <w:tcBorders>
              <w:top w:val="nil"/>
              <w:left w:val="nil"/>
              <w:bottom w:val="nil"/>
              <w:right w:val="nil"/>
            </w:tcBorders>
            <w:shd w:val="clear" w:color="auto" w:fill="auto"/>
            <w:noWrap/>
            <w:tcMar>
              <w:left w:w="0" w:type="dxa"/>
            </w:tcMar>
            <w:vAlign w:val="bottom"/>
            <w:hideMark/>
          </w:tcPr>
          <w:p w14:paraId="3C486B6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188,940</w:t>
            </w:r>
          </w:p>
        </w:tc>
        <w:tc>
          <w:tcPr>
            <w:tcW w:w="850" w:type="dxa"/>
            <w:tcBorders>
              <w:top w:val="nil"/>
              <w:left w:val="nil"/>
              <w:bottom w:val="nil"/>
              <w:right w:val="nil"/>
            </w:tcBorders>
            <w:shd w:val="clear" w:color="auto" w:fill="auto"/>
            <w:noWrap/>
            <w:tcMar>
              <w:left w:w="0" w:type="dxa"/>
            </w:tcMar>
            <w:vAlign w:val="bottom"/>
            <w:hideMark/>
          </w:tcPr>
          <w:p w14:paraId="414E65F4"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200,496</w:t>
            </w:r>
          </w:p>
        </w:tc>
        <w:tc>
          <w:tcPr>
            <w:tcW w:w="852" w:type="dxa"/>
            <w:tcBorders>
              <w:top w:val="nil"/>
              <w:left w:val="nil"/>
              <w:bottom w:val="nil"/>
              <w:right w:val="nil"/>
            </w:tcBorders>
            <w:shd w:val="clear" w:color="auto" w:fill="auto"/>
            <w:noWrap/>
            <w:tcMar>
              <w:left w:w="0" w:type="dxa"/>
            </w:tcMar>
            <w:vAlign w:val="bottom"/>
            <w:hideMark/>
          </w:tcPr>
          <w:p w14:paraId="77AA194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220,523</w:t>
            </w:r>
          </w:p>
        </w:tc>
      </w:tr>
      <w:tr w:rsidR="00760DE2" w:rsidRPr="00760DE2" w14:paraId="62878CCC"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4A78F0B2" w14:textId="77777777" w:rsidR="00760DE2" w:rsidRPr="00760DE2" w:rsidRDefault="00760DE2" w:rsidP="00183C23">
            <w:pPr>
              <w:spacing w:after="0"/>
              <w:ind w:leftChars="225" w:left="428"/>
              <w:rPr>
                <w:rFonts w:ascii="Arial" w:hAnsi="Arial" w:cs="Arial"/>
                <w:b/>
                <w:bCs/>
                <w:sz w:val="16"/>
                <w:szCs w:val="16"/>
              </w:rPr>
            </w:pPr>
            <w:r w:rsidRPr="00760DE2">
              <w:rPr>
                <w:rFonts w:ascii="Arial" w:hAnsi="Arial" w:cs="Arial"/>
                <w:b/>
                <w:bCs/>
                <w:sz w:val="16"/>
                <w:szCs w:val="16"/>
              </w:rPr>
              <w:t>Total cash received</w:t>
            </w:r>
          </w:p>
        </w:tc>
        <w:tc>
          <w:tcPr>
            <w:tcW w:w="850" w:type="dxa"/>
            <w:tcBorders>
              <w:top w:val="nil"/>
              <w:left w:val="nil"/>
              <w:bottom w:val="single" w:sz="4" w:space="0" w:color="auto"/>
              <w:right w:val="nil"/>
            </w:tcBorders>
            <w:shd w:val="clear" w:color="auto" w:fill="auto"/>
            <w:noWrap/>
            <w:tcMar>
              <w:left w:w="0" w:type="dxa"/>
            </w:tcMar>
            <w:vAlign w:val="bottom"/>
            <w:hideMark/>
          </w:tcPr>
          <w:p w14:paraId="1CB6A6FF"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1,602,551</w:t>
            </w:r>
          </w:p>
        </w:tc>
        <w:tc>
          <w:tcPr>
            <w:tcW w:w="850" w:type="dxa"/>
            <w:tcBorders>
              <w:top w:val="nil"/>
              <w:left w:val="nil"/>
              <w:bottom w:val="single" w:sz="4" w:space="0" w:color="auto"/>
              <w:right w:val="nil"/>
            </w:tcBorders>
            <w:shd w:val="clear" w:color="000000" w:fill="D9D9D9"/>
            <w:noWrap/>
            <w:tcMar>
              <w:left w:w="0" w:type="dxa"/>
            </w:tcMar>
            <w:vAlign w:val="bottom"/>
            <w:hideMark/>
          </w:tcPr>
          <w:p w14:paraId="26313F4F"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1,767,160</w:t>
            </w:r>
          </w:p>
        </w:tc>
        <w:tc>
          <w:tcPr>
            <w:tcW w:w="850" w:type="dxa"/>
            <w:tcBorders>
              <w:top w:val="nil"/>
              <w:left w:val="nil"/>
              <w:bottom w:val="single" w:sz="4" w:space="0" w:color="auto"/>
              <w:right w:val="nil"/>
            </w:tcBorders>
            <w:shd w:val="clear" w:color="auto" w:fill="auto"/>
            <w:noWrap/>
            <w:tcMar>
              <w:left w:w="0" w:type="dxa"/>
            </w:tcMar>
            <w:vAlign w:val="bottom"/>
            <w:hideMark/>
          </w:tcPr>
          <w:p w14:paraId="4A5675CB"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1,868,961</w:t>
            </w:r>
          </w:p>
        </w:tc>
        <w:tc>
          <w:tcPr>
            <w:tcW w:w="850" w:type="dxa"/>
            <w:tcBorders>
              <w:top w:val="nil"/>
              <w:left w:val="nil"/>
              <w:bottom w:val="single" w:sz="4" w:space="0" w:color="auto"/>
              <w:right w:val="nil"/>
            </w:tcBorders>
            <w:shd w:val="clear" w:color="auto" w:fill="auto"/>
            <w:noWrap/>
            <w:tcMar>
              <w:left w:w="0" w:type="dxa"/>
            </w:tcMar>
            <w:vAlign w:val="bottom"/>
            <w:hideMark/>
          </w:tcPr>
          <w:p w14:paraId="71F1BA25"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1,977,709</w:t>
            </w:r>
          </w:p>
        </w:tc>
        <w:tc>
          <w:tcPr>
            <w:tcW w:w="852" w:type="dxa"/>
            <w:tcBorders>
              <w:top w:val="nil"/>
              <w:left w:val="nil"/>
              <w:bottom w:val="single" w:sz="4" w:space="0" w:color="auto"/>
              <w:right w:val="nil"/>
            </w:tcBorders>
            <w:shd w:val="clear" w:color="auto" w:fill="auto"/>
            <w:noWrap/>
            <w:tcMar>
              <w:left w:w="0" w:type="dxa"/>
            </w:tcMar>
            <w:vAlign w:val="bottom"/>
            <w:hideMark/>
          </w:tcPr>
          <w:p w14:paraId="617F0FA1"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2,174,842</w:t>
            </w:r>
          </w:p>
        </w:tc>
      </w:tr>
      <w:tr w:rsidR="00760DE2" w:rsidRPr="00760DE2" w14:paraId="7D80C512" w14:textId="77777777" w:rsidTr="00886FA0">
        <w:trPr>
          <w:trHeight w:val="283"/>
          <w:jc w:val="center"/>
        </w:trPr>
        <w:tc>
          <w:tcPr>
            <w:tcW w:w="3119" w:type="dxa"/>
            <w:tcBorders>
              <w:top w:val="nil"/>
              <w:left w:val="nil"/>
              <w:bottom w:val="nil"/>
              <w:right w:val="nil"/>
            </w:tcBorders>
            <w:shd w:val="clear" w:color="auto" w:fill="auto"/>
            <w:noWrap/>
            <w:vAlign w:val="bottom"/>
            <w:hideMark/>
          </w:tcPr>
          <w:p w14:paraId="05314AE0" w14:textId="77777777" w:rsidR="00760DE2" w:rsidRPr="00760DE2" w:rsidRDefault="00760DE2" w:rsidP="00760DE2">
            <w:pPr>
              <w:spacing w:after="0"/>
              <w:ind w:firstLineChars="100" w:firstLine="160"/>
              <w:rPr>
                <w:rFonts w:ascii="Arial" w:hAnsi="Arial" w:cs="Arial"/>
                <w:b/>
                <w:bCs/>
                <w:sz w:val="16"/>
                <w:szCs w:val="16"/>
              </w:rPr>
            </w:pPr>
            <w:r w:rsidRPr="00760DE2">
              <w:rPr>
                <w:rFonts w:ascii="Arial" w:hAnsi="Arial" w:cs="Arial"/>
                <w:b/>
                <w:bCs/>
                <w:sz w:val="16"/>
                <w:szCs w:val="16"/>
              </w:rPr>
              <w:t>Cash used</w:t>
            </w:r>
          </w:p>
        </w:tc>
        <w:tc>
          <w:tcPr>
            <w:tcW w:w="850" w:type="dxa"/>
            <w:tcBorders>
              <w:top w:val="nil"/>
              <w:left w:val="nil"/>
              <w:bottom w:val="nil"/>
              <w:right w:val="nil"/>
            </w:tcBorders>
            <w:shd w:val="clear" w:color="auto" w:fill="auto"/>
            <w:noWrap/>
            <w:tcMar>
              <w:left w:w="0" w:type="dxa"/>
            </w:tcMar>
            <w:vAlign w:val="bottom"/>
            <w:hideMark/>
          </w:tcPr>
          <w:p w14:paraId="4F1221E8" w14:textId="77777777" w:rsidR="00760DE2" w:rsidRPr="00760DE2" w:rsidRDefault="00760DE2" w:rsidP="00760DE2">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tcMar>
              <w:left w:w="0" w:type="dxa"/>
            </w:tcMar>
            <w:vAlign w:val="bottom"/>
            <w:hideMark/>
          </w:tcPr>
          <w:p w14:paraId="05AB9368" w14:textId="77777777" w:rsidR="00760DE2" w:rsidRPr="00760DE2" w:rsidRDefault="00760DE2" w:rsidP="00760DE2">
            <w:pPr>
              <w:spacing w:after="0"/>
              <w:jc w:val="right"/>
              <w:rPr>
                <w:rFonts w:ascii="Arial" w:hAnsi="Arial" w:cs="Arial"/>
                <w:color w:val="auto"/>
                <w:sz w:val="16"/>
                <w:szCs w:val="16"/>
              </w:rPr>
            </w:pPr>
            <w:r w:rsidRPr="00760DE2">
              <w:rPr>
                <w:rFonts w:ascii="Arial" w:hAnsi="Arial" w:cs="Arial"/>
                <w:color w:val="auto"/>
                <w:sz w:val="16"/>
                <w:szCs w:val="16"/>
              </w:rPr>
              <w:t> </w:t>
            </w:r>
          </w:p>
        </w:tc>
        <w:tc>
          <w:tcPr>
            <w:tcW w:w="850" w:type="dxa"/>
            <w:tcBorders>
              <w:top w:val="nil"/>
              <w:left w:val="nil"/>
              <w:bottom w:val="nil"/>
              <w:right w:val="nil"/>
            </w:tcBorders>
            <w:shd w:val="clear" w:color="auto" w:fill="auto"/>
            <w:noWrap/>
            <w:tcMar>
              <w:left w:w="0" w:type="dxa"/>
            </w:tcMar>
            <w:vAlign w:val="bottom"/>
            <w:hideMark/>
          </w:tcPr>
          <w:p w14:paraId="2242B342" w14:textId="77777777" w:rsidR="00760DE2" w:rsidRPr="00760DE2" w:rsidRDefault="00760DE2" w:rsidP="00760DE2">
            <w:pPr>
              <w:spacing w:after="0"/>
              <w:jc w:val="right"/>
              <w:rPr>
                <w:rFonts w:ascii="Arial" w:hAnsi="Arial" w:cs="Arial"/>
                <w:color w:val="auto"/>
                <w:sz w:val="16"/>
                <w:szCs w:val="16"/>
              </w:rPr>
            </w:pPr>
          </w:p>
        </w:tc>
        <w:tc>
          <w:tcPr>
            <w:tcW w:w="850" w:type="dxa"/>
            <w:tcBorders>
              <w:top w:val="nil"/>
              <w:left w:val="nil"/>
              <w:bottom w:val="nil"/>
              <w:right w:val="nil"/>
            </w:tcBorders>
            <w:shd w:val="clear" w:color="auto" w:fill="auto"/>
            <w:noWrap/>
            <w:tcMar>
              <w:left w:w="0" w:type="dxa"/>
            </w:tcMar>
            <w:vAlign w:val="bottom"/>
            <w:hideMark/>
          </w:tcPr>
          <w:p w14:paraId="73E3A079" w14:textId="77777777" w:rsidR="00760DE2" w:rsidRPr="00760DE2"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tcMar>
              <w:left w:w="0" w:type="dxa"/>
            </w:tcMar>
            <w:vAlign w:val="bottom"/>
            <w:hideMark/>
          </w:tcPr>
          <w:p w14:paraId="7E903651" w14:textId="77777777" w:rsidR="00760DE2" w:rsidRPr="00760DE2" w:rsidRDefault="00760DE2" w:rsidP="00760DE2">
            <w:pPr>
              <w:spacing w:after="0"/>
              <w:jc w:val="right"/>
              <w:rPr>
                <w:rFonts w:ascii="Times New Roman" w:hAnsi="Times New Roman"/>
                <w:color w:val="auto"/>
                <w:sz w:val="20"/>
              </w:rPr>
            </w:pPr>
          </w:p>
        </w:tc>
      </w:tr>
      <w:tr w:rsidR="00760DE2" w:rsidRPr="00760DE2" w14:paraId="3B0CD423"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50154949"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Suppliers</w:t>
            </w:r>
          </w:p>
        </w:tc>
        <w:tc>
          <w:tcPr>
            <w:tcW w:w="850" w:type="dxa"/>
            <w:tcBorders>
              <w:top w:val="nil"/>
              <w:left w:val="nil"/>
              <w:bottom w:val="nil"/>
              <w:right w:val="nil"/>
            </w:tcBorders>
            <w:shd w:val="clear" w:color="auto" w:fill="auto"/>
            <w:noWrap/>
            <w:tcMar>
              <w:left w:w="0" w:type="dxa"/>
            </w:tcMar>
            <w:vAlign w:val="bottom"/>
            <w:hideMark/>
          </w:tcPr>
          <w:p w14:paraId="5BA9583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1,422,159</w:t>
            </w:r>
          </w:p>
        </w:tc>
        <w:tc>
          <w:tcPr>
            <w:tcW w:w="850" w:type="dxa"/>
            <w:tcBorders>
              <w:top w:val="nil"/>
              <w:left w:val="nil"/>
              <w:bottom w:val="nil"/>
              <w:right w:val="nil"/>
            </w:tcBorders>
            <w:shd w:val="clear" w:color="000000" w:fill="D9D9D9"/>
            <w:noWrap/>
            <w:tcMar>
              <w:left w:w="0" w:type="dxa"/>
            </w:tcMar>
            <w:vAlign w:val="bottom"/>
            <w:hideMark/>
          </w:tcPr>
          <w:p w14:paraId="0AA97ED6"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1,579,416</w:t>
            </w:r>
          </w:p>
        </w:tc>
        <w:tc>
          <w:tcPr>
            <w:tcW w:w="850" w:type="dxa"/>
            <w:tcBorders>
              <w:top w:val="nil"/>
              <w:left w:val="nil"/>
              <w:bottom w:val="nil"/>
              <w:right w:val="nil"/>
            </w:tcBorders>
            <w:shd w:val="clear" w:color="auto" w:fill="auto"/>
            <w:noWrap/>
            <w:tcMar>
              <w:left w:w="0" w:type="dxa"/>
            </w:tcMar>
            <w:vAlign w:val="bottom"/>
            <w:hideMark/>
          </w:tcPr>
          <w:p w14:paraId="23739735"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1,670,875</w:t>
            </w:r>
          </w:p>
        </w:tc>
        <w:tc>
          <w:tcPr>
            <w:tcW w:w="850" w:type="dxa"/>
            <w:tcBorders>
              <w:top w:val="nil"/>
              <w:left w:val="nil"/>
              <w:bottom w:val="nil"/>
              <w:right w:val="nil"/>
            </w:tcBorders>
            <w:shd w:val="clear" w:color="auto" w:fill="auto"/>
            <w:noWrap/>
            <w:tcMar>
              <w:left w:w="0" w:type="dxa"/>
            </w:tcMar>
            <w:vAlign w:val="bottom"/>
            <w:hideMark/>
          </w:tcPr>
          <w:p w14:paraId="247CA05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1,773,067</w:t>
            </w:r>
          </w:p>
        </w:tc>
        <w:tc>
          <w:tcPr>
            <w:tcW w:w="852" w:type="dxa"/>
            <w:tcBorders>
              <w:top w:val="nil"/>
              <w:left w:val="nil"/>
              <w:bottom w:val="nil"/>
              <w:right w:val="nil"/>
            </w:tcBorders>
            <w:shd w:val="clear" w:color="auto" w:fill="auto"/>
            <w:noWrap/>
            <w:tcMar>
              <w:left w:w="0" w:type="dxa"/>
            </w:tcMar>
            <w:vAlign w:val="bottom"/>
            <w:hideMark/>
          </w:tcPr>
          <w:p w14:paraId="5C1F625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1,950,173</w:t>
            </w:r>
          </w:p>
        </w:tc>
      </w:tr>
      <w:tr w:rsidR="00760DE2" w:rsidRPr="00760DE2" w14:paraId="52C6DC86"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76331A74"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Grant payments</w:t>
            </w:r>
          </w:p>
        </w:tc>
        <w:tc>
          <w:tcPr>
            <w:tcW w:w="850" w:type="dxa"/>
            <w:tcBorders>
              <w:top w:val="nil"/>
              <w:left w:val="nil"/>
              <w:bottom w:val="nil"/>
              <w:right w:val="nil"/>
            </w:tcBorders>
            <w:shd w:val="clear" w:color="auto" w:fill="auto"/>
            <w:noWrap/>
            <w:tcMar>
              <w:left w:w="0" w:type="dxa"/>
            </w:tcMar>
            <w:vAlign w:val="bottom"/>
            <w:hideMark/>
          </w:tcPr>
          <w:p w14:paraId="218AC8E2"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372</w:t>
            </w:r>
          </w:p>
        </w:tc>
        <w:tc>
          <w:tcPr>
            <w:tcW w:w="850" w:type="dxa"/>
            <w:tcBorders>
              <w:top w:val="nil"/>
              <w:left w:val="nil"/>
              <w:bottom w:val="nil"/>
              <w:right w:val="nil"/>
            </w:tcBorders>
            <w:shd w:val="clear" w:color="000000" w:fill="D9D9D9"/>
            <w:noWrap/>
            <w:tcMar>
              <w:left w:w="0" w:type="dxa"/>
            </w:tcMar>
            <w:vAlign w:val="bottom"/>
            <w:hideMark/>
          </w:tcPr>
          <w:p w14:paraId="6449399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6832B46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7C41061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2" w:type="dxa"/>
            <w:tcBorders>
              <w:top w:val="nil"/>
              <w:left w:val="nil"/>
              <w:bottom w:val="nil"/>
              <w:right w:val="nil"/>
            </w:tcBorders>
            <w:shd w:val="clear" w:color="auto" w:fill="auto"/>
            <w:noWrap/>
            <w:tcMar>
              <w:left w:w="0" w:type="dxa"/>
            </w:tcMar>
            <w:vAlign w:val="bottom"/>
            <w:hideMark/>
          </w:tcPr>
          <w:p w14:paraId="6592FB7D"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r>
      <w:tr w:rsidR="00760DE2" w:rsidRPr="00760DE2" w14:paraId="5AA4E1BD"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3206F305"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Employees</w:t>
            </w:r>
          </w:p>
        </w:tc>
        <w:tc>
          <w:tcPr>
            <w:tcW w:w="850" w:type="dxa"/>
            <w:tcBorders>
              <w:top w:val="nil"/>
              <w:left w:val="nil"/>
              <w:bottom w:val="nil"/>
              <w:right w:val="nil"/>
            </w:tcBorders>
            <w:shd w:val="clear" w:color="auto" w:fill="auto"/>
            <w:noWrap/>
            <w:tcMar>
              <w:left w:w="0" w:type="dxa"/>
            </w:tcMar>
            <w:vAlign w:val="bottom"/>
            <w:hideMark/>
          </w:tcPr>
          <w:p w14:paraId="4FA5E7B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869</w:t>
            </w:r>
          </w:p>
        </w:tc>
        <w:tc>
          <w:tcPr>
            <w:tcW w:w="850" w:type="dxa"/>
            <w:tcBorders>
              <w:top w:val="nil"/>
              <w:left w:val="nil"/>
              <w:bottom w:val="nil"/>
              <w:right w:val="nil"/>
            </w:tcBorders>
            <w:shd w:val="clear" w:color="000000" w:fill="D9D9D9"/>
            <w:noWrap/>
            <w:tcMar>
              <w:left w:w="0" w:type="dxa"/>
            </w:tcMar>
            <w:vAlign w:val="bottom"/>
            <w:hideMark/>
          </w:tcPr>
          <w:p w14:paraId="2AB6928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3920DA8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3C6B51F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2" w:type="dxa"/>
            <w:tcBorders>
              <w:top w:val="nil"/>
              <w:left w:val="nil"/>
              <w:bottom w:val="nil"/>
              <w:right w:val="nil"/>
            </w:tcBorders>
            <w:shd w:val="clear" w:color="auto" w:fill="auto"/>
            <w:noWrap/>
            <w:tcMar>
              <w:left w:w="0" w:type="dxa"/>
            </w:tcMar>
            <w:vAlign w:val="bottom"/>
            <w:hideMark/>
          </w:tcPr>
          <w:p w14:paraId="7C33648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r>
      <w:tr w:rsidR="00760DE2" w:rsidRPr="00760DE2" w14:paraId="0F13412A"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0275072D" w14:textId="77777777" w:rsidR="00760DE2" w:rsidRPr="00760DE2" w:rsidRDefault="00760DE2" w:rsidP="00183C23">
            <w:pPr>
              <w:spacing w:after="0"/>
              <w:ind w:leftChars="225" w:left="428"/>
              <w:rPr>
                <w:rFonts w:ascii="Arial" w:hAnsi="Arial" w:cs="Arial"/>
                <w:color w:val="auto"/>
                <w:sz w:val="16"/>
                <w:szCs w:val="16"/>
              </w:rPr>
            </w:pPr>
            <w:r w:rsidRPr="00760DE2">
              <w:rPr>
                <w:rFonts w:ascii="Arial" w:hAnsi="Arial" w:cs="Arial"/>
                <w:color w:val="auto"/>
                <w:sz w:val="16"/>
                <w:szCs w:val="16"/>
              </w:rPr>
              <w:t>Net GST paid</w:t>
            </w:r>
          </w:p>
        </w:tc>
        <w:tc>
          <w:tcPr>
            <w:tcW w:w="850" w:type="dxa"/>
            <w:tcBorders>
              <w:top w:val="nil"/>
              <w:left w:val="nil"/>
              <w:bottom w:val="nil"/>
              <w:right w:val="nil"/>
            </w:tcBorders>
            <w:shd w:val="clear" w:color="auto" w:fill="auto"/>
            <w:noWrap/>
            <w:tcMar>
              <w:left w:w="0" w:type="dxa"/>
            </w:tcMar>
            <w:vAlign w:val="bottom"/>
            <w:hideMark/>
          </w:tcPr>
          <w:p w14:paraId="5EA0F1F5"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133,254</w:t>
            </w:r>
          </w:p>
        </w:tc>
        <w:tc>
          <w:tcPr>
            <w:tcW w:w="850" w:type="dxa"/>
            <w:tcBorders>
              <w:top w:val="nil"/>
              <w:left w:val="nil"/>
              <w:bottom w:val="nil"/>
              <w:right w:val="nil"/>
            </w:tcBorders>
            <w:shd w:val="clear" w:color="000000" w:fill="D9D9D9"/>
            <w:noWrap/>
            <w:tcMar>
              <w:left w:w="0" w:type="dxa"/>
            </w:tcMar>
            <w:vAlign w:val="bottom"/>
            <w:hideMark/>
          </w:tcPr>
          <w:p w14:paraId="5F6F2F14"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178,598</w:t>
            </w:r>
          </w:p>
        </w:tc>
        <w:tc>
          <w:tcPr>
            <w:tcW w:w="850" w:type="dxa"/>
            <w:tcBorders>
              <w:top w:val="nil"/>
              <w:left w:val="nil"/>
              <w:bottom w:val="nil"/>
              <w:right w:val="nil"/>
            </w:tcBorders>
            <w:shd w:val="clear" w:color="auto" w:fill="auto"/>
            <w:noWrap/>
            <w:tcMar>
              <w:left w:w="0" w:type="dxa"/>
            </w:tcMar>
            <w:vAlign w:val="bottom"/>
            <w:hideMark/>
          </w:tcPr>
          <w:p w14:paraId="476DF266"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188,940</w:t>
            </w:r>
          </w:p>
        </w:tc>
        <w:tc>
          <w:tcPr>
            <w:tcW w:w="850" w:type="dxa"/>
            <w:tcBorders>
              <w:top w:val="nil"/>
              <w:left w:val="nil"/>
              <w:bottom w:val="nil"/>
              <w:right w:val="nil"/>
            </w:tcBorders>
            <w:shd w:val="clear" w:color="auto" w:fill="auto"/>
            <w:noWrap/>
            <w:tcMar>
              <w:left w:w="0" w:type="dxa"/>
            </w:tcMar>
            <w:vAlign w:val="bottom"/>
            <w:hideMark/>
          </w:tcPr>
          <w:p w14:paraId="5FF90E9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200,496</w:t>
            </w:r>
          </w:p>
        </w:tc>
        <w:tc>
          <w:tcPr>
            <w:tcW w:w="852" w:type="dxa"/>
            <w:tcBorders>
              <w:top w:val="nil"/>
              <w:left w:val="nil"/>
              <w:bottom w:val="nil"/>
              <w:right w:val="nil"/>
            </w:tcBorders>
            <w:shd w:val="clear" w:color="auto" w:fill="auto"/>
            <w:noWrap/>
            <w:tcMar>
              <w:left w:w="0" w:type="dxa"/>
            </w:tcMar>
            <w:vAlign w:val="bottom"/>
            <w:hideMark/>
          </w:tcPr>
          <w:p w14:paraId="70B29BE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220,523</w:t>
            </w:r>
          </w:p>
        </w:tc>
      </w:tr>
      <w:tr w:rsidR="00760DE2" w:rsidRPr="00760DE2" w14:paraId="66F9A62A"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70B798BC" w14:textId="77777777" w:rsidR="00760DE2" w:rsidRPr="00760DE2" w:rsidRDefault="00760DE2" w:rsidP="00183C23">
            <w:pPr>
              <w:spacing w:after="0"/>
              <w:ind w:leftChars="225" w:left="428"/>
              <w:rPr>
                <w:rFonts w:ascii="Arial" w:hAnsi="Arial" w:cs="Arial"/>
                <w:b/>
                <w:bCs/>
                <w:sz w:val="16"/>
                <w:szCs w:val="16"/>
              </w:rPr>
            </w:pPr>
            <w:r w:rsidRPr="00760DE2">
              <w:rPr>
                <w:rFonts w:ascii="Arial" w:hAnsi="Arial" w:cs="Arial"/>
                <w:b/>
                <w:bCs/>
                <w:sz w:val="16"/>
                <w:szCs w:val="16"/>
              </w:rPr>
              <w:t>Total cash used</w:t>
            </w:r>
          </w:p>
        </w:tc>
        <w:tc>
          <w:tcPr>
            <w:tcW w:w="850" w:type="dxa"/>
            <w:tcBorders>
              <w:top w:val="nil"/>
              <w:left w:val="nil"/>
              <w:bottom w:val="single" w:sz="4" w:space="0" w:color="auto"/>
              <w:right w:val="nil"/>
            </w:tcBorders>
            <w:shd w:val="clear" w:color="auto" w:fill="auto"/>
            <w:noWrap/>
            <w:tcMar>
              <w:left w:w="0" w:type="dxa"/>
            </w:tcMar>
            <w:vAlign w:val="bottom"/>
            <w:hideMark/>
          </w:tcPr>
          <w:p w14:paraId="4E6B5224"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1,556,654</w:t>
            </w:r>
          </w:p>
        </w:tc>
        <w:tc>
          <w:tcPr>
            <w:tcW w:w="850" w:type="dxa"/>
            <w:tcBorders>
              <w:top w:val="nil"/>
              <w:left w:val="nil"/>
              <w:bottom w:val="single" w:sz="4" w:space="0" w:color="auto"/>
              <w:right w:val="nil"/>
            </w:tcBorders>
            <w:shd w:val="clear" w:color="000000" w:fill="D9D9D9"/>
            <w:noWrap/>
            <w:tcMar>
              <w:left w:w="0" w:type="dxa"/>
            </w:tcMar>
            <w:vAlign w:val="bottom"/>
            <w:hideMark/>
          </w:tcPr>
          <w:p w14:paraId="063B1403"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1,758,014</w:t>
            </w:r>
          </w:p>
        </w:tc>
        <w:tc>
          <w:tcPr>
            <w:tcW w:w="850" w:type="dxa"/>
            <w:tcBorders>
              <w:top w:val="nil"/>
              <w:left w:val="nil"/>
              <w:bottom w:val="single" w:sz="4" w:space="0" w:color="auto"/>
              <w:right w:val="nil"/>
            </w:tcBorders>
            <w:shd w:val="clear" w:color="auto" w:fill="auto"/>
            <w:noWrap/>
            <w:tcMar>
              <w:left w:w="0" w:type="dxa"/>
            </w:tcMar>
            <w:vAlign w:val="bottom"/>
            <w:hideMark/>
          </w:tcPr>
          <w:p w14:paraId="237B5DE8"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1,859,815</w:t>
            </w:r>
          </w:p>
        </w:tc>
        <w:tc>
          <w:tcPr>
            <w:tcW w:w="850" w:type="dxa"/>
            <w:tcBorders>
              <w:top w:val="nil"/>
              <w:left w:val="nil"/>
              <w:bottom w:val="single" w:sz="4" w:space="0" w:color="auto"/>
              <w:right w:val="nil"/>
            </w:tcBorders>
            <w:shd w:val="clear" w:color="auto" w:fill="auto"/>
            <w:noWrap/>
            <w:tcMar>
              <w:left w:w="0" w:type="dxa"/>
            </w:tcMar>
            <w:vAlign w:val="bottom"/>
            <w:hideMark/>
          </w:tcPr>
          <w:p w14:paraId="4ECE4434"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1,973,563</w:t>
            </w:r>
          </w:p>
        </w:tc>
        <w:tc>
          <w:tcPr>
            <w:tcW w:w="852" w:type="dxa"/>
            <w:tcBorders>
              <w:top w:val="nil"/>
              <w:left w:val="nil"/>
              <w:bottom w:val="single" w:sz="4" w:space="0" w:color="auto"/>
              <w:right w:val="nil"/>
            </w:tcBorders>
            <w:shd w:val="clear" w:color="auto" w:fill="auto"/>
            <w:noWrap/>
            <w:tcMar>
              <w:left w:w="0" w:type="dxa"/>
            </w:tcMar>
            <w:vAlign w:val="bottom"/>
            <w:hideMark/>
          </w:tcPr>
          <w:p w14:paraId="5A1B5E33"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2,170,696</w:t>
            </w:r>
          </w:p>
        </w:tc>
      </w:tr>
      <w:tr w:rsidR="00760DE2" w:rsidRPr="00760DE2" w14:paraId="1C9BE146" w14:textId="77777777" w:rsidTr="00886FA0">
        <w:trPr>
          <w:trHeight w:val="454"/>
          <w:jc w:val="center"/>
        </w:trPr>
        <w:tc>
          <w:tcPr>
            <w:tcW w:w="3119" w:type="dxa"/>
            <w:tcBorders>
              <w:top w:val="nil"/>
              <w:left w:val="nil"/>
              <w:bottom w:val="nil"/>
              <w:right w:val="nil"/>
            </w:tcBorders>
            <w:shd w:val="clear" w:color="auto" w:fill="auto"/>
            <w:vAlign w:val="bottom"/>
            <w:hideMark/>
          </w:tcPr>
          <w:p w14:paraId="126878B8"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Net cash from (or used by) operating activities</w:t>
            </w:r>
          </w:p>
        </w:tc>
        <w:tc>
          <w:tcPr>
            <w:tcW w:w="850" w:type="dxa"/>
            <w:tcBorders>
              <w:top w:val="nil"/>
              <w:left w:val="nil"/>
              <w:bottom w:val="single" w:sz="4" w:space="0" w:color="auto"/>
              <w:right w:val="nil"/>
            </w:tcBorders>
            <w:shd w:val="clear" w:color="auto" w:fill="auto"/>
            <w:noWrap/>
            <w:tcMar>
              <w:left w:w="0" w:type="dxa"/>
            </w:tcMar>
            <w:vAlign w:val="bottom"/>
            <w:hideMark/>
          </w:tcPr>
          <w:p w14:paraId="4CEBEE0E"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45,897</w:t>
            </w:r>
          </w:p>
        </w:tc>
        <w:tc>
          <w:tcPr>
            <w:tcW w:w="850" w:type="dxa"/>
            <w:tcBorders>
              <w:top w:val="nil"/>
              <w:left w:val="nil"/>
              <w:bottom w:val="single" w:sz="4" w:space="0" w:color="auto"/>
              <w:right w:val="nil"/>
            </w:tcBorders>
            <w:shd w:val="clear" w:color="000000" w:fill="D9D9D9"/>
            <w:noWrap/>
            <w:tcMar>
              <w:left w:w="0" w:type="dxa"/>
            </w:tcMar>
            <w:vAlign w:val="bottom"/>
            <w:hideMark/>
          </w:tcPr>
          <w:p w14:paraId="1218664E"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9,146</w:t>
            </w:r>
          </w:p>
        </w:tc>
        <w:tc>
          <w:tcPr>
            <w:tcW w:w="850" w:type="dxa"/>
            <w:tcBorders>
              <w:top w:val="nil"/>
              <w:left w:val="nil"/>
              <w:bottom w:val="single" w:sz="4" w:space="0" w:color="auto"/>
              <w:right w:val="nil"/>
            </w:tcBorders>
            <w:shd w:val="clear" w:color="auto" w:fill="auto"/>
            <w:noWrap/>
            <w:tcMar>
              <w:left w:w="0" w:type="dxa"/>
            </w:tcMar>
            <w:vAlign w:val="bottom"/>
            <w:hideMark/>
          </w:tcPr>
          <w:p w14:paraId="4D19824C"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9,146</w:t>
            </w:r>
          </w:p>
        </w:tc>
        <w:tc>
          <w:tcPr>
            <w:tcW w:w="850" w:type="dxa"/>
            <w:tcBorders>
              <w:top w:val="nil"/>
              <w:left w:val="nil"/>
              <w:bottom w:val="single" w:sz="4" w:space="0" w:color="auto"/>
              <w:right w:val="nil"/>
            </w:tcBorders>
            <w:shd w:val="clear" w:color="auto" w:fill="auto"/>
            <w:noWrap/>
            <w:tcMar>
              <w:left w:w="0" w:type="dxa"/>
            </w:tcMar>
            <w:vAlign w:val="bottom"/>
            <w:hideMark/>
          </w:tcPr>
          <w:p w14:paraId="66A86DC8"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c>
          <w:tcPr>
            <w:tcW w:w="852" w:type="dxa"/>
            <w:tcBorders>
              <w:top w:val="nil"/>
              <w:left w:val="nil"/>
              <w:bottom w:val="single" w:sz="4" w:space="0" w:color="auto"/>
              <w:right w:val="nil"/>
            </w:tcBorders>
            <w:shd w:val="clear" w:color="auto" w:fill="auto"/>
            <w:noWrap/>
            <w:tcMar>
              <w:left w:w="0" w:type="dxa"/>
            </w:tcMar>
            <w:vAlign w:val="bottom"/>
            <w:hideMark/>
          </w:tcPr>
          <w:p w14:paraId="66887921"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r>
      <w:tr w:rsidR="00760DE2" w:rsidRPr="00760DE2" w14:paraId="16BBE681" w14:textId="77777777" w:rsidTr="00886FA0">
        <w:trPr>
          <w:trHeight w:val="283"/>
          <w:jc w:val="center"/>
        </w:trPr>
        <w:tc>
          <w:tcPr>
            <w:tcW w:w="3119" w:type="dxa"/>
            <w:tcBorders>
              <w:top w:val="nil"/>
              <w:left w:val="nil"/>
              <w:bottom w:val="nil"/>
              <w:right w:val="nil"/>
            </w:tcBorders>
            <w:shd w:val="clear" w:color="auto" w:fill="auto"/>
            <w:noWrap/>
            <w:vAlign w:val="bottom"/>
            <w:hideMark/>
          </w:tcPr>
          <w:p w14:paraId="231DFEB1"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INVESTING ACTIVITIES</w:t>
            </w:r>
          </w:p>
        </w:tc>
        <w:tc>
          <w:tcPr>
            <w:tcW w:w="850" w:type="dxa"/>
            <w:tcBorders>
              <w:top w:val="nil"/>
              <w:left w:val="nil"/>
              <w:bottom w:val="nil"/>
              <w:right w:val="nil"/>
            </w:tcBorders>
            <w:shd w:val="clear" w:color="auto" w:fill="auto"/>
            <w:noWrap/>
            <w:tcMar>
              <w:left w:w="0" w:type="dxa"/>
            </w:tcMar>
            <w:vAlign w:val="bottom"/>
            <w:hideMark/>
          </w:tcPr>
          <w:p w14:paraId="50C091FC" w14:textId="77777777" w:rsidR="00760DE2" w:rsidRPr="00760DE2" w:rsidRDefault="00760DE2" w:rsidP="00760DE2">
            <w:pPr>
              <w:spacing w:after="0"/>
              <w:rPr>
                <w:rFonts w:ascii="Arial" w:hAnsi="Arial" w:cs="Arial"/>
                <w:b/>
                <w:bCs/>
                <w:sz w:val="16"/>
                <w:szCs w:val="16"/>
              </w:rPr>
            </w:pPr>
          </w:p>
        </w:tc>
        <w:tc>
          <w:tcPr>
            <w:tcW w:w="850" w:type="dxa"/>
            <w:tcBorders>
              <w:top w:val="nil"/>
              <w:left w:val="nil"/>
              <w:bottom w:val="nil"/>
              <w:right w:val="nil"/>
            </w:tcBorders>
            <w:shd w:val="clear" w:color="000000" w:fill="D9D9D9"/>
            <w:noWrap/>
            <w:tcMar>
              <w:left w:w="0" w:type="dxa"/>
            </w:tcMar>
            <w:vAlign w:val="bottom"/>
            <w:hideMark/>
          </w:tcPr>
          <w:p w14:paraId="06AD478B" w14:textId="77777777" w:rsidR="00760DE2" w:rsidRPr="00371CDE" w:rsidRDefault="00760DE2" w:rsidP="00760DE2">
            <w:pPr>
              <w:spacing w:after="0"/>
              <w:jc w:val="right"/>
              <w:rPr>
                <w:rFonts w:ascii="Arial" w:hAnsi="Arial" w:cs="Arial"/>
                <w:color w:val="auto"/>
                <w:sz w:val="16"/>
                <w:szCs w:val="16"/>
              </w:rPr>
            </w:pPr>
            <w:r w:rsidRPr="00371CDE">
              <w:rPr>
                <w:rFonts w:ascii="Arial" w:hAnsi="Arial" w:cs="Arial"/>
                <w:color w:val="auto"/>
                <w:sz w:val="16"/>
                <w:szCs w:val="16"/>
              </w:rPr>
              <w:t> </w:t>
            </w:r>
          </w:p>
        </w:tc>
        <w:tc>
          <w:tcPr>
            <w:tcW w:w="850" w:type="dxa"/>
            <w:tcBorders>
              <w:top w:val="nil"/>
              <w:left w:val="nil"/>
              <w:bottom w:val="nil"/>
              <w:right w:val="nil"/>
            </w:tcBorders>
            <w:shd w:val="clear" w:color="auto" w:fill="auto"/>
            <w:noWrap/>
            <w:tcMar>
              <w:left w:w="0" w:type="dxa"/>
            </w:tcMar>
            <w:vAlign w:val="bottom"/>
            <w:hideMark/>
          </w:tcPr>
          <w:p w14:paraId="409E4E8D" w14:textId="77777777" w:rsidR="00760DE2" w:rsidRPr="00371CDE" w:rsidRDefault="00760DE2" w:rsidP="00760DE2">
            <w:pPr>
              <w:spacing w:after="0"/>
              <w:jc w:val="right"/>
              <w:rPr>
                <w:rFonts w:ascii="Arial" w:hAnsi="Arial" w:cs="Arial"/>
                <w:color w:val="auto"/>
                <w:sz w:val="16"/>
                <w:szCs w:val="16"/>
              </w:rPr>
            </w:pPr>
          </w:p>
        </w:tc>
        <w:tc>
          <w:tcPr>
            <w:tcW w:w="850" w:type="dxa"/>
            <w:tcBorders>
              <w:top w:val="nil"/>
              <w:left w:val="nil"/>
              <w:bottom w:val="nil"/>
              <w:right w:val="nil"/>
            </w:tcBorders>
            <w:shd w:val="clear" w:color="auto" w:fill="auto"/>
            <w:noWrap/>
            <w:tcMar>
              <w:left w:w="0" w:type="dxa"/>
            </w:tcMar>
            <w:vAlign w:val="bottom"/>
            <w:hideMark/>
          </w:tcPr>
          <w:p w14:paraId="143853C3" w14:textId="77777777" w:rsidR="00760DE2" w:rsidRPr="00371CDE"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tcMar>
              <w:left w:w="0" w:type="dxa"/>
            </w:tcMar>
            <w:vAlign w:val="bottom"/>
            <w:hideMark/>
          </w:tcPr>
          <w:p w14:paraId="4FF21FD4" w14:textId="77777777" w:rsidR="00760DE2" w:rsidRPr="00760DE2" w:rsidRDefault="00760DE2" w:rsidP="00760DE2">
            <w:pPr>
              <w:spacing w:after="0"/>
              <w:jc w:val="right"/>
              <w:rPr>
                <w:rFonts w:ascii="Times New Roman" w:hAnsi="Times New Roman"/>
                <w:color w:val="auto"/>
                <w:sz w:val="20"/>
              </w:rPr>
            </w:pPr>
          </w:p>
        </w:tc>
      </w:tr>
      <w:tr w:rsidR="00760DE2" w:rsidRPr="00760DE2" w14:paraId="60582A9A"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41869836" w14:textId="77777777" w:rsidR="00760DE2" w:rsidRPr="00760DE2" w:rsidRDefault="00760DE2" w:rsidP="00760DE2">
            <w:pPr>
              <w:spacing w:after="0"/>
              <w:ind w:firstLineChars="100" w:firstLine="160"/>
              <w:rPr>
                <w:rFonts w:ascii="Arial" w:hAnsi="Arial" w:cs="Arial"/>
                <w:b/>
                <w:bCs/>
                <w:sz w:val="16"/>
                <w:szCs w:val="16"/>
              </w:rPr>
            </w:pPr>
            <w:r w:rsidRPr="00760DE2">
              <w:rPr>
                <w:rFonts w:ascii="Arial" w:hAnsi="Arial" w:cs="Arial"/>
                <w:b/>
                <w:bCs/>
                <w:sz w:val="16"/>
                <w:szCs w:val="16"/>
              </w:rPr>
              <w:t>Cash received</w:t>
            </w:r>
          </w:p>
        </w:tc>
        <w:tc>
          <w:tcPr>
            <w:tcW w:w="850" w:type="dxa"/>
            <w:tcBorders>
              <w:top w:val="nil"/>
              <w:left w:val="nil"/>
              <w:bottom w:val="nil"/>
              <w:right w:val="nil"/>
            </w:tcBorders>
            <w:shd w:val="clear" w:color="auto" w:fill="auto"/>
            <w:noWrap/>
            <w:tcMar>
              <w:left w:w="0" w:type="dxa"/>
            </w:tcMar>
            <w:vAlign w:val="bottom"/>
            <w:hideMark/>
          </w:tcPr>
          <w:p w14:paraId="638A360B" w14:textId="77777777" w:rsidR="00760DE2" w:rsidRPr="00760DE2" w:rsidRDefault="00760DE2" w:rsidP="00760DE2">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tcMar>
              <w:left w:w="0" w:type="dxa"/>
            </w:tcMar>
            <w:vAlign w:val="bottom"/>
            <w:hideMark/>
          </w:tcPr>
          <w:p w14:paraId="48482973" w14:textId="77777777" w:rsidR="00760DE2" w:rsidRPr="00371CDE" w:rsidRDefault="00760DE2" w:rsidP="00760DE2">
            <w:pPr>
              <w:spacing w:after="0"/>
              <w:jc w:val="right"/>
              <w:rPr>
                <w:rFonts w:ascii="Arial" w:hAnsi="Arial" w:cs="Arial"/>
                <w:color w:val="auto"/>
                <w:sz w:val="16"/>
                <w:szCs w:val="16"/>
              </w:rPr>
            </w:pPr>
            <w:r w:rsidRPr="00371CDE">
              <w:rPr>
                <w:rFonts w:ascii="Arial" w:hAnsi="Arial" w:cs="Arial"/>
                <w:color w:val="auto"/>
                <w:sz w:val="16"/>
                <w:szCs w:val="16"/>
              </w:rPr>
              <w:t> </w:t>
            </w:r>
          </w:p>
        </w:tc>
        <w:tc>
          <w:tcPr>
            <w:tcW w:w="850" w:type="dxa"/>
            <w:tcBorders>
              <w:top w:val="nil"/>
              <w:left w:val="nil"/>
              <w:bottom w:val="nil"/>
              <w:right w:val="nil"/>
            </w:tcBorders>
            <w:shd w:val="clear" w:color="auto" w:fill="auto"/>
            <w:noWrap/>
            <w:tcMar>
              <w:left w:w="0" w:type="dxa"/>
            </w:tcMar>
            <w:vAlign w:val="bottom"/>
            <w:hideMark/>
          </w:tcPr>
          <w:p w14:paraId="136AF85F" w14:textId="77777777" w:rsidR="00760DE2" w:rsidRPr="00371CDE" w:rsidRDefault="00760DE2" w:rsidP="00760DE2">
            <w:pPr>
              <w:spacing w:after="0"/>
              <w:jc w:val="right"/>
              <w:rPr>
                <w:rFonts w:ascii="Arial" w:hAnsi="Arial" w:cs="Arial"/>
                <w:color w:val="auto"/>
                <w:sz w:val="16"/>
                <w:szCs w:val="16"/>
              </w:rPr>
            </w:pPr>
          </w:p>
        </w:tc>
        <w:tc>
          <w:tcPr>
            <w:tcW w:w="850" w:type="dxa"/>
            <w:tcBorders>
              <w:top w:val="nil"/>
              <w:left w:val="nil"/>
              <w:bottom w:val="nil"/>
              <w:right w:val="nil"/>
            </w:tcBorders>
            <w:shd w:val="clear" w:color="auto" w:fill="auto"/>
            <w:noWrap/>
            <w:tcMar>
              <w:left w:w="0" w:type="dxa"/>
            </w:tcMar>
            <w:vAlign w:val="bottom"/>
            <w:hideMark/>
          </w:tcPr>
          <w:p w14:paraId="09C714F4" w14:textId="77777777" w:rsidR="00760DE2" w:rsidRPr="00371CDE"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tcMar>
              <w:left w:w="0" w:type="dxa"/>
            </w:tcMar>
            <w:vAlign w:val="bottom"/>
            <w:hideMark/>
          </w:tcPr>
          <w:p w14:paraId="357B9036" w14:textId="77777777" w:rsidR="00760DE2" w:rsidRPr="00760DE2" w:rsidRDefault="00760DE2" w:rsidP="00760DE2">
            <w:pPr>
              <w:spacing w:after="0"/>
              <w:jc w:val="right"/>
              <w:rPr>
                <w:rFonts w:ascii="Times New Roman" w:hAnsi="Times New Roman"/>
                <w:color w:val="auto"/>
                <w:sz w:val="20"/>
              </w:rPr>
            </w:pPr>
          </w:p>
        </w:tc>
      </w:tr>
      <w:tr w:rsidR="00760DE2" w:rsidRPr="00760DE2" w14:paraId="0733A176"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31673E9F" w14:textId="77777777" w:rsidR="00760DE2" w:rsidRPr="00760DE2" w:rsidRDefault="00760DE2" w:rsidP="00371CDE">
            <w:pPr>
              <w:spacing w:after="0"/>
              <w:ind w:leftChars="225" w:left="428"/>
              <w:rPr>
                <w:rFonts w:ascii="Arial" w:hAnsi="Arial" w:cs="Arial"/>
                <w:color w:val="auto"/>
                <w:sz w:val="16"/>
                <w:szCs w:val="16"/>
              </w:rPr>
            </w:pPr>
            <w:r w:rsidRPr="00760DE2">
              <w:rPr>
                <w:rFonts w:ascii="Arial" w:hAnsi="Arial" w:cs="Arial"/>
                <w:color w:val="auto"/>
                <w:sz w:val="16"/>
                <w:szCs w:val="16"/>
              </w:rPr>
              <w:t>Proceeds from sale of investments</w:t>
            </w:r>
          </w:p>
        </w:tc>
        <w:tc>
          <w:tcPr>
            <w:tcW w:w="850" w:type="dxa"/>
            <w:tcBorders>
              <w:top w:val="nil"/>
              <w:left w:val="nil"/>
              <w:bottom w:val="nil"/>
              <w:right w:val="nil"/>
            </w:tcBorders>
            <w:shd w:val="clear" w:color="auto" w:fill="auto"/>
            <w:noWrap/>
            <w:tcMar>
              <w:left w:w="0" w:type="dxa"/>
            </w:tcMar>
            <w:vAlign w:val="bottom"/>
            <w:hideMark/>
          </w:tcPr>
          <w:p w14:paraId="60DA2A15"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67,132</w:t>
            </w:r>
          </w:p>
        </w:tc>
        <w:tc>
          <w:tcPr>
            <w:tcW w:w="850" w:type="dxa"/>
            <w:tcBorders>
              <w:top w:val="nil"/>
              <w:left w:val="nil"/>
              <w:bottom w:val="nil"/>
              <w:right w:val="nil"/>
            </w:tcBorders>
            <w:shd w:val="clear" w:color="000000" w:fill="D9D9D9"/>
            <w:noWrap/>
            <w:tcMar>
              <w:left w:w="0" w:type="dxa"/>
            </w:tcMar>
            <w:vAlign w:val="bottom"/>
            <w:hideMark/>
          </w:tcPr>
          <w:p w14:paraId="2C8D5D0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46373AA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4FD2C3D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2" w:type="dxa"/>
            <w:tcBorders>
              <w:top w:val="nil"/>
              <w:left w:val="nil"/>
              <w:bottom w:val="nil"/>
              <w:right w:val="nil"/>
            </w:tcBorders>
            <w:shd w:val="clear" w:color="auto" w:fill="auto"/>
            <w:noWrap/>
            <w:tcMar>
              <w:left w:w="0" w:type="dxa"/>
            </w:tcMar>
            <w:vAlign w:val="bottom"/>
            <w:hideMark/>
          </w:tcPr>
          <w:p w14:paraId="63B08D8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r>
      <w:tr w:rsidR="00760DE2" w:rsidRPr="00760DE2" w14:paraId="59E3E049"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62C5DEAB" w14:textId="77777777" w:rsidR="00760DE2" w:rsidRPr="00760DE2" w:rsidRDefault="00760DE2" w:rsidP="00183C23">
            <w:pPr>
              <w:spacing w:after="0"/>
              <w:ind w:leftChars="225" w:left="428"/>
              <w:rPr>
                <w:rFonts w:ascii="Arial" w:hAnsi="Arial" w:cs="Arial"/>
                <w:b/>
                <w:bCs/>
                <w:sz w:val="16"/>
                <w:szCs w:val="16"/>
              </w:rPr>
            </w:pPr>
            <w:r w:rsidRPr="00760DE2">
              <w:rPr>
                <w:rFonts w:ascii="Arial" w:hAnsi="Arial" w:cs="Arial"/>
                <w:b/>
                <w:bCs/>
                <w:sz w:val="16"/>
                <w:szCs w:val="16"/>
              </w:rPr>
              <w:t>Total cash received</w:t>
            </w:r>
          </w:p>
        </w:tc>
        <w:tc>
          <w:tcPr>
            <w:tcW w:w="850" w:type="dxa"/>
            <w:tcBorders>
              <w:top w:val="nil"/>
              <w:left w:val="nil"/>
              <w:bottom w:val="single" w:sz="4" w:space="0" w:color="auto"/>
              <w:right w:val="nil"/>
            </w:tcBorders>
            <w:shd w:val="clear" w:color="auto" w:fill="auto"/>
            <w:noWrap/>
            <w:tcMar>
              <w:left w:w="0" w:type="dxa"/>
            </w:tcMar>
            <w:vAlign w:val="bottom"/>
            <w:hideMark/>
          </w:tcPr>
          <w:p w14:paraId="5BFC25CE"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67,132</w:t>
            </w:r>
          </w:p>
        </w:tc>
        <w:tc>
          <w:tcPr>
            <w:tcW w:w="850" w:type="dxa"/>
            <w:tcBorders>
              <w:top w:val="nil"/>
              <w:left w:val="nil"/>
              <w:bottom w:val="single" w:sz="4" w:space="0" w:color="auto"/>
              <w:right w:val="nil"/>
            </w:tcBorders>
            <w:shd w:val="clear" w:color="000000" w:fill="D9D9D9"/>
            <w:noWrap/>
            <w:tcMar>
              <w:left w:w="0" w:type="dxa"/>
            </w:tcMar>
            <w:vAlign w:val="bottom"/>
            <w:hideMark/>
          </w:tcPr>
          <w:p w14:paraId="734327F3"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w:t>
            </w:r>
          </w:p>
        </w:tc>
        <w:tc>
          <w:tcPr>
            <w:tcW w:w="850" w:type="dxa"/>
            <w:tcBorders>
              <w:top w:val="nil"/>
              <w:left w:val="nil"/>
              <w:bottom w:val="single" w:sz="4" w:space="0" w:color="auto"/>
              <w:right w:val="nil"/>
            </w:tcBorders>
            <w:shd w:val="clear" w:color="auto" w:fill="auto"/>
            <w:noWrap/>
            <w:tcMar>
              <w:left w:w="0" w:type="dxa"/>
            </w:tcMar>
            <w:vAlign w:val="bottom"/>
            <w:hideMark/>
          </w:tcPr>
          <w:p w14:paraId="7260867E"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w:t>
            </w:r>
          </w:p>
        </w:tc>
        <w:tc>
          <w:tcPr>
            <w:tcW w:w="850" w:type="dxa"/>
            <w:tcBorders>
              <w:top w:val="nil"/>
              <w:left w:val="nil"/>
              <w:bottom w:val="single" w:sz="4" w:space="0" w:color="auto"/>
              <w:right w:val="nil"/>
            </w:tcBorders>
            <w:shd w:val="clear" w:color="auto" w:fill="auto"/>
            <w:noWrap/>
            <w:tcMar>
              <w:left w:w="0" w:type="dxa"/>
            </w:tcMar>
            <w:vAlign w:val="bottom"/>
            <w:hideMark/>
          </w:tcPr>
          <w:p w14:paraId="7C147B4B"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w:t>
            </w:r>
          </w:p>
        </w:tc>
        <w:tc>
          <w:tcPr>
            <w:tcW w:w="852" w:type="dxa"/>
            <w:tcBorders>
              <w:top w:val="nil"/>
              <w:left w:val="nil"/>
              <w:bottom w:val="single" w:sz="4" w:space="0" w:color="auto"/>
              <w:right w:val="nil"/>
            </w:tcBorders>
            <w:shd w:val="clear" w:color="auto" w:fill="auto"/>
            <w:noWrap/>
            <w:tcMar>
              <w:left w:w="0" w:type="dxa"/>
            </w:tcMar>
            <w:vAlign w:val="bottom"/>
            <w:hideMark/>
          </w:tcPr>
          <w:p w14:paraId="38CADF43"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w:t>
            </w:r>
          </w:p>
        </w:tc>
      </w:tr>
      <w:tr w:rsidR="00760DE2" w:rsidRPr="00760DE2" w14:paraId="09573142" w14:textId="77777777" w:rsidTr="00886FA0">
        <w:trPr>
          <w:trHeight w:val="283"/>
          <w:jc w:val="center"/>
        </w:trPr>
        <w:tc>
          <w:tcPr>
            <w:tcW w:w="3119" w:type="dxa"/>
            <w:tcBorders>
              <w:top w:val="nil"/>
              <w:left w:val="nil"/>
              <w:bottom w:val="nil"/>
              <w:right w:val="nil"/>
            </w:tcBorders>
            <w:shd w:val="clear" w:color="auto" w:fill="auto"/>
            <w:noWrap/>
            <w:vAlign w:val="bottom"/>
            <w:hideMark/>
          </w:tcPr>
          <w:p w14:paraId="16202D49" w14:textId="77777777" w:rsidR="00760DE2" w:rsidRPr="00760DE2" w:rsidRDefault="00760DE2" w:rsidP="00760DE2">
            <w:pPr>
              <w:spacing w:after="0"/>
              <w:ind w:firstLineChars="100" w:firstLine="160"/>
              <w:rPr>
                <w:rFonts w:ascii="Arial" w:hAnsi="Arial" w:cs="Arial"/>
                <w:b/>
                <w:bCs/>
                <w:sz w:val="16"/>
                <w:szCs w:val="16"/>
              </w:rPr>
            </w:pPr>
            <w:r w:rsidRPr="00760DE2">
              <w:rPr>
                <w:rFonts w:ascii="Arial" w:hAnsi="Arial" w:cs="Arial"/>
                <w:b/>
                <w:bCs/>
                <w:sz w:val="16"/>
                <w:szCs w:val="16"/>
              </w:rPr>
              <w:t>Cash used</w:t>
            </w:r>
          </w:p>
        </w:tc>
        <w:tc>
          <w:tcPr>
            <w:tcW w:w="850" w:type="dxa"/>
            <w:tcBorders>
              <w:top w:val="nil"/>
              <w:left w:val="nil"/>
              <w:bottom w:val="nil"/>
              <w:right w:val="nil"/>
            </w:tcBorders>
            <w:shd w:val="clear" w:color="auto" w:fill="auto"/>
            <w:noWrap/>
            <w:tcMar>
              <w:left w:w="0" w:type="dxa"/>
            </w:tcMar>
            <w:vAlign w:val="bottom"/>
            <w:hideMark/>
          </w:tcPr>
          <w:p w14:paraId="6B75F80C" w14:textId="77777777" w:rsidR="00760DE2" w:rsidRPr="00760DE2" w:rsidRDefault="00760DE2" w:rsidP="00760DE2">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tcMar>
              <w:left w:w="0" w:type="dxa"/>
            </w:tcMar>
            <w:vAlign w:val="bottom"/>
            <w:hideMark/>
          </w:tcPr>
          <w:p w14:paraId="27B9DCD9" w14:textId="77777777" w:rsidR="00760DE2" w:rsidRPr="00760DE2" w:rsidRDefault="00760DE2" w:rsidP="00760DE2">
            <w:pPr>
              <w:spacing w:after="0"/>
              <w:jc w:val="right"/>
              <w:rPr>
                <w:rFonts w:ascii="Arial" w:hAnsi="Arial" w:cs="Arial"/>
                <w:color w:val="auto"/>
                <w:sz w:val="16"/>
                <w:szCs w:val="16"/>
              </w:rPr>
            </w:pPr>
            <w:r w:rsidRPr="00760DE2">
              <w:rPr>
                <w:rFonts w:ascii="Arial" w:hAnsi="Arial" w:cs="Arial"/>
                <w:color w:val="auto"/>
                <w:sz w:val="16"/>
                <w:szCs w:val="16"/>
              </w:rPr>
              <w:t> </w:t>
            </w:r>
          </w:p>
        </w:tc>
        <w:tc>
          <w:tcPr>
            <w:tcW w:w="850" w:type="dxa"/>
            <w:tcBorders>
              <w:top w:val="nil"/>
              <w:left w:val="nil"/>
              <w:bottom w:val="nil"/>
              <w:right w:val="nil"/>
            </w:tcBorders>
            <w:shd w:val="clear" w:color="auto" w:fill="auto"/>
            <w:noWrap/>
            <w:tcMar>
              <w:left w:w="0" w:type="dxa"/>
            </w:tcMar>
            <w:vAlign w:val="bottom"/>
            <w:hideMark/>
          </w:tcPr>
          <w:p w14:paraId="205A274F" w14:textId="77777777" w:rsidR="00760DE2" w:rsidRPr="00760DE2" w:rsidRDefault="00760DE2" w:rsidP="00760DE2">
            <w:pPr>
              <w:spacing w:after="0"/>
              <w:jc w:val="right"/>
              <w:rPr>
                <w:rFonts w:ascii="Arial" w:hAnsi="Arial" w:cs="Arial"/>
                <w:color w:val="auto"/>
                <w:sz w:val="16"/>
                <w:szCs w:val="16"/>
              </w:rPr>
            </w:pPr>
          </w:p>
        </w:tc>
        <w:tc>
          <w:tcPr>
            <w:tcW w:w="850" w:type="dxa"/>
            <w:tcBorders>
              <w:top w:val="nil"/>
              <w:left w:val="nil"/>
              <w:bottom w:val="nil"/>
              <w:right w:val="nil"/>
            </w:tcBorders>
            <w:shd w:val="clear" w:color="auto" w:fill="auto"/>
            <w:noWrap/>
            <w:tcMar>
              <w:left w:w="0" w:type="dxa"/>
            </w:tcMar>
            <w:vAlign w:val="bottom"/>
            <w:hideMark/>
          </w:tcPr>
          <w:p w14:paraId="3DA2B733" w14:textId="77777777" w:rsidR="00760DE2" w:rsidRPr="00760DE2"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tcMar>
              <w:left w:w="0" w:type="dxa"/>
            </w:tcMar>
            <w:vAlign w:val="bottom"/>
            <w:hideMark/>
          </w:tcPr>
          <w:p w14:paraId="265AED88" w14:textId="77777777" w:rsidR="00760DE2" w:rsidRPr="00760DE2" w:rsidRDefault="00760DE2" w:rsidP="00760DE2">
            <w:pPr>
              <w:spacing w:after="0"/>
              <w:jc w:val="right"/>
              <w:rPr>
                <w:rFonts w:ascii="Times New Roman" w:hAnsi="Times New Roman"/>
                <w:color w:val="auto"/>
                <w:sz w:val="20"/>
              </w:rPr>
            </w:pPr>
          </w:p>
        </w:tc>
      </w:tr>
      <w:tr w:rsidR="00760DE2" w:rsidRPr="00760DE2" w14:paraId="6742C338"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710962F3" w14:textId="77777777" w:rsidR="00760DE2" w:rsidRPr="00760DE2" w:rsidRDefault="00760DE2" w:rsidP="00371CDE">
            <w:pPr>
              <w:spacing w:after="0"/>
              <w:ind w:leftChars="225" w:left="428"/>
              <w:rPr>
                <w:rFonts w:ascii="Arial" w:hAnsi="Arial" w:cs="Arial"/>
                <w:color w:val="auto"/>
                <w:sz w:val="16"/>
                <w:szCs w:val="16"/>
              </w:rPr>
            </w:pPr>
            <w:r w:rsidRPr="00760DE2">
              <w:rPr>
                <w:rFonts w:ascii="Arial" w:hAnsi="Arial" w:cs="Arial"/>
                <w:color w:val="auto"/>
                <w:sz w:val="16"/>
                <w:szCs w:val="16"/>
              </w:rPr>
              <w:t>Purchase of investments</w:t>
            </w:r>
          </w:p>
        </w:tc>
        <w:tc>
          <w:tcPr>
            <w:tcW w:w="850" w:type="dxa"/>
            <w:tcBorders>
              <w:top w:val="nil"/>
              <w:left w:val="nil"/>
              <w:bottom w:val="nil"/>
              <w:right w:val="nil"/>
            </w:tcBorders>
            <w:shd w:val="clear" w:color="auto" w:fill="auto"/>
            <w:noWrap/>
            <w:tcMar>
              <w:left w:w="0" w:type="dxa"/>
            </w:tcMar>
            <w:vAlign w:val="bottom"/>
            <w:hideMark/>
          </w:tcPr>
          <w:p w14:paraId="10260A6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68,405</w:t>
            </w:r>
          </w:p>
        </w:tc>
        <w:tc>
          <w:tcPr>
            <w:tcW w:w="850" w:type="dxa"/>
            <w:tcBorders>
              <w:top w:val="nil"/>
              <w:left w:val="nil"/>
              <w:bottom w:val="nil"/>
              <w:right w:val="nil"/>
            </w:tcBorders>
            <w:shd w:val="clear" w:color="000000" w:fill="D9D9D9"/>
            <w:noWrap/>
            <w:tcMar>
              <w:left w:w="0" w:type="dxa"/>
            </w:tcMar>
            <w:vAlign w:val="bottom"/>
            <w:hideMark/>
          </w:tcPr>
          <w:p w14:paraId="1E69CA4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c>
          <w:tcPr>
            <w:tcW w:w="850" w:type="dxa"/>
            <w:tcBorders>
              <w:top w:val="nil"/>
              <w:left w:val="nil"/>
              <w:bottom w:val="nil"/>
              <w:right w:val="nil"/>
            </w:tcBorders>
            <w:shd w:val="clear" w:color="auto" w:fill="auto"/>
            <w:noWrap/>
            <w:tcMar>
              <w:left w:w="0" w:type="dxa"/>
            </w:tcMar>
            <w:vAlign w:val="bottom"/>
            <w:hideMark/>
          </w:tcPr>
          <w:p w14:paraId="5B824D8D"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c>
          <w:tcPr>
            <w:tcW w:w="850" w:type="dxa"/>
            <w:tcBorders>
              <w:top w:val="nil"/>
              <w:left w:val="nil"/>
              <w:bottom w:val="nil"/>
              <w:right w:val="nil"/>
            </w:tcBorders>
            <w:shd w:val="clear" w:color="auto" w:fill="auto"/>
            <w:noWrap/>
            <w:tcMar>
              <w:left w:w="0" w:type="dxa"/>
            </w:tcMar>
            <w:vAlign w:val="bottom"/>
            <w:hideMark/>
          </w:tcPr>
          <w:p w14:paraId="30E5FDC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c>
          <w:tcPr>
            <w:tcW w:w="852" w:type="dxa"/>
            <w:tcBorders>
              <w:top w:val="nil"/>
              <w:left w:val="nil"/>
              <w:bottom w:val="nil"/>
              <w:right w:val="nil"/>
            </w:tcBorders>
            <w:shd w:val="clear" w:color="auto" w:fill="auto"/>
            <w:noWrap/>
            <w:tcMar>
              <w:left w:w="0" w:type="dxa"/>
            </w:tcMar>
            <w:vAlign w:val="bottom"/>
            <w:hideMark/>
          </w:tcPr>
          <w:p w14:paraId="02468AAD"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4,146</w:t>
            </w:r>
          </w:p>
        </w:tc>
      </w:tr>
      <w:tr w:rsidR="00760DE2" w:rsidRPr="00760DE2" w14:paraId="3B8C62D9"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07483A47" w14:textId="77777777" w:rsidR="00760DE2" w:rsidRPr="00760DE2" w:rsidRDefault="00760DE2" w:rsidP="00371CDE">
            <w:pPr>
              <w:spacing w:after="0"/>
              <w:ind w:leftChars="225" w:left="428"/>
              <w:rPr>
                <w:rFonts w:ascii="Arial" w:hAnsi="Arial" w:cs="Arial"/>
                <w:color w:val="auto"/>
                <w:sz w:val="16"/>
                <w:szCs w:val="16"/>
              </w:rPr>
            </w:pPr>
            <w:r w:rsidRPr="00760DE2">
              <w:rPr>
                <w:rFonts w:ascii="Arial" w:hAnsi="Arial" w:cs="Arial"/>
                <w:color w:val="auto"/>
                <w:sz w:val="16"/>
                <w:szCs w:val="16"/>
              </w:rPr>
              <w:t>Purchase of non-financial assets</w:t>
            </w:r>
          </w:p>
        </w:tc>
        <w:tc>
          <w:tcPr>
            <w:tcW w:w="850" w:type="dxa"/>
            <w:tcBorders>
              <w:top w:val="nil"/>
              <w:left w:val="nil"/>
              <w:bottom w:val="nil"/>
              <w:right w:val="nil"/>
            </w:tcBorders>
            <w:shd w:val="clear" w:color="auto" w:fill="auto"/>
            <w:noWrap/>
            <w:tcMar>
              <w:left w:w="0" w:type="dxa"/>
            </w:tcMar>
            <w:vAlign w:val="bottom"/>
            <w:hideMark/>
          </w:tcPr>
          <w:p w14:paraId="78F074B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1,016</w:t>
            </w:r>
          </w:p>
        </w:tc>
        <w:tc>
          <w:tcPr>
            <w:tcW w:w="850" w:type="dxa"/>
            <w:tcBorders>
              <w:top w:val="nil"/>
              <w:left w:val="nil"/>
              <w:bottom w:val="nil"/>
              <w:right w:val="nil"/>
            </w:tcBorders>
            <w:shd w:val="clear" w:color="000000" w:fill="D9D9D9"/>
            <w:noWrap/>
            <w:tcMar>
              <w:left w:w="0" w:type="dxa"/>
            </w:tcMar>
            <w:vAlign w:val="bottom"/>
            <w:hideMark/>
          </w:tcPr>
          <w:p w14:paraId="3BBB19F4"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13DF6E66"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7D9B00D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2" w:type="dxa"/>
            <w:tcBorders>
              <w:top w:val="nil"/>
              <w:left w:val="nil"/>
              <w:bottom w:val="nil"/>
              <w:right w:val="nil"/>
            </w:tcBorders>
            <w:shd w:val="clear" w:color="auto" w:fill="auto"/>
            <w:noWrap/>
            <w:tcMar>
              <w:left w:w="0" w:type="dxa"/>
            </w:tcMar>
            <w:vAlign w:val="bottom"/>
            <w:hideMark/>
          </w:tcPr>
          <w:p w14:paraId="3E7C246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r>
      <w:tr w:rsidR="00760DE2" w:rsidRPr="00760DE2" w14:paraId="28ACBCCF"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13B8EEDC" w14:textId="77777777" w:rsidR="00760DE2" w:rsidRPr="00760DE2" w:rsidRDefault="00760DE2" w:rsidP="00183C23">
            <w:pPr>
              <w:spacing w:after="0"/>
              <w:ind w:leftChars="225" w:left="428"/>
              <w:rPr>
                <w:rFonts w:ascii="Arial" w:hAnsi="Arial" w:cs="Arial"/>
                <w:b/>
                <w:bCs/>
                <w:sz w:val="16"/>
                <w:szCs w:val="16"/>
              </w:rPr>
            </w:pPr>
            <w:r w:rsidRPr="00760DE2">
              <w:rPr>
                <w:rFonts w:ascii="Arial" w:hAnsi="Arial" w:cs="Arial"/>
                <w:b/>
                <w:bCs/>
                <w:sz w:val="16"/>
                <w:szCs w:val="16"/>
              </w:rPr>
              <w:t>Total cash used</w:t>
            </w:r>
          </w:p>
        </w:tc>
        <w:tc>
          <w:tcPr>
            <w:tcW w:w="850" w:type="dxa"/>
            <w:tcBorders>
              <w:top w:val="nil"/>
              <w:left w:val="nil"/>
              <w:bottom w:val="single" w:sz="4" w:space="0" w:color="auto"/>
              <w:right w:val="nil"/>
            </w:tcBorders>
            <w:shd w:val="clear" w:color="auto" w:fill="auto"/>
            <w:noWrap/>
            <w:tcMar>
              <w:left w:w="0" w:type="dxa"/>
            </w:tcMar>
            <w:vAlign w:val="bottom"/>
            <w:hideMark/>
          </w:tcPr>
          <w:p w14:paraId="38B02119"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69,421</w:t>
            </w:r>
          </w:p>
        </w:tc>
        <w:tc>
          <w:tcPr>
            <w:tcW w:w="850" w:type="dxa"/>
            <w:tcBorders>
              <w:top w:val="nil"/>
              <w:left w:val="nil"/>
              <w:bottom w:val="single" w:sz="4" w:space="0" w:color="auto"/>
              <w:right w:val="nil"/>
            </w:tcBorders>
            <w:shd w:val="clear" w:color="000000" w:fill="D9D9D9"/>
            <w:noWrap/>
            <w:tcMar>
              <w:left w:w="0" w:type="dxa"/>
            </w:tcMar>
            <w:vAlign w:val="bottom"/>
            <w:hideMark/>
          </w:tcPr>
          <w:p w14:paraId="57F2983E"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c>
          <w:tcPr>
            <w:tcW w:w="850" w:type="dxa"/>
            <w:tcBorders>
              <w:top w:val="nil"/>
              <w:left w:val="nil"/>
              <w:bottom w:val="single" w:sz="4" w:space="0" w:color="auto"/>
              <w:right w:val="nil"/>
            </w:tcBorders>
            <w:shd w:val="clear" w:color="auto" w:fill="auto"/>
            <w:noWrap/>
            <w:tcMar>
              <w:left w:w="0" w:type="dxa"/>
            </w:tcMar>
            <w:vAlign w:val="bottom"/>
            <w:hideMark/>
          </w:tcPr>
          <w:p w14:paraId="10C76C66"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c>
          <w:tcPr>
            <w:tcW w:w="850" w:type="dxa"/>
            <w:tcBorders>
              <w:top w:val="nil"/>
              <w:left w:val="nil"/>
              <w:bottom w:val="single" w:sz="4" w:space="0" w:color="auto"/>
              <w:right w:val="nil"/>
            </w:tcBorders>
            <w:shd w:val="clear" w:color="auto" w:fill="auto"/>
            <w:noWrap/>
            <w:tcMar>
              <w:left w:w="0" w:type="dxa"/>
            </w:tcMar>
            <w:vAlign w:val="bottom"/>
            <w:hideMark/>
          </w:tcPr>
          <w:p w14:paraId="4D9651C8"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c>
          <w:tcPr>
            <w:tcW w:w="852" w:type="dxa"/>
            <w:tcBorders>
              <w:top w:val="nil"/>
              <w:left w:val="nil"/>
              <w:bottom w:val="single" w:sz="4" w:space="0" w:color="auto"/>
              <w:right w:val="nil"/>
            </w:tcBorders>
            <w:shd w:val="clear" w:color="auto" w:fill="auto"/>
            <w:noWrap/>
            <w:tcMar>
              <w:left w:w="0" w:type="dxa"/>
            </w:tcMar>
            <w:vAlign w:val="bottom"/>
            <w:hideMark/>
          </w:tcPr>
          <w:p w14:paraId="1ACC3F7F"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r>
      <w:tr w:rsidR="00760DE2" w:rsidRPr="00760DE2" w14:paraId="1238DB4C" w14:textId="77777777" w:rsidTr="00886FA0">
        <w:trPr>
          <w:trHeight w:val="454"/>
          <w:jc w:val="center"/>
        </w:trPr>
        <w:tc>
          <w:tcPr>
            <w:tcW w:w="3119" w:type="dxa"/>
            <w:tcBorders>
              <w:top w:val="nil"/>
              <w:left w:val="nil"/>
              <w:bottom w:val="nil"/>
              <w:right w:val="nil"/>
            </w:tcBorders>
            <w:shd w:val="clear" w:color="auto" w:fill="auto"/>
            <w:vAlign w:val="bottom"/>
            <w:hideMark/>
          </w:tcPr>
          <w:p w14:paraId="05D42A98"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Net cash from (or used by) investing activities</w:t>
            </w:r>
          </w:p>
        </w:tc>
        <w:tc>
          <w:tcPr>
            <w:tcW w:w="850" w:type="dxa"/>
            <w:tcBorders>
              <w:top w:val="nil"/>
              <w:left w:val="nil"/>
              <w:bottom w:val="single" w:sz="4" w:space="0" w:color="auto"/>
              <w:right w:val="nil"/>
            </w:tcBorders>
            <w:shd w:val="clear" w:color="auto" w:fill="auto"/>
            <w:noWrap/>
            <w:tcMar>
              <w:left w:w="0" w:type="dxa"/>
            </w:tcMar>
            <w:vAlign w:val="bottom"/>
            <w:hideMark/>
          </w:tcPr>
          <w:p w14:paraId="3772B115"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(2,289)</w:t>
            </w:r>
          </w:p>
        </w:tc>
        <w:tc>
          <w:tcPr>
            <w:tcW w:w="850" w:type="dxa"/>
            <w:tcBorders>
              <w:top w:val="nil"/>
              <w:left w:val="nil"/>
              <w:bottom w:val="single" w:sz="4" w:space="0" w:color="auto"/>
              <w:right w:val="nil"/>
            </w:tcBorders>
            <w:shd w:val="clear" w:color="000000" w:fill="D9D9D9"/>
            <w:noWrap/>
            <w:tcMar>
              <w:left w:w="0" w:type="dxa"/>
            </w:tcMar>
            <w:vAlign w:val="bottom"/>
            <w:hideMark/>
          </w:tcPr>
          <w:p w14:paraId="46003E62"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c>
          <w:tcPr>
            <w:tcW w:w="850" w:type="dxa"/>
            <w:tcBorders>
              <w:top w:val="nil"/>
              <w:left w:val="nil"/>
              <w:bottom w:val="single" w:sz="4" w:space="0" w:color="auto"/>
              <w:right w:val="nil"/>
            </w:tcBorders>
            <w:shd w:val="clear" w:color="auto" w:fill="auto"/>
            <w:noWrap/>
            <w:tcMar>
              <w:left w:w="0" w:type="dxa"/>
            </w:tcMar>
            <w:vAlign w:val="bottom"/>
            <w:hideMark/>
          </w:tcPr>
          <w:p w14:paraId="12660195"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c>
          <w:tcPr>
            <w:tcW w:w="850" w:type="dxa"/>
            <w:tcBorders>
              <w:top w:val="nil"/>
              <w:left w:val="nil"/>
              <w:bottom w:val="single" w:sz="4" w:space="0" w:color="auto"/>
              <w:right w:val="nil"/>
            </w:tcBorders>
            <w:shd w:val="clear" w:color="auto" w:fill="auto"/>
            <w:noWrap/>
            <w:tcMar>
              <w:left w:w="0" w:type="dxa"/>
            </w:tcMar>
            <w:vAlign w:val="bottom"/>
            <w:hideMark/>
          </w:tcPr>
          <w:p w14:paraId="6E576BA5"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c>
          <w:tcPr>
            <w:tcW w:w="852" w:type="dxa"/>
            <w:tcBorders>
              <w:top w:val="nil"/>
              <w:left w:val="nil"/>
              <w:bottom w:val="single" w:sz="4" w:space="0" w:color="auto"/>
              <w:right w:val="nil"/>
            </w:tcBorders>
            <w:shd w:val="clear" w:color="auto" w:fill="auto"/>
            <w:noWrap/>
            <w:tcMar>
              <w:left w:w="0" w:type="dxa"/>
            </w:tcMar>
            <w:vAlign w:val="bottom"/>
            <w:hideMark/>
          </w:tcPr>
          <w:p w14:paraId="2AC993D3"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(4,146)</w:t>
            </w:r>
          </w:p>
        </w:tc>
      </w:tr>
      <w:tr w:rsidR="00760DE2" w:rsidRPr="00760DE2" w14:paraId="672A50CA" w14:textId="77777777" w:rsidTr="00886FA0">
        <w:trPr>
          <w:trHeight w:val="454"/>
          <w:jc w:val="center"/>
        </w:trPr>
        <w:tc>
          <w:tcPr>
            <w:tcW w:w="3119" w:type="dxa"/>
            <w:tcBorders>
              <w:top w:val="nil"/>
              <w:left w:val="nil"/>
              <w:bottom w:val="nil"/>
              <w:right w:val="nil"/>
            </w:tcBorders>
            <w:shd w:val="clear" w:color="auto" w:fill="auto"/>
            <w:vAlign w:val="bottom"/>
            <w:hideMark/>
          </w:tcPr>
          <w:p w14:paraId="2A41BDB0"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Net increase (or decrease) in cash held</w:t>
            </w:r>
          </w:p>
        </w:tc>
        <w:tc>
          <w:tcPr>
            <w:tcW w:w="850" w:type="dxa"/>
            <w:tcBorders>
              <w:top w:val="nil"/>
              <w:left w:val="nil"/>
              <w:bottom w:val="single" w:sz="4" w:space="0" w:color="auto"/>
              <w:right w:val="nil"/>
            </w:tcBorders>
            <w:shd w:val="clear" w:color="auto" w:fill="auto"/>
            <w:noWrap/>
            <w:tcMar>
              <w:left w:w="0" w:type="dxa"/>
            </w:tcMar>
            <w:vAlign w:val="bottom"/>
            <w:hideMark/>
          </w:tcPr>
          <w:p w14:paraId="3716E2ED"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43,608</w:t>
            </w:r>
          </w:p>
        </w:tc>
        <w:tc>
          <w:tcPr>
            <w:tcW w:w="850" w:type="dxa"/>
            <w:tcBorders>
              <w:top w:val="nil"/>
              <w:left w:val="nil"/>
              <w:bottom w:val="single" w:sz="4" w:space="0" w:color="auto"/>
              <w:right w:val="nil"/>
            </w:tcBorders>
            <w:shd w:val="clear" w:color="000000" w:fill="D9D9D9"/>
            <w:noWrap/>
            <w:tcMar>
              <w:left w:w="0" w:type="dxa"/>
            </w:tcMar>
            <w:vAlign w:val="bottom"/>
            <w:hideMark/>
          </w:tcPr>
          <w:p w14:paraId="040C7DB6"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5,000</w:t>
            </w:r>
          </w:p>
        </w:tc>
        <w:tc>
          <w:tcPr>
            <w:tcW w:w="850" w:type="dxa"/>
            <w:tcBorders>
              <w:top w:val="nil"/>
              <w:left w:val="nil"/>
              <w:bottom w:val="single" w:sz="4" w:space="0" w:color="auto"/>
              <w:right w:val="nil"/>
            </w:tcBorders>
            <w:shd w:val="clear" w:color="auto" w:fill="auto"/>
            <w:noWrap/>
            <w:tcMar>
              <w:left w:w="0" w:type="dxa"/>
            </w:tcMar>
            <w:vAlign w:val="bottom"/>
            <w:hideMark/>
          </w:tcPr>
          <w:p w14:paraId="6E3F59E6"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5,000</w:t>
            </w:r>
          </w:p>
        </w:tc>
        <w:tc>
          <w:tcPr>
            <w:tcW w:w="850" w:type="dxa"/>
            <w:tcBorders>
              <w:top w:val="nil"/>
              <w:left w:val="nil"/>
              <w:bottom w:val="single" w:sz="4" w:space="0" w:color="auto"/>
              <w:right w:val="nil"/>
            </w:tcBorders>
            <w:shd w:val="clear" w:color="auto" w:fill="auto"/>
            <w:noWrap/>
            <w:tcMar>
              <w:left w:w="0" w:type="dxa"/>
            </w:tcMar>
            <w:vAlign w:val="bottom"/>
            <w:hideMark/>
          </w:tcPr>
          <w:p w14:paraId="0F68C1E5"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w:t>
            </w:r>
          </w:p>
        </w:tc>
        <w:tc>
          <w:tcPr>
            <w:tcW w:w="852" w:type="dxa"/>
            <w:tcBorders>
              <w:top w:val="nil"/>
              <w:left w:val="nil"/>
              <w:bottom w:val="single" w:sz="4" w:space="0" w:color="auto"/>
              <w:right w:val="nil"/>
            </w:tcBorders>
            <w:shd w:val="clear" w:color="auto" w:fill="auto"/>
            <w:noWrap/>
            <w:tcMar>
              <w:left w:w="0" w:type="dxa"/>
            </w:tcMar>
            <w:vAlign w:val="bottom"/>
            <w:hideMark/>
          </w:tcPr>
          <w:p w14:paraId="40E3330D"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w:t>
            </w:r>
          </w:p>
        </w:tc>
      </w:tr>
      <w:tr w:rsidR="00760DE2" w:rsidRPr="00760DE2" w14:paraId="5EEE7A10" w14:textId="77777777" w:rsidTr="00886FA0">
        <w:trPr>
          <w:trHeight w:val="283"/>
          <w:jc w:val="center"/>
        </w:trPr>
        <w:tc>
          <w:tcPr>
            <w:tcW w:w="3119" w:type="dxa"/>
            <w:tcBorders>
              <w:top w:val="nil"/>
              <w:left w:val="nil"/>
              <w:bottom w:val="nil"/>
              <w:right w:val="nil"/>
            </w:tcBorders>
            <w:shd w:val="clear" w:color="auto" w:fill="auto"/>
            <w:vAlign w:val="bottom"/>
            <w:hideMark/>
          </w:tcPr>
          <w:p w14:paraId="5D6A31C5" w14:textId="77777777" w:rsidR="00760DE2" w:rsidRPr="00760DE2" w:rsidRDefault="00760DE2" w:rsidP="00183C23">
            <w:pPr>
              <w:spacing w:after="0"/>
              <w:ind w:leftChars="75" w:left="143"/>
              <w:rPr>
                <w:rFonts w:ascii="Arial" w:hAnsi="Arial" w:cs="Arial"/>
                <w:sz w:val="16"/>
                <w:szCs w:val="16"/>
              </w:rPr>
            </w:pPr>
            <w:r w:rsidRPr="00760DE2">
              <w:rPr>
                <w:rFonts w:ascii="Arial" w:hAnsi="Arial" w:cs="Arial"/>
                <w:sz w:val="16"/>
                <w:szCs w:val="16"/>
              </w:rPr>
              <w:t>Cash at beginning of reporting period</w:t>
            </w:r>
          </w:p>
        </w:tc>
        <w:tc>
          <w:tcPr>
            <w:tcW w:w="850" w:type="dxa"/>
            <w:tcBorders>
              <w:top w:val="nil"/>
              <w:left w:val="nil"/>
              <w:bottom w:val="nil"/>
              <w:right w:val="nil"/>
            </w:tcBorders>
            <w:shd w:val="clear" w:color="auto" w:fill="auto"/>
            <w:noWrap/>
            <w:tcMar>
              <w:left w:w="0" w:type="dxa"/>
            </w:tcMar>
            <w:vAlign w:val="bottom"/>
            <w:hideMark/>
          </w:tcPr>
          <w:p w14:paraId="4E042AFB"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138,696</w:t>
            </w:r>
          </w:p>
        </w:tc>
        <w:tc>
          <w:tcPr>
            <w:tcW w:w="850" w:type="dxa"/>
            <w:tcBorders>
              <w:top w:val="nil"/>
              <w:left w:val="nil"/>
              <w:bottom w:val="nil"/>
              <w:right w:val="nil"/>
            </w:tcBorders>
            <w:shd w:val="clear" w:color="000000" w:fill="D9D9D9"/>
            <w:noWrap/>
            <w:tcMar>
              <w:left w:w="0" w:type="dxa"/>
            </w:tcMar>
            <w:vAlign w:val="bottom"/>
            <w:hideMark/>
          </w:tcPr>
          <w:p w14:paraId="10F1C5E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182,647</w:t>
            </w:r>
          </w:p>
        </w:tc>
        <w:tc>
          <w:tcPr>
            <w:tcW w:w="850" w:type="dxa"/>
            <w:tcBorders>
              <w:top w:val="nil"/>
              <w:left w:val="nil"/>
              <w:bottom w:val="nil"/>
              <w:right w:val="nil"/>
            </w:tcBorders>
            <w:shd w:val="clear" w:color="auto" w:fill="auto"/>
            <w:noWrap/>
            <w:tcMar>
              <w:left w:w="0" w:type="dxa"/>
            </w:tcMar>
            <w:vAlign w:val="bottom"/>
            <w:hideMark/>
          </w:tcPr>
          <w:p w14:paraId="2642569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187,831</w:t>
            </w:r>
          </w:p>
        </w:tc>
        <w:tc>
          <w:tcPr>
            <w:tcW w:w="850" w:type="dxa"/>
            <w:tcBorders>
              <w:top w:val="nil"/>
              <w:left w:val="nil"/>
              <w:bottom w:val="nil"/>
              <w:right w:val="nil"/>
            </w:tcBorders>
            <w:shd w:val="clear" w:color="auto" w:fill="auto"/>
            <w:noWrap/>
            <w:tcMar>
              <w:left w:w="0" w:type="dxa"/>
            </w:tcMar>
            <w:vAlign w:val="bottom"/>
            <w:hideMark/>
          </w:tcPr>
          <w:p w14:paraId="5A0165C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192,831</w:t>
            </w:r>
          </w:p>
        </w:tc>
        <w:tc>
          <w:tcPr>
            <w:tcW w:w="852" w:type="dxa"/>
            <w:tcBorders>
              <w:top w:val="nil"/>
              <w:left w:val="nil"/>
              <w:bottom w:val="nil"/>
              <w:right w:val="nil"/>
            </w:tcBorders>
            <w:shd w:val="clear" w:color="auto" w:fill="auto"/>
            <w:noWrap/>
            <w:tcMar>
              <w:left w:w="0" w:type="dxa"/>
            </w:tcMar>
            <w:vAlign w:val="bottom"/>
            <w:hideMark/>
          </w:tcPr>
          <w:p w14:paraId="02AA6B9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192,831</w:t>
            </w:r>
          </w:p>
        </w:tc>
      </w:tr>
      <w:tr w:rsidR="00760DE2" w:rsidRPr="00760DE2" w14:paraId="09418212" w14:textId="77777777" w:rsidTr="00886FA0">
        <w:trPr>
          <w:trHeight w:val="283"/>
          <w:jc w:val="center"/>
        </w:trPr>
        <w:tc>
          <w:tcPr>
            <w:tcW w:w="3119" w:type="dxa"/>
            <w:tcBorders>
              <w:top w:val="nil"/>
              <w:left w:val="nil"/>
              <w:bottom w:val="nil"/>
              <w:right w:val="nil"/>
            </w:tcBorders>
            <w:shd w:val="clear" w:color="auto" w:fill="auto"/>
            <w:vAlign w:val="bottom"/>
            <w:hideMark/>
          </w:tcPr>
          <w:p w14:paraId="7DCD9B77" w14:textId="77777777" w:rsidR="00760DE2" w:rsidRPr="00760DE2" w:rsidRDefault="00760DE2" w:rsidP="00183C23">
            <w:pPr>
              <w:spacing w:after="0"/>
              <w:ind w:leftChars="75" w:left="143"/>
              <w:rPr>
                <w:rFonts w:ascii="Arial" w:hAnsi="Arial" w:cs="Arial"/>
                <w:sz w:val="16"/>
                <w:szCs w:val="16"/>
              </w:rPr>
            </w:pPr>
            <w:r w:rsidRPr="00760DE2">
              <w:rPr>
                <w:rFonts w:ascii="Arial" w:hAnsi="Arial" w:cs="Arial"/>
                <w:sz w:val="16"/>
                <w:szCs w:val="16"/>
              </w:rPr>
              <w:t>Cash from the OPA for:</w:t>
            </w:r>
          </w:p>
        </w:tc>
        <w:tc>
          <w:tcPr>
            <w:tcW w:w="850" w:type="dxa"/>
            <w:tcBorders>
              <w:top w:val="nil"/>
              <w:left w:val="nil"/>
              <w:bottom w:val="nil"/>
              <w:right w:val="nil"/>
            </w:tcBorders>
            <w:shd w:val="clear" w:color="auto" w:fill="auto"/>
            <w:noWrap/>
            <w:tcMar>
              <w:left w:w="0" w:type="dxa"/>
            </w:tcMar>
            <w:vAlign w:val="bottom"/>
            <w:hideMark/>
          </w:tcPr>
          <w:p w14:paraId="53D22B66" w14:textId="77777777" w:rsidR="00760DE2" w:rsidRPr="00760DE2" w:rsidRDefault="00760DE2" w:rsidP="00760DE2">
            <w:pPr>
              <w:spacing w:after="0"/>
              <w:ind w:firstLineChars="100" w:firstLine="160"/>
              <w:rPr>
                <w:rFonts w:ascii="Arial" w:hAnsi="Arial" w:cs="Arial"/>
                <w:sz w:val="16"/>
                <w:szCs w:val="16"/>
              </w:rPr>
            </w:pPr>
          </w:p>
        </w:tc>
        <w:tc>
          <w:tcPr>
            <w:tcW w:w="850" w:type="dxa"/>
            <w:tcBorders>
              <w:top w:val="nil"/>
              <w:left w:val="nil"/>
              <w:bottom w:val="nil"/>
              <w:right w:val="nil"/>
            </w:tcBorders>
            <w:shd w:val="clear" w:color="000000" w:fill="D9D9D9"/>
            <w:noWrap/>
            <w:tcMar>
              <w:left w:w="0" w:type="dxa"/>
            </w:tcMar>
            <w:vAlign w:val="bottom"/>
            <w:hideMark/>
          </w:tcPr>
          <w:p w14:paraId="40D7DBF8" w14:textId="77777777" w:rsidR="00760DE2" w:rsidRPr="00760DE2" w:rsidRDefault="00760DE2" w:rsidP="00760DE2">
            <w:pPr>
              <w:spacing w:after="0"/>
              <w:jc w:val="right"/>
              <w:rPr>
                <w:rFonts w:ascii="Arial" w:hAnsi="Arial" w:cs="Arial"/>
                <w:color w:val="auto"/>
                <w:sz w:val="16"/>
                <w:szCs w:val="16"/>
              </w:rPr>
            </w:pPr>
            <w:r w:rsidRPr="00760DE2">
              <w:rPr>
                <w:rFonts w:ascii="Arial" w:hAnsi="Arial" w:cs="Arial"/>
                <w:color w:val="auto"/>
                <w:sz w:val="16"/>
                <w:szCs w:val="16"/>
              </w:rPr>
              <w:t> </w:t>
            </w:r>
          </w:p>
        </w:tc>
        <w:tc>
          <w:tcPr>
            <w:tcW w:w="850" w:type="dxa"/>
            <w:tcBorders>
              <w:top w:val="nil"/>
              <w:left w:val="nil"/>
              <w:bottom w:val="nil"/>
              <w:right w:val="nil"/>
            </w:tcBorders>
            <w:shd w:val="clear" w:color="auto" w:fill="auto"/>
            <w:noWrap/>
            <w:tcMar>
              <w:left w:w="0" w:type="dxa"/>
            </w:tcMar>
            <w:vAlign w:val="bottom"/>
            <w:hideMark/>
          </w:tcPr>
          <w:p w14:paraId="341E92DC" w14:textId="77777777" w:rsidR="00760DE2" w:rsidRPr="00760DE2" w:rsidRDefault="00760DE2" w:rsidP="00760DE2">
            <w:pPr>
              <w:spacing w:after="0"/>
              <w:jc w:val="right"/>
              <w:rPr>
                <w:rFonts w:ascii="Arial" w:hAnsi="Arial" w:cs="Arial"/>
                <w:color w:val="auto"/>
                <w:sz w:val="16"/>
                <w:szCs w:val="16"/>
              </w:rPr>
            </w:pPr>
          </w:p>
        </w:tc>
        <w:tc>
          <w:tcPr>
            <w:tcW w:w="850" w:type="dxa"/>
            <w:tcBorders>
              <w:top w:val="nil"/>
              <w:left w:val="nil"/>
              <w:bottom w:val="nil"/>
              <w:right w:val="nil"/>
            </w:tcBorders>
            <w:shd w:val="clear" w:color="auto" w:fill="auto"/>
            <w:noWrap/>
            <w:tcMar>
              <w:left w:w="0" w:type="dxa"/>
            </w:tcMar>
            <w:vAlign w:val="bottom"/>
            <w:hideMark/>
          </w:tcPr>
          <w:p w14:paraId="13F4CCA1" w14:textId="77777777" w:rsidR="00760DE2" w:rsidRPr="00760DE2"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tcMar>
              <w:left w:w="0" w:type="dxa"/>
            </w:tcMar>
            <w:vAlign w:val="bottom"/>
            <w:hideMark/>
          </w:tcPr>
          <w:p w14:paraId="315AF3A3" w14:textId="77777777" w:rsidR="00760DE2" w:rsidRPr="00760DE2" w:rsidRDefault="00760DE2" w:rsidP="00760DE2">
            <w:pPr>
              <w:spacing w:after="0"/>
              <w:jc w:val="right"/>
              <w:rPr>
                <w:rFonts w:ascii="Times New Roman" w:hAnsi="Times New Roman"/>
                <w:color w:val="auto"/>
                <w:sz w:val="20"/>
              </w:rPr>
            </w:pPr>
          </w:p>
        </w:tc>
      </w:tr>
      <w:tr w:rsidR="00760DE2" w:rsidRPr="00760DE2" w14:paraId="325B29DD"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31279573" w14:textId="77777777" w:rsidR="00760DE2" w:rsidRPr="00760DE2" w:rsidRDefault="00760DE2" w:rsidP="00371CDE">
            <w:pPr>
              <w:spacing w:after="0"/>
              <w:ind w:leftChars="225" w:left="428"/>
              <w:rPr>
                <w:rFonts w:ascii="Arial" w:hAnsi="Arial" w:cs="Arial"/>
                <w:sz w:val="16"/>
                <w:szCs w:val="16"/>
              </w:rPr>
            </w:pPr>
            <w:r w:rsidRPr="00760DE2">
              <w:rPr>
                <w:rFonts w:ascii="Arial" w:hAnsi="Arial" w:cs="Arial"/>
                <w:sz w:val="16"/>
                <w:szCs w:val="16"/>
              </w:rPr>
              <w:t xml:space="preserve">- special </w:t>
            </w:r>
            <w:r w:rsidRPr="00371CDE">
              <w:rPr>
                <w:rFonts w:ascii="Arial" w:hAnsi="Arial" w:cs="Arial"/>
                <w:color w:val="auto"/>
                <w:sz w:val="16"/>
                <w:szCs w:val="16"/>
              </w:rPr>
              <w:t>accounts</w:t>
            </w:r>
          </w:p>
        </w:tc>
        <w:tc>
          <w:tcPr>
            <w:tcW w:w="850" w:type="dxa"/>
            <w:tcBorders>
              <w:top w:val="nil"/>
              <w:left w:val="nil"/>
              <w:bottom w:val="nil"/>
              <w:right w:val="nil"/>
            </w:tcBorders>
            <w:shd w:val="clear" w:color="auto" w:fill="auto"/>
            <w:noWrap/>
            <w:tcMar>
              <w:left w:w="0" w:type="dxa"/>
            </w:tcMar>
            <w:vAlign w:val="bottom"/>
            <w:hideMark/>
          </w:tcPr>
          <w:p w14:paraId="569D3D5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1,536,643</w:t>
            </w:r>
          </w:p>
        </w:tc>
        <w:tc>
          <w:tcPr>
            <w:tcW w:w="850" w:type="dxa"/>
            <w:tcBorders>
              <w:top w:val="nil"/>
              <w:left w:val="nil"/>
              <w:bottom w:val="nil"/>
              <w:right w:val="nil"/>
            </w:tcBorders>
            <w:shd w:val="clear" w:color="000000" w:fill="D9D9D9"/>
            <w:noWrap/>
            <w:tcMar>
              <w:left w:w="0" w:type="dxa"/>
            </w:tcMar>
            <w:vAlign w:val="bottom"/>
            <w:hideMark/>
          </w:tcPr>
          <w:p w14:paraId="6947D16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1,564,711</w:t>
            </w:r>
          </w:p>
        </w:tc>
        <w:tc>
          <w:tcPr>
            <w:tcW w:w="850" w:type="dxa"/>
            <w:tcBorders>
              <w:top w:val="nil"/>
              <w:left w:val="nil"/>
              <w:bottom w:val="nil"/>
              <w:right w:val="nil"/>
            </w:tcBorders>
            <w:shd w:val="clear" w:color="auto" w:fill="auto"/>
            <w:noWrap/>
            <w:tcMar>
              <w:left w:w="0" w:type="dxa"/>
            </w:tcMar>
            <w:vAlign w:val="bottom"/>
            <w:hideMark/>
          </w:tcPr>
          <w:p w14:paraId="033A4F18"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1,651,675</w:t>
            </w:r>
          </w:p>
        </w:tc>
        <w:tc>
          <w:tcPr>
            <w:tcW w:w="850" w:type="dxa"/>
            <w:tcBorders>
              <w:top w:val="nil"/>
              <w:left w:val="nil"/>
              <w:bottom w:val="nil"/>
              <w:right w:val="nil"/>
            </w:tcBorders>
            <w:shd w:val="clear" w:color="auto" w:fill="auto"/>
            <w:noWrap/>
            <w:tcMar>
              <w:left w:w="0" w:type="dxa"/>
            </w:tcMar>
            <w:vAlign w:val="bottom"/>
            <w:hideMark/>
          </w:tcPr>
          <w:p w14:paraId="6EF8EEE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1,748,920</w:t>
            </w:r>
          </w:p>
        </w:tc>
        <w:tc>
          <w:tcPr>
            <w:tcW w:w="852" w:type="dxa"/>
            <w:tcBorders>
              <w:top w:val="nil"/>
              <w:left w:val="nil"/>
              <w:bottom w:val="nil"/>
              <w:right w:val="nil"/>
            </w:tcBorders>
            <w:shd w:val="clear" w:color="auto" w:fill="auto"/>
            <w:noWrap/>
            <w:tcMar>
              <w:left w:w="0" w:type="dxa"/>
            </w:tcMar>
            <w:vAlign w:val="bottom"/>
            <w:hideMark/>
          </w:tcPr>
          <w:p w14:paraId="5EF32EE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1,860,200</w:t>
            </w:r>
          </w:p>
        </w:tc>
      </w:tr>
      <w:tr w:rsidR="00760DE2" w:rsidRPr="00760DE2" w14:paraId="58FB83B0"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6E61C3DF" w14:textId="77777777" w:rsidR="00760DE2" w:rsidRPr="00760DE2" w:rsidRDefault="00760DE2" w:rsidP="00371CDE">
            <w:pPr>
              <w:spacing w:after="0"/>
              <w:ind w:leftChars="225" w:left="428"/>
              <w:rPr>
                <w:rFonts w:ascii="Arial" w:hAnsi="Arial" w:cs="Arial"/>
                <w:sz w:val="16"/>
                <w:szCs w:val="16"/>
              </w:rPr>
            </w:pPr>
            <w:r w:rsidRPr="00760DE2">
              <w:rPr>
                <w:rFonts w:ascii="Arial" w:hAnsi="Arial" w:cs="Arial"/>
                <w:sz w:val="16"/>
                <w:szCs w:val="16"/>
              </w:rPr>
              <w:t xml:space="preserve">- </w:t>
            </w:r>
            <w:r w:rsidRPr="00371CDE">
              <w:rPr>
                <w:rFonts w:ascii="Arial" w:hAnsi="Arial" w:cs="Arial"/>
                <w:color w:val="auto"/>
                <w:sz w:val="16"/>
                <w:szCs w:val="16"/>
              </w:rPr>
              <w:t>appropriations</w:t>
            </w:r>
          </w:p>
        </w:tc>
        <w:tc>
          <w:tcPr>
            <w:tcW w:w="850" w:type="dxa"/>
            <w:tcBorders>
              <w:top w:val="nil"/>
              <w:left w:val="nil"/>
              <w:bottom w:val="nil"/>
              <w:right w:val="nil"/>
            </w:tcBorders>
            <w:shd w:val="clear" w:color="auto" w:fill="auto"/>
            <w:noWrap/>
            <w:tcMar>
              <w:left w:w="0" w:type="dxa"/>
            </w:tcMar>
            <w:vAlign w:val="bottom"/>
            <w:hideMark/>
          </w:tcPr>
          <w:p w14:paraId="37A431E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343</w:t>
            </w:r>
          </w:p>
        </w:tc>
        <w:tc>
          <w:tcPr>
            <w:tcW w:w="850" w:type="dxa"/>
            <w:tcBorders>
              <w:top w:val="nil"/>
              <w:left w:val="nil"/>
              <w:bottom w:val="nil"/>
              <w:right w:val="nil"/>
            </w:tcBorders>
            <w:shd w:val="clear" w:color="000000" w:fill="D9D9D9"/>
            <w:noWrap/>
            <w:tcMar>
              <w:left w:w="0" w:type="dxa"/>
            </w:tcMar>
            <w:vAlign w:val="bottom"/>
            <w:hideMark/>
          </w:tcPr>
          <w:p w14:paraId="311A65E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184</w:t>
            </w:r>
          </w:p>
        </w:tc>
        <w:tc>
          <w:tcPr>
            <w:tcW w:w="850" w:type="dxa"/>
            <w:tcBorders>
              <w:top w:val="nil"/>
              <w:left w:val="nil"/>
              <w:bottom w:val="nil"/>
              <w:right w:val="nil"/>
            </w:tcBorders>
            <w:shd w:val="clear" w:color="auto" w:fill="auto"/>
            <w:noWrap/>
            <w:tcMar>
              <w:left w:w="0" w:type="dxa"/>
            </w:tcMar>
            <w:vAlign w:val="bottom"/>
            <w:hideMark/>
          </w:tcPr>
          <w:p w14:paraId="5CC4D8C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0" w:type="dxa"/>
            <w:tcBorders>
              <w:top w:val="nil"/>
              <w:left w:val="nil"/>
              <w:bottom w:val="nil"/>
              <w:right w:val="nil"/>
            </w:tcBorders>
            <w:shd w:val="clear" w:color="auto" w:fill="auto"/>
            <w:noWrap/>
            <w:tcMar>
              <w:left w:w="0" w:type="dxa"/>
            </w:tcMar>
            <w:vAlign w:val="bottom"/>
            <w:hideMark/>
          </w:tcPr>
          <w:p w14:paraId="06BC9C5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c>
          <w:tcPr>
            <w:tcW w:w="852" w:type="dxa"/>
            <w:tcBorders>
              <w:top w:val="nil"/>
              <w:left w:val="nil"/>
              <w:bottom w:val="nil"/>
              <w:right w:val="nil"/>
            </w:tcBorders>
            <w:shd w:val="clear" w:color="auto" w:fill="auto"/>
            <w:noWrap/>
            <w:tcMar>
              <w:left w:w="0" w:type="dxa"/>
            </w:tcMar>
            <w:vAlign w:val="bottom"/>
            <w:hideMark/>
          </w:tcPr>
          <w:p w14:paraId="0CC7685E"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w:t>
            </w:r>
          </w:p>
        </w:tc>
      </w:tr>
      <w:tr w:rsidR="00760DE2" w:rsidRPr="00760DE2" w14:paraId="2F1FDBE9"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43F7D0DA" w14:textId="77777777" w:rsidR="00760DE2" w:rsidRPr="00760DE2" w:rsidRDefault="00760DE2" w:rsidP="00371CDE">
            <w:pPr>
              <w:spacing w:after="0"/>
              <w:ind w:leftChars="225" w:left="428"/>
              <w:rPr>
                <w:rFonts w:ascii="Arial" w:hAnsi="Arial" w:cs="Arial"/>
                <w:sz w:val="16"/>
                <w:szCs w:val="16"/>
              </w:rPr>
            </w:pPr>
            <w:r w:rsidRPr="00760DE2">
              <w:rPr>
                <w:rFonts w:ascii="Arial" w:hAnsi="Arial" w:cs="Arial"/>
                <w:sz w:val="16"/>
                <w:szCs w:val="16"/>
              </w:rPr>
              <w:t xml:space="preserve">- GST </w:t>
            </w:r>
            <w:r w:rsidRPr="00371CDE">
              <w:rPr>
                <w:rFonts w:ascii="Arial" w:hAnsi="Arial" w:cs="Arial"/>
                <w:color w:val="auto"/>
                <w:sz w:val="16"/>
                <w:szCs w:val="16"/>
              </w:rPr>
              <w:t>appropriations</w:t>
            </w:r>
          </w:p>
        </w:tc>
        <w:tc>
          <w:tcPr>
            <w:tcW w:w="850" w:type="dxa"/>
            <w:tcBorders>
              <w:top w:val="nil"/>
              <w:left w:val="nil"/>
              <w:bottom w:val="nil"/>
              <w:right w:val="nil"/>
            </w:tcBorders>
            <w:shd w:val="clear" w:color="auto" w:fill="auto"/>
            <w:noWrap/>
            <w:tcMar>
              <w:left w:w="0" w:type="dxa"/>
            </w:tcMar>
            <w:vAlign w:val="bottom"/>
            <w:hideMark/>
          </w:tcPr>
          <w:p w14:paraId="151413D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133,254</w:t>
            </w:r>
          </w:p>
        </w:tc>
        <w:tc>
          <w:tcPr>
            <w:tcW w:w="850" w:type="dxa"/>
            <w:tcBorders>
              <w:top w:val="nil"/>
              <w:left w:val="nil"/>
              <w:bottom w:val="nil"/>
              <w:right w:val="nil"/>
            </w:tcBorders>
            <w:shd w:val="clear" w:color="000000" w:fill="D9D9D9"/>
            <w:noWrap/>
            <w:tcMar>
              <w:left w:w="0" w:type="dxa"/>
            </w:tcMar>
            <w:vAlign w:val="bottom"/>
            <w:hideMark/>
          </w:tcPr>
          <w:p w14:paraId="3E49CE0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178,598</w:t>
            </w:r>
          </w:p>
        </w:tc>
        <w:tc>
          <w:tcPr>
            <w:tcW w:w="850" w:type="dxa"/>
            <w:tcBorders>
              <w:top w:val="nil"/>
              <w:left w:val="nil"/>
              <w:bottom w:val="nil"/>
              <w:right w:val="nil"/>
            </w:tcBorders>
            <w:shd w:val="clear" w:color="auto" w:fill="auto"/>
            <w:noWrap/>
            <w:tcMar>
              <w:left w:w="0" w:type="dxa"/>
            </w:tcMar>
            <w:vAlign w:val="bottom"/>
            <w:hideMark/>
          </w:tcPr>
          <w:p w14:paraId="307117B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188,940</w:t>
            </w:r>
          </w:p>
        </w:tc>
        <w:tc>
          <w:tcPr>
            <w:tcW w:w="850" w:type="dxa"/>
            <w:tcBorders>
              <w:top w:val="nil"/>
              <w:left w:val="nil"/>
              <w:bottom w:val="nil"/>
              <w:right w:val="nil"/>
            </w:tcBorders>
            <w:shd w:val="clear" w:color="auto" w:fill="auto"/>
            <w:noWrap/>
            <w:tcMar>
              <w:left w:w="0" w:type="dxa"/>
            </w:tcMar>
            <w:vAlign w:val="bottom"/>
            <w:hideMark/>
          </w:tcPr>
          <w:p w14:paraId="7DA6A98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200,496</w:t>
            </w:r>
          </w:p>
        </w:tc>
        <w:tc>
          <w:tcPr>
            <w:tcW w:w="852" w:type="dxa"/>
            <w:tcBorders>
              <w:top w:val="nil"/>
              <w:left w:val="nil"/>
              <w:bottom w:val="nil"/>
              <w:right w:val="nil"/>
            </w:tcBorders>
            <w:shd w:val="clear" w:color="auto" w:fill="auto"/>
            <w:noWrap/>
            <w:tcMar>
              <w:left w:w="0" w:type="dxa"/>
            </w:tcMar>
            <w:vAlign w:val="bottom"/>
            <w:hideMark/>
          </w:tcPr>
          <w:p w14:paraId="7DC2A423"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220,523</w:t>
            </w:r>
          </w:p>
        </w:tc>
      </w:tr>
      <w:tr w:rsidR="00760DE2" w:rsidRPr="00760DE2" w14:paraId="4B653771" w14:textId="77777777" w:rsidTr="00886FA0">
        <w:trPr>
          <w:trHeight w:val="283"/>
          <w:jc w:val="center"/>
        </w:trPr>
        <w:tc>
          <w:tcPr>
            <w:tcW w:w="3119" w:type="dxa"/>
            <w:tcBorders>
              <w:top w:val="nil"/>
              <w:left w:val="nil"/>
              <w:bottom w:val="nil"/>
              <w:right w:val="nil"/>
            </w:tcBorders>
            <w:shd w:val="clear" w:color="auto" w:fill="auto"/>
            <w:vAlign w:val="bottom"/>
            <w:hideMark/>
          </w:tcPr>
          <w:p w14:paraId="74444399" w14:textId="77777777" w:rsidR="00760DE2" w:rsidRPr="00760DE2" w:rsidRDefault="00760DE2" w:rsidP="00183C23">
            <w:pPr>
              <w:spacing w:after="0"/>
              <w:ind w:leftChars="75" w:left="143"/>
              <w:rPr>
                <w:rFonts w:ascii="Arial" w:hAnsi="Arial" w:cs="Arial"/>
                <w:sz w:val="16"/>
                <w:szCs w:val="16"/>
              </w:rPr>
            </w:pPr>
            <w:r w:rsidRPr="00760DE2">
              <w:rPr>
                <w:rFonts w:ascii="Arial" w:hAnsi="Arial" w:cs="Arial"/>
                <w:sz w:val="16"/>
                <w:szCs w:val="16"/>
              </w:rPr>
              <w:t>Cash to the OPA for:</w:t>
            </w:r>
          </w:p>
        </w:tc>
        <w:tc>
          <w:tcPr>
            <w:tcW w:w="850" w:type="dxa"/>
            <w:tcBorders>
              <w:top w:val="nil"/>
              <w:left w:val="nil"/>
              <w:bottom w:val="nil"/>
              <w:right w:val="nil"/>
            </w:tcBorders>
            <w:shd w:val="clear" w:color="auto" w:fill="auto"/>
            <w:noWrap/>
            <w:tcMar>
              <w:left w:w="0" w:type="dxa"/>
            </w:tcMar>
            <w:vAlign w:val="bottom"/>
            <w:hideMark/>
          </w:tcPr>
          <w:p w14:paraId="79E22922" w14:textId="77777777" w:rsidR="00760DE2" w:rsidRPr="00760DE2" w:rsidRDefault="00760DE2" w:rsidP="00760DE2">
            <w:pPr>
              <w:spacing w:after="0"/>
              <w:ind w:firstLineChars="100" w:firstLine="160"/>
              <w:rPr>
                <w:rFonts w:ascii="Arial" w:hAnsi="Arial" w:cs="Arial"/>
                <w:sz w:val="16"/>
                <w:szCs w:val="16"/>
              </w:rPr>
            </w:pPr>
          </w:p>
        </w:tc>
        <w:tc>
          <w:tcPr>
            <w:tcW w:w="850" w:type="dxa"/>
            <w:tcBorders>
              <w:top w:val="nil"/>
              <w:left w:val="nil"/>
              <w:bottom w:val="nil"/>
              <w:right w:val="nil"/>
            </w:tcBorders>
            <w:shd w:val="clear" w:color="000000" w:fill="D9D9D9"/>
            <w:noWrap/>
            <w:tcMar>
              <w:left w:w="0" w:type="dxa"/>
            </w:tcMar>
            <w:vAlign w:val="bottom"/>
            <w:hideMark/>
          </w:tcPr>
          <w:p w14:paraId="7450F48F" w14:textId="77777777" w:rsidR="00760DE2" w:rsidRPr="00760DE2" w:rsidRDefault="00760DE2" w:rsidP="00760DE2">
            <w:pPr>
              <w:spacing w:after="0"/>
              <w:jc w:val="right"/>
              <w:rPr>
                <w:rFonts w:ascii="Arial" w:hAnsi="Arial" w:cs="Arial"/>
                <w:color w:val="auto"/>
                <w:sz w:val="16"/>
                <w:szCs w:val="16"/>
              </w:rPr>
            </w:pPr>
            <w:r w:rsidRPr="00760DE2">
              <w:rPr>
                <w:rFonts w:ascii="Arial" w:hAnsi="Arial" w:cs="Arial"/>
                <w:color w:val="auto"/>
                <w:sz w:val="16"/>
                <w:szCs w:val="16"/>
              </w:rPr>
              <w:t> </w:t>
            </w:r>
          </w:p>
        </w:tc>
        <w:tc>
          <w:tcPr>
            <w:tcW w:w="850" w:type="dxa"/>
            <w:tcBorders>
              <w:top w:val="nil"/>
              <w:left w:val="nil"/>
              <w:bottom w:val="nil"/>
              <w:right w:val="nil"/>
            </w:tcBorders>
            <w:shd w:val="clear" w:color="auto" w:fill="auto"/>
            <w:noWrap/>
            <w:tcMar>
              <w:left w:w="0" w:type="dxa"/>
            </w:tcMar>
            <w:vAlign w:val="bottom"/>
            <w:hideMark/>
          </w:tcPr>
          <w:p w14:paraId="60C311DA" w14:textId="77777777" w:rsidR="00760DE2" w:rsidRPr="00760DE2" w:rsidRDefault="00760DE2" w:rsidP="00760DE2">
            <w:pPr>
              <w:spacing w:after="0"/>
              <w:jc w:val="right"/>
              <w:rPr>
                <w:rFonts w:ascii="Arial" w:hAnsi="Arial" w:cs="Arial"/>
                <w:color w:val="auto"/>
                <w:sz w:val="16"/>
                <w:szCs w:val="16"/>
              </w:rPr>
            </w:pPr>
          </w:p>
        </w:tc>
        <w:tc>
          <w:tcPr>
            <w:tcW w:w="850" w:type="dxa"/>
            <w:tcBorders>
              <w:top w:val="nil"/>
              <w:left w:val="nil"/>
              <w:bottom w:val="nil"/>
              <w:right w:val="nil"/>
            </w:tcBorders>
            <w:shd w:val="clear" w:color="auto" w:fill="auto"/>
            <w:noWrap/>
            <w:tcMar>
              <w:left w:w="0" w:type="dxa"/>
            </w:tcMar>
            <w:vAlign w:val="bottom"/>
            <w:hideMark/>
          </w:tcPr>
          <w:p w14:paraId="3690B46F" w14:textId="77777777" w:rsidR="00760DE2" w:rsidRPr="00760DE2" w:rsidRDefault="00760DE2" w:rsidP="00760DE2">
            <w:pPr>
              <w:spacing w:after="0"/>
              <w:jc w:val="right"/>
              <w:rPr>
                <w:rFonts w:ascii="Times New Roman" w:hAnsi="Times New Roman"/>
                <w:color w:val="auto"/>
                <w:sz w:val="20"/>
              </w:rPr>
            </w:pPr>
          </w:p>
        </w:tc>
        <w:tc>
          <w:tcPr>
            <w:tcW w:w="852" w:type="dxa"/>
            <w:tcBorders>
              <w:top w:val="nil"/>
              <w:left w:val="nil"/>
              <w:bottom w:val="nil"/>
              <w:right w:val="nil"/>
            </w:tcBorders>
            <w:shd w:val="clear" w:color="auto" w:fill="auto"/>
            <w:noWrap/>
            <w:tcMar>
              <w:left w:w="0" w:type="dxa"/>
            </w:tcMar>
            <w:vAlign w:val="bottom"/>
            <w:hideMark/>
          </w:tcPr>
          <w:p w14:paraId="6866D0CD" w14:textId="77777777" w:rsidR="00760DE2" w:rsidRPr="00760DE2" w:rsidRDefault="00760DE2" w:rsidP="00760DE2">
            <w:pPr>
              <w:spacing w:after="0"/>
              <w:jc w:val="right"/>
              <w:rPr>
                <w:rFonts w:ascii="Times New Roman" w:hAnsi="Times New Roman"/>
                <w:color w:val="auto"/>
                <w:sz w:val="20"/>
              </w:rPr>
            </w:pPr>
          </w:p>
        </w:tc>
      </w:tr>
      <w:tr w:rsidR="00760DE2" w:rsidRPr="00760DE2" w14:paraId="545D942C" w14:textId="77777777" w:rsidTr="00886FA0">
        <w:trPr>
          <w:trHeight w:val="227"/>
          <w:jc w:val="center"/>
        </w:trPr>
        <w:tc>
          <w:tcPr>
            <w:tcW w:w="3119" w:type="dxa"/>
            <w:tcBorders>
              <w:top w:val="nil"/>
              <w:left w:val="nil"/>
              <w:bottom w:val="nil"/>
              <w:right w:val="nil"/>
            </w:tcBorders>
            <w:shd w:val="clear" w:color="auto" w:fill="auto"/>
            <w:noWrap/>
            <w:vAlign w:val="bottom"/>
            <w:hideMark/>
          </w:tcPr>
          <w:p w14:paraId="050CC445" w14:textId="77777777" w:rsidR="00760DE2" w:rsidRPr="00760DE2" w:rsidRDefault="00760DE2" w:rsidP="00371CDE">
            <w:pPr>
              <w:spacing w:after="0"/>
              <w:ind w:leftChars="225" w:left="428"/>
              <w:rPr>
                <w:rFonts w:ascii="Arial" w:hAnsi="Arial" w:cs="Arial"/>
                <w:sz w:val="16"/>
                <w:szCs w:val="16"/>
              </w:rPr>
            </w:pPr>
            <w:r w:rsidRPr="00760DE2">
              <w:rPr>
                <w:rFonts w:ascii="Arial" w:hAnsi="Arial" w:cs="Arial"/>
                <w:sz w:val="16"/>
                <w:szCs w:val="16"/>
              </w:rPr>
              <w:t xml:space="preserve">- special </w:t>
            </w:r>
            <w:r w:rsidRPr="00371CDE">
              <w:rPr>
                <w:rFonts w:ascii="Arial" w:hAnsi="Arial" w:cs="Arial"/>
                <w:color w:val="auto"/>
                <w:sz w:val="16"/>
                <w:szCs w:val="16"/>
              </w:rPr>
              <w:t>accounts</w:t>
            </w:r>
          </w:p>
        </w:tc>
        <w:tc>
          <w:tcPr>
            <w:tcW w:w="850" w:type="dxa"/>
            <w:tcBorders>
              <w:top w:val="nil"/>
              <w:left w:val="nil"/>
              <w:bottom w:val="nil"/>
              <w:right w:val="nil"/>
            </w:tcBorders>
            <w:shd w:val="clear" w:color="auto" w:fill="auto"/>
            <w:noWrap/>
            <w:tcMar>
              <w:left w:w="0" w:type="dxa"/>
              <w:right w:w="28" w:type="dxa"/>
            </w:tcMar>
            <w:vAlign w:val="bottom"/>
            <w:hideMark/>
          </w:tcPr>
          <w:p w14:paraId="55D232D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(1,536,633)</w:t>
            </w:r>
          </w:p>
        </w:tc>
        <w:tc>
          <w:tcPr>
            <w:tcW w:w="850" w:type="dxa"/>
            <w:tcBorders>
              <w:top w:val="nil"/>
              <w:left w:val="nil"/>
              <w:bottom w:val="nil"/>
              <w:right w:val="nil"/>
            </w:tcBorders>
            <w:shd w:val="clear" w:color="000000" w:fill="D9D9D9"/>
            <w:noWrap/>
            <w:tcMar>
              <w:left w:w="0" w:type="dxa"/>
              <w:right w:w="28" w:type="dxa"/>
            </w:tcMar>
            <w:vAlign w:val="bottom"/>
            <w:hideMark/>
          </w:tcPr>
          <w:p w14:paraId="7BF5C057"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(1,564,711)</w:t>
            </w:r>
          </w:p>
        </w:tc>
        <w:tc>
          <w:tcPr>
            <w:tcW w:w="850" w:type="dxa"/>
            <w:tcBorders>
              <w:top w:val="nil"/>
              <w:left w:val="nil"/>
              <w:bottom w:val="nil"/>
              <w:right w:val="nil"/>
            </w:tcBorders>
            <w:shd w:val="clear" w:color="auto" w:fill="auto"/>
            <w:noWrap/>
            <w:tcMar>
              <w:left w:w="0" w:type="dxa"/>
              <w:right w:w="28" w:type="dxa"/>
            </w:tcMar>
            <w:vAlign w:val="bottom"/>
            <w:hideMark/>
          </w:tcPr>
          <w:p w14:paraId="1DE0C012"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(1,651,675)</w:t>
            </w:r>
          </w:p>
        </w:tc>
        <w:tc>
          <w:tcPr>
            <w:tcW w:w="850" w:type="dxa"/>
            <w:tcBorders>
              <w:top w:val="nil"/>
              <w:left w:val="nil"/>
              <w:bottom w:val="nil"/>
              <w:right w:val="nil"/>
            </w:tcBorders>
            <w:shd w:val="clear" w:color="auto" w:fill="auto"/>
            <w:noWrap/>
            <w:tcMar>
              <w:left w:w="0" w:type="dxa"/>
              <w:right w:w="28" w:type="dxa"/>
            </w:tcMar>
            <w:vAlign w:val="bottom"/>
            <w:hideMark/>
          </w:tcPr>
          <w:p w14:paraId="52352CC2"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(1,748,920)</w:t>
            </w:r>
          </w:p>
        </w:tc>
        <w:tc>
          <w:tcPr>
            <w:tcW w:w="852" w:type="dxa"/>
            <w:tcBorders>
              <w:top w:val="nil"/>
              <w:left w:val="nil"/>
              <w:bottom w:val="nil"/>
              <w:right w:val="nil"/>
            </w:tcBorders>
            <w:shd w:val="clear" w:color="auto" w:fill="auto"/>
            <w:noWrap/>
            <w:tcMar>
              <w:left w:w="0" w:type="dxa"/>
              <w:right w:w="28" w:type="dxa"/>
            </w:tcMar>
            <w:vAlign w:val="bottom"/>
            <w:hideMark/>
          </w:tcPr>
          <w:p w14:paraId="5D02ED7C"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(1,860,200)</w:t>
            </w:r>
          </w:p>
        </w:tc>
      </w:tr>
      <w:tr w:rsidR="00760DE2" w:rsidRPr="00760DE2" w14:paraId="0516276B" w14:textId="77777777" w:rsidTr="00886FA0">
        <w:trPr>
          <w:trHeight w:val="225"/>
          <w:jc w:val="center"/>
        </w:trPr>
        <w:tc>
          <w:tcPr>
            <w:tcW w:w="3119" w:type="dxa"/>
            <w:tcBorders>
              <w:top w:val="nil"/>
              <w:left w:val="nil"/>
              <w:bottom w:val="nil"/>
              <w:right w:val="nil"/>
            </w:tcBorders>
            <w:shd w:val="clear" w:color="auto" w:fill="auto"/>
            <w:noWrap/>
            <w:vAlign w:val="bottom"/>
            <w:hideMark/>
          </w:tcPr>
          <w:p w14:paraId="250A4BEE" w14:textId="77777777" w:rsidR="00760DE2" w:rsidRPr="00760DE2" w:rsidRDefault="00760DE2" w:rsidP="00371CDE">
            <w:pPr>
              <w:spacing w:after="0"/>
              <w:ind w:leftChars="225" w:left="428"/>
              <w:rPr>
                <w:rFonts w:ascii="Arial" w:hAnsi="Arial" w:cs="Arial"/>
                <w:sz w:val="16"/>
                <w:szCs w:val="16"/>
              </w:rPr>
            </w:pPr>
            <w:r w:rsidRPr="00760DE2">
              <w:rPr>
                <w:rFonts w:ascii="Arial" w:hAnsi="Arial" w:cs="Arial"/>
                <w:sz w:val="16"/>
                <w:szCs w:val="16"/>
              </w:rPr>
              <w:t xml:space="preserve">- GST </w:t>
            </w:r>
            <w:r w:rsidRPr="00371CDE">
              <w:rPr>
                <w:rFonts w:ascii="Arial" w:hAnsi="Arial" w:cs="Arial"/>
                <w:color w:val="auto"/>
                <w:sz w:val="16"/>
                <w:szCs w:val="16"/>
              </w:rPr>
              <w:t>appropriations</w:t>
            </w:r>
          </w:p>
        </w:tc>
        <w:tc>
          <w:tcPr>
            <w:tcW w:w="850" w:type="dxa"/>
            <w:tcBorders>
              <w:top w:val="nil"/>
              <w:left w:val="nil"/>
              <w:bottom w:val="nil"/>
              <w:right w:val="nil"/>
            </w:tcBorders>
            <w:shd w:val="clear" w:color="auto" w:fill="auto"/>
            <w:noWrap/>
            <w:tcMar>
              <w:left w:w="0" w:type="dxa"/>
            </w:tcMar>
            <w:vAlign w:val="bottom"/>
            <w:hideMark/>
          </w:tcPr>
          <w:p w14:paraId="170FAB2D"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(133,262)</w:t>
            </w:r>
          </w:p>
        </w:tc>
        <w:tc>
          <w:tcPr>
            <w:tcW w:w="850" w:type="dxa"/>
            <w:tcBorders>
              <w:top w:val="nil"/>
              <w:left w:val="nil"/>
              <w:bottom w:val="nil"/>
              <w:right w:val="nil"/>
            </w:tcBorders>
            <w:shd w:val="clear" w:color="000000" w:fill="D9D9D9"/>
            <w:noWrap/>
            <w:tcMar>
              <w:left w:w="0" w:type="dxa"/>
            </w:tcMar>
            <w:vAlign w:val="bottom"/>
            <w:hideMark/>
          </w:tcPr>
          <w:p w14:paraId="4F269C49"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(178,598)</w:t>
            </w:r>
          </w:p>
        </w:tc>
        <w:tc>
          <w:tcPr>
            <w:tcW w:w="850" w:type="dxa"/>
            <w:tcBorders>
              <w:top w:val="nil"/>
              <w:left w:val="nil"/>
              <w:bottom w:val="nil"/>
              <w:right w:val="nil"/>
            </w:tcBorders>
            <w:shd w:val="clear" w:color="auto" w:fill="auto"/>
            <w:noWrap/>
            <w:tcMar>
              <w:left w:w="0" w:type="dxa"/>
            </w:tcMar>
            <w:vAlign w:val="bottom"/>
            <w:hideMark/>
          </w:tcPr>
          <w:p w14:paraId="17468C8A"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(188,940)</w:t>
            </w:r>
          </w:p>
        </w:tc>
        <w:tc>
          <w:tcPr>
            <w:tcW w:w="850" w:type="dxa"/>
            <w:tcBorders>
              <w:top w:val="nil"/>
              <w:left w:val="nil"/>
              <w:bottom w:val="nil"/>
              <w:right w:val="nil"/>
            </w:tcBorders>
            <w:shd w:val="clear" w:color="auto" w:fill="auto"/>
            <w:noWrap/>
            <w:tcMar>
              <w:left w:w="0" w:type="dxa"/>
            </w:tcMar>
            <w:vAlign w:val="bottom"/>
            <w:hideMark/>
          </w:tcPr>
          <w:p w14:paraId="088A52D1"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(200,496)</w:t>
            </w:r>
          </w:p>
        </w:tc>
        <w:tc>
          <w:tcPr>
            <w:tcW w:w="852" w:type="dxa"/>
            <w:tcBorders>
              <w:top w:val="nil"/>
              <w:left w:val="nil"/>
              <w:bottom w:val="nil"/>
              <w:right w:val="nil"/>
            </w:tcBorders>
            <w:shd w:val="clear" w:color="auto" w:fill="auto"/>
            <w:noWrap/>
            <w:tcMar>
              <w:left w:w="0" w:type="dxa"/>
            </w:tcMar>
            <w:vAlign w:val="bottom"/>
            <w:hideMark/>
          </w:tcPr>
          <w:p w14:paraId="3D97D6BF" w14:textId="77777777" w:rsidR="00760DE2" w:rsidRPr="00760DE2" w:rsidRDefault="00760DE2" w:rsidP="00760DE2">
            <w:pPr>
              <w:spacing w:after="0"/>
              <w:jc w:val="right"/>
              <w:rPr>
                <w:rFonts w:ascii="Arial" w:hAnsi="Arial" w:cs="Arial"/>
                <w:sz w:val="16"/>
                <w:szCs w:val="16"/>
              </w:rPr>
            </w:pPr>
            <w:r w:rsidRPr="00760DE2">
              <w:rPr>
                <w:rFonts w:ascii="Arial" w:hAnsi="Arial" w:cs="Arial"/>
                <w:sz w:val="16"/>
                <w:szCs w:val="16"/>
              </w:rPr>
              <w:t>(220,523)</w:t>
            </w:r>
          </w:p>
        </w:tc>
      </w:tr>
      <w:tr w:rsidR="00760DE2" w:rsidRPr="00760DE2" w14:paraId="28E2148A" w14:textId="77777777" w:rsidTr="00886FA0">
        <w:trPr>
          <w:trHeight w:val="283"/>
          <w:jc w:val="center"/>
        </w:trPr>
        <w:tc>
          <w:tcPr>
            <w:tcW w:w="3119" w:type="dxa"/>
            <w:tcBorders>
              <w:top w:val="nil"/>
              <w:left w:val="nil"/>
              <w:bottom w:val="single" w:sz="4" w:space="0" w:color="auto"/>
              <w:right w:val="nil"/>
            </w:tcBorders>
            <w:shd w:val="clear" w:color="auto" w:fill="auto"/>
            <w:noWrap/>
            <w:vAlign w:val="bottom"/>
            <w:hideMark/>
          </w:tcPr>
          <w:p w14:paraId="3DF2F908" w14:textId="77777777" w:rsidR="00760DE2" w:rsidRPr="00760DE2" w:rsidRDefault="00760DE2" w:rsidP="00760DE2">
            <w:pPr>
              <w:spacing w:after="0"/>
              <w:rPr>
                <w:rFonts w:ascii="Arial" w:hAnsi="Arial" w:cs="Arial"/>
                <w:b/>
                <w:bCs/>
                <w:sz w:val="16"/>
                <w:szCs w:val="16"/>
              </w:rPr>
            </w:pPr>
            <w:r w:rsidRPr="00760DE2">
              <w:rPr>
                <w:rFonts w:ascii="Arial" w:hAnsi="Arial" w:cs="Arial"/>
                <w:b/>
                <w:bCs/>
                <w:sz w:val="16"/>
                <w:szCs w:val="16"/>
              </w:rPr>
              <w:t>Cash at end of reporting period</w:t>
            </w:r>
          </w:p>
        </w:tc>
        <w:tc>
          <w:tcPr>
            <w:tcW w:w="850" w:type="dxa"/>
            <w:tcBorders>
              <w:top w:val="nil"/>
              <w:left w:val="nil"/>
              <w:bottom w:val="single" w:sz="4" w:space="0" w:color="auto"/>
              <w:right w:val="nil"/>
            </w:tcBorders>
            <w:shd w:val="clear" w:color="auto" w:fill="auto"/>
            <w:noWrap/>
            <w:tcMar>
              <w:left w:w="0" w:type="dxa"/>
            </w:tcMar>
            <w:vAlign w:val="bottom"/>
            <w:hideMark/>
          </w:tcPr>
          <w:p w14:paraId="2D48747C"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182,649</w:t>
            </w:r>
          </w:p>
        </w:tc>
        <w:tc>
          <w:tcPr>
            <w:tcW w:w="850" w:type="dxa"/>
            <w:tcBorders>
              <w:top w:val="nil"/>
              <w:left w:val="nil"/>
              <w:bottom w:val="single" w:sz="4" w:space="0" w:color="auto"/>
              <w:right w:val="nil"/>
            </w:tcBorders>
            <w:shd w:val="clear" w:color="000000" w:fill="D9D9D9"/>
            <w:noWrap/>
            <w:tcMar>
              <w:left w:w="0" w:type="dxa"/>
            </w:tcMar>
            <w:vAlign w:val="bottom"/>
            <w:hideMark/>
          </w:tcPr>
          <w:p w14:paraId="4FA984F3"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187,831</w:t>
            </w:r>
          </w:p>
        </w:tc>
        <w:tc>
          <w:tcPr>
            <w:tcW w:w="850" w:type="dxa"/>
            <w:tcBorders>
              <w:top w:val="nil"/>
              <w:left w:val="nil"/>
              <w:bottom w:val="single" w:sz="4" w:space="0" w:color="auto"/>
              <w:right w:val="nil"/>
            </w:tcBorders>
            <w:shd w:val="clear" w:color="auto" w:fill="auto"/>
            <w:noWrap/>
            <w:tcMar>
              <w:left w:w="0" w:type="dxa"/>
            </w:tcMar>
            <w:vAlign w:val="bottom"/>
            <w:hideMark/>
          </w:tcPr>
          <w:p w14:paraId="355E3831"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192,831</w:t>
            </w:r>
          </w:p>
        </w:tc>
        <w:tc>
          <w:tcPr>
            <w:tcW w:w="850" w:type="dxa"/>
            <w:tcBorders>
              <w:top w:val="nil"/>
              <w:left w:val="nil"/>
              <w:bottom w:val="single" w:sz="4" w:space="0" w:color="auto"/>
              <w:right w:val="nil"/>
            </w:tcBorders>
            <w:shd w:val="clear" w:color="auto" w:fill="auto"/>
            <w:noWrap/>
            <w:tcMar>
              <w:left w:w="0" w:type="dxa"/>
            </w:tcMar>
            <w:vAlign w:val="bottom"/>
            <w:hideMark/>
          </w:tcPr>
          <w:p w14:paraId="7A9E8870"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192,831</w:t>
            </w:r>
          </w:p>
        </w:tc>
        <w:tc>
          <w:tcPr>
            <w:tcW w:w="852" w:type="dxa"/>
            <w:tcBorders>
              <w:top w:val="nil"/>
              <w:left w:val="nil"/>
              <w:bottom w:val="single" w:sz="4" w:space="0" w:color="auto"/>
              <w:right w:val="nil"/>
            </w:tcBorders>
            <w:shd w:val="clear" w:color="auto" w:fill="auto"/>
            <w:noWrap/>
            <w:tcMar>
              <w:left w:w="0" w:type="dxa"/>
            </w:tcMar>
            <w:vAlign w:val="bottom"/>
            <w:hideMark/>
          </w:tcPr>
          <w:p w14:paraId="2EE52C52" w14:textId="77777777" w:rsidR="00760DE2" w:rsidRPr="00760DE2" w:rsidRDefault="00760DE2" w:rsidP="00760DE2">
            <w:pPr>
              <w:spacing w:after="0"/>
              <w:jc w:val="right"/>
              <w:rPr>
                <w:rFonts w:ascii="Arial" w:hAnsi="Arial" w:cs="Arial"/>
                <w:b/>
                <w:bCs/>
                <w:color w:val="auto"/>
                <w:sz w:val="16"/>
                <w:szCs w:val="16"/>
              </w:rPr>
            </w:pPr>
            <w:r w:rsidRPr="00760DE2">
              <w:rPr>
                <w:rFonts w:ascii="Arial" w:hAnsi="Arial" w:cs="Arial"/>
                <w:b/>
                <w:bCs/>
                <w:color w:val="auto"/>
                <w:sz w:val="16"/>
                <w:szCs w:val="16"/>
              </w:rPr>
              <w:t>192,831</w:t>
            </w:r>
          </w:p>
        </w:tc>
      </w:tr>
    </w:tbl>
    <w:p w14:paraId="6B415F1F" w14:textId="3C6CA6AA" w:rsidR="00886FA0" w:rsidRDefault="00886FA0" w:rsidP="00886FA0">
      <w:pPr>
        <w:pStyle w:val="FootnoteText"/>
        <w:spacing w:before="120"/>
      </w:pPr>
      <w:r w:rsidRPr="00886FA0">
        <w:t>OPA = Official Public Account</w:t>
      </w:r>
      <w:r>
        <w:br w:type="page"/>
      </w:r>
    </w:p>
    <w:p w14:paraId="66E3CFB6" w14:textId="04848726" w:rsidR="00F24245" w:rsidRPr="00884F73" w:rsidRDefault="00F24245" w:rsidP="00B3412B">
      <w:pPr>
        <w:keepNext/>
        <w:spacing w:before="120"/>
        <w:rPr>
          <w:rFonts w:ascii="Arial" w:hAnsi="Arial"/>
          <w:b/>
          <w:color w:val="auto"/>
          <w:sz w:val="20"/>
        </w:rPr>
      </w:pPr>
      <w:r w:rsidRPr="00884F73">
        <w:rPr>
          <w:rFonts w:ascii="Arial" w:hAnsi="Arial"/>
          <w:b/>
          <w:color w:val="auto"/>
          <w:sz w:val="20"/>
        </w:rPr>
        <w:lastRenderedPageBreak/>
        <w:t xml:space="preserve">Table 3.10: Schedule of </w:t>
      </w:r>
      <w:r w:rsidR="00884F73">
        <w:rPr>
          <w:rFonts w:ascii="Arial" w:hAnsi="Arial"/>
          <w:b/>
          <w:color w:val="auto"/>
          <w:sz w:val="20"/>
        </w:rPr>
        <w:t>a</w:t>
      </w:r>
      <w:r w:rsidRPr="00884F73">
        <w:rPr>
          <w:rFonts w:ascii="Arial" w:hAnsi="Arial"/>
          <w:b/>
          <w:color w:val="auto"/>
          <w:sz w:val="20"/>
        </w:rPr>
        <w:t xml:space="preserve">dministered </w:t>
      </w:r>
      <w:r w:rsidR="00884F73">
        <w:rPr>
          <w:rFonts w:ascii="Arial" w:hAnsi="Arial"/>
          <w:b/>
          <w:color w:val="auto"/>
          <w:sz w:val="20"/>
        </w:rPr>
        <w:t>c</w:t>
      </w:r>
      <w:r w:rsidRPr="00884F73">
        <w:rPr>
          <w:rFonts w:ascii="Arial" w:hAnsi="Arial"/>
          <w:b/>
          <w:color w:val="auto"/>
          <w:sz w:val="20"/>
        </w:rPr>
        <w:t xml:space="preserve">apital </w:t>
      </w:r>
      <w:r w:rsidR="00884F73">
        <w:rPr>
          <w:rFonts w:ascii="Arial" w:hAnsi="Arial"/>
          <w:b/>
          <w:color w:val="auto"/>
          <w:sz w:val="20"/>
        </w:rPr>
        <w:t>b</w:t>
      </w:r>
      <w:r w:rsidRPr="00884F73">
        <w:rPr>
          <w:rFonts w:ascii="Arial" w:hAnsi="Arial"/>
          <w:b/>
          <w:color w:val="auto"/>
          <w:sz w:val="20"/>
        </w:rPr>
        <w:t xml:space="preserve">udget </w:t>
      </w:r>
      <w:r w:rsidR="00884F73">
        <w:rPr>
          <w:rFonts w:ascii="Arial" w:hAnsi="Arial"/>
          <w:b/>
          <w:color w:val="auto"/>
          <w:sz w:val="20"/>
        </w:rPr>
        <w:t xml:space="preserve">statement </w:t>
      </w:r>
      <w:r w:rsidRPr="00884F73">
        <w:rPr>
          <w:rFonts w:ascii="Arial" w:hAnsi="Arial"/>
          <w:b/>
          <w:color w:val="auto"/>
          <w:sz w:val="20"/>
        </w:rPr>
        <w:t>(for the period ended 30 June)</w:t>
      </w:r>
    </w:p>
    <w:p w14:paraId="1CC22769" w14:textId="3A2B0546" w:rsidR="007F1606" w:rsidRPr="00886FA0" w:rsidRDefault="00886FA0" w:rsidP="007F1606">
      <w:pPr>
        <w:rPr>
          <w:color w:val="auto"/>
        </w:rPr>
      </w:pPr>
      <w:r w:rsidRPr="00886FA0">
        <w:rPr>
          <w:rFonts w:cs="Arial"/>
          <w:color w:val="auto"/>
        </w:rPr>
        <w:t xml:space="preserve">This section is not applicable to the NBA. </w:t>
      </w:r>
    </w:p>
    <w:p w14:paraId="5859E3CD" w14:textId="4A1D0254" w:rsidR="00F24245" w:rsidRPr="00884F73" w:rsidRDefault="00F24245" w:rsidP="00183C23">
      <w:pPr>
        <w:keepNext/>
        <w:spacing w:before="120"/>
        <w:rPr>
          <w:rFonts w:ascii="Arial" w:hAnsi="Arial"/>
          <w:b/>
          <w:color w:val="auto"/>
          <w:sz w:val="20"/>
        </w:rPr>
      </w:pPr>
      <w:r w:rsidRPr="00884F73">
        <w:rPr>
          <w:rFonts w:ascii="Arial" w:hAnsi="Arial"/>
          <w:b/>
          <w:color w:val="auto"/>
          <w:sz w:val="20"/>
        </w:rPr>
        <w:t xml:space="preserve">Table 3.11: Statement of </w:t>
      </w:r>
      <w:r w:rsidR="00884F73">
        <w:rPr>
          <w:rFonts w:ascii="Arial" w:hAnsi="Arial"/>
          <w:b/>
          <w:color w:val="auto"/>
          <w:sz w:val="20"/>
        </w:rPr>
        <w:t>a</w:t>
      </w:r>
      <w:r w:rsidRPr="00884F73">
        <w:rPr>
          <w:rFonts w:ascii="Arial" w:hAnsi="Arial"/>
          <w:b/>
          <w:color w:val="auto"/>
          <w:sz w:val="20"/>
        </w:rPr>
        <w:t>dminister</w:t>
      </w:r>
      <w:r w:rsidR="008957BA" w:rsidRPr="00884F73">
        <w:rPr>
          <w:rFonts w:ascii="Arial" w:hAnsi="Arial"/>
          <w:b/>
          <w:color w:val="auto"/>
          <w:sz w:val="20"/>
        </w:rPr>
        <w:t xml:space="preserve">ed </w:t>
      </w:r>
      <w:r w:rsidR="00884F73">
        <w:rPr>
          <w:rFonts w:ascii="Arial" w:hAnsi="Arial"/>
          <w:b/>
          <w:color w:val="auto"/>
          <w:sz w:val="20"/>
        </w:rPr>
        <w:t>a</w:t>
      </w:r>
      <w:r w:rsidR="008957BA" w:rsidRPr="00884F73">
        <w:rPr>
          <w:rFonts w:ascii="Arial" w:hAnsi="Arial"/>
          <w:b/>
          <w:color w:val="auto"/>
          <w:sz w:val="20"/>
        </w:rPr>
        <w:t xml:space="preserve">sset </w:t>
      </w:r>
      <w:r w:rsidR="00884F73">
        <w:rPr>
          <w:rFonts w:ascii="Arial" w:hAnsi="Arial"/>
          <w:b/>
          <w:color w:val="auto"/>
          <w:sz w:val="20"/>
        </w:rPr>
        <w:t>m</w:t>
      </w:r>
      <w:r w:rsidR="008957BA" w:rsidRPr="00884F73">
        <w:rPr>
          <w:rFonts w:ascii="Arial" w:hAnsi="Arial"/>
          <w:b/>
          <w:color w:val="auto"/>
          <w:sz w:val="20"/>
        </w:rPr>
        <w:t xml:space="preserve">ovements (Budget </w:t>
      </w:r>
      <w:r w:rsidR="00884F73">
        <w:rPr>
          <w:rFonts w:ascii="Arial" w:hAnsi="Arial"/>
          <w:b/>
          <w:color w:val="auto"/>
          <w:sz w:val="20"/>
        </w:rPr>
        <w:t>y</w:t>
      </w:r>
      <w:r w:rsidR="008957BA" w:rsidRPr="00884F73">
        <w:rPr>
          <w:rFonts w:ascii="Arial" w:hAnsi="Arial"/>
          <w:b/>
          <w:color w:val="auto"/>
          <w:sz w:val="20"/>
        </w:rPr>
        <w:t>ear</w:t>
      </w:r>
      <w:r w:rsidR="005D7B02" w:rsidRPr="00884F73">
        <w:rPr>
          <w:rFonts w:ascii="Arial" w:hAnsi="Arial"/>
          <w:b/>
          <w:color w:val="auto"/>
          <w:sz w:val="20"/>
        </w:rPr>
        <w:br/>
      </w:r>
      <w:r w:rsidR="00C063A0" w:rsidRPr="00884F73">
        <w:rPr>
          <w:rFonts w:ascii="Arial" w:hAnsi="Arial"/>
          <w:b/>
          <w:color w:val="auto"/>
          <w:sz w:val="20"/>
        </w:rPr>
        <w:t>2022–</w:t>
      </w:r>
      <w:r w:rsidR="00566EBD" w:rsidRPr="00884F73">
        <w:rPr>
          <w:rFonts w:ascii="Arial" w:hAnsi="Arial"/>
          <w:b/>
          <w:color w:val="auto"/>
          <w:sz w:val="20"/>
        </w:rPr>
        <w:t>23</w:t>
      </w:r>
      <w:r w:rsidRPr="00884F73">
        <w:rPr>
          <w:rFonts w:ascii="Arial" w:hAnsi="Arial"/>
          <w:b/>
          <w:color w:val="auto"/>
          <w:sz w:val="20"/>
        </w:rPr>
        <w:t>)</w:t>
      </w:r>
    </w:p>
    <w:tbl>
      <w:tblPr>
        <w:tblW w:w="7361" w:type="dxa"/>
        <w:jc w:val="center"/>
        <w:tblLayout w:type="fixed"/>
        <w:tblLook w:val="04A0" w:firstRow="1" w:lastRow="0" w:firstColumn="1" w:lastColumn="0" w:noHBand="0" w:noVBand="1"/>
      </w:tblPr>
      <w:tblGrid>
        <w:gridCol w:w="3281"/>
        <w:gridCol w:w="1020"/>
        <w:gridCol w:w="1020"/>
        <w:gridCol w:w="1020"/>
        <w:gridCol w:w="1020"/>
      </w:tblGrid>
      <w:tr w:rsidR="00886FA0" w:rsidRPr="00886FA0" w14:paraId="0405F702" w14:textId="77777777" w:rsidTr="00D1120D">
        <w:trPr>
          <w:trHeight w:val="765"/>
          <w:jc w:val="center"/>
        </w:trPr>
        <w:tc>
          <w:tcPr>
            <w:tcW w:w="3281" w:type="dxa"/>
            <w:tcBorders>
              <w:top w:val="single" w:sz="4" w:space="0" w:color="auto"/>
              <w:left w:val="nil"/>
              <w:right w:val="nil"/>
            </w:tcBorders>
            <w:shd w:val="clear" w:color="auto" w:fill="auto"/>
            <w:tcMar>
              <w:left w:w="0" w:type="dxa"/>
            </w:tcMar>
            <w:hideMark/>
          </w:tcPr>
          <w:p w14:paraId="67977FED" w14:textId="77777777" w:rsidR="00886FA0" w:rsidRPr="00886FA0" w:rsidRDefault="00886FA0" w:rsidP="00886FA0">
            <w:pPr>
              <w:spacing w:before="40" w:after="0"/>
              <w:jc w:val="right"/>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tcMar>
              <w:left w:w="0" w:type="dxa"/>
            </w:tcMar>
            <w:hideMark/>
          </w:tcPr>
          <w:p w14:paraId="3A139551" w14:textId="77777777" w:rsidR="00886FA0" w:rsidRPr="00886FA0" w:rsidRDefault="00886FA0" w:rsidP="00886FA0">
            <w:pPr>
              <w:spacing w:before="40" w:after="0"/>
              <w:jc w:val="right"/>
              <w:rPr>
                <w:rFonts w:ascii="Arial" w:hAnsi="Arial" w:cs="Arial"/>
                <w:b/>
                <w:bCs/>
                <w:color w:val="auto"/>
                <w:sz w:val="16"/>
                <w:szCs w:val="16"/>
              </w:rPr>
            </w:pPr>
            <w:r w:rsidRPr="00886FA0">
              <w:rPr>
                <w:rFonts w:ascii="Arial" w:hAnsi="Arial" w:cs="Arial"/>
                <w:b/>
                <w:bCs/>
                <w:color w:val="auto"/>
                <w:sz w:val="16"/>
                <w:szCs w:val="16"/>
              </w:rPr>
              <w:t>Buildings</w:t>
            </w:r>
            <w:r w:rsidRPr="00886FA0">
              <w:rPr>
                <w:rFonts w:ascii="Arial" w:hAnsi="Arial" w:cs="Arial"/>
                <w:color w:val="auto"/>
                <w:sz w:val="16"/>
                <w:szCs w:val="16"/>
              </w:rPr>
              <w:t xml:space="preserve"> </w:t>
            </w:r>
            <w:r w:rsidRPr="00886FA0">
              <w:rPr>
                <w:rFonts w:ascii="Arial" w:hAnsi="Arial" w:cs="Arial"/>
                <w:color w:val="auto"/>
                <w:sz w:val="16"/>
                <w:szCs w:val="16"/>
              </w:rPr>
              <w:br/>
            </w:r>
            <w:r w:rsidRPr="00886FA0">
              <w:rPr>
                <w:rFonts w:ascii="Arial" w:hAnsi="Arial" w:cs="Arial"/>
                <w:color w:val="auto"/>
                <w:sz w:val="16"/>
                <w:szCs w:val="16"/>
              </w:rPr>
              <w:br/>
            </w:r>
            <w:r w:rsidRPr="00886FA0">
              <w:rPr>
                <w:rFonts w:ascii="Arial" w:hAnsi="Arial" w:cs="Arial"/>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1C5425AF" w14:textId="77777777" w:rsidR="00886FA0" w:rsidRPr="00886FA0" w:rsidRDefault="00886FA0" w:rsidP="00886FA0">
            <w:pPr>
              <w:spacing w:before="40" w:after="0"/>
              <w:jc w:val="right"/>
              <w:rPr>
                <w:rFonts w:ascii="Arial" w:hAnsi="Arial" w:cs="Arial"/>
                <w:b/>
                <w:bCs/>
                <w:color w:val="auto"/>
                <w:sz w:val="16"/>
                <w:szCs w:val="16"/>
              </w:rPr>
            </w:pPr>
            <w:r w:rsidRPr="00886FA0">
              <w:rPr>
                <w:rFonts w:ascii="Arial" w:hAnsi="Arial" w:cs="Arial"/>
                <w:b/>
                <w:bCs/>
                <w:color w:val="auto"/>
                <w:sz w:val="16"/>
                <w:szCs w:val="16"/>
              </w:rPr>
              <w:t xml:space="preserve">Property, </w:t>
            </w:r>
            <w:r w:rsidRPr="00886FA0">
              <w:rPr>
                <w:rFonts w:ascii="Arial" w:hAnsi="Arial" w:cs="Arial"/>
                <w:b/>
                <w:bCs/>
                <w:color w:val="auto"/>
                <w:sz w:val="16"/>
                <w:szCs w:val="16"/>
              </w:rPr>
              <w:br/>
              <w:t xml:space="preserve">plant and equipment </w:t>
            </w:r>
            <w:r w:rsidRPr="00886FA0">
              <w:rPr>
                <w:rFonts w:ascii="Arial" w:hAnsi="Arial" w:cs="Arial"/>
                <w:b/>
                <w:bCs/>
                <w:color w:val="auto"/>
                <w:sz w:val="16"/>
                <w:szCs w:val="16"/>
              </w:rPr>
              <w:br/>
            </w:r>
            <w:r w:rsidRPr="00886FA0">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63367B92" w14:textId="77777777" w:rsidR="00886FA0" w:rsidRPr="00886FA0" w:rsidRDefault="00886FA0" w:rsidP="00886FA0">
            <w:pPr>
              <w:spacing w:before="40" w:after="0"/>
              <w:jc w:val="right"/>
              <w:rPr>
                <w:rFonts w:ascii="Arial" w:hAnsi="Arial" w:cs="Arial"/>
                <w:b/>
                <w:bCs/>
                <w:color w:val="auto"/>
                <w:sz w:val="16"/>
                <w:szCs w:val="16"/>
              </w:rPr>
            </w:pPr>
            <w:r w:rsidRPr="00886FA0">
              <w:rPr>
                <w:rFonts w:ascii="Arial" w:hAnsi="Arial" w:cs="Arial"/>
                <w:b/>
                <w:bCs/>
                <w:color w:val="auto"/>
                <w:sz w:val="16"/>
                <w:szCs w:val="16"/>
              </w:rPr>
              <w:t xml:space="preserve">Intangibles </w:t>
            </w:r>
            <w:r w:rsidRPr="00886FA0">
              <w:rPr>
                <w:rFonts w:ascii="Arial" w:hAnsi="Arial" w:cs="Arial"/>
                <w:b/>
                <w:bCs/>
                <w:color w:val="auto"/>
                <w:sz w:val="16"/>
                <w:szCs w:val="16"/>
              </w:rPr>
              <w:br/>
            </w:r>
            <w:r w:rsidRPr="00886FA0">
              <w:rPr>
                <w:rFonts w:ascii="Arial" w:hAnsi="Arial" w:cs="Arial"/>
                <w:b/>
                <w:bCs/>
                <w:color w:val="auto"/>
                <w:sz w:val="16"/>
                <w:szCs w:val="16"/>
              </w:rPr>
              <w:br/>
            </w:r>
            <w:r w:rsidRPr="00886FA0">
              <w:rPr>
                <w:rFonts w:ascii="Arial" w:hAnsi="Arial" w:cs="Arial"/>
                <w:b/>
                <w:bCs/>
                <w:color w:val="auto"/>
                <w:sz w:val="16"/>
                <w:szCs w:val="16"/>
              </w:rPr>
              <w:br/>
            </w:r>
            <w:r w:rsidRPr="00886FA0">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3C2F7771" w14:textId="77777777" w:rsidR="00886FA0" w:rsidRPr="00886FA0" w:rsidRDefault="00886FA0" w:rsidP="00886FA0">
            <w:pPr>
              <w:spacing w:before="40" w:after="0"/>
              <w:jc w:val="right"/>
              <w:rPr>
                <w:rFonts w:ascii="Arial" w:hAnsi="Arial" w:cs="Arial"/>
                <w:b/>
                <w:bCs/>
                <w:color w:val="auto"/>
                <w:sz w:val="16"/>
                <w:szCs w:val="16"/>
              </w:rPr>
            </w:pPr>
            <w:r w:rsidRPr="00886FA0">
              <w:rPr>
                <w:rFonts w:ascii="Arial" w:hAnsi="Arial" w:cs="Arial"/>
                <w:b/>
                <w:bCs/>
                <w:color w:val="auto"/>
                <w:sz w:val="16"/>
                <w:szCs w:val="16"/>
              </w:rPr>
              <w:t xml:space="preserve">Total </w:t>
            </w:r>
            <w:r w:rsidRPr="00886FA0">
              <w:rPr>
                <w:rFonts w:ascii="Arial" w:hAnsi="Arial" w:cs="Arial"/>
                <w:b/>
                <w:bCs/>
                <w:color w:val="auto"/>
                <w:sz w:val="16"/>
                <w:szCs w:val="16"/>
              </w:rPr>
              <w:br/>
            </w:r>
            <w:r w:rsidRPr="00886FA0">
              <w:rPr>
                <w:rFonts w:ascii="Arial" w:hAnsi="Arial" w:cs="Arial"/>
                <w:b/>
                <w:bCs/>
                <w:color w:val="auto"/>
                <w:sz w:val="16"/>
                <w:szCs w:val="16"/>
              </w:rPr>
              <w:br/>
            </w:r>
            <w:r w:rsidRPr="00886FA0">
              <w:rPr>
                <w:rFonts w:ascii="Arial" w:hAnsi="Arial" w:cs="Arial"/>
                <w:b/>
                <w:bCs/>
                <w:color w:val="auto"/>
                <w:sz w:val="16"/>
                <w:szCs w:val="16"/>
              </w:rPr>
              <w:br/>
            </w:r>
            <w:r w:rsidRPr="00886FA0">
              <w:rPr>
                <w:rFonts w:ascii="Arial" w:hAnsi="Arial" w:cs="Arial"/>
                <w:color w:val="auto"/>
                <w:sz w:val="16"/>
                <w:szCs w:val="16"/>
              </w:rPr>
              <w:t>$'000</w:t>
            </w:r>
          </w:p>
        </w:tc>
      </w:tr>
      <w:tr w:rsidR="00886FA0" w:rsidRPr="00886FA0" w14:paraId="7A61DF25" w14:textId="77777777" w:rsidTr="00D1120D">
        <w:trPr>
          <w:trHeight w:val="225"/>
          <w:jc w:val="center"/>
        </w:trPr>
        <w:tc>
          <w:tcPr>
            <w:tcW w:w="3281" w:type="dxa"/>
            <w:tcBorders>
              <w:left w:val="nil"/>
              <w:bottom w:val="nil"/>
              <w:right w:val="nil"/>
            </w:tcBorders>
            <w:shd w:val="clear" w:color="auto" w:fill="auto"/>
            <w:noWrap/>
            <w:vAlign w:val="bottom"/>
            <w:hideMark/>
          </w:tcPr>
          <w:p w14:paraId="73E1A9BE" w14:textId="77777777" w:rsidR="00886FA0" w:rsidRPr="00886FA0" w:rsidRDefault="00886FA0" w:rsidP="00886FA0">
            <w:pPr>
              <w:spacing w:after="0"/>
              <w:rPr>
                <w:rFonts w:ascii="Arial" w:hAnsi="Arial" w:cs="Arial"/>
                <w:b/>
                <w:bCs/>
                <w:color w:val="auto"/>
                <w:sz w:val="16"/>
                <w:szCs w:val="16"/>
              </w:rPr>
            </w:pPr>
            <w:r w:rsidRPr="00886FA0">
              <w:rPr>
                <w:rFonts w:ascii="Arial" w:hAnsi="Arial" w:cs="Arial"/>
                <w:b/>
                <w:bCs/>
                <w:color w:val="auto"/>
                <w:sz w:val="16"/>
                <w:szCs w:val="16"/>
              </w:rPr>
              <w:t>As at 1 July 2022</w:t>
            </w:r>
          </w:p>
        </w:tc>
        <w:tc>
          <w:tcPr>
            <w:tcW w:w="1020" w:type="dxa"/>
            <w:tcBorders>
              <w:top w:val="nil"/>
              <w:left w:val="nil"/>
              <w:bottom w:val="nil"/>
              <w:right w:val="nil"/>
            </w:tcBorders>
            <w:shd w:val="clear" w:color="auto" w:fill="auto"/>
            <w:noWrap/>
            <w:vAlign w:val="bottom"/>
            <w:hideMark/>
          </w:tcPr>
          <w:p w14:paraId="3339C9B2" w14:textId="77777777" w:rsidR="00886FA0" w:rsidRPr="00886FA0" w:rsidRDefault="00886FA0" w:rsidP="00886FA0">
            <w:pPr>
              <w:spacing w:after="0"/>
              <w:rPr>
                <w:rFonts w:ascii="Arial" w:hAnsi="Arial" w:cs="Arial"/>
                <w:b/>
                <w:bCs/>
                <w:color w:val="auto"/>
                <w:sz w:val="16"/>
                <w:szCs w:val="16"/>
              </w:rPr>
            </w:pPr>
          </w:p>
        </w:tc>
        <w:tc>
          <w:tcPr>
            <w:tcW w:w="1020" w:type="dxa"/>
            <w:tcBorders>
              <w:top w:val="nil"/>
              <w:left w:val="nil"/>
              <w:bottom w:val="nil"/>
              <w:right w:val="nil"/>
            </w:tcBorders>
            <w:shd w:val="clear" w:color="auto" w:fill="auto"/>
            <w:noWrap/>
            <w:vAlign w:val="bottom"/>
            <w:hideMark/>
          </w:tcPr>
          <w:p w14:paraId="4AFB8C41"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F40643E"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4527511" w14:textId="77777777" w:rsidR="00886FA0" w:rsidRPr="00886FA0" w:rsidRDefault="00886FA0" w:rsidP="00886FA0">
            <w:pPr>
              <w:spacing w:after="0"/>
              <w:jc w:val="right"/>
              <w:rPr>
                <w:rFonts w:ascii="Times New Roman" w:hAnsi="Times New Roman"/>
                <w:color w:val="auto"/>
                <w:sz w:val="20"/>
              </w:rPr>
            </w:pPr>
          </w:p>
        </w:tc>
      </w:tr>
      <w:tr w:rsidR="00886FA0" w:rsidRPr="00886FA0" w14:paraId="6B4ABEA8"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17BA83B5"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695B7491"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493D941"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148</w:t>
            </w:r>
          </w:p>
        </w:tc>
        <w:tc>
          <w:tcPr>
            <w:tcW w:w="1020" w:type="dxa"/>
            <w:tcBorders>
              <w:top w:val="nil"/>
              <w:left w:val="nil"/>
              <w:bottom w:val="nil"/>
              <w:right w:val="nil"/>
            </w:tcBorders>
            <w:shd w:val="clear" w:color="auto" w:fill="auto"/>
            <w:noWrap/>
            <w:vAlign w:val="bottom"/>
            <w:hideMark/>
          </w:tcPr>
          <w:p w14:paraId="6702991C"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13,215</w:t>
            </w:r>
          </w:p>
        </w:tc>
        <w:tc>
          <w:tcPr>
            <w:tcW w:w="1020" w:type="dxa"/>
            <w:tcBorders>
              <w:top w:val="nil"/>
              <w:left w:val="nil"/>
              <w:bottom w:val="nil"/>
              <w:right w:val="nil"/>
            </w:tcBorders>
            <w:shd w:val="clear" w:color="auto" w:fill="auto"/>
            <w:noWrap/>
            <w:vAlign w:val="bottom"/>
            <w:hideMark/>
          </w:tcPr>
          <w:p w14:paraId="69B8A2CF"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13,363</w:t>
            </w:r>
          </w:p>
        </w:tc>
      </w:tr>
      <w:tr w:rsidR="00886FA0" w:rsidRPr="00886FA0" w14:paraId="0C5E5D2E" w14:textId="77777777" w:rsidTr="00886FA0">
        <w:trPr>
          <w:trHeight w:val="225"/>
          <w:jc w:val="center"/>
        </w:trPr>
        <w:tc>
          <w:tcPr>
            <w:tcW w:w="3281" w:type="dxa"/>
            <w:tcBorders>
              <w:top w:val="nil"/>
              <w:left w:val="nil"/>
              <w:bottom w:val="nil"/>
              <w:right w:val="nil"/>
            </w:tcBorders>
            <w:shd w:val="clear" w:color="auto" w:fill="auto"/>
            <w:vAlign w:val="bottom"/>
            <w:hideMark/>
          </w:tcPr>
          <w:p w14:paraId="2D811C9B"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 xml:space="preserve">Gross book value - </w:t>
            </w:r>
            <w:proofErr w:type="spellStart"/>
            <w:r w:rsidRPr="00886FA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4D333D99"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1CF07E0"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E6DE86D"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97A8573"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384ADA37" w14:textId="77777777" w:rsidTr="00886FA0">
        <w:trPr>
          <w:trHeight w:val="432"/>
          <w:jc w:val="center"/>
        </w:trPr>
        <w:tc>
          <w:tcPr>
            <w:tcW w:w="3281" w:type="dxa"/>
            <w:tcBorders>
              <w:top w:val="nil"/>
              <w:left w:val="nil"/>
              <w:bottom w:val="nil"/>
              <w:right w:val="nil"/>
            </w:tcBorders>
            <w:shd w:val="clear" w:color="auto" w:fill="auto"/>
            <w:vAlign w:val="bottom"/>
            <w:hideMark/>
          </w:tcPr>
          <w:p w14:paraId="1B295D5E"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Accumulated depreciation/</w:t>
            </w:r>
            <w:r w:rsidRPr="00886FA0">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1CEFA6B5"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0DB3324"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445A732"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F2C0F11"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1BD57C1C" w14:textId="77777777" w:rsidTr="00886FA0">
        <w:trPr>
          <w:trHeight w:val="432"/>
          <w:jc w:val="center"/>
        </w:trPr>
        <w:tc>
          <w:tcPr>
            <w:tcW w:w="3281" w:type="dxa"/>
            <w:tcBorders>
              <w:top w:val="nil"/>
              <w:left w:val="nil"/>
              <w:bottom w:val="nil"/>
              <w:right w:val="nil"/>
            </w:tcBorders>
            <w:shd w:val="clear" w:color="auto" w:fill="auto"/>
            <w:vAlign w:val="bottom"/>
            <w:hideMark/>
          </w:tcPr>
          <w:p w14:paraId="2AA23E0F" w14:textId="77777777" w:rsidR="00886FA0" w:rsidRPr="00886FA0" w:rsidRDefault="00886FA0" w:rsidP="00886FA0">
            <w:pPr>
              <w:spacing w:after="0"/>
              <w:ind w:leftChars="75" w:left="143"/>
              <w:rPr>
                <w:rFonts w:ascii="Arial" w:hAnsi="Arial" w:cs="Arial"/>
                <w:sz w:val="16"/>
                <w:szCs w:val="16"/>
              </w:rPr>
            </w:pPr>
            <w:r w:rsidRPr="00886FA0">
              <w:rPr>
                <w:rFonts w:ascii="Arial" w:hAnsi="Arial" w:cs="Arial"/>
                <w:sz w:val="16"/>
                <w:szCs w:val="16"/>
              </w:rPr>
              <w:t xml:space="preserve">Accumulated depreciation/ amortisation and impairment - </w:t>
            </w:r>
            <w:proofErr w:type="spellStart"/>
            <w:r w:rsidRPr="00886FA0">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2D338344"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C3F9BED"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(137)</w:t>
            </w:r>
          </w:p>
        </w:tc>
        <w:tc>
          <w:tcPr>
            <w:tcW w:w="1020" w:type="dxa"/>
            <w:tcBorders>
              <w:top w:val="nil"/>
              <w:left w:val="nil"/>
              <w:bottom w:val="nil"/>
              <w:right w:val="nil"/>
            </w:tcBorders>
            <w:shd w:val="clear" w:color="auto" w:fill="auto"/>
            <w:noWrap/>
            <w:vAlign w:val="bottom"/>
            <w:hideMark/>
          </w:tcPr>
          <w:p w14:paraId="1F4D8CDF"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(8,713)</w:t>
            </w:r>
          </w:p>
        </w:tc>
        <w:tc>
          <w:tcPr>
            <w:tcW w:w="1020" w:type="dxa"/>
            <w:tcBorders>
              <w:top w:val="nil"/>
              <w:left w:val="nil"/>
              <w:bottom w:val="nil"/>
              <w:right w:val="nil"/>
            </w:tcBorders>
            <w:shd w:val="clear" w:color="auto" w:fill="auto"/>
            <w:noWrap/>
            <w:vAlign w:val="bottom"/>
            <w:hideMark/>
          </w:tcPr>
          <w:p w14:paraId="7D21FC35"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(8,850)</w:t>
            </w:r>
          </w:p>
        </w:tc>
      </w:tr>
      <w:tr w:rsidR="00886FA0" w:rsidRPr="00886FA0" w14:paraId="529B82B0"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68070594" w14:textId="77777777" w:rsidR="00886FA0" w:rsidRPr="00886FA0" w:rsidRDefault="00886FA0" w:rsidP="00886FA0">
            <w:pPr>
              <w:spacing w:after="0"/>
              <w:ind w:leftChars="75" w:left="143"/>
              <w:rPr>
                <w:rFonts w:ascii="Arial" w:hAnsi="Arial" w:cs="Arial"/>
                <w:b/>
                <w:bCs/>
                <w:color w:val="auto"/>
                <w:sz w:val="16"/>
                <w:szCs w:val="16"/>
              </w:rPr>
            </w:pPr>
            <w:r w:rsidRPr="00886FA0">
              <w:rPr>
                <w:rFonts w:ascii="Arial" w:hAnsi="Arial" w:cs="Arial"/>
                <w:b/>
                <w:bCs/>
                <w:color w:val="auto"/>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706DDC93"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14:paraId="41B3DD20"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11</w:t>
            </w:r>
          </w:p>
        </w:tc>
        <w:tc>
          <w:tcPr>
            <w:tcW w:w="1020" w:type="dxa"/>
            <w:tcBorders>
              <w:top w:val="single" w:sz="4" w:space="0" w:color="auto"/>
              <w:left w:val="nil"/>
              <w:bottom w:val="single" w:sz="4" w:space="0" w:color="auto"/>
              <w:right w:val="nil"/>
            </w:tcBorders>
            <w:shd w:val="clear" w:color="auto" w:fill="auto"/>
            <w:noWrap/>
            <w:vAlign w:val="bottom"/>
            <w:hideMark/>
          </w:tcPr>
          <w:p w14:paraId="2C36F9DB"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4,502</w:t>
            </w:r>
          </w:p>
        </w:tc>
        <w:tc>
          <w:tcPr>
            <w:tcW w:w="1020" w:type="dxa"/>
            <w:tcBorders>
              <w:top w:val="single" w:sz="4" w:space="0" w:color="auto"/>
              <w:left w:val="nil"/>
              <w:bottom w:val="single" w:sz="4" w:space="0" w:color="auto"/>
              <w:right w:val="nil"/>
            </w:tcBorders>
            <w:shd w:val="clear" w:color="auto" w:fill="auto"/>
            <w:noWrap/>
            <w:vAlign w:val="bottom"/>
            <w:hideMark/>
          </w:tcPr>
          <w:p w14:paraId="541C093E"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4,513</w:t>
            </w:r>
          </w:p>
        </w:tc>
      </w:tr>
      <w:tr w:rsidR="00886FA0" w:rsidRPr="00886FA0" w14:paraId="39E24A43" w14:textId="77777777" w:rsidTr="00886FA0">
        <w:trPr>
          <w:trHeight w:val="283"/>
          <w:jc w:val="center"/>
        </w:trPr>
        <w:tc>
          <w:tcPr>
            <w:tcW w:w="3281" w:type="dxa"/>
            <w:tcBorders>
              <w:top w:val="nil"/>
              <w:left w:val="nil"/>
              <w:bottom w:val="nil"/>
              <w:right w:val="nil"/>
            </w:tcBorders>
            <w:shd w:val="clear" w:color="auto" w:fill="auto"/>
            <w:noWrap/>
            <w:vAlign w:val="bottom"/>
            <w:hideMark/>
          </w:tcPr>
          <w:p w14:paraId="32F17ABF" w14:textId="77777777" w:rsidR="00886FA0" w:rsidRPr="00886FA0" w:rsidRDefault="00886FA0" w:rsidP="00886FA0">
            <w:pPr>
              <w:spacing w:after="0"/>
              <w:rPr>
                <w:rFonts w:ascii="Arial" w:hAnsi="Arial" w:cs="Arial"/>
                <w:b/>
                <w:bCs/>
                <w:color w:val="auto"/>
                <w:sz w:val="16"/>
                <w:szCs w:val="16"/>
              </w:rPr>
            </w:pPr>
            <w:r w:rsidRPr="00886FA0">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74FEBEEF" w14:textId="77777777" w:rsidR="00886FA0" w:rsidRPr="00886FA0" w:rsidRDefault="00886FA0" w:rsidP="00886FA0">
            <w:pPr>
              <w:spacing w:after="0"/>
              <w:rPr>
                <w:rFonts w:ascii="Arial" w:hAnsi="Arial" w:cs="Arial"/>
                <w:b/>
                <w:bCs/>
                <w:color w:val="auto"/>
                <w:sz w:val="16"/>
                <w:szCs w:val="16"/>
              </w:rPr>
            </w:pPr>
          </w:p>
        </w:tc>
        <w:tc>
          <w:tcPr>
            <w:tcW w:w="1020" w:type="dxa"/>
            <w:tcBorders>
              <w:top w:val="nil"/>
              <w:left w:val="nil"/>
              <w:bottom w:val="nil"/>
              <w:right w:val="nil"/>
            </w:tcBorders>
            <w:shd w:val="clear" w:color="auto" w:fill="auto"/>
            <w:noWrap/>
            <w:vAlign w:val="bottom"/>
            <w:hideMark/>
          </w:tcPr>
          <w:p w14:paraId="6BEFD6F3"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B16197E"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9DCE24C" w14:textId="77777777" w:rsidR="00886FA0" w:rsidRPr="00886FA0" w:rsidRDefault="00886FA0" w:rsidP="00886FA0">
            <w:pPr>
              <w:spacing w:after="0"/>
              <w:jc w:val="right"/>
              <w:rPr>
                <w:rFonts w:ascii="Times New Roman" w:hAnsi="Times New Roman"/>
                <w:color w:val="auto"/>
                <w:sz w:val="20"/>
              </w:rPr>
            </w:pPr>
          </w:p>
        </w:tc>
      </w:tr>
      <w:tr w:rsidR="00886FA0" w:rsidRPr="00886FA0" w14:paraId="2E78C72A" w14:textId="77777777" w:rsidTr="00886FA0">
        <w:trPr>
          <w:trHeight w:val="432"/>
          <w:jc w:val="center"/>
        </w:trPr>
        <w:tc>
          <w:tcPr>
            <w:tcW w:w="3281" w:type="dxa"/>
            <w:tcBorders>
              <w:top w:val="nil"/>
              <w:left w:val="nil"/>
              <w:bottom w:val="nil"/>
              <w:right w:val="nil"/>
            </w:tcBorders>
            <w:shd w:val="clear" w:color="auto" w:fill="auto"/>
            <w:vAlign w:val="bottom"/>
            <w:hideMark/>
          </w:tcPr>
          <w:p w14:paraId="3947BF36" w14:textId="77777777" w:rsidR="00886FA0" w:rsidRPr="00886FA0" w:rsidRDefault="00886FA0" w:rsidP="00886FA0">
            <w:pPr>
              <w:spacing w:after="0"/>
              <w:ind w:leftChars="75" w:left="143"/>
              <w:rPr>
                <w:rFonts w:ascii="Arial" w:hAnsi="Arial" w:cs="Arial"/>
                <w:b/>
                <w:bCs/>
                <w:color w:val="auto"/>
                <w:sz w:val="16"/>
                <w:szCs w:val="16"/>
              </w:rPr>
            </w:pPr>
            <w:r w:rsidRPr="00886FA0">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107F506A" w14:textId="77777777" w:rsidR="00886FA0" w:rsidRPr="00886FA0" w:rsidRDefault="00886FA0" w:rsidP="00886FA0">
            <w:pPr>
              <w:spacing w:after="0"/>
              <w:ind w:firstLineChars="100" w:firstLine="160"/>
              <w:rPr>
                <w:rFonts w:ascii="Arial" w:hAnsi="Arial" w:cs="Arial"/>
                <w:b/>
                <w:bCs/>
                <w:color w:val="auto"/>
                <w:sz w:val="16"/>
                <w:szCs w:val="16"/>
              </w:rPr>
            </w:pPr>
          </w:p>
        </w:tc>
        <w:tc>
          <w:tcPr>
            <w:tcW w:w="1020" w:type="dxa"/>
            <w:tcBorders>
              <w:top w:val="nil"/>
              <w:left w:val="nil"/>
              <w:bottom w:val="nil"/>
              <w:right w:val="nil"/>
            </w:tcBorders>
            <w:shd w:val="clear" w:color="auto" w:fill="auto"/>
            <w:noWrap/>
            <w:vAlign w:val="bottom"/>
            <w:hideMark/>
          </w:tcPr>
          <w:p w14:paraId="7F3CA528"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498E7A4"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8FB5F04" w14:textId="77777777" w:rsidR="00886FA0" w:rsidRPr="00886FA0" w:rsidRDefault="00886FA0" w:rsidP="00886FA0">
            <w:pPr>
              <w:spacing w:after="0"/>
              <w:jc w:val="right"/>
              <w:rPr>
                <w:rFonts w:ascii="Times New Roman" w:hAnsi="Times New Roman"/>
                <w:color w:val="auto"/>
                <w:sz w:val="20"/>
              </w:rPr>
            </w:pPr>
          </w:p>
        </w:tc>
      </w:tr>
      <w:tr w:rsidR="00886FA0" w:rsidRPr="00886FA0" w14:paraId="4CBAE46A"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6A7D5E43"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By purchase - appropriation equity</w:t>
            </w:r>
          </w:p>
        </w:tc>
        <w:tc>
          <w:tcPr>
            <w:tcW w:w="1020" w:type="dxa"/>
            <w:tcBorders>
              <w:top w:val="nil"/>
              <w:left w:val="nil"/>
              <w:bottom w:val="nil"/>
              <w:right w:val="nil"/>
            </w:tcBorders>
            <w:shd w:val="clear" w:color="auto" w:fill="auto"/>
            <w:noWrap/>
            <w:vAlign w:val="bottom"/>
            <w:hideMark/>
          </w:tcPr>
          <w:p w14:paraId="66961F88"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8449387"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9DC63D4"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6EEA849"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6D513874" w14:textId="77777777" w:rsidTr="00886FA0">
        <w:trPr>
          <w:trHeight w:val="425"/>
          <w:jc w:val="center"/>
        </w:trPr>
        <w:tc>
          <w:tcPr>
            <w:tcW w:w="3281" w:type="dxa"/>
            <w:tcBorders>
              <w:top w:val="nil"/>
              <w:left w:val="nil"/>
              <w:bottom w:val="nil"/>
              <w:right w:val="nil"/>
            </w:tcBorders>
            <w:shd w:val="clear" w:color="auto" w:fill="auto"/>
            <w:vAlign w:val="bottom"/>
            <w:hideMark/>
          </w:tcPr>
          <w:p w14:paraId="38D9A5ED"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14:paraId="10BF52C3"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6D6B844"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667CFBC"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79940A2"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17640DF6"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5FEF9D6B"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By purchase - internal resources</w:t>
            </w:r>
          </w:p>
        </w:tc>
        <w:tc>
          <w:tcPr>
            <w:tcW w:w="1020" w:type="dxa"/>
            <w:tcBorders>
              <w:top w:val="nil"/>
              <w:left w:val="nil"/>
              <w:bottom w:val="nil"/>
              <w:right w:val="nil"/>
            </w:tcBorders>
            <w:shd w:val="clear" w:color="auto" w:fill="auto"/>
            <w:noWrap/>
            <w:vAlign w:val="bottom"/>
            <w:hideMark/>
          </w:tcPr>
          <w:p w14:paraId="067705A4"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F200A0B"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B2E1AF1"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2CC6C50"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71EA56CF"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7478421F" w14:textId="77777777" w:rsidR="00886FA0" w:rsidRPr="00886FA0" w:rsidRDefault="00886FA0" w:rsidP="00886FA0">
            <w:pPr>
              <w:spacing w:after="0"/>
              <w:ind w:leftChars="75" w:left="143"/>
              <w:rPr>
                <w:rFonts w:ascii="Arial" w:hAnsi="Arial" w:cs="Arial"/>
                <w:b/>
                <w:bCs/>
                <w:sz w:val="16"/>
                <w:szCs w:val="16"/>
              </w:rPr>
            </w:pPr>
            <w:r w:rsidRPr="00886FA0">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448DA276"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89E64CF"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3F8E07CE"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46CE42ED"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734233BB" w14:textId="77777777" w:rsidTr="00886FA0">
        <w:trPr>
          <w:trHeight w:val="283"/>
          <w:jc w:val="center"/>
        </w:trPr>
        <w:tc>
          <w:tcPr>
            <w:tcW w:w="3281" w:type="dxa"/>
            <w:tcBorders>
              <w:top w:val="nil"/>
              <w:left w:val="nil"/>
              <w:bottom w:val="nil"/>
              <w:right w:val="nil"/>
            </w:tcBorders>
            <w:shd w:val="clear" w:color="auto" w:fill="auto"/>
            <w:noWrap/>
            <w:vAlign w:val="bottom"/>
            <w:hideMark/>
          </w:tcPr>
          <w:p w14:paraId="461145CD" w14:textId="77777777" w:rsidR="00886FA0" w:rsidRPr="00886FA0" w:rsidRDefault="00886FA0" w:rsidP="00886FA0">
            <w:pPr>
              <w:spacing w:after="0"/>
              <w:rPr>
                <w:rFonts w:ascii="Arial" w:hAnsi="Arial" w:cs="Arial"/>
                <w:b/>
                <w:bCs/>
                <w:color w:val="auto"/>
                <w:sz w:val="16"/>
                <w:szCs w:val="16"/>
              </w:rPr>
            </w:pPr>
            <w:r w:rsidRPr="00886FA0">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1FAF9407" w14:textId="77777777" w:rsidR="00886FA0" w:rsidRPr="00886FA0" w:rsidRDefault="00886FA0" w:rsidP="00886FA0">
            <w:pPr>
              <w:spacing w:after="0"/>
              <w:rPr>
                <w:rFonts w:ascii="Arial" w:hAnsi="Arial" w:cs="Arial"/>
                <w:b/>
                <w:bCs/>
                <w:color w:val="auto"/>
                <w:sz w:val="16"/>
                <w:szCs w:val="16"/>
              </w:rPr>
            </w:pPr>
          </w:p>
        </w:tc>
        <w:tc>
          <w:tcPr>
            <w:tcW w:w="1020" w:type="dxa"/>
            <w:tcBorders>
              <w:top w:val="nil"/>
              <w:left w:val="nil"/>
              <w:bottom w:val="nil"/>
              <w:right w:val="nil"/>
            </w:tcBorders>
            <w:shd w:val="clear" w:color="auto" w:fill="auto"/>
            <w:noWrap/>
            <w:vAlign w:val="bottom"/>
            <w:hideMark/>
          </w:tcPr>
          <w:p w14:paraId="2DCEA01E"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AE174FD"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65202CC" w14:textId="77777777" w:rsidR="00886FA0" w:rsidRPr="00886FA0" w:rsidRDefault="00886FA0" w:rsidP="00886FA0">
            <w:pPr>
              <w:spacing w:after="0"/>
              <w:jc w:val="right"/>
              <w:rPr>
                <w:rFonts w:ascii="Times New Roman" w:hAnsi="Times New Roman"/>
                <w:color w:val="auto"/>
                <w:sz w:val="20"/>
              </w:rPr>
            </w:pPr>
          </w:p>
        </w:tc>
      </w:tr>
      <w:tr w:rsidR="00886FA0" w:rsidRPr="00886FA0" w14:paraId="6815CC10"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4DC79527"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7CB1DBB2"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E463665"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6A1AEE8"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3C001E7"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6E355D45"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27427727" w14:textId="77777777" w:rsidR="00886FA0" w:rsidRPr="00886FA0" w:rsidRDefault="00886FA0" w:rsidP="00886FA0">
            <w:pPr>
              <w:spacing w:after="0"/>
              <w:ind w:leftChars="75" w:left="143"/>
              <w:rPr>
                <w:rFonts w:ascii="Arial" w:hAnsi="Arial" w:cs="Arial"/>
                <w:sz w:val="16"/>
                <w:szCs w:val="16"/>
              </w:rPr>
            </w:pPr>
            <w:r w:rsidRPr="00886FA0">
              <w:rPr>
                <w:rFonts w:ascii="Arial" w:hAnsi="Arial" w:cs="Arial"/>
                <w:sz w:val="16"/>
                <w:szCs w:val="16"/>
              </w:rPr>
              <w:t xml:space="preserve">Depreciation/amortisation expense - </w:t>
            </w:r>
            <w:proofErr w:type="spellStart"/>
            <w:r w:rsidRPr="00886FA0">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3BE1D7E1"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2239BDE"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B1F7848"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1561375"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58E65AEC"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1048243E" w14:textId="77777777" w:rsidR="00886FA0" w:rsidRPr="00886FA0" w:rsidRDefault="00886FA0" w:rsidP="00886FA0">
            <w:pPr>
              <w:spacing w:after="0"/>
              <w:ind w:leftChars="75" w:left="143"/>
              <w:rPr>
                <w:rFonts w:ascii="Arial" w:hAnsi="Arial" w:cs="Arial"/>
                <w:b/>
                <w:bCs/>
                <w:sz w:val="16"/>
                <w:szCs w:val="16"/>
              </w:rPr>
            </w:pPr>
            <w:r w:rsidRPr="00886FA0">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3AA321E2"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1F57C042"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4775FB3"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729F0095"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2287A50C" w14:textId="77777777" w:rsidTr="00886FA0">
        <w:trPr>
          <w:trHeight w:val="283"/>
          <w:jc w:val="center"/>
        </w:trPr>
        <w:tc>
          <w:tcPr>
            <w:tcW w:w="3281" w:type="dxa"/>
            <w:tcBorders>
              <w:top w:val="nil"/>
              <w:left w:val="nil"/>
              <w:bottom w:val="nil"/>
              <w:right w:val="nil"/>
            </w:tcBorders>
            <w:shd w:val="clear" w:color="auto" w:fill="auto"/>
            <w:noWrap/>
            <w:vAlign w:val="bottom"/>
            <w:hideMark/>
          </w:tcPr>
          <w:p w14:paraId="183B073F" w14:textId="77777777" w:rsidR="00886FA0" w:rsidRPr="00886FA0" w:rsidRDefault="00886FA0" w:rsidP="00886FA0">
            <w:pPr>
              <w:spacing w:after="0"/>
              <w:rPr>
                <w:rFonts w:ascii="Arial" w:hAnsi="Arial" w:cs="Arial"/>
                <w:b/>
                <w:bCs/>
                <w:color w:val="auto"/>
                <w:sz w:val="16"/>
                <w:szCs w:val="16"/>
              </w:rPr>
            </w:pPr>
            <w:r w:rsidRPr="00886FA0">
              <w:rPr>
                <w:rFonts w:ascii="Arial" w:hAnsi="Arial" w:cs="Arial"/>
                <w:b/>
                <w:bCs/>
                <w:color w:val="auto"/>
                <w:sz w:val="16"/>
                <w:szCs w:val="16"/>
              </w:rPr>
              <w:t>As at 30 June 2023</w:t>
            </w:r>
          </w:p>
        </w:tc>
        <w:tc>
          <w:tcPr>
            <w:tcW w:w="1020" w:type="dxa"/>
            <w:tcBorders>
              <w:top w:val="nil"/>
              <w:left w:val="nil"/>
              <w:bottom w:val="nil"/>
              <w:right w:val="nil"/>
            </w:tcBorders>
            <w:shd w:val="clear" w:color="auto" w:fill="auto"/>
            <w:noWrap/>
            <w:vAlign w:val="bottom"/>
            <w:hideMark/>
          </w:tcPr>
          <w:p w14:paraId="2B91CADD" w14:textId="77777777" w:rsidR="00886FA0" w:rsidRPr="00886FA0" w:rsidRDefault="00886FA0" w:rsidP="00886FA0">
            <w:pPr>
              <w:spacing w:after="0"/>
              <w:rPr>
                <w:rFonts w:ascii="Arial" w:hAnsi="Arial" w:cs="Arial"/>
                <w:b/>
                <w:bCs/>
                <w:color w:val="auto"/>
                <w:sz w:val="16"/>
                <w:szCs w:val="16"/>
              </w:rPr>
            </w:pPr>
          </w:p>
        </w:tc>
        <w:tc>
          <w:tcPr>
            <w:tcW w:w="1020" w:type="dxa"/>
            <w:tcBorders>
              <w:top w:val="nil"/>
              <w:left w:val="nil"/>
              <w:bottom w:val="nil"/>
              <w:right w:val="nil"/>
            </w:tcBorders>
            <w:shd w:val="clear" w:color="auto" w:fill="auto"/>
            <w:noWrap/>
            <w:vAlign w:val="bottom"/>
            <w:hideMark/>
          </w:tcPr>
          <w:p w14:paraId="132044FF"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803B3C4" w14:textId="77777777" w:rsidR="00886FA0" w:rsidRPr="00886FA0" w:rsidRDefault="00886FA0" w:rsidP="00886FA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1144AD6" w14:textId="77777777" w:rsidR="00886FA0" w:rsidRPr="00886FA0" w:rsidRDefault="00886FA0" w:rsidP="00886FA0">
            <w:pPr>
              <w:spacing w:after="0"/>
              <w:jc w:val="right"/>
              <w:rPr>
                <w:rFonts w:ascii="Times New Roman" w:hAnsi="Times New Roman"/>
                <w:color w:val="auto"/>
                <w:sz w:val="20"/>
              </w:rPr>
            </w:pPr>
          </w:p>
        </w:tc>
      </w:tr>
      <w:tr w:rsidR="00886FA0" w:rsidRPr="00886FA0" w14:paraId="3FF48220" w14:textId="77777777" w:rsidTr="00886FA0">
        <w:trPr>
          <w:trHeight w:val="225"/>
          <w:jc w:val="center"/>
        </w:trPr>
        <w:tc>
          <w:tcPr>
            <w:tcW w:w="3281" w:type="dxa"/>
            <w:tcBorders>
              <w:top w:val="nil"/>
              <w:left w:val="nil"/>
              <w:bottom w:val="nil"/>
              <w:right w:val="nil"/>
            </w:tcBorders>
            <w:shd w:val="clear" w:color="auto" w:fill="auto"/>
            <w:noWrap/>
            <w:vAlign w:val="bottom"/>
            <w:hideMark/>
          </w:tcPr>
          <w:p w14:paraId="48D384C4"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75993103"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0FA29D1"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148</w:t>
            </w:r>
          </w:p>
        </w:tc>
        <w:tc>
          <w:tcPr>
            <w:tcW w:w="1020" w:type="dxa"/>
            <w:tcBorders>
              <w:top w:val="nil"/>
              <w:left w:val="nil"/>
              <w:bottom w:val="nil"/>
              <w:right w:val="nil"/>
            </w:tcBorders>
            <w:shd w:val="clear" w:color="auto" w:fill="auto"/>
            <w:noWrap/>
            <w:vAlign w:val="bottom"/>
            <w:hideMark/>
          </w:tcPr>
          <w:p w14:paraId="6822F5CA"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13,215</w:t>
            </w:r>
          </w:p>
        </w:tc>
        <w:tc>
          <w:tcPr>
            <w:tcW w:w="1020" w:type="dxa"/>
            <w:tcBorders>
              <w:top w:val="nil"/>
              <w:left w:val="nil"/>
              <w:bottom w:val="nil"/>
              <w:right w:val="nil"/>
            </w:tcBorders>
            <w:shd w:val="clear" w:color="auto" w:fill="auto"/>
            <w:noWrap/>
            <w:vAlign w:val="bottom"/>
            <w:hideMark/>
          </w:tcPr>
          <w:p w14:paraId="203C2F6F"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13,363</w:t>
            </w:r>
          </w:p>
        </w:tc>
      </w:tr>
      <w:tr w:rsidR="00886FA0" w:rsidRPr="00886FA0" w14:paraId="4FBE8879" w14:textId="77777777" w:rsidTr="00886FA0">
        <w:trPr>
          <w:trHeight w:val="225"/>
          <w:jc w:val="center"/>
        </w:trPr>
        <w:tc>
          <w:tcPr>
            <w:tcW w:w="3281" w:type="dxa"/>
            <w:tcBorders>
              <w:top w:val="nil"/>
              <w:left w:val="nil"/>
              <w:bottom w:val="nil"/>
              <w:right w:val="nil"/>
            </w:tcBorders>
            <w:shd w:val="clear" w:color="auto" w:fill="auto"/>
            <w:vAlign w:val="bottom"/>
            <w:hideMark/>
          </w:tcPr>
          <w:p w14:paraId="2230E66F"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 xml:space="preserve">Gross book value - </w:t>
            </w:r>
            <w:proofErr w:type="spellStart"/>
            <w:r w:rsidRPr="00886FA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4904FDE0"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F8C5423"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584B3C9"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EF1DD2A"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52CB91F6" w14:textId="77777777" w:rsidTr="00886FA0">
        <w:trPr>
          <w:trHeight w:val="432"/>
          <w:jc w:val="center"/>
        </w:trPr>
        <w:tc>
          <w:tcPr>
            <w:tcW w:w="3281" w:type="dxa"/>
            <w:tcBorders>
              <w:top w:val="nil"/>
              <w:left w:val="nil"/>
              <w:bottom w:val="nil"/>
              <w:right w:val="nil"/>
            </w:tcBorders>
            <w:shd w:val="clear" w:color="auto" w:fill="auto"/>
            <w:vAlign w:val="bottom"/>
            <w:hideMark/>
          </w:tcPr>
          <w:p w14:paraId="5B86594E" w14:textId="77777777" w:rsidR="00886FA0" w:rsidRPr="00886FA0" w:rsidRDefault="00886FA0" w:rsidP="00886FA0">
            <w:pPr>
              <w:spacing w:after="0"/>
              <w:ind w:leftChars="75" w:left="143"/>
              <w:rPr>
                <w:rFonts w:ascii="Arial" w:hAnsi="Arial" w:cs="Arial"/>
                <w:color w:val="auto"/>
                <w:sz w:val="16"/>
                <w:szCs w:val="16"/>
              </w:rPr>
            </w:pPr>
            <w:r w:rsidRPr="00886FA0">
              <w:rPr>
                <w:rFonts w:ascii="Arial" w:hAnsi="Arial" w:cs="Arial"/>
                <w:color w:val="auto"/>
                <w:sz w:val="16"/>
                <w:szCs w:val="16"/>
              </w:rPr>
              <w:t>Accumulated depreciation/</w:t>
            </w:r>
            <w:r w:rsidRPr="00886FA0">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4C1CECE3"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CB89B5B"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12CB233"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ABD1496"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r>
      <w:tr w:rsidR="00886FA0" w:rsidRPr="00886FA0" w14:paraId="2FC4EB29" w14:textId="77777777" w:rsidTr="00886FA0">
        <w:trPr>
          <w:trHeight w:val="432"/>
          <w:jc w:val="center"/>
        </w:trPr>
        <w:tc>
          <w:tcPr>
            <w:tcW w:w="3281" w:type="dxa"/>
            <w:tcBorders>
              <w:top w:val="nil"/>
              <w:left w:val="nil"/>
              <w:bottom w:val="nil"/>
              <w:right w:val="nil"/>
            </w:tcBorders>
            <w:shd w:val="clear" w:color="auto" w:fill="auto"/>
            <w:vAlign w:val="bottom"/>
            <w:hideMark/>
          </w:tcPr>
          <w:p w14:paraId="66AB718B" w14:textId="77777777" w:rsidR="00886FA0" w:rsidRPr="00886FA0" w:rsidRDefault="00886FA0" w:rsidP="00886FA0">
            <w:pPr>
              <w:spacing w:after="0"/>
              <w:ind w:leftChars="75" w:left="143"/>
              <w:rPr>
                <w:rFonts w:ascii="Arial" w:hAnsi="Arial" w:cs="Arial"/>
                <w:sz w:val="16"/>
                <w:szCs w:val="16"/>
              </w:rPr>
            </w:pPr>
            <w:r w:rsidRPr="00886FA0">
              <w:rPr>
                <w:rFonts w:ascii="Arial" w:hAnsi="Arial" w:cs="Arial"/>
                <w:sz w:val="16"/>
                <w:szCs w:val="16"/>
              </w:rPr>
              <w:t xml:space="preserve">Accumulated depreciation/ amortisation and impairment - </w:t>
            </w:r>
            <w:proofErr w:type="spellStart"/>
            <w:r w:rsidRPr="00886FA0">
              <w:rPr>
                <w:rFonts w:ascii="Arial" w:hAnsi="Arial" w:cs="Arial"/>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5A2FBFE8"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74E1FC06"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(137)</w:t>
            </w:r>
          </w:p>
        </w:tc>
        <w:tc>
          <w:tcPr>
            <w:tcW w:w="1020" w:type="dxa"/>
            <w:tcBorders>
              <w:top w:val="nil"/>
              <w:left w:val="nil"/>
              <w:bottom w:val="single" w:sz="4" w:space="0" w:color="auto"/>
              <w:right w:val="nil"/>
            </w:tcBorders>
            <w:shd w:val="clear" w:color="auto" w:fill="auto"/>
            <w:noWrap/>
            <w:vAlign w:val="bottom"/>
            <w:hideMark/>
          </w:tcPr>
          <w:p w14:paraId="1C8E5CBB" w14:textId="77777777" w:rsidR="00886FA0" w:rsidRPr="00886FA0" w:rsidRDefault="00886FA0" w:rsidP="00886FA0">
            <w:pPr>
              <w:spacing w:after="0"/>
              <w:jc w:val="right"/>
              <w:rPr>
                <w:rFonts w:ascii="Arial" w:hAnsi="Arial" w:cs="Arial"/>
                <w:sz w:val="16"/>
                <w:szCs w:val="16"/>
              </w:rPr>
            </w:pPr>
            <w:r w:rsidRPr="00886FA0">
              <w:rPr>
                <w:rFonts w:ascii="Arial" w:hAnsi="Arial" w:cs="Arial"/>
                <w:sz w:val="16"/>
                <w:szCs w:val="16"/>
              </w:rPr>
              <w:t>(8,713)</w:t>
            </w:r>
          </w:p>
        </w:tc>
        <w:tc>
          <w:tcPr>
            <w:tcW w:w="1020" w:type="dxa"/>
            <w:tcBorders>
              <w:top w:val="nil"/>
              <w:left w:val="nil"/>
              <w:bottom w:val="nil"/>
              <w:right w:val="nil"/>
            </w:tcBorders>
            <w:shd w:val="clear" w:color="auto" w:fill="auto"/>
            <w:noWrap/>
            <w:vAlign w:val="bottom"/>
            <w:hideMark/>
          </w:tcPr>
          <w:p w14:paraId="1C8830CD"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(8,850)</w:t>
            </w:r>
          </w:p>
        </w:tc>
      </w:tr>
      <w:tr w:rsidR="00886FA0" w:rsidRPr="00886FA0" w14:paraId="39BBBC39" w14:textId="77777777" w:rsidTr="00886FA0">
        <w:trPr>
          <w:trHeight w:val="225"/>
          <w:jc w:val="center"/>
        </w:trPr>
        <w:tc>
          <w:tcPr>
            <w:tcW w:w="3281" w:type="dxa"/>
            <w:tcBorders>
              <w:top w:val="nil"/>
              <w:left w:val="nil"/>
              <w:bottom w:val="single" w:sz="4" w:space="0" w:color="auto"/>
              <w:right w:val="nil"/>
            </w:tcBorders>
            <w:shd w:val="clear" w:color="auto" w:fill="auto"/>
            <w:noWrap/>
            <w:vAlign w:val="bottom"/>
            <w:hideMark/>
          </w:tcPr>
          <w:p w14:paraId="307E50B3" w14:textId="77777777" w:rsidR="00886FA0" w:rsidRPr="00886FA0" w:rsidRDefault="00886FA0" w:rsidP="00886FA0">
            <w:pPr>
              <w:spacing w:after="0"/>
              <w:ind w:leftChars="75" w:left="143"/>
              <w:rPr>
                <w:rFonts w:ascii="Arial" w:hAnsi="Arial" w:cs="Arial"/>
                <w:b/>
                <w:bCs/>
                <w:color w:val="auto"/>
                <w:sz w:val="16"/>
                <w:szCs w:val="16"/>
              </w:rPr>
            </w:pPr>
            <w:r w:rsidRPr="00886FA0">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78EA9D78"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5BA7F882"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11</w:t>
            </w:r>
          </w:p>
        </w:tc>
        <w:tc>
          <w:tcPr>
            <w:tcW w:w="1020" w:type="dxa"/>
            <w:tcBorders>
              <w:top w:val="nil"/>
              <w:left w:val="nil"/>
              <w:bottom w:val="single" w:sz="4" w:space="0" w:color="auto"/>
              <w:right w:val="nil"/>
            </w:tcBorders>
            <w:shd w:val="clear" w:color="auto" w:fill="auto"/>
            <w:noWrap/>
            <w:vAlign w:val="bottom"/>
            <w:hideMark/>
          </w:tcPr>
          <w:p w14:paraId="55F56D11"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4,502</w:t>
            </w:r>
          </w:p>
        </w:tc>
        <w:tc>
          <w:tcPr>
            <w:tcW w:w="1020" w:type="dxa"/>
            <w:tcBorders>
              <w:top w:val="single" w:sz="4" w:space="0" w:color="auto"/>
              <w:left w:val="nil"/>
              <w:bottom w:val="single" w:sz="4" w:space="0" w:color="auto"/>
              <w:right w:val="nil"/>
            </w:tcBorders>
            <w:shd w:val="clear" w:color="auto" w:fill="auto"/>
            <w:noWrap/>
            <w:vAlign w:val="bottom"/>
            <w:hideMark/>
          </w:tcPr>
          <w:p w14:paraId="4365F6D9" w14:textId="77777777" w:rsidR="00886FA0" w:rsidRPr="00886FA0" w:rsidRDefault="00886FA0" w:rsidP="00886FA0">
            <w:pPr>
              <w:spacing w:after="0"/>
              <w:jc w:val="right"/>
              <w:rPr>
                <w:rFonts w:ascii="Arial" w:hAnsi="Arial" w:cs="Arial"/>
                <w:b/>
                <w:bCs/>
                <w:sz w:val="16"/>
                <w:szCs w:val="16"/>
              </w:rPr>
            </w:pPr>
            <w:r w:rsidRPr="00886FA0">
              <w:rPr>
                <w:rFonts w:ascii="Arial" w:hAnsi="Arial" w:cs="Arial"/>
                <w:b/>
                <w:bCs/>
                <w:sz w:val="16"/>
                <w:szCs w:val="16"/>
              </w:rPr>
              <w:t>4,513</w:t>
            </w:r>
          </w:p>
        </w:tc>
      </w:tr>
    </w:tbl>
    <w:p w14:paraId="6639E823" w14:textId="6453765D" w:rsidR="00B96D12" w:rsidRPr="00990434" w:rsidRDefault="00886FA0" w:rsidP="0026049D">
      <w:pPr>
        <w:pStyle w:val="FootnoteText"/>
        <w:spacing w:before="120"/>
        <w:rPr>
          <w:rFonts w:cs="Arial"/>
          <w:color w:val="auto"/>
          <w:sz w:val="16"/>
          <w:szCs w:val="16"/>
        </w:rPr>
      </w:pPr>
      <w:proofErr w:type="spellStart"/>
      <w:r>
        <w:t>RoU</w:t>
      </w:r>
      <w:proofErr w:type="spellEnd"/>
      <w:r>
        <w:t xml:space="preserve"> = Right-of-Use asset</w:t>
      </w:r>
    </w:p>
    <w:sectPr w:rsidR="00B96D12" w:rsidRPr="00990434" w:rsidSect="00357948">
      <w:headerReference w:type="default"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9832" w14:textId="77777777" w:rsidR="003A10E8" w:rsidRDefault="003A10E8" w:rsidP="00913388">
      <w:pPr>
        <w:spacing w:after="0"/>
      </w:pPr>
      <w:r>
        <w:separator/>
      </w:r>
    </w:p>
  </w:endnote>
  <w:endnote w:type="continuationSeparator" w:id="0">
    <w:p w14:paraId="07C88B67" w14:textId="77777777" w:rsidR="003A10E8" w:rsidRDefault="003A10E8"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6022" w14:textId="3D3AA32E" w:rsidR="003A10E8" w:rsidRPr="00D1120D" w:rsidRDefault="003A10E8" w:rsidP="00D1120D">
    <w:pPr>
      <w:pStyle w:val="FooterEven"/>
      <w:pBdr>
        <w:top w:val="single" w:sz="4" w:space="10" w:color="auto"/>
      </w:pBdr>
      <w:rPr>
        <w:sz w:val="18"/>
        <w:szCs w:val="18"/>
      </w:rPr>
    </w:pPr>
    <w:r w:rsidRPr="00D1120D">
      <w:rPr>
        <w:rStyle w:val="PageNumber"/>
        <w:b/>
        <w:bCs/>
        <w:color w:val="000000"/>
        <w:sz w:val="18"/>
        <w:szCs w:val="18"/>
      </w:rPr>
      <w:t xml:space="preserve">Page </w:t>
    </w:r>
    <w:r w:rsidRPr="00D1120D">
      <w:rPr>
        <w:rStyle w:val="PageNumber"/>
        <w:b/>
        <w:bCs/>
        <w:color w:val="000000"/>
        <w:sz w:val="18"/>
        <w:szCs w:val="18"/>
      </w:rPr>
      <w:fldChar w:fldCharType="begin"/>
    </w:r>
    <w:r w:rsidRPr="00D1120D">
      <w:rPr>
        <w:rStyle w:val="PageNumber"/>
        <w:b/>
        <w:bCs/>
        <w:color w:val="000000"/>
        <w:sz w:val="18"/>
        <w:szCs w:val="18"/>
      </w:rPr>
      <w:instrText xml:space="preserve"> PAGE </w:instrText>
    </w:r>
    <w:r w:rsidRPr="00D1120D">
      <w:rPr>
        <w:rStyle w:val="PageNumber"/>
        <w:b/>
        <w:bCs/>
        <w:color w:val="000000"/>
        <w:sz w:val="18"/>
        <w:szCs w:val="18"/>
      </w:rPr>
      <w:fldChar w:fldCharType="separate"/>
    </w:r>
    <w:r w:rsidR="00F3095E">
      <w:rPr>
        <w:rStyle w:val="PageNumber"/>
        <w:b/>
        <w:bCs/>
        <w:noProof/>
        <w:color w:val="000000"/>
        <w:sz w:val="18"/>
        <w:szCs w:val="18"/>
      </w:rPr>
      <w:t>324</w:t>
    </w:r>
    <w:r w:rsidRPr="00D1120D">
      <w:rPr>
        <w:rStyle w:val="PageNumber"/>
        <w:b/>
        <w:bCs/>
        <w:color w:val="000000"/>
        <w:sz w:val="18"/>
        <w:szCs w:val="18"/>
      </w:rPr>
      <w:fldChar w:fldCharType="end"/>
    </w:r>
    <w:r w:rsidRPr="00D1120D">
      <w:rPr>
        <w:rStyle w:val="PageNumber"/>
        <w:color w:val="000000"/>
        <w:sz w:val="18"/>
        <w:szCs w:val="18"/>
      </w:rPr>
      <w:t xml:space="preserve">  </w:t>
    </w:r>
    <w:proofErr w:type="gramStart"/>
    <w:r w:rsidRPr="00D1120D">
      <w:rPr>
        <w:rStyle w:val="PageNumber"/>
        <w:color w:val="000000"/>
        <w:sz w:val="18"/>
        <w:szCs w:val="18"/>
      </w:rPr>
      <w:t xml:space="preserve">|  </w:t>
    </w:r>
    <w:proofErr w:type="gramEnd"/>
    <w:r w:rsidRPr="00D1120D">
      <w:rPr>
        <w:rStyle w:val="PageNumber"/>
        <w:color w:val="000000"/>
        <w:sz w:val="18"/>
        <w:szCs w:val="18"/>
      </w:rPr>
      <w:fldChar w:fldCharType="begin"/>
    </w:r>
    <w:r w:rsidRPr="00D1120D">
      <w:rPr>
        <w:rStyle w:val="PageNumber"/>
        <w:color w:val="000000"/>
        <w:sz w:val="18"/>
        <w:szCs w:val="18"/>
      </w:rPr>
      <w:instrText xml:space="preserve"> STYLEREF  "Heading 1"  \* MERGEFORMAT </w:instrText>
    </w:r>
    <w:r w:rsidRPr="00D1120D">
      <w:rPr>
        <w:rStyle w:val="PageNumber"/>
        <w:color w:val="000000"/>
        <w:sz w:val="18"/>
        <w:szCs w:val="18"/>
      </w:rPr>
      <w:fldChar w:fldCharType="separate"/>
    </w:r>
    <w:r w:rsidR="00F3095E">
      <w:rPr>
        <w:rStyle w:val="PageNumber"/>
        <w:noProof/>
        <w:color w:val="000000"/>
        <w:sz w:val="18"/>
        <w:szCs w:val="18"/>
      </w:rPr>
      <w:t>National Blood Authority</w:t>
    </w:r>
    <w:r w:rsidRPr="00D1120D">
      <w:rPr>
        <w:rStyle w:val="PageNumbe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11F0" w14:textId="42C2DE3D" w:rsidR="003A10E8" w:rsidRDefault="003A10E8" w:rsidP="00D03F32">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5230BD" w:rsidRPr="005230BD">
      <w:rPr>
        <w:rStyle w:val="PageNumber"/>
        <w:bCs/>
        <w:noProof/>
        <w:lang w:val="en-US"/>
      </w:rPr>
      <w:t>National Blood Authority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230BD">
      <w:rPr>
        <w:rStyle w:val="PageNumber"/>
        <w:b/>
        <w:bCs/>
        <w:noProof/>
      </w:rPr>
      <w:t>301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DFA0" w14:textId="77777777" w:rsidR="005230BD" w:rsidRDefault="005230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5CEA" w14:textId="7B54494B" w:rsidR="003A10E8" w:rsidRDefault="003A10E8" w:rsidP="00D03F32">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F3095E" w:rsidRPr="00F3095E">
      <w:rPr>
        <w:rStyle w:val="PageNumber"/>
        <w:bCs/>
        <w:noProof/>
        <w:lang w:val="en-US"/>
      </w:rPr>
      <w:t>National Blood Authority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F3095E">
      <w:rPr>
        <w:rStyle w:val="PageNumber"/>
        <w:b/>
        <w:bCs/>
        <w:noProof/>
      </w:rPr>
      <w:t>321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3465C" w14:textId="77777777" w:rsidR="003A10E8" w:rsidRDefault="003A10E8" w:rsidP="00913388">
      <w:pPr>
        <w:spacing w:after="0"/>
      </w:pPr>
      <w:r>
        <w:separator/>
      </w:r>
    </w:p>
  </w:footnote>
  <w:footnote w:type="continuationSeparator" w:id="0">
    <w:p w14:paraId="55CEACE0" w14:textId="77777777" w:rsidR="003A10E8" w:rsidRDefault="003A10E8" w:rsidP="00913388">
      <w:pPr>
        <w:spacing w:after="0"/>
      </w:pPr>
      <w:r>
        <w:continuationSeparator/>
      </w:r>
    </w:p>
  </w:footnote>
  <w:footnote w:id="1">
    <w:p w14:paraId="372137C7" w14:textId="30E768EE" w:rsidR="003A10E8" w:rsidRPr="007D7165" w:rsidRDefault="003A10E8" w:rsidP="009C2E99">
      <w:pPr>
        <w:pStyle w:val="FootnoteText"/>
        <w:spacing w:before="30"/>
        <w:rPr>
          <w:color w:val="auto"/>
        </w:rPr>
      </w:pPr>
      <w:r>
        <w:rPr>
          <w:rStyle w:val="FootnoteReference"/>
        </w:rPr>
        <w:footnoteRef/>
      </w:r>
      <w:r>
        <w:tab/>
      </w:r>
      <w:r w:rsidRPr="00AE0682">
        <w:t xml:space="preserve">For more information about the strategic direction of the </w:t>
      </w:r>
      <w:r>
        <w:t>NBA</w:t>
      </w:r>
      <w:r w:rsidRPr="00AE0682">
        <w:t xml:space="preserve">, refer to the current Corporate Plan, available at: </w:t>
      </w:r>
      <w:r w:rsidRPr="00753120">
        <w:t>www.blood.gov.au/about-nba</w:t>
      </w:r>
    </w:p>
  </w:footnote>
  <w:footnote w:id="2">
    <w:p w14:paraId="1065AFD4" w14:textId="7BEB1246" w:rsidR="003A10E8" w:rsidRDefault="003A10E8" w:rsidP="009C2E99">
      <w:pPr>
        <w:pStyle w:val="FootnoteText"/>
        <w:spacing w:before="30"/>
      </w:pPr>
      <w:r>
        <w:rPr>
          <w:rStyle w:val="FootnoteReference"/>
        </w:rPr>
        <w:footnoteRef/>
      </w:r>
      <w:r>
        <w:tab/>
        <w:t>Fractionated products are those derived from human plasma while recombinant products are those manufactured through commercial scale expression of proteins from cell lines modified using recombinant gene technology.</w:t>
      </w:r>
    </w:p>
  </w:footnote>
  <w:footnote w:id="3">
    <w:p w14:paraId="50410190" w14:textId="77777777" w:rsidR="003A10E8" w:rsidRDefault="003A10E8" w:rsidP="00894B11">
      <w:pPr>
        <w:pStyle w:val="FootnoteText"/>
      </w:pPr>
      <w:r>
        <w:rPr>
          <w:rStyle w:val="FootnoteReference"/>
        </w:rPr>
        <w:footnoteRef/>
      </w:r>
      <w:r>
        <w:tab/>
        <w:t>Refer to the ACSQHC chapter in these Portfolio Budget Statements for further information on the work of this entity.</w:t>
      </w:r>
    </w:p>
  </w:footnote>
  <w:footnote w:id="4">
    <w:p w14:paraId="164EDBE4" w14:textId="089A5204" w:rsidR="003A10E8" w:rsidRDefault="003A10E8" w:rsidP="009C2E99">
      <w:pPr>
        <w:pStyle w:val="FootnoteText"/>
        <w:spacing w:before="30"/>
      </w:pPr>
      <w:r>
        <w:rPr>
          <w:rStyle w:val="FootnoteReference"/>
        </w:rPr>
        <w:footnoteRef/>
      </w:r>
      <w:r>
        <w:tab/>
      </w:r>
      <w:r w:rsidRPr="00B412BC">
        <w:t>For further information about the criteria refer to the Ig governance website, availab</w:t>
      </w:r>
      <w:r>
        <w:t>le at: www.criteria.blood.gov.au</w:t>
      </w:r>
    </w:p>
  </w:footnote>
  <w:footnote w:id="5">
    <w:p w14:paraId="6A5666C8" w14:textId="0FBABE88" w:rsidR="003A10E8" w:rsidRDefault="003A10E8" w:rsidP="009C2E99">
      <w:pPr>
        <w:pStyle w:val="FootnoteText"/>
        <w:spacing w:before="30"/>
      </w:pPr>
      <w:r>
        <w:rPr>
          <w:rStyle w:val="FootnoteReference"/>
        </w:rPr>
        <w:footnoteRef/>
      </w:r>
      <w:r>
        <w:tab/>
        <w:t>Performance reporting and benchmarking information is published progressively throughout the year as data collation and analysis is completed, and such reporting and information is also included annually in the NBA Annual Report.</w:t>
      </w:r>
    </w:p>
  </w:footnote>
  <w:footnote w:id="6">
    <w:p w14:paraId="0FB20643" w14:textId="10B4A3E9" w:rsidR="003A10E8" w:rsidRDefault="003A10E8" w:rsidP="009C2E99">
      <w:pPr>
        <w:pStyle w:val="FootnoteText"/>
        <w:spacing w:before="30"/>
      </w:pPr>
      <w:r>
        <w:rPr>
          <w:rStyle w:val="FootnoteReference"/>
        </w:rPr>
        <w:footnoteRef/>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AE5A" w14:textId="096D868D" w:rsidR="003A10E8" w:rsidRDefault="003A10E8" w:rsidP="00AB6A74">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C568" w14:textId="228F9A06" w:rsidR="003A10E8" w:rsidRPr="00D03F32" w:rsidRDefault="003A10E8" w:rsidP="00D03F32">
    <w:pPr>
      <w:tabs>
        <w:tab w:val="center" w:pos="4513"/>
        <w:tab w:val="right" w:pos="9026"/>
      </w:tabs>
      <w:spacing w:before="40" w:after="0"/>
    </w:pPr>
    <w:r w:rsidRPr="00B24417">
      <w:rPr>
        <w:rFonts w:ascii="Arial" w:hAnsi="Arial" w:cs="Arial"/>
        <w:noProof/>
        <w:position w:val="-6"/>
        <w:sz w:val="18"/>
        <w:szCs w:val="18"/>
      </w:rPr>
      <w:drawing>
        <wp:inline distT="0" distB="0" distL="0" distR="0" wp14:anchorId="78DDFD92" wp14:editId="20952E79">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C59E" w14:textId="67B4A008" w:rsidR="003A10E8" w:rsidRPr="00B716D4" w:rsidRDefault="003A10E8"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7A9A2DD0" w14:textId="63C6F3EB" w:rsidR="003A10E8" w:rsidRDefault="003A10E8" w:rsidP="006B497D">
    <w:pPr>
      <w:tabs>
        <w:tab w:val="center" w:pos="4150"/>
        <w:tab w:val="right" w:pos="8306"/>
      </w:tabs>
      <w:spacing w:after="0"/>
      <w:jc w:val="right"/>
    </w:pPr>
    <w:r w:rsidRPr="006B497D">
      <w:rPr>
        <w:rFonts w:ascii="Arial" w:hAnsi="Arial" w:cs="Arial"/>
        <w:sz w:val="18"/>
        <w:szCs w:val="18"/>
      </w:rPr>
      <w:t xml:space="preserve">Portfolio Budget </w:t>
    </w:r>
    <w:proofErr w:type="gramStart"/>
    <w:r w:rsidRPr="006B497D">
      <w:rPr>
        <w:rFonts w:ascii="Arial" w:hAnsi="Arial" w:cs="Arial"/>
        <w:sz w:val="18"/>
        <w:szCs w:val="18"/>
      </w:rPr>
      <w:t>Statements</w:t>
    </w:r>
    <w:r w:rsidRPr="00434130">
      <w:t xml:space="preserve">  |</w:t>
    </w:r>
    <w:proofErr w:type="gramEnd"/>
    <w:r w:rsidRPr="00434130">
      <w:t xml:space="preserve">  </w:t>
    </w:r>
    <w:r w:rsidRPr="00434130">
      <w:rPr>
        <w:noProof/>
        <w:position w:val="-6"/>
      </w:rPr>
      <w:drawing>
        <wp:inline distT="0" distB="0" distL="0" distR="0" wp14:anchorId="152D63C8" wp14:editId="3E7F16B0">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BE6E" w14:textId="03244B19" w:rsidR="003A10E8" w:rsidRDefault="003A10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5527" w14:textId="77777777" w:rsidR="003A10E8" w:rsidRPr="00B716D4" w:rsidRDefault="003A10E8"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1D638440" w14:textId="77777777" w:rsidR="003A10E8" w:rsidRDefault="003A10E8" w:rsidP="006B497D">
    <w:pPr>
      <w:tabs>
        <w:tab w:val="center" w:pos="4150"/>
        <w:tab w:val="right" w:pos="8306"/>
      </w:tabs>
      <w:spacing w:after="0"/>
      <w:jc w:val="right"/>
    </w:pPr>
    <w:r w:rsidRPr="006B497D">
      <w:rPr>
        <w:rFonts w:ascii="Arial" w:hAnsi="Arial" w:cs="Arial"/>
        <w:sz w:val="18"/>
        <w:szCs w:val="18"/>
      </w:rPr>
      <w:t>Portfolio Budget Statements</w:t>
    </w:r>
    <w:r w:rsidRPr="00434130">
      <w:t xml:space="preserve"> |  </w:t>
    </w:r>
    <w:bookmarkStart w:id="11" w:name="_GoBack"/>
    <w:r w:rsidRPr="00434130">
      <w:rPr>
        <w:noProof/>
        <w:position w:val="-6"/>
      </w:rPr>
      <w:drawing>
        <wp:inline distT="0" distB="0" distL="0" distR="0" wp14:anchorId="0DD53EE1" wp14:editId="4E568C6E">
          <wp:extent cx="1358265" cy="170815"/>
          <wp:effectExtent l="0" t="0" r="0" b="635"/>
          <wp:docPr id="3" name="Picture 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365D" w14:textId="69F30679" w:rsidR="003A10E8" w:rsidRPr="00B716D4" w:rsidRDefault="003A10E8" w:rsidP="00963C64">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69D572B4" w14:textId="49CF8F5C" w:rsidR="003A10E8" w:rsidRDefault="003A10E8" w:rsidP="0007096C">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FCE3" w14:textId="77777777" w:rsidR="005230BD" w:rsidRDefault="005230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2C7F" w14:textId="4C4939F0" w:rsidR="003A10E8" w:rsidRDefault="003A10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9CC2" w14:textId="4999731E" w:rsidR="003A10E8" w:rsidRPr="00B716D4" w:rsidRDefault="003A10E8" w:rsidP="00963C64">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40CDABCC" w14:textId="306BB8F8" w:rsidR="003A10E8" w:rsidRPr="003925C1" w:rsidRDefault="003A10E8" w:rsidP="00B36365">
    <w:pPr>
      <w:pStyle w:val="Header1-Right-Odd"/>
      <w:pBdr>
        <w:bottom w:val="none" w:sz="0" w:space="0" w:color="auto"/>
      </w:pBdr>
      <w:jc w:val="center"/>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4BF8" w14:textId="3ABBA8D8" w:rsidR="003A10E8" w:rsidRDefault="003A10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233A" w14:textId="58A9D2C1" w:rsidR="003A10E8" w:rsidRPr="00D03F32" w:rsidRDefault="003A10E8" w:rsidP="00D03F32">
    <w:pPr>
      <w:tabs>
        <w:tab w:val="center" w:pos="4513"/>
        <w:tab w:val="right" w:pos="9026"/>
      </w:tabs>
      <w:spacing w:before="40" w:after="0"/>
    </w:pPr>
    <w:r w:rsidRPr="00B24417">
      <w:rPr>
        <w:rFonts w:ascii="Arial" w:hAnsi="Arial" w:cs="Arial"/>
        <w:noProof/>
        <w:position w:val="-6"/>
        <w:sz w:val="18"/>
        <w:szCs w:val="18"/>
      </w:rPr>
      <w:drawing>
        <wp:inline distT="0" distB="0" distL="0" distR="0" wp14:anchorId="16063D14" wp14:editId="004D3E44">
          <wp:extent cx="1358265" cy="170815"/>
          <wp:effectExtent l="0" t="0" r="0" b="635"/>
          <wp:docPr id="15" name="Picture 1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B777" w14:textId="05EAC247" w:rsidR="003A10E8" w:rsidRPr="00B716D4" w:rsidRDefault="003A10E8"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1652487E" w14:textId="2184024B" w:rsidR="003A10E8" w:rsidRDefault="003A10E8" w:rsidP="006B497D">
    <w:pPr>
      <w:tabs>
        <w:tab w:val="center" w:pos="4150"/>
        <w:tab w:val="right" w:pos="8306"/>
      </w:tabs>
      <w:spacing w:after="0"/>
      <w:jc w:val="right"/>
    </w:pPr>
    <w:r w:rsidRPr="006B497D">
      <w:rPr>
        <w:rFonts w:ascii="Arial" w:hAnsi="Arial" w:cs="Arial"/>
        <w:sz w:val="18"/>
        <w:szCs w:val="18"/>
      </w:rPr>
      <w:t xml:space="preserve">Portfolio Budget </w:t>
    </w:r>
    <w:proofErr w:type="gramStart"/>
    <w:r w:rsidRPr="006B497D">
      <w:rPr>
        <w:rFonts w:ascii="Arial" w:hAnsi="Arial" w:cs="Arial"/>
        <w:sz w:val="18"/>
        <w:szCs w:val="18"/>
      </w:rPr>
      <w:t>Statements</w:t>
    </w:r>
    <w:r w:rsidRPr="00434130">
      <w:t xml:space="preserve">  |</w:t>
    </w:r>
    <w:proofErr w:type="gramEnd"/>
    <w:r w:rsidRPr="00434130">
      <w:t xml:space="preserve">  </w:t>
    </w:r>
    <w:r w:rsidRPr="00434130">
      <w:rPr>
        <w:noProof/>
        <w:position w:val="-6"/>
      </w:rPr>
      <w:drawing>
        <wp:inline distT="0" distB="0" distL="0" distR="0" wp14:anchorId="487B58CC" wp14:editId="73EA3CCB">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AE7D" w14:textId="38623532" w:rsidR="003A10E8" w:rsidRDefault="003A1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E968D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4C3F0D"/>
    <w:multiLevelType w:val="hybridMultilevel"/>
    <w:tmpl w:val="11C63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5"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680001"/>
    <w:multiLevelType w:val="hybridMultilevel"/>
    <w:tmpl w:val="C5E440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EA9"/>
    <w:rsid w:val="00000EC4"/>
    <w:rsid w:val="00004D8E"/>
    <w:rsid w:val="00006D3A"/>
    <w:rsid w:val="00015B06"/>
    <w:rsid w:val="000367B0"/>
    <w:rsid w:val="0004279E"/>
    <w:rsid w:val="0004707B"/>
    <w:rsid w:val="00052BB9"/>
    <w:rsid w:val="00066A06"/>
    <w:rsid w:val="00067A44"/>
    <w:rsid w:val="0007096C"/>
    <w:rsid w:val="00074B41"/>
    <w:rsid w:val="000900D8"/>
    <w:rsid w:val="000A5F0B"/>
    <w:rsid w:val="000B1692"/>
    <w:rsid w:val="000C26E1"/>
    <w:rsid w:val="000D07F2"/>
    <w:rsid w:val="000D47BD"/>
    <w:rsid w:val="000D69FE"/>
    <w:rsid w:val="000E6581"/>
    <w:rsid w:val="00100977"/>
    <w:rsid w:val="00103800"/>
    <w:rsid w:val="0010398E"/>
    <w:rsid w:val="0010591E"/>
    <w:rsid w:val="00113389"/>
    <w:rsid w:val="001503AA"/>
    <w:rsid w:val="00161A73"/>
    <w:rsid w:val="00173050"/>
    <w:rsid w:val="00181D46"/>
    <w:rsid w:val="00183C23"/>
    <w:rsid w:val="001954BE"/>
    <w:rsid w:val="001A0641"/>
    <w:rsid w:val="001A0EF8"/>
    <w:rsid w:val="001A1101"/>
    <w:rsid w:val="001A2551"/>
    <w:rsid w:val="001B1CA2"/>
    <w:rsid w:val="001B3D47"/>
    <w:rsid w:val="001D44A0"/>
    <w:rsid w:val="001D493F"/>
    <w:rsid w:val="001D5D3E"/>
    <w:rsid w:val="001D6781"/>
    <w:rsid w:val="00200DBA"/>
    <w:rsid w:val="0020547B"/>
    <w:rsid w:val="002249A1"/>
    <w:rsid w:val="00224B1B"/>
    <w:rsid w:val="00226F8C"/>
    <w:rsid w:val="00227E26"/>
    <w:rsid w:val="002355A9"/>
    <w:rsid w:val="0023657E"/>
    <w:rsid w:val="0024539A"/>
    <w:rsid w:val="0026049D"/>
    <w:rsid w:val="0026268C"/>
    <w:rsid w:val="00263B5F"/>
    <w:rsid w:val="00263F82"/>
    <w:rsid w:val="00280050"/>
    <w:rsid w:val="002832C2"/>
    <w:rsid w:val="00284BF6"/>
    <w:rsid w:val="0028784E"/>
    <w:rsid w:val="002A0BC5"/>
    <w:rsid w:val="002B0B47"/>
    <w:rsid w:val="002B51D4"/>
    <w:rsid w:val="002C5730"/>
    <w:rsid w:val="002D52BA"/>
    <w:rsid w:val="002E0080"/>
    <w:rsid w:val="002E0591"/>
    <w:rsid w:val="002E08D0"/>
    <w:rsid w:val="002E3599"/>
    <w:rsid w:val="002E4CC5"/>
    <w:rsid w:val="002E5D94"/>
    <w:rsid w:val="002F464C"/>
    <w:rsid w:val="002F5ECB"/>
    <w:rsid w:val="003231E0"/>
    <w:rsid w:val="0032528B"/>
    <w:rsid w:val="00330CBB"/>
    <w:rsid w:val="00333D86"/>
    <w:rsid w:val="003462A2"/>
    <w:rsid w:val="00355BD0"/>
    <w:rsid w:val="00356254"/>
    <w:rsid w:val="00357948"/>
    <w:rsid w:val="00363689"/>
    <w:rsid w:val="00366D9B"/>
    <w:rsid w:val="00367749"/>
    <w:rsid w:val="0037037F"/>
    <w:rsid w:val="003708A8"/>
    <w:rsid w:val="00371CDE"/>
    <w:rsid w:val="003816A5"/>
    <w:rsid w:val="00382939"/>
    <w:rsid w:val="003909F0"/>
    <w:rsid w:val="003925C1"/>
    <w:rsid w:val="003A0DD9"/>
    <w:rsid w:val="003A10E8"/>
    <w:rsid w:val="003B4080"/>
    <w:rsid w:val="003C573C"/>
    <w:rsid w:val="003D1074"/>
    <w:rsid w:val="003D2DCD"/>
    <w:rsid w:val="003E4493"/>
    <w:rsid w:val="003F147A"/>
    <w:rsid w:val="003F18D3"/>
    <w:rsid w:val="003F374F"/>
    <w:rsid w:val="004061F8"/>
    <w:rsid w:val="0040688B"/>
    <w:rsid w:val="00411832"/>
    <w:rsid w:val="00411D70"/>
    <w:rsid w:val="00413569"/>
    <w:rsid w:val="00440071"/>
    <w:rsid w:val="00445690"/>
    <w:rsid w:val="00454F83"/>
    <w:rsid w:val="004659E7"/>
    <w:rsid w:val="004664A7"/>
    <w:rsid w:val="00474B56"/>
    <w:rsid w:val="0047694A"/>
    <w:rsid w:val="00491676"/>
    <w:rsid w:val="004A0362"/>
    <w:rsid w:val="004B0218"/>
    <w:rsid w:val="004B4258"/>
    <w:rsid w:val="004C104F"/>
    <w:rsid w:val="004C71B4"/>
    <w:rsid w:val="004D025F"/>
    <w:rsid w:val="004E7597"/>
    <w:rsid w:val="004F4B41"/>
    <w:rsid w:val="00501520"/>
    <w:rsid w:val="00514681"/>
    <w:rsid w:val="00514948"/>
    <w:rsid w:val="00520994"/>
    <w:rsid w:val="005230BD"/>
    <w:rsid w:val="00551A28"/>
    <w:rsid w:val="00555861"/>
    <w:rsid w:val="00555E8C"/>
    <w:rsid w:val="00556D53"/>
    <w:rsid w:val="005650FB"/>
    <w:rsid w:val="00566EBD"/>
    <w:rsid w:val="00576DBC"/>
    <w:rsid w:val="00585BB3"/>
    <w:rsid w:val="005B343E"/>
    <w:rsid w:val="005B4F4A"/>
    <w:rsid w:val="005C16A2"/>
    <w:rsid w:val="005C72E9"/>
    <w:rsid w:val="005D52B5"/>
    <w:rsid w:val="005D7B02"/>
    <w:rsid w:val="005F0857"/>
    <w:rsid w:val="005F0E38"/>
    <w:rsid w:val="00611AD6"/>
    <w:rsid w:val="006150C7"/>
    <w:rsid w:val="00615854"/>
    <w:rsid w:val="0061737D"/>
    <w:rsid w:val="0062674D"/>
    <w:rsid w:val="00627688"/>
    <w:rsid w:val="006300D8"/>
    <w:rsid w:val="00636411"/>
    <w:rsid w:val="0064765F"/>
    <w:rsid w:val="00656694"/>
    <w:rsid w:val="006666D4"/>
    <w:rsid w:val="00673278"/>
    <w:rsid w:val="00673D56"/>
    <w:rsid w:val="006740C3"/>
    <w:rsid w:val="006840B2"/>
    <w:rsid w:val="00694CD5"/>
    <w:rsid w:val="006B2530"/>
    <w:rsid w:val="006B497D"/>
    <w:rsid w:val="007166E4"/>
    <w:rsid w:val="00723981"/>
    <w:rsid w:val="00727F63"/>
    <w:rsid w:val="0073773F"/>
    <w:rsid w:val="00743D71"/>
    <w:rsid w:val="00753120"/>
    <w:rsid w:val="00760DE2"/>
    <w:rsid w:val="0077197B"/>
    <w:rsid w:val="00776093"/>
    <w:rsid w:val="00781969"/>
    <w:rsid w:val="00784D0E"/>
    <w:rsid w:val="00790508"/>
    <w:rsid w:val="00791EBA"/>
    <w:rsid w:val="00796496"/>
    <w:rsid w:val="007C138C"/>
    <w:rsid w:val="007C3816"/>
    <w:rsid w:val="007D486D"/>
    <w:rsid w:val="007F1606"/>
    <w:rsid w:val="00806A76"/>
    <w:rsid w:val="008101D8"/>
    <w:rsid w:val="00810392"/>
    <w:rsid w:val="00811713"/>
    <w:rsid w:val="008136D1"/>
    <w:rsid w:val="00817500"/>
    <w:rsid w:val="008218EF"/>
    <w:rsid w:val="00821DC1"/>
    <w:rsid w:val="0082252D"/>
    <w:rsid w:val="00824319"/>
    <w:rsid w:val="00847732"/>
    <w:rsid w:val="00873A07"/>
    <w:rsid w:val="0087547C"/>
    <w:rsid w:val="008768AD"/>
    <w:rsid w:val="0087777C"/>
    <w:rsid w:val="00877B2E"/>
    <w:rsid w:val="00884F73"/>
    <w:rsid w:val="00886FA0"/>
    <w:rsid w:val="00890BEF"/>
    <w:rsid w:val="00894B11"/>
    <w:rsid w:val="008957BA"/>
    <w:rsid w:val="008A19F6"/>
    <w:rsid w:val="008A3AEA"/>
    <w:rsid w:val="008B5876"/>
    <w:rsid w:val="008E7942"/>
    <w:rsid w:val="008F7139"/>
    <w:rsid w:val="008F760E"/>
    <w:rsid w:val="0090210B"/>
    <w:rsid w:val="00913388"/>
    <w:rsid w:val="00917A08"/>
    <w:rsid w:val="00942AF1"/>
    <w:rsid w:val="00943180"/>
    <w:rsid w:val="0095414A"/>
    <w:rsid w:val="00955BFE"/>
    <w:rsid w:val="00957EA3"/>
    <w:rsid w:val="00963C64"/>
    <w:rsid w:val="00990434"/>
    <w:rsid w:val="009A0E67"/>
    <w:rsid w:val="009A18B3"/>
    <w:rsid w:val="009A206F"/>
    <w:rsid w:val="009B4DA6"/>
    <w:rsid w:val="009C070F"/>
    <w:rsid w:val="009C2E99"/>
    <w:rsid w:val="009C5742"/>
    <w:rsid w:val="009D3233"/>
    <w:rsid w:val="009D5F04"/>
    <w:rsid w:val="009E0ABE"/>
    <w:rsid w:val="009F0FC9"/>
    <w:rsid w:val="009F1E31"/>
    <w:rsid w:val="009F6E6A"/>
    <w:rsid w:val="00A10A09"/>
    <w:rsid w:val="00A230EA"/>
    <w:rsid w:val="00A27DE1"/>
    <w:rsid w:val="00A32DB9"/>
    <w:rsid w:val="00A339C4"/>
    <w:rsid w:val="00A5078D"/>
    <w:rsid w:val="00A51022"/>
    <w:rsid w:val="00A54836"/>
    <w:rsid w:val="00A668BF"/>
    <w:rsid w:val="00A71B78"/>
    <w:rsid w:val="00A836BC"/>
    <w:rsid w:val="00A87634"/>
    <w:rsid w:val="00AA577C"/>
    <w:rsid w:val="00AA7FE9"/>
    <w:rsid w:val="00AB6A74"/>
    <w:rsid w:val="00AB7C27"/>
    <w:rsid w:val="00AD796F"/>
    <w:rsid w:val="00AE2197"/>
    <w:rsid w:val="00AE54F1"/>
    <w:rsid w:val="00AE5C28"/>
    <w:rsid w:val="00AF0E84"/>
    <w:rsid w:val="00B0146B"/>
    <w:rsid w:val="00B022EB"/>
    <w:rsid w:val="00B07973"/>
    <w:rsid w:val="00B1106A"/>
    <w:rsid w:val="00B12316"/>
    <w:rsid w:val="00B22E22"/>
    <w:rsid w:val="00B32978"/>
    <w:rsid w:val="00B3412B"/>
    <w:rsid w:val="00B36365"/>
    <w:rsid w:val="00B412BC"/>
    <w:rsid w:val="00B56049"/>
    <w:rsid w:val="00B87B5E"/>
    <w:rsid w:val="00B96D12"/>
    <w:rsid w:val="00B97DE6"/>
    <w:rsid w:val="00BB7896"/>
    <w:rsid w:val="00BC0659"/>
    <w:rsid w:val="00BD6CC4"/>
    <w:rsid w:val="00BE37B6"/>
    <w:rsid w:val="00BF00DF"/>
    <w:rsid w:val="00BF18E1"/>
    <w:rsid w:val="00BF19AB"/>
    <w:rsid w:val="00C01F3A"/>
    <w:rsid w:val="00C047B8"/>
    <w:rsid w:val="00C063A0"/>
    <w:rsid w:val="00C06579"/>
    <w:rsid w:val="00C17B91"/>
    <w:rsid w:val="00C32031"/>
    <w:rsid w:val="00C349E1"/>
    <w:rsid w:val="00C34C8D"/>
    <w:rsid w:val="00C3635F"/>
    <w:rsid w:val="00C51CE6"/>
    <w:rsid w:val="00C576DD"/>
    <w:rsid w:val="00C73F17"/>
    <w:rsid w:val="00C847C5"/>
    <w:rsid w:val="00C8718B"/>
    <w:rsid w:val="00C97BEF"/>
    <w:rsid w:val="00CA4AA0"/>
    <w:rsid w:val="00CA7654"/>
    <w:rsid w:val="00CB45E4"/>
    <w:rsid w:val="00CB6A50"/>
    <w:rsid w:val="00CE09F9"/>
    <w:rsid w:val="00CE0EBB"/>
    <w:rsid w:val="00CE2F67"/>
    <w:rsid w:val="00CF40C3"/>
    <w:rsid w:val="00D03F32"/>
    <w:rsid w:val="00D1120D"/>
    <w:rsid w:val="00D1337B"/>
    <w:rsid w:val="00D266B7"/>
    <w:rsid w:val="00D32A2D"/>
    <w:rsid w:val="00D32D4B"/>
    <w:rsid w:val="00D33C6D"/>
    <w:rsid w:val="00D45D36"/>
    <w:rsid w:val="00D470DF"/>
    <w:rsid w:val="00D55B3A"/>
    <w:rsid w:val="00D65EE2"/>
    <w:rsid w:val="00D73ECF"/>
    <w:rsid w:val="00D82494"/>
    <w:rsid w:val="00D82768"/>
    <w:rsid w:val="00D913F2"/>
    <w:rsid w:val="00DB0992"/>
    <w:rsid w:val="00DC611F"/>
    <w:rsid w:val="00DE1179"/>
    <w:rsid w:val="00DE1CFA"/>
    <w:rsid w:val="00DE66F6"/>
    <w:rsid w:val="00DF2424"/>
    <w:rsid w:val="00E115C7"/>
    <w:rsid w:val="00E21C5D"/>
    <w:rsid w:val="00E35238"/>
    <w:rsid w:val="00E40236"/>
    <w:rsid w:val="00E42487"/>
    <w:rsid w:val="00E65541"/>
    <w:rsid w:val="00E82286"/>
    <w:rsid w:val="00E84210"/>
    <w:rsid w:val="00EA4CB4"/>
    <w:rsid w:val="00EA571D"/>
    <w:rsid w:val="00EB08CE"/>
    <w:rsid w:val="00EF48AF"/>
    <w:rsid w:val="00EF7595"/>
    <w:rsid w:val="00F01F0F"/>
    <w:rsid w:val="00F021B6"/>
    <w:rsid w:val="00F14D6C"/>
    <w:rsid w:val="00F24245"/>
    <w:rsid w:val="00F27AF7"/>
    <w:rsid w:val="00F3095E"/>
    <w:rsid w:val="00F30ED1"/>
    <w:rsid w:val="00F35E08"/>
    <w:rsid w:val="00F53296"/>
    <w:rsid w:val="00F54982"/>
    <w:rsid w:val="00F6154F"/>
    <w:rsid w:val="00F67DA5"/>
    <w:rsid w:val="00F750E9"/>
    <w:rsid w:val="00F779C7"/>
    <w:rsid w:val="00F866C6"/>
    <w:rsid w:val="00F86C3F"/>
    <w:rsid w:val="00F90F34"/>
    <w:rsid w:val="00F9192D"/>
    <w:rsid w:val="00FA06C5"/>
    <w:rsid w:val="00FA366F"/>
    <w:rsid w:val="00FB7EAE"/>
    <w:rsid w:val="00FC1685"/>
    <w:rsid w:val="00FC4239"/>
    <w:rsid w:val="00FC5C55"/>
    <w:rsid w:val="00FC6738"/>
    <w:rsid w:val="00FD146C"/>
    <w:rsid w:val="00FD4ECB"/>
    <w:rsid w:val="00FD6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DF23FF0"/>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A5"/>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F67DA5"/>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F779C7"/>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F779C7"/>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24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DA5"/>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F779C7"/>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F779C7"/>
    <w:rPr>
      <w:rFonts w:ascii="Arial Bold" w:eastAsia="Times New Roman" w:hAnsi="Arial Bold"/>
      <w:b/>
      <w:sz w:val="22"/>
      <w:szCs w:val="20"/>
      <w:lang w:eastAsia="en-AU"/>
    </w:rPr>
  </w:style>
  <w:style w:type="paragraph" w:styleId="FootnoteText">
    <w:name w:val="footnote text"/>
    <w:aliases w:val="(NECG) Footnote Text"/>
    <w:basedOn w:val="Normal"/>
    <w:link w:val="FootnoteTextChar"/>
    <w:uiPriority w:val="99"/>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uiPriority w:val="99"/>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styleId="CommentText">
    <w:name w:val="annotation text"/>
    <w:basedOn w:val="Normal"/>
    <w:link w:val="CommentTextChar"/>
    <w:uiPriority w:val="99"/>
    <w:unhideWhenUsed/>
    <w:rsid w:val="00796496"/>
  </w:style>
  <w:style w:type="character" w:customStyle="1" w:styleId="CommentTextChar">
    <w:name w:val="Comment Text Char"/>
    <w:basedOn w:val="DefaultParagraphFont"/>
    <w:link w:val="CommentText"/>
    <w:uiPriority w:val="99"/>
    <w:rsid w:val="00796496"/>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4C7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B4"/>
    <w:rPr>
      <w:rFonts w:ascii="Segoe UI" w:eastAsia="Times New Roman" w:hAnsi="Segoe UI" w:cs="Segoe UI"/>
      <w:color w:val="000000"/>
      <w:sz w:val="18"/>
      <w:szCs w:val="18"/>
      <w:lang w:eastAsia="en-AU"/>
    </w:rPr>
  </w:style>
  <w:style w:type="paragraph" w:styleId="EndnoteText">
    <w:name w:val="endnote text"/>
    <w:basedOn w:val="Normal"/>
    <w:link w:val="EndnoteTextChar"/>
    <w:uiPriority w:val="99"/>
    <w:semiHidden/>
    <w:unhideWhenUsed/>
    <w:rsid w:val="00C51CE6"/>
    <w:pPr>
      <w:spacing w:after="0"/>
    </w:pPr>
  </w:style>
  <w:style w:type="character" w:customStyle="1" w:styleId="EndnoteTextChar">
    <w:name w:val="Endnote Text Char"/>
    <w:basedOn w:val="DefaultParagraphFont"/>
    <w:link w:val="EndnoteText"/>
    <w:uiPriority w:val="99"/>
    <w:semiHidden/>
    <w:rsid w:val="00C51CE6"/>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C51CE6"/>
    <w:rPr>
      <w:vertAlign w:val="superscript"/>
    </w:rPr>
  </w:style>
  <w:style w:type="paragraph" w:styleId="Revision">
    <w:name w:val="Revision"/>
    <w:hidden/>
    <w:uiPriority w:val="99"/>
    <w:semiHidden/>
    <w:rsid w:val="0090210B"/>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DB0992"/>
    <w:pPr>
      <w:tabs>
        <w:tab w:val="left" w:pos="357"/>
      </w:tabs>
      <w:contextualSpacing/>
    </w:pPr>
  </w:style>
  <w:style w:type="character" w:styleId="CommentReference">
    <w:name w:val="annotation reference"/>
    <w:basedOn w:val="DefaultParagraphFont"/>
    <w:uiPriority w:val="99"/>
    <w:semiHidden/>
    <w:unhideWhenUsed/>
    <w:rsid w:val="00781969"/>
    <w:rPr>
      <w:sz w:val="16"/>
      <w:szCs w:val="16"/>
    </w:rPr>
  </w:style>
  <w:style w:type="paragraph" w:styleId="CommentSubject">
    <w:name w:val="annotation subject"/>
    <w:basedOn w:val="CommentText"/>
    <w:next w:val="CommentText"/>
    <w:link w:val="CommentSubjectChar"/>
    <w:uiPriority w:val="99"/>
    <w:semiHidden/>
    <w:unhideWhenUsed/>
    <w:rsid w:val="00781969"/>
    <w:rPr>
      <w:b/>
      <w:bCs/>
    </w:rPr>
  </w:style>
  <w:style w:type="character" w:customStyle="1" w:styleId="CommentSubjectChar">
    <w:name w:val="Comment Subject Char"/>
    <w:basedOn w:val="CommentTextChar"/>
    <w:link w:val="CommentSubject"/>
    <w:uiPriority w:val="99"/>
    <w:semiHidden/>
    <w:rsid w:val="00781969"/>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0B1692"/>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0B1692"/>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D03F32"/>
    <w:rPr>
      <w:rFonts w:ascii="Arial" w:hAnsi="Arial" w:cs="Arial"/>
      <w:color w:val="auto"/>
    </w:rPr>
  </w:style>
  <w:style w:type="paragraph" w:customStyle="1" w:styleId="FooterOdd">
    <w:name w:val="Footer Odd"/>
    <w:basedOn w:val="Footer"/>
    <w:qFormat/>
    <w:rsid w:val="00D03F32"/>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noteText"/>
    <w:qFormat/>
    <w:rsid w:val="005F0E38"/>
  </w:style>
  <w:style w:type="paragraph" w:customStyle="1" w:styleId="PartHeading-TOC">
    <w:name w:val="Part Heading - TOC"/>
    <w:basedOn w:val="Normal"/>
    <w:rsid w:val="00103800"/>
    <w:pPr>
      <w:spacing w:before="240" w:after="480"/>
      <w:jc w:val="center"/>
    </w:pPr>
    <w:rPr>
      <w:rFonts w:ascii="Arial Bold" w:hAnsi="Arial Bold" w:cs="Arial"/>
      <w:b/>
      <w:bCs/>
      <w:color w:val="auto"/>
      <w:kern w:val="28"/>
      <w:sz w:val="52"/>
      <w:szCs w:val="32"/>
    </w:rPr>
  </w:style>
  <w:style w:type="character" w:customStyle="1" w:styleId="Heading6Char">
    <w:name w:val="Heading 6 Char"/>
    <w:basedOn w:val="DefaultParagraphFont"/>
    <w:link w:val="Heading6"/>
    <w:uiPriority w:val="9"/>
    <w:semiHidden/>
    <w:rsid w:val="00D82494"/>
    <w:rPr>
      <w:rFonts w:asciiTheme="majorHAnsi" w:eastAsiaTheme="majorEastAsia" w:hAnsiTheme="majorHAnsi" w:cstheme="majorBidi"/>
      <w:color w:val="1F4D78" w:themeColor="accent1" w:themeShade="7F"/>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80">
      <w:bodyDiv w:val="1"/>
      <w:marLeft w:val="0"/>
      <w:marRight w:val="0"/>
      <w:marTop w:val="0"/>
      <w:marBottom w:val="0"/>
      <w:divBdr>
        <w:top w:val="none" w:sz="0" w:space="0" w:color="auto"/>
        <w:left w:val="none" w:sz="0" w:space="0" w:color="auto"/>
        <w:bottom w:val="none" w:sz="0" w:space="0" w:color="auto"/>
        <w:right w:val="none" w:sz="0" w:space="0" w:color="auto"/>
      </w:divBdr>
    </w:div>
    <w:div w:id="243220827">
      <w:bodyDiv w:val="1"/>
      <w:marLeft w:val="0"/>
      <w:marRight w:val="0"/>
      <w:marTop w:val="0"/>
      <w:marBottom w:val="0"/>
      <w:divBdr>
        <w:top w:val="none" w:sz="0" w:space="0" w:color="auto"/>
        <w:left w:val="none" w:sz="0" w:space="0" w:color="auto"/>
        <w:bottom w:val="none" w:sz="0" w:space="0" w:color="auto"/>
        <w:right w:val="none" w:sz="0" w:space="0" w:color="auto"/>
      </w:divBdr>
    </w:div>
    <w:div w:id="269435695">
      <w:bodyDiv w:val="1"/>
      <w:marLeft w:val="0"/>
      <w:marRight w:val="0"/>
      <w:marTop w:val="0"/>
      <w:marBottom w:val="0"/>
      <w:divBdr>
        <w:top w:val="none" w:sz="0" w:space="0" w:color="auto"/>
        <w:left w:val="none" w:sz="0" w:space="0" w:color="auto"/>
        <w:bottom w:val="none" w:sz="0" w:space="0" w:color="auto"/>
        <w:right w:val="none" w:sz="0" w:space="0" w:color="auto"/>
      </w:divBdr>
    </w:div>
    <w:div w:id="310714476">
      <w:bodyDiv w:val="1"/>
      <w:marLeft w:val="0"/>
      <w:marRight w:val="0"/>
      <w:marTop w:val="0"/>
      <w:marBottom w:val="0"/>
      <w:divBdr>
        <w:top w:val="none" w:sz="0" w:space="0" w:color="auto"/>
        <w:left w:val="none" w:sz="0" w:space="0" w:color="auto"/>
        <w:bottom w:val="none" w:sz="0" w:space="0" w:color="auto"/>
        <w:right w:val="none" w:sz="0" w:space="0" w:color="auto"/>
      </w:divBdr>
    </w:div>
    <w:div w:id="327683768">
      <w:bodyDiv w:val="1"/>
      <w:marLeft w:val="0"/>
      <w:marRight w:val="0"/>
      <w:marTop w:val="0"/>
      <w:marBottom w:val="0"/>
      <w:divBdr>
        <w:top w:val="none" w:sz="0" w:space="0" w:color="auto"/>
        <w:left w:val="none" w:sz="0" w:space="0" w:color="auto"/>
        <w:bottom w:val="none" w:sz="0" w:space="0" w:color="auto"/>
        <w:right w:val="none" w:sz="0" w:space="0" w:color="auto"/>
      </w:divBdr>
    </w:div>
    <w:div w:id="328561458">
      <w:bodyDiv w:val="1"/>
      <w:marLeft w:val="0"/>
      <w:marRight w:val="0"/>
      <w:marTop w:val="0"/>
      <w:marBottom w:val="0"/>
      <w:divBdr>
        <w:top w:val="none" w:sz="0" w:space="0" w:color="auto"/>
        <w:left w:val="none" w:sz="0" w:space="0" w:color="auto"/>
        <w:bottom w:val="none" w:sz="0" w:space="0" w:color="auto"/>
        <w:right w:val="none" w:sz="0" w:space="0" w:color="auto"/>
      </w:divBdr>
    </w:div>
    <w:div w:id="386992990">
      <w:bodyDiv w:val="1"/>
      <w:marLeft w:val="0"/>
      <w:marRight w:val="0"/>
      <w:marTop w:val="0"/>
      <w:marBottom w:val="0"/>
      <w:divBdr>
        <w:top w:val="none" w:sz="0" w:space="0" w:color="auto"/>
        <w:left w:val="none" w:sz="0" w:space="0" w:color="auto"/>
        <w:bottom w:val="none" w:sz="0" w:space="0" w:color="auto"/>
        <w:right w:val="none" w:sz="0" w:space="0" w:color="auto"/>
      </w:divBdr>
    </w:div>
    <w:div w:id="436563434">
      <w:bodyDiv w:val="1"/>
      <w:marLeft w:val="0"/>
      <w:marRight w:val="0"/>
      <w:marTop w:val="0"/>
      <w:marBottom w:val="0"/>
      <w:divBdr>
        <w:top w:val="none" w:sz="0" w:space="0" w:color="auto"/>
        <w:left w:val="none" w:sz="0" w:space="0" w:color="auto"/>
        <w:bottom w:val="none" w:sz="0" w:space="0" w:color="auto"/>
        <w:right w:val="none" w:sz="0" w:space="0" w:color="auto"/>
      </w:divBdr>
    </w:div>
    <w:div w:id="467010794">
      <w:bodyDiv w:val="1"/>
      <w:marLeft w:val="0"/>
      <w:marRight w:val="0"/>
      <w:marTop w:val="0"/>
      <w:marBottom w:val="0"/>
      <w:divBdr>
        <w:top w:val="none" w:sz="0" w:space="0" w:color="auto"/>
        <w:left w:val="none" w:sz="0" w:space="0" w:color="auto"/>
        <w:bottom w:val="none" w:sz="0" w:space="0" w:color="auto"/>
        <w:right w:val="none" w:sz="0" w:space="0" w:color="auto"/>
      </w:divBdr>
    </w:div>
    <w:div w:id="492840503">
      <w:bodyDiv w:val="1"/>
      <w:marLeft w:val="0"/>
      <w:marRight w:val="0"/>
      <w:marTop w:val="0"/>
      <w:marBottom w:val="0"/>
      <w:divBdr>
        <w:top w:val="none" w:sz="0" w:space="0" w:color="auto"/>
        <w:left w:val="none" w:sz="0" w:space="0" w:color="auto"/>
        <w:bottom w:val="none" w:sz="0" w:space="0" w:color="auto"/>
        <w:right w:val="none" w:sz="0" w:space="0" w:color="auto"/>
      </w:divBdr>
    </w:div>
    <w:div w:id="608657462">
      <w:bodyDiv w:val="1"/>
      <w:marLeft w:val="0"/>
      <w:marRight w:val="0"/>
      <w:marTop w:val="0"/>
      <w:marBottom w:val="0"/>
      <w:divBdr>
        <w:top w:val="none" w:sz="0" w:space="0" w:color="auto"/>
        <w:left w:val="none" w:sz="0" w:space="0" w:color="auto"/>
        <w:bottom w:val="none" w:sz="0" w:space="0" w:color="auto"/>
        <w:right w:val="none" w:sz="0" w:space="0" w:color="auto"/>
      </w:divBdr>
    </w:div>
    <w:div w:id="609624525">
      <w:bodyDiv w:val="1"/>
      <w:marLeft w:val="0"/>
      <w:marRight w:val="0"/>
      <w:marTop w:val="0"/>
      <w:marBottom w:val="0"/>
      <w:divBdr>
        <w:top w:val="none" w:sz="0" w:space="0" w:color="auto"/>
        <w:left w:val="none" w:sz="0" w:space="0" w:color="auto"/>
        <w:bottom w:val="none" w:sz="0" w:space="0" w:color="auto"/>
        <w:right w:val="none" w:sz="0" w:space="0" w:color="auto"/>
      </w:divBdr>
    </w:div>
    <w:div w:id="685710892">
      <w:bodyDiv w:val="1"/>
      <w:marLeft w:val="0"/>
      <w:marRight w:val="0"/>
      <w:marTop w:val="0"/>
      <w:marBottom w:val="0"/>
      <w:divBdr>
        <w:top w:val="none" w:sz="0" w:space="0" w:color="auto"/>
        <w:left w:val="none" w:sz="0" w:space="0" w:color="auto"/>
        <w:bottom w:val="none" w:sz="0" w:space="0" w:color="auto"/>
        <w:right w:val="none" w:sz="0" w:space="0" w:color="auto"/>
      </w:divBdr>
    </w:div>
    <w:div w:id="776484655">
      <w:bodyDiv w:val="1"/>
      <w:marLeft w:val="0"/>
      <w:marRight w:val="0"/>
      <w:marTop w:val="0"/>
      <w:marBottom w:val="0"/>
      <w:divBdr>
        <w:top w:val="none" w:sz="0" w:space="0" w:color="auto"/>
        <w:left w:val="none" w:sz="0" w:space="0" w:color="auto"/>
        <w:bottom w:val="none" w:sz="0" w:space="0" w:color="auto"/>
        <w:right w:val="none" w:sz="0" w:space="0" w:color="auto"/>
      </w:divBdr>
    </w:div>
    <w:div w:id="811024738">
      <w:bodyDiv w:val="1"/>
      <w:marLeft w:val="0"/>
      <w:marRight w:val="0"/>
      <w:marTop w:val="0"/>
      <w:marBottom w:val="0"/>
      <w:divBdr>
        <w:top w:val="none" w:sz="0" w:space="0" w:color="auto"/>
        <w:left w:val="none" w:sz="0" w:space="0" w:color="auto"/>
        <w:bottom w:val="none" w:sz="0" w:space="0" w:color="auto"/>
        <w:right w:val="none" w:sz="0" w:space="0" w:color="auto"/>
      </w:divBdr>
    </w:div>
    <w:div w:id="838470493">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49626015">
      <w:bodyDiv w:val="1"/>
      <w:marLeft w:val="0"/>
      <w:marRight w:val="0"/>
      <w:marTop w:val="0"/>
      <w:marBottom w:val="0"/>
      <w:divBdr>
        <w:top w:val="none" w:sz="0" w:space="0" w:color="auto"/>
        <w:left w:val="none" w:sz="0" w:space="0" w:color="auto"/>
        <w:bottom w:val="none" w:sz="0" w:space="0" w:color="auto"/>
        <w:right w:val="none" w:sz="0" w:space="0" w:color="auto"/>
      </w:divBdr>
    </w:div>
    <w:div w:id="950747076">
      <w:bodyDiv w:val="1"/>
      <w:marLeft w:val="0"/>
      <w:marRight w:val="0"/>
      <w:marTop w:val="0"/>
      <w:marBottom w:val="0"/>
      <w:divBdr>
        <w:top w:val="none" w:sz="0" w:space="0" w:color="auto"/>
        <w:left w:val="none" w:sz="0" w:space="0" w:color="auto"/>
        <w:bottom w:val="none" w:sz="0" w:space="0" w:color="auto"/>
        <w:right w:val="none" w:sz="0" w:space="0" w:color="auto"/>
      </w:divBdr>
    </w:div>
    <w:div w:id="963123806">
      <w:bodyDiv w:val="1"/>
      <w:marLeft w:val="0"/>
      <w:marRight w:val="0"/>
      <w:marTop w:val="0"/>
      <w:marBottom w:val="0"/>
      <w:divBdr>
        <w:top w:val="none" w:sz="0" w:space="0" w:color="auto"/>
        <w:left w:val="none" w:sz="0" w:space="0" w:color="auto"/>
        <w:bottom w:val="none" w:sz="0" w:space="0" w:color="auto"/>
        <w:right w:val="none" w:sz="0" w:space="0" w:color="auto"/>
      </w:divBdr>
    </w:div>
    <w:div w:id="1019892462">
      <w:bodyDiv w:val="1"/>
      <w:marLeft w:val="0"/>
      <w:marRight w:val="0"/>
      <w:marTop w:val="0"/>
      <w:marBottom w:val="0"/>
      <w:divBdr>
        <w:top w:val="none" w:sz="0" w:space="0" w:color="auto"/>
        <w:left w:val="none" w:sz="0" w:space="0" w:color="auto"/>
        <w:bottom w:val="none" w:sz="0" w:space="0" w:color="auto"/>
        <w:right w:val="none" w:sz="0" w:space="0" w:color="auto"/>
      </w:divBdr>
    </w:div>
    <w:div w:id="1042747200">
      <w:bodyDiv w:val="1"/>
      <w:marLeft w:val="0"/>
      <w:marRight w:val="0"/>
      <w:marTop w:val="0"/>
      <w:marBottom w:val="0"/>
      <w:divBdr>
        <w:top w:val="none" w:sz="0" w:space="0" w:color="auto"/>
        <w:left w:val="none" w:sz="0" w:space="0" w:color="auto"/>
        <w:bottom w:val="none" w:sz="0" w:space="0" w:color="auto"/>
        <w:right w:val="none" w:sz="0" w:space="0" w:color="auto"/>
      </w:divBdr>
    </w:div>
    <w:div w:id="1046681765">
      <w:bodyDiv w:val="1"/>
      <w:marLeft w:val="0"/>
      <w:marRight w:val="0"/>
      <w:marTop w:val="0"/>
      <w:marBottom w:val="0"/>
      <w:divBdr>
        <w:top w:val="none" w:sz="0" w:space="0" w:color="auto"/>
        <w:left w:val="none" w:sz="0" w:space="0" w:color="auto"/>
        <w:bottom w:val="none" w:sz="0" w:space="0" w:color="auto"/>
        <w:right w:val="none" w:sz="0" w:space="0" w:color="auto"/>
      </w:divBdr>
    </w:div>
    <w:div w:id="1047876670">
      <w:bodyDiv w:val="1"/>
      <w:marLeft w:val="0"/>
      <w:marRight w:val="0"/>
      <w:marTop w:val="0"/>
      <w:marBottom w:val="0"/>
      <w:divBdr>
        <w:top w:val="none" w:sz="0" w:space="0" w:color="auto"/>
        <w:left w:val="none" w:sz="0" w:space="0" w:color="auto"/>
        <w:bottom w:val="none" w:sz="0" w:space="0" w:color="auto"/>
        <w:right w:val="none" w:sz="0" w:space="0" w:color="auto"/>
      </w:divBdr>
    </w:div>
    <w:div w:id="1064253211">
      <w:bodyDiv w:val="1"/>
      <w:marLeft w:val="0"/>
      <w:marRight w:val="0"/>
      <w:marTop w:val="0"/>
      <w:marBottom w:val="0"/>
      <w:divBdr>
        <w:top w:val="none" w:sz="0" w:space="0" w:color="auto"/>
        <w:left w:val="none" w:sz="0" w:space="0" w:color="auto"/>
        <w:bottom w:val="none" w:sz="0" w:space="0" w:color="auto"/>
        <w:right w:val="none" w:sz="0" w:space="0" w:color="auto"/>
      </w:divBdr>
    </w:div>
    <w:div w:id="1066534483">
      <w:bodyDiv w:val="1"/>
      <w:marLeft w:val="0"/>
      <w:marRight w:val="0"/>
      <w:marTop w:val="0"/>
      <w:marBottom w:val="0"/>
      <w:divBdr>
        <w:top w:val="none" w:sz="0" w:space="0" w:color="auto"/>
        <w:left w:val="none" w:sz="0" w:space="0" w:color="auto"/>
        <w:bottom w:val="none" w:sz="0" w:space="0" w:color="auto"/>
        <w:right w:val="none" w:sz="0" w:space="0" w:color="auto"/>
      </w:divBdr>
    </w:div>
    <w:div w:id="1104880743">
      <w:bodyDiv w:val="1"/>
      <w:marLeft w:val="0"/>
      <w:marRight w:val="0"/>
      <w:marTop w:val="0"/>
      <w:marBottom w:val="0"/>
      <w:divBdr>
        <w:top w:val="none" w:sz="0" w:space="0" w:color="auto"/>
        <w:left w:val="none" w:sz="0" w:space="0" w:color="auto"/>
        <w:bottom w:val="none" w:sz="0" w:space="0" w:color="auto"/>
        <w:right w:val="none" w:sz="0" w:space="0" w:color="auto"/>
      </w:divBdr>
    </w:div>
    <w:div w:id="1148060743">
      <w:bodyDiv w:val="1"/>
      <w:marLeft w:val="0"/>
      <w:marRight w:val="0"/>
      <w:marTop w:val="0"/>
      <w:marBottom w:val="0"/>
      <w:divBdr>
        <w:top w:val="none" w:sz="0" w:space="0" w:color="auto"/>
        <w:left w:val="none" w:sz="0" w:space="0" w:color="auto"/>
        <w:bottom w:val="none" w:sz="0" w:space="0" w:color="auto"/>
        <w:right w:val="none" w:sz="0" w:space="0" w:color="auto"/>
      </w:divBdr>
    </w:div>
    <w:div w:id="1172455246">
      <w:bodyDiv w:val="1"/>
      <w:marLeft w:val="0"/>
      <w:marRight w:val="0"/>
      <w:marTop w:val="0"/>
      <w:marBottom w:val="0"/>
      <w:divBdr>
        <w:top w:val="none" w:sz="0" w:space="0" w:color="auto"/>
        <w:left w:val="none" w:sz="0" w:space="0" w:color="auto"/>
        <w:bottom w:val="none" w:sz="0" w:space="0" w:color="auto"/>
        <w:right w:val="none" w:sz="0" w:space="0" w:color="auto"/>
      </w:divBdr>
    </w:div>
    <w:div w:id="1187209429">
      <w:bodyDiv w:val="1"/>
      <w:marLeft w:val="0"/>
      <w:marRight w:val="0"/>
      <w:marTop w:val="0"/>
      <w:marBottom w:val="0"/>
      <w:divBdr>
        <w:top w:val="none" w:sz="0" w:space="0" w:color="auto"/>
        <w:left w:val="none" w:sz="0" w:space="0" w:color="auto"/>
        <w:bottom w:val="none" w:sz="0" w:space="0" w:color="auto"/>
        <w:right w:val="none" w:sz="0" w:space="0" w:color="auto"/>
      </w:divBdr>
    </w:div>
    <w:div w:id="1196038067">
      <w:bodyDiv w:val="1"/>
      <w:marLeft w:val="0"/>
      <w:marRight w:val="0"/>
      <w:marTop w:val="0"/>
      <w:marBottom w:val="0"/>
      <w:divBdr>
        <w:top w:val="none" w:sz="0" w:space="0" w:color="auto"/>
        <w:left w:val="none" w:sz="0" w:space="0" w:color="auto"/>
        <w:bottom w:val="none" w:sz="0" w:space="0" w:color="auto"/>
        <w:right w:val="none" w:sz="0" w:space="0" w:color="auto"/>
      </w:divBdr>
    </w:div>
    <w:div w:id="1219049296">
      <w:bodyDiv w:val="1"/>
      <w:marLeft w:val="0"/>
      <w:marRight w:val="0"/>
      <w:marTop w:val="0"/>
      <w:marBottom w:val="0"/>
      <w:divBdr>
        <w:top w:val="none" w:sz="0" w:space="0" w:color="auto"/>
        <w:left w:val="none" w:sz="0" w:space="0" w:color="auto"/>
        <w:bottom w:val="none" w:sz="0" w:space="0" w:color="auto"/>
        <w:right w:val="none" w:sz="0" w:space="0" w:color="auto"/>
      </w:divBdr>
    </w:div>
    <w:div w:id="1324703297">
      <w:bodyDiv w:val="1"/>
      <w:marLeft w:val="0"/>
      <w:marRight w:val="0"/>
      <w:marTop w:val="0"/>
      <w:marBottom w:val="0"/>
      <w:divBdr>
        <w:top w:val="none" w:sz="0" w:space="0" w:color="auto"/>
        <w:left w:val="none" w:sz="0" w:space="0" w:color="auto"/>
        <w:bottom w:val="none" w:sz="0" w:space="0" w:color="auto"/>
        <w:right w:val="none" w:sz="0" w:space="0" w:color="auto"/>
      </w:divBdr>
    </w:div>
    <w:div w:id="1326275791">
      <w:bodyDiv w:val="1"/>
      <w:marLeft w:val="0"/>
      <w:marRight w:val="0"/>
      <w:marTop w:val="0"/>
      <w:marBottom w:val="0"/>
      <w:divBdr>
        <w:top w:val="none" w:sz="0" w:space="0" w:color="auto"/>
        <w:left w:val="none" w:sz="0" w:space="0" w:color="auto"/>
        <w:bottom w:val="none" w:sz="0" w:space="0" w:color="auto"/>
        <w:right w:val="none" w:sz="0" w:space="0" w:color="auto"/>
      </w:divBdr>
    </w:div>
    <w:div w:id="1326931975">
      <w:bodyDiv w:val="1"/>
      <w:marLeft w:val="0"/>
      <w:marRight w:val="0"/>
      <w:marTop w:val="0"/>
      <w:marBottom w:val="0"/>
      <w:divBdr>
        <w:top w:val="none" w:sz="0" w:space="0" w:color="auto"/>
        <w:left w:val="none" w:sz="0" w:space="0" w:color="auto"/>
        <w:bottom w:val="none" w:sz="0" w:space="0" w:color="auto"/>
        <w:right w:val="none" w:sz="0" w:space="0" w:color="auto"/>
      </w:divBdr>
    </w:div>
    <w:div w:id="1363508265">
      <w:bodyDiv w:val="1"/>
      <w:marLeft w:val="0"/>
      <w:marRight w:val="0"/>
      <w:marTop w:val="0"/>
      <w:marBottom w:val="0"/>
      <w:divBdr>
        <w:top w:val="none" w:sz="0" w:space="0" w:color="auto"/>
        <w:left w:val="none" w:sz="0" w:space="0" w:color="auto"/>
        <w:bottom w:val="none" w:sz="0" w:space="0" w:color="auto"/>
        <w:right w:val="none" w:sz="0" w:space="0" w:color="auto"/>
      </w:divBdr>
    </w:div>
    <w:div w:id="1379548307">
      <w:bodyDiv w:val="1"/>
      <w:marLeft w:val="0"/>
      <w:marRight w:val="0"/>
      <w:marTop w:val="0"/>
      <w:marBottom w:val="0"/>
      <w:divBdr>
        <w:top w:val="none" w:sz="0" w:space="0" w:color="auto"/>
        <w:left w:val="none" w:sz="0" w:space="0" w:color="auto"/>
        <w:bottom w:val="none" w:sz="0" w:space="0" w:color="auto"/>
        <w:right w:val="none" w:sz="0" w:space="0" w:color="auto"/>
      </w:divBdr>
    </w:div>
    <w:div w:id="1445424371">
      <w:bodyDiv w:val="1"/>
      <w:marLeft w:val="0"/>
      <w:marRight w:val="0"/>
      <w:marTop w:val="0"/>
      <w:marBottom w:val="0"/>
      <w:divBdr>
        <w:top w:val="none" w:sz="0" w:space="0" w:color="auto"/>
        <w:left w:val="none" w:sz="0" w:space="0" w:color="auto"/>
        <w:bottom w:val="none" w:sz="0" w:space="0" w:color="auto"/>
        <w:right w:val="none" w:sz="0" w:space="0" w:color="auto"/>
      </w:divBdr>
    </w:div>
    <w:div w:id="1455440892">
      <w:bodyDiv w:val="1"/>
      <w:marLeft w:val="0"/>
      <w:marRight w:val="0"/>
      <w:marTop w:val="0"/>
      <w:marBottom w:val="0"/>
      <w:divBdr>
        <w:top w:val="none" w:sz="0" w:space="0" w:color="auto"/>
        <w:left w:val="none" w:sz="0" w:space="0" w:color="auto"/>
        <w:bottom w:val="none" w:sz="0" w:space="0" w:color="auto"/>
        <w:right w:val="none" w:sz="0" w:space="0" w:color="auto"/>
      </w:divBdr>
    </w:div>
    <w:div w:id="1461604469">
      <w:bodyDiv w:val="1"/>
      <w:marLeft w:val="0"/>
      <w:marRight w:val="0"/>
      <w:marTop w:val="0"/>
      <w:marBottom w:val="0"/>
      <w:divBdr>
        <w:top w:val="none" w:sz="0" w:space="0" w:color="auto"/>
        <w:left w:val="none" w:sz="0" w:space="0" w:color="auto"/>
        <w:bottom w:val="none" w:sz="0" w:space="0" w:color="auto"/>
        <w:right w:val="none" w:sz="0" w:space="0" w:color="auto"/>
      </w:divBdr>
    </w:div>
    <w:div w:id="1469274759">
      <w:bodyDiv w:val="1"/>
      <w:marLeft w:val="0"/>
      <w:marRight w:val="0"/>
      <w:marTop w:val="0"/>
      <w:marBottom w:val="0"/>
      <w:divBdr>
        <w:top w:val="none" w:sz="0" w:space="0" w:color="auto"/>
        <w:left w:val="none" w:sz="0" w:space="0" w:color="auto"/>
        <w:bottom w:val="none" w:sz="0" w:space="0" w:color="auto"/>
        <w:right w:val="none" w:sz="0" w:space="0" w:color="auto"/>
      </w:divBdr>
    </w:div>
    <w:div w:id="1488663465">
      <w:bodyDiv w:val="1"/>
      <w:marLeft w:val="0"/>
      <w:marRight w:val="0"/>
      <w:marTop w:val="0"/>
      <w:marBottom w:val="0"/>
      <w:divBdr>
        <w:top w:val="none" w:sz="0" w:space="0" w:color="auto"/>
        <w:left w:val="none" w:sz="0" w:space="0" w:color="auto"/>
        <w:bottom w:val="none" w:sz="0" w:space="0" w:color="auto"/>
        <w:right w:val="none" w:sz="0" w:space="0" w:color="auto"/>
      </w:divBdr>
    </w:div>
    <w:div w:id="1496456004">
      <w:bodyDiv w:val="1"/>
      <w:marLeft w:val="0"/>
      <w:marRight w:val="0"/>
      <w:marTop w:val="0"/>
      <w:marBottom w:val="0"/>
      <w:divBdr>
        <w:top w:val="none" w:sz="0" w:space="0" w:color="auto"/>
        <w:left w:val="none" w:sz="0" w:space="0" w:color="auto"/>
        <w:bottom w:val="none" w:sz="0" w:space="0" w:color="auto"/>
        <w:right w:val="none" w:sz="0" w:space="0" w:color="auto"/>
      </w:divBdr>
    </w:div>
    <w:div w:id="1514343262">
      <w:bodyDiv w:val="1"/>
      <w:marLeft w:val="0"/>
      <w:marRight w:val="0"/>
      <w:marTop w:val="0"/>
      <w:marBottom w:val="0"/>
      <w:divBdr>
        <w:top w:val="none" w:sz="0" w:space="0" w:color="auto"/>
        <w:left w:val="none" w:sz="0" w:space="0" w:color="auto"/>
        <w:bottom w:val="none" w:sz="0" w:space="0" w:color="auto"/>
        <w:right w:val="none" w:sz="0" w:space="0" w:color="auto"/>
      </w:divBdr>
    </w:div>
    <w:div w:id="1559707957">
      <w:bodyDiv w:val="1"/>
      <w:marLeft w:val="0"/>
      <w:marRight w:val="0"/>
      <w:marTop w:val="0"/>
      <w:marBottom w:val="0"/>
      <w:divBdr>
        <w:top w:val="none" w:sz="0" w:space="0" w:color="auto"/>
        <w:left w:val="none" w:sz="0" w:space="0" w:color="auto"/>
        <w:bottom w:val="none" w:sz="0" w:space="0" w:color="auto"/>
        <w:right w:val="none" w:sz="0" w:space="0" w:color="auto"/>
      </w:divBdr>
    </w:div>
    <w:div w:id="1594707018">
      <w:bodyDiv w:val="1"/>
      <w:marLeft w:val="0"/>
      <w:marRight w:val="0"/>
      <w:marTop w:val="0"/>
      <w:marBottom w:val="0"/>
      <w:divBdr>
        <w:top w:val="none" w:sz="0" w:space="0" w:color="auto"/>
        <w:left w:val="none" w:sz="0" w:space="0" w:color="auto"/>
        <w:bottom w:val="none" w:sz="0" w:space="0" w:color="auto"/>
        <w:right w:val="none" w:sz="0" w:space="0" w:color="auto"/>
      </w:divBdr>
    </w:div>
    <w:div w:id="1598250951">
      <w:bodyDiv w:val="1"/>
      <w:marLeft w:val="0"/>
      <w:marRight w:val="0"/>
      <w:marTop w:val="0"/>
      <w:marBottom w:val="0"/>
      <w:divBdr>
        <w:top w:val="none" w:sz="0" w:space="0" w:color="auto"/>
        <w:left w:val="none" w:sz="0" w:space="0" w:color="auto"/>
        <w:bottom w:val="none" w:sz="0" w:space="0" w:color="auto"/>
        <w:right w:val="none" w:sz="0" w:space="0" w:color="auto"/>
      </w:divBdr>
    </w:div>
    <w:div w:id="1600913948">
      <w:bodyDiv w:val="1"/>
      <w:marLeft w:val="0"/>
      <w:marRight w:val="0"/>
      <w:marTop w:val="0"/>
      <w:marBottom w:val="0"/>
      <w:divBdr>
        <w:top w:val="none" w:sz="0" w:space="0" w:color="auto"/>
        <w:left w:val="none" w:sz="0" w:space="0" w:color="auto"/>
        <w:bottom w:val="none" w:sz="0" w:space="0" w:color="auto"/>
        <w:right w:val="none" w:sz="0" w:space="0" w:color="auto"/>
      </w:divBdr>
    </w:div>
    <w:div w:id="1607999235">
      <w:bodyDiv w:val="1"/>
      <w:marLeft w:val="0"/>
      <w:marRight w:val="0"/>
      <w:marTop w:val="0"/>
      <w:marBottom w:val="0"/>
      <w:divBdr>
        <w:top w:val="none" w:sz="0" w:space="0" w:color="auto"/>
        <w:left w:val="none" w:sz="0" w:space="0" w:color="auto"/>
        <w:bottom w:val="none" w:sz="0" w:space="0" w:color="auto"/>
        <w:right w:val="none" w:sz="0" w:space="0" w:color="auto"/>
      </w:divBdr>
    </w:div>
    <w:div w:id="1624920485">
      <w:bodyDiv w:val="1"/>
      <w:marLeft w:val="0"/>
      <w:marRight w:val="0"/>
      <w:marTop w:val="0"/>
      <w:marBottom w:val="0"/>
      <w:divBdr>
        <w:top w:val="none" w:sz="0" w:space="0" w:color="auto"/>
        <w:left w:val="none" w:sz="0" w:space="0" w:color="auto"/>
        <w:bottom w:val="none" w:sz="0" w:space="0" w:color="auto"/>
        <w:right w:val="none" w:sz="0" w:space="0" w:color="auto"/>
      </w:divBdr>
    </w:div>
    <w:div w:id="1646619508">
      <w:bodyDiv w:val="1"/>
      <w:marLeft w:val="0"/>
      <w:marRight w:val="0"/>
      <w:marTop w:val="0"/>
      <w:marBottom w:val="0"/>
      <w:divBdr>
        <w:top w:val="none" w:sz="0" w:space="0" w:color="auto"/>
        <w:left w:val="none" w:sz="0" w:space="0" w:color="auto"/>
        <w:bottom w:val="none" w:sz="0" w:space="0" w:color="auto"/>
        <w:right w:val="none" w:sz="0" w:space="0" w:color="auto"/>
      </w:divBdr>
    </w:div>
    <w:div w:id="1652901433">
      <w:bodyDiv w:val="1"/>
      <w:marLeft w:val="0"/>
      <w:marRight w:val="0"/>
      <w:marTop w:val="0"/>
      <w:marBottom w:val="0"/>
      <w:divBdr>
        <w:top w:val="none" w:sz="0" w:space="0" w:color="auto"/>
        <w:left w:val="none" w:sz="0" w:space="0" w:color="auto"/>
        <w:bottom w:val="none" w:sz="0" w:space="0" w:color="auto"/>
        <w:right w:val="none" w:sz="0" w:space="0" w:color="auto"/>
      </w:divBdr>
    </w:div>
    <w:div w:id="1722941500">
      <w:bodyDiv w:val="1"/>
      <w:marLeft w:val="0"/>
      <w:marRight w:val="0"/>
      <w:marTop w:val="0"/>
      <w:marBottom w:val="0"/>
      <w:divBdr>
        <w:top w:val="none" w:sz="0" w:space="0" w:color="auto"/>
        <w:left w:val="none" w:sz="0" w:space="0" w:color="auto"/>
        <w:bottom w:val="none" w:sz="0" w:space="0" w:color="auto"/>
        <w:right w:val="none" w:sz="0" w:space="0" w:color="auto"/>
      </w:divBdr>
    </w:div>
    <w:div w:id="1775245982">
      <w:bodyDiv w:val="1"/>
      <w:marLeft w:val="0"/>
      <w:marRight w:val="0"/>
      <w:marTop w:val="0"/>
      <w:marBottom w:val="0"/>
      <w:divBdr>
        <w:top w:val="none" w:sz="0" w:space="0" w:color="auto"/>
        <w:left w:val="none" w:sz="0" w:space="0" w:color="auto"/>
        <w:bottom w:val="none" w:sz="0" w:space="0" w:color="auto"/>
        <w:right w:val="none" w:sz="0" w:space="0" w:color="auto"/>
      </w:divBdr>
    </w:div>
    <w:div w:id="1810977026">
      <w:bodyDiv w:val="1"/>
      <w:marLeft w:val="0"/>
      <w:marRight w:val="0"/>
      <w:marTop w:val="0"/>
      <w:marBottom w:val="0"/>
      <w:divBdr>
        <w:top w:val="none" w:sz="0" w:space="0" w:color="auto"/>
        <w:left w:val="none" w:sz="0" w:space="0" w:color="auto"/>
        <w:bottom w:val="none" w:sz="0" w:space="0" w:color="auto"/>
        <w:right w:val="none" w:sz="0" w:space="0" w:color="auto"/>
      </w:divBdr>
    </w:div>
    <w:div w:id="1851748430">
      <w:bodyDiv w:val="1"/>
      <w:marLeft w:val="0"/>
      <w:marRight w:val="0"/>
      <w:marTop w:val="0"/>
      <w:marBottom w:val="0"/>
      <w:divBdr>
        <w:top w:val="none" w:sz="0" w:space="0" w:color="auto"/>
        <w:left w:val="none" w:sz="0" w:space="0" w:color="auto"/>
        <w:bottom w:val="none" w:sz="0" w:space="0" w:color="auto"/>
        <w:right w:val="none" w:sz="0" w:space="0" w:color="auto"/>
      </w:divBdr>
    </w:div>
    <w:div w:id="1854958224">
      <w:bodyDiv w:val="1"/>
      <w:marLeft w:val="0"/>
      <w:marRight w:val="0"/>
      <w:marTop w:val="0"/>
      <w:marBottom w:val="0"/>
      <w:divBdr>
        <w:top w:val="none" w:sz="0" w:space="0" w:color="auto"/>
        <w:left w:val="none" w:sz="0" w:space="0" w:color="auto"/>
        <w:bottom w:val="none" w:sz="0" w:space="0" w:color="auto"/>
        <w:right w:val="none" w:sz="0" w:space="0" w:color="auto"/>
      </w:divBdr>
    </w:div>
    <w:div w:id="1889952514">
      <w:bodyDiv w:val="1"/>
      <w:marLeft w:val="0"/>
      <w:marRight w:val="0"/>
      <w:marTop w:val="0"/>
      <w:marBottom w:val="0"/>
      <w:divBdr>
        <w:top w:val="none" w:sz="0" w:space="0" w:color="auto"/>
        <w:left w:val="none" w:sz="0" w:space="0" w:color="auto"/>
        <w:bottom w:val="none" w:sz="0" w:space="0" w:color="auto"/>
        <w:right w:val="none" w:sz="0" w:space="0" w:color="auto"/>
      </w:divBdr>
    </w:div>
    <w:div w:id="1963729069">
      <w:bodyDiv w:val="1"/>
      <w:marLeft w:val="0"/>
      <w:marRight w:val="0"/>
      <w:marTop w:val="0"/>
      <w:marBottom w:val="0"/>
      <w:divBdr>
        <w:top w:val="none" w:sz="0" w:space="0" w:color="auto"/>
        <w:left w:val="none" w:sz="0" w:space="0" w:color="auto"/>
        <w:bottom w:val="none" w:sz="0" w:space="0" w:color="auto"/>
        <w:right w:val="none" w:sz="0" w:space="0" w:color="auto"/>
      </w:divBdr>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02349138">
      <w:bodyDiv w:val="1"/>
      <w:marLeft w:val="0"/>
      <w:marRight w:val="0"/>
      <w:marTop w:val="0"/>
      <w:marBottom w:val="0"/>
      <w:divBdr>
        <w:top w:val="none" w:sz="0" w:space="0" w:color="auto"/>
        <w:left w:val="none" w:sz="0" w:space="0" w:color="auto"/>
        <w:bottom w:val="none" w:sz="0" w:space="0" w:color="auto"/>
        <w:right w:val="none" w:sz="0" w:space="0" w:color="auto"/>
      </w:divBdr>
    </w:div>
    <w:div w:id="2082603426">
      <w:bodyDiv w:val="1"/>
      <w:marLeft w:val="0"/>
      <w:marRight w:val="0"/>
      <w:marTop w:val="0"/>
      <w:marBottom w:val="0"/>
      <w:divBdr>
        <w:top w:val="none" w:sz="0" w:space="0" w:color="auto"/>
        <w:left w:val="none" w:sz="0" w:space="0" w:color="auto"/>
        <w:bottom w:val="none" w:sz="0" w:space="0" w:color="auto"/>
        <w:right w:val="none" w:sz="0" w:space="0" w:color="auto"/>
      </w:divBdr>
    </w:div>
    <w:div w:id="2089954778">
      <w:bodyDiv w:val="1"/>
      <w:marLeft w:val="0"/>
      <w:marRight w:val="0"/>
      <w:marTop w:val="0"/>
      <w:marBottom w:val="0"/>
      <w:divBdr>
        <w:top w:val="none" w:sz="0" w:space="0" w:color="auto"/>
        <w:left w:val="none" w:sz="0" w:space="0" w:color="auto"/>
        <w:bottom w:val="none" w:sz="0" w:space="0" w:color="auto"/>
        <w:right w:val="none" w:sz="0" w:space="0" w:color="auto"/>
      </w:divBdr>
    </w:div>
    <w:div w:id="21405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8EDB-B79F-4CA1-A81C-531C7C2B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24</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289</cp:revision>
  <cp:lastPrinted>2022-10-19T08:22:00Z</cp:lastPrinted>
  <dcterms:created xsi:type="dcterms:W3CDTF">2021-02-05T00:40:00Z</dcterms:created>
  <dcterms:modified xsi:type="dcterms:W3CDTF">2022-10-25T03:26:00Z</dcterms:modified>
</cp:coreProperties>
</file>