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2C" w:rsidRPr="00D63C2C" w:rsidRDefault="00D63C2C" w:rsidP="000D22DB">
      <w:pPr>
        <w:pStyle w:val="EntitySubtitle"/>
      </w:pPr>
      <w:bookmarkStart w:id="0" w:name="_Toc444523510"/>
      <w:bookmarkStart w:id="1" w:name="_Toc65243507"/>
      <w:bookmarkStart w:id="2" w:name="OLE_LINK11"/>
      <w:bookmarkStart w:id="3" w:name="OLE_LINK12"/>
      <w:r w:rsidRPr="000D22DB">
        <w:t>Department</w:t>
      </w:r>
      <w:r w:rsidRPr="00D63C2C">
        <w:t xml:space="preserve"> of</w:t>
      </w:r>
      <w:r w:rsidRPr="00D63C2C">
        <w:br/>
        <w:t>Health and Aged Care</w:t>
      </w:r>
    </w:p>
    <w:p w:rsidR="00D63C2C" w:rsidRPr="004F6919" w:rsidRDefault="00D63C2C" w:rsidP="000D22DB">
      <w:pPr>
        <w:pStyle w:val="EntitySubtitle"/>
      </w:pPr>
      <w:r w:rsidRPr="004F6919">
        <w:t xml:space="preserve">Entity </w:t>
      </w:r>
      <w:r>
        <w:t>r</w:t>
      </w:r>
      <w:r w:rsidR="0021020D">
        <w:t xml:space="preserve">esources and </w:t>
      </w:r>
      <w:r>
        <w:t>p</w:t>
      </w:r>
      <w:r w:rsidRPr="004F6919">
        <w:t>lanned </w:t>
      </w:r>
      <w:r>
        <w:t>p</w:t>
      </w:r>
      <w:r w:rsidRPr="004F6919">
        <w:t>erformance</w:t>
      </w:r>
    </w:p>
    <w:p w:rsidR="00D63C2C" w:rsidRDefault="00D63C2C" w:rsidP="000D22DB"/>
    <w:p w:rsidR="00D63C2C" w:rsidRDefault="00D63C2C" w:rsidP="000D22DB"/>
    <w:p w:rsidR="00D63C2C" w:rsidRDefault="00D63C2C" w:rsidP="000D22DB">
      <w:pPr>
        <w:sectPr w:rsidR="00D63C2C" w:rsidSect="00180100">
          <w:headerReference w:type="even" r:id="rId8"/>
          <w:headerReference w:type="default" r:id="rId9"/>
          <w:footerReference w:type="even" r:id="rId10"/>
          <w:footerReference w:type="default" r:id="rId11"/>
          <w:headerReference w:type="first" r:id="rId12"/>
          <w:footerReference w:type="first" r:id="rId13"/>
          <w:pgSz w:w="11906" w:h="16838" w:code="9"/>
          <w:pgMar w:top="5245" w:right="2268" w:bottom="2126" w:left="2268" w:header="1899" w:footer="1899" w:gutter="0"/>
          <w:pgNumType w:start="13"/>
          <w:cols w:space="708"/>
          <w:docGrid w:linePitch="360"/>
        </w:sectPr>
      </w:pPr>
    </w:p>
    <w:p w:rsidR="001432F3" w:rsidRDefault="001432F3" w:rsidP="000D22DB">
      <w:pPr>
        <w:rPr>
          <w:rFonts w:ascii="Arial" w:hAnsi="Arial" w:cs="Arial"/>
        </w:rPr>
      </w:pPr>
      <w:r>
        <w:lastRenderedPageBreak/>
        <w:br w:type="page"/>
      </w:r>
    </w:p>
    <w:p w:rsidR="00732FFD" w:rsidRPr="0021020D" w:rsidRDefault="00732FFD" w:rsidP="000D22DB">
      <w:pPr>
        <w:pStyle w:val="Heading2"/>
        <w:rPr>
          <w:sz w:val="36"/>
          <w:szCs w:val="36"/>
        </w:rPr>
      </w:pPr>
      <w:r w:rsidRPr="0021020D">
        <w:rPr>
          <w:sz w:val="36"/>
          <w:szCs w:val="36"/>
        </w:rPr>
        <w:lastRenderedPageBreak/>
        <w:t>Department of Health and Aged Care</w:t>
      </w:r>
      <w:r w:rsidR="0021020D">
        <w:rPr>
          <w:sz w:val="36"/>
          <w:szCs w:val="36"/>
        </w:rPr>
        <w:br/>
      </w:r>
    </w:p>
    <w:p w:rsidR="000D22DB" w:rsidRPr="000D22DB" w:rsidRDefault="000D22DB" w:rsidP="000D22DB">
      <w:pPr>
        <w:tabs>
          <w:tab w:val="right" w:leader="dot" w:pos="7371"/>
        </w:tabs>
        <w:spacing w:before="240"/>
        <w:ind w:right="-1"/>
        <w:rPr>
          <w:rFonts w:ascii="Arial" w:hAnsi="Arial" w:cs="Arial"/>
          <w:b/>
          <w:bCs/>
          <w:noProof/>
          <w:color w:val="auto"/>
          <w:sz w:val="20"/>
          <w:szCs w:val="20"/>
          <w:lang w:eastAsia="en-US"/>
        </w:rPr>
      </w:pPr>
      <w:r w:rsidRPr="000D22DB">
        <w:rPr>
          <w:rFonts w:ascii="Times New Roman" w:hAnsi="Times New Roman" w:cs="Arial"/>
          <w:b/>
          <w:bCs/>
          <w:color w:val="auto"/>
          <w:sz w:val="24"/>
          <w:szCs w:val="20"/>
          <w:lang w:eastAsia="en-US"/>
        </w:rPr>
        <w:fldChar w:fldCharType="begin"/>
      </w:r>
      <w:r w:rsidRPr="000D22DB">
        <w:rPr>
          <w:rFonts w:ascii="Arial" w:hAnsi="Arial" w:cs="Arial"/>
          <w:b/>
          <w:bCs/>
          <w:color w:val="auto"/>
          <w:sz w:val="20"/>
          <w:szCs w:val="20"/>
          <w:lang w:eastAsia="en-US"/>
        </w:rPr>
        <w:instrText xml:space="preserve"> TOC \t "Heading 2,1,Heading 3,2" </w:instrText>
      </w:r>
      <w:r w:rsidRPr="000D22DB">
        <w:rPr>
          <w:rFonts w:ascii="Times New Roman" w:hAnsi="Times New Roman" w:cs="Arial"/>
          <w:b/>
          <w:bCs/>
          <w:color w:val="auto"/>
          <w:sz w:val="24"/>
          <w:szCs w:val="20"/>
          <w:lang w:eastAsia="en-US"/>
        </w:rPr>
        <w:fldChar w:fldCharType="separate"/>
      </w:r>
      <w:r w:rsidRPr="000D22DB">
        <w:rPr>
          <w:rFonts w:ascii="Arial" w:hAnsi="Arial" w:cs="Arial"/>
          <w:b/>
          <w:bCs/>
          <w:noProof/>
          <w:color w:val="auto"/>
          <w:sz w:val="20"/>
          <w:szCs w:val="20"/>
          <w:lang w:eastAsia="en-US"/>
        </w:rPr>
        <w:t xml:space="preserve">Section 1: Entity </w:t>
      </w:r>
      <w:r w:rsidR="00776000">
        <w:rPr>
          <w:rFonts w:ascii="Arial" w:hAnsi="Arial" w:cs="Arial"/>
          <w:b/>
          <w:bCs/>
          <w:noProof/>
          <w:color w:val="auto"/>
          <w:sz w:val="20"/>
          <w:szCs w:val="20"/>
          <w:lang w:eastAsia="en-US"/>
        </w:rPr>
        <w:t>o</w:t>
      </w:r>
      <w:r w:rsidRPr="000D22DB">
        <w:rPr>
          <w:rFonts w:ascii="Arial" w:hAnsi="Arial" w:cs="Arial"/>
          <w:b/>
          <w:bCs/>
          <w:noProof/>
          <w:color w:val="auto"/>
          <w:sz w:val="20"/>
          <w:szCs w:val="20"/>
          <w:lang w:eastAsia="en-US"/>
        </w:rPr>
        <w:t xml:space="preserve">verview and </w:t>
      </w:r>
      <w:r w:rsidR="00776000">
        <w:rPr>
          <w:rFonts w:ascii="Arial" w:hAnsi="Arial" w:cs="Arial"/>
          <w:b/>
          <w:bCs/>
          <w:noProof/>
          <w:color w:val="auto"/>
          <w:sz w:val="20"/>
          <w:szCs w:val="20"/>
          <w:lang w:eastAsia="en-US"/>
        </w:rPr>
        <w:t>r</w:t>
      </w:r>
      <w:r w:rsidRPr="000D22DB">
        <w:rPr>
          <w:rFonts w:ascii="Arial" w:hAnsi="Arial" w:cs="Arial"/>
          <w:b/>
          <w:bCs/>
          <w:noProof/>
          <w:color w:val="auto"/>
          <w:sz w:val="20"/>
          <w:szCs w:val="20"/>
          <w:lang w:eastAsia="en-US"/>
        </w:rPr>
        <w:t>esources</w:t>
      </w:r>
      <w:r w:rsidRPr="000D22DB">
        <w:rPr>
          <w:rFonts w:ascii="Arial" w:hAnsi="Arial" w:cs="Arial"/>
          <w:b/>
          <w:bCs/>
          <w:noProof/>
          <w:color w:val="auto"/>
          <w:sz w:val="20"/>
          <w:szCs w:val="20"/>
          <w:lang w:eastAsia="en-US"/>
        </w:rPr>
        <w:tab/>
      </w:r>
      <w:r w:rsidR="00284ECF">
        <w:rPr>
          <w:rFonts w:ascii="Arial" w:hAnsi="Arial" w:cs="Arial"/>
          <w:b/>
          <w:bCs/>
          <w:noProof/>
          <w:color w:val="auto"/>
          <w:sz w:val="20"/>
          <w:szCs w:val="20"/>
          <w:lang w:eastAsia="en-US"/>
        </w:rPr>
        <w:t>16</w:t>
      </w:r>
    </w:p>
    <w:p w:rsidR="000D22DB" w:rsidRPr="000D22DB" w:rsidRDefault="000D22DB" w:rsidP="000D22DB">
      <w:pPr>
        <w:tabs>
          <w:tab w:val="left" w:pos="993"/>
          <w:tab w:val="right" w:leader="dot" w:pos="7360"/>
        </w:tabs>
        <w:spacing w:before="60"/>
        <w:rPr>
          <w:rFonts w:ascii="Arial" w:hAnsi="Arial" w:cs="Arial"/>
          <w:noProof/>
          <w:sz w:val="20"/>
          <w:szCs w:val="20"/>
        </w:rPr>
      </w:pPr>
      <w:r w:rsidRPr="000D22DB">
        <w:rPr>
          <w:rFonts w:ascii="Arial" w:hAnsi="Arial" w:cs="Arial"/>
          <w:noProof/>
          <w:sz w:val="20"/>
          <w:szCs w:val="20"/>
        </w:rPr>
        <w:t>1.1</w:t>
      </w:r>
      <w:r w:rsidRPr="000D22DB">
        <w:rPr>
          <w:rFonts w:ascii="Arial" w:hAnsi="Arial" w:cs="Arial"/>
          <w:noProof/>
          <w:sz w:val="20"/>
          <w:szCs w:val="20"/>
        </w:rPr>
        <w:tab/>
        <w:t xml:space="preserve">Strategic </w:t>
      </w:r>
      <w:r w:rsidR="00776000">
        <w:rPr>
          <w:rFonts w:ascii="Arial" w:hAnsi="Arial" w:cs="Arial"/>
          <w:noProof/>
          <w:sz w:val="20"/>
          <w:szCs w:val="20"/>
        </w:rPr>
        <w:t>d</w:t>
      </w:r>
      <w:r w:rsidRPr="000D22DB">
        <w:rPr>
          <w:rFonts w:ascii="Arial" w:hAnsi="Arial" w:cs="Arial"/>
          <w:noProof/>
          <w:sz w:val="20"/>
          <w:szCs w:val="20"/>
        </w:rPr>
        <w:t xml:space="preserve">irection </w:t>
      </w:r>
      <w:r w:rsidR="00776000">
        <w:rPr>
          <w:rFonts w:ascii="Arial" w:hAnsi="Arial" w:cs="Arial"/>
          <w:noProof/>
          <w:sz w:val="20"/>
          <w:szCs w:val="20"/>
        </w:rPr>
        <w:t>s</w:t>
      </w:r>
      <w:r w:rsidR="00284ECF">
        <w:rPr>
          <w:rFonts w:ascii="Arial" w:hAnsi="Arial" w:cs="Arial"/>
          <w:noProof/>
          <w:sz w:val="20"/>
          <w:szCs w:val="20"/>
        </w:rPr>
        <w:t xml:space="preserve">tatement </w:t>
      </w:r>
      <w:r w:rsidR="00284ECF">
        <w:rPr>
          <w:rFonts w:ascii="Arial" w:hAnsi="Arial" w:cs="Arial"/>
          <w:noProof/>
          <w:sz w:val="20"/>
          <w:szCs w:val="20"/>
        </w:rPr>
        <w:tab/>
        <w:t>16</w:t>
      </w:r>
    </w:p>
    <w:p w:rsidR="000D22DB" w:rsidRPr="000D22DB" w:rsidRDefault="000D22DB" w:rsidP="000D22DB">
      <w:pPr>
        <w:tabs>
          <w:tab w:val="left" w:pos="993"/>
          <w:tab w:val="right" w:leader="dot" w:pos="7360"/>
        </w:tabs>
        <w:spacing w:before="60"/>
        <w:rPr>
          <w:rFonts w:ascii="Arial" w:hAnsi="Arial" w:cs="Arial"/>
          <w:noProof/>
          <w:sz w:val="20"/>
          <w:szCs w:val="20"/>
        </w:rPr>
      </w:pPr>
      <w:r w:rsidRPr="000D22DB">
        <w:rPr>
          <w:rFonts w:ascii="Arial" w:hAnsi="Arial" w:cs="Arial"/>
          <w:noProof/>
          <w:sz w:val="20"/>
          <w:szCs w:val="20"/>
        </w:rPr>
        <w:t xml:space="preserve">1.2 </w:t>
      </w:r>
      <w:r w:rsidRPr="000D22DB">
        <w:rPr>
          <w:rFonts w:ascii="Arial" w:hAnsi="Arial" w:cs="Arial"/>
          <w:noProof/>
          <w:sz w:val="20"/>
          <w:szCs w:val="20"/>
        </w:rPr>
        <w:tab/>
        <w:t xml:space="preserve">Entity </w:t>
      </w:r>
      <w:r w:rsidR="00BD26BD">
        <w:rPr>
          <w:rFonts w:ascii="Arial" w:hAnsi="Arial" w:cs="Arial"/>
          <w:noProof/>
          <w:sz w:val="20"/>
          <w:szCs w:val="20"/>
        </w:rPr>
        <w:t>r</w:t>
      </w:r>
      <w:r w:rsidRPr="000D22DB">
        <w:rPr>
          <w:rFonts w:ascii="Arial" w:hAnsi="Arial" w:cs="Arial"/>
          <w:noProof/>
          <w:sz w:val="20"/>
          <w:szCs w:val="20"/>
        </w:rPr>
        <w:t xml:space="preserve">esource </w:t>
      </w:r>
      <w:r w:rsidR="00BD26BD">
        <w:rPr>
          <w:rFonts w:ascii="Arial" w:hAnsi="Arial" w:cs="Arial"/>
          <w:noProof/>
          <w:sz w:val="20"/>
          <w:szCs w:val="20"/>
        </w:rPr>
        <w:t>s</w:t>
      </w:r>
      <w:r w:rsidR="00284ECF">
        <w:rPr>
          <w:rFonts w:ascii="Arial" w:hAnsi="Arial" w:cs="Arial"/>
          <w:noProof/>
          <w:sz w:val="20"/>
          <w:szCs w:val="20"/>
        </w:rPr>
        <w:t xml:space="preserve">tatement </w:t>
      </w:r>
      <w:r w:rsidR="00284ECF">
        <w:rPr>
          <w:rFonts w:ascii="Arial" w:hAnsi="Arial" w:cs="Arial"/>
          <w:noProof/>
          <w:sz w:val="20"/>
          <w:szCs w:val="20"/>
        </w:rPr>
        <w:tab/>
        <w:t>19</w:t>
      </w:r>
    </w:p>
    <w:p w:rsidR="000D22DB" w:rsidRPr="000D22DB" w:rsidRDefault="000D22DB" w:rsidP="000D22DB">
      <w:pPr>
        <w:tabs>
          <w:tab w:val="left" w:pos="993"/>
          <w:tab w:val="right" w:leader="dot" w:pos="7360"/>
        </w:tabs>
        <w:spacing w:before="60"/>
        <w:rPr>
          <w:rFonts w:ascii="Arial" w:hAnsi="Arial" w:cs="Arial"/>
          <w:noProof/>
          <w:sz w:val="20"/>
          <w:szCs w:val="20"/>
        </w:rPr>
      </w:pPr>
      <w:r w:rsidRPr="000D22DB">
        <w:rPr>
          <w:rFonts w:ascii="Arial" w:hAnsi="Arial" w:cs="Arial"/>
          <w:noProof/>
          <w:sz w:val="20"/>
          <w:szCs w:val="20"/>
        </w:rPr>
        <w:t>1.3</w:t>
      </w:r>
      <w:r w:rsidRPr="000D22DB">
        <w:rPr>
          <w:rFonts w:ascii="Arial" w:hAnsi="Arial" w:cs="Arial"/>
          <w:noProof/>
          <w:sz w:val="20"/>
          <w:szCs w:val="20"/>
        </w:rPr>
        <w:tab/>
        <w:t xml:space="preserve">Budget </w:t>
      </w:r>
      <w:r w:rsidR="00BD26BD">
        <w:rPr>
          <w:rFonts w:ascii="Arial" w:hAnsi="Arial" w:cs="Arial"/>
          <w:noProof/>
          <w:sz w:val="20"/>
          <w:szCs w:val="20"/>
        </w:rPr>
        <w:t>m</w:t>
      </w:r>
      <w:r w:rsidR="00284ECF">
        <w:rPr>
          <w:rFonts w:ascii="Arial" w:hAnsi="Arial" w:cs="Arial"/>
          <w:noProof/>
          <w:sz w:val="20"/>
          <w:szCs w:val="20"/>
        </w:rPr>
        <w:t>easures</w:t>
      </w:r>
      <w:r w:rsidR="00284ECF">
        <w:rPr>
          <w:rFonts w:ascii="Arial" w:hAnsi="Arial" w:cs="Arial"/>
          <w:noProof/>
          <w:sz w:val="20"/>
          <w:szCs w:val="20"/>
        </w:rPr>
        <w:tab/>
        <w:t>22</w:t>
      </w:r>
    </w:p>
    <w:p w:rsidR="000D22DB" w:rsidRPr="000D22DB" w:rsidRDefault="000D22DB" w:rsidP="000D22DB">
      <w:pPr>
        <w:tabs>
          <w:tab w:val="right" w:leader="dot" w:pos="7371"/>
        </w:tabs>
        <w:spacing w:before="240"/>
        <w:ind w:right="-1"/>
        <w:rPr>
          <w:rFonts w:ascii="Arial" w:hAnsi="Arial" w:cs="Arial"/>
          <w:b/>
          <w:bCs/>
          <w:noProof/>
          <w:color w:val="auto"/>
          <w:sz w:val="20"/>
          <w:szCs w:val="20"/>
          <w:lang w:eastAsia="en-US"/>
        </w:rPr>
      </w:pPr>
      <w:r w:rsidRPr="000D22DB">
        <w:rPr>
          <w:rFonts w:ascii="Arial" w:hAnsi="Arial" w:cs="Arial"/>
          <w:b/>
          <w:bCs/>
          <w:noProof/>
          <w:color w:val="auto"/>
          <w:sz w:val="20"/>
          <w:szCs w:val="20"/>
          <w:lang w:eastAsia="en-US"/>
        </w:rPr>
        <w:t xml:space="preserve">Section 2: Outcomes and </w:t>
      </w:r>
      <w:r w:rsidR="00BD26BD">
        <w:rPr>
          <w:rFonts w:ascii="Arial" w:hAnsi="Arial" w:cs="Arial"/>
          <w:b/>
          <w:bCs/>
          <w:noProof/>
          <w:color w:val="auto"/>
          <w:sz w:val="20"/>
          <w:szCs w:val="20"/>
          <w:lang w:eastAsia="en-US"/>
        </w:rPr>
        <w:t>p</w:t>
      </w:r>
      <w:r w:rsidRPr="000D22DB">
        <w:rPr>
          <w:rFonts w:ascii="Arial" w:hAnsi="Arial" w:cs="Arial"/>
          <w:b/>
          <w:bCs/>
          <w:noProof/>
          <w:color w:val="auto"/>
          <w:sz w:val="20"/>
          <w:szCs w:val="20"/>
          <w:lang w:eastAsia="en-US"/>
        </w:rPr>
        <w:t xml:space="preserve">lanned </w:t>
      </w:r>
      <w:r w:rsidR="00BD26BD">
        <w:rPr>
          <w:rFonts w:ascii="Arial" w:hAnsi="Arial" w:cs="Arial"/>
          <w:b/>
          <w:bCs/>
          <w:noProof/>
          <w:color w:val="auto"/>
          <w:sz w:val="20"/>
          <w:szCs w:val="20"/>
          <w:lang w:eastAsia="en-US"/>
        </w:rPr>
        <w:t>p</w:t>
      </w:r>
      <w:r w:rsidR="00284ECF">
        <w:rPr>
          <w:rFonts w:ascii="Arial" w:hAnsi="Arial" w:cs="Arial"/>
          <w:b/>
          <w:bCs/>
          <w:noProof/>
          <w:color w:val="auto"/>
          <w:sz w:val="20"/>
          <w:szCs w:val="20"/>
          <w:lang w:eastAsia="en-US"/>
        </w:rPr>
        <w:t>erformance</w:t>
      </w:r>
      <w:r w:rsidR="00284ECF">
        <w:rPr>
          <w:rFonts w:ascii="Arial" w:hAnsi="Arial" w:cs="Arial"/>
          <w:b/>
          <w:bCs/>
          <w:noProof/>
          <w:color w:val="auto"/>
          <w:sz w:val="20"/>
          <w:szCs w:val="20"/>
          <w:lang w:eastAsia="en-US"/>
        </w:rPr>
        <w:tab/>
        <w:t>39</w:t>
      </w:r>
    </w:p>
    <w:p w:rsidR="000D22DB" w:rsidRPr="000D22DB" w:rsidRDefault="000D22DB" w:rsidP="000D22DB">
      <w:pPr>
        <w:tabs>
          <w:tab w:val="left" w:pos="993"/>
          <w:tab w:val="right" w:leader="dot" w:pos="7360"/>
        </w:tabs>
        <w:spacing w:before="60" w:after="80"/>
        <w:rPr>
          <w:rFonts w:ascii="Arial" w:hAnsi="Arial" w:cs="Arial"/>
          <w:sz w:val="20"/>
          <w:szCs w:val="20"/>
          <w:lang w:eastAsia="en-US"/>
        </w:rPr>
      </w:pPr>
      <w:r w:rsidRPr="000D22DB">
        <w:rPr>
          <w:rFonts w:ascii="Arial" w:hAnsi="Arial" w:cs="Arial"/>
          <w:sz w:val="20"/>
          <w:szCs w:val="20"/>
          <w:lang w:eastAsia="en-US"/>
        </w:rPr>
        <w:t>Budgeted Expenses and Performance for:</w:t>
      </w:r>
    </w:p>
    <w:p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2.1</w:t>
      </w:r>
      <w:r w:rsidRPr="000D22DB">
        <w:rPr>
          <w:rFonts w:ascii="Arial" w:hAnsi="Arial" w:cs="Arial"/>
          <w:sz w:val="20"/>
          <w:szCs w:val="20"/>
          <w:lang w:eastAsia="en-US"/>
        </w:rPr>
        <w:tab/>
        <w:t>Outcome 1: Healt</w:t>
      </w:r>
      <w:r w:rsidR="00284ECF">
        <w:rPr>
          <w:rFonts w:ascii="Arial" w:hAnsi="Arial" w:cs="Arial"/>
          <w:sz w:val="20"/>
          <w:szCs w:val="20"/>
          <w:lang w:eastAsia="en-US"/>
        </w:rPr>
        <w:t xml:space="preserve">h Policy, Access and Support </w:t>
      </w:r>
      <w:r w:rsidR="00284ECF">
        <w:rPr>
          <w:rFonts w:ascii="Arial" w:hAnsi="Arial" w:cs="Arial"/>
          <w:sz w:val="20"/>
          <w:szCs w:val="20"/>
          <w:lang w:eastAsia="en-US"/>
        </w:rPr>
        <w:tab/>
        <w:t>41</w:t>
      </w:r>
    </w:p>
    <w:p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2.2</w:t>
      </w:r>
      <w:r w:rsidRPr="000D22DB">
        <w:rPr>
          <w:rFonts w:ascii="Arial" w:hAnsi="Arial" w:cs="Arial"/>
          <w:sz w:val="20"/>
          <w:szCs w:val="20"/>
          <w:lang w:eastAsia="en-US"/>
        </w:rPr>
        <w:tab/>
        <w:t xml:space="preserve">Outcome </w:t>
      </w:r>
      <w:r w:rsidR="00284ECF">
        <w:rPr>
          <w:rFonts w:ascii="Arial" w:hAnsi="Arial" w:cs="Arial"/>
          <w:sz w:val="20"/>
          <w:szCs w:val="20"/>
          <w:lang w:eastAsia="en-US"/>
        </w:rPr>
        <w:t>2: Individual Health Benefits</w:t>
      </w:r>
      <w:r w:rsidR="00284ECF">
        <w:rPr>
          <w:rFonts w:ascii="Arial" w:hAnsi="Arial" w:cs="Arial"/>
          <w:sz w:val="20"/>
          <w:szCs w:val="20"/>
          <w:lang w:eastAsia="en-US"/>
        </w:rPr>
        <w:tab/>
        <w:t>75</w:t>
      </w:r>
    </w:p>
    <w:p w:rsidR="000D22DB" w:rsidRPr="000D22DB" w:rsidRDefault="000D22DB" w:rsidP="000D22DB">
      <w:pPr>
        <w:tabs>
          <w:tab w:val="left" w:pos="993"/>
          <w:tab w:val="right" w:leader="dot" w:pos="7371"/>
        </w:tabs>
        <w:spacing w:before="60"/>
        <w:rPr>
          <w:rFonts w:ascii="Arial" w:hAnsi="Arial" w:cs="Arial"/>
          <w:b/>
          <w:bCs/>
          <w:color w:val="auto"/>
          <w:sz w:val="20"/>
          <w:szCs w:val="20"/>
          <w:lang w:eastAsia="en-US"/>
        </w:rPr>
      </w:pPr>
      <w:r w:rsidRPr="000D22DB">
        <w:rPr>
          <w:rFonts w:ascii="Arial" w:hAnsi="Arial" w:cs="Arial"/>
          <w:sz w:val="20"/>
          <w:szCs w:val="20"/>
          <w:lang w:eastAsia="en-US"/>
        </w:rPr>
        <w:t>2.3</w:t>
      </w:r>
      <w:r w:rsidRPr="000D22DB">
        <w:rPr>
          <w:rFonts w:ascii="Arial" w:hAnsi="Arial" w:cs="Arial"/>
          <w:sz w:val="20"/>
          <w:szCs w:val="20"/>
          <w:lang w:eastAsia="en-US"/>
        </w:rPr>
        <w:tab/>
        <w:t>Outcome 3: Ageing and Aged Care</w:t>
      </w:r>
      <w:r w:rsidRPr="000D22DB">
        <w:rPr>
          <w:rFonts w:ascii="Arial" w:hAnsi="Arial" w:cs="Arial"/>
          <w:sz w:val="20"/>
          <w:szCs w:val="20"/>
          <w:lang w:eastAsia="en-US"/>
        </w:rPr>
        <w:tab/>
      </w:r>
      <w:r w:rsidRPr="000D22DB">
        <w:rPr>
          <w:rFonts w:ascii="Arial" w:hAnsi="Arial" w:cs="Arial"/>
          <w:b/>
          <w:bCs/>
          <w:color w:val="auto"/>
          <w:sz w:val="20"/>
          <w:szCs w:val="20"/>
          <w:lang w:eastAsia="en-US"/>
        </w:rPr>
        <w:fldChar w:fldCharType="end"/>
      </w:r>
      <w:r w:rsidR="00284ECF">
        <w:rPr>
          <w:rFonts w:ascii="Arial" w:hAnsi="Arial" w:cs="Arial"/>
          <w:bCs/>
          <w:color w:val="auto"/>
          <w:sz w:val="20"/>
          <w:szCs w:val="20"/>
          <w:lang w:eastAsia="en-US"/>
        </w:rPr>
        <w:t>91</w:t>
      </w:r>
    </w:p>
    <w:p w:rsidR="000D22DB" w:rsidRPr="000D22DB" w:rsidRDefault="000D22DB" w:rsidP="000D22DB">
      <w:pPr>
        <w:tabs>
          <w:tab w:val="left" w:pos="993"/>
          <w:tab w:val="right" w:leader="dot" w:pos="7371"/>
        </w:tabs>
        <w:spacing w:before="60"/>
        <w:rPr>
          <w:rFonts w:ascii="Arial" w:hAnsi="Arial" w:cs="Arial"/>
          <w:bCs/>
          <w:color w:val="auto"/>
          <w:sz w:val="20"/>
          <w:szCs w:val="20"/>
          <w:lang w:eastAsia="en-US"/>
        </w:rPr>
      </w:pPr>
      <w:r w:rsidRPr="000D22DB">
        <w:rPr>
          <w:rFonts w:ascii="Arial" w:hAnsi="Arial" w:cs="Arial"/>
          <w:bCs/>
          <w:color w:val="auto"/>
          <w:sz w:val="20"/>
          <w:szCs w:val="20"/>
          <w:lang w:eastAsia="en-US"/>
        </w:rPr>
        <w:t>2.4</w:t>
      </w:r>
      <w:r w:rsidRPr="000D22DB">
        <w:rPr>
          <w:rFonts w:ascii="Arial" w:hAnsi="Arial" w:cs="Arial"/>
          <w:bCs/>
          <w:color w:val="auto"/>
          <w:sz w:val="20"/>
          <w:szCs w:val="20"/>
          <w:lang w:eastAsia="en-US"/>
        </w:rPr>
        <w:tab/>
        <w:t>Ou</w:t>
      </w:r>
      <w:r w:rsidR="00284ECF">
        <w:rPr>
          <w:rFonts w:ascii="Arial" w:hAnsi="Arial" w:cs="Arial"/>
          <w:bCs/>
          <w:color w:val="auto"/>
          <w:sz w:val="20"/>
          <w:szCs w:val="20"/>
          <w:lang w:eastAsia="en-US"/>
        </w:rPr>
        <w:t>tcome 4: Sport and Recreation</w:t>
      </w:r>
      <w:r w:rsidR="00284ECF">
        <w:rPr>
          <w:rFonts w:ascii="Arial" w:hAnsi="Arial" w:cs="Arial"/>
          <w:bCs/>
          <w:color w:val="auto"/>
          <w:sz w:val="20"/>
          <w:szCs w:val="20"/>
          <w:lang w:eastAsia="en-US"/>
        </w:rPr>
        <w:tab/>
        <w:t>103</w:t>
      </w:r>
    </w:p>
    <w:p w:rsidR="000D22DB" w:rsidRPr="000D22DB" w:rsidRDefault="00E4787B" w:rsidP="000D22DB">
      <w:pPr>
        <w:tabs>
          <w:tab w:val="right" w:leader="dot" w:pos="7371"/>
        </w:tabs>
        <w:spacing w:before="240"/>
        <w:ind w:right="-1"/>
        <w:rPr>
          <w:rFonts w:ascii="Arial" w:hAnsi="Arial" w:cs="Arial"/>
          <w:b/>
          <w:bCs/>
          <w:color w:val="auto"/>
          <w:sz w:val="20"/>
          <w:szCs w:val="20"/>
          <w:lang w:eastAsia="en-US"/>
        </w:rPr>
      </w:pPr>
      <w:r>
        <w:rPr>
          <w:rFonts w:ascii="Arial" w:hAnsi="Arial" w:cs="Arial"/>
          <w:b/>
          <w:bCs/>
          <w:color w:val="auto"/>
          <w:sz w:val="20"/>
          <w:szCs w:val="20"/>
          <w:lang w:eastAsia="en-US"/>
        </w:rPr>
        <w:t>Section 3: B</w:t>
      </w:r>
      <w:bookmarkStart w:id="4" w:name="_GoBack"/>
      <w:bookmarkEnd w:id="4"/>
      <w:r w:rsidR="000D22DB" w:rsidRPr="000D22DB">
        <w:rPr>
          <w:rFonts w:ascii="Arial" w:hAnsi="Arial" w:cs="Arial"/>
          <w:b/>
          <w:bCs/>
          <w:color w:val="auto"/>
          <w:sz w:val="20"/>
          <w:szCs w:val="20"/>
          <w:lang w:eastAsia="en-US"/>
        </w:rPr>
        <w:t xml:space="preserve">udgeted </w:t>
      </w:r>
      <w:r w:rsidR="00BD26BD">
        <w:rPr>
          <w:rFonts w:ascii="Arial" w:hAnsi="Arial" w:cs="Arial"/>
          <w:b/>
          <w:bCs/>
          <w:color w:val="auto"/>
          <w:sz w:val="20"/>
          <w:szCs w:val="20"/>
          <w:lang w:eastAsia="en-US"/>
        </w:rPr>
        <w:t>f</w:t>
      </w:r>
      <w:r w:rsidR="000D22DB" w:rsidRPr="000D22DB">
        <w:rPr>
          <w:rFonts w:ascii="Arial" w:hAnsi="Arial" w:cs="Arial"/>
          <w:b/>
          <w:bCs/>
          <w:color w:val="auto"/>
          <w:sz w:val="20"/>
          <w:szCs w:val="20"/>
          <w:lang w:eastAsia="en-US"/>
        </w:rPr>
        <w:t xml:space="preserve">inancial </w:t>
      </w:r>
      <w:r w:rsidR="00BD26BD">
        <w:rPr>
          <w:rFonts w:ascii="Arial" w:hAnsi="Arial" w:cs="Arial"/>
          <w:b/>
          <w:bCs/>
          <w:color w:val="auto"/>
          <w:sz w:val="20"/>
          <w:szCs w:val="20"/>
          <w:lang w:eastAsia="en-US"/>
        </w:rPr>
        <w:t>s</w:t>
      </w:r>
      <w:r w:rsidR="00284ECF">
        <w:rPr>
          <w:rFonts w:ascii="Arial" w:hAnsi="Arial" w:cs="Arial"/>
          <w:b/>
          <w:bCs/>
          <w:color w:val="auto"/>
          <w:sz w:val="20"/>
          <w:szCs w:val="20"/>
          <w:lang w:eastAsia="en-US"/>
        </w:rPr>
        <w:t>tatements</w:t>
      </w:r>
      <w:r w:rsidR="00284ECF">
        <w:rPr>
          <w:rFonts w:ascii="Arial" w:hAnsi="Arial" w:cs="Arial"/>
          <w:b/>
          <w:bCs/>
          <w:color w:val="auto"/>
          <w:sz w:val="20"/>
          <w:szCs w:val="20"/>
          <w:lang w:eastAsia="en-US"/>
        </w:rPr>
        <w:tab/>
        <w:t>109</w:t>
      </w:r>
    </w:p>
    <w:p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3.1</w:t>
      </w:r>
      <w:r w:rsidRPr="000D22DB">
        <w:rPr>
          <w:rFonts w:ascii="Arial" w:hAnsi="Arial" w:cs="Arial"/>
          <w:sz w:val="20"/>
          <w:szCs w:val="20"/>
          <w:lang w:eastAsia="en-US"/>
        </w:rPr>
        <w:tab/>
        <w:t xml:space="preserve">Budgeted </w:t>
      </w:r>
      <w:r w:rsidR="00BD26BD">
        <w:rPr>
          <w:rFonts w:ascii="Arial" w:hAnsi="Arial" w:cs="Arial"/>
          <w:sz w:val="20"/>
          <w:szCs w:val="20"/>
          <w:lang w:eastAsia="en-US"/>
        </w:rPr>
        <w:t>f</w:t>
      </w:r>
      <w:r w:rsidRPr="000D22DB">
        <w:rPr>
          <w:rFonts w:ascii="Arial" w:hAnsi="Arial" w:cs="Arial"/>
          <w:sz w:val="20"/>
          <w:szCs w:val="20"/>
          <w:lang w:eastAsia="en-US"/>
        </w:rPr>
        <w:t xml:space="preserve">inancial </w:t>
      </w:r>
      <w:r w:rsidR="00BD26BD">
        <w:rPr>
          <w:rFonts w:ascii="Arial" w:hAnsi="Arial" w:cs="Arial"/>
          <w:sz w:val="20"/>
          <w:szCs w:val="20"/>
          <w:lang w:eastAsia="en-US"/>
        </w:rPr>
        <w:t>s</w:t>
      </w:r>
      <w:r w:rsidR="00284ECF">
        <w:rPr>
          <w:rFonts w:ascii="Arial" w:hAnsi="Arial" w:cs="Arial"/>
          <w:sz w:val="20"/>
          <w:szCs w:val="20"/>
          <w:lang w:eastAsia="en-US"/>
        </w:rPr>
        <w:t xml:space="preserve">tatements </w:t>
      </w:r>
      <w:r w:rsidR="00284ECF">
        <w:rPr>
          <w:rFonts w:ascii="Arial" w:hAnsi="Arial" w:cs="Arial"/>
          <w:sz w:val="20"/>
          <w:szCs w:val="20"/>
          <w:lang w:eastAsia="en-US"/>
        </w:rPr>
        <w:tab/>
        <w:t>109</w:t>
      </w:r>
    </w:p>
    <w:p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3.2</w:t>
      </w:r>
      <w:r w:rsidRPr="000D22DB">
        <w:rPr>
          <w:rFonts w:ascii="Arial" w:hAnsi="Arial" w:cs="Arial"/>
          <w:sz w:val="20"/>
          <w:szCs w:val="20"/>
          <w:lang w:eastAsia="en-US"/>
        </w:rPr>
        <w:tab/>
        <w:t xml:space="preserve">Budgeted </w:t>
      </w:r>
      <w:r w:rsidR="00BD26BD">
        <w:rPr>
          <w:rFonts w:ascii="Arial" w:hAnsi="Arial" w:cs="Arial"/>
          <w:sz w:val="20"/>
          <w:szCs w:val="20"/>
          <w:lang w:eastAsia="en-US"/>
        </w:rPr>
        <w:t>f</w:t>
      </w:r>
      <w:r w:rsidRPr="000D22DB">
        <w:rPr>
          <w:rFonts w:ascii="Arial" w:hAnsi="Arial" w:cs="Arial"/>
          <w:sz w:val="20"/>
          <w:szCs w:val="20"/>
          <w:lang w:eastAsia="en-US"/>
        </w:rPr>
        <w:t xml:space="preserve">inancial </w:t>
      </w:r>
      <w:r w:rsidR="00BD26BD">
        <w:rPr>
          <w:rFonts w:ascii="Arial" w:hAnsi="Arial" w:cs="Arial"/>
          <w:sz w:val="20"/>
          <w:szCs w:val="20"/>
          <w:lang w:eastAsia="en-US"/>
        </w:rPr>
        <w:t>s</w:t>
      </w:r>
      <w:r w:rsidRPr="000D22DB">
        <w:rPr>
          <w:rFonts w:ascii="Arial" w:hAnsi="Arial" w:cs="Arial"/>
          <w:sz w:val="20"/>
          <w:szCs w:val="20"/>
          <w:lang w:eastAsia="en-US"/>
        </w:rPr>
        <w:t xml:space="preserve">tatements </w:t>
      </w:r>
      <w:r w:rsidR="00BD26BD">
        <w:rPr>
          <w:rFonts w:ascii="Arial" w:hAnsi="Arial" w:cs="Arial"/>
          <w:sz w:val="20"/>
          <w:szCs w:val="20"/>
          <w:lang w:eastAsia="en-US"/>
        </w:rPr>
        <w:t>t</w:t>
      </w:r>
      <w:r w:rsidR="00284ECF">
        <w:rPr>
          <w:rFonts w:ascii="Arial" w:hAnsi="Arial" w:cs="Arial"/>
          <w:sz w:val="20"/>
          <w:szCs w:val="20"/>
          <w:lang w:eastAsia="en-US"/>
        </w:rPr>
        <w:t xml:space="preserve">ables </w:t>
      </w:r>
      <w:r w:rsidR="00284ECF">
        <w:rPr>
          <w:rFonts w:ascii="Arial" w:hAnsi="Arial" w:cs="Arial"/>
          <w:sz w:val="20"/>
          <w:szCs w:val="20"/>
          <w:lang w:eastAsia="en-US"/>
        </w:rPr>
        <w:tab/>
        <w:t>113</w:t>
      </w:r>
    </w:p>
    <w:p w:rsidR="001432F3" w:rsidRPr="004F6919" w:rsidRDefault="001432F3" w:rsidP="000D22DB">
      <w:pPr>
        <w:sectPr w:rsidR="001432F3" w:rsidRPr="004F6919" w:rsidSect="00460A0F">
          <w:headerReference w:type="even" r:id="rId14"/>
          <w:headerReference w:type="default" r:id="rId15"/>
          <w:footerReference w:type="even" r:id="rId16"/>
          <w:footerReference w:type="default" r:id="rId17"/>
          <w:headerReference w:type="first" r:id="rId18"/>
          <w:pgSz w:w="11906" w:h="16838" w:code="9"/>
          <w:pgMar w:top="2466" w:right="2268" w:bottom="2126" w:left="2268" w:header="1899" w:footer="1899" w:gutter="0"/>
          <w:cols w:space="708"/>
          <w:docGrid w:linePitch="360"/>
        </w:sectPr>
      </w:pPr>
      <w:r w:rsidRPr="004F6919">
        <w:br w:type="page"/>
      </w:r>
    </w:p>
    <w:p w:rsidR="001432F3" w:rsidRPr="001432F3" w:rsidRDefault="001432F3" w:rsidP="000D22DB">
      <w:pPr>
        <w:pStyle w:val="Heading1"/>
      </w:pPr>
      <w:bookmarkStart w:id="5" w:name="_Toc65243502"/>
      <w:r w:rsidRPr="001432F3">
        <w:lastRenderedPageBreak/>
        <w:t xml:space="preserve">Department of </w:t>
      </w:r>
      <w:bookmarkEnd w:id="5"/>
      <w:r>
        <w:t>Health and Aged Care</w:t>
      </w:r>
    </w:p>
    <w:p w:rsidR="001432F3" w:rsidRDefault="001432F3" w:rsidP="000D22DB">
      <w:pPr>
        <w:pStyle w:val="Heading2"/>
      </w:pPr>
      <w:bookmarkStart w:id="6" w:name="_Toc190682308"/>
      <w:bookmarkStart w:id="7" w:name="_Toc190682526"/>
      <w:bookmarkStart w:id="8" w:name="_Toc444523508"/>
      <w:bookmarkStart w:id="9" w:name="_Toc65243505"/>
      <w:r w:rsidRPr="001432F3">
        <w:t>Section 1: Entity overview and resources</w:t>
      </w:r>
      <w:bookmarkEnd w:id="6"/>
      <w:bookmarkEnd w:id="7"/>
      <w:bookmarkEnd w:id="8"/>
      <w:bookmarkEnd w:id="9"/>
    </w:p>
    <w:p w:rsidR="00202081" w:rsidRPr="00D96B2A" w:rsidRDefault="00202081" w:rsidP="00202081">
      <w:pPr>
        <w:pStyle w:val="Heading3"/>
      </w:pPr>
      <w:r>
        <w:t>1.1</w:t>
      </w:r>
      <w:r w:rsidRPr="00D96B2A">
        <w:tab/>
      </w:r>
      <w:r>
        <w:t>Strategic direction statement</w:t>
      </w:r>
    </w:p>
    <w:p w:rsidR="000166A3" w:rsidRDefault="000166A3" w:rsidP="000166A3">
      <w:r w:rsidRPr="007B22FA">
        <w:t xml:space="preserve">The Department of Health and Aged Care (the Department) </w:t>
      </w:r>
      <w:r>
        <w:t>implements the</w:t>
      </w:r>
      <w:r w:rsidRPr="007B22FA">
        <w:t xml:space="preserve"> Government</w:t>
      </w:r>
      <w:r>
        <w:t>’s agenda to</w:t>
      </w:r>
      <w:r w:rsidRPr="007B22FA">
        <w:t xml:space="preserve"> deliver better health and wellbeing for all Australians, now and for future generations. The Department, with its partners, supports the Government to lead and shape Australia’s health and aged care system and sporting outcomes through evidence-based policy, well targeted programs, and best practice regulation.</w:t>
      </w:r>
    </w:p>
    <w:p w:rsidR="000166A3" w:rsidRDefault="000166A3" w:rsidP="000166A3">
      <w:r w:rsidRPr="00A8543A">
        <w:t>As part of the October 2022</w:t>
      </w:r>
      <w:r w:rsidR="0004202E" w:rsidRPr="0004202E">
        <w:t>–</w:t>
      </w:r>
      <w:r w:rsidRPr="00A8543A">
        <w:t>23 Budget, the Department will lead the</w:t>
      </w:r>
      <w:r w:rsidR="00A31A90">
        <w:t xml:space="preserve"> implementation of a number of g</w:t>
      </w:r>
      <w:r w:rsidRPr="00A8543A">
        <w:t>overnment priorities. Th</w:t>
      </w:r>
      <w:r>
        <w:t>e</w:t>
      </w:r>
      <w:r w:rsidRPr="00A8543A">
        <w:t xml:space="preserve"> Budget</w:t>
      </w:r>
      <w:r w:rsidR="00202081">
        <w:t xml:space="preserve"> has a strong focus on s</w:t>
      </w:r>
      <w:r>
        <w:t>trengthening Medicare,</w:t>
      </w:r>
      <w:r w:rsidRPr="00A8543A">
        <w:t xml:space="preserve"> practical reforms to the aged care system; </w:t>
      </w:r>
      <w:r w:rsidR="00202081">
        <w:t>First Nations h</w:t>
      </w:r>
      <w:r w:rsidRPr="00A8543A">
        <w:t xml:space="preserve">ealth; </w:t>
      </w:r>
      <w:r>
        <w:t>improving access to rural and regional healthcare</w:t>
      </w:r>
      <w:r w:rsidRPr="00A8543A">
        <w:t xml:space="preserve">; </w:t>
      </w:r>
      <w:r>
        <w:t>continued</w:t>
      </w:r>
      <w:r w:rsidRPr="00A8543A">
        <w:t xml:space="preserve"> </w:t>
      </w:r>
      <w:r>
        <w:t>support</w:t>
      </w:r>
      <w:r w:rsidRPr="00A8543A">
        <w:t xml:space="preserve"> to manage the COVID-19 pandemic; and supporting preparations for, and the successful conduct of, the Brisbane</w:t>
      </w:r>
      <w:r>
        <w:t> </w:t>
      </w:r>
      <w:r w:rsidRPr="00A8543A">
        <w:t>2032 Olympic and Paralympic Games.</w:t>
      </w:r>
    </w:p>
    <w:p w:rsidR="000166A3" w:rsidRPr="00F3421B" w:rsidRDefault="000166A3" w:rsidP="000166A3">
      <w:r>
        <w:rPr>
          <w:rFonts w:ascii="Arial" w:hAnsi="Arial" w:cs="Arial"/>
          <w:b/>
          <w:i/>
        </w:rPr>
        <w:t>Strengthening Medicare</w:t>
      </w:r>
    </w:p>
    <w:p w:rsidR="000166A3" w:rsidRDefault="000166A3" w:rsidP="0004202E">
      <w:r w:rsidRPr="00B01C03">
        <w:t xml:space="preserve">Strengthening Medicare </w:t>
      </w:r>
      <w:r>
        <w:t>is one of</w:t>
      </w:r>
      <w:r w:rsidRPr="00B01C03">
        <w:t xml:space="preserve"> the Government’s top priorities</w:t>
      </w:r>
      <w:r>
        <w:t>, with measures in the Budget addressing the gro</w:t>
      </w:r>
      <w:r w:rsidR="00A31A90">
        <w:t>wing challenges in primary care</w:t>
      </w:r>
      <w:r>
        <w:t xml:space="preserve"> and keeping pressure off hospitals</w:t>
      </w:r>
      <w:r w:rsidRPr="00B01C03">
        <w:t xml:space="preserve">. </w:t>
      </w:r>
      <w:r w:rsidRPr="00295A16">
        <w:t xml:space="preserve">Primary care is the cornerstone of the Australian health system. Nine out of 10 Australians see a GP at least once a year. </w:t>
      </w:r>
      <w:r w:rsidRPr="00B01C03">
        <w:t>Through the Strengthening Medicare Taskforce, the Government is working with Australia’s health policy leaders to identify the best ways to boost affordability and access to health care.</w:t>
      </w:r>
    </w:p>
    <w:p w:rsidR="000166A3" w:rsidRPr="00DE39FB" w:rsidRDefault="000166A3" w:rsidP="0004202E">
      <w:r w:rsidRPr="00B01C03">
        <w:t>In this Budget</w:t>
      </w:r>
      <w:r w:rsidR="00A31A90">
        <w:t>,</w:t>
      </w:r>
      <w:r w:rsidRPr="00B01C03">
        <w:t xml:space="preserve"> the Government is </w:t>
      </w:r>
      <w:r w:rsidR="00BC2833" w:rsidRPr="00D55799">
        <w:t>investing $</w:t>
      </w:r>
      <w:r w:rsidR="00D55799" w:rsidRPr="00D55799">
        <w:t>229.7</w:t>
      </w:r>
      <w:r w:rsidRPr="00D55799">
        <w:t xml:space="preserve"> million</w:t>
      </w:r>
      <w:r w:rsidRPr="00B01C03">
        <w:t xml:space="preserve"> in local GP practices through the Strengthening Medicare GP Grants program, providing a much needed boost to general practices and supporting better primary care.</w:t>
      </w:r>
      <w:r>
        <w:t xml:space="preserve"> These investments will form the basis of future refo</w:t>
      </w:r>
      <w:r w:rsidR="00A31A90">
        <w:t>rm to primary care</w:t>
      </w:r>
      <w:r w:rsidRPr="00DE39FB">
        <w:t xml:space="preserve"> once the Strengthening Medicare Taskforce has delivered its Final Report to Government at the end of 2022.</w:t>
      </w:r>
    </w:p>
    <w:p w:rsidR="000166A3" w:rsidRPr="00DE39FB" w:rsidRDefault="000166A3" w:rsidP="0004202E">
      <w:r w:rsidRPr="00DE39FB">
        <w:t>This Budget also provides targeted investment to take pressure off o</w:t>
      </w:r>
      <w:r w:rsidR="00A31A90">
        <w:t>ur hospitals by managing people</w:t>
      </w:r>
      <w:r w:rsidRPr="00DE39FB">
        <w:t>s</w:t>
      </w:r>
      <w:r w:rsidR="00A31A90">
        <w:t>’</w:t>
      </w:r>
      <w:r w:rsidRPr="00DE39FB">
        <w:t xml:space="preserve"> health in the community and delivering important structural reforms. In 2020</w:t>
      </w:r>
      <w:r w:rsidR="0004202E" w:rsidRPr="0004202E">
        <w:t>–</w:t>
      </w:r>
      <w:r w:rsidRPr="00DE39FB">
        <w:t xml:space="preserve">21, 47% of presentations to emergency departments were classified as semi-urgent or non-urgent. The Government will </w:t>
      </w:r>
      <w:r w:rsidR="00A31A90">
        <w:t>provide $235.0 million over 4</w:t>
      </w:r>
      <w:r w:rsidRPr="00D55799">
        <w:t xml:space="preserve"> years from 2022</w:t>
      </w:r>
      <w:r w:rsidR="0004202E" w:rsidRPr="0004202E">
        <w:t>–</w:t>
      </w:r>
      <w:r w:rsidR="00A31A90">
        <w:t>23 to commence the roll</w:t>
      </w:r>
      <w:r w:rsidRPr="00D55799">
        <w:t>out of Urgent Care Clinics, i</w:t>
      </w:r>
      <w:r w:rsidR="0040541D">
        <w:t>ncluding $100.0 million over 2</w:t>
      </w:r>
      <w:r w:rsidRPr="00D55799">
        <w:t xml:space="preserve"> years from 2022</w:t>
      </w:r>
      <w:r w:rsidR="0004202E" w:rsidRPr="0004202E">
        <w:t>–</w:t>
      </w:r>
      <w:r w:rsidRPr="00D55799">
        <w:t>23 to co</w:t>
      </w:r>
      <w:r w:rsidRPr="00D55799">
        <w:noBreakHyphen/>
        <w:t>develop and pilot innovative models</w:t>
      </w:r>
      <w:r w:rsidRPr="00DE39FB">
        <w:t xml:space="preserve"> with states and territories to improve care p</w:t>
      </w:r>
      <w:r w:rsidR="0040541D">
        <w:t>athways and inform program roll</w:t>
      </w:r>
      <w:r w:rsidRPr="00DE39FB">
        <w:t>out.</w:t>
      </w:r>
    </w:p>
    <w:p w:rsidR="000166A3" w:rsidRPr="00B01C03" w:rsidRDefault="000166A3" w:rsidP="0004202E">
      <w:r w:rsidRPr="00DE39FB">
        <w:t xml:space="preserve">The Government is also investing in critical health infrastructure, increasing the proportion of health expenditure going to primary </w:t>
      </w:r>
      <w:r w:rsidRPr="00B01C03">
        <w:t xml:space="preserve">care, improving access to mental health </w:t>
      </w:r>
      <w:r>
        <w:t xml:space="preserve">and suicide prevention </w:t>
      </w:r>
      <w:r w:rsidRPr="00B01C03">
        <w:t xml:space="preserve">supports, and making important new investments in preventive health. </w:t>
      </w:r>
      <w:r>
        <w:t xml:space="preserve">Through these investments </w:t>
      </w:r>
      <w:r w:rsidRPr="00B01C03">
        <w:t xml:space="preserve">Australians, particularly the most disadvantaged, </w:t>
      </w:r>
      <w:r>
        <w:t>will have</w:t>
      </w:r>
      <w:r w:rsidRPr="00B01C03">
        <w:t xml:space="preserve"> more options for accessing affordab</w:t>
      </w:r>
      <w:r w:rsidR="0040541D">
        <w:t>le and world class medical care</w:t>
      </w:r>
      <w:r w:rsidRPr="00B01C03">
        <w:t xml:space="preserve"> when and where they need it. </w:t>
      </w:r>
    </w:p>
    <w:p w:rsidR="000166A3" w:rsidRDefault="000166A3" w:rsidP="000166A3">
      <w:pPr>
        <w:rPr>
          <w:rFonts w:ascii="Arial" w:hAnsi="Arial" w:cs="Arial"/>
          <w:b/>
          <w:i/>
        </w:rPr>
      </w:pPr>
      <w:r>
        <w:rPr>
          <w:rFonts w:ascii="Arial" w:hAnsi="Arial" w:cs="Arial"/>
          <w:b/>
          <w:i/>
        </w:rPr>
        <w:br w:type="page"/>
      </w:r>
    </w:p>
    <w:p w:rsidR="000166A3" w:rsidRPr="00DE39FB" w:rsidRDefault="000166A3" w:rsidP="000166A3">
      <w:pPr>
        <w:rPr>
          <w:rFonts w:ascii="Arial" w:eastAsiaTheme="minorHAnsi" w:hAnsi="Arial" w:cs="Arial"/>
          <w:b/>
          <w:i/>
          <w:color w:val="auto"/>
          <w:sz w:val="20"/>
          <w:szCs w:val="20"/>
        </w:rPr>
      </w:pPr>
      <w:r>
        <w:rPr>
          <w:rFonts w:ascii="Arial" w:hAnsi="Arial" w:cs="Arial"/>
          <w:b/>
          <w:i/>
        </w:rPr>
        <w:lastRenderedPageBreak/>
        <w:t>Cutting the Cost of M</w:t>
      </w:r>
      <w:r w:rsidRPr="00DE39FB">
        <w:rPr>
          <w:rFonts w:ascii="Arial" w:eastAsiaTheme="minorHAnsi" w:hAnsi="Arial" w:cs="Arial"/>
          <w:b/>
          <w:i/>
          <w:color w:val="auto"/>
          <w:sz w:val="20"/>
          <w:szCs w:val="20"/>
        </w:rPr>
        <w:t>edicines</w:t>
      </w:r>
    </w:p>
    <w:p w:rsidR="000166A3" w:rsidRPr="00DE39FB" w:rsidRDefault="000166A3" w:rsidP="0004202E">
      <w:r w:rsidRPr="00DE39FB">
        <w:t xml:space="preserve">The maximum cost to general patients for </w:t>
      </w:r>
      <w:r w:rsidR="00A92B0E" w:rsidRPr="00B01C03">
        <w:t xml:space="preserve">Pharmaceutical Benefits Scheme </w:t>
      </w:r>
      <w:r w:rsidR="00A92B0E">
        <w:t>(</w:t>
      </w:r>
      <w:r w:rsidRPr="00DE39FB">
        <w:t>PBS</w:t>
      </w:r>
      <w:r w:rsidR="00A92B0E">
        <w:t>)</w:t>
      </w:r>
      <w:r w:rsidRPr="00DE39FB">
        <w:t xml:space="preserve"> medications has doubled since 2000. These high costs meant that close to one million people delayed or did not fill their medications in 2019</w:t>
      </w:r>
      <w:r w:rsidR="0004202E" w:rsidRPr="0004202E">
        <w:t>–</w:t>
      </w:r>
      <w:r w:rsidRPr="00DE39FB">
        <w:t>20. Some Australians are having to choose between filling prescriptions for potentially life</w:t>
      </w:r>
      <w:r w:rsidRPr="00DE39FB">
        <w:noBreakHyphen/>
        <w:t xml:space="preserve">saving medicines and providing other essentials for their families. </w:t>
      </w:r>
    </w:p>
    <w:p w:rsidR="000166A3" w:rsidRDefault="000166A3" w:rsidP="0004202E">
      <w:r w:rsidRPr="00B01C03">
        <w:t xml:space="preserve">The PBS is a key component of </w:t>
      </w:r>
      <w:r>
        <w:t>the health system</w:t>
      </w:r>
      <w:r w:rsidRPr="00B01C03">
        <w:t xml:space="preserve"> and the Government has already acted on its commitment to cut the cost of medicines and ease cost of living pressures facing Australians by </w:t>
      </w:r>
      <w:r>
        <w:t>reducing</w:t>
      </w:r>
      <w:r w:rsidRPr="00B01C03">
        <w:t xml:space="preserve"> the amount Australians pay for their PBS medicines</w:t>
      </w:r>
      <w:r>
        <w:t xml:space="preserve"> by $12.50,</w:t>
      </w:r>
      <w:r w:rsidRPr="00B01C03">
        <w:t xml:space="preserve"> from a maximum of $42.50 to a maximum of $30</w:t>
      </w:r>
      <w:r>
        <w:t xml:space="preserve"> per prescription</w:t>
      </w:r>
      <w:r w:rsidRPr="00B01C03">
        <w:t>. In this Budget</w:t>
      </w:r>
      <w:r w:rsidR="0040541D">
        <w:t>,</w:t>
      </w:r>
      <w:r w:rsidRPr="00B01C03">
        <w:t xml:space="preserve"> the Government is </w:t>
      </w:r>
      <w:r w:rsidRPr="00D55799">
        <w:t>investing $</w:t>
      </w:r>
      <w:r w:rsidR="00D55799" w:rsidRPr="00D55799">
        <w:t>787.1</w:t>
      </w:r>
      <w:r w:rsidRPr="00B01C03">
        <w:t xml:space="preserve"> million in delivering on th</w:t>
      </w:r>
      <w:r>
        <w:t>is</w:t>
      </w:r>
      <w:r w:rsidRPr="00B01C03">
        <w:t xml:space="preserve"> commitment.</w:t>
      </w:r>
    </w:p>
    <w:p w:rsidR="000166A3" w:rsidRPr="00F3421B" w:rsidRDefault="000166A3" w:rsidP="000166A3">
      <w:pPr>
        <w:pStyle w:val="BodyText"/>
        <w:spacing w:after="120"/>
        <w:rPr>
          <w:rFonts w:ascii="Arial" w:hAnsi="Arial" w:cs="Arial"/>
          <w:b/>
          <w:i/>
          <w:szCs w:val="20"/>
        </w:rPr>
      </w:pPr>
      <w:r w:rsidRPr="00F3421B">
        <w:rPr>
          <w:rFonts w:ascii="Arial" w:hAnsi="Arial" w:cs="Arial"/>
          <w:b/>
          <w:i/>
          <w:szCs w:val="20"/>
        </w:rPr>
        <w:t>Boosting Rural and Regional Health</w:t>
      </w:r>
    </w:p>
    <w:p w:rsidR="000166A3" w:rsidRPr="00712308" w:rsidRDefault="000166A3" w:rsidP="000166A3">
      <w:r w:rsidRPr="00B01C03">
        <w:t xml:space="preserve">All Australians deserve access to world class medical care when and where they need it, regardless of where they live. </w:t>
      </w:r>
      <w:r>
        <w:t>I</w:t>
      </w:r>
      <w:r w:rsidRPr="00B01C03">
        <w:t xml:space="preserve">nvestments in this Budget will make it easier to see a </w:t>
      </w:r>
      <w:r w:rsidR="0040541D">
        <w:t>doctor no matter where you live</w:t>
      </w:r>
      <w:r w:rsidRPr="00B01C03">
        <w:t xml:space="preserve"> by rebuilding a better distributed, sustainable</w:t>
      </w:r>
      <w:r w:rsidR="0040541D">
        <w:t>,</w:t>
      </w:r>
      <w:r w:rsidRPr="00B01C03">
        <w:t xml:space="preserve"> and skilled healthcare workforce. </w:t>
      </w:r>
    </w:p>
    <w:p w:rsidR="000166A3" w:rsidRPr="00712308" w:rsidRDefault="000166A3" w:rsidP="000166A3">
      <w:r>
        <w:t>The Government is delivering m</w:t>
      </w:r>
      <w:r w:rsidRPr="00712308">
        <w:t xml:space="preserve">ore </w:t>
      </w:r>
      <w:r>
        <w:t>flexible and innovative models of care, including trials that</w:t>
      </w:r>
      <w:r w:rsidRPr="00712308">
        <w:t xml:space="preserve"> enable GP trainees to be employed by a single employer </w:t>
      </w:r>
      <w:r>
        <w:t>while completing their</w:t>
      </w:r>
      <w:r w:rsidRPr="00712308">
        <w:t xml:space="preserve"> training.</w:t>
      </w:r>
      <w:r>
        <w:t xml:space="preserve"> The Government is also delivering i</w:t>
      </w:r>
      <w:r w:rsidRPr="00712308">
        <w:t xml:space="preserve">ncreased support </w:t>
      </w:r>
      <w:r w:rsidR="0040541D">
        <w:t>for rural g</w:t>
      </w:r>
      <w:r>
        <w:t>eneralist</w:t>
      </w:r>
      <w:r w:rsidRPr="00712308">
        <w:t xml:space="preserve"> doctor</w:t>
      </w:r>
      <w:r w:rsidR="0040541D">
        <w:t>s and general p</w:t>
      </w:r>
      <w:r>
        <w:t xml:space="preserve">ractitioner </w:t>
      </w:r>
      <w:r w:rsidRPr="00712308">
        <w:t>registrars in regional, rural and remote Australia to attain advanced skills</w:t>
      </w:r>
      <w:r>
        <w:t xml:space="preserve"> in areas such as</w:t>
      </w:r>
      <w:r w:rsidRPr="00712308">
        <w:t xml:space="preserve"> anaesthetics, obstetrics, </w:t>
      </w:r>
      <w:r>
        <w:t xml:space="preserve">emergency care, </w:t>
      </w:r>
      <w:r w:rsidRPr="00712308">
        <w:t>mental health</w:t>
      </w:r>
      <w:r>
        <w:t>, paediatrics</w:t>
      </w:r>
      <w:r w:rsidR="0040541D">
        <w:t>,</w:t>
      </w:r>
      <w:r>
        <w:t xml:space="preserve"> and palliative care.</w:t>
      </w:r>
    </w:p>
    <w:p w:rsidR="000166A3" w:rsidRDefault="000166A3" w:rsidP="000166A3">
      <w:r w:rsidRPr="00712308">
        <w:t xml:space="preserve">The Government </w:t>
      </w:r>
      <w:r>
        <w:t xml:space="preserve">is </w:t>
      </w:r>
      <w:r w:rsidRPr="00712308">
        <w:t>increas</w:t>
      </w:r>
      <w:r>
        <w:t>ing</w:t>
      </w:r>
      <w:r w:rsidRPr="00712308">
        <w:t xml:space="preserve"> financial incentives to </w:t>
      </w:r>
      <w:r w:rsidR="00ED76FE">
        <w:t>r</w:t>
      </w:r>
      <w:r w:rsidRPr="00712308">
        <w:t xml:space="preserve">ural </w:t>
      </w:r>
      <w:r w:rsidR="00ED76FE">
        <w:t>g</w:t>
      </w:r>
      <w:r w:rsidRPr="00712308">
        <w:t>eneralist</w:t>
      </w:r>
      <w:r>
        <w:t xml:space="preserve"> doctors</w:t>
      </w:r>
      <w:r w:rsidRPr="00712308">
        <w:t xml:space="preserve"> with additional skills and education to boost the number of </w:t>
      </w:r>
      <w:r>
        <w:t xml:space="preserve">these highly trained </w:t>
      </w:r>
      <w:r w:rsidRPr="00712308">
        <w:t>doctors practicing in rural and remote communities.</w:t>
      </w:r>
      <w:r>
        <w:t xml:space="preserve"> The</w:t>
      </w:r>
      <w:r w:rsidRPr="00712308">
        <w:t xml:space="preserve"> Government will also work collaboratively with states and territories to deliver critical health infrastructure</w:t>
      </w:r>
      <w:r>
        <w:t xml:space="preserve">, </w:t>
      </w:r>
      <w:r w:rsidRPr="00712308">
        <w:t>support for maternity and radiation oncology services</w:t>
      </w:r>
      <w:r>
        <w:t>,</w:t>
      </w:r>
      <w:r w:rsidRPr="00712308">
        <w:t xml:space="preserve"> and ensure access to essential services</w:t>
      </w:r>
      <w:r>
        <w:t xml:space="preserve"> in rural and remote regions</w:t>
      </w:r>
      <w:r w:rsidRPr="00712308">
        <w:t>.</w:t>
      </w:r>
    </w:p>
    <w:p w:rsidR="000166A3" w:rsidRPr="00F3421B" w:rsidRDefault="000166A3" w:rsidP="000166A3">
      <w:pPr>
        <w:rPr>
          <w:rFonts w:ascii="Arial" w:hAnsi="Arial" w:cs="Arial"/>
          <w:b/>
          <w:i/>
        </w:rPr>
      </w:pPr>
      <w:r w:rsidRPr="00F3421B">
        <w:rPr>
          <w:rFonts w:ascii="Arial" w:hAnsi="Arial" w:cs="Arial"/>
          <w:b/>
          <w:i/>
        </w:rPr>
        <w:t>Strengthening First Nations Health</w:t>
      </w:r>
    </w:p>
    <w:p w:rsidR="000166A3" w:rsidRPr="007B22FA" w:rsidRDefault="000166A3" w:rsidP="000166A3">
      <w:r w:rsidRPr="00B01C03">
        <w:t>The Government is accelerating its effort to meet its commitments to close the gap for First Nations peoples’ health and wellbeing outcomes, where the burden of disease is 2.3 times higher than non-Indigenous Australians and life expectancy is still 8 to 9 years lower on average. In this Budget</w:t>
      </w:r>
      <w:r w:rsidR="00ED76FE">
        <w:t>,</w:t>
      </w:r>
      <w:r w:rsidRPr="00B01C03">
        <w:t xml:space="preserve"> the Government is </w:t>
      </w:r>
      <w:r w:rsidRPr="00D55799">
        <w:t>investing $</w:t>
      </w:r>
      <w:r w:rsidR="00D55799" w:rsidRPr="00D55799">
        <w:t>314.5</w:t>
      </w:r>
      <w:r w:rsidRPr="00B01C03">
        <w:t xml:space="preserve"> million to deliver a step change in many areas of First Nations health delivery and ensure immediate actions are taken to support our commitment to the Uluru Statement from the Heart through:</w:t>
      </w:r>
      <w:r>
        <w:t xml:space="preserve"> </w:t>
      </w:r>
    </w:p>
    <w:p w:rsidR="000166A3" w:rsidRPr="00876299" w:rsidRDefault="00ED76FE" w:rsidP="000166A3">
      <w:pPr>
        <w:pStyle w:val="ListParagraph"/>
        <w:keepNext/>
        <w:keepLines/>
        <w:numPr>
          <w:ilvl w:val="0"/>
          <w:numId w:val="40"/>
        </w:numPr>
      </w:pPr>
      <w:r>
        <w:t>i</w:t>
      </w:r>
      <w:r w:rsidR="000166A3" w:rsidRPr="00876299">
        <w:t>mproved access and care for First Nations peoples in high need locations through improved infrastructure, as well as directly targeting key chronic diseases that are disproportionally impacting o</w:t>
      </w:r>
      <w:r>
        <w:t>n First Nations peoples’ health</w:t>
      </w:r>
      <w:r w:rsidR="000166A3" w:rsidRPr="00876299">
        <w:t xml:space="preserve"> </w:t>
      </w:r>
    </w:p>
    <w:p w:rsidR="000166A3" w:rsidRPr="00876299" w:rsidRDefault="00ED76FE" w:rsidP="000166A3">
      <w:pPr>
        <w:pStyle w:val="ListParagraph"/>
        <w:keepNext/>
        <w:keepLines/>
        <w:numPr>
          <w:ilvl w:val="0"/>
          <w:numId w:val="40"/>
        </w:numPr>
      </w:pPr>
      <w:proofErr w:type="gramStart"/>
      <w:r>
        <w:t>g</w:t>
      </w:r>
      <w:r w:rsidR="000166A3" w:rsidRPr="00876299">
        <w:t>rowing</w:t>
      </w:r>
      <w:proofErr w:type="gramEnd"/>
      <w:r w:rsidR="000166A3" w:rsidRPr="00876299">
        <w:t xml:space="preserve"> the Aboriginal Community Controlled Health Services (ACCHS) sector and First Nations health workforce by working in partnership on design and delivery of investments in the First Nations Health workforce, resources and services.</w:t>
      </w:r>
    </w:p>
    <w:p w:rsidR="000166A3" w:rsidRDefault="000166A3" w:rsidP="000166A3">
      <w:pPr>
        <w:rPr>
          <w:rFonts w:ascii="Arial" w:hAnsi="Arial" w:cs="Arial"/>
          <w:b/>
          <w:i/>
        </w:rPr>
      </w:pPr>
      <w:r>
        <w:rPr>
          <w:rFonts w:ascii="Arial" w:hAnsi="Arial" w:cs="Arial"/>
          <w:b/>
          <w:i/>
        </w:rPr>
        <w:br w:type="page"/>
      </w:r>
    </w:p>
    <w:p w:rsidR="000166A3" w:rsidRPr="00F3421B" w:rsidRDefault="000166A3" w:rsidP="000166A3">
      <w:pPr>
        <w:rPr>
          <w:rFonts w:ascii="Arial" w:hAnsi="Arial" w:cs="Arial"/>
          <w:b/>
          <w:i/>
        </w:rPr>
      </w:pPr>
      <w:r w:rsidRPr="00F3421B">
        <w:rPr>
          <w:rFonts w:ascii="Arial" w:hAnsi="Arial" w:cs="Arial"/>
          <w:b/>
          <w:i/>
        </w:rPr>
        <w:lastRenderedPageBreak/>
        <w:t>Fixing the Aged Care Crisis and Implementing Aged Care Reform</w:t>
      </w:r>
    </w:p>
    <w:p w:rsidR="000166A3" w:rsidRPr="007B22FA" w:rsidRDefault="000166A3" w:rsidP="000166A3">
      <w:r w:rsidRPr="00266176">
        <w:t>This Budget underpins the Government’s commitment to put the safety, security</w:t>
      </w:r>
      <w:r w:rsidR="0089182B">
        <w:t>,</w:t>
      </w:r>
      <w:r w:rsidRPr="00266176">
        <w:t xml:space="preserve"> and dignity of older Australians first, and to ensure that they are treated with the respect they deserve</w:t>
      </w:r>
      <w:r w:rsidRPr="00B01C03">
        <w:t xml:space="preserve">. In this Budget, the Government is responding directly to recommendations of the Royal Commission into Aged Care Quality and Safety and investing to fix the aged care crisis. The Government is </w:t>
      </w:r>
      <w:r w:rsidRPr="00D55799">
        <w:t xml:space="preserve">investing </w:t>
      </w:r>
      <w:r w:rsidR="00D55799" w:rsidRPr="00D55799">
        <w:t>$2.5 billion</w:t>
      </w:r>
      <w:r w:rsidRPr="00B01C03">
        <w:t xml:space="preserve"> </w:t>
      </w:r>
      <w:r w:rsidR="00B411A5">
        <w:t>in</w:t>
      </w:r>
      <w:r>
        <w:t xml:space="preserve"> legislating</w:t>
      </w:r>
      <w:r w:rsidRPr="00B01C03">
        <w:t xml:space="preserve"> new requirements for residential </w:t>
      </w:r>
      <w:r w:rsidR="0089182B">
        <w:t>aged care facilities to have a r</w:t>
      </w:r>
      <w:r w:rsidRPr="00B01C03">
        <w:t>e</w:t>
      </w:r>
      <w:r w:rsidR="0089182B">
        <w:t>gistered n</w:t>
      </w:r>
      <w:r w:rsidRPr="00B01C03">
        <w:t>u</w:t>
      </w:r>
      <w:r w:rsidR="0089182B">
        <w:t>rse onsite 24 hours a day, 7</w:t>
      </w:r>
      <w:r w:rsidRPr="00B01C03">
        <w:t xml:space="preserve"> days a week, and to deliver more carers with more time to care</w:t>
      </w:r>
      <w:r w:rsidRPr="007B22FA">
        <w:t>.</w:t>
      </w:r>
    </w:p>
    <w:p w:rsidR="000166A3" w:rsidRPr="007B22FA" w:rsidRDefault="000166A3" w:rsidP="000166A3">
      <w:r w:rsidRPr="00B01C03">
        <w:t xml:space="preserve">Through this Budget, the Government </w:t>
      </w:r>
      <w:r>
        <w:t xml:space="preserve">is </w:t>
      </w:r>
      <w:r w:rsidRPr="00B01C03">
        <w:t>investing to provide better care by strengthening the aged care workforce, improving food standards for aged care residents</w:t>
      </w:r>
      <w:r w:rsidR="0089182B">
        <w:t>,</w:t>
      </w:r>
      <w:r w:rsidRPr="00B01C03">
        <w:t xml:space="preserve"> and introducing tougher penalties and transparency measures to protect recipients of aged care from abuse, neglect</w:t>
      </w:r>
      <w:r w:rsidR="0089182B">
        <w:t>,</w:t>
      </w:r>
      <w:r w:rsidRPr="00B01C03">
        <w:t xml:space="preserve"> and exploitation. </w:t>
      </w:r>
      <w:r>
        <w:t>The Government is also investing in</w:t>
      </w:r>
      <w:r w:rsidRPr="00B01C03">
        <w:t xml:space="preserve"> the improvement and sustainability of key aged care services,</w:t>
      </w:r>
      <w:r>
        <w:t xml:space="preserve"> including ICT systems to improve efficiency, sector viability</w:t>
      </w:r>
      <w:r w:rsidR="0089182B">
        <w:t>,</w:t>
      </w:r>
      <w:r>
        <w:t xml:space="preserve"> and to ensure that aged care providers are held accountable for</w:t>
      </w:r>
      <w:r w:rsidR="0089182B">
        <w:t xml:space="preserve"> the substantial investment by g</w:t>
      </w:r>
      <w:r>
        <w:t>overnment in the care of older Australians</w:t>
      </w:r>
      <w:r w:rsidRPr="007B22FA">
        <w:t>.</w:t>
      </w:r>
      <w:r w:rsidR="00D55799">
        <w:t xml:space="preserve"> </w:t>
      </w:r>
    </w:p>
    <w:p w:rsidR="000166A3" w:rsidRDefault="000166A3" w:rsidP="000166A3">
      <w:pPr>
        <w:rPr>
          <w:rFonts w:ascii="Arial" w:hAnsi="Arial" w:cs="Arial"/>
          <w:b/>
          <w:i/>
        </w:rPr>
      </w:pPr>
      <w:r>
        <w:rPr>
          <w:rFonts w:ascii="Arial" w:hAnsi="Arial" w:cs="Arial"/>
          <w:b/>
          <w:i/>
        </w:rPr>
        <w:t>Extending COVID-19 Support</w:t>
      </w:r>
    </w:p>
    <w:p w:rsidR="000166A3" w:rsidRPr="00DE39FB" w:rsidRDefault="000166A3" w:rsidP="000166A3">
      <w:r w:rsidRPr="00DE39FB">
        <w:t>The Government will continue to protect the most vulnerable in the community from COVID-19 and take pressure off our hospitals and the econom</w:t>
      </w:r>
      <w:r w:rsidR="00D55799">
        <w:t xml:space="preserve">y. The Government is </w:t>
      </w:r>
      <w:r w:rsidR="00D55799" w:rsidRPr="009C0FE8">
        <w:t xml:space="preserve">providing </w:t>
      </w:r>
      <w:r w:rsidRPr="009C0FE8">
        <w:t>over $</w:t>
      </w:r>
      <w:r w:rsidR="00D55799" w:rsidRPr="009C0FE8">
        <w:t>2.6</w:t>
      </w:r>
      <w:r w:rsidRPr="009C0FE8">
        <w:t xml:space="preserve"> billion</w:t>
      </w:r>
      <w:r w:rsidRPr="00DE39FB">
        <w:t xml:space="preserve"> to adapt Australia’s COVID-19 response to the current state of the pandemic. Funding will ensure continued supplies of personal protective equipment and access to vaccines and treatments for at-risk cohorts. </w:t>
      </w:r>
    </w:p>
    <w:p w:rsidR="000166A3" w:rsidRPr="00F3421B" w:rsidRDefault="000166A3" w:rsidP="000166A3">
      <w:pPr>
        <w:rPr>
          <w:rFonts w:ascii="Arial" w:hAnsi="Arial" w:cs="Arial"/>
          <w:b/>
          <w:i/>
        </w:rPr>
      </w:pPr>
      <w:r>
        <w:rPr>
          <w:rFonts w:ascii="Arial" w:hAnsi="Arial" w:cs="Arial"/>
          <w:b/>
          <w:i/>
        </w:rPr>
        <w:t>Sport</w:t>
      </w:r>
    </w:p>
    <w:p w:rsidR="000166A3" w:rsidRPr="0017358A" w:rsidRDefault="000166A3" w:rsidP="000166A3">
      <w:r w:rsidRPr="007B22FA">
        <w:t xml:space="preserve">The Government is </w:t>
      </w:r>
      <w:r>
        <w:t>advancing discussions with Queensland regarding support</w:t>
      </w:r>
      <w:r w:rsidRPr="007B22FA">
        <w:t xml:space="preserve"> for the </w:t>
      </w:r>
      <w:r>
        <w:t xml:space="preserve">Brisbane </w:t>
      </w:r>
      <w:r w:rsidRPr="007B22FA">
        <w:t>2032 Olympic and Paralympic Games</w:t>
      </w:r>
      <w:r>
        <w:t>, which offers significant social, sporting, and economic benefits for Australia</w:t>
      </w:r>
      <w:r w:rsidRPr="00B01C03">
        <w:t xml:space="preserve">. </w:t>
      </w:r>
      <w:r>
        <w:t xml:space="preserve">The Government will continue </w:t>
      </w:r>
      <w:r w:rsidRPr="0017358A">
        <w:t>th</w:t>
      </w:r>
      <w:r w:rsidR="0089182B">
        <w:t>e National Sports Tribunal</w:t>
      </w:r>
      <w:r w:rsidRPr="0017358A">
        <w:t xml:space="preserve"> as </w:t>
      </w:r>
      <w:r>
        <w:t>a</w:t>
      </w:r>
      <w:r w:rsidRPr="0017358A">
        <w:t xml:space="preserve"> dispute resolution e</w:t>
      </w:r>
      <w:r w:rsidR="0089182B">
        <w:t>ntity for Australian sport. The </w:t>
      </w:r>
      <w:r w:rsidRPr="0017358A">
        <w:t xml:space="preserve">Government </w:t>
      </w:r>
      <w:r>
        <w:t xml:space="preserve">will also meet its commitment </w:t>
      </w:r>
      <w:r w:rsidRPr="0017358A">
        <w:t>to upgrade and reopen the A</w:t>
      </w:r>
      <w:r>
        <w:t>ustralian Institute of Sport A</w:t>
      </w:r>
      <w:r w:rsidRPr="0017358A">
        <w:t>rena</w:t>
      </w:r>
      <w:r>
        <w:t xml:space="preserve"> to support </w:t>
      </w:r>
      <w:r w:rsidRPr="0017358A">
        <w:t>sports, community events, and concerts.</w:t>
      </w:r>
    </w:p>
    <w:p w:rsidR="00D63C2C" w:rsidRDefault="00D63C2C" w:rsidP="000D22DB">
      <w:pPr>
        <w:rPr>
          <w:rFonts w:ascii="Arial Bold" w:hAnsi="Arial Bold"/>
          <w:b/>
          <w:sz w:val="22"/>
        </w:rPr>
      </w:pPr>
      <w:r>
        <w:rPr>
          <w:rFonts w:ascii="Arial Bold" w:hAnsi="Arial Bold"/>
          <w:b/>
          <w:sz w:val="22"/>
        </w:rPr>
        <w:br w:type="page"/>
      </w:r>
    </w:p>
    <w:p w:rsidR="00D96B2A" w:rsidRPr="00D96B2A" w:rsidRDefault="00D96B2A" w:rsidP="000D22DB">
      <w:pPr>
        <w:pStyle w:val="Heading3"/>
      </w:pPr>
      <w:r w:rsidRPr="00D96B2A">
        <w:lastRenderedPageBreak/>
        <w:t>1.2</w:t>
      </w:r>
      <w:r w:rsidRPr="00D96B2A">
        <w:tab/>
        <w:t>Entity resource statement</w:t>
      </w:r>
      <w:bookmarkEnd w:id="0"/>
      <w:bookmarkEnd w:id="1"/>
    </w:p>
    <w:p w:rsidR="00D96B2A" w:rsidRPr="00D96B2A" w:rsidRDefault="00D96B2A" w:rsidP="000D22DB">
      <w:r w:rsidRPr="00D96B2A">
        <w:t>Table 1.1 shows the total funding from all sources available to the entity for its operations and to deliver programs and services on behalf of the Government.</w:t>
      </w:r>
    </w:p>
    <w:p w:rsidR="00D96B2A" w:rsidRPr="00D96B2A" w:rsidRDefault="00D96B2A" w:rsidP="000D22DB">
      <w:r w:rsidRPr="00D96B2A">
        <w:t>The table summarises how resources will be applied by outcome (government strategic policy objectives) and by administered (on behalf of the Government or the public) and departmental (for the entity’s operations) classification.</w:t>
      </w:r>
    </w:p>
    <w:p w:rsidR="00D96B2A" w:rsidRPr="00D96B2A" w:rsidRDefault="00D96B2A" w:rsidP="000D22DB">
      <w:r w:rsidRPr="00D96B2A">
        <w:t xml:space="preserve">For more detailed information on special accounts and special appropriations, please refer to the October </w:t>
      </w:r>
      <w:r w:rsidRPr="00D96B2A">
        <w:rPr>
          <w:i/>
        </w:rPr>
        <w:t>Budget Paper No. 4 – Agency Resourcing</w:t>
      </w:r>
      <w:r w:rsidRPr="00D96B2A">
        <w:t>.</w:t>
      </w:r>
    </w:p>
    <w:p w:rsidR="00D96B2A" w:rsidRPr="00D96B2A" w:rsidRDefault="00D96B2A" w:rsidP="000D22DB">
      <w:r w:rsidRPr="00D96B2A">
        <w:t>Information in this table is presented on a resourcing (that is, appropriations/cash available) basis, whilst the ‘Budgeted expenses by Outcome X’ tables in Section 2 and the financial statements in Section 3 are presented on an accrual basis.</w:t>
      </w:r>
    </w:p>
    <w:bookmarkEnd w:id="2"/>
    <w:bookmarkEnd w:id="3"/>
    <w:p w:rsidR="00232F9B" w:rsidRPr="000D22DB" w:rsidRDefault="00232F9B" w:rsidP="000D22DB">
      <w:pPr>
        <w:pStyle w:val="TableGraphic"/>
        <w:rPr>
          <w:rFonts w:ascii="Arial" w:hAnsi="Arial" w:cs="Arial"/>
          <w:b/>
          <w:sz w:val="20"/>
          <w:szCs w:val="20"/>
        </w:rPr>
      </w:pPr>
      <w:r w:rsidRPr="000D22DB">
        <w:rPr>
          <w:rFonts w:ascii="Arial" w:hAnsi="Arial" w:cs="Arial"/>
          <w:b/>
          <w:sz w:val="20"/>
          <w:szCs w:val="20"/>
        </w:rPr>
        <w:t>Table 1.1: Department of Health</w:t>
      </w:r>
      <w:r w:rsidR="00E02443" w:rsidRPr="000D22DB">
        <w:rPr>
          <w:rFonts w:ascii="Arial" w:hAnsi="Arial" w:cs="Arial"/>
          <w:b/>
          <w:sz w:val="20"/>
          <w:szCs w:val="20"/>
        </w:rPr>
        <w:t xml:space="preserve"> and Aged Care</w:t>
      </w:r>
      <w:r w:rsidRPr="000D22DB">
        <w:rPr>
          <w:rFonts w:ascii="Arial" w:hAnsi="Arial" w:cs="Arial"/>
          <w:b/>
          <w:sz w:val="20"/>
          <w:szCs w:val="20"/>
        </w:rPr>
        <w:t xml:space="preserve"> </w:t>
      </w:r>
      <w:r w:rsidR="00D96B2A" w:rsidRPr="000D22DB">
        <w:rPr>
          <w:rFonts w:ascii="Arial" w:hAnsi="Arial" w:cs="Arial"/>
          <w:b/>
          <w:sz w:val="20"/>
          <w:szCs w:val="20"/>
        </w:rPr>
        <w:t>r</w:t>
      </w:r>
      <w:r w:rsidRPr="000D22DB">
        <w:rPr>
          <w:rFonts w:ascii="Arial" w:hAnsi="Arial" w:cs="Arial"/>
          <w:b/>
          <w:sz w:val="20"/>
          <w:szCs w:val="20"/>
        </w:rPr>
        <w:t xml:space="preserve">esource </w:t>
      </w:r>
      <w:r w:rsidR="00D96B2A" w:rsidRPr="000D22DB">
        <w:rPr>
          <w:rFonts w:ascii="Arial" w:hAnsi="Arial" w:cs="Arial"/>
          <w:b/>
          <w:sz w:val="20"/>
          <w:szCs w:val="20"/>
        </w:rPr>
        <w:t>s</w:t>
      </w:r>
      <w:r w:rsidRPr="000D22DB">
        <w:rPr>
          <w:rFonts w:ascii="Arial" w:hAnsi="Arial" w:cs="Arial"/>
          <w:b/>
          <w:sz w:val="20"/>
          <w:szCs w:val="20"/>
        </w:rPr>
        <w:t>tatement –</w:t>
      </w:r>
      <w:r w:rsidR="00E02443" w:rsidRPr="000D22DB">
        <w:rPr>
          <w:rFonts w:ascii="Arial" w:hAnsi="Arial" w:cs="Arial"/>
          <w:b/>
          <w:sz w:val="20"/>
          <w:szCs w:val="20"/>
        </w:rPr>
        <w:br/>
      </w:r>
      <w:r w:rsidRPr="000D22DB">
        <w:rPr>
          <w:rFonts w:ascii="Arial" w:hAnsi="Arial" w:cs="Arial"/>
          <w:b/>
          <w:sz w:val="20"/>
          <w:szCs w:val="20"/>
        </w:rPr>
        <w:t xml:space="preserve">Budget </w:t>
      </w:r>
      <w:r w:rsidR="00D96B2A" w:rsidRPr="000D22DB">
        <w:rPr>
          <w:rFonts w:ascii="Arial" w:hAnsi="Arial" w:cs="Arial"/>
          <w:b/>
          <w:sz w:val="20"/>
          <w:szCs w:val="20"/>
        </w:rPr>
        <w:t>e</w:t>
      </w:r>
      <w:r w:rsidRPr="000D22DB">
        <w:rPr>
          <w:rFonts w:ascii="Arial" w:hAnsi="Arial" w:cs="Arial"/>
          <w:b/>
          <w:sz w:val="20"/>
          <w:szCs w:val="20"/>
        </w:rPr>
        <w:t>stimates for 202</w:t>
      </w:r>
      <w:r w:rsidR="00EF5C5E" w:rsidRPr="000D22DB">
        <w:rPr>
          <w:rFonts w:ascii="Arial" w:hAnsi="Arial" w:cs="Arial"/>
          <w:b/>
          <w:sz w:val="20"/>
          <w:szCs w:val="20"/>
        </w:rPr>
        <w:t>2–</w:t>
      </w:r>
      <w:r w:rsidRPr="000D22DB">
        <w:rPr>
          <w:rFonts w:ascii="Arial" w:hAnsi="Arial" w:cs="Arial"/>
          <w:b/>
          <w:sz w:val="20"/>
          <w:szCs w:val="20"/>
        </w:rPr>
        <w:t>2</w:t>
      </w:r>
      <w:r w:rsidR="00EF5C5E" w:rsidRPr="000D22DB">
        <w:rPr>
          <w:rFonts w:ascii="Arial" w:hAnsi="Arial" w:cs="Arial"/>
          <w:b/>
          <w:sz w:val="20"/>
          <w:szCs w:val="20"/>
        </w:rPr>
        <w:t>3</w:t>
      </w:r>
      <w:r w:rsidRPr="000D22DB">
        <w:rPr>
          <w:rFonts w:ascii="Arial" w:hAnsi="Arial" w:cs="Arial"/>
          <w:b/>
          <w:sz w:val="20"/>
          <w:szCs w:val="20"/>
        </w:rPr>
        <w:t xml:space="preserve"> as at </w:t>
      </w:r>
      <w:r w:rsidR="00E02443" w:rsidRPr="000D22DB">
        <w:rPr>
          <w:rFonts w:ascii="Arial" w:hAnsi="Arial" w:cs="Arial"/>
          <w:b/>
          <w:sz w:val="20"/>
          <w:szCs w:val="20"/>
        </w:rPr>
        <w:t>October</w:t>
      </w:r>
      <w:r w:rsidR="00EF5C5E" w:rsidRPr="000D22DB">
        <w:rPr>
          <w:rFonts w:ascii="Arial" w:hAnsi="Arial" w:cs="Arial"/>
          <w:b/>
          <w:sz w:val="20"/>
          <w:szCs w:val="20"/>
        </w:rPr>
        <w:t xml:space="preserve"> </w:t>
      </w:r>
      <w:r w:rsidR="00D96B2A" w:rsidRPr="000D22DB">
        <w:rPr>
          <w:rFonts w:ascii="Arial" w:hAnsi="Arial" w:cs="Arial"/>
          <w:b/>
          <w:sz w:val="20"/>
          <w:szCs w:val="20"/>
        </w:rPr>
        <w:t xml:space="preserve">Budget </w:t>
      </w:r>
      <w:r w:rsidR="00EF5C5E" w:rsidRPr="000D22DB">
        <w:rPr>
          <w:rFonts w:ascii="Arial" w:hAnsi="Arial" w:cs="Arial"/>
          <w:b/>
          <w:sz w:val="20"/>
          <w:szCs w:val="20"/>
        </w:rPr>
        <w:t>2022</w:t>
      </w:r>
    </w:p>
    <w:tbl>
      <w:tblPr>
        <w:tblW w:w="7380" w:type="dxa"/>
        <w:tblLayout w:type="fixed"/>
        <w:tblLook w:val="04A0" w:firstRow="1" w:lastRow="0" w:firstColumn="1" w:lastColumn="0" w:noHBand="0" w:noVBand="1"/>
      </w:tblPr>
      <w:tblGrid>
        <w:gridCol w:w="4660"/>
        <w:gridCol w:w="1360"/>
        <w:gridCol w:w="1360"/>
      </w:tblGrid>
      <w:tr w:rsidR="00612778" w:rsidRPr="00612778" w:rsidTr="00612778">
        <w:trPr>
          <w:trHeight w:val="765"/>
        </w:trPr>
        <w:tc>
          <w:tcPr>
            <w:tcW w:w="4660" w:type="dxa"/>
            <w:tcBorders>
              <w:top w:val="single" w:sz="4" w:space="0" w:color="auto"/>
              <w:left w:val="nil"/>
              <w:bottom w:val="nil"/>
              <w:right w:val="nil"/>
            </w:tcBorders>
            <w:shd w:val="clear" w:color="auto" w:fill="auto"/>
            <w:hideMark/>
          </w:tcPr>
          <w:p w:rsidR="00612778" w:rsidRPr="00612778" w:rsidRDefault="00612778" w:rsidP="00612778">
            <w:pPr>
              <w:spacing w:before="40" w:after="0"/>
              <w:jc w:val="right"/>
              <w:rPr>
                <w:rFonts w:ascii="Arial" w:hAnsi="Arial" w:cs="Arial"/>
                <w:b/>
                <w:bCs/>
                <w:color w:val="auto"/>
                <w:sz w:val="16"/>
                <w:szCs w:val="16"/>
              </w:rPr>
            </w:pPr>
            <w:bookmarkStart w:id="10" w:name="_Toc479762908"/>
            <w:bookmarkStart w:id="11" w:name="_Toc481865384"/>
            <w:r w:rsidRPr="00612778">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rsidR="00612778" w:rsidRPr="00612778" w:rsidRDefault="00612778" w:rsidP="00612778">
            <w:pPr>
              <w:spacing w:before="40" w:after="0"/>
              <w:jc w:val="right"/>
              <w:rPr>
                <w:rFonts w:ascii="Arial" w:hAnsi="Arial" w:cs="Arial"/>
                <w:b/>
                <w:bCs/>
                <w:color w:val="auto"/>
                <w:sz w:val="16"/>
                <w:szCs w:val="16"/>
              </w:rPr>
            </w:pPr>
            <w:r w:rsidRPr="00612778">
              <w:rPr>
                <w:rFonts w:ascii="Arial" w:hAnsi="Arial" w:cs="Arial"/>
                <w:b/>
                <w:bCs/>
                <w:color w:val="auto"/>
                <w:sz w:val="16"/>
                <w:szCs w:val="16"/>
              </w:rPr>
              <w:t>2021–22</w:t>
            </w:r>
            <w:r w:rsidRPr="00612778">
              <w:rPr>
                <w:rFonts w:ascii="Arial" w:hAnsi="Arial" w:cs="Arial"/>
                <w:b/>
                <w:bCs/>
                <w:color w:val="auto"/>
                <w:sz w:val="16"/>
                <w:szCs w:val="16"/>
              </w:rPr>
              <w:br/>
              <w:t>Estimated</w:t>
            </w:r>
            <w:r w:rsidRPr="00612778">
              <w:rPr>
                <w:rFonts w:ascii="Arial" w:hAnsi="Arial" w:cs="Arial"/>
                <w:b/>
                <w:bCs/>
                <w:color w:val="auto"/>
                <w:sz w:val="16"/>
                <w:szCs w:val="16"/>
              </w:rPr>
              <w:br/>
              <w:t>actual</w:t>
            </w:r>
            <w:r w:rsidRPr="00612778">
              <w:rPr>
                <w:rFonts w:ascii="Arial" w:hAnsi="Arial" w:cs="Arial"/>
                <w:b/>
                <w:bCs/>
                <w:color w:val="auto"/>
                <w:sz w:val="16"/>
                <w:szCs w:val="16"/>
              </w:rPr>
              <w:br/>
            </w:r>
            <w:r w:rsidRPr="00612778">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612778" w:rsidRPr="00612778" w:rsidRDefault="00612778" w:rsidP="00612778">
            <w:pPr>
              <w:spacing w:before="40" w:after="0"/>
              <w:jc w:val="right"/>
              <w:rPr>
                <w:rFonts w:ascii="Arial" w:hAnsi="Arial" w:cs="Arial"/>
                <w:b/>
                <w:bCs/>
                <w:color w:val="auto"/>
                <w:sz w:val="16"/>
                <w:szCs w:val="16"/>
              </w:rPr>
            </w:pPr>
            <w:r w:rsidRPr="00612778">
              <w:rPr>
                <w:rFonts w:ascii="Arial" w:hAnsi="Arial" w:cs="Arial"/>
                <w:b/>
                <w:bCs/>
                <w:color w:val="auto"/>
                <w:sz w:val="16"/>
                <w:szCs w:val="16"/>
              </w:rPr>
              <w:t>2022–23</w:t>
            </w:r>
            <w:r w:rsidRPr="00612778">
              <w:rPr>
                <w:rFonts w:ascii="Arial" w:hAnsi="Arial" w:cs="Arial"/>
                <w:b/>
                <w:bCs/>
                <w:color w:val="auto"/>
                <w:sz w:val="16"/>
                <w:szCs w:val="16"/>
              </w:rPr>
              <w:br/>
              <w:t>Estimate</w:t>
            </w:r>
            <w:r w:rsidRPr="00612778">
              <w:rPr>
                <w:rFonts w:ascii="Arial" w:hAnsi="Arial" w:cs="Arial"/>
                <w:b/>
                <w:bCs/>
                <w:color w:val="auto"/>
                <w:sz w:val="16"/>
                <w:szCs w:val="16"/>
              </w:rPr>
              <w:br/>
            </w:r>
            <w:r w:rsidRPr="00612778">
              <w:rPr>
                <w:rFonts w:ascii="Arial" w:hAnsi="Arial" w:cs="Arial"/>
                <w:b/>
                <w:bCs/>
                <w:color w:val="auto"/>
                <w:sz w:val="16"/>
                <w:szCs w:val="16"/>
              </w:rPr>
              <w:br/>
            </w:r>
            <w:r w:rsidRPr="00612778">
              <w:rPr>
                <w:rFonts w:ascii="Arial" w:hAnsi="Arial" w:cs="Arial"/>
                <w:color w:val="auto"/>
                <w:sz w:val="16"/>
                <w:szCs w:val="16"/>
              </w:rPr>
              <w:t>$'000</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rPr>
                <w:rFonts w:ascii="Arial" w:hAnsi="Arial" w:cs="Arial"/>
                <w:b/>
                <w:bCs/>
                <w:color w:val="auto"/>
                <w:sz w:val="16"/>
                <w:szCs w:val="16"/>
              </w:rPr>
            </w:pPr>
            <w:r w:rsidRPr="00612778">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rsidR="00612778" w:rsidRPr="00612778" w:rsidRDefault="00612778" w:rsidP="00612778">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 </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100" w:firstLine="160"/>
              <w:rPr>
                <w:rFonts w:ascii="Arial" w:hAnsi="Arial" w:cs="Arial"/>
                <w:color w:val="auto"/>
                <w:sz w:val="16"/>
                <w:szCs w:val="16"/>
              </w:rPr>
            </w:pPr>
            <w:r w:rsidRPr="00612778">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63,186</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167,923</w:t>
            </w:r>
          </w:p>
        </w:tc>
      </w:tr>
      <w:tr w:rsidR="00612778" w:rsidRPr="00612778" w:rsidTr="00612778">
        <w:trPr>
          <w:trHeight w:val="300"/>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100" w:firstLine="160"/>
              <w:rPr>
                <w:rFonts w:ascii="Arial" w:hAnsi="Arial" w:cs="Arial"/>
                <w:b/>
                <w:bCs/>
                <w:color w:val="auto"/>
                <w:sz w:val="16"/>
                <w:szCs w:val="16"/>
              </w:rPr>
            </w:pPr>
            <w:r w:rsidRPr="00612778">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 </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leftChars="150" w:left="285"/>
              <w:rPr>
                <w:rFonts w:ascii="Arial" w:hAnsi="Arial" w:cs="Arial"/>
                <w:color w:val="auto"/>
                <w:sz w:val="16"/>
                <w:szCs w:val="16"/>
              </w:rPr>
            </w:pPr>
            <w:r w:rsidRPr="00612778">
              <w:rPr>
                <w:rFonts w:ascii="Arial" w:hAnsi="Arial" w:cs="Arial"/>
                <w:color w:val="auto"/>
                <w:sz w:val="16"/>
                <w:szCs w:val="16"/>
              </w:rPr>
              <w:t>Ordinary annual services</w:t>
            </w:r>
            <w:r w:rsidRPr="00612778">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 </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300" w:firstLine="480"/>
              <w:rPr>
                <w:rFonts w:ascii="Arial" w:hAnsi="Arial" w:cs="Arial"/>
                <w:color w:val="auto"/>
                <w:sz w:val="16"/>
                <w:szCs w:val="16"/>
              </w:rPr>
            </w:pPr>
            <w:r w:rsidRPr="00612778">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1,031,583</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982,664</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300" w:firstLine="480"/>
              <w:rPr>
                <w:rFonts w:ascii="Arial" w:hAnsi="Arial" w:cs="Arial"/>
                <w:color w:val="auto"/>
                <w:sz w:val="16"/>
                <w:szCs w:val="16"/>
              </w:rPr>
            </w:pPr>
            <w:r w:rsidRPr="00612778">
              <w:rPr>
                <w:rFonts w:ascii="Arial" w:hAnsi="Arial" w:cs="Arial"/>
                <w:color w:val="auto"/>
                <w:sz w:val="16"/>
                <w:szCs w:val="16"/>
              </w:rPr>
              <w:t>s74 retained revenue receipts</w:t>
            </w:r>
            <w:r w:rsidRPr="00612778">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10,631</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19,811</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300" w:firstLine="480"/>
              <w:rPr>
                <w:rFonts w:ascii="Arial" w:hAnsi="Arial" w:cs="Arial"/>
                <w:color w:val="auto"/>
                <w:sz w:val="16"/>
                <w:szCs w:val="16"/>
              </w:rPr>
            </w:pPr>
            <w:r w:rsidRPr="00612778">
              <w:rPr>
                <w:rFonts w:ascii="Arial" w:hAnsi="Arial" w:cs="Arial"/>
                <w:color w:val="auto"/>
                <w:sz w:val="16"/>
                <w:szCs w:val="16"/>
              </w:rPr>
              <w:t>Departmental Capital Budget</w:t>
            </w:r>
            <w:r w:rsidRPr="00612778">
              <w:rPr>
                <w:rFonts w:ascii="Arial" w:hAnsi="Arial" w:cs="Arial"/>
                <w:color w:val="auto"/>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14,269</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14,517</w:t>
            </w:r>
          </w:p>
        </w:tc>
      </w:tr>
      <w:tr w:rsidR="00612778" w:rsidRPr="00612778" w:rsidTr="00612778">
        <w:trPr>
          <w:trHeight w:val="300"/>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leftChars="150" w:left="285"/>
              <w:rPr>
                <w:rFonts w:ascii="Arial" w:hAnsi="Arial" w:cs="Arial"/>
                <w:color w:val="auto"/>
                <w:sz w:val="16"/>
                <w:szCs w:val="16"/>
              </w:rPr>
            </w:pPr>
            <w:r w:rsidRPr="00612778">
              <w:rPr>
                <w:rFonts w:ascii="Arial" w:hAnsi="Arial" w:cs="Arial"/>
                <w:color w:val="auto"/>
                <w:sz w:val="16"/>
                <w:szCs w:val="16"/>
              </w:rPr>
              <w:t>Other services</w:t>
            </w:r>
            <w:r w:rsidRPr="00612778">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 </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300" w:firstLine="480"/>
              <w:rPr>
                <w:rFonts w:ascii="Arial" w:hAnsi="Arial" w:cs="Arial"/>
                <w:color w:val="auto"/>
                <w:sz w:val="16"/>
                <w:szCs w:val="16"/>
              </w:rPr>
            </w:pPr>
            <w:r w:rsidRPr="00612778">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114,781</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169,891</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200" w:firstLine="320"/>
              <w:rPr>
                <w:rFonts w:ascii="Arial" w:hAnsi="Arial" w:cs="Arial"/>
                <w:b/>
                <w:bCs/>
                <w:color w:val="auto"/>
                <w:sz w:val="16"/>
                <w:szCs w:val="16"/>
              </w:rPr>
            </w:pPr>
            <w:r w:rsidRPr="00612778">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1,171,264</w:t>
            </w:r>
          </w:p>
        </w:tc>
        <w:tc>
          <w:tcPr>
            <w:tcW w:w="1360" w:type="dxa"/>
            <w:tcBorders>
              <w:top w:val="nil"/>
              <w:left w:val="nil"/>
              <w:bottom w:val="single" w:sz="4" w:space="0" w:color="auto"/>
              <w:right w:val="nil"/>
            </w:tcBorders>
            <w:shd w:val="clear" w:color="000000" w:fill="D9D9D9"/>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1,186,883</w:t>
            </w:r>
          </w:p>
        </w:tc>
      </w:tr>
      <w:tr w:rsidR="00612778" w:rsidRPr="00612778" w:rsidTr="00612778">
        <w:trPr>
          <w:trHeight w:val="300"/>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100" w:firstLine="160"/>
              <w:rPr>
                <w:rFonts w:ascii="Arial" w:hAnsi="Arial" w:cs="Arial"/>
                <w:b/>
                <w:bCs/>
                <w:color w:val="auto"/>
                <w:sz w:val="16"/>
                <w:szCs w:val="16"/>
              </w:rPr>
            </w:pPr>
            <w:r w:rsidRPr="00612778">
              <w:rPr>
                <w:rFonts w:ascii="Arial" w:hAnsi="Arial" w:cs="Arial"/>
                <w:b/>
                <w:bCs/>
                <w:color w:val="auto"/>
                <w:sz w:val="16"/>
                <w:szCs w:val="16"/>
              </w:rPr>
              <w:t>Special accounts</w:t>
            </w:r>
            <w:r w:rsidRPr="00612778">
              <w:rPr>
                <w:rFonts w:ascii="Arial" w:hAnsi="Arial" w:cs="Arial"/>
                <w:b/>
                <w:bCs/>
                <w:color w:val="auto"/>
                <w:sz w:val="16"/>
                <w:szCs w:val="16"/>
                <w:vertAlign w:val="superscript"/>
              </w:rPr>
              <w:t xml:space="preserve"> (e) (f)</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 </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leftChars="150" w:left="285"/>
              <w:rPr>
                <w:rFonts w:ascii="Arial" w:hAnsi="Arial" w:cs="Arial"/>
                <w:color w:val="auto"/>
                <w:sz w:val="16"/>
                <w:szCs w:val="16"/>
              </w:rPr>
            </w:pPr>
            <w:r w:rsidRPr="00612778">
              <w:rPr>
                <w:rFonts w:ascii="Arial" w:hAnsi="Arial" w:cs="Arial"/>
                <w:color w:val="auto"/>
                <w:sz w:val="16"/>
                <w:szCs w:val="16"/>
              </w:rPr>
              <w:t>Opening balance</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135,241</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132,306</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leftChars="150" w:left="285"/>
              <w:rPr>
                <w:rFonts w:ascii="Arial" w:hAnsi="Arial" w:cs="Arial"/>
                <w:color w:val="auto"/>
                <w:sz w:val="16"/>
                <w:szCs w:val="16"/>
              </w:rPr>
            </w:pPr>
            <w:r w:rsidRPr="00612778">
              <w:rPr>
                <w:rFonts w:ascii="Arial" w:hAnsi="Arial" w:cs="Arial"/>
                <w:color w:val="auto"/>
                <w:sz w:val="16"/>
                <w:szCs w:val="16"/>
              </w:rPr>
              <w:t>Appropriation receipts</w:t>
            </w:r>
            <w:r w:rsidRPr="00612778">
              <w:rPr>
                <w:rFonts w:ascii="Arial" w:hAnsi="Arial" w:cs="Arial"/>
                <w:color w:val="auto"/>
                <w:sz w:val="16"/>
                <w:szCs w:val="16"/>
                <w:vertAlign w:val="superscript"/>
              </w:rPr>
              <w:t xml:space="preserve"> (g)</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24,655</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30,468</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leftChars="150" w:left="285"/>
              <w:rPr>
                <w:rFonts w:ascii="Arial" w:hAnsi="Arial" w:cs="Arial"/>
                <w:color w:val="auto"/>
                <w:sz w:val="16"/>
                <w:szCs w:val="16"/>
              </w:rPr>
            </w:pPr>
            <w:r w:rsidRPr="00612778">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211,223</w:t>
            </w:r>
          </w:p>
        </w:tc>
        <w:tc>
          <w:tcPr>
            <w:tcW w:w="1360" w:type="dxa"/>
            <w:tcBorders>
              <w:top w:val="nil"/>
              <w:left w:val="nil"/>
              <w:bottom w:val="nil"/>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214,499</w:t>
            </w:r>
          </w:p>
        </w:tc>
      </w:tr>
      <w:tr w:rsidR="00612778" w:rsidRPr="00612778" w:rsidTr="00612778">
        <w:trPr>
          <w:trHeight w:val="225"/>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leftChars="150" w:left="285"/>
              <w:rPr>
                <w:rFonts w:ascii="Arial" w:hAnsi="Arial" w:cs="Arial"/>
                <w:b/>
                <w:bCs/>
                <w:color w:val="auto"/>
                <w:sz w:val="16"/>
                <w:szCs w:val="16"/>
              </w:rPr>
            </w:pPr>
            <w:r w:rsidRPr="00612778">
              <w:rPr>
                <w:rFonts w:ascii="Arial" w:hAnsi="Arial" w:cs="Arial"/>
                <w:b/>
                <w:bCs/>
                <w:color w:val="auto"/>
                <w:sz w:val="16"/>
                <w:szCs w:val="16"/>
              </w:rPr>
              <w:t>Total special accounts</w:t>
            </w:r>
          </w:p>
        </w:tc>
        <w:tc>
          <w:tcPr>
            <w:tcW w:w="1360" w:type="dxa"/>
            <w:tcBorders>
              <w:top w:val="nil"/>
              <w:left w:val="nil"/>
              <w:bottom w:val="single" w:sz="4" w:space="0" w:color="auto"/>
              <w:right w:val="nil"/>
            </w:tcBorders>
            <w:shd w:val="clear" w:color="auto" w:fill="auto"/>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371,119</w:t>
            </w:r>
          </w:p>
        </w:tc>
        <w:tc>
          <w:tcPr>
            <w:tcW w:w="1360" w:type="dxa"/>
            <w:tcBorders>
              <w:top w:val="nil"/>
              <w:left w:val="nil"/>
              <w:bottom w:val="single" w:sz="4" w:space="0" w:color="auto"/>
              <w:right w:val="nil"/>
            </w:tcBorders>
            <w:shd w:val="clear" w:color="000000" w:fill="D9D9D9"/>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377,273</w:t>
            </w:r>
          </w:p>
        </w:tc>
      </w:tr>
      <w:tr w:rsidR="00612778" w:rsidRPr="00612778" w:rsidTr="00612778">
        <w:trPr>
          <w:trHeight w:val="525"/>
        </w:trPr>
        <w:tc>
          <w:tcPr>
            <w:tcW w:w="4660" w:type="dxa"/>
            <w:tcBorders>
              <w:top w:val="nil"/>
              <w:left w:val="nil"/>
              <w:bottom w:val="nil"/>
              <w:right w:val="nil"/>
            </w:tcBorders>
            <w:shd w:val="clear" w:color="auto" w:fill="auto"/>
            <w:vAlign w:val="bottom"/>
            <w:hideMark/>
          </w:tcPr>
          <w:p w:rsidR="00612778" w:rsidRPr="00612778" w:rsidRDefault="00612778" w:rsidP="00612778">
            <w:pPr>
              <w:spacing w:after="0"/>
              <w:ind w:leftChars="150" w:left="285"/>
              <w:rPr>
                <w:rFonts w:ascii="Arial" w:hAnsi="Arial" w:cs="Arial"/>
                <w:color w:val="auto"/>
                <w:sz w:val="16"/>
                <w:szCs w:val="16"/>
              </w:rPr>
            </w:pPr>
            <w:r w:rsidRPr="00612778">
              <w:rPr>
                <w:rFonts w:ascii="Arial" w:hAnsi="Arial" w:cs="Arial"/>
                <w:color w:val="auto"/>
                <w:sz w:val="16"/>
                <w:szCs w:val="16"/>
              </w:rPr>
              <w:t>Less appropriations drawn from annual or special appropriations above and credited to special accounts</w:t>
            </w:r>
            <w:r w:rsidRPr="00612778">
              <w:rPr>
                <w:rFonts w:ascii="Arial" w:hAnsi="Arial" w:cs="Arial"/>
                <w:color w:val="auto"/>
                <w:sz w:val="16"/>
                <w:szCs w:val="16"/>
                <w:vertAlign w:val="superscript"/>
              </w:rPr>
              <w:t xml:space="preserve"> (h)</w:t>
            </w:r>
          </w:p>
        </w:tc>
        <w:tc>
          <w:tcPr>
            <w:tcW w:w="1360" w:type="dxa"/>
            <w:tcBorders>
              <w:top w:val="nil"/>
              <w:left w:val="nil"/>
              <w:bottom w:val="single" w:sz="4" w:space="0" w:color="auto"/>
              <w:right w:val="nil"/>
            </w:tcBorders>
            <w:shd w:val="clear" w:color="auto" w:fill="auto"/>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(24,655)</w:t>
            </w:r>
          </w:p>
        </w:tc>
        <w:tc>
          <w:tcPr>
            <w:tcW w:w="1360" w:type="dxa"/>
            <w:tcBorders>
              <w:top w:val="nil"/>
              <w:left w:val="nil"/>
              <w:bottom w:val="single" w:sz="4" w:space="0" w:color="auto"/>
              <w:right w:val="nil"/>
            </w:tcBorders>
            <w:shd w:val="clear" w:color="000000" w:fill="D9D9D9"/>
            <w:noWrap/>
            <w:vAlign w:val="bottom"/>
            <w:hideMark/>
          </w:tcPr>
          <w:p w:rsidR="00612778" w:rsidRPr="00612778" w:rsidRDefault="00612778" w:rsidP="00612778">
            <w:pPr>
              <w:spacing w:after="0"/>
              <w:jc w:val="right"/>
              <w:rPr>
                <w:rFonts w:ascii="Arial" w:hAnsi="Arial" w:cs="Arial"/>
                <w:color w:val="auto"/>
                <w:sz w:val="16"/>
                <w:szCs w:val="16"/>
              </w:rPr>
            </w:pPr>
            <w:r w:rsidRPr="00612778">
              <w:rPr>
                <w:rFonts w:ascii="Arial" w:hAnsi="Arial" w:cs="Arial"/>
                <w:color w:val="auto"/>
                <w:sz w:val="16"/>
                <w:szCs w:val="16"/>
              </w:rPr>
              <w:t>(30,468)</w:t>
            </w:r>
          </w:p>
        </w:tc>
      </w:tr>
      <w:tr w:rsidR="00612778" w:rsidRPr="00612778" w:rsidTr="00612778">
        <w:trPr>
          <w:trHeight w:val="300"/>
        </w:trPr>
        <w:tc>
          <w:tcPr>
            <w:tcW w:w="4660" w:type="dxa"/>
            <w:tcBorders>
              <w:top w:val="nil"/>
              <w:left w:val="nil"/>
              <w:bottom w:val="nil"/>
              <w:right w:val="nil"/>
            </w:tcBorders>
            <w:shd w:val="clear" w:color="auto" w:fill="auto"/>
            <w:noWrap/>
            <w:vAlign w:val="bottom"/>
            <w:hideMark/>
          </w:tcPr>
          <w:p w:rsidR="00612778" w:rsidRPr="00612778" w:rsidRDefault="00612778" w:rsidP="00612778">
            <w:pPr>
              <w:spacing w:after="0"/>
              <w:ind w:firstLineChars="100" w:firstLine="160"/>
              <w:rPr>
                <w:rFonts w:ascii="Arial" w:hAnsi="Arial" w:cs="Arial"/>
                <w:b/>
                <w:bCs/>
                <w:color w:val="auto"/>
                <w:sz w:val="16"/>
                <w:szCs w:val="16"/>
              </w:rPr>
            </w:pPr>
            <w:r w:rsidRPr="00612778">
              <w:rPr>
                <w:rFonts w:ascii="Arial" w:hAnsi="Arial" w:cs="Arial"/>
                <w:b/>
                <w:bCs/>
                <w:color w:val="auto"/>
                <w:sz w:val="16"/>
                <w:szCs w:val="16"/>
              </w:rPr>
              <w:t>Total departmental resourcing for Health</w:t>
            </w:r>
            <w:r w:rsidR="00AF3E31">
              <w:rPr>
                <w:rFonts w:ascii="Arial" w:hAnsi="Arial" w:cs="Arial"/>
                <w:b/>
                <w:bCs/>
                <w:color w:val="auto"/>
                <w:sz w:val="16"/>
                <w:szCs w:val="16"/>
              </w:rPr>
              <w:t xml:space="preserve"> and Aged Care</w:t>
            </w:r>
          </w:p>
        </w:tc>
        <w:tc>
          <w:tcPr>
            <w:tcW w:w="1360" w:type="dxa"/>
            <w:tcBorders>
              <w:top w:val="nil"/>
              <w:left w:val="nil"/>
              <w:bottom w:val="single" w:sz="4" w:space="0" w:color="auto"/>
              <w:right w:val="nil"/>
            </w:tcBorders>
            <w:shd w:val="clear" w:color="auto" w:fill="auto"/>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1,580,914</w:t>
            </w:r>
          </w:p>
        </w:tc>
        <w:tc>
          <w:tcPr>
            <w:tcW w:w="1360" w:type="dxa"/>
            <w:tcBorders>
              <w:top w:val="nil"/>
              <w:left w:val="nil"/>
              <w:bottom w:val="single" w:sz="4" w:space="0" w:color="auto"/>
              <w:right w:val="nil"/>
            </w:tcBorders>
            <w:shd w:val="clear" w:color="000000" w:fill="D9D9D9"/>
            <w:noWrap/>
            <w:vAlign w:val="bottom"/>
            <w:hideMark/>
          </w:tcPr>
          <w:p w:rsidR="00612778" w:rsidRPr="00612778" w:rsidRDefault="00612778" w:rsidP="00612778">
            <w:pPr>
              <w:spacing w:after="0"/>
              <w:jc w:val="right"/>
              <w:rPr>
                <w:rFonts w:ascii="Arial" w:hAnsi="Arial" w:cs="Arial"/>
                <w:b/>
                <w:bCs/>
                <w:color w:val="auto"/>
                <w:sz w:val="16"/>
                <w:szCs w:val="16"/>
              </w:rPr>
            </w:pPr>
            <w:r w:rsidRPr="00612778">
              <w:rPr>
                <w:rFonts w:ascii="Arial" w:hAnsi="Arial" w:cs="Arial"/>
                <w:b/>
                <w:bCs/>
                <w:color w:val="auto"/>
                <w:sz w:val="16"/>
                <w:szCs w:val="16"/>
              </w:rPr>
              <w:t>1,701,611</w:t>
            </w:r>
          </w:p>
        </w:tc>
      </w:tr>
    </w:tbl>
    <w:p w:rsidR="00015FAC" w:rsidRDefault="00015FAC" w:rsidP="000D22DB">
      <w:pPr>
        <w:rPr>
          <w:rFonts w:ascii="Arial" w:hAnsi="Arial" w:cs="Arial"/>
          <w:szCs w:val="18"/>
        </w:rPr>
      </w:pPr>
      <w:r>
        <w:br w:type="page"/>
      </w:r>
    </w:p>
    <w:p w:rsidR="00232F9B" w:rsidRPr="000D22DB" w:rsidRDefault="004C6378" w:rsidP="000D22DB">
      <w:pPr>
        <w:pStyle w:val="TableGraphic"/>
        <w:rPr>
          <w:rFonts w:ascii="Arial" w:hAnsi="Arial" w:cs="Arial"/>
          <w:b/>
          <w:sz w:val="20"/>
          <w:szCs w:val="20"/>
        </w:rPr>
      </w:pPr>
      <w:r w:rsidRPr="000D22DB">
        <w:rPr>
          <w:rFonts w:ascii="Arial" w:hAnsi="Arial" w:cs="Arial"/>
          <w:b/>
          <w:sz w:val="20"/>
          <w:szCs w:val="20"/>
        </w:rPr>
        <w:lastRenderedPageBreak/>
        <w:t>Table 1.1: Department of Health and Aged Care resource statement –</w:t>
      </w:r>
      <w:r w:rsidRPr="000D22DB">
        <w:rPr>
          <w:rFonts w:ascii="Arial" w:hAnsi="Arial" w:cs="Arial"/>
          <w:b/>
          <w:sz w:val="20"/>
          <w:szCs w:val="20"/>
        </w:rPr>
        <w:br/>
        <w:t xml:space="preserve">Budget estimates for 2022–23 as at October Budget 2022 </w:t>
      </w:r>
      <w:r w:rsidR="00232F9B" w:rsidRPr="000D22DB">
        <w:rPr>
          <w:rFonts w:ascii="Arial" w:hAnsi="Arial" w:cs="Arial"/>
          <w:b/>
          <w:sz w:val="20"/>
          <w:szCs w:val="20"/>
        </w:rPr>
        <w:t>(continued)</w:t>
      </w:r>
    </w:p>
    <w:tbl>
      <w:tblPr>
        <w:tblW w:w="7380" w:type="dxa"/>
        <w:tblLayout w:type="fixed"/>
        <w:tblLook w:val="04A0" w:firstRow="1" w:lastRow="0" w:firstColumn="1" w:lastColumn="0" w:noHBand="0" w:noVBand="1"/>
      </w:tblPr>
      <w:tblGrid>
        <w:gridCol w:w="4660"/>
        <w:gridCol w:w="1360"/>
        <w:gridCol w:w="1360"/>
      </w:tblGrid>
      <w:tr w:rsidR="0083134F" w:rsidRPr="0083134F" w:rsidTr="0083134F">
        <w:trPr>
          <w:trHeight w:val="765"/>
        </w:trPr>
        <w:tc>
          <w:tcPr>
            <w:tcW w:w="4660" w:type="dxa"/>
            <w:tcBorders>
              <w:top w:val="single" w:sz="4" w:space="0" w:color="auto"/>
              <w:left w:val="nil"/>
              <w:bottom w:val="nil"/>
              <w:right w:val="nil"/>
            </w:tcBorders>
            <w:shd w:val="clear" w:color="auto" w:fill="auto"/>
            <w:hideMark/>
          </w:tcPr>
          <w:p w:rsidR="0083134F" w:rsidRPr="0083134F" w:rsidRDefault="0083134F" w:rsidP="0083134F">
            <w:pPr>
              <w:spacing w:before="40" w:after="0"/>
              <w:jc w:val="right"/>
              <w:rPr>
                <w:rFonts w:ascii="Arial" w:hAnsi="Arial" w:cs="Arial"/>
                <w:color w:val="auto"/>
                <w:sz w:val="16"/>
                <w:szCs w:val="16"/>
              </w:rPr>
            </w:pPr>
            <w:r w:rsidRPr="0083134F">
              <w:rPr>
                <w:rFonts w:ascii="Arial" w:hAnsi="Arial" w:cs="Arial"/>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rsidR="0083134F" w:rsidRPr="0083134F" w:rsidRDefault="0083134F" w:rsidP="0083134F">
            <w:pPr>
              <w:spacing w:before="40" w:after="0"/>
              <w:jc w:val="right"/>
              <w:rPr>
                <w:rFonts w:ascii="Arial" w:hAnsi="Arial" w:cs="Arial"/>
                <w:b/>
                <w:bCs/>
                <w:color w:val="auto"/>
                <w:sz w:val="16"/>
                <w:szCs w:val="16"/>
              </w:rPr>
            </w:pPr>
            <w:r w:rsidRPr="0083134F">
              <w:rPr>
                <w:rFonts w:ascii="Arial" w:hAnsi="Arial" w:cs="Arial"/>
                <w:b/>
                <w:bCs/>
                <w:color w:val="auto"/>
                <w:sz w:val="16"/>
                <w:szCs w:val="16"/>
              </w:rPr>
              <w:t>2021–22</w:t>
            </w:r>
            <w:r w:rsidRPr="0083134F">
              <w:rPr>
                <w:rFonts w:ascii="Arial" w:hAnsi="Arial" w:cs="Arial"/>
                <w:b/>
                <w:bCs/>
                <w:color w:val="auto"/>
                <w:sz w:val="16"/>
                <w:szCs w:val="16"/>
              </w:rPr>
              <w:br/>
              <w:t>Estimated</w:t>
            </w:r>
            <w:r w:rsidRPr="0083134F">
              <w:rPr>
                <w:rFonts w:ascii="Arial" w:hAnsi="Arial" w:cs="Arial"/>
                <w:b/>
                <w:bCs/>
                <w:color w:val="auto"/>
                <w:sz w:val="16"/>
                <w:szCs w:val="16"/>
              </w:rPr>
              <w:br/>
              <w:t>actual</w:t>
            </w:r>
            <w:r w:rsidRPr="0083134F">
              <w:rPr>
                <w:rFonts w:ascii="Arial" w:hAnsi="Arial" w:cs="Arial"/>
                <w:b/>
                <w:bCs/>
                <w:color w:val="auto"/>
                <w:sz w:val="16"/>
                <w:szCs w:val="16"/>
              </w:rPr>
              <w:br/>
            </w:r>
            <w:r w:rsidRPr="0083134F">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83134F" w:rsidRPr="0083134F" w:rsidRDefault="0083134F" w:rsidP="0083134F">
            <w:pPr>
              <w:spacing w:before="40" w:after="0"/>
              <w:jc w:val="right"/>
              <w:rPr>
                <w:rFonts w:ascii="Arial" w:hAnsi="Arial" w:cs="Arial"/>
                <w:b/>
                <w:bCs/>
                <w:color w:val="auto"/>
                <w:sz w:val="16"/>
                <w:szCs w:val="16"/>
              </w:rPr>
            </w:pPr>
            <w:r w:rsidRPr="0083134F">
              <w:rPr>
                <w:rFonts w:ascii="Arial" w:hAnsi="Arial" w:cs="Arial"/>
                <w:b/>
                <w:bCs/>
                <w:color w:val="auto"/>
                <w:sz w:val="16"/>
                <w:szCs w:val="16"/>
              </w:rPr>
              <w:t>2022–23</w:t>
            </w:r>
            <w:r w:rsidRPr="0083134F">
              <w:rPr>
                <w:rFonts w:ascii="Arial" w:hAnsi="Arial" w:cs="Arial"/>
                <w:b/>
                <w:bCs/>
                <w:color w:val="auto"/>
                <w:sz w:val="16"/>
                <w:szCs w:val="16"/>
              </w:rPr>
              <w:br/>
              <w:t>Estimate</w:t>
            </w:r>
            <w:r w:rsidRPr="0083134F">
              <w:rPr>
                <w:rFonts w:ascii="Arial" w:hAnsi="Arial" w:cs="Arial"/>
                <w:b/>
                <w:bCs/>
                <w:color w:val="auto"/>
                <w:sz w:val="16"/>
                <w:szCs w:val="16"/>
              </w:rPr>
              <w:br/>
            </w:r>
            <w:r w:rsidRPr="0083134F">
              <w:rPr>
                <w:rFonts w:ascii="Arial" w:hAnsi="Arial" w:cs="Arial"/>
                <w:b/>
                <w:bCs/>
                <w:color w:val="auto"/>
                <w:sz w:val="16"/>
                <w:szCs w:val="16"/>
              </w:rPr>
              <w:br/>
            </w:r>
            <w:r w:rsidRPr="0083134F">
              <w:rPr>
                <w:rFonts w:ascii="Arial" w:hAnsi="Arial" w:cs="Arial"/>
                <w:color w:val="auto"/>
                <w:sz w:val="16"/>
                <w:szCs w:val="16"/>
              </w:rPr>
              <w:t>$'000</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rPr>
                <w:rFonts w:ascii="Arial" w:hAnsi="Arial" w:cs="Arial"/>
                <w:b/>
                <w:bCs/>
                <w:color w:val="auto"/>
                <w:sz w:val="16"/>
                <w:szCs w:val="16"/>
              </w:rPr>
            </w:pPr>
            <w:r w:rsidRPr="0083134F">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 </w:t>
            </w:r>
          </w:p>
        </w:tc>
      </w:tr>
      <w:tr w:rsidR="0083134F" w:rsidRPr="0083134F" w:rsidTr="0083134F">
        <w:trPr>
          <w:trHeight w:val="300"/>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100" w:firstLine="160"/>
              <w:rPr>
                <w:rFonts w:ascii="Arial" w:hAnsi="Arial" w:cs="Arial"/>
                <w:b/>
                <w:bCs/>
                <w:color w:val="auto"/>
                <w:sz w:val="16"/>
                <w:szCs w:val="16"/>
              </w:rPr>
            </w:pPr>
            <w:r w:rsidRPr="0083134F">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 </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color w:val="auto"/>
                <w:sz w:val="16"/>
                <w:szCs w:val="16"/>
              </w:rPr>
              <w:t>Ordinary annual services</w:t>
            </w:r>
            <w:r w:rsidRPr="0083134F">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 </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300" w:firstLine="480"/>
              <w:rPr>
                <w:rFonts w:ascii="Arial" w:hAnsi="Arial" w:cs="Arial"/>
                <w:color w:val="auto"/>
                <w:sz w:val="16"/>
                <w:szCs w:val="16"/>
              </w:rPr>
            </w:pPr>
            <w:r w:rsidRPr="0083134F">
              <w:rPr>
                <w:rFonts w:ascii="Arial" w:hAnsi="Arial" w:cs="Arial"/>
                <w:color w:val="auto"/>
                <w:sz w:val="16"/>
                <w:szCs w:val="16"/>
              </w:rPr>
              <w:t>Outcome 1: Health Policy, Access and Support</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11,844,100</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10,484,338</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300" w:firstLine="480"/>
              <w:rPr>
                <w:rFonts w:ascii="Arial" w:hAnsi="Arial" w:cs="Arial"/>
                <w:color w:val="auto"/>
                <w:sz w:val="16"/>
                <w:szCs w:val="16"/>
              </w:rPr>
            </w:pPr>
            <w:r w:rsidRPr="0083134F">
              <w:rPr>
                <w:rFonts w:ascii="Arial" w:hAnsi="Arial" w:cs="Arial"/>
                <w:color w:val="auto"/>
                <w:sz w:val="16"/>
                <w:szCs w:val="16"/>
              </w:rPr>
              <w:t>Outcome 2: Individual Health Benefits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1,752,058</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1,633,143</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300" w:firstLine="480"/>
              <w:rPr>
                <w:rFonts w:ascii="Arial" w:hAnsi="Arial" w:cs="Arial"/>
                <w:color w:val="auto"/>
                <w:sz w:val="16"/>
                <w:szCs w:val="16"/>
              </w:rPr>
            </w:pPr>
            <w:r w:rsidRPr="0083134F">
              <w:rPr>
                <w:rFonts w:ascii="Arial" w:hAnsi="Arial" w:cs="Arial"/>
                <w:color w:val="auto"/>
                <w:sz w:val="16"/>
                <w:szCs w:val="16"/>
              </w:rPr>
              <w:t>Outcome 3: Ageing and Aged Care</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5,184,161</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6,118,878</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300" w:firstLine="480"/>
              <w:rPr>
                <w:rFonts w:ascii="Arial" w:hAnsi="Arial" w:cs="Arial"/>
                <w:color w:val="auto"/>
                <w:sz w:val="16"/>
                <w:szCs w:val="16"/>
              </w:rPr>
            </w:pPr>
            <w:r w:rsidRPr="0083134F">
              <w:rPr>
                <w:rFonts w:ascii="Arial" w:hAnsi="Arial" w:cs="Arial"/>
                <w:color w:val="auto"/>
                <w:sz w:val="16"/>
                <w:szCs w:val="16"/>
              </w:rPr>
              <w:t>Outcome 4: Sport and Recreation</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112,863</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166,669</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AF3E31">
            <w:pPr>
              <w:spacing w:after="0"/>
              <w:ind w:firstLineChars="300" w:firstLine="480"/>
              <w:rPr>
                <w:rFonts w:ascii="Arial" w:hAnsi="Arial" w:cs="Arial"/>
                <w:color w:val="auto"/>
                <w:sz w:val="16"/>
                <w:szCs w:val="16"/>
              </w:rPr>
            </w:pPr>
            <w:r w:rsidRPr="0083134F">
              <w:rPr>
                <w:rFonts w:ascii="Arial" w:hAnsi="Arial" w:cs="Arial"/>
                <w:color w:val="auto"/>
                <w:sz w:val="16"/>
                <w:szCs w:val="16"/>
              </w:rPr>
              <w:t xml:space="preserve">Payments to corporate entities </w:t>
            </w:r>
            <w:r w:rsidRPr="0083134F">
              <w:rPr>
                <w:rFonts w:ascii="Arial" w:hAnsi="Arial" w:cs="Arial"/>
                <w:color w:val="auto"/>
                <w:sz w:val="16"/>
                <w:szCs w:val="16"/>
                <w:vertAlign w:val="superscript"/>
              </w:rPr>
              <w:t>(</w:t>
            </w:r>
            <w:proofErr w:type="spellStart"/>
            <w:r w:rsidR="00AF3E31">
              <w:rPr>
                <w:rFonts w:ascii="Arial" w:hAnsi="Arial" w:cs="Arial"/>
                <w:color w:val="auto"/>
                <w:sz w:val="16"/>
                <w:szCs w:val="16"/>
                <w:vertAlign w:val="superscript"/>
              </w:rPr>
              <w:t>i</w:t>
            </w:r>
            <w:proofErr w:type="spellEnd"/>
            <w:r w:rsidRPr="0083134F">
              <w:rPr>
                <w:rFonts w:ascii="Arial" w:hAnsi="Arial" w:cs="Arial"/>
                <w:color w:val="auto"/>
                <w:sz w:val="16"/>
                <w:szCs w:val="16"/>
                <w:vertAlign w:val="superscript"/>
              </w:rPr>
              <w:t>)</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599,289</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597,963</w:t>
            </w:r>
          </w:p>
        </w:tc>
      </w:tr>
      <w:tr w:rsidR="0083134F" w:rsidRPr="0083134F" w:rsidTr="0083134F">
        <w:trPr>
          <w:trHeight w:val="300"/>
        </w:trPr>
        <w:tc>
          <w:tcPr>
            <w:tcW w:w="4660" w:type="dxa"/>
            <w:tcBorders>
              <w:top w:val="nil"/>
              <w:left w:val="nil"/>
              <w:bottom w:val="nil"/>
              <w:right w:val="nil"/>
            </w:tcBorders>
            <w:shd w:val="clear" w:color="auto" w:fill="auto"/>
            <w:noWrap/>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color w:val="auto"/>
                <w:sz w:val="16"/>
                <w:szCs w:val="16"/>
              </w:rPr>
              <w:t>Other services</w:t>
            </w:r>
            <w:r w:rsidRPr="0083134F">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 </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300" w:firstLine="480"/>
              <w:rPr>
                <w:rFonts w:ascii="Arial" w:hAnsi="Arial" w:cs="Arial"/>
                <w:color w:val="auto"/>
                <w:sz w:val="16"/>
                <w:szCs w:val="16"/>
              </w:rPr>
            </w:pPr>
            <w:r w:rsidRPr="0083134F">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1,623,862</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1,006,137</w:t>
            </w:r>
          </w:p>
        </w:tc>
      </w:tr>
      <w:tr w:rsidR="0083134F" w:rsidRPr="0083134F" w:rsidTr="0083134F">
        <w:trPr>
          <w:trHeight w:val="225"/>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300" w:firstLine="480"/>
              <w:rPr>
                <w:rFonts w:ascii="Arial" w:hAnsi="Arial" w:cs="Arial"/>
                <w:color w:val="auto"/>
                <w:sz w:val="16"/>
                <w:szCs w:val="16"/>
              </w:rPr>
            </w:pPr>
            <w:r w:rsidRPr="0083134F">
              <w:rPr>
                <w:rFonts w:ascii="Arial" w:hAnsi="Arial" w:cs="Arial"/>
                <w:color w:val="auto"/>
                <w:sz w:val="16"/>
                <w:szCs w:val="16"/>
              </w:rPr>
              <w:t xml:space="preserve">Payments to corporate entities </w:t>
            </w:r>
            <w:r w:rsidR="00AF3E31">
              <w:rPr>
                <w:rFonts w:ascii="Arial" w:hAnsi="Arial" w:cs="Arial"/>
                <w:color w:val="auto"/>
                <w:sz w:val="16"/>
                <w:szCs w:val="16"/>
                <w:vertAlign w:val="superscript"/>
              </w:rPr>
              <w:t>(</w:t>
            </w:r>
            <w:proofErr w:type="spellStart"/>
            <w:r w:rsidR="00AF3E31">
              <w:rPr>
                <w:rFonts w:ascii="Arial" w:hAnsi="Arial" w:cs="Arial"/>
                <w:color w:val="auto"/>
                <w:sz w:val="16"/>
                <w:szCs w:val="16"/>
                <w:vertAlign w:val="superscript"/>
              </w:rPr>
              <w:t>i</w:t>
            </w:r>
            <w:proofErr w:type="spellEnd"/>
            <w:r w:rsidRPr="0083134F">
              <w:rPr>
                <w:rFonts w:ascii="Arial" w:hAnsi="Arial" w:cs="Arial"/>
                <w:color w:val="auto"/>
                <w:sz w:val="16"/>
                <w:szCs w:val="16"/>
                <w:vertAlign w:val="superscript"/>
              </w:rPr>
              <w:t>)</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22,229</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28,750</w:t>
            </w:r>
          </w:p>
        </w:tc>
      </w:tr>
      <w:tr w:rsidR="0083134F" w:rsidRPr="0083134F" w:rsidTr="0083134F">
        <w:trPr>
          <w:trHeight w:val="300"/>
        </w:trPr>
        <w:tc>
          <w:tcPr>
            <w:tcW w:w="4660" w:type="dxa"/>
            <w:tcBorders>
              <w:top w:val="nil"/>
              <w:left w:val="nil"/>
              <w:bottom w:val="nil"/>
              <w:right w:val="nil"/>
            </w:tcBorders>
            <w:shd w:val="clear" w:color="auto" w:fill="auto"/>
            <w:noWrap/>
            <w:vAlign w:val="bottom"/>
            <w:hideMark/>
          </w:tcPr>
          <w:p w:rsidR="0083134F" w:rsidRPr="0083134F" w:rsidRDefault="0083134F" w:rsidP="009143BF">
            <w:pPr>
              <w:spacing w:after="0"/>
              <w:ind w:leftChars="150" w:left="285"/>
              <w:rPr>
                <w:rFonts w:ascii="Arial" w:hAnsi="Arial" w:cs="Arial"/>
                <w:b/>
                <w:bCs/>
                <w:color w:val="auto"/>
                <w:sz w:val="16"/>
                <w:szCs w:val="16"/>
              </w:rPr>
            </w:pPr>
            <w:r w:rsidRPr="0083134F">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rsidR="0083134F" w:rsidRPr="0083134F" w:rsidRDefault="0083134F" w:rsidP="0083134F">
            <w:pPr>
              <w:spacing w:after="0"/>
              <w:jc w:val="right"/>
              <w:rPr>
                <w:rFonts w:ascii="Arial" w:hAnsi="Arial" w:cs="Arial"/>
                <w:b/>
                <w:bCs/>
                <w:color w:val="auto"/>
                <w:sz w:val="16"/>
                <w:szCs w:val="16"/>
              </w:rPr>
            </w:pPr>
            <w:r w:rsidRPr="0083134F">
              <w:rPr>
                <w:rFonts w:ascii="Arial" w:hAnsi="Arial" w:cs="Arial"/>
                <w:b/>
                <w:bCs/>
                <w:color w:val="auto"/>
                <w:sz w:val="16"/>
                <w:szCs w:val="16"/>
              </w:rPr>
              <w:t>21,138,562</w:t>
            </w:r>
          </w:p>
        </w:tc>
        <w:tc>
          <w:tcPr>
            <w:tcW w:w="1360" w:type="dxa"/>
            <w:tcBorders>
              <w:top w:val="nil"/>
              <w:left w:val="nil"/>
              <w:bottom w:val="single" w:sz="4" w:space="0" w:color="auto"/>
              <w:right w:val="nil"/>
            </w:tcBorders>
            <w:shd w:val="clear" w:color="000000" w:fill="D9D9D9"/>
            <w:noWrap/>
            <w:vAlign w:val="bottom"/>
            <w:hideMark/>
          </w:tcPr>
          <w:p w:rsidR="0083134F" w:rsidRPr="0083134F" w:rsidRDefault="0083134F" w:rsidP="0083134F">
            <w:pPr>
              <w:spacing w:after="0"/>
              <w:jc w:val="right"/>
              <w:rPr>
                <w:rFonts w:ascii="Arial" w:hAnsi="Arial" w:cs="Arial"/>
                <w:b/>
                <w:bCs/>
                <w:color w:val="auto"/>
                <w:sz w:val="16"/>
                <w:szCs w:val="16"/>
              </w:rPr>
            </w:pPr>
            <w:r w:rsidRPr="0083134F">
              <w:rPr>
                <w:rFonts w:ascii="Arial" w:hAnsi="Arial" w:cs="Arial"/>
                <w:b/>
                <w:bCs/>
                <w:color w:val="auto"/>
                <w:sz w:val="16"/>
                <w:szCs w:val="16"/>
              </w:rPr>
              <w:t>20,035,878</w:t>
            </w:r>
          </w:p>
        </w:tc>
      </w:tr>
      <w:tr w:rsidR="0083134F" w:rsidRPr="0083134F" w:rsidTr="0083134F">
        <w:trPr>
          <w:trHeight w:val="300"/>
        </w:trPr>
        <w:tc>
          <w:tcPr>
            <w:tcW w:w="46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100" w:firstLine="160"/>
              <w:rPr>
                <w:rFonts w:ascii="Arial" w:hAnsi="Arial" w:cs="Arial"/>
                <w:b/>
                <w:bCs/>
                <w:color w:val="auto"/>
                <w:sz w:val="16"/>
                <w:szCs w:val="16"/>
              </w:rPr>
            </w:pPr>
            <w:r w:rsidRPr="0083134F">
              <w:rPr>
                <w:rFonts w:ascii="Arial" w:hAnsi="Arial" w:cs="Arial"/>
                <w:b/>
                <w:bCs/>
                <w:color w:val="auto"/>
                <w:sz w:val="16"/>
                <w:szCs w:val="16"/>
              </w:rPr>
              <w:t>Special appropriations limited by criteria/entitlement</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rsidR="0083134F" w:rsidRPr="0083134F" w:rsidRDefault="0083134F" w:rsidP="0083134F">
            <w:pPr>
              <w:spacing w:after="0"/>
              <w:jc w:val="right"/>
              <w:rPr>
                <w:rFonts w:ascii="Arial" w:hAnsi="Arial" w:cs="Arial"/>
                <w:b/>
                <w:bCs/>
                <w:color w:val="auto"/>
                <w:sz w:val="16"/>
                <w:szCs w:val="16"/>
              </w:rPr>
            </w:pPr>
            <w:r w:rsidRPr="0083134F">
              <w:rPr>
                <w:rFonts w:ascii="Arial" w:hAnsi="Arial" w:cs="Arial"/>
                <w:b/>
                <w:bCs/>
                <w:color w:val="auto"/>
                <w:sz w:val="16"/>
                <w:szCs w:val="16"/>
              </w:rPr>
              <w:t> </w:t>
            </w:r>
          </w:p>
        </w:tc>
      </w:tr>
      <w:tr w:rsidR="0083134F" w:rsidRPr="0083134F" w:rsidTr="0083134F">
        <w:trPr>
          <w:trHeight w:val="525"/>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National Health Act 1953</w:t>
            </w:r>
            <w:r w:rsidRPr="0083134F">
              <w:rPr>
                <w:rFonts w:ascii="Arial" w:hAnsi="Arial" w:cs="Arial"/>
                <w:color w:val="auto"/>
                <w:sz w:val="16"/>
                <w:szCs w:val="16"/>
              </w:rPr>
              <w:t xml:space="preserve"> - blood fractionation products and blood related products to National Blood Authority</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926,865</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996,315</w:t>
            </w:r>
          </w:p>
        </w:tc>
      </w:tr>
      <w:tr w:rsidR="0083134F" w:rsidRPr="0083134F" w:rsidTr="0083134F">
        <w:trPr>
          <w:trHeight w:val="525"/>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Public Governance, Performance and Accountability Act 2013 s77</w:t>
            </w:r>
            <w:r w:rsidRPr="0083134F">
              <w:rPr>
                <w:rFonts w:ascii="Arial" w:hAnsi="Arial" w:cs="Arial"/>
                <w:color w:val="auto"/>
                <w:sz w:val="16"/>
                <w:szCs w:val="16"/>
              </w:rPr>
              <w:t xml:space="preserve"> - repayments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4,419</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2,000</w:t>
            </w:r>
          </w:p>
        </w:tc>
      </w:tr>
      <w:tr w:rsidR="0083134F" w:rsidRPr="0083134F" w:rsidTr="0083134F">
        <w:trPr>
          <w:trHeight w:val="525"/>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Private Health Insurance Act 2007</w:t>
            </w:r>
            <w:r w:rsidRPr="0083134F">
              <w:rPr>
                <w:rFonts w:ascii="Arial" w:hAnsi="Arial" w:cs="Arial"/>
                <w:color w:val="auto"/>
                <w:sz w:val="16"/>
                <w:szCs w:val="16"/>
              </w:rPr>
              <w:t xml:space="preserve"> - incentive payments and rebate</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6,465,800</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6,640,317</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i/>
                <w:iCs/>
                <w:color w:val="auto"/>
                <w:sz w:val="16"/>
                <w:szCs w:val="16"/>
              </w:rPr>
            </w:pPr>
            <w:r w:rsidRPr="0083134F">
              <w:rPr>
                <w:rFonts w:ascii="Arial" w:hAnsi="Arial" w:cs="Arial"/>
                <w:i/>
                <w:iCs/>
                <w:color w:val="auto"/>
                <w:sz w:val="16"/>
                <w:szCs w:val="16"/>
              </w:rPr>
              <w:t xml:space="preserve">Medical Indemnity Act 2002 </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2,260</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99,704</w:t>
            </w:r>
          </w:p>
        </w:tc>
      </w:tr>
      <w:tr w:rsidR="0083134F" w:rsidRPr="0083134F" w:rsidTr="0083134F">
        <w:trPr>
          <w:trHeight w:val="525"/>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i/>
                <w:iCs/>
                <w:color w:val="auto"/>
                <w:sz w:val="16"/>
                <w:szCs w:val="16"/>
              </w:rPr>
            </w:pPr>
            <w:r w:rsidRPr="0083134F">
              <w:rPr>
                <w:rFonts w:ascii="Arial" w:hAnsi="Arial" w:cs="Arial"/>
                <w:i/>
                <w:iCs/>
                <w:color w:val="auto"/>
                <w:sz w:val="16"/>
                <w:szCs w:val="16"/>
              </w:rPr>
              <w:t>Midwife Professional Indemnity (Commonwealth Contribution) Scheme Act 2010</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2,431</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i/>
                <w:iCs/>
                <w:color w:val="auto"/>
                <w:sz w:val="16"/>
                <w:szCs w:val="16"/>
              </w:rPr>
            </w:pPr>
            <w:r w:rsidRPr="0083134F">
              <w:rPr>
                <w:rFonts w:ascii="Arial" w:hAnsi="Arial" w:cs="Arial"/>
                <w:i/>
                <w:iCs/>
                <w:color w:val="auto"/>
                <w:sz w:val="16"/>
                <w:szCs w:val="16"/>
              </w:rPr>
              <w:t>Dental Benefits Act 2008</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257,213</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343,787</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National Health Act 1953</w:t>
            </w:r>
            <w:r w:rsidRPr="0083134F">
              <w:rPr>
                <w:rFonts w:ascii="Arial" w:hAnsi="Arial" w:cs="Arial"/>
                <w:color w:val="auto"/>
                <w:sz w:val="16"/>
                <w:szCs w:val="16"/>
              </w:rPr>
              <w:t xml:space="preserve"> - aids and appliances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384,595</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508,214</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National Health Act 1953</w:t>
            </w:r>
            <w:r w:rsidRPr="0083134F">
              <w:rPr>
                <w:rFonts w:ascii="Arial" w:hAnsi="Arial" w:cs="Arial"/>
                <w:color w:val="auto"/>
                <w:sz w:val="16"/>
                <w:szCs w:val="16"/>
              </w:rPr>
              <w:t xml:space="preserve"> - essential vaccines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402,643</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440,827</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Aged Care Act 1997</w:t>
            </w:r>
            <w:r w:rsidRPr="0083134F">
              <w:rPr>
                <w:rFonts w:ascii="Arial" w:hAnsi="Arial" w:cs="Arial"/>
                <w:color w:val="auto"/>
                <w:sz w:val="16"/>
                <w:szCs w:val="16"/>
              </w:rPr>
              <w:t xml:space="preserve"> - residential and home care</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17,754,054</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22,142,092</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National Health Act 1953</w:t>
            </w:r>
            <w:r w:rsidRPr="0083134F">
              <w:rPr>
                <w:rFonts w:ascii="Arial" w:hAnsi="Arial" w:cs="Arial"/>
                <w:color w:val="auto"/>
                <w:sz w:val="16"/>
                <w:szCs w:val="16"/>
              </w:rPr>
              <w:t xml:space="preserve"> - continence aids payments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96,959</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97,858</w:t>
            </w:r>
          </w:p>
        </w:tc>
      </w:tr>
      <w:tr w:rsidR="0083134F" w:rsidRPr="0083134F" w:rsidTr="0083134F">
        <w:trPr>
          <w:trHeight w:val="300"/>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color w:val="auto"/>
                <w:sz w:val="16"/>
                <w:szCs w:val="16"/>
              </w:rPr>
            </w:pPr>
            <w:r w:rsidRPr="0083134F">
              <w:rPr>
                <w:rFonts w:ascii="Arial" w:hAnsi="Arial" w:cs="Arial"/>
                <w:i/>
                <w:iCs/>
                <w:color w:val="auto"/>
                <w:sz w:val="16"/>
                <w:szCs w:val="16"/>
              </w:rPr>
              <w:t xml:space="preserve">Aged Care Act 1997 </w:t>
            </w:r>
            <w:r w:rsidRPr="0083134F">
              <w:rPr>
                <w:rFonts w:ascii="Arial" w:hAnsi="Arial" w:cs="Arial"/>
                <w:color w:val="auto"/>
                <w:sz w:val="16"/>
                <w:szCs w:val="16"/>
              </w:rPr>
              <w:t xml:space="preserve">- flexible care </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674,049</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737,751</w:t>
            </w:r>
          </w:p>
        </w:tc>
      </w:tr>
      <w:tr w:rsidR="0083134F" w:rsidRPr="0083134F" w:rsidTr="0083134F">
        <w:trPr>
          <w:trHeight w:val="525"/>
        </w:trPr>
        <w:tc>
          <w:tcPr>
            <w:tcW w:w="4660" w:type="dxa"/>
            <w:tcBorders>
              <w:top w:val="nil"/>
              <w:left w:val="nil"/>
              <w:bottom w:val="nil"/>
              <w:right w:val="nil"/>
            </w:tcBorders>
            <w:shd w:val="clear" w:color="auto" w:fill="auto"/>
            <w:vAlign w:val="bottom"/>
            <w:hideMark/>
          </w:tcPr>
          <w:p w:rsidR="0083134F" w:rsidRPr="0083134F" w:rsidRDefault="0083134F" w:rsidP="009143BF">
            <w:pPr>
              <w:spacing w:after="0"/>
              <w:ind w:leftChars="150" w:left="285"/>
              <w:rPr>
                <w:rFonts w:ascii="Arial" w:hAnsi="Arial" w:cs="Arial"/>
                <w:i/>
                <w:iCs/>
                <w:color w:val="auto"/>
                <w:sz w:val="16"/>
                <w:szCs w:val="16"/>
              </w:rPr>
            </w:pPr>
            <w:r w:rsidRPr="0083134F">
              <w:rPr>
                <w:rFonts w:ascii="Arial" w:hAnsi="Arial" w:cs="Arial"/>
                <w:i/>
                <w:iCs/>
                <w:color w:val="auto"/>
                <w:sz w:val="16"/>
                <w:szCs w:val="16"/>
              </w:rPr>
              <w:t>National Health Act 1953 - COVID-19 vaccines and treatments</w:t>
            </w:r>
          </w:p>
        </w:tc>
        <w:tc>
          <w:tcPr>
            <w:tcW w:w="1360" w:type="dxa"/>
            <w:tcBorders>
              <w:top w:val="nil"/>
              <w:left w:val="nil"/>
              <w:bottom w:val="nil"/>
              <w:right w:val="nil"/>
            </w:tcBorders>
            <w:shd w:val="clear" w:color="auto" w:fill="auto"/>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2,863,507</w:t>
            </w:r>
          </w:p>
        </w:tc>
        <w:tc>
          <w:tcPr>
            <w:tcW w:w="1360" w:type="dxa"/>
            <w:tcBorders>
              <w:top w:val="nil"/>
              <w:left w:val="nil"/>
              <w:bottom w:val="nil"/>
              <w:right w:val="nil"/>
            </w:tcBorders>
            <w:shd w:val="clear" w:color="000000" w:fill="D9D9D9"/>
            <w:noWrap/>
            <w:vAlign w:val="bottom"/>
            <w:hideMark/>
          </w:tcPr>
          <w:p w:rsidR="0083134F" w:rsidRPr="0083134F" w:rsidRDefault="0083134F" w:rsidP="0083134F">
            <w:pPr>
              <w:spacing w:after="0"/>
              <w:jc w:val="right"/>
              <w:rPr>
                <w:rFonts w:ascii="Arial" w:hAnsi="Arial" w:cs="Arial"/>
                <w:color w:val="auto"/>
                <w:sz w:val="16"/>
                <w:szCs w:val="16"/>
              </w:rPr>
            </w:pPr>
            <w:r w:rsidRPr="0083134F">
              <w:rPr>
                <w:rFonts w:ascii="Arial" w:hAnsi="Arial" w:cs="Arial"/>
                <w:color w:val="auto"/>
                <w:sz w:val="16"/>
                <w:szCs w:val="16"/>
              </w:rPr>
              <w:t>-</w:t>
            </w:r>
          </w:p>
        </w:tc>
      </w:tr>
      <w:tr w:rsidR="0083134F" w:rsidRPr="0083134F" w:rsidTr="0083134F">
        <w:trPr>
          <w:trHeight w:val="300"/>
        </w:trPr>
        <w:tc>
          <w:tcPr>
            <w:tcW w:w="4660" w:type="dxa"/>
            <w:tcBorders>
              <w:top w:val="nil"/>
              <w:left w:val="nil"/>
              <w:bottom w:val="nil"/>
              <w:right w:val="nil"/>
            </w:tcBorders>
            <w:shd w:val="clear" w:color="auto" w:fill="auto"/>
            <w:noWrap/>
            <w:vAlign w:val="bottom"/>
            <w:hideMark/>
          </w:tcPr>
          <w:p w:rsidR="0083134F" w:rsidRPr="0083134F" w:rsidRDefault="0083134F" w:rsidP="009143BF">
            <w:pPr>
              <w:spacing w:after="0"/>
              <w:ind w:leftChars="150" w:left="285"/>
              <w:rPr>
                <w:rFonts w:ascii="Arial" w:hAnsi="Arial" w:cs="Arial"/>
                <w:b/>
                <w:bCs/>
                <w:color w:val="auto"/>
                <w:sz w:val="16"/>
                <w:szCs w:val="16"/>
              </w:rPr>
            </w:pPr>
            <w:r w:rsidRPr="0083134F">
              <w:rPr>
                <w:rFonts w:ascii="Arial" w:hAnsi="Arial" w:cs="Arial"/>
                <w:b/>
                <w:bCs/>
                <w:color w:val="auto"/>
                <w:sz w:val="16"/>
                <w:szCs w:val="16"/>
              </w:rPr>
              <w:t xml:space="preserve">Total administered special appropriations </w:t>
            </w:r>
          </w:p>
        </w:tc>
        <w:tc>
          <w:tcPr>
            <w:tcW w:w="1360" w:type="dxa"/>
            <w:tcBorders>
              <w:top w:val="single" w:sz="4" w:space="0" w:color="auto"/>
              <w:left w:val="nil"/>
              <w:bottom w:val="single" w:sz="4" w:space="0" w:color="auto"/>
              <w:right w:val="nil"/>
            </w:tcBorders>
            <w:shd w:val="clear" w:color="auto" w:fill="auto"/>
            <w:noWrap/>
            <w:vAlign w:val="bottom"/>
            <w:hideMark/>
          </w:tcPr>
          <w:p w:rsidR="0083134F" w:rsidRPr="0083134F" w:rsidRDefault="0083134F" w:rsidP="0083134F">
            <w:pPr>
              <w:spacing w:after="0"/>
              <w:jc w:val="right"/>
              <w:rPr>
                <w:rFonts w:ascii="Arial" w:hAnsi="Arial" w:cs="Arial"/>
                <w:b/>
                <w:bCs/>
                <w:color w:val="auto"/>
                <w:sz w:val="16"/>
                <w:szCs w:val="16"/>
              </w:rPr>
            </w:pPr>
            <w:r w:rsidRPr="0083134F">
              <w:rPr>
                <w:rFonts w:ascii="Arial" w:hAnsi="Arial" w:cs="Arial"/>
                <w:b/>
                <w:bCs/>
                <w:color w:val="auto"/>
                <w:sz w:val="16"/>
                <w:szCs w:val="16"/>
              </w:rPr>
              <w:t>29,832,364</w:t>
            </w:r>
          </w:p>
        </w:tc>
        <w:tc>
          <w:tcPr>
            <w:tcW w:w="1360" w:type="dxa"/>
            <w:tcBorders>
              <w:top w:val="single" w:sz="4" w:space="0" w:color="auto"/>
              <w:left w:val="nil"/>
              <w:bottom w:val="single" w:sz="4" w:space="0" w:color="auto"/>
              <w:right w:val="nil"/>
            </w:tcBorders>
            <w:shd w:val="clear" w:color="000000" w:fill="D9D9D9"/>
            <w:noWrap/>
            <w:vAlign w:val="bottom"/>
            <w:hideMark/>
          </w:tcPr>
          <w:p w:rsidR="0083134F" w:rsidRPr="0083134F" w:rsidRDefault="0083134F" w:rsidP="0083134F">
            <w:pPr>
              <w:spacing w:after="0"/>
              <w:jc w:val="right"/>
              <w:rPr>
                <w:rFonts w:ascii="Arial" w:hAnsi="Arial" w:cs="Arial"/>
                <w:b/>
                <w:bCs/>
                <w:color w:val="auto"/>
                <w:sz w:val="16"/>
                <w:szCs w:val="16"/>
              </w:rPr>
            </w:pPr>
            <w:r w:rsidRPr="0083134F">
              <w:rPr>
                <w:rFonts w:ascii="Arial" w:hAnsi="Arial" w:cs="Arial"/>
                <w:b/>
                <w:bCs/>
                <w:color w:val="auto"/>
                <w:sz w:val="16"/>
                <w:szCs w:val="16"/>
              </w:rPr>
              <w:t>32,011,296</w:t>
            </w:r>
          </w:p>
        </w:tc>
      </w:tr>
    </w:tbl>
    <w:p w:rsidR="00015FAC" w:rsidRDefault="00015FAC" w:rsidP="000D22DB">
      <w:pPr>
        <w:rPr>
          <w:rFonts w:ascii="Arial" w:hAnsi="Arial" w:cs="Arial"/>
          <w:szCs w:val="18"/>
        </w:rPr>
      </w:pPr>
      <w:r>
        <w:br w:type="page"/>
      </w:r>
    </w:p>
    <w:p w:rsidR="00232F9B" w:rsidRPr="000D22DB" w:rsidRDefault="004C6378" w:rsidP="000D22DB">
      <w:pPr>
        <w:pStyle w:val="TableGraphic"/>
        <w:rPr>
          <w:rFonts w:ascii="Arial" w:hAnsi="Arial" w:cs="Arial"/>
          <w:b/>
          <w:sz w:val="20"/>
          <w:szCs w:val="20"/>
        </w:rPr>
      </w:pPr>
      <w:r w:rsidRPr="000D22DB">
        <w:rPr>
          <w:rFonts w:ascii="Arial" w:hAnsi="Arial" w:cs="Arial"/>
          <w:b/>
          <w:sz w:val="20"/>
          <w:szCs w:val="20"/>
        </w:rPr>
        <w:lastRenderedPageBreak/>
        <w:t>Table 1.1: Department of Health and Aged Care resource statement –</w:t>
      </w:r>
      <w:r w:rsidRPr="000D22DB">
        <w:rPr>
          <w:rFonts w:ascii="Arial" w:hAnsi="Arial" w:cs="Arial"/>
          <w:b/>
          <w:sz w:val="20"/>
          <w:szCs w:val="20"/>
        </w:rPr>
        <w:br/>
        <w:t>Budget estimates for 2022–23 as at October Budget 2022</w:t>
      </w:r>
      <w:r w:rsidR="00EF5C5E" w:rsidRPr="000D22DB">
        <w:rPr>
          <w:rFonts w:ascii="Arial" w:hAnsi="Arial" w:cs="Arial"/>
          <w:b/>
          <w:sz w:val="20"/>
          <w:szCs w:val="20"/>
        </w:rPr>
        <w:t xml:space="preserve"> </w:t>
      </w:r>
      <w:r w:rsidR="00232F9B" w:rsidRPr="000D22DB">
        <w:rPr>
          <w:rFonts w:ascii="Arial" w:hAnsi="Arial" w:cs="Arial"/>
          <w:b/>
          <w:sz w:val="20"/>
          <w:szCs w:val="20"/>
        </w:rPr>
        <w:t>(continued)</w:t>
      </w:r>
    </w:p>
    <w:tbl>
      <w:tblPr>
        <w:tblW w:w="7380" w:type="dxa"/>
        <w:tblLayout w:type="fixed"/>
        <w:tblLook w:val="04A0" w:firstRow="1" w:lastRow="0" w:firstColumn="1" w:lastColumn="0" w:noHBand="0" w:noVBand="1"/>
      </w:tblPr>
      <w:tblGrid>
        <w:gridCol w:w="4660"/>
        <w:gridCol w:w="1360"/>
        <w:gridCol w:w="1360"/>
      </w:tblGrid>
      <w:tr w:rsidR="009143BF" w:rsidRPr="009143BF" w:rsidTr="009143BF">
        <w:trPr>
          <w:trHeight w:val="900"/>
        </w:trPr>
        <w:tc>
          <w:tcPr>
            <w:tcW w:w="4660" w:type="dxa"/>
            <w:tcBorders>
              <w:top w:val="single" w:sz="4" w:space="0" w:color="auto"/>
              <w:left w:val="nil"/>
              <w:bottom w:val="nil"/>
              <w:right w:val="nil"/>
            </w:tcBorders>
            <w:shd w:val="clear" w:color="auto" w:fill="auto"/>
            <w:hideMark/>
          </w:tcPr>
          <w:p w:rsidR="009143BF" w:rsidRPr="009143BF" w:rsidRDefault="009143BF" w:rsidP="009143BF">
            <w:pPr>
              <w:spacing w:before="40" w:after="0"/>
              <w:ind w:firstLineChars="100" w:firstLine="160"/>
              <w:jc w:val="right"/>
              <w:rPr>
                <w:rFonts w:ascii="Arial" w:hAnsi="Arial" w:cs="Arial"/>
                <w:color w:val="auto"/>
                <w:sz w:val="16"/>
                <w:szCs w:val="16"/>
              </w:rPr>
            </w:pPr>
            <w:r w:rsidRPr="009143BF">
              <w:rPr>
                <w:rFonts w:ascii="Arial" w:hAnsi="Arial" w:cs="Arial"/>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rsidR="009143BF" w:rsidRPr="009143BF" w:rsidRDefault="009143BF" w:rsidP="009143BF">
            <w:pPr>
              <w:spacing w:before="40" w:after="0"/>
              <w:jc w:val="right"/>
              <w:rPr>
                <w:rFonts w:ascii="Arial" w:hAnsi="Arial" w:cs="Arial"/>
                <w:b/>
                <w:bCs/>
                <w:color w:val="auto"/>
                <w:sz w:val="16"/>
                <w:szCs w:val="16"/>
              </w:rPr>
            </w:pPr>
            <w:r w:rsidRPr="009143BF">
              <w:rPr>
                <w:rFonts w:ascii="Arial" w:hAnsi="Arial" w:cs="Arial"/>
                <w:b/>
                <w:bCs/>
                <w:color w:val="auto"/>
                <w:sz w:val="16"/>
                <w:szCs w:val="16"/>
              </w:rPr>
              <w:t>2021–22</w:t>
            </w:r>
            <w:r w:rsidRPr="009143BF">
              <w:rPr>
                <w:rFonts w:ascii="Arial" w:hAnsi="Arial" w:cs="Arial"/>
                <w:b/>
                <w:bCs/>
                <w:color w:val="auto"/>
                <w:sz w:val="16"/>
                <w:szCs w:val="16"/>
              </w:rPr>
              <w:br/>
              <w:t>Estimated</w:t>
            </w:r>
            <w:r w:rsidRPr="009143BF">
              <w:rPr>
                <w:rFonts w:ascii="Arial" w:hAnsi="Arial" w:cs="Arial"/>
                <w:b/>
                <w:bCs/>
                <w:color w:val="auto"/>
                <w:sz w:val="16"/>
                <w:szCs w:val="16"/>
              </w:rPr>
              <w:br/>
              <w:t>actual</w:t>
            </w:r>
            <w:r w:rsidRPr="009143BF">
              <w:rPr>
                <w:rFonts w:ascii="Arial" w:hAnsi="Arial" w:cs="Arial"/>
                <w:b/>
                <w:bCs/>
                <w:color w:val="auto"/>
                <w:sz w:val="16"/>
                <w:szCs w:val="16"/>
              </w:rPr>
              <w:br/>
            </w:r>
            <w:r w:rsidRPr="009143BF">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9143BF" w:rsidRPr="009143BF" w:rsidRDefault="009143BF" w:rsidP="009143BF">
            <w:pPr>
              <w:spacing w:before="40" w:after="0"/>
              <w:jc w:val="right"/>
              <w:rPr>
                <w:rFonts w:ascii="Arial" w:hAnsi="Arial" w:cs="Arial"/>
                <w:b/>
                <w:bCs/>
                <w:color w:val="auto"/>
                <w:sz w:val="16"/>
                <w:szCs w:val="16"/>
              </w:rPr>
            </w:pPr>
            <w:r w:rsidRPr="009143BF">
              <w:rPr>
                <w:rFonts w:ascii="Arial" w:hAnsi="Arial" w:cs="Arial"/>
                <w:b/>
                <w:bCs/>
                <w:color w:val="auto"/>
                <w:sz w:val="16"/>
                <w:szCs w:val="16"/>
              </w:rPr>
              <w:t>2022–23</w:t>
            </w:r>
            <w:r w:rsidRPr="009143BF">
              <w:rPr>
                <w:rFonts w:ascii="Arial" w:hAnsi="Arial" w:cs="Arial"/>
                <w:b/>
                <w:bCs/>
                <w:color w:val="auto"/>
                <w:sz w:val="16"/>
                <w:szCs w:val="16"/>
              </w:rPr>
              <w:br/>
              <w:t>Estimate</w:t>
            </w:r>
            <w:r w:rsidRPr="009143BF">
              <w:rPr>
                <w:rFonts w:ascii="Arial" w:hAnsi="Arial" w:cs="Arial"/>
                <w:b/>
                <w:bCs/>
                <w:color w:val="auto"/>
                <w:sz w:val="16"/>
                <w:szCs w:val="16"/>
              </w:rPr>
              <w:br/>
            </w:r>
            <w:r w:rsidRPr="009143BF">
              <w:rPr>
                <w:rFonts w:ascii="Arial" w:hAnsi="Arial" w:cs="Arial"/>
                <w:b/>
                <w:bCs/>
                <w:color w:val="auto"/>
                <w:sz w:val="16"/>
                <w:szCs w:val="16"/>
              </w:rPr>
              <w:br/>
            </w:r>
            <w:r w:rsidRPr="009143BF">
              <w:rPr>
                <w:rFonts w:ascii="Arial" w:hAnsi="Arial" w:cs="Arial"/>
                <w:color w:val="auto"/>
                <w:sz w:val="16"/>
                <w:szCs w:val="16"/>
              </w:rPr>
              <w:t>$'000</w:t>
            </w:r>
          </w:p>
        </w:tc>
      </w:tr>
      <w:tr w:rsidR="009143BF" w:rsidRPr="009143BF" w:rsidTr="009143BF">
        <w:trPr>
          <w:trHeight w:val="300"/>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100" w:firstLine="160"/>
              <w:rPr>
                <w:rFonts w:ascii="Arial" w:hAnsi="Arial" w:cs="Arial"/>
                <w:b/>
                <w:bCs/>
                <w:color w:val="auto"/>
                <w:sz w:val="16"/>
                <w:szCs w:val="16"/>
              </w:rPr>
            </w:pPr>
            <w:r w:rsidRPr="009143BF">
              <w:rPr>
                <w:rFonts w:ascii="Arial" w:hAnsi="Arial" w:cs="Arial"/>
                <w:b/>
                <w:bCs/>
                <w:color w:val="auto"/>
                <w:sz w:val="16"/>
                <w:szCs w:val="16"/>
              </w:rPr>
              <w:t xml:space="preserve">Special accounts </w:t>
            </w:r>
            <w:r w:rsidRPr="009143BF">
              <w:rPr>
                <w:rFonts w:ascii="Arial" w:hAnsi="Arial" w:cs="Arial"/>
                <w:b/>
                <w:bCs/>
                <w:color w:val="auto"/>
                <w:sz w:val="16"/>
                <w:szCs w:val="16"/>
                <w:vertAlign w:val="superscript"/>
              </w:rPr>
              <w:t>(e) (f)</w:t>
            </w: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 </w:t>
            </w:r>
          </w:p>
        </w:tc>
      </w:tr>
      <w:tr w:rsidR="009143BF" w:rsidRPr="009143BF" w:rsidTr="009143BF">
        <w:trPr>
          <w:trHeight w:val="225"/>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200" w:firstLine="320"/>
              <w:rPr>
                <w:rFonts w:ascii="Arial" w:hAnsi="Arial" w:cs="Arial"/>
                <w:color w:val="auto"/>
                <w:sz w:val="16"/>
                <w:szCs w:val="16"/>
              </w:rPr>
            </w:pPr>
            <w:r w:rsidRPr="009143BF">
              <w:rPr>
                <w:rFonts w:ascii="Arial" w:hAnsi="Arial" w:cs="Arial"/>
                <w:color w:val="auto"/>
                <w:sz w:val="16"/>
                <w:szCs w:val="16"/>
              </w:rPr>
              <w:t>Opening balance</w:t>
            </w: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1,849,194</w:t>
            </w:r>
          </w:p>
        </w:tc>
        <w:tc>
          <w:tcPr>
            <w:tcW w:w="1360" w:type="dxa"/>
            <w:tcBorders>
              <w:top w:val="nil"/>
              <w:left w:val="nil"/>
              <w:bottom w:val="nil"/>
              <w:right w:val="nil"/>
            </w:tcBorders>
            <w:shd w:val="clear" w:color="000000" w:fill="D9D9D9"/>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3,281,361</w:t>
            </w:r>
          </w:p>
        </w:tc>
      </w:tr>
      <w:tr w:rsidR="009143BF" w:rsidRPr="009143BF" w:rsidTr="009143BF">
        <w:trPr>
          <w:trHeight w:val="225"/>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200" w:firstLine="320"/>
              <w:rPr>
                <w:rFonts w:ascii="Arial" w:hAnsi="Arial" w:cs="Arial"/>
                <w:color w:val="auto"/>
                <w:sz w:val="16"/>
                <w:szCs w:val="16"/>
              </w:rPr>
            </w:pPr>
            <w:r w:rsidRPr="009143BF">
              <w:rPr>
                <w:rFonts w:ascii="Arial" w:hAnsi="Arial" w:cs="Arial"/>
                <w:color w:val="auto"/>
                <w:sz w:val="16"/>
                <w:szCs w:val="16"/>
              </w:rPr>
              <w:t xml:space="preserve">Appropriation receipts </w:t>
            </w:r>
            <w:r w:rsidRPr="009143BF">
              <w:rPr>
                <w:rFonts w:ascii="Arial" w:hAnsi="Arial" w:cs="Arial"/>
                <w:color w:val="auto"/>
                <w:sz w:val="16"/>
                <w:szCs w:val="16"/>
                <w:vertAlign w:val="superscript"/>
              </w:rPr>
              <w:t>(g)</w:t>
            </w: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7,362</w:t>
            </w:r>
          </w:p>
        </w:tc>
        <w:tc>
          <w:tcPr>
            <w:tcW w:w="1360" w:type="dxa"/>
            <w:tcBorders>
              <w:top w:val="nil"/>
              <w:left w:val="nil"/>
              <w:bottom w:val="nil"/>
              <w:right w:val="nil"/>
            </w:tcBorders>
            <w:shd w:val="clear" w:color="000000" w:fill="D9D9D9"/>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7,133</w:t>
            </w:r>
          </w:p>
        </w:tc>
      </w:tr>
      <w:tr w:rsidR="009143BF" w:rsidRPr="009143BF" w:rsidTr="009143BF">
        <w:trPr>
          <w:trHeight w:val="225"/>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200" w:firstLine="320"/>
              <w:rPr>
                <w:rFonts w:ascii="Arial" w:hAnsi="Arial" w:cs="Arial"/>
                <w:color w:val="auto"/>
                <w:sz w:val="16"/>
                <w:szCs w:val="16"/>
              </w:rPr>
            </w:pPr>
            <w:r w:rsidRPr="009143BF">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45,326,141</w:t>
            </w:r>
          </w:p>
        </w:tc>
        <w:tc>
          <w:tcPr>
            <w:tcW w:w="1360" w:type="dxa"/>
            <w:tcBorders>
              <w:top w:val="nil"/>
              <w:left w:val="nil"/>
              <w:bottom w:val="nil"/>
              <w:right w:val="nil"/>
            </w:tcBorders>
            <w:shd w:val="clear" w:color="000000" w:fill="D9D9D9"/>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48,938,062</w:t>
            </w:r>
          </w:p>
        </w:tc>
      </w:tr>
      <w:tr w:rsidR="009143BF" w:rsidRPr="009143BF" w:rsidTr="009143BF">
        <w:trPr>
          <w:trHeight w:val="225"/>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200" w:firstLine="320"/>
              <w:rPr>
                <w:rFonts w:ascii="Arial" w:hAnsi="Arial" w:cs="Arial"/>
                <w:b/>
                <w:bCs/>
                <w:color w:val="auto"/>
                <w:sz w:val="16"/>
                <w:szCs w:val="16"/>
              </w:rPr>
            </w:pPr>
            <w:r w:rsidRPr="009143BF">
              <w:rPr>
                <w:rFonts w:ascii="Arial" w:hAnsi="Arial" w:cs="Arial"/>
                <w:b/>
                <w:bCs/>
                <w:color w:val="auto"/>
                <w:sz w:val="16"/>
                <w:szCs w:val="16"/>
              </w:rPr>
              <w:t>Total special accounts</w:t>
            </w:r>
          </w:p>
        </w:tc>
        <w:tc>
          <w:tcPr>
            <w:tcW w:w="1360" w:type="dxa"/>
            <w:tcBorders>
              <w:top w:val="nil"/>
              <w:left w:val="nil"/>
              <w:bottom w:val="single" w:sz="4" w:space="0" w:color="auto"/>
              <w:right w:val="nil"/>
            </w:tcBorders>
            <w:shd w:val="clear" w:color="auto" w:fill="auto"/>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47,182,697</w:t>
            </w:r>
          </w:p>
        </w:tc>
        <w:tc>
          <w:tcPr>
            <w:tcW w:w="1360" w:type="dxa"/>
            <w:tcBorders>
              <w:top w:val="nil"/>
              <w:left w:val="nil"/>
              <w:bottom w:val="single" w:sz="4" w:space="0" w:color="auto"/>
              <w:right w:val="nil"/>
            </w:tcBorders>
            <w:shd w:val="clear" w:color="000000" w:fill="D9D9D9"/>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52,226,556</w:t>
            </w:r>
          </w:p>
        </w:tc>
      </w:tr>
      <w:tr w:rsidR="009143BF" w:rsidRPr="009143BF" w:rsidTr="009143BF">
        <w:trPr>
          <w:trHeight w:val="300"/>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ind w:firstLineChars="100" w:firstLine="160"/>
              <w:rPr>
                <w:rFonts w:ascii="Arial" w:hAnsi="Arial" w:cs="Arial"/>
                <w:b/>
                <w:bCs/>
                <w:color w:val="auto"/>
                <w:sz w:val="16"/>
                <w:szCs w:val="16"/>
              </w:rPr>
            </w:pPr>
            <w:r w:rsidRPr="009143BF">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98,153,623</w:t>
            </w:r>
          </w:p>
        </w:tc>
        <w:tc>
          <w:tcPr>
            <w:tcW w:w="1360" w:type="dxa"/>
            <w:tcBorders>
              <w:top w:val="nil"/>
              <w:left w:val="nil"/>
              <w:bottom w:val="single" w:sz="4" w:space="0" w:color="auto"/>
              <w:right w:val="nil"/>
            </w:tcBorders>
            <w:shd w:val="clear" w:color="000000" w:fill="D9D9D9"/>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104,273,730</w:t>
            </w:r>
          </w:p>
        </w:tc>
      </w:tr>
      <w:tr w:rsidR="009143BF" w:rsidRPr="009143BF" w:rsidTr="009143BF">
        <w:trPr>
          <w:trHeight w:val="806"/>
        </w:trPr>
        <w:tc>
          <w:tcPr>
            <w:tcW w:w="4660" w:type="dxa"/>
            <w:tcBorders>
              <w:top w:val="nil"/>
              <w:left w:val="nil"/>
              <w:bottom w:val="nil"/>
              <w:right w:val="nil"/>
            </w:tcBorders>
            <w:shd w:val="clear" w:color="auto" w:fill="auto"/>
            <w:vAlign w:val="bottom"/>
            <w:hideMark/>
          </w:tcPr>
          <w:p w:rsidR="009143BF" w:rsidRPr="009143BF" w:rsidRDefault="009143BF" w:rsidP="009143BF">
            <w:pPr>
              <w:spacing w:after="0"/>
              <w:ind w:leftChars="75" w:left="143"/>
              <w:rPr>
                <w:rFonts w:ascii="Arial" w:hAnsi="Arial" w:cs="Arial"/>
                <w:color w:val="auto"/>
                <w:sz w:val="16"/>
                <w:szCs w:val="16"/>
              </w:rPr>
            </w:pPr>
            <w:r w:rsidRPr="009143BF">
              <w:rPr>
                <w:rFonts w:ascii="Arial" w:hAnsi="Arial" w:cs="Arial"/>
                <w:color w:val="auto"/>
                <w:sz w:val="16"/>
                <w:szCs w:val="16"/>
              </w:rPr>
              <w:t>Less appropriations drawn from annual or special appropriations above and credited to special accounts and/or payments to corporate entities through annual appropriations</w:t>
            </w:r>
            <w:r w:rsidRPr="009143BF">
              <w:rPr>
                <w:rFonts w:ascii="Arial" w:hAnsi="Arial" w:cs="Arial"/>
                <w:color w:val="auto"/>
                <w:sz w:val="16"/>
                <w:szCs w:val="16"/>
                <w:vertAlign w:val="superscript"/>
              </w:rPr>
              <w:t xml:space="preserve"> (h)</w:t>
            </w: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(628,880)</w:t>
            </w:r>
          </w:p>
        </w:tc>
        <w:tc>
          <w:tcPr>
            <w:tcW w:w="1360" w:type="dxa"/>
            <w:tcBorders>
              <w:top w:val="nil"/>
              <w:left w:val="nil"/>
              <w:bottom w:val="nil"/>
              <w:right w:val="nil"/>
            </w:tcBorders>
            <w:shd w:val="clear" w:color="000000" w:fill="D9D9D9"/>
            <w:noWrap/>
            <w:vAlign w:val="bottom"/>
            <w:hideMark/>
          </w:tcPr>
          <w:p w:rsidR="009143BF" w:rsidRPr="009143BF" w:rsidRDefault="009143BF" w:rsidP="009143BF">
            <w:pPr>
              <w:spacing w:after="0"/>
              <w:jc w:val="right"/>
              <w:rPr>
                <w:rFonts w:ascii="Arial" w:hAnsi="Arial" w:cs="Arial"/>
                <w:color w:val="auto"/>
                <w:sz w:val="16"/>
                <w:szCs w:val="16"/>
              </w:rPr>
            </w:pPr>
            <w:r w:rsidRPr="009143BF">
              <w:rPr>
                <w:rFonts w:ascii="Arial" w:hAnsi="Arial" w:cs="Arial"/>
                <w:color w:val="auto"/>
                <w:sz w:val="16"/>
                <w:szCs w:val="16"/>
              </w:rPr>
              <w:t>(633,846)</w:t>
            </w:r>
          </w:p>
        </w:tc>
      </w:tr>
      <w:tr w:rsidR="009143BF" w:rsidRPr="009143BF" w:rsidTr="009143BF">
        <w:trPr>
          <w:trHeight w:val="300"/>
        </w:trPr>
        <w:tc>
          <w:tcPr>
            <w:tcW w:w="4660" w:type="dxa"/>
            <w:tcBorders>
              <w:top w:val="nil"/>
              <w:left w:val="nil"/>
              <w:bottom w:val="nil"/>
              <w:right w:val="nil"/>
            </w:tcBorders>
            <w:shd w:val="clear" w:color="auto" w:fill="auto"/>
            <w:noWrap/>
            <w:vAlign w:val="bottom"/>
            <w:hideMark/>
          </w:tcPr>
          <w:p w:rsidR="009143BF" w:rsidRPr="009143BF" w:rsidRDefault="009143BF" w:rsidP="009143BF">
            <w:pPr>
              <w:spacing w:after="0"/>
              <w:rPr>
                <w:rFonts w:ascii="Arial" w:hAnsi="Arial" w:cs="Arial"/>
                <w:b/>
                <w:bCs/>
                <w:color w:val="auto"/>
                <w:sz w:val="16"/>
                <w:szCs w:val="16"/>
              </w:rPr>
            </w:pPr>
            <w:r w:rsidRPr="009143BF">
              <w:rPr>
                <w:rFonts w:ascii="Arial" w:hAnsi="Arial" w:cs="Arial"/>
                <w:b/>
                <w:bCs/>
                <w:color w:val="auto"/>
                <w:sz w:val="16"/>
                <w:szCs w:val="16"/>
              </w:rPr>
              <w:t>Total administered resourcing for Health</w:t>
            </w:r>
            <w:r w:rsidR="00AF3E31">
              <w:rPr>
                <w:rFonts w:ascii="Arial" w:hAnsi="Arial" w:cs="Arial"/>
                <w:b/>
                <w:bCs/>
                <w:color w:val="auto"/>
                <w:sz w:val="16"/>
                <w:szCs w:val="16"/>
              </w:rPr>
              <w:t xml:space="preserve"> and Aged Care</w:t>
            </w:r>
          </w:p>
        </w:tc>
        <w:tc>
          <w:tcPr>
            <w:tcW w:w="1360" w:type="dxa"/>
            <w:tcBorders>
              <w:top w:val="single" w:sz="4" w:space="0" w:color="auto"/>
              <w:left w:val="nil"/>
              <w:bottom w:val="single" w:sz="4" w:space="0" w:color="auto"/>
              <w:right w:val="nil"/>
            </w:tcBorders>
            <w:shd w:val="clear" w:color="auto" w:fill="auto"/>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97,524,743</w:t>
            </w:r>
          </w:p>
        </w:tc>
        <w:tc>
          <w:tcPr>
            <w:tcW w:w="1360" w:type="dxa"/>
            <w:tcBorders>
              <w:top w:val="single" w:sz="4" w:space="0" w:color="auto"/>
              <w:left w:val="nil"/>
              <w:bottom w:val="single" w:sz="4" w:space="0" w:color="auto"/>
              <w:right w:val="nil"/>
            </w:tcBorders>
            <w:shd w:val="clear" w:color="000000" w:fill="D9D9D9"/>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103,639,884</w:t>
            </w:r>
          </w:p>
        </w:tc>
      </w:tr>
      <w:tr w:rsidR="009143BF" w:rsidRPr="009143BF" w:rsidTr="009143BF">
        <w:trPr>
          <w:trHeight w:val="300"/>
        </w:trPr>
        <w:tc>
          <w:tcPr>
            <w:tcW w:w="4660" w:type="dxa"/>
            <w:tcBorders>
              <w:top w:val="nil"/>
              <w:left w:val="nil"/>
              <w:bottom w:val="single" w:sz="4" w:space="0" w:color="auto"/>
              <w:right w:val="nil"/>
            </w:tcBorders>
            <w:shd w:val="clear" w:color="auto" w:fill="auto"/>
            <w:noWrap/>
            <w:vAlign w:val="bottom"/>
            <w:hideMark/>
          </w:tcPr>
          <w:p w:rsidR="009143BF" w:rsidRPr="009143BF" w:rsidRDefault="009143BF" w:rsidP="009143BF">
            <w:pPr>
              <w:spacing w:after="0"/>
              <w:rPr>
                <w:rFonts w:ascii="Arial" w:hAnsi="Arial" w:cs="Arial"/>
                <w:b/>
                <w:bCs/>
                <w:color w:val="auto"/>
                <w:sz w:val="16"/>
                <w:szCs w:val="16"/>
              </w:rPr>
            </w:pPr>
            <w:r w:rsidRPr="009143BF">
              <w:rPr>
                <w:rFonts w:ascii="Arial" w:hAnsi="Arial" w:cs="Arial"/>
                <w:b/>
                <w:bCs/>
                <w:color w:val="auto"/>
                <w:sz w:val="16"/>
                <w:szCs w:val="16"/>
              </w:rPr>
              <w:t>Total resourcing for Health</w:t>
            </w:r>
            <w:r w:rsidR="00AF3E31">
              <w:rPr>
                <w:rFonts w:ascii="Arial" w:hAnsi="Arial" w:cs="Arial"/>
                <w:b/>
                <w:bCs/>
                <w:color w:val="auto"/>
                <w:sz w:val="16"/>
                <w:szCs w:val="16"/>
              </w:rPr>
              <w:t xml:space="preserve"> and Aged Care</w:t>
            </w:r>
          </w:p>
        </w:tc>
        <w:tc>
          <w:tcPr>
            <w:tcW w:w="1360" w:type="dxa"/>
            <w:tcBorders>
              <w:top w:val="nil"/>
              <w:left w:val="nil"/>
              <w:bottom w:val="single" w:sz="4" w:space="0" w:color="auto"/>
              <w:right w:val="nil"/>
            </w:tcBorders>
            <w:shd w:val="clear" w:color="auto" w:fill="auto"/>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99,105,657</w:t>
            </w:r>
          </w:p>
        </w:tc>
        <w:tc>
          <w:tcPr>
            <w:tcW w:w="1360" w:type="dxa"/>
            <w:tcBorders>
              <w:top w:val="nil"/>
              <w:left w:val="nil"/>
              <w:bottom w:val="single" w:sz="4" w:space="0" w:color="auto"/>
              <w:right w:val="nil"/>
            </w:tcBorders>
            <w:shd w:val="clear" w:color="000000" w:fill="D9D9D9"/>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105,341,495</w:t>
            </w:r>
          </w:p>
        </w:tc>
      </w:tr>
      <w:tr w:rsidR="009143BF" w:rsidRPr="009143BF" w:rsidTr="009143BF">
        <w:trPr>
          <w:trHeight w:val="225"/>
        </w:trPr>
        <w:tc>
          <w:tcPr>
            <w:tcW w:w="4660" w:type="dxa"/>
            <w:tcBorders>
              <w:top w:val="nil"/>
              <w:left w:val="nil"/>
              <w:bottom w:val="single" w:sz="4" w:space="0" w:color="auto"/>
              <w:right w:val="nil"/>
            </w:tcBorders>
            <w:shd w:val="clear" w:color="auto" w:fill="auto"/>
            <w:noWrap/>
            <w:vAlign w:val="bottom"/>
            <w:hideMark/>
          </w:tcPr>
          <w:p w:rsidR="009143BF" w:rsidRPr="009143BF" w:rsidRDefault="009143BF" w:rsidP="009143BF">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rPr>
                <w:rFonts w:ascii="Times New Roman" w:hAnsi="Times New Roman"/>
                <w:color w:val="auto"/>
                <w:sz w:val="20"/>
                <w:szCs w:val="20"/>
              </w:rPr>
            </w:pPr>
          </w:p>
        </w:tc>
        <w:tc>
          <w:tcPr>
            <w:tcW w:w="1360" w:type="dxa"/>
            <w:tcBorders>
              <w:top w:val="nil"/>
              <w:left w:val="nil"/>
              <w:bottom w:val="nil"/>
              <w:right w:val="nil"/>
            </w:tcBorders>
            <w:shd w:val="clear" w:color="auto" w:fill="auto"/>
            <w:noWrap/>
            <w:vAlign w:val="bottom"/>
            <w:hideMark/>
          </w:tcPr>
          <w:p w:rsidR="009143BF" w:rsidRPr="009143BF" w:rsidRDefault="009143BF" w:rsidP="009143BF">
            <w:pPr>
              <w:spacing w:after="0"/>
              <w:rPr>
                <w:rFonts w:ascii="Times New Roman" w:hAnsi="Times New Roman"/>
                <w:color w:val="auto"/>
                <w:sz w:val="20"/>
                <w:szCs w:val="20"/>
              </w:rPr>
            </w:pPr>
          </w:p>
        </w:tc>
      </w:tr>
      <w:tr w:rsidR="009143BF" w:rsidRPr="009143BF" w:rsidTr="009143BF">
        <w:trPr>
          <w:trHeight w:val="225"/>
        </w:trPr>
        <w:tc>
          <w:tcPr>
            <w:tcW w:w="4660" w:type="dxa"/>
            <w:tcBorders>
              <w:top w:val="single" w:sz="4" w:space="0" w:color="auto"/>
              <w:left w:val="nil"/>
              <w:bottom w:val="nil"/>
              <w:right w:val="nil"/>
            </w:tcBorders>
            <w:shd w:val="clear" w:color="auto" w:fill="auto"/>
            <w:noWrap/>
            <w:vAlign w:val="bottom"/>
            <w:hideMark/>
          </w:tcPr>
          <w:p w:rsidR="009143BF" w:rsidRPr="009143BF" w:rsidRDefault="009143BF" w:rsidP="009143BF">
            <w:pPr>
              <w:spacing w:after="0"/>
              <w:jc w:val="right"/>
              <w:rPr>
                <w:rFonts w:ascii="Times New Roman" w:hAnsi="Times New Roman"/>
                <w:color w:val="auto"/>
                <w:sz w:val="20"/>
                <w:szCs w:val="20"/>
              </w:rPr>
            </w:pPr>
          </w:p>
        </w:tc>
        <w:tc>
          <w:tcPr>
            <w:tcW w:w="1360" w:type="dxa"/>
            <w:tcBorders>
              <w:top w:val="single" w:sz="4" w:space="0" w:color="auto"/>
              <w:left w:val="nil"/>
              <w:bottom w:val="nil"/>
              <w:right w:val="nil"/>
            </w:tcBorders>
            <w:shd w:val="clear" w:color="auto" w:fill="auto"/>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rsidR="009143BF" w:rsidRPr="009143BF" w:rsidRDefault="009143BF" w:rsidP="009143BF">
            <w:pPr>
              <w:spacing w:after="0"/>
              <w:jc w:val="right"/>
              <w:rPr>
                <w:rFonts w:ascii="Arial" w:hAnsi="Arial" w:cs="Arial"/>
                <w:b/>
                <w:bCs/>
                <w:color w:val="auto"/>
                <w:sz w:val="16"/>
                <w:szCs w:val="16"/>
              </w:rPr>
            </w:pPr>
            <w:r w:rsidRPr="009143BF">
              <w:rPr>
                <w:rFonts w:ascii="Arial" w:hAnsi="Arial" w:cs="Arial"/>
                <w:b/>
                <w:bCs/>
                <w:color w:val="auto"/>
                <w:sz w:val="16"/>
                <w:szCs w:val="16"/>
              </w:rPr>
              <w:t>2022-23</w:t>
            </w:r>
          </w:p>
        </w:tc>
      </w:tr>
      <w:tr w:rsidR="009143BF" w:rsidRPr="009143BF" w:rsidTr="009143BF">
        <w:trPr>
          <w:trHeight w:val="225"/>
        </w:trPr>
        <w:tc>
          <w:tcPr>
            <w:tcW w:w="4660" w:type="dxa"/>
            <w:tcBorders>
              <w:top w:val="nil"/>
              <w:left w:val="nil"/>
              <w:bottom w:val="single" w:sz="4" w:space="0" w:color="auto"/>
              <w:right w:val="nil"/>
            </w:tcBorders>
            <w:shd w:val="clear" w:color="auto" w:fill="auto"/>
            <w:noWrap/>
            <w:vAlign w:val="bottom"/>
            <w:hideMark/>
          </w:tcPr>
          <w:p w:rsidR="009143BF" w:rsidRPr="009143BF" w:rsidRDefault="009143BF" w:rsidP="009143BF">
            <w:pPr>
              <w:spacing w:after="0"/>
              <w:rPr>
                <w:rFonts w:ascii="Arial" w:hAnsi="Arial" w:cs="Arial"/>
                <w:b/>
                <w:bCs/>
                <w:sz w:val="16"/>
                <w:szCs w:val="16"/>
              </w:rPr>
            </w:pPr>
            <w:r w:rsidRPr="009143BF">
              <w:rPr>
                <w:rFonts w:ascii="Arial" w:hAnsi="Arial" w:cs="Arial"/>
                <w:b/>
                <w:bCs/>
                <w:sz w:val="16"/>
                <w:szCs w:val="16"/>
              </w:rPr>
              <w:t xml:space="preserve">Average </w:t>
            </w:r>
            <w:r w:rsidRPr="009143BF">
              <w:rPr>
                <w:rFonts w:ascii="Arial" w:hAnsi="Arial" w:cs="Arial"/>
                <w:b/>
                <w:bCs/>
                <w:color w:val="auto"/>
                <w:sz w:val="16"/>
                <w:szCs w:val="16"/>
              </w:rPr>
              <w:t>s</w:t>
            </w:r>
            <w:r w:rsidRPr="009143BF">
              <w:rPr>
                <w:rFonts w:ascii="Arial" w:hAnsi="Arial" w:cs="Arial"/>
                <w:b/>
                <w:bCs/>
                <w:sz w:val="16"/>
                <w:szCs w:val="16"/>
              </w:rPr>
              <w:t xml:space="preserve">taffing </w:t>
            </w:r>
            <w:r w:rsidRPr="009143BF">
              <w:rPr>
                <w:rFonts w:ascii="Arial" w:hAnsi="Arial" w:cs="Arial"/>
                <w:b/>
                <w:bCs/>
                <w:color w:val="auto"/>
                <w:sz w:val="16"/>
                <w:szCs w:val="16"/>
              </w:rPr>
              <w:t>l</w:t>
            </w:r>
            <w:r w:rsidRPr="009143BF">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rsidR="009143BF" w:rsidRPr="009143BF" w:rsidRDefault="009143BF" w:rsidP="009143BF">
            <w:pPr>
              <w:spacing w:after="0"/>
              <w:jc w:val="right"/>
              <w:rPr>
                <w:rFonts w:ascii="Arial" w:hAnsi="Arial" w:cs="Arial"/>
                <w:sz w:val="16"/>
                <w:szCs w:val="16"/>
              </w:rPr>
            </w:pPr>
            <w:r w:rsidRPr="009143BF">
              <w:rPr>
                <w:rFonts w:ascii="Arial" w:hAnsi="Arial" w:cs="Arial"/>
                <w:sz w:val="16"/>
                <w:szCs w:val="16"/>
              </w:rPr>
              <w:t>4,910</w:t>
            </w:r>
          </w:p>
        </w:tc>
        <w:tc>
          <w:tcPr>
            <w:tcW w:w="1360" w:type="dxa"/>
            <w:tcBorders>
              <w:top w:val="single" w:sz="4" w:space="0" w:color="auto"/>
              <w:left w:val="nil"/>
              <w:bottom w:val="single" w:sz="4" w:space="0" w:color="auto"/>
              <w:right w:val="nil"/>
            </w:tcBorders>
            <w:shd w:val="clear" w:color="000000" w:fill="D9D9D9"/>
            <w:noWrap/>
            <w:vAlign w:val="bottom"/>
            <w:hideMark/>
          </w:tcPr>
          <w:p w:rsidR="009143BF" w:rsidRPr="009143BF" w:rsidRDefault="009143BF" w:rsidP="009143BF">
            <w:pPr>
              <w:spacing w:after="0"/>
              <w:jc w:val="right"/>
              <w:rPr>
                <w:rFonts w:ascii="Arial" w:hAnsi="Arial" w:cs="Arial"/>
                <w:sz w:val="16"/>
                <w:szCs w:val="16"/>
              </w:rPr>
            </w:pPr>
            <w:r w:rsidRPr="009143BF">
              <w:rPr>
                <w:rFonts w:ascii="Arial" w:hAnsi="Arial" w:cs="Arial"/>
                <w:sz w:val="16"/>
                <w:szCs w:val="16"/>
              </w:rPr>
              <w:t>4,889</w:t>
            </w:r>
          </w:p>
        </w:tc>
      </w:tr>
    </w:tbl>
    <w:p w:rsidR="009143BF" w:rsidRPr="009143BF" w:rsidRDefault="009143BF" w:rsidP="009143BF">
      <w:pPr>
        <w:pStyle w:val="FootnoteText"/>
        <w:spacing w:before="120" w:after="0"/>
      </w:pPr>
      <w:r w:rsidRPr="009143BF">
        <w:t>All figures are GST exclusive.</w:t>
      </w:r>
    </w:p>
    <w:p w:rsidR="009143BF" w:rsidRPr="009143BF" w:rsidRDefault="009143BF" w:rsidP="009143BF">
      <w:pPr>
        <w:pStyle w:val="FootnoteText"/>
        <w:spacing w:after="0"/>
      </w:pPr>
      <w:r w:rsidRPr="009143BF">
        <w:t>Prepared on resourcing (i.e. appropriation available) basis.</w:t>
      </w:r>
    </w:p>
    <w:p w:rsidR="009143BF" w:rsidRPr="009143BF" w:rsidRDefault="009143BF" w:rsidP="009143BF">
      <w:pPr>
        <w:pStyle w:val="FootnoteText"/>
        <w:spacing w:after="0"/>
      </w:pPr>
      <w:r w:rsidRPr="009143BF">
        <w:t>(a)</w:t>
      </w:r>
      <w:r w:rsidR="00390166">
        <w:tab/>
      </w:r>
      <w:r w:rsidRPr="009143BF">
        <w:t xml:space="preserve">Appropriation Bill (No. 1) 2022–23 and </w:t>
      </w:r>
      <w:r w:rsidRPr="00390166">
        <w:rPr>
          <w:i/>
        </w:rPr>
        <w:t>Supply Act (No.1) 2022–23</w:t>
      </w:r>
      <w:r w:rsidRPr="009143BF">
        <w:t>.</w:t>
      </w:r>
    </w:p>
    <w:p w:rsidR="009143BF" w:rsidRPr="009143BF" w:rsidRDefault="009143BF" w:rsidP="009143BF">
      <w:pPr>
        <w:pStyle w:val="FootnoteText"/>
        <w:spacing w:after="0"/>
      </w:pPr>
      <w:r w:rsidRPr="009143BF">
        <w:t>(b)</w:t>
      </w:r>
      <w:r w:rsidR="00390166">
        <w:tab/>
      </w:r>
      <w:r w:rsidRPr="009143BF">
        <w:t xml:space="preserve">Estimated retained revenue receipts under section 74 of the </w:t>
      </w:r>
      <w:r w:rsidRPr="00390166">
        <w:rPr>
          <w:i/>
        </w:rPr>
        <w:t xml:space="preserve">Public Governance, Performance and Accountability Act 2013 </w:t>
      </w:r>
      <w:r w:rsidRPr="009143BF">
        <w:t>(PGPA Act).</w:t>
      </w:r>
    </w:p>
    <w:p w:rsidR="009143BF" w:rsidRPr="009143BF" w:rsidRDefault="009143BF" w:rsidP="009143BF">
      <w:pPr>
        <w:pStyle w:val="FootnoteText"/>
        <w:spacing w:after="0"/>
      </w:pPr>
      <w:r w:rsidRPr="009143BF">
        <w:t>(c)</w:t>
      </w:r>
      <w:r w:rsidR="00390166">
        <w:tab/>
      </w:r>
      <w:r w:rsidRPr="009143BF">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9143BF" w:rsidRPr="009143BF" w:rsidRDefault="009143BF" w:rsidP="009143BF">
      <w:pPr>
        <w:pStyle w:val="FootnoteText"/>
        <w:spacing w:after="0"/>
      </w:pPr>
      <w:r w:rsidRPr="009143BF">
        <w:t>(d)</w:t>
      </w:r>
      <w:r w:rsidR="00390166">
        <w:tab/>
      </w:r>
      <w:r w:rsidRPr="009143BF">
        <w:t xml:space="preserve">Appropriation Bill (No. 2) 2022–23 and </w:t>
      </w:r>
      <w:r w:rsidRPr="00390166">
        <w:rPr>
          <w:i/>
        </w:rPr>
        <w:t>Supply Act (No.2) 2022–23</w:t>
      </w:r>
      <w:r w:rsidRPr="009143BF">
        <w:t>.</w:t>
      </w:r>
    </w:p>
    <w:p w:rsidR="009143BF" w:rsidRPr="009143BF" w:rsidRDefault="009143BF" w:rsidP="009143BF">
      <w:pPr>
        <w:pStyle w:val="FootnoteText"/>
        <w:spacing w:after="0"/>
      </w:pPr>
      <w:r w:rsidRPr="009143BF">
        <w:t>(e)</w:t>
      </w:r>
      <w:r w:rsidR="00390166">
        <w:tab/>
      </w:r>
      <w:r w:rsidRPr="009143BF">
        <w:t xml:space="preserve">For further information on special appropriations and special accounts, please refer to </w:t>
      </w:r>
      <w:r w:rsidRPr="00390166">
        <w:rPr>
          <w:i/>
        </w:rPr>
        <w:t>Budget Paper No. 4 - Agency Resourcing</w:t>
      </w:r>
      <w:r w:rsidRPr="009143BF">
        <w:t>. Please also see Table 2.1 for further information on outcome and program expenses broken down by various funding sources, e.g. annual appropriations, special appropriations and special accounts.</w:t>
      </w:r>
    </w:p>
    <w:p w:rsidR="009143BF" w:rsidRPr="009143BF" w:rsidRDefault="009143BF" w:rsidP="009143BF">
      <w:pPr>
        <w:pStyle w:val="FootnoteText"/>
        <w:spacing w:after="0"/>
      </w:pPr>
      <w:r w:rsidRPr="009143BF">
        <w:t>(f)</w:t>
      </w:r>
      <w:r w:rsidR="00390166">
        <w:tab/>
      </w:r>
      <w:r w:rsidRPr="009143BF">
        <w:t>Excludes Services for Other Entities and Trust Moneys Special Account as this account is not considered resourcing for the Department of Health and Aged Care (Health).</w:t>
      </w:r>
    </w:p>
    <w:p w:rsidR="009143BF" w:rsidRPr="009143BF" w:rsidRDefault="009143BF" w:rsidP="009143BF">
      <w:pPr>
        <w:pStyle w:val="FootnoteText"/>
        <w:spacing w:after="0"/>
      </w:pPr>
      <w:r w:rsidRPr="009143BF">
        <w:t>(g)</w:t>
      </w:r>
      <w:r w:rsidR="00390166">
        <w:tab/>
      </w:r>
      <w:r w:rsidRPr="009143BF">
        <w:t>Amounts credited to the special account(s) from Health's annual and special appropriations.</w:t>
      </w:r>
    </w:p>
    <w:p w:rsidR="009143BF" w:rsidRPr="009143BF" w:rsidRDefault="009143BF" w:rsidP="009143BF">
      <w:pPr>
        <w:pStyle w:val="FootnoteText"/>
        <w:spacing w:after="0"/>
      </w:pPr>
      <w:r w:rsidRPr="009143BF">
        <w:t>(h)</w:t>
      </w:r>
      <w:r w:rsidR="00390166">
        <w:tab/>
      </w:r>
      <w:r w:rsidRPr="009143BF">
        <w:t>Appropriation receipts from Health annual and special appropriations included above.</w:t>
      </w:r>
    </w:p>
    <w:p w:rsidR="00D409E9" w:rsidRPr="009143BF" w:rsidRDefault="009143BF" w:rsidP="009143BF">
      <w:pPr>
        <w:pStyle w:val="FootnoteText"/>
        <w:spacing w:after="0"/>
      </w:pPr>
      <w:r w:rsidRPr="009143BF">
        <w:t>(</w:t>
      </w:r>
      <w:proofErr w:type="spellStart"/>
      <w:r w:rsidRPr="009143BF">
        <w:t>i</w:t>
      </w:r>
      <w:proofErr w:type="spellEnd"/>
      <w:r w:rsidRPr="009143BF">
        <w:t>)</w:t>
      </w:r>
      <w:r w:rsidR="00390166">
        <w:tab/>
      </w:r>
      <w:r w:rsidRPr="009143BF">
        <w:t>'Corporate entities' are corporate Commonwealth entities and Commonwealth companies as defined under the PGPA Act.</w:t>
      </w:r>
    </w:p>
    <w:p w:rsidR="00A14EB6" w:rsidRDefault="00A14EB6" w:rsidP="000D22DB">
      <w:pPr>
        <w:pStyle w:val="FootnoteText"/>
      </w:pPr>
      <w:r>
        <w:br w:type="page"/>
      </w:r>
    </w:p>
    <w:p w:rsidR="007D48FE" w:rsidRPr="007D48FE" w:rsidRDefault="00232F9B" w:rsidP="000D22DB">
      <w:pPr>
        <w:pStyle w:val="Heading3"/>
        <w:rPr>
          <w:smallCaps/>
        </w:rPr>
      </w:pPr>
      <w:r w:rsidRPr="007D48FE">
        <w:lastRenderedPageBreak/>
        <w:t>1.3</w:t>
      </w:r>
      <w:r w:rsidRPr="007D48FE">
        <w:tab/>
      </w:r>
      <w:bookmarkEnd w:id="10"/>
      <w:bookmarkEnd w:id="11"/>
      <w:r w:rsidR="007D48FE" w:rsidRPr="007D48FE">
        <w:t>Budget measures</w:t>
      </w:r>
    </w:p>
    <w:p w:rsidR="00232F9B" w:rsidRPr="00232F9B" w:rsidRDefault="00232F9B" w:rsidP="000D22DB">
      <w:r w:rsidRPr="00232F9B">
        <w:t xml:space="preserve">Budget measures in Part 1 relating to the Department of Health </w:t>
      </w:r>
      <w:r w:rsidR="00D409E9">
        <w:t xml:space="preserve">and Aged Care </w:t>
      </w:r>
      <w:r w:rsidRPr="00232F9B">
        <w:t>are detailed in</w:t>
      </w:r>
      <w:r w:rsidR="007D48FE">
        <w:t xml:space="preserve"> the October</w:t>
      </w:r>
      <w:r w:rsidRPr="00232F9B">
        <w:t xml:space="preserve"> </w:t>
      </w:r>
      <w:r w:rsidRPr="00A21E8B">
        <w:rPr>
          <w:i/>
        </w:rPr>
        <w:t>Budget Paper No. 2</w:t>
      </w:r>
      <w:r w:rsidRPr="00232F9B">
        <w:t xml:space="preserve"> and are summarised below.</w:t>
      </w:r>
    </w:p>
    <w:p w:rsidR="007D48FE" w:rsidRPr="000D22DB" w:rsidRDefault="007D48FE" w:rsidP="000D22DB">
      <w:pPr>
        <w:pStyle w:val="TableGraphic"/>
        <w:rPr>
          <w:rFonts w:ascii="Arial" w:hAnsi="Arial" w:cs="Arial"/>
          <w:b/>
          <w:sz w:val="20"/>
          <w:szCs w:val="20"/>
        </w:rPr>
      </w:pPr>
      <w:r w:rsidRPr="000D22DB">
        <w:rPr>
          <w:rFonts w:ascii="Arial" w:hAnsi="Arial" w:cs="Arial"/>
          <w:b/>
          <w:sz w:val="20"/>
          <w:szCs w:val="20"/>
        </w:rPr>
        <w:t>Table 1.2: Department of Health and Aged Care October 2022–23 Budget measures</w:t>
      </w:r>
    </w:p>
    <w:p w:rsidR="00D74BDA" w:rsidRPr="000D22DB" w:rsidRDefault="007D48FE" w:rsidP="000D22DB">
      <w:pPr>
        <w:pStyle w:val="TableGraphic"/>
        <w:rPr>
          <w:rFonts w:ascii="Arial" w:hAnsi="Arial" w:cs="Arial"/>
          <w:b/>
          <w:sz w:val="20"/>
          <w:szCs w:val="20"/>
        </w:rPr>
      </w:pPr>
      <w:r w:rsidRPr="000D22DB">
        <w:rPr>
          <w:rFonts w:ascii="Arial" w:hAnsi="Arial" w:cs="Arial"/>
          <w:b/>
          <w:sz w:val="20"/>
          <w:szCs w:val="20"/>
        </w:rPr>
        <w:t>Part 1: Measures announced since the 2022–23 March Budget</w:t>
      </w:r>
    </w:p>
    <w:tbl>
      <w:tblPr>
        <w:tblW w:w="7380" w:type="dxa"/>
        <w:tblLook w:val="04A0" w:firstRow="1" w:lastRow="0" w:firstColumn="1" w:lastColumn="0" w:noHBand="0" w:noVBand="1"/>
      </w:tblPr>
      <w:tblGrid>
        <w:gridCol w:w="2320"/>
        <w:gridCol w:w="460"/>
        <w:gridCol w:w="920"/>
        <w:gridCol w:w="920"/>
        <w:gridCol w:w="920"/>
        <w:gridCol w:w="920"/>
        <w:gridCol w:w="920"/>
      </w:tblGrid>
      <w:tr w:rsidR="00D74BDA" w:rsidRPr="00D74BDA" w:rsidTr="00D74BDA">
        <w:trPr>
          <w:trHeight w:val="170"/>
        </w:trPr>
        <w:tc>
          <w:tcPr>
            <w:tcW w:w="2780" w:type="dxa"/>
            <w:gridSpan w:val="2"/>
            <w:tcBorders>
              <w:top w:val="single" w:sz="4" w:space="0" w:color="000000"/>
              <w:left w:val="nil"/>
              <w:bottom w:val="nil"/>
              <w:right w:val="nil"/>
            </w:tcBorders>
            <w:shd w:val="clear" w:color="auto" w:fill="auto"/>
            <w:vAlign w:val="bottom"/>
            <w:hideMark/>
          </w:tcPr>
          <w:p w:rsidR="00D74BDA" w:rsidRPr="00D74BDA" w:rsidRDefault="00D74BDA" w:rsidP="00D74BDA">
            <w:pPr>
              <w:spacing w:before="40" w:after="0"/>
              <w:jc w:val="right"/>
              <w:rPr>
                <w:rFonts w:ascii="Arial" w:hAnsi="Arial" w:cs="Arial"/>
                <w:b/>
                <w:bCs/>
                <w:color w:val="auto"/>
                <w:sz w:val="16"/>
                <w:szCs w:val="16"/>
              </w:rPr>
            </w:pPr>
            <w:r w:rsidRPr="00D74BDA">
              <w:rPr>
                <w:rFonts w:ascii="Arial" w:hAnsi="Arial" w:cs="Arial"/>
                <w:b/>
                <w:bCs/>
                <w:color w:val="auto"/>
                <w:sz w:val="16"/>
                <w:szCs w:val="16"/>
              </w:rPr>
              <w:t xml:space="preserve">Outcome/ </w:t>
            </w:r>
            <w:r w:rsidRPr="00D74BDA">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D74BDA" w:rsidRPr="00D74BDA" w:rsidRDefault="00D74BDA" w:rsidP="00D74BDA">
            <w:pPr>
              <w:spacing w:before="40" w:after="0"/>
              <w:jc w:val="right"/>
              <w:rPr>
                <w:rFonts w:ascii="Arial" w:hAnsi="Arial" w:cs="Arial"/>
                <w:b/>
                <w:bCs/>
                <w:color w:val="auto"/>
                <w:sz w:val="16"/>
                <w:szCs w:val="16"/>
              </w:rPr>
            </w:pPr>
            <w:r w:rsidRPr="00D74BDA">
              <w:rPr>
                <w:rFonts w:ascii="Arial" w:hAnsi="Arial" w:cs="Arial"/>
                <w:b/>
                <w:bCs/>
                <w:color w:val="auto"/>
                <w:sz w:val="16"/>
                <w:szCs w:val="16"/>
              </w:rPr>
              <w:t>2021–22</w:t>
            </w:r>
            <w:r w:rsidRPr="00D74BDA">
              <w:rPr>
                <w:rFonts w:ascii="Arial" w:hAnsi="Arial" w:cs="Arial"/>
                <w:b/>
                <w:bCs/>
                <w:color w:val="auto"/>
                <w:sz w:val="16"/>
                <w:szCs w:val="16"/>
              </w:rPr>
              <w:br/>
            </w:r>
            <w:r w:rsidRPr="00D74BDA">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D74BDA" w:rsidRPr="00D74BDA" w:rsidRDefault="00D74BDA" w:rsidP="00D74BDA">
            <w:pPr>
              <w:spacing w:before="40" w:after="0"/>
              <w:jc w:val="right"/>
              <w:rPr>
                <w:rFonts w:ascii="Arial" w:hAnsi="Arial" w:cs="Arial"/>
                <w:b/>
                <w:bCs/>
                <w:color w:val="auto"/>
                <w:sz w:val="16"/>
                <w:szCs w:val="16"/>
              </w:rPr>
            </w:pPr>
            <w:r w:rsidRPr="00D74BDA">
              <w:rPr>
                <w:rFonts w:ascii="Arial" w:hAnsi="Arial" w:cs="Arial"/>
                <w:b/>
                <w:bCs/>
                <w:color w:val="auto"/>
                <w:sz w:val="16"/>
                <w:szCs w:val="16"/>
              </w:rPr>
              <w:t>2022–23</w:t>
            </w:r>
            <w:r w:rsidRPr="00D74BDA">
              <w:rPr>
                <w:rFonts w:ascii="Arial" w:hAnsi="Arial" w:cs="Arial"/>
                <w:b/>
                <w:bCs/>
                <w:color w:val="auto"/>
                <w:sz w:val="16"/>
                <w:szCs w:val="16"/>
              </w:rPr>
              <w:br/>
            </w:r>
            <w:r w:rsidRPr="00D74BDA">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D74BDA" w:rsidRPr="00D74BDA" w:rsidRDefault="00D74BDA" w:rsidP="00D74BDA">
            <w:pPr>
              <w:spacing w:before="40" w:after="0"/>
              <w:jc w:val="right"/>
              <w:rPr>
                <w:rFonts w:ascii="Arial" w:hAnsi="Arial" w:cs="Arial"/>
                <w:b/>
                <w:bCs/>
                <w:color w:val="auto"/>
                <w:sz w:val="16"/>
                <w:szCs w:val="16"/>
              </w:rPr>
            </w:pPr>
            <w:r w:rsidRPr="00D74BDA">
              <w:rPr>
                <w:rFonts w:ascii="Arial" w:hAnsi="Arial" w:cs="Arial"/>
                <w:b/>
                <w:bCs/>
                <w:color w:val="auto"/>
                <w:sz w:val="16"/>
                <w:szCs w:val="16"/>
              </w:rPr>
              <w:t>2023–24</w:t>
            </w:r>
            <w:r w:rsidRPr="00D74BDA">
              <w:rPr>
                <w:rFonts w:ascii="Arial" w:hAnsi="Arial" w:cs="Arial"/>
                <w:b/>
                <w:bCs/>
                <w:color w:val="auto"/>
                <w:sz w:val="16"/>
                <w:szCs w:val="16"/>
              </w:rPr>
              <w:br/>
            </w:r>
            <w:r w:rsidRPr="00D74BDA">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D74BDA" w:rsidRPr="00D74BDA" w:rsidRDefault="00D74BDA" w:rsidP="00D74BDA">
            <w:pPr>
              <w:spacing w:before="40" w:after="0"/>
              <w:jc w:val="right"/>
              <w:rPr>
                <w:rFonts w:ascii="Arial" w:hAnsi="Arial" w:cs="Arial"/>
                <w:b/>
                <w:bCs/>
                <w:color w:val="auto"/>
                <w:sz w:val="16"/>
                <w:szCs w:val="16"/>
              </w:rPr>
            </w:pPr>
            <w:r w:rsidRPr="00D74BDA">
              <w:rPr>
                <w:rFonts w:ascii="Arial" w:hAnsi="Arial" w:cs="Arial"/>
                <w:b/>
                <w:bCs/>
                <w:color w:val="auto"/>
                <w:sz w:val="16"/>
                <w:szCs w:val="16"/>
              </w:rPr>
              <w:t>2024–25</w:t>
            </w:r>
            <w:r w:rsidRPr="00D74BDA">
              <w:rPr>
                <w:rFonts w:ascii="Arial" w:hAnsi="Arial" w:cs="Arial"/>
                <w:b/>
                <w:bCs/>
                <w:color w:val="auto"/>
                <w:sz w:val="16"/>
                <w:szCs w:val="16"/>
              </w:rPr>
              <w:br/>
            </w:r>
            <w:r w:rsidRPr="00D74BDA">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D74BDA" w:rsidRPr="00D74BDA" w:rsidRDefault="00D74BDA" w:rsidP="00D74BDA">
            <w:pPr>
              <w:spacing w:before="40" w:after="0"/>
              <w:jc w:val="right"/>
              <w:rPr>
                <w:rFonts w:ascii="Arial" w:hAnsi="Arial" w:cs="Arial"/>
                <w:b/>
                <w:bCs/>
                <w:color w:val="auto"/>
                <w:sz w:val="16"/>
                <w:szCs w:val="16"/>
              </w:rPr>
            </w:pPr>
            <w:r w:rsidRPr="00D74BDA">
              <w:rPr>
                <w:rFonts w:ascii="Arial" w:hAnsi="Arial" w:cs="Arial"/>
                <w:b/>
                <w:bCs/>
                <w:color w:val="auto"/>
                <w:sz w:val="16"/>
                <w:szCs w:val="16"/>
              </w:rPr>
              <w:t>2025–26</w:t>
            </w:r>
            <w:r w:rsidRPr="00D74BDA">
              <w:rPr>
                <w:rFonts w:ascii="Arial" w:hAnsi="Arial" w:cs="Arial"/>
                <w:b/>
                <w:bCs/>
                <w:color w:val="auto"/>
                <w:sz w:val="16"/>
                <w:szCs w:val="16"/>
              </w:rPr>
              <w:br/>
            </w:r>
            <w:r w:rsidRPr="00D74BDA">
              <w:rPr>
                <w:rFonts w:ascii="Arial" w:hAnsi="Arial" w:cs="Arial"/>
                <w:color w:val="auto"/>
                <w:sz w:val="16"/>
                <w:szCs w:val="16"/>
              </w:rPr>
              <w:t>$'000</w:t>
            </w:r>
          </w:p>
        </w:tc>
      </w:tr>
      <w:tr w:rsidR="00D74BDA" w:rsidRPr="00D74BDA" w:rsidTr="00D74BDA">
        <w:trPr>
          <w:trHeight w:val="283"/>
        </w:trPr>
        <w:tc>
          <w:tcPr>
            <w:tcW w:w="7380" w:type="dxa"/>
            <w:gridSpan w:val="7"/>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2022 Channel 7 Perth Telethon</w:t>
            </w:r>
          </w:p>
        </w:tc>
      </w:tr>
      <w:tr w:rsidR="00D74BDA" w:rsidRPr="00D74BDA" w:rsidTr="00D74BDA">
        <w:trPr>
          <w:trHeight w:val="397"/>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4,700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4,700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r>
      <w:tr w:rsidR="00D74BDA" w:rsidRPr="00D74BDA" w:rsidTr="00D74BDA">
        <w:trPr>
          <w:trHeight w:val="283"/>
        </w:trPr>
        <w:tc>
          <w:tcPr>
            <w:tcW w:w="7380" w:type="dxa"/>
            <w:gridSpan w:val="7"/>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Australian Centre for Disease Control — design and consultation</w:t>
            </w:r>
            <w:r w:rsidRPr="00D74BDA">
              <w:rPr>
                <w:rFonts w:ascii="Arial" w:hAnsi="Arial" w:cs="Arial"/>
                <w:b/>
                <w:bCs/>
                <w:color w:val="auto"/>
                <w:sz w:val="16"/>
                <w:szCs w:val="16"/>
                <w:vertAlign w:val="superscript"/>
              </w:rPr>
              <w:t xml:space="preserve"> (a)</w:t>
            </w:r>
          </w:p>
        </w:tc>
      </w:tr>
      <w:tr w:rsidR="00D74BDA" w:rsidRPr="00D74BDA" w:rsidTr="00D74BDA">
        <w:trPr>
          <w:trHeight w:val="397"/>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1,675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1,675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r>
      <w:tr w:rsidR="00D74BDA" w:rsidRPr="00D74BDA" w:rsidTr="00D74BDA">
        <w:trPr>
          <w:trHeight w:val="283"/>
        </w:trPr>
        <w:tc>
          <w:tcPr>
            <w:tcW w:w="7380" w:type="dxa"/>
            <w:gridSpan w:val="7"/>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 xml:space="preserve">Bentley </w:t>
            </w:r>
            <w:proofErr w:type="spellStart"/>
            <w:r w:rsidRPr="00D74BDA">
              <w:rPr>
                <w:rFonts w:ascii="Arial" w:hAnsi="Arial" w:cs="Arial"/>
                <w:b/>
                <w:bCs/>
                <w:color w:val="auto"/>
                <w:sz w:val="16"/>
                <w:szCs w:val="16"/>
              </w:rPr>
              <w:t>Surgicentre</w:t>
            </w:r>
            <w:proofErr w:type="spellEnd"/>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600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15,000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17,500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600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15,000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17,500 </w:t>
            </w:r>
          </w:p>
        </w:tc>
      </w:tr>
      <w:tr w:rsidR="00D74BDA" w:rsidRPr="00D74BDA" w:rsidTr="00D74BDA">
        <w:trPr>
          <w:trHeight w:val="283"/>
        </w:trPr>
        <w:tc>
          <w:tcPr>
            <w:tcW w:w="7380" w:type="dxa"/>
            <w:gridSpan w:val="7"/>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Comprehensive Cancer Centres</w:t>
            </w:r>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22,000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28,000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95,000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103,500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22,000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28,000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95,000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103,500 </w:t>
            </w:r>
          </w:p>
        </w:tc>
      </w:tr>
      <w:tr w:rsidR="00D74BDA" w:rsidRPr="00D74BDA" w:rsidTr="00D74BDA">
        <w:trPr>
          <w:trHeight w:val="283"/>
        </w:trPr>
        <w:tc>
          <w:tcPr>
            <w:tcW w:w="7380" w:type="dxa"/>
            <w:gridSpan w:val="7"/>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Continuation of the National Sports Tribunal</w:t>
            </w:r>
          </w:p>
        </w:tc>
      </w:tr>
      <w:tr w:rsidR="00D74BDA" w:rsidRPr="00D74BDA" w:rsidTr="00D74BDA">
        <w:trPr>
          <w:trHeight w:val="397"/>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4.1</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851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591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882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564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2,449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2,476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2,498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564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3,300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3,067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3,380 </w:t>
            </w:r>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0A07C8">
            <w:pPr>
              <w:spacing w:after="0"/>
              <w:ind w:leftChars="75" w:left="143"/>
              <w:rPr>
                <w:rFonts w:ascii="Arial" w:hAnsi="Arial" w:cs="Arial"/>
                <w:i/>
                <w:iCs/>
                <w:color w:val="auto"/>
                <w:sz w:val="16"/>
                <w:szCs w:val="16"/>
              </w:rPr>
            </w:pPr>
            <w:r w:rsidRPr="00D74BDA">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w:t>
            </w:r>
          </w:p>
        </w:tc>
      </w:tr>
      <w:tr w:rsidR="00D74BDA" w:rsidRPr="00D74BDA" w:rsidTr="00D74BDA">
        <w:trPr>
          <w:trHeight w:val="397"/>
        </w:trPr>
        <w:tc>
          <w:tcPr>
            <w:tcW w:w="2320" w:type="dxa"/>
            <w:tcBorders>
              <w:top w:val="nil"/>
              <w:left w:val="nil"/>
              <w:bottom w:val="nil"/>
              <w:right w:val="nil"/>
            </w:tcBorders>
            <w:shd w:val="clear" w:color="auto" w:fill="auto"/>
            <w:vAlign w:val="bottom"/>
            <w:hideMark/>
          </w:tcPr>
          <w:p w:rsidR="00D74BDA" w:rsidRPr="00D74BDA" w:rsidRDefault="00D74BDA" w:rsidP="000A07C8">
            <w:pPr>
              <w:spacing w:after="0"/>
              <w:ind w:leftChars="75" w:left="143"/>
              <w:rPr>
                <w:rFonts w:ascii="Arial" w:hAnsi="Arial" w:cs="Arial"/>
                <w:i/>
                <w:iCs/>
                <w:color w:val="auto"/>
                <w:sz w:val="16"/>
                <w:szCs w:val="16"/>
              </w:rPr>
            </w:pPr>
            <w:r w:rsidRPr="00D74BDA">
              <w:rPr>
                <w:rFonts w:ascii="Arial" w:hAnsi="Arial" w:cs="Arial"/>
                <w:i/>
                <w:iCs/>
                <w:color w:val="auto"/>
                <w:sz w:val="16"/>
                <w:szCs w:val="16"/>
              </w:rPr>
              <w:t>Department of Health and Aged Care</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ind w:firstLineChars="100" w:firstLine="160"/>
              <w:rPr>
                <w:rFonts w:ascii="Arial" w:hAnsi="Arial" w:cs="Arial"/>
                <w:i/>
                <w:iCs/>
                <w:color w:val="auto"/>
                <w:sz w:val="16"/>
                <w:szCs w:val="16"/>
              </w:rPr>
            </w:pPr>
          </w:p>
        </w:tc>
        <w:tc>
          <w:tcPr>
            <w:tcW w:w="920" w:type="dxa"/>
            <w:tcBorders>
              <w:top w:val="nil"/>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i/>
                <w:iCs/>
                <w:color w:val="auto"/>
                <w:sz w:val="16"/>
                <w:szCs w:val="16"/>
              </w:rPr>
            </w:pPr>
            <w:r w:rsidRPr="00D74BDA">
              <w:rPr>
                <w:rFonts w:ascii="Arial" w:hAnsi="Arial" w:cs="Arial"/>
                <w:i/>
                <w:iCs/>
                <w:color w:val="auto"/>
                <w:sz w:val="16"/>
                <w:szCs w:val="16"/>
              </w:rPr>
              <w:t xml:space="preserve">- </w:t>
            </w:r>
          </w:p>
        </w:tc>
        <w:tc>
          <w:tcPr>
            <w:tcW w:w="920" w:type="dxa"/>
            <w:tcBorders>
              <w:top w:val="nil"/>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i/>
                <w:iCs/>
                <w:color w:val="auto"/>
                <w:sz w:val="16"/>
                <w:szCs w:val="16"/>
              </w:rPr>
            </w:pPr>
            <w:r w:rsidRPr="00D74BDA">
              <w:rPr>
                <w:rFonts w:ascii="Arial" w:hAnsi="Arial" w:cs="Arial"/>
                <w:i/>
                <w:iCs/>
                <w:color w:val="auto"/>
                <w:sz w:val="16"/>
                <w:szCs w:val="16"/>
              </w:rPr>
              <w:t xml:space="preserve">134 </w:t>
            </w:r>
          </w:p>
        </w:tc>
        <w:tc>
          <w:tcPr>
            <w:tcW w:w="920" w:type="dxa"/>
            <w:tcBorders>
              <w:top w:val="nil"/>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i/>
                <w:iCs/>
                <w:color w:val="auto"/>
                <w:sz w:val="16"/>
                <w:szCs w:val="16"/>
              </w:rPr>
            </w:pPr>
            <w:r w:rsidRPr="00D74BDA">
              <w:rPr>
                <w:rFonts w:ascii="Arial" w:hAnsi="Arial" w:cs="Arial"/>
                <w:i/>
                <w:iCs/>
                <w:color w:val="auto"/>
                <w:sz w:val="16"/>
                <w:szCs w:val="16"/>
              </w:rPr>
              <w:t xml:space="preserve">183 </w:t>
            </w:r>
          </w:p>
        </w:tc>
        <w:tc>
          <w:tcPr>
            <w:tcW w:w="920" w:type="dxa"/>
            <w:tcBorders>
              <w:top w:val="nil"/>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i/>
                <w:iCs/>
                <w:color w:val="auto"/>
                <w:sz w:val="16"/>
                <w:szCs w:val="16"/>
              </w:rPr>
            </w:pPr>
            <w:r w:rsidRPr="00D74BDA">
              <w:rPr>
                <w:rFonts w:ascii="Arial" w:hAnsi="Arial" w:cs="Arial"/>
                <w:i/>
                <w:iCs/>
                <w:color w:val="auto"/>
                <w:sz w:val="16"/>
                <w:szCs w:val="16"/>
              </w:rPr>
              <w:t xml:space="preserve">269 </w:t>
            </w:r>
          </w:p>
        </w:tc>
        <w:tc>
          <w:tcPr>
            <w:tcW w:w="920" w:type="dxa"/>
            <w:tcBorders>
              <w:top w:val="nil"/>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i/>
                <w:iCs/>
                <w:color w:val="auto"/>
                <w:sz w:val="16"/>
                <w:szCs w:val="16"/>
              </w:rPr>
            </w:pPr>
            <w:r w:rsidRPr="00D74BDA">
              <w:rPr>
                <w:rFonts w:ascii="Arial" w:hAnsi="Arial" w:cs="Arial"/>
                <w:i/>
                <w:iCs/>
                <w:color w:val="auto"/>
                <w:sz w:val="16"/>
                <w:szCs w:val="16"/>
              </w:rPr>
              <w:t xml:space="preserve">349 </w:t>
            </w:r>
          </w:p>
        </w:tc>
      </w:tr>
      <w:tr w:rsidR="00D74BDA" w:rsidRPr="00D74BDA" w:rsidTr="00D74BDA">
        <w:trPr>
          <w:trHeight w:val="283"/>
        </w:trPr>
        <w:tc>
          <w:tcPr>
            <w:tcW w:w="7380" w:type="dxa"/>
            <w:gridSpan w:val="7"/>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COVID-19 Package — aged care</w:t>
            </w:r>
            <w:r w:rsidRPr="00D74BDA">
              <w:rPr>
                <w:rFonts w:ascii="Arial" w:hAnsi="Arial" w:cs="Arial"/>
                <w:b/>
                <w:bCs/>
                <w:color w:val="auto"/>
                <w:sz w:val="16"/>
                <w:szCs w:val="16"/>
                <w:vertAlign w:val="superscript"/>
              </w:rPr>
              <w:t xml:space="preserve"> (a)</w:t>
            </w:r>
          </w:p>
        </w:tc>
      </w:tr>
      <w:tr w:rsidR="00D74BDA" w:rsidRPr="00D74BDA" w:rsidTr="00D74BDA">
        <w:trPr>
          <w:trHeight w:val="397"/>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34,490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801,453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8,762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83"/>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120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83"/>
        </w:trPr>
        <w:tc>
          <w:tcPr>
            <w:tcW w:w="2320" w:type="dxa"/>
            <w:tcBorders>
              <w:top w:val="nil"/>
              <w:left w:val="nil"/>
              <w:bottom w:val="nil"/>
              <w:right w:val="nil"/>
            </w:tcBorders>
            <w:shd w:val="clear" w:color="auto" w:fill="auto"/>
            <w:vAlign w:val="bottom"/>
            <w:hideMark/>
          </w:tcPr>
          <w:p w:rsidR="00D74BDA" w:rsidRPr="00D74BDA" w:rsidRDefault="00D74BDA" w:rsidP="00D74BDA">
            <w:pPr>
              <w:spacing w:after="0"/>
              <w:rPr>
                <w:rFonts w:ascii="Arial" w:hAnsi="Arial" w:cs="Arial"/>
                <w:color w:val="auto"/>
                <w:sz w:val="16"/>
                <w:szCs w:val="16"/>
              </w:rPr>
            </w:pPr>
            <w:r w:rsidRPr="00D74BDA">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Times New Roman" w:hAnsi="Times New Roman"/>
                <w:color w:val="auto"/>
                <w:sz w:val="20"/>
                <w:szCs w:val="20"/>
              </w:rPr>
            </w:pP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0A07C8">
            <w:pPr>
              <w:spacing w:after="0"/>
              <w:ind w:leftChars="75" w:left="143"/>
              <w:rPr>
                <w:rFonts w:ascii="Arial" w:hAnsi="Arial" w:cs="Arial"/>
                <w:color w:val="auto"/>
                <w:sz w:val="16"/>
                <w:szCs w:val="16"/>
              </w:rPr>
            </w:pPr>
            <w:r w:rsidRPr="00D74BDA">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299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D74BDA" w:rsidRPr="00D74BDA" w:rsidRDefault="00D74BDA" w:rsidP="00D74BDA">
            <w:pPr>
              <w:spacing w:after="0"/>
              <w:jc w:val="right"/>
              <w:rPr>
                <w:rFonts w:ascii="Arial" w:hAnsi="Arial" w:cs="Arial"/>
                <w:color w:val="auto"/>
                <w:sz w:val="16"/>
                <w:szCs w:val="16"/>
              </w:rPr>
            </w:pPr>
            <w:r w:rsidRPr="00D74BDA">
              <w:rPr>
                <w:rFonts w:ascii="Arial" w:hAnsi="Arial" w:cs="Arial"/>
                <w:color w:val="auto"/>
                <w:sz w:val="16"/>
                <w:szCs w:val="16"/>
              </w:rPr>
              <w:t xml:space="preserve">- </w:t>
            </w:r>
          </w:p>
        </w:tc>
      </w:tr>
      <w:tr w:rsidR="00D74BDA" w:rsidRPr="00D74BDA" w:rsidTr="00D74BDA">
        <w:trPr>
          <w:trHeight w:val="225"/>
        </w:trPr>
        <w:tc>
          <w:tcPr>
            <w:tcW w:w="232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r w:rsidRPr="00D74BDA">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D74BDA" w:rsidRPr="00D74BDA" w:rsidRDefault="00D74BDA" w:rsidP="00D74BDA">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845,124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D74BDA" w:rsidRPr="00D74BDA" w:rsidRDefault="00D74BDA" w:rsidP="00D74BDA">
            <w:pPr>
              <w:spacing w:after="0"/>
              <w:jc w:val="right"/>
              <w:rPr>
                <w:rFonts w:ascii="Arial" w:hAnsi="Arial" w:cs="Arial"/>
                <w:b/>
                <w:bCs/>
                <w:color w:val="auto"/>
                <w:sz w:val="16"/>
                <w:szCs w:val="16"/>
              </w:rPr>
            </w:pPr>
            <w:r w:rsidRPr="00D74BDA">
              <w:rPr>
                <w:rFonts w:ascii="Arial" w:hAnsi="Arial" w:cs="Arial"/>
                <w:b/>
                <w:bCs/>
                <w:color w:val="auto"/>
                <w:sz w:val="16"/>
                <w:szCs w:val="16"/>
              </w:rPr>
              <w:t xml:space="preserve">- </w:t>
            </w:r>
          </w:p>
        </w:tc>
      </w:tr>
    </w:tbl>
    <w:p w:rsidR="00D74BDA" w:rsidRDefault="00D74BDA">
      <w:pPr>
        <w:spacing w:after="0"/>
        <w:rPr>
          <w:rFonts w:ascii="Arial" w:hAnsi="Arial" w:cs="Arial"/>
          <w:b/>
          <w:sz w:val="20"/>
          <w:szCs w:val="18"/>
        </w:rPr>
      </w:pPr>
      <w:r>
        <w:rPr>
          <w:sz w:val="20"/>
        </w:rPr>
        <w:br w:type="page"/>
      </w:r>
    </w:p>
    <w:p w:rsidR="000A07C8" w:rsidRPr="0021020D" w:rsidRDefault="007D48FE" w:rsidP="000D22DB">
      <w:pPr>
        <w:pStyle w:val="Tablenumberandreference"/>
        <w:rPr>
          <w:sz w:val="20"/>
        </w:rPr>
      </w:pPr>
      <w:r w:rsidRPr="0021020D">
        <w:rPr>
          <w:sz w:val="20"/>
        </w:rPr>
        <w:lastRenderedPageBreak/>
        <w:t xml:space="preserve">Table 1.2: Department of Health and Aged Care October 2022–23 Budget measures </w:t>
      </w:r>
      <w:r w:rsidR="00232F9B" w:rsidRPr="0021020D">
        <w:rPr>
          <w:sz w:val="20"/>
        </w:rPr>
        <w:t>(continued)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0A07C8" w:rsidRPr="000A07C8" w:rsidTr="000A07C8">
        <w:trPr>
          <w:trHeight w:val="227"/>
        </w:trPr>
        <w:tc>
          <w:tcPr>
            <w:tcW w:w="2780" w:type="dxa"/>
            <w:gridSpan w:val="2"/>
            <w:tcBorders>
              <w:top w:val="single" w:sz="4" w:space="0" w:color="000000"/>
              <w:left w:val="nil"/>
              <w:bottom w:val="nil"/>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 xml:space="preserve">Outcome/ </w:t>
            </w:r>
            <w:r w:rsidRPr="000A07C8">
              <w:rPr>
                <w:rFonts w:ascii="Arial" w:hAnsi="Arial" w:cs="Arial"/>
                <w:b/>
                <w:bCs/>
                <w:color w:val="auto"/>
                <w:sz w:val="16"/>
                <w:szCs w:val="16"/>
              </w:rPr>
              <w:br w:type="page"/>
            </w:r>
            <w:r w:rsidR="00457A85">
              <w:rPr>
                <w:rFonts w:ascii="Arial" w:hAnsi="Arial" w:cs="Arial"/>
                <w:b/>
                <w:bCs/>
                <w:color w:val="auto"/>
                <w:sz w:val="16"/>
                <w:szCs w:val="16"/>
              </w:rPr>
              <w:br/>
            </w:r>
            <w:r w:rsidRPr="000A07C8">
              <w:rPr>
                <w:rFonts w:ascii="Arial" w:hAnsi="Arial" w:cs="Arial"/>
                <w:b/>
                <w:bCs/>
                <w:color w:val="auto"/>
                <w:sz w:val="16"/>
                <w:szCs w:val="16"/>
              </w:rPr>
              <w:t>Program</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2021–22</w:t>
            </w:r>
            <w:r w:rsidRPr="000A07C8">
              <w:rPr>
                <w:rFonts w:ascii="Arial" w:hAnsi="Arial" w:cs="Arial"/>
                <w:b/>
                <w:bCs/>
                <w:color w:val="auto"/>
                <w:sz w:val="16"/>
                <w:szCs w:val="16"/>
              </w:rPr>
              <w:br w:type="page"/>
            </w:r>
            <w:r>
              <w:rPr>
                <w:rFonts w:ascii="Arial" w:hAnsi="Arial" w:cs="Arial"/>
                <w:b/>
                <w:bCs/>
                <w:color w:val="auto"/>
                <w:sz w:val="16"/>
                <w:szCs w:val="16"/>
              </w:rPr>
              <w:br/>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2022–23</w:t>
            </w:r>
            <w:r w:rsidRPr="000A07C8">
              <w:rPr>
                <w:rFonts w:ascii="Arial" w:hAnsi="Arial" w:cs="Arial"/>
                <w:b/>
                <w:bCs/>
                <w:color w:val="auto"/>
                <w:sz w:val="16"/>
                <w:szCs w:val="16"/>
              </w:rPr>
              <w:br w:type="page"/>
            </w:r>
            <w:r>
              <w:rPr>
                <w:rFonts w:ascii="Arial" w:hAnsi="Arial" w:cs="Arial"/>
                <w:b/>
                <w:bCs/>
                <w:color w:val="auto"/>
                <w:sz w:val="16"/>
                <w:szCs w:val="16"/>
              </w:rPr>
              <w:br/>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2023–24</w:t>
            </w:r>
            <w:r>
              <w:rPr>
                <w:rFonts w:ascii="Arial" w:hAnsi="Arial" w:cs="Arial"/>
                <w:b/>
                <w:bCs/>
                <w:color w:val="auto"/>
                <w:sz w:val="16"/>
                <w:szCs w:val="16"/>
              </w:rPr>
              <w:br/>
            </w:r>
            <w:r w:rsidRPr="000A07C8">
              <w:rPr>
                <w:rFonts w:ascii="Arial" w:hAnsi="Arial" w:cs="Arial"/>
                <w:b/>
                <w:bCs/>
                <w:color w:val="auto"/>
                <w:sz w:val="16"/>
                <w:szCs w:val="16"/>
              </w:rPr>
              <w:br w:type="page"/>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2024–25</w:t>
            </w:r>
            <w:r>
              <w:rPr>
                <w:rFonts w:ascii="Arial" w:hAnsi="Arial" w:cs="Arial"/>
                <w:b/>
                <w:bCs/>
                <w:color w:val="auto"/>
                <w:sz w:val="16"/>
                <w:szCs w:val="16"/>
              </w:rPr>
              <w:br/>
            </w:r>
            <w:r w:rsidRPr="000A07C8">
              <w:rPr>
                <w:rFonts w:ascii="Arial" w:hAnsi="Arial" w:cs="Arial"/>
                <w:b/>
                <w:bCs/>
                <w:color w:val="auto"/>
                <w:sz w:val="16"/>
                <w:szCs w:val="16"/>
              </w:rPr>
              <w:br w:type="page"/>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2025–26</w:t>
            </w:r>
            <w:r>
              <w:rPr>
                <w:rFonts w:ascii="Arial" w:hAnsi="Arial" w:cs="Arial"/>
                <w:b/>
                <w:bCs/>
                <w:color w:val="auto"/>
                <w:sz w:val="16"/>
                <w:szCs w:val="16"/>
              </w:rPr>
              <w:br/>
            </w:r>
            <w:r w:rsidRPr="000A07C8">
              <w:rPr>
                <w:rFonts w:ascii="Arial" w:hAnsi="Arial" w:cs="Arial"/>
                <w:b/>
                <w:bCs/>
                <w:color w:val="auto"/>
                <w:sz w:val="16"/>
                <w:szCs w:val="16"/>
              </w:rPr>
              <w:br w:type="page"/>
            </w:r>
            <w:r w:rsidRPr="000A07C8">
              <w:rPr>
                <w:rFonts w:ascii="Arial" w:hAnsi="Arial" w:cs="Arial"/>
                <w:color w:val="auto"/>
                <w:sz w:val="16"/>
                <w:szCs w:val="16"/>
              </w:rPr>
              <w:t>$'000</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COVID-19 Package — hospitals and emergency response</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47,967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300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r>
      <w:tr w:rsidR="000A07C8" w:rsidRPr="000A07C8" w:rsidTr="000A07C8">
        <w:trPr>
          <w:trHeight w:val="283"/>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759,905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808,172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COVID-19 Package — Medicare and medicines</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159,702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780" w:type="dxa"/>
            <w:gridSpan w:val="2"/>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1,313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1,423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162,438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COVID-19 Package — personal protective equipment and rapid antigen tests</w:t>
            </w:r>
            <w:r w:rsidRPr="000A07C8">
              <w:rPr>
                <w:rFonts w:ascii="Arial" w:hAnsi="Arial" w:cs="Arial"/>
                <w:b/>
                <w:bCs/>
                <w:color w:val="auto"/>
                <w:sz w:val="16"/>
                <w:szCs w:val="16"/>
                <w:vertAlign w:val="superscript"/>
              </w:rPr>
              <w:t xml:space="preserve"> (b)</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COVID-19 Package — vaccines and treatments</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(4,161)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(1,843)</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26,343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247,248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63,884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capital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720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16,064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780" w:type="dxa"/>
            <w:gridSpan w:val="2"/>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2,969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4,536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355,760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bl>
    <w:p w:rsidR="00A6223E" w:rsidRDefault="00A6223E" w:rsidP="000D22DB">
      <w:pPr>
        <w:rPr>
          <w:rFonts w:ascii="Arial" w:hAnsi="Arial" w:cs="Arial"/>
          <w:szCs w:val="18"/>
        </w:rPr>
      </w:pPr>
      <w:bookmarkStart w:id="12" w:name="_Toc479762909"/>
      <w:bookmarkStart w:id="13" w:name="_Toc481865385"/>
      <w:r>
        <w:br w:type="page"/>
      </w:r>
    </w:p>
    <w:p w:rsidR="000A07C8"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232F9B" w:rsidRPr="00F277A4">
        <w:rPr>
          <w:sz w:val="20"/>
        </w:rPr>
        <w:t>(continued)</w:t>
      </w:r>
    </w:p>
    <w:tbl>
      <w:tblPr>
        <w:tblW w:w="7380" w:type="dxa"/>
        <w:tblLook w:val="04A0" w:firstRow="1" w:lastRow="0" w:firstColumn="1" w:lastColumn="0" w:noHBand="0" w:noVBand="1"/>
      </w:tblPr>
      <w:tblGrid>
        <w:gridCol w:w="2516"/>
        <w:gridCol w:w="439"/>
        <w:gridCol w:w="870"/>
        <w:gridCol w:w="887"/>
        <w:gridCol w:w="885"/>
        <w:gridCol w:w="885"/>
        <w:gridCol w:w="928"/>
      </w:tblGrid>
      <w:tr w:rsidR="000A07C8" w:rsidRPr="000A07C8" w:rsidTr="000A07C8">
        <w:trPr>
          <w:trHeight w:val="170"/>
        </w:trPr>
        <w:tc>
          <w:tcPr>
            <w:tcW w:w="2953" w:type="dxa"/>
            <w:gridSpan w:val="2"/>
            <w:tcBorders>
              <w:top w:val="single" w:sz="4" w:space="0" w:color="000000"/>
              <w:left w:val="nil"/>
              <w:bottom w:val="nil"/>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 xml:space="preserve">Outcome/ </w:t>
            </w:r>
            <w:r w:rsidRPr="000A07C8">
              <w:rPr>
                <w:rFonts w:ascii="Arial" w:hAnsi="Arial" w:cs="Arial"/>
                <w:b/>
                <w:bCs/>
                <w:color w:val="auto"/>
                <w:sz w:val="16"/>
                <w:szCs w:val="16"/>
              </w:rPr>
              <w:br/>
              <w:t>Program</w:t>
            </w:r>
          </w:p>
        </w:tc>
        <w:tc>
          <w:tcPr>
            <w:tcW w:w="87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2021–22</w:t>
            </w:r>
            <w:r w:rsidRPr="000A07C8">
              <w:rPr>
                <w:rFonts w:ascii="Arial" w:hAnsi="Arial" w:cs="Arial"/>
                <w:b/>
                <w:bCs/>
                <w:color w:val="auto"/>
                <w:sz w:val="16"/>
                <w:szCs w:val="16"/>
              </w:rPr>
              <w:br/>
            </w:r>
            <w:r w:rsidRPr="000A07C8">
              <w:rPr>
                <w:rFonts w:ascii="Arial" w:hAnsi="Arial" w:cs="Arial"/>
                <w:color w:val="auto"/>
                <w:sz w:val="16"/>
                <w:szCs w:val="16"/>
              </w:rPr>
              <w:t>$'000</w:t>
            </w:r>
          </w:p>
        </w:tc>
        <w:tc>
          <w:tcPr>
            <w:tcW w:w="887" w:type="dxa"/>
            <w:tcBorders>
              <w:top w:val="single" w:sz="4" w:space="0" w:color="000000"/>
              <w:left w:val="nil"/>
              <w:bottom w:val="single" w:sz="4" w:space="0" w:color="000000"/>
              <w:right w:val="nil"/>
            </w:tcBorders>
            <w:shd w:val="clear" w:color="000000" w:fill="D9D9D9"/>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2022–23</w:t>
            </w:r>
            <w:r w:rsidRPr="000A07C8">
              <w:rPr>
                <w:rFonts w:ascii="Arial" w:hAnsi="Arial" w:cs="Arial"/>
                <w:b/>
                <w:bCs/>
                <w:color w:val="auto"/>
                <w:sz w:val="16"/>
                <w:szCs w:val="16"/>
              </w:rPr>
              <w:br/>
            </w:r>
            <w:r w:rsidRPr="000A07C8">
              <w:rPr>
                <w:rFonts w:ascii="Arial" w:hAnsi="Arial" w:cs="Arial"/>
                <w:color w:val="auto"/>
                <w:sz w:val="16"/>
                <w:szCs w:val="16"/>
              </w:rPr>
              <w:t>$'000</w:t>
            </w:r>
          </w:p>
        </w:tc>
        <w:tc>
          <w:tcPr>
            <w:tcW w:w="885"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2023–24</w:t>
            </w:r>
            <w:r w:rsidRPr="000A07C8">
              <w:rPr>
                <w:rFonts w:ascii="Arial" w:hAnsi="Arial" w:cs="Arial"/>
                <w:b/>
                <w:bCs/>
                <w:color w:val="auto"/>
                <w:sz w:val="16"/>
                <w:szCs w:val="16"/>
              </w:rPr>
              <w:br/>
            </w:r>
            <w:r w:rsidRPr="000A07C8">
              <w:rPr>
                <w:rFonts w:ascii="Arial" w:hAnsi="Arial" w:cs="Arial"/>
                <w:color w:val="auto"/>
                <w:sz w:val="16"/>
                <w:szCs w:val="16"/>
              </w:rPr>
              <w:t>$'000</w:t>
            </w:r>
          </w:p>
        </w:tc>
        <w:tc>
          <w:tcPr>
            <w:tcW w:w="885"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2024–25</w:t>
            </w:r>
            <w:r w:rsidRPr="000A07C8">
              <w:rPr>
                <w:rFonts w:ascii="Arial" w:hAnsi="Arial" w:cs="Arial"/>
                <w:b/>
                <w:bCs/>
                <w:color w:val="auto"/>
                <w:sz w:val="16"/>
                <w:szCs w:val="16"/>
              </w:rPr>
              <w:br/>
            </w:r>
            <w:r w:rsidRPr="000A07C8">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2025–26</w:t>
            </w:r>
            <w:r w:rsidRPr="000A07C8">
              <w:rPr>
                <w:rFonts w:ascii="Arial" w:hAnsi="Arial" w:cs="Arial"/>
                <w:b/>
                <w:bCs/>
                <w:color w:val="auto"/>
                <w:sz w:val="16"/>
                <w:szCs w:val="16"/>
              </w:rPr>
              <w:br/>
            </w:r>
            <w:r w:rsidRPr="000A07C8">
              <w:rPr>
                <w:rFonts w:ascii="Arial" w:hAnsi="Arial" w:cs="Arial"/>
                <w:color w:val="auto"/>
                <w:sz w:val="16"/>
                <w:szCs w:val="16"/>
              </w:rPr>
              <w:t>$'000</w:t>
            </w:r>
          </w:p>
        </w:tc>
      </w:tr>
      <w:tr w:rsidR="000A07C8" w:rsidRPr="000A07C8" w:rsidTr="000A07C8">
        <w:trPr>
          <w:trHeight w:val="454"/>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 xml:space="preserve">Establishing a National Health Sustainability and Climate Unit to Inform the National Health response to Climate Change </w:t>
            </w:r>
            <w:r w:rsidRPr="000A07C8">
              <w:rPr>
                <w:rFonts w:ascii="Arial" w:hAnsi="Arial" w:cs="Arial"/>
                <w:b/>
                <w:bCs/>
                <w:color w:val="auto"/>
                <w:sz w:val="16"/>
                <w:szCs w:val="16"/>
                <w:vertAlign w:val="superscript"/>
              </w:rPr>
              <w:t>(a)</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1.8</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475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475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87"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475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475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Expanding Newborn Screening — world-class newborn bloodspot screening programs</w:t>
            </w:r>
            <w:r w:rsidRPr="000A07C8">
              <w:rPr>
                <w:rFonts w:ascii="Arial" w:hAnsi="Arial" w:cs="Arial"/>
                <w:b/>
                <w:bCs/>
                <w:color w:val="auto"/>
                <w:sz w:val="16"/>
                <w:szCs w:val="16"/>
                <w:vertAlign w:val="superscript"/>
              </w:rPr>
              <w:t xml:space="preserve"> (a)</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1.5</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1,355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844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998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1,141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1,456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1,428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1,451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1,518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the Treasury</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4,947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6,315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6,366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7,691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87"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7,758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8,587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8,815 </w:t>
            </w:r>
          </w:p>
        </w:tc>
        <w:tc>
          <w:tcPr>
            <w:tcW w:w="90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10,350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Fixing the Aged Care Crisis</w:t>
            </w:r>
            <w:r w:rsidRPr="000A07C8">
              <w:rPr>
                <w:rFonts w:ascii="Arial" w:hAnsi="Arial" w:cs="Arial"/>
                <w:b/>
                <w:bCs/>
                <w:color w:val="auto"/>
                <w:sz w:val="16"/>
                <w:szCs w:val="16"/>
                <w:vertAlign w:val="superscript"/>
              </w:rPr>
              <w:t xml:space="preserve"> (a)</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3.1</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7,586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1,534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764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489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jc w:val="right"/>
              <w:rPr>
                <w:rFonts w:ascii="Arial" w:hAnsi="Arial" w:cs="Arial"/>
                <w:color w:val="auto"/>
                <w:sz w:val="16"/>
                <w:szCs w:val="16"/>
              </w:rPr>
            </w:pP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3.2</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3,110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161,986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965,415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1,265,082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jc w:val="right"/>
              <w:rPr>
                <w:rFonts w:ascii="Arial" w:hAnsi="Arial" w:cs="Arial"/>
                <w:color w:val="auto"/>
                <w:sz w:val="16"/>
                <w:szCs w:val="16"/>
              </w:rPr>
            </w:pP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3.3</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4,448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1,998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1,080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8,485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5,024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1,652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1,382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capital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9,200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1,110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454"/>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Aged Care Quality and Safety Commission</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3,212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6,686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the Treasury</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1,396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Veterans' Affairs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4,135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24,805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32,529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Services Australia</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4,340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685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567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87"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41,777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183,158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994,283 </w:t>
            </w:r>
          </w:p>
        </w:tc>
        <w:tc>
          <w:tcPr>
            <w:tcW w:w="90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1,299,482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Flinders Medical Centre</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the Treasury</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3,000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7,500 </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20,000 </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50,000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87"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3,000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7,500 </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20,000 </w:t>
            </w:r>
          </w:p>
        </w:tc>
        <w:tc>
          <w:tcPr>
            <w:tcW w:w="90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50,000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Government Spending Audit — Health and Aged Care — efficiencies</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3.3</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(40,281)</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(2,948)</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(2,995)</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(3,040)</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w:t>
            </w:r>
          </w:p>
        </w:tc>
        <w:tc>
          <w:tcPr>
            <w:tcW w:w="87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7"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(950)</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(47)</w:t>
            </w:r>
          </w:p>
        </w:tc>
        <w:tc>
          <w:tcPr>
            <w:tcW w:w="885"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(47)</w:t>
            </w:r>
          </w:p>
        </w:tc>
        <w:tc>
          <w:tcPr>
            <w:tcW w:w="90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(47)</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7"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87"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(41,231)</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(2,995)</w:t>
            </w:r>
          </w:p>
        </w:tc>
        <w:tc>
          <w:tcPr>
            <w:tcW w:w="885"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(3,042)</w:t>
            </w:r>
          </w:p>
        </w:tc>
        <w:tc>
          <w:tcPr>
            <w:tcW w:w="90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(3,087)</w:t>
            </w:r>
          </w:p>
        </w:tc>
      </w:tr>
    </w:tbl>
    <w:p w:rsidR="00A6223E" w:rsidRDefault="00A6223E" w:rsidP="000D22DB">
      <w:pPr>
        <w:pStyle w:val="Tablenumberandreference"/>
      </w:pPr>
      <w:r>
        <w:br w:type="page"/>
      </w:r>
    </w:p>
    <w:p w:rsidR="000A07C8"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DA7A80" w:rsidRPr="00F277A4">
        <w:rPr>
          <w:sz w:val="20"/>
        </w:rPr>
        <w:t>(continued)</w:t>
      </w:r>
    </w:p>
    <w:tbl>
      <w:tblPr>
        <w:tblW w:w="7380" w:type="dxa"/>
        <w:tblLook w:val="04A0" w:firstRow="1" w:lastRow="0" w:firstColumn="1" w:lastColumn="0" w:noHBand="0" w:noVBand="1"/>
      </w:tblPr>
      <w:tblGrid>
        <w:gridCol w:w="2516"/>
        <w:gridCol w:w="439"/>
        <w:gridCol w:w="876"/>
        <w:gridCol w:w="891"/>
        <w:gridCol w:w="889"/>
        <w:gridCol w:w="889"/>
        <w:gridCol w:w="880"/>
      </w:tblGrid>
      <w:tr w:rsidR="000A07C8" w:rsidRPr="000A07C8" w:rsidTr="000A07C8">
        <w:trPr>
          <w:trHeight w:val="283"/>
        </w:trPr>
        <w:tc>
          <w:tcPr>
            <w:tcW w:w="2955" w:type="dxa"/>
            <w:gridSpan w:val="2"/>
            <w:tcBorders>
              <w:top w:val="single" w:sz="4" w:space="0" w:color="000000"/>
              <w:left w:val="nil"/>
              <w:bottom w:val="nil"/>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 xml:space="preserve">Outcome/ </w:t>
            </w:r>
            <w:r w:rsidRPr="000A07C8">
              <w:rPr>
                <w:rFonts w:ascii="Arial" w:hAnsi="Arial" w:cs="Arial"/>
                <w:b/>
                <w:bCs/>
                <w:color w:val="auto"/>
                <w:sz w:val="16"/>
                <w:szCs w:val="16"/>
              </w:rPr>
              <w:br/>
              <w:t>Program</w:t>
            </w:r>
          </w:p>
        </w:tc>
        <w:tc>
          <w:tcPr>
            <w:tcW w:w="876"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2021–22</w:t>
            </w:r>
            <w:r w:rsidRPr="000A07C8">
              <w:rPr>
                <w:rFonts w:ascii="Arial" w:hAnsi="Arial" w:cs="Arial"/>
                <w:b/>
                <w:bCs/>
                <w:color w:val="auto"/>
                <w:sz w:val="16"/>
                <w:szCs w:val="16"/>
              </w:rPr>
              <w:br/>
            </w:r>
            <w:r w:rsidRPr="000A07C8">
              <w:rPr>
                <w:rFonts w:ascii="Arial" w:hAnsi="Arial" w:cs="Arial"/>
                <w:color w:val="auto"/>
                <w:sz w:val="16"/>
                <w:szCs w:val="16"/>
              </w:rPr>
              <w:t>$'000</w:t>
            </w:r>
          </w:p>
        </w:tc>
        <w:tc>
          <w:tcPr>
            <w:tcW w:w="891" w:type="dxa"/>
            <w:tcBorders>
              <w:top w:val="single" w:sz="4" w:space="0" w:color="000000"/>
              <w:left w:val="nil"/>
              <w:bottom w:val="single" w:sz="4" w:space="0" w:color="000000"/>
              <w:right w:val="nil"/>
            </w:tcBorders>
            <w:shd w:val="clear" w:color="000000" w:fill="D9D9D9"/>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2022–23</w:t>
            </w:r>
            <w:r w:rsidRPr="000A07C8">
              <w:rPr>
                <w:rFonts w:ascii="Arial" w:hAnsi="Arial" w:cs="Arial"/>
                <w:b/>
                <w:bCs/>
                <w:color w:val="auto"/>
                <w:sz w:val="16"/>
                <w:szCs w:val="16"/>
              </w:rPr>
              <w:br/>
            </w:r>
            <w:r w:rsidRPr="000A07C8">
              <w:rPr>
                <w:rFonts w:ascii="Arial" w:hAnsi="Arial" w:cs="Arial"/>
                <w:color w:val="auto"/>
                <w:sz w:val="16"/>
                <w:szCs w:val="16"/>
              </w:rPr>
              <w:t>$'000</w:t>
            </w:r>
          </w:p>
        </w:tc>
        <w:tc>
          <w:tcPr>
            <w:tcW w:w="889"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2023–24</w:t>
            </w:r>
            <w:r w:rsidRPr="000A07C8">
              <w:rPr>
                <w:rFonts w:ascii="Arial" w:hAnsi="Arial" w:cs="Arial"/>
                <w:b/>
                <w:bCs/>
                <w:color w:val="auto"/>
                <w:sz w:val="16"/>
                <w:szCs w:val="16"/>
              </w:rPr>
              <w:br/>
            </w:r>
            <w:r w:rsidRPr="000A07C8">
              <w:rPr>
                <w:rFonts w:ascii="Arial" w:hAnsi="Arial" w:cs="Arial"/>
                <w:color w:val="auto"/>
                <w:sz w:val="16"/>
                <w:szCs w:val="16"/>
              </w:rPr>
              <w:t>$'000</w:t>
            </w:r>
          </w:p>
        </w:tc>
        <w:tc>
          <w:tcPr>
            <w:tcW w:w="889"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2024–25</w:t>
            </w:r>
            <w:r w:rsidRPr="000A07C8">
              <w:rPr>
                <w:rFonts w:ascii="Arial" w:hAnsi="Arial" w:cs="Arial"/>
                <w:b/>
                <w:bCs/>
                <w:color w:val="auto"/>
                <w:sz w:val="16"/>
                <w:szCs w:val="16"/>
              </w:rPr>
              <w:br/>
            </w:r>
            <w:r w:rsidRPr="000A07C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2025–26</w:t>
            </w:r>
            <w:r w:rsidRPr="000A07C8">
              <w:rPr>
                <w:rFonts w:ascii="Arial" w:hAnsi="Arial" w:cs="Arial"/>
                <w:b/>
                <w:bCs/>
                <w:color w:val="auto"/>
                <w:sz w:val="16"/>
                <w:szCs w:val="16"/>
              </w:rPr>
              <w:br/>
            </w:r>
            <w:r w:rsidRPr="000A07C8">
              <w:rPr>
                <w:rFonts w:ascii="Arial" w:hAnsi="Arial" w:cs="Arial"/>
                <w:color w:val="auto"/>
                <w:sz w:val="16"/>
                <w:szCs w:val="16"/>
              </w:rPr>
              <w:t>$'000</w:t>
            </w:r>
          </w:p>
        </w:tc>
      </w:tr>
      <w:tr w:rsidR="000A07C8" w:rsidRPr="000A07C8" w:rsidTr="000A07C8">
        <w:trPr>
          <w:trHeight w:val="300"/>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Implementing Aged Care Reform</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3.1</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29,315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26,283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10,849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jc w:val="right"/>
              <w:rPr>
                <w:rFonts w:ascii="Arial" w:hAnsi="Arial" w:cs="Arial"/>
                <w:color w:val="auto"/>
                <w:sz w:val="16"/>
                <w:szCs w:val="16"/>
              </w:rPr>
            </w:pP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3.2</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(40,000)</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93,096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jc w:val="right"/>
              <w:rPr>
                <w:rFonts w:ascii="Arial" w:hAnsi="Arial" w:cs="Arial"/>
                <w:color w:val="auto"/>
                <w:sz w:val="16"/>
                <w:szCs w:val="16"/>
              </w:rPr>
            </w:pP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3.3</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13,035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515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525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267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66,123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151,547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87,973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23,905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capital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3</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36,228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17,238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6,263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2,038 </w:t>
            </w:r>
          </w:p>
        </w:tc>
      </w:tr>
      <w:tr w:rsidR="000A07C8" w:rsidRPr="000A07C8" w:rsidTr="000A07C8">
        <w:trPr>
          <w:trHeight w:val="454"/>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Aged Care Quality and Safety Commission</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1,833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3,492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1,465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955" w:type="dxa"/>
            <w:gridSpan w:val="2"/>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capital payments</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300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600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100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Australian Digital Health Agency</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2,494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454"/>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Independent Health and Aged Care Pricing Authority</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Finance</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200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200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Services Australia</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833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537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344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347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capital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1,588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722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6"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91"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111,749 </w:t>
            </w:r>
          </w:p>
        </w:tc>
        <w:tc>
          <w:tcPr>
            <w:tcW w:w="889"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294,230 </w:t>
            </w:r>
          </w:p>
        </w:tc>
        <w:tc>
          <w:tcPr>
            <w:tcW w:w="889"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107,719 </w:t>
            </w:r>
          </w:p>
        </w:tc>
        <w:tc>
          <w:tcPr>
            <w:tcW w:w="88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26,557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Improving Access to Care</w:t>
            </w:r>
            <w:r w:rsidRPr="000A07C8">
              <w:rPr>
                <w:rFonts w:ascii="Arial" w:hAnsi="Arial" w:cs="Arial"/>
                <w:b/>
                <w:bCs/>
                <w:color w:val="auto"/>
                <w:sz w:val="16"/>
                <w:szCs w:val="16"/>
                <w:vertAlign w:val="superscript"/>
              </w:rPr>
              <w:t xml:space="preserve"> (c)</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2.7</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69,333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77,608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86,103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94,627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6"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91"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69,333 </w:t>
            </w:r>
          </w:p>
        </w:tc>
        <w:tc>
          <w:tcPr>
            <w:tcW w:w="889"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77,608 </w:t>
            </w:r>
          </w:p>
        </w:tc>
        <w:tc>
          <w:tcPr>
            <w:tcW w:w="889"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86,103 </w:t>
            </w:r>
          </w:p>
        </w:tc>
        <w:tc>
          <w:tcPr>
            <w:tcW w:w="88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94,627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i/>
                <w:iCs/>
                <w:color w:val="auto"/>
                <w:sz w:val="16"/>
                <w:szCs w:val="16"/>
              </w:rPr>
            </w:pPr>
            <w:r w:rsidRPr="000A07C8">
              <w:rPr>
                <w:rFonts w:ascii="Arial" w:hAnsi="Arial" w:cs="Arial"/>
                <w:i/>
                <w:iCs/>
                <w:color w:val="auto"/>
                <w:sz w:val="16"/>
                <w:szCs w:val="16"/>
              </w:rPr>
              <w:t>Related receipts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i/>
                <w:iCs/>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i/>
                <w:iCs/>
                <w:color w:val="auto"/>
                <w:sz w:val="16"/>
                <w:szCs w:val="16"/>
              </w:rPr>
            </w:pPr>
            <w:r w:rsidRPr="000A07C8">
              <w:rPr>
                <w:rFonts w:ascii="Arial" w:hAnsi="Arial" w:cs="Arial"/>
                <w:i/>
                <w:iCs/>
                <w:color w:val="auto"/>
                <w:sz w:val="16"/>
                <w:szCs w:val="16"/>
              </w:rPr>
              <w:t>Department of Health and Aged Care</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i/>
                <w:iCs/>
                <w:color w:val="auto"/>
                <w:sz w:val="16"/>
                <w:szCs w:val="16"/>
              </w:rPr>
            </w:pPr>
          </w:p>
        </w:tc>
        <w:tc>
          <w:tcPr>
            <w:tcW w:w="876" w:type="dxa"/>
            <w:tcBorders>
              <w:top w:val="nil"/>
              <w:left w:val="nil"/>
              <w:bottom w:val="single" w:sz="4" w:space="0" w:color="000000"/>
              <w:right w:val="nil"/>
            </w:tcBorders>
            <w:shd w:val="clear" w:color="auto" w:fill="auto"/>
            <w:noWrap/>
            <w:vAlign w:val="bottom"/>
            <w:hideMark/>
          </w:tcPr>
          <w:p w:rsidR="000A07C8" w:rsidRPr="000A07C8" w:rsidRDefault="00457A85" w:rsidP="000A07C8">
            <w:pPr>
              <w:spacing w:after="0"/>
              <w:jc w:val="right"/>
              <w:rPr>
                <w:rFonts w:ascii="Arial" w:hAnsi="Arial" w:cs="Arial"/>
                <w:i/>
                <w:iCs/>
                <w:color w:val="auto"/>
                <w:sz w:val="16"/>
                <w:szCs w:val="16"/>
              </w:rPr>
            </w:pPr>
            <w:r>
              <w:rPr>
                <w:rFonts w:ascii="Arial" w:hAnsi="Arial" w:cs="Arial"/>
                <w:i/>
                <w:iCs/>
                <w:color w:val="auto"/>
                <w:sz w:val="16"/>
                <w:szCs w:val="16"/>
              </w:rPr>
              <w:t>-</w:t>
            </w:r>
          </w:p>
        </w:tc>
        <w:tc>
          <w:tcPr>
            <w:tcW w:w="891" w:type="dxa"/>
            <w:tcBorders>
              <w:top w:val="nil"/>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i/>
                <w:iCs/>
                <w:color w:val="auto"/>
                <w:sz w:val="16"/>
                <w:szCs w:val="16"/>
              </w:rPr>
            </w:pPr>
            <w:proofErr w:type="spellStart"/>
            <w:r w:rsidRPr="000A07C8">
              <w:rPr>
                <w:rFonts w:ascii="Arial" w:hAnsi="Arial" w:cs="Arial"/>
                <w:i/>
                <w:iCs/>
                <w:color w:val="auto"/>
                <w:sz w:val="16"/>
                <w:szCs w:val="16"/>
              </w:rPr>
              <w:t>nfp</w:t>
            </w:r>
            <w:proofErr w:type="spellEnd"/>
          </w:p>
        </w:tc>
        <w:tc>
          <w:tcPr>
            <w:tcW w:w="889"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proofErr w:type="spellStart"/>
            <w:r w:rsidRPr="000A07C8">
              <w:rPr>
                <w:rFonts w:ascii="Arial" w:hAnsi="Arial" w:cs="Arial"/>
                <w:i/>
                <w:iCs/>
                <w:color w:val="auto"/>
                <w:sz w:val="16"/>
                <w:szCs w:val="16"/>
              </w:rPr>
              <w:t>nfp</w:t>
            </w:r>
            <w:proofErr w:type="spellEnd"/>
          </w:p>
        </w:tc>
        <w:tc>
          <w:tcPr>
            <w:tcW w:w="889"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proofErr w:type="spellStart"/>
            <w:r w:rsidRPr="000A07C8">
              <w:rPr>
                <w:rFonts w:ascii="Arial" w:hAnsi="Arial" w:cs="Arial"/>
                <w:i/>
                <w:iCs/>
                <w:color w:val="auto"/>
                <w:sz w:val="16"/>
                <w:szCs w:val="16"/>
              </w:rPr>
              <w:t>nfp</w:t>
            </w:r>
            <w:proofErr w:type="spellEnd"/>
          </w:p>
        </w:tc>
        <w:tc>
          <w:tcPr>
            <w:tcW w:w="880"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proofErr w:type="spellStart"/>
            <w:r w:rsidRPr="000A07C8">
              <w:rPr>
                <w:rFonts w:ascii="Arial" w:hAnsi="Arial" w:cs="Arial"/>
                <w:i/>
                <w:iCs/>
                <w:color w:val="auto"/>
                <w:sz w:val="16"/>
                <w:szCs w:val="16"/>
              </w:rPr>
              <w:t>nfp</w:t>
            </w:r>
            <w:proofErr w:type="spellEnd"/>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Improving Primary Care in Rural and Regional Australia</w:t>
            </w:r>
            <w:r w:rsidRPr="000A07C8">
              <w:rPr>
                <w:rFonts w:ascii="Arial" w:hAnsi="Arial" w:cs="Arial"/>
                <w:b/>
                <w:bCs/>
                <w:color w:val="auto"/>
                <w:sz w:val="16"/>
                <w:szCs w:val="16"/>
                <w:vertAlign w:val="superscript"/>
              </w:rPr>
              <w:t xml:space="preserve"> (a)</w:t>
            </w:r>
          </w:p>
        </w:tc>
      </w:tr>
      <w:tr w:rsidR="000A07C8" w:rsidRPr="000A07C8" w:rsidTr="000A07C8">
        <w:trPr>
          <w:trHeight w:val="397"/>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1.5</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854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261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262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265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jc w:val="right"/>
              <w:rPr>
                <w:rFonts w:ascii="Arial" w:hAnsi="Arial" w:cs="Arial"/>
                <w:color w:val="auto"/>
                <w:sz w:val="16"/>
                <w:szCs w:val="16"/>
              </w:rPr>
            </w:pP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1.6</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3,376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9,237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6,560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5,502 </w:t>
            </w:r>
          </w:p>
        </w:tc>
      </w:tr>
      <w:tr w:rsidR="000A07C8" w:rsidRPr="000A07C8" w:rsidTr="000A07C8">
        <w:trPr>
          <w:trHeight w:val="225"/>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160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 </w:t>
            </w:r>
          </w:p>
        </w:tc>
      </w:tr>
      <w:tr w:rsidR="000A07C8" w:rsidRPr="000A07C8" w:rsidTr="000A07C8">
        <w:trPr>
          <w:trHeight w:val="283"/>
        </w:trPr>
        <w:tc>
          <w:tcPr>
            <w:tcW w:w="2516"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the Treasury</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876"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891"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5,000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7,400 </w:t>
            </w:r>
          </w:p>
        </w:tc>
        <w:tc>
          <w:tcPr>
            <w:tcW w:w="889"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5,400 </w:t>
            </w:r>
          </w:p>
        </w:tc>
        <w:tc>
          <w:tcPr>
            <w:tcW w:w="88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5,400 </w:t>
            </w:r>
          </w:p>
        </w:tc>
      </w:tr>
      <w:tr w:rsidR="000A07C8" w:rsidRPr="000A07C8" w:rsidTr="000A07C8">
        <w:trPr>
          <w:trHeight w:val="225"/>
        </w:trPr>
        <w:tc>
          <w:tcPr>
            <w:tcW w:w="2516"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39"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876"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891"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9,390 </w:t>
            </w:r>
          </w:p>
        </w:tc>
        <w:tc>
          <w:tcPr>
            <w:tcW w:w="889"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16,906 </w:t>
            </w:r>
          </w:p>
        </w:tc>
        <w:tc>
          <w:tcPr>
            <w:tcW w:w="889"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12,231 </w:t>
            </w:r>
          </w:p>
        </w:tc>
        <w:tc>
          <w:tcPr>
            <w:tcW w:w="88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11,171 </w:t>
            </w:r>
          </w:p>
        </w:tc>
      </w:tr>
    </w:tbl>
    <w:p w:rsidR="00A6223E" w:rsidRDefault="00A6223E" w:rsidP="000D22DB">
      <w:pPr>
        <w:pStyle w:val="Tablenumberandreference"/>
      </w:pPr>
      <w:r>
        <w:br w:type="page"/>
      </w:r>
    </w:p>
    <w:p w:rsidR="000A07C8"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DA7A80" w:rsidRPr="00F277A4">
        <w:rPr>
          <w:sz w:val="20"/>
        </w:rPr>
        <w:t>(continued)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0A07C8" w:rsidRPr="000A07C8" w:rsidTr="000A07C8">
        <w:trPr>
          <w:trHeight w:val="340"/>
        </w:trPr>
        <w:tc>
          <w:tcPr>
            <w:tcW w:w="2780" w:type="dxa"/>
            <w:gridSpan w:val="2"/>
            <w:tcBorders>
              <w:top w:val="single" w:sz="4" w:space="0" w:color="000000"/>
              <w:left w:val="nil"/>
              <w:bottom w:val="nil"/>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 xml:space="preserve">Outcome/ </w:t>
            </w:r>
            <w:r w:rsidRPr="000A07C8">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2021–22</w:t>
            </w:r>
            <w:r w:rsidRPr="000A07C8">
              <w:rPr>
                <w:rFonts w:ascii="Arial" w:hAnsi="Arial" w:cs="Arial"/>
                <w:b/>
                <w:bCs/>
                <w:color w:val="auto"/>
                <w:sz w:val="16"/>
                <w:szCs w:val="16"/>
              </w:rPr>
              <w:br/>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2022–23</w:t>
            </w:r>
            <w:r w:rsidRPr="000A07C8">
              <w:rPr>
                <w:rFonts w:ascii="Arial" w:hAnsi="Arial" w:cs="Arial"/>
                <w:b/>
                <w:bCs/>
                <w:color w:val="auto"/>
                <w:sz w:val="16"/>
                <w:szCs w:val="16"/>
              </w:rPr>
              <w:br/>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2023–24</w:t>
            </w:r>
            <w:r w:rsidRPr="000A07C8">
              <w:rPr>
                <w:rFonts w:ascii="Arial" w:hAnsi="Arial" w:cs="Arial"/>
                <w:b/>
                <w:bCs/>
                <w:color w:val="auto"/>
                <w:sz w:val="16"/>
                <w:szCs w:val="16"/>
              </w:rPr>
              <w:br/>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2024–25</w:t>
            </w:r>
            <w:r w:rsidRPr="000A07C8">
              <w:rPr>
                <w:rFonts w:ascii="Arial" w:hAnsi="Arial" w:cs="Arial"/>
                <w:b/>
                <w:bCs/>
                <w:color w:val="auto"/>
                <w:sz w:val="16"/>
                <w:szCs w:val="16"/>
              </w:rPr>
              <w:br/>
            </w:r>
            <w:r w:rsidRPr="000A07C8">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0A07C8" w:rsidRPr="000A07C8" w:rsidRDefault="000A07C8" w:rsidP="000A07C8">
            <w:pPr>
              <w:spacing w:before="40" w:after="0"/>
              <w:jc w:val="right"/>
              <w:rPr>
                <w:rFonts w:ascii="Arial" w:hAnsi="Arial" w:cs="Arial"/>
                <w:b/>
                <w:bCs/>
                <w:color w:val="auto"/>
                <w:sz w:val="16"/>
                <w:szCs w:val="16"/>
              </w:rPr>
            </w:pPr>
            <w:r w:rsidRPr="000A07C8">
              <w:rPr>
                <w:rFonts w:ascii="Arial" w:hAnsi="Arial" w:cs="Arial"/>
                <w:b/>
                <w:bCs/>
                <w:color w:val="auto"/>
                <w:sz w:val="16"/>
                <w:szCs w:val="16"/>
              </w:rPr>
              <w:t>2025–26</w:t>
            </w:r>
            <w:r w:rsidRPr="000A07C8">
              <w:rPr>
                <w:rFonts w:ascii="Arial" w:hAnsi="Arial" w:cs="Arial"/>
                <w:b/>
                <w:bCs/>
                <w:color w:val="auto"/>
                <w:sz w:val="16"/>
                <w:szCs w:val="16"/>
              </w:rPr>
              <w:br/>
            </w:r>
            <w:r w:rsidRPr="000A07C8">
              <w:rPr>
                <w:rFonts w:ascii="Arial" w:hAnsi="Arial" w:cs="Arial"/>
                <w:color w:val="auto"/>
                <w:sz w:val="16"/>
                <w:szCs w:val="16"/>
              </w:rPr>
              <w:t>$'000</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Medicare Benefits Schedule — new and amended listings</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(5,460)</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465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615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597 </w:t>
            </w:r>
          </w:p>
        </w:tc>
      </w:tr>
      <w:tr w:rsidR="000A07C8" w:rsidRPr="000A07C8" w:rsidTr="000A07C8">
        <w:trPr>
          <w:trHeight w:val="283"/>
        </w:trPr>
        <w:tc>
          <w:tcPr>
            <w:tcW w:w="2780" w:type="dxa"/>
            <w:gridSpan w:val="2"/>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(148)</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31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43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41 </w:t>
            </w:r>
          </w:p>
        </w:tc>
      </w:tr>
      <w:tr w:rsidR="000A07C8" w:rsidRPr="000A07C8" w:rsidTr="000A07C8">
        <w:trPr>
          <w:trHeight w:val="283"/>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(24)</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(26)</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(27)</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(5,599)</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472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632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611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 xml:space="preserve">Mental Health </w:t>
            </w:r>
            <w:r w:rsidRPr="000A07C8">
              <w:rPr>
                <w:rFonts w:ascii="Arial" w:hAnsi="Arial" w:cs="Arial"/>
                <w:b/>
                <w:bCs/>
                <w:color w:val="auto"/>
                <w:sz w:val="16"/>
                <w:szCs w:val="16"/>
                <w:vertAlign w:val="superscript"/>
              </w:rPr>
              <w:t>(a)</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80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26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80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24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24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26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Mental Health Supports for Flood-affected Communities in New South Wales</w:t>
            </w:r>
            <w:r w:rsidRPr="000A07C8">
              <w:rPr>
                <w:rFonts w:ascii="Arial" w:hAnsi="Arial" w:cs="Arial"/>
                <w:b/>
                <w:bCs/>
                <w:color w:val="auto"/>
                <w:sz w:val="16"/>
                <w:szCs w:val="16"/>
                <w:vertAlign w:val="superscript"/>
              </w:rPr>
              <w:t xml:space="preserve"> (b)</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More Access to Magnetic Resonance Imaging</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1,968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3,221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3,374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3,534 </w:t>
            </w:r>
          </w:p>
        </w:tc>
      </w:tr>
      <w:tr w:rsidR="000A07C8" w:rsidRPr="000A07C8" w:rsidTr="000A07C8">
        <w:trPr>
          <w:trHeight w:val="283"/>
        </w:trPr>
        <w:tc>
          <w:tcPr>
            <w:tcW w:w="2780" w:type="dxa"/>
            <w:gridSpan w:val="2"/>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49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81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88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2,017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3,302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3,458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3,622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National Centre of Excellence in Intellectual Disability Health</w:t>
            </w:r>
            <w:r w:rsidRPr="000A07C8">
              <w:rPr>
                <w:rFonts w:ascii="Arial" w:hAnsi="Arial" w:cs="Arial"/>
                <w:b/>
                <w:bCs/>
                <w:color w:val="auto"/>
                <w:sz w:val="16"/>
                <w:szCs w:val="16"/>
                <w:vertAlign w:val="superscript"/>
              </w:rPr>
              <w:t xml:space="preserve"> (a)</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391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907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6,814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6,740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78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23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23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28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469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930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6,837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6,768 </w:t>
            </w:r>
          </w:p>
        </w:tc>
      </w:tr>
      <w:tr w:rsidR="000A07C8" w:rsidRPr="000A07C8" w:rsidTr="000A07C8">
        <w:trPr>
          <w:trHeight w:val="283"/>
        </w:trPr>
        <w:tc>
          <w:tcPr>
            <w:tcW w:w="7380" w:type="dxa"/>
            <w:gridSpan w:val="7"/>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 xml:space="preserve">National Medical Stockpile — additional </w:t>
            </w:r>
            <w:proofErr w:type="spellStart"/>
            <w:r w:rsidRPr="000A07C8">
              <w:rPr>
                <w:rFonts w:ascii="Arial" w:hAnsi="Arial" w:cs="Arial"/>
                <w:b/>
                <w:bCs/>
                <w:color w:val="auto"/>
                <w:sz w:val="16"/>
                <w:szCs w:val="16"/>
              </w:rPr>
              <w:t>monkeypox</w:t>
            </w:r>
            <w:proofErr w:type="spellEnd"/>
            <w:r w:rsidRPr="000A07C8">
              <w:rPr>
                <w:rFonts w:ascii="Arial" w:hAnsi="Arial" w:cs="Arial"/>
                <w:b/>
                <w:bCs/>
                <w:color w:val="auto"/>
                <w:sz w:val="16"/>
                <w:szCs w:val="16"/>
              </w:rPr>
              <w:t xml:space="preserve"> vaccines</w:t>
            </w:r>
            <w:r w:rsidRPr="000A07C8">
              <w:rPr>
                <w:rFonts w:ascii="Arial" w:hAnsi="Arial" w:cs="Arial"/>
                <w:b/>
                <w:bCs/>
                <w:color w:val="auto"/>
                <w:sz w:val="16"/>
                <w:szCs w:val="16"/>
                <w:vertAlign w:val="superscript"/>
              </w:rPr>
              <w:t xml:space="preserve"> (a)</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rPr>
                <w:rFonts w:ascii="Arial" w:hAnsi="Arial" w:cs="Arial"/>
                <w:color w:val="auto"/>
                <w:sz w:val="16"/>
                <w:szCs w:val="16"/>
              </w:rPr>
            </w:pPr>
            <w:r w:rsidRPr="000A07C8">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Times New Roman" w:hAnsi="Times New Roman"/>
                <w:color w:val="auto"/>
                <w:sz w:val="20"/>
                <w:szCs w:val="20"/>
              </w:rPr>
            </w:pP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1,710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Administered capital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71,980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color w:val="auto"/>
                <w:sz w:val="16"/>
                <w:szCs w:val="16"/>
              </w:rPr>
            </w:pPr>
            <w:r w:rsidRPr="000A07C8">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color w:val="auto"/>
                <w:sz w:val="16"/>
                <w:szCs w:val="16"/>
              </w:rPr>
            </w:pPr>
            <w:r w:rsidRPr="000A07C8">
              <w:rPr>
                <w:rFonts w:ascii="Arial" w:hAnsi="Arial" w:cs="Arial"/>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r w:rsidRPr="000A07C8">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73,690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xml:space="preserve">- </w:t>
            </w:r>
          </w:p>
        </w:tc>
      </w:tr>
      <w:tr w:rsidR="000A07C8" w:rsidRPr="000A07C8" w:rsidTr="000A07C8">
        <w:trPr>
          <w:trHeight w:val="225"/>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i/>
                <w:iCs/>
                <w:color w:val="auto"/>
                <w:sz w:val="16"/>
                <w:szCs w:val="16"/>
              </w:rPr>
            </w:pPr>
            <w:r w:rsidRPr="000A07C8">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920" w:type="dxa"/>
            <w:tcBorders>
              <w:top w:val="nil"/>
              <w:left w:val="nil"/>
              <w:bottom w:val="nil"/>
              <w:right w:val="nil"/>
            </w:tcBorders>
            <w:shd w:val="clear" w:color="000000" w:fill="D9D9D9"/>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0A07C8" w:rsidRPr="000A07C8" w:rsidRDefault="000A07C8" w:rsidP="000A07C8">
            <w:pPr>
              <w:spacing w:after="0"/>
              <w:jc w:val="right"/>
              <w:rPr>
                <w:rFonts w:ascii="Arial" w:hAnsi="Arial" w:cs="Arial"/>
                <w:b/>
                <w:bCs/>
                <w:color w:val="auto"/>
                <w:sz w:val="16"/>
                <w:szCs w:val="16"/>
              </w:rPr>
            </w:pPr>
            <w:r w:rsidRPr="000A07C8">
              <w:rPr>
                <w:rFonts w:ascii="Arial" w:hAnsi="Arial" w:cs="Arial"/>
                <w:b/>
                <w:bCs/>
                <w:color w:val="auto"/>
                <w:sz w:val="16"/>
                <w:szCs w:val="16"/>
              </w:rPr>
              <w:t> </w:t>
            </w:r>
          </w:p>
        </w:tc>
      </w:tr>
      <w:tr w:rsidR="000A07C8" w:rsidRPr="000A07C8" w:rsidTr="000A07C8">
        <w:trPr>
          <w:trHeight w:val="397"/>
        </w:trPr>
        <w:tc>
          <w:tcPr>
            <w:tcW w:w="2320" w:type="dxa"/>
            <w:tcBorders>
              <w:top w:val="nil"/>
              <w:left w:val="nil"/>
              <w:bottom w:val="nil"/>
              <w:right w:val="nil"/>
            </w:tcBorders>
            <w:shd w:val="clear" w:color="auto" w:fill="auto"/>
            <w:vAlign w:val="bottom"/>
            <w:hideMark/>
          </w:tcPr>
          <w:p w:rsidR="000A07C8" w:rsidRPr="000A07C8" w:rsidRDefault="000A07C8" w:rsidP="000A07C8">
            <w:pPr>
              <w:spacing w:after="0"/>
              <w:ind w:leftChars="75" w:left="143"/>
              <w:rPr>
                <w:rFonts w:ascii="Arial" w:hAnsi="Arial" w:cs="Arial"/>
                <w:i/>
                <w:iCs/>
                <w:color w:val="auto"/>
                <w:sz w:val="16"/>
                <w:szCs w:val="16"/>
              </w:rPr>
            </w:pPr>
            <w:r w:rsidRPr="000A07C8">
              <w:rPr>
                <w:rFonts w:ascii="Arial" w:hAnsi="Arial" w:cs="Arial"/>
                <w:i/>
                <w:iCs/>
                <w:color w:val="auto"/>
                <w:sz w:val="16"/>
                <w:szCs w:val="16"/>
              </w:rPr>
              <w:t>Department of Health and Aged Care</w:t>
            </w:r>
          </w:p>
        </w:tc>
        <w:tc>
          <w:tcPr>
            <w:tcW w:w="460" w:type="dxa"/>
            <w:tcBorders>
              <w:top w:val="nil"/>
              <w:left w:val="nil"/>
              <w:bottom w:val="nil"/>
              <w:right w:val="nil"/>
            </w:tcBorders>
            <w:shd w:val="clear" w:color="auto" w:fill="auto"/>
            <w:noWrap/>
            <w:vAlign w:val="bottom"/>
            <w:hideMark/>
          </w:tcPr>
          <w:p w:rsidR="000A07C8" w:rsidRPr="000A07C8" w:rsidRDefault="000A07C8" w:rsidP="000A07C8">
            <w:pPr>
              <w:spacing w:after="0"/>
              <w:ind w:firstLineChars="100" w:firstLine="160"/>
              <w:rPr>
                <w:rFonts w:ascii="Arial" w:hAnsi="Arial" w:cs="Arial"/>
                <w:i/>
                <w:iCs/>
                <w:color w:val="auto"/>
                <w:sz w:val="16"/>
                <w:szCs w:val="16"/>
              </w:rPr>
            </w:pPr>
          </w:p>
        </w:tc>
        <w:tc>
          <w:tcPr>
            <w:tcW w:w="920"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r w:rsidRPr="000A07C8">
              <w:rPr>
                <w:rFonts w:ascii="Arial" w:hAnsi="Arial" w:cs="Arial"/>
                <w:i/>
                <w:iCs/>
                <w:color w:val="auto"/>
                <w:sz w:val="16"/>
                <w:szCs w:val="16"/>
              </w:rPr>
              <w:t xml:space="preserve">- </w:t>
            </w:r>
          </w:p>
        </w:tc>
        <w:tc>
          <w:tcPr>
            <w:tcW w:w="920" w:type="dxa"/>
            <w:tcBorders>
              <w:top w:val="nil"/>
              <w:left w:val="nil"/>
              <w:bottom w:val="single" w:sz="4" w:space="0" w:color="000000"/>
              <w:right w:val="nil"/>
            </w:tcBorders>
            <w:shd w:val="clear" w:color="000000" w:fill="D9D9D9"/>
            <w:noWrap/>
            <w:vAlign w:val="bottom"/>
            <w:hideMark/>
          </w:tcPr>
          <w:p w:rsidR="000A07C8" w:rsidRPr="000A07C8" w:rsidRDefault="000A07C8" w:rsidP="000A07C8">
            <w:pPr>
              <w:spacing w:after="0"/>
              <w:jc w:val="right"/>
              <w:rPr>
                <w:rFonts w:ascii="Arial" w:hAnsi="Arial" w:cs="Arial"/>
                <w:i/>
                <w:iCs/>
                <w:color w:val="auto"/>
                <w:sz w:val="16"/>
                <w:szCs w:val="16"/>
              </w:rPr>
            </w:pPr>
            <w:r w:rsidRPr="000A07C8">
              <w:rPr>
                <w:rFonts w:ascii="Arial" w:hAnsi="Arial" w:cs="Arial"/>
                <w:i/>
                <w:iCs/>
                <w:color w:val="auto"/>
                <w:sz w:val="16"/>
                <w:szCs w:val="16"/>
              </w:rPr>
              <w:t xml:space="preserve">42,458 </w:t>
            </w:r>
          </w:p>
        </w:tc>
        <w:tc>
          <w:tcPr>
            <w:tcW w:w="920"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r w:rsidRPr="000A07C8">
              <w:rPr>
                <w:rFonts w:ascii="Arial" w:hAnsi="Arial" w:cs="Arial"/>
                <w:i/>
                <w:iCs/>
                <w:color w:val="auto"/>
                <w:sz w:val="16"/>
                <w:szCs w:val="16"/>
              </w:rPr>
              <w:t xml:space="preserve">- </w:t>
            </w:r>
          </w:p>
        </w:tc>
        <w:tc>
          <w:tcPr>
            <w:tcW w:w="920"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r w:rsidRPr="000A07C8">
              <w:rPr>
                <w:rFonts w:ascii="Arial" w:hAnsi="Arial" w:cs="Arial"/>
                <w:i/>
                <w:iCs/>
                <w:color w:val="auto"/>
                <w:sz w:val="16"/>
                <w:szCs w:val="16"/>
              </w:rPr>
              <w:t xml:space="preserve">- </w:t>
            </w:r>
          </w:p>
        </w:tc>
        <w:tc>
          <w:tcPr>
            <w:tcW w:w="920" w:type="dxa"/>
            <w:tcBorders>
              <w:top w:val="nil"/>
              <w:left w:val="nil"/>
              <w:bottom w:val="single" w:sz="4" w:space="0" w:color="000000"/>
              <w:right w:val="nil"/>
            </w:tcBorders>
            <w:shd w:val="clear" w:color="auto" w:fill="auto"/>
            <w:noWrap/>
            <w:vAlign w:val="bottom"/>
            <w:hideMark/>
          </w:tcPr>
          <w:p w:rsidR="000A07C8" w:rsidRPr="000A07C8" w:rsidRDefault="000A07C8" w:rsidP="000A07C8">
            <w:pPr>
              <w:spacing w:after="0"/>
              <w:jc w:val="right"/>
              <w:rPr>
                <w:rFonts w:ascii="Arial" w:hAnsi="Arial" w:cs="Arial"/>
                <w:i/>
                <w:iCs/>
                <w:color w:val="auto"/>
                <w:sz w:val="16"/>
                <w:szCs w:val="16"/>
              </w:rPr>
            </w:pPr>
            <w:r w:rsidRPr="000A07C8">
              <w:rPr>
                <w:rFonts w:ascii="Arial" w:hAnsi="Arial" w:cs="Arial"/>
                <w:i/>
                <w:iCs/>
                <w:color w:val="auto"/>
                <w:sz w:val="16"/>
                <w:szCs w:val="16"/>
              </w:rPr>
              <w:t xml:space="preserve">- </w:t>
            </w:r>
          </w:p>
        </w:tc>
      </w:tr>
    </w:tbl>
    <w:p w:rsidR="00C069E9" w:rsidRDefault="00C069E9" w:rsidP="000D22DB">
      <w:pPr>
        <w:rPr>
          <w:rFonts w:ascii="Arial" w:hAnsi="Arial" w:cs="Arial"/>
          <w:szCs w:val="18"/>
        </w:rPr>
      </w:pPr>
      <w:r>
        <w:br w:type="page"/>
      </w:r>
    </w:p>
    <w:p w:rsidR="004B14B0"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DA7A80" w:rsidRPr="00F277A4">
        <w:rPr>
          <w:sz w:val="20"/>
        </w:rPr>
        <w:t>(continued)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4B14B0" w:rsidRPr="004B14B0" w:rsidTr="004B14B0">
        <w:trPr>
          <w:trHeight w:val="227"/>
        </w:trPr>
        <w:tc>
          <w:tcPr>
            <w:tcW w:w="2780" w:type="dxa"/>
            <w:gridSpan w:val="2"/>
            <w:tcBorders>
              <w:top w:val="single" w:sz="4" w:space="0" w:color="000000"/>
              <w:left w:val="nil"/>
              <w:bottom w:val="nil"/>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 xml:space="preserve">Outcome/ </w:t>
            </w:r>
            <w:r w:rsidRPr="004B14B0">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2021–22</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2022–23</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2023–24</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2024–25</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2025–26</w:t>
            </w:r>
            <w:r w:rsidRPr="004B14B0">
              <w:rPr>
                <w:rFonts w:ascii="Arial" w:hAnsi="Arial" w:cs="Arial"/>
                <w:b/>
                <w:bCs/>
                <w:color w:val="auto"/>
                <w:sz w:val="16"/>
                <w:szCs w:val="16"/>
              </w:rPr>
              <w:br/>
            </w:r>
            <w:r w:rsidRPr="004B14B0">
              <w:rPr>
                <w:rFonts w:ascii="Arial" w:hAnsi="Arial" w:cs="Arial"/>
                <w:color w:val="auto"/>
                <w:sz w:val="16"/>
                <w:szCs w:val="16"/>
              </w:rPr>
              <w:t>$'000</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National Melanoma Nurse Network</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1,668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3,352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4,655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5,056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1,727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3,357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4,659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5,062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National Nurse and Midwife Health Support Service</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507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5,648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5,998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5,648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567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5,655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6,005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5,655 </w:t>
            </w:r>
          </w:p>
        </w:tc>
      </w:tr>
      <w:tr w:rsidR="004B14B0" w:rsidRPr="004B14B0" w:rsidTr="004B14B0">
        <w:trPr>
          <w:trHeight w:val="454"/>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Pharmaceutical Benefits Scheme — new and amended listings</w:t>
            </w:r>
            <w:r w:rsidRPr="004B14B0">
              <w:rPr>
                <w:rFonts w:ascii="Arial" w:hAnsi="Arial" w:cs="Arial"/>
                <w:b/>
                <w:bCs/>
                <w:color w:val="auto"/>
                <w:sz w:val="16"/>
                <w:szCs w:val="16"/>
                <w:vertAlign w:val="superscript"/>
              </w:rPr>
              <w:t xml:space="preserve"> (c) </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(49,464)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(126)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(496)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(1,059)</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(1,740)</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293,183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386,433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374,193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382,159 </w:t>
            </w:r>
          </w:p>
        </w:tc>
      </w:tr>
      <w:tr w:rsidR="004B14B0" w:rsidRPr="004B14B0" w:rsidTr="004B14B0">
        <w:trPr>
          <w:trHeight w:val="283"/>
        </w:trPr>
        <w:tc>
          <w:tcPr>
            <w:tcW w:w="2780" w:type="dxa"/>
            <w:gridSpan w:val="2"/>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4,377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6,828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9,080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9,525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807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175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195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248,777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392,960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382,389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390,139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i/>
                <w:iCs/>
                <w:color w:val="auto"/>
                <w:sz w:val="16"/>
                <w:szCs w:val="16"/>
              </w:rPr>
            </w:pPr>
            <w:r w:rsidRPr="004B14B0">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i/>
                <w:iCs/>
                <w:color w:val="auto"/>
                <w:sz w:val="16"/>
                <w:szCs w:val="16"/>
              </w:rPr>
            </w:pPr>
            <w:r w:rsidRPr="004B14B0">
              <w:rPr>
                <w:rFonts w:ascii="Arial" w:hAnsi="Arial" w:cs="Arial"/>
                <w:i/>
                <w:iCs/>
                <w:color w:val="auto"/>
                <w:sz w:val="16"/>
                <w:szCs w:val="16"/>
              </w:rPr>
              <w:t xml:space="preserve">Department of Health and Aged Care </w:t>
            </w:r>
          </w:p>
        </w:tc>
        <w:tc>
          <w:tcPr>
            <w:tcW w:w="46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57A85" w:rsidP="004B14B0">
            <w:pPr>
              <w:spacing w:after="0"/>
              <w:jc w:val="right"/>
              <w:rPr>
                <w:rFonts w:ascii="Arial" w:hAnsi="Arial" w:cs="Arial"/>
                <w:i/>
                <w:iCs/>
                <w:color w:val="auto"/>
                <w:sz w:val="16"/>
                <w:szCs w:val="16"/>
              </w:rPr>
            </w:pPr>
            <w:r>
              <w:rPr>
                <w:rFonts w:ascii="Arial" w:hAnsi="Arial" w:cs="Arial"/>
                <w:i/>
                <w:iCs/>
                <w:color w:val="auto"/>
                <w:sz w:val="16"/>
                <w:szCs w:val="16"/>
              </w:rPr>
              <w:t>-</w:t>
            </w:r>
          </w:p>
        </w:tc>
        <w:tc>
          <w:tcPr>
            <w:tcW w:w="920" w:type="dxa"/>
            <w:tcBorders>
              <w:top w:val="nil"/>
              <w:left w:val="nil"/>
              <w:bottom w:val="single" w:sz="4" w:space="0" w:color="auto"/>
              <w:right w:val="nil"/>
            </w:tcBorders>
            <w:shd w:val="clear" w:color="000000" w:fill="D9D9D9"/>
            <w:noWrap/>
            <w:vAlign w:val="bottom"/>
            <w:hideMark/>
          </w:tcPr>
          <w:p w:rsidR="004B14B0" w:rsidRPr="004B14B0" w:rsidRDefault="004B14B0" w:rsidP="004B14B0">
            <w:pPr>
              <w:spacing w:after="0"/>
              <w:jc w:val="right"/>
              <w:rPr>
                <w:rFonts w:ascii="Arial" w:hAnsi="Arial" w:cs="Arial"/>
                <w:i/>
                <w:iCs/>
                <w:color w:val="auto"/>
                <w:sz w:val="16"/>
                <w:szCs w:val="16"/>
              </w:rPr>
            </w:pPr>
            <w:proofErr w:type="spellStart"/>
            <w:r w:rsidRPr="004B14B0">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proofErr w:type="spellStart"/>
            <w:r w:rsidRPr="004B14B0">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proofErr w:type="spellStart"/>
            <w:r w:rsidRPr="004B14B0">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proofErr w:type="spellStart"/>
            <w:r w:rsidRPr="004B14B0">
              <w:rPr>
                <w:rFonts w:ascii="Arial" w:hAnsi="Arial" w:cs="Arial"/>
                <w:i/>
                <w:iCs/>
                <w:color w:val="auto"/>
                <w:sz w:val="16"/>
                <w:szCs w:val="16"/>
              </w:rPr>
              <w:t>nfp</w:t>
            </w:r>
            <w:proofErr w:type="spellEnd"/>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Pharmaceutical Benefits Scheme Data Distribution Project</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1,089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2,410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2,041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685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1,669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4,105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1,231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2,758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6,515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3,272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685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Plan for Cheaper Medicines</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117,399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212,315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222,483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233,258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1,239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134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138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118,638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212,446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222,617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233,396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leftChars="75" w:left="143"/>
              <w:rPr>
                <w:rFonts w:ascii="Arial" w:hAnsi="Arial" w:cs="Arial"/>
                <w:i/>
                <w:iCs/>
                <w:color w:val="auto"/>
                <w:sz w:val="16"/>
                <w:szCs w:val="16"/>
              </w:rPr>
            </w:pPr>
            <w:r w:rsidRPr="004B14B0">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leftChars="75" w:left="143"/>
              <w:rPr>
                <w:rFonts w:ascii="Arial" w:hAnsi="Arial" w:cs="Arial"/>
                <w:i/>
                <w:iCs/>
                <w:color w:val="auto"/>
                <w:sz w:val="16"/>
                <w:szCs w:val="16"/>
              </w:rPr>
            </w:pPr>
            <w:r w:rsidRPr="004B14B0">
              <w:rPr>
                <w:rFonts w:ascii="Arial" w:hAnsi="Arial" w:cs="Arial"/>
                <w:i/>
                <w:iCs/>
                <w:color w:val="auto"/>
                <w:sz w:val="16"/>
                <w:szCs w:val="16"/>
              </w:rPr>
              <w:t xml:space="preserve">Department of Health and Aged Care </w:t>
            </w:r>
          </w:p>
        </w:tc>
        <w:tc>
          <w:tcPr>
            <w:tcW w:w="46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000000" w:fill="D9D9D9"/>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11,348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23,922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26,487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29,280 </w:t>
            </w:r>
          </w:p>
        </w:tc>
      </w:tr>
    </w:tbl>
    <w:p w:rsidR="00D409E9" w:rsidRDefault="00D409E9" w:rsidP="000D22DB">
      <w:pPr>
        <w:rPr>
          <w:rFonts w:ascii="Arial" w:hAnsi="Arial" w:cs="Arial"/>
          <w:szCs w:val="18"/>
        </w:rPr>
      </w:pPr>
      <w:r>
        <w:br w:type="page"/>
      </w:r>
    </w:p>
    <w:p w:rsidR="004B14B0"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DA7A80" w:rsidRPr="00F277A4">
        <w:rPr>
          <w:sz w:val="20"/>
        </w:rPr>
        <w:t>(continued)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4B14B0" w:rsidRPr="004B14B0" w:rsidTr="004B14B0">
        <w:trPr>
          <w:trHeight w:val="227"/>
        </w:trPr>
        <w:tc>
          <w:tcPr>
            <w:tcW w:w="2780" w:type="dxa"/>
            <w:gridSpan w:val="2"/>
            <w:tcBorders>
              <w:top w:val="single" w:sz="4" w:space="0" w:color="000000"/>
              <w:left w:val="nil"/>
              <w:bottom w:val="nil"/>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 xml:space="preserve">Outcome/ </w:t>
            </w:r>
            <w:r w:rsidRPr="004B14B0">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2021–22</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2022–23</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2023–24</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2024–25</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2025–26</w:t>
            </w:r>
            <w:r w:rsidRPr="004B14B0">
              <w:rPr>
                <w:rFonts w:ascii="Arial" w:hAnsi="Arial" w:cs="Arial"/>
                <w:b/>
                <w:bCs/>
                <w:color w:val="auto"/>
                <w:sz w:val="16"/>
                <w:szCs w:val="16"/>
              </w:rPr>
              <w:br/>
            </w:r>
            <w:r w:rsidRPr="004B14B0">
              <w:rPr>
                <w:rFonts w:ascii="Arial" w:hAnsi="Arial" w:cs="Arial"/>
                <w:color w:val="auto"/>
                <w:sz w:val="16"/>
                <w:szCs w:val="16"/>
              </w:rPr>
              <w:t>$'000</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Radiation Therapy Centre and Birthing Unit and Maternity Ward</w:t>
            </w:r>
            <w:r w:rsidRPr="004B14B0">
              <w:rPr>
                <w:rFonts w:ascii="Arial" w:hAnsi="Arial" w:cs="Arial"/>
                <w:b/>
                <w:bCs/>
                <w:color w:val="auto"/>
                <w:sz w:val="16"/>
                <w:szCs w:val="16"/>
                <w:vertAlign w:val="superscript"/>
              </w:rPr>
              <w:t xml:space="preserve"> (d)</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Renewing Australia's Efforts to End the HIV Pandemic</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1,700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1,400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1,400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1,400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1,700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1,400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1,400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1,400 </w:t>
            </w:r>
          </w:p>
        </w:tc>
      </w:tr>
      <w:tr w:rsidR="004B14B0" w:rsidRPr="004B14B0" w:rsidTr="004B14B0">
        <w:trPr>
          <w:trHeight w:val="454"/>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Restoring Regional Mental Telehealth Services — restoring loading to regional psychiatry telehealth services</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7,093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11,998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13,209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14,339 </w:t>
            </w:r>
          </w:p>
        </w:tc>
      </w:tr>
      <w:tr w:rsidR="004B14B0" w:rsidRPr="004B14B0" w:rsidTr="004B14B0">
        <w:trPr>
          <w:trHeight w:val="283"/>
        </w:trPr>
        <w:tc>
          <w:tcPr>
            <w:tcW w:w="2780" w:type="dxa"/>
            <w:gridSpan w:val="2"/>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113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182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215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97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7,253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12,261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13,498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14,651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Revitalisation of the AIS Arena</w:t>
            </w:r>
            <w:r w:rsidRPr="004B14B0">
              <w:rPr>
                <w:rFonts w:ascii="Arial" w:hAnsi="Arial" w:cs="Arial"/>
                <w:b/>
                <w:bCs/>
                <w:color w:val="auto"/>
                <w:sz w:val="16"/>
                <w:szCs w:val="16"/>
                <w:vertAlign w:val="superscript"/>
              </w:rPr>
              <w:t xml:space="preserve"> (a)</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Australian Sports Commission</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842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1,105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888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889 </w:t>
            </w:r>
          </w:p>
        </w:tc>
      </w:tr>
      <w:tr w:rsidR="004B14B0" w:rsidRPr="004B14B0" w:rsidTr="004B14B0">
        <w:trPr>
          <w:trHeight w:val="225"/>
        </w:trPr>
        <w:tc>
          <w:tcPr>
            <w:tcW w:w="2780" w:type="dxa"/>
            <w:gridSpan w:val="2"/>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capital payments</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842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1,105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888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889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Rural and Regional Health</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4,677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27,957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45,055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47,044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159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103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110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5,426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2,501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3,712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630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636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7,205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31,828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45,788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53,216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Rural Health and Medical Training for Far North Queensland</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5,454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4,099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640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Department of Education</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320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982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1,680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5,774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5,081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2,320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i/>
                <w:iCs/>
                <w:color w:val="auto"/>
                <w:sz w:val="16"/>
                <w:szCs w:val="16"/>
              </w:rPr>
            </w:pPr>
            <w:r w:rsidRPr="004B14B0">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i/>
                <w:iCs/>
                <w:color w:val="auto"/>
                <w:sz w:val="16"/>
                <w:szCs w:val="16"/>
              </w:rPr>
            </w:pPr>
            <w:r w:rsidRPr="004B14B0">
              <w:rPr>
                <w:rFonts w:ascii="Arial" w:hAnsi="Arial" w:cs="Arial"/>
                <w:i/>
                <w:iCs/>
                <w:color w:val="auto"/>
                <w:sz w:val="16"/>
                <w:szCs w:val="16"/>
              </w:rPr>
              <w:t>Department of Education</w:t>
            </w:r>
          </w:p>
        </w:tc>
        <w:tc>
          <w:tcPr>
            <w:tcW w:w="46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000000" w:fill="D9D9D9"/>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rsidR="004B14B0" w:rsidRPr="004B14B0" w:rsidRDefault="004B14B0" w:rsidP="004B14B0">
            <w:pPr>
              <w:spacing w:after="0"/>
              <w:jc w:val="right"/>
              <w:rPr>
                <w:rFonts w:ascii="Arial" w:hAnsi="Arial" w:cs="Arial"/>
                <w:i/>
                <w:iCs/>
                <w:color w:val="auto"/>
                <w:sz w:val="16"/>
                <w:szCs w:val="16"/>
              </w:rPr>
            </w:pPr>
            <w:r w:rsidRPr="004B14B0">
              <w:rPr>
                <w:rFonts w:ascii="Arial" w:hAnsi="Arial" w:cs="Arial"/>
                <w:i/>
                <w:iCs/>
                <w:color w:val="auto"/>
                <w:sz w:val="16"/>
                <w:szCs w:val="16"/>
              </w:rPr>
              <w:t xml:space="preserve">- </w:t>
            </w:r>
          </w:p>
        </w:tc>
      </w:tr>
    </w:tbl>
    <w:p w:rsidR="00A6223E" w:rsidRDefault="00DA7A80" w:rsidP="000D22DB">
      <w:pPr>
        <w:rPr>
          <w:rFonts w:ascii="Arial" w:hAnsi="Arial" w:cs="Arial"/>
          <w:szCs w:val="18"/>
        </w:rPr>
      </w:pPr>
      <w:r>
        <w:t xml:space="preserve"> </w:t>
      </w:r>
      <w:r w:rsidR="00A6223E">
        <w:br w:type="page"/>
      </w:r>
    </w:p>
    <w:p w:rsidR="004B14B0"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DA7A80" w:rsidRPr="00F277A4">
        <w:rPr>
          <w:sz w:val="20"/>
        </w:rPr>
        <w:t>(continued)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4B14B0" w:rsidRPr="004B14B0" w:rsidTr="004B14B0">
        <w:trPr>
          <w:trHeight w:val="227"/>
        </w:trPr>
        <w:tc>
          <w:tcPr>
            <w:tcW w:w="2780" w:type="dxa"/>
            <w:gridSpan w:val="2"/>
            <w:tcBorders>
              <w:top w:val="single" w:sz="4" w:space="0" w:color="000000"/>
              <w:left w:val="nil"/>
              <w:bottom w:val="nil"/>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 xml:space="preserve">Outcome/ </w:t>
            </w:r>
            <w:r w:rsidRPr="004B14B0">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2021–22</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2022–23</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2023–24</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2024–25</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2025–26</w:t>
            </w:r>
            <w:r w:rsidRPr="004B14B0">
              <w:rPr>
                <w:rFonts w:ascii="Arial" w:hAnsi="Arial" w:cs="Arial"/>
                <w:b/>
                <w:bCs/>
                <w:color w:val="auto"/>
                <w:sz w:val="16"/>
                <w:szCs w:val="16"/>
              </w:rPr>
              <w:br/>
            </w:r>
            <w:r w:rsidRPr="004B14B0">
              <w:rPr>
                <w:rFonts w:ascii="Arial" w:hAnsi="Arial" w:cs="Arial"/>
                <w:color w:val="auto"/>
                <w:sz w:val="16"/>
                <w:szCs w:val="16"/>
              </w:rPr>
              <w:t>$'000</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Shepherd Centres — better care for Australian children with hearing loss</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7,741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750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7,741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1,900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750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Sport4All — First Nations Program — expansion</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Australian Sports Commission</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3,375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2,731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2,193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1,992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3,375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2,731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2,193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1,992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Stay Afloat</w:t>
            </w:r>
            <w:r w:rsidRPr="004B14B0">
              <w:rPr>
                <w:rFonts w:ascii="Arial" w:hAnsi="Arial" w:cs="Arial"/>
                <w:b/>
                <w:bCs/>
                <w:color w:val="auto"/>
                <w:sz w:val="16"/>
                <w:szCs w:val="16"/>
                <w:vertAlign w:val="superscript"/>
              </w:rPr>
              <w:t xml:space="preserve"> (b)</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Strengthening First Nations Health</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27,340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57,905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84,543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74,273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367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10,357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16,460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19,981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1,721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915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771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730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Australian Sports Commission</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550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1,100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550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29,978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70,277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102,324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94,984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Strengthening Medicare GP Grants</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200,537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24,053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950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2,057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201,487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26,110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Strengthening Women's Health During Pregnancy — stillbirth autopsies</w:t>
            </w:r>
            <w:r w:rsidRPr="004B14B0">
              <w:rPr>
                <w:rFonts w:ascii="Arial" w:hAnsi="Arial" w:cs="Arial"/>
                <w:b/>
                <w:bCs/>
                <w:color w:val="auto"/>
                <w:sz w:val="16"/>
                <w:szCs w:val="16"/>
                <w:vertAlign w:val="superscript"/>
              </w:rPr>
              <w:t xml:space="preserve"> (b)</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Support for Bleeding Disorder Education and Engagement</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bl>
    <w:p w:rsidR="00D409E9" w:rsidRDefault="00D409E9" w:rsidP="000D22DB">
      <w:pPr>
        <w:rPr>
          <w:rFonts w:ascii="Arial" w:hAnsi="Arial" w:cs="Arial"/>
          <w:szCs w:val="18"/>
        </w:rPr>
      </w:pPr>
      <w:r>
        <w:br w:type="page"/>
      </w:r>
    </w:p>
    <w:p w:rsidR="004B14B0" w:rsidRPr="00F277A4" w:rsidRDefault="007D48FE" w:rsidP="000D22DB">
      <w:pPr>
        <w:pStyle w:val="Tablenumberandreference"/>
        <w:rPr>
          <w:sz w:val="20"/>
        </w:rPr>
      </w:pPr>
      <w:r w:rsidRPr="00F277A4">
        <w:rPr>
          <w:sz w:val="20"/>
        </w:rPr>
        <w:lastRenderedPageBreak/>
        <w:t xml:space="preserve">Table 1.2: Department of Health and Aged Care October 2022–23 Budget measures </w:t>
      </w:r>
      <w:r w:rsidR="00DA7A80" w:rsidRPr="00F277A4">
        <w:rPr>
          <w:sz w:val="20"/>
        </w:rPr>
        <w:t>(continued)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4B14B0" w:rsidRPr="004B14B0" w:rsidTr="004B14B0">
        <w:trPr>
          <w:trHeight w:val="170"/>
        </w:trPr>
        <w:tc>
          <w:tcPr>
            <w:tcW w:w="2780" w:type="dxa"/>
            <w:gridSpan w:val="2"/>
            <w:tcBorders>
              <w:top w:val="single" w:sz="4" w:space="0" w:color="000000"/>
              <w:left w:val="nil"/>
              <w:bottom w:val="nil"/>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 xml:space="preserve">Outcome/ </w:t>
            </w:r>
            <w:r w:rsidRPr="004B14B0">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2021–22</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2022–23</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2023–24</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2024–25</w:t>
            </w:r>
            <w:r w:rsidRPr="004B14B0">
              <w:rPr>
                <w:rFonts w:ascii="Arial" w:hAnsi="Arial" w:cs="Arial"/>
                <w:b/>
                <w:bCs/>
                <w:color w:val="auto"/>
                <w:sz w:val="16"/>
                <w:szCs w:val="16"/>
              </w:rPr>
              <w:br/>
            </w:r>
            <w:r w:rsidRPr="004B14B0">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4B14B0" w:rsidRPr="004B14B0" w:rsidRDefault="004B14B0" w:rsidP="004B14B0">
            <w:pPr>
              <w:spacing w:before="40" w:after="0"/>
              <w:jc w:val="right"/>
              <w:rPr>
                <w:rFonts w:ascii="Arial" w:hAnsi="Arial" w:cs="Arial"/>
                <w:b/>
                <w:bCs/>
                <w:color w:val="auto"/>
                <w:sz w:val="16"/>
                <w:szCs w:val="16"/>
              </w:rPr>
            </w:pPr>
            <w:r w:rsidRPr="004B14B0">
              <w:rPr>
                <w:rFonts w:ascii="Arial" w:hAnsi="Arial" w:cs="Arial"/>
                <w:b/>
                <w:bCs/>
                <w:color w:val="auto"/>
                <w:sz w:val="16"/>
                <w:szCs w:val="16"/>
              </w:rPr>
              <w:t>2025–26</w:t>
            </w:r>
            <w:r w:rsidRPr="004B14B0">
              <w:rPr>
                <w:rFonts w:ascii="Arial" w:hAnsi="Arial" w:cs="Arial"/>
                <w:b/>
                <w:bCs/>
                <w:color w:val="auto"/>
                <w:sz w:val="16"/>
                <w:szCs w:val="16"/>
              </w:rPr>
              <w:br/>
            </w:r>
            <w:r w:rsidRPr="004B14B0">
              <w:rPr>
                <w:rFonts w:ascii="Arial" w:hAnsi="Arial" w:cs="Arial"/>
                <w:color w:val="auto"/>
                <w:sz w:val="16"/>
                <w:szCs w:val="16"/>
              </w:rPr>
              <w:t>$'000</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Support for New and Expecting Parents</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1,080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1,870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(2,104)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1,627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2,850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2,904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59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5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(42)</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134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194 </w:t>
            </w:r>
          </w:p>
        </w:tc>
      </w:tr>
      <w:tr w:rsidR="004B14B0" w:rsidRPr="004B14B0" w:rsidTr="004B14B0">
        <w:trPr>
          <w:trHeight w:val="283"/>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22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22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(1,005)</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3,649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3,067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3,125 </w:t>
            </w:r>
          </w:p>
        </w:tc>
      </w:tr>
      <w:tr w:rsidR="004B14B0" w:rsidRPr="004B14B0" w:rsidTr="004B14B0">
        <w:trPr>
          <w:trHeight w:val="454"/>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Supporting Access to After-Hours Primary Care Services — Brighton Walk-In After-Hours Health Centre</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1,500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65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1,565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Supporting the Health and Wellbeing of LGBTIQA+ People</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400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470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870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283"/>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Surf Life Saving Clubs</w:t>
            </w:r>
            <w:r w:rsidRPr="004B14B0">
              <w:rPr>
                <w:rFonts w:ascii="Arial" w:hAnsi="Arial" w:cs="Arial"/>
                <w:b/>
                <w:bCs/>
                <w:color w:val="auto"/>
                <w:sz w:val="16"/>
                <w:szCs w:val="16"/>
                <w:vertAlign w:val="superscript"/>
              </w:rPr>
              <w:t xml:space="preserve">  (a)</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4.1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1,570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1,570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1,570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1,570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1,570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1,570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r w:rsidR="004B14B0" w:rsidRPr="004B14B0" w:rsidTr="004B14B0">
        <w:trPr>
          <w:trHeight w:val="454"/>
        </w:trPr>
        <w:tc>
          <w:tcPr>
            <w:tcW w:w="7380" w:type="dxa"/>
            <w:gridSpan w:val="7"/>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Telehealth Nurse Program — Patient Pathways — extension of Rare Disease Telehealth Nurse Program</w:t>
            </w:r>
          </w:p>
        </w:tc>
      </w:tr>
      <w:tr w:rsidR="004B14B0" w:rsidRPr="004B14B0" w:rsidTr="004B14B0">
        <w:trPr>
          <w:trHeight w:val="397"/>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rPr>
                <w:rFonts w:ascii="Arial" w:hAnsi="Arial" w:cs="Arial"/>
                <w:color w:val="auto"/>
                <w:sz w:val="16"/>
                <w:szCs w:val="16"/>
              </w:rPr>
            </w:pPr>
            <w:r w:rsidRPr="004B14B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Times New Roman" w:hAnsi="Times New Roman"/>
                <w:color w:val="auto"/>
                <w:sz w:val="20"/>
                <w:szCs w:val="20"/>
              </w:rPr>
            </w:pP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826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826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826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vAlign w:val="bottom"/>
            <w:hideMark/>
          </w:tcPr>
          <w:p w:rsidR="004B14B0" w:rsidRPr="004B14B0" w:rsidRDefault="004B14B0" w:rsidP="004B14B0">
            <w:pPr>
              <w:spacing w:after="0"/>
              <w:ind w:firstLineChars="100" w:firstLine="160"/>
              <w:rPr>
                <w:rFonts w:ascii="Arial" w:hAnsi="Arial" w:cs="Arial"/>
                <w:color w:val="auto"/>
                <w:sz w:val="16"/>
                <w:szCs w:val="16"/>
              </w:rPr>
            </w:pPr>
            <w:r w:rsidRPr="004B14B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213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137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146 </w:t>
            </w:r>
          </w:p>
        </w:tc>
        <w:tc>
          <w:tcPr>
            <w:tcW w:w="920" w:type="dxa"/>
            <w:tcBorders>
              <w:top w:val="nil"/>
              <w:left w:val="nil"/>
              <w:bottom w:val="nil"/>
              <w:right w:val="nil"/>
            </w:tcBorders>
            <w:shd w:val="clear" w:color="auto" w:fill="auto"/>
            <w:noWrap/>
            <w:vAlign w:val="bottom"/>
            <w:hideMark/>
          </w:tcPr>
          <w:p w:rsidR="004B14B0" w:rsidRPr="004B14B0" w:rsidRDefault="004B14B0" w:rsidP="004B14B0">
            <w:pPr>
              <w:spacing w:after="0"/>
              <w:jc w:val="right"/>
              <w:rPr>
                <w:rFonts w:ascii="Arial" w:hAnsi="Arial" w:cs="Arial"/>
                <w:color w:val="auto"/>
                <w:sz w:val="16"/>
                <w:szCs w:val="16"/>
              </w:rPr>
            </w:pPr>
            <w:r w:rsidRPr="004B14B0">
              <w:rPr>
                <w:rFonts w:ascii="Arial" w:hAnsi="Arial" w:cs="Arial"/>
                <w:color w:val="auto"/>
                <w:sz w:val="16"/>
                <w:szCs w:val="16"/>
              </w:rPr>
              <w:t xml:space="preserve">- </w:t>
            </w:r>
          </w:p>
        </w:tc>
      </w:tr>
      <w:tr w:rsidR="004B14B0" w:rsidRPr="004B14B0" w:rsidTr="004B14B0">
        <w:trPr>
          <w:trHeight w:val="225"/>
        </w:trPr>
        <w:tc>
          <w:tcPr>
            <w:tcW w:w="232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r w:rsidRPr="004B14B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4B14B0" w:rsidRPr="004B14B0" w:rsidRDefault="004B14B0" w:rsidP="004B14B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1,039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963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972 </w:t>
            </w:r>
          </w:p>
        </w:tc>
        <w:tc>
          <w:tcPr>
            <w:tcW w:w="920" w:type="dxa"/>
            <w:tcBorders>
              <w:top w:val="single" w:sz="4" w:space="0" w:color="000000"/>
              <w:left w:val="nil"/>
              <w:bottom w:val="single" w:sz="4" w:space="0" w:color="000000"/>
              <w:right w:val="nil"/>
            </w:tcBorders>
            <w:shd w:val="clear" w:color="auto" w:fill="auto"/>
            <w:noWrap/>
            <w:vAlign w:val="bottom"/>
            <w:hideMark/>
          </w:tcPr>
          <w:p w:rsidR="004B14B0" w:rsidRPr="004B14B0" w:rsidRDefault="004B14B0" w:rsidP="004B14B0">
            <w:pPr>
              <w:spacing w:after="0"/>
              <w:jc w:val="right"/>
              <w:rPr>
                <w:rFonts w:ascii="Arial" w:hAnsi="Arial" w:cs="Arial"/>
                <w:b/>
                <w:bCs/>
                <w:color w:val="auto"/>
                <w:sz w:val="16"/>
                <w:szCs w:val="16"/>
              </w:rPr>
            </w:pPr>
            <w:r w:rsidRPr="004B14B0">
              <w:rPr>
                <w:rFonts w:ascii="Arial" w:hAnsi="Arial" w:cs="Arial"/>
                <w:b/>
                <w:bCs/>
                <w:color w:val="auto"/>
                <w:sz w:val="16"/>
                <w:szCs w:val="16"/>
              </w:rPr>
              <w:t xml:space="preserve">- </w:t>
            </w:r>
          </w:p>
        </w:tc>
      </w:tr>
    </w:tbl>
    <w:p w:rsidR="00A6223E" w:rsidRDefault="00A6223E" w:rsidP="000D22DB">
      <w:pPr>
        <w:rPr>
          <w:rFonts w:ascii="Arial" w:hAnsi="Arial" w:cs="Arial"/>
          <w:szCs w:val="18"/>
        </w:rPr>
      </w:pPr>
      <w:r>
        <w:br w:type="page"/>
      </w:r>
    </w:p>
    <w:p w:rsidR="001807F5" w:rsidRPr="00F277A4" w:rsidRDefault="0000272F" w:rsidP="000D22DB">
      <w:pPr>
        <w:pStyle w:val="Tablenumberandreference"/>
        <w:rPr>
          <w:sz w:val="20"/>
        </w:rPr>
      </w:pPr>
      <w:r w:rsidRPr="00F277A4">
        <w:rPr>
          <w:sz w:val="20"/>
        </w:rPr>
        <w:lastRenderedPageBreak/>
        <w:t>Table 1.2: Department of Health and Aged Care October 2022–23 Budget measures</w:t>
      </w:r>
      <w:r w:rsidR="001807F5" w:rsidRPr="00F277A4">
        <w:rPr>
          <w:sz w:val="20"/>
        </w:rPr>
        <w:t xml:space="preserve"> (continued)</w:t>
      </w:r>
    </w:p>
    <w:tbl>
      <w:tblPr>
        <w:tblW w:w="7388" w:type="dxa"/>
        <w:tblLook w:val="04A0" w:firstRow="1" w:lastRow="0" w:firstColumn="1" w:lastColumn="0" w:noHBand="0" w:noVBand="1"/>
      </w:tblPr>
      <w:tblGrid>
        <w:gridCol w:w="2523"/>
        <w:gridCol w:w="462"/>
        <w:gridCol w:w="917"/>
        <w:gridCol w:w="911"/>
        <w:gridCol w:w="898"/>
        <w:gridCol w:w="843"/>
        <w:gridCol w:w="842"/>
      </w:tblGrid>
      <w:tr w:rsidR="001807F5" w:rsidRPr="001807F5" w:rsidTr="00457A85">
        <w:trPr>
          <w:trHeight w:val="227"/>
        </w:trPr>
        <w:tc>
          <w:tcPr>
            <w:tcW w:w="2981" w:type="dxa"/>
            <w:gridSpan w:val="2"/>
            <w:tcBorders>
              <w:top w:val="single" w:sz="4" w:space="0" w:color="000000"/>
              <w:left w:val="nil"/>
              <w:bottom w:val="nil"/>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 xml:space="preserve">Outcome/ </w:t>
            </w:r>
            <w:r w:rsidRPr="001807F5">
              <w:rPr>
                <w:rFonts w:ascii="Arial" w:hAnsi="Arial" w:cs="Arial"/>
                <w:b/>
                <w:bCs/>
                <w:color w:val="auto"/>
                <w:sz w:val="16"/>
                <w:szCs w:val="16"/>
              </w:rPr>
              <w:br/>
              <w:t>Program</w:t>
            </w:r>
          </w:p>
        </w:tc>
        <w:tc>
          <w:tcPr>
            <w:tcW w:w="916"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2021–22</w:t>
            </w:r>
            <w:r w:rsidRPr="001807F5">
              <w:rPr>
                <w:rFonts w:ascii="Arial" w:hAnsi="Arial" w:cs="Arial"/>
                <w:b/>
                <w:bCs/>
                <w:color w:val="auto"/>
                <w:sz w:val="16"/>
                <w:szCs w:val="16"/>
              </w:rPr>
              <w:br/>
            </w:r>
            <w:r w:rsidRPr="001807F5">
              <w:rPr>
                <w:rFonts w:ascii="Arial" w:hAnsi="Arial" w:cs="Arial"/>
                <w:color w:val="auto"/>
                <w:sz w:val="16"/>
                <w:szCs w:val="16"/>
              </w:rPr>
              <w:t>$'000</w:t>
            </w:r>
          </w:p>
        </w:tc>
        <w:tc>
          <w:tcPr>
            <w:tcW w:w="910" w:type="dxa"/>
            <w:tcBorders>
              <w:top w:val="single" w:sz="4" w:space="0" w:color="000000"/>
              <w:left w:val="nil"/>
              <w:bottom w:val="single" w:sz="4" w:space="0" w:color="000000"/>
              <w:right w:val="nil"/>
            </w:tcBorders>
            <w:shd w:val="clear" w:color="000000" w:fill="D9D9D9"/>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2022–23</w:t>
            </w:r>
            <w:r w:rsidRPr="001807F5">
              <w:rPr>
                <w:rFonts w:ascii="Arial" w:hAnsi="Arial" w:cs="Arial"/>
                <w:b/>
                <w:bCs/>
                <w:color w:val="auto"/>
                <w:sz w:val="16"/>
                <w:szCs w:val="16"/>
              </w:rPr>
              <w:br/>
            </w:r>
            <w:r w:rsidRPr="001807F5">
              <w:rPr>
                <w:rFonts w:ascii="Arial" w:hAnsi="Arial" w:cs="Arial"/>
                <w:color w:val="auto"/>
                <w:sz w:val="16"/>
                <w:szCs w:val="16"/>
              </w:rPr>
              <w:t>$'000</w:t>
            </w:r>
          </w:p>
        </w:tc>
        <w:tc>
          <w:tcPr>
            <w:tcW w:w="897"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2023–24</w:t>
            </w:r>
            <w:r w:rsidRPr="001807F5">
              <w:rPr>
                <w:rFonts w:ascii="Arial" w:hAnsi="Arial" w:cs="Arial"/>
                <w:b/>
                <w:bCs/>
                <w:color w:val="auto"/>
                <w:sz w:val="16"/>
                <w:szCs w:val="16"/>
              </w:rPr>
              <w:br/>
            </w:r>
            <w:r w:rsidRPr="001807F5">
              <w:rPr>
                <w:rFonts w:ascii="Arial" w:hAnsi="Arial" w:cs="Arial"/>
                <w:color w:val="auto"/>
                <w:sz w:val="16"/>
                <w:szCs w:val="16"/>
              </w:rPr>
              <w:t>$'000</w:t>
            </w:r>
          </w:p>
        </w:tc>
        <w:tc>
          <w:tcPr>
            <w:tcW w:w="842"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2024–25</w:t>
            </w:r>
            <w:r w:rsidRPr="001807F5">
              <w:rPr>
                <w:rFonts w:ascii="Arial" w:hAnsi="Arial" w:cs="Arial"/>
                <w:b/>
                <w:bCs/>
                <w:color w:val="auto"/>
                <w:sz w:val="16"/>
                <w:szCs w:val="16"/>
              </w:rPr>
              <w:br/>
            </w:r>
            <w:r w:rsidRPr="001807F5">
              <w:rPr>
                <w:rFonts w:ascii="Arial" w:hAnsi="Arial" w:cs="Arial"/>
                <w:color w:val="auto"/>
                <w:sz w:val="16"/>
                <w:szCs w:val="16"/>
              </w:rPr>
              <w:t>$'000</w:t>
            </w:r>
          </w:p>
        </w:tc>
        <w:tc>
          <w:tcPr>
            <w:tcW w:w="842"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2025–26</w:t>
            </w:r>
            <w:r w:rsidRPr="001807F5">
              <w:rPr>
                <w:rFonts w:ascii="Arial" w:hAnsi="Arial" w:cs="Arial"/>
                <w:b/>
                <w:bCs/>
                <w:color w:val="auto"/>
                <w:sz w:val="16"/>
                <w:szCs w:val="16"/>
              </w:rPr>
              <w:br/>
            </w:r>
            <w:r w:rsidRPr="001807F5">
              <w:rPr>
                <w:rFonts w:ascii="Arial" w:hAnsi="Arial" w:cs="Arial"/>
                <w:color w:val="auto"/>
                <w:sz w:val="16"/>
                <w:szCs w:val="16"/>
              </w:rPr>
              <w:t>$'000</w:t>
            </w:r>
          </w:p>
        </w:tc>
      </w:tr>
      <w:tr w:rsidR="001807F5" w:rsidRPr="001807F5" w:rsidTr="00457A85">
        <w:trPr>
          <w:trHeight w:val="454"/>
        </w:trPr>
        <w:tc>
          <w:tcPr>
            <w:tcW w:w="7388" w:type="dxa"/>
            <w:gridSpan w:val="7"/>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Therapeutic Goods Administration — completion of digital and business transformation for consumers, healthcare providers and industry</w:t>
            </w:r>
          </w:p>
        </w:tc>
      </w:tr>
      <w:tr w:rsidR="001807F5" w:rsidRPr="001807F5" w:rsidTr="00457A85">
        <w:trPr>
          <w:trHeight w:val="397"/>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 xml:space="preserve">Department of Health and Aged Care </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1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457A85">
        <w:trPr>
          <w:trHeight w:val="225"/>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ind w:leftChars="75" w:left="143"/>
              <w:rPr>
                <w:rFonts w:ascii="Arial" w:hAnsi="Arial" w:cs="Arial"/>
                <w:color w:val="auto"/>
                <w:sz w:val="16"/>
                <w:szCs w:val="16"/>
              </w:rPr>
            </w:pPr>
            <w:r w:rsidRPr="001807F5">
              <w:rPr>
                <w:rFonts w:ascii="Arial" w:hAnsi="Arial" w:cs="Arial"/>
                <w:color w:val="auto"/>
                <w:sz w:val="16"/>
                <w:szCs w:val="16"/>
              </w:rPr>
              <w:t>Departmental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1,620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1,458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ind w:leftChars="75" w:left="143"/>
              <w:rPr>
                <w:rFonts w:ascii="Arial" w:hAnsi="Arial" w:cs="Arial"/>
                <w:color w:val="auto"/>
                <w:sz w:val="16"/>
                <w:szCs w:val="16"/>
              </w:rPr>
            </w:pPr>
            <w:r w:rsidRPr="001807F5">
              <w:rPr>
                <w:rFonts w:ascii="Arial" w:hAnsi="Arial" w:cs="Arial"/>
                <w:color w:val="auto"/>
                <w:sz w:val="16"/>
                <w:szCs w:val="16"/>
              </w:rPr>
              <w:t>Departmental capital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12,300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7,900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Total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p>
        </w:tc>
        <w:tc>
          <w:tcPr>
            <w:tcW w:w="916"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c>
          <w:tcPr>
            <w:tcW w:w="910" w:type="dxa"/>
            <w:tcBorders>
              <w:top w:val="single" w:sz="4" w:space="0" w:color="000000"/>
              <w:left w:val="nil"/>
              <w:bottom w:val="single" w:sz="4" w:space="0" w:color="000000"/>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13,920 </w:t>
            </w:r>
          </w:p>
        </w:tc>
        <w:tc>
          <w:tcPr>
            <w:tcW w:w="897"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9,358 </w:t>
            </w:r>
          </w:p>
        </w:tc>
        <w:tc>
          <w:tcPr>
            <w:tcW w:w="842"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c>
          <w:tcPr>
            <w:tcW w:w="842"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ind w:leftChars="75" w:left="143"/>
              <w:rPr>
                <w:rFonts w:ascii="Arial" w:hAnsi="Arial" w:cs="Arial"/>
                <w:i/>
                <w:iCs/>
                <w:color w:val="auto"/>
                <w:sz w:val="16"/>
                <w:szCs w:val="16"/>
              </w:rPr>
            </w:pPr>
            <w:r w:rsidRPr="001807F5">
              <w:rPr>
                <w:rFonts w:ascii="Arial" w:hAnsi="Arial" w:cs="Arial"/>
                <w:i/>
                <w:iCs/>
                <w:color w:val="auto"/>
                <w:sz w:val="16"/>
                <w:szCs w:val="16"/>
              </w:rPr>
              <w:t>Related receipts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i/>
                <w:iCs/>
                <w:color w:val="auto"/>
                <w:sz w:val="16"/>
                <w:szCs w:val="16"/>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457A85">
        <w:trPr>
          <w:trHeight w:val="397"/>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ind w:leftChars="75" w:left="143"/>
              <w:rPr>
                <w:rFonts w:ascii="Arial" w:hAnsi="Arial" w:cs="Arial"/>
                <w:i/>
                <w:iCs/>
                <w:color w:val="auto"/>
                <w:sz w:val="16"/>
                <w:szCs w:val="16"/>
              </w:rPr>
            </w:pPr>
            <w:r w:rsidRPr="001807F5">
              <w:rPr>
                <w:rFonts w:ascii="Arial" w:hAnsi="Arial" w:cs="Arial"/>
                <w:i/>
                <w:iCs/>
                <w:color w:val="auto"/>
                <w:sz w:val="16"/>
                <w:szCs w:val="16"/>
              </w:rPr>
              <w:t>Department of Health and Aged Care</w:t>
            </w:r>
          </w:p>
        </w:tc>
        <w:tc>
          <w:tcPr>
            <w:tcW w:w="461" w:type="dxa"/>
            <w:tcBorders>
              <w:top w:val="nil"/>
              <w:left w:val="nil"/>
              <w:bottom w:val="single" w:sz="4" w:space="0" w:color="auto"/>
              <w:right w:val="nil"/>
            </w:tcBorders>
            <w:shd w:val="clear" w:color="auto" w:fill="auto"/>
            <w:noWrap/>
            <w:vAlign w:val="bottom"/>
            <w:hideMark/>
          </w:tcPr>
          <w:p w:rsidR="001807F5" w:rsidRPr="001807F5" w:rsidRDefault="001807F5" w:rsidP="001807F5">
            <w:pPr>
              <w:spacing w:after="0"/>
              <w:jc w:val="right"/>
              <w:rPr>
                <w:rFonts w:ascii="Arial" w:hAnsi="Arial" w:cs="Arial"/>
                <w:i/>
                <w:iCs/>
                <w:color w:val="auto"/>
                <w:sz w:val="16"/>
                <w:szCs w:val="16"/>
              </w:rPr>
            </w:pPr>
            <w:r w:rsidRPr="001807F5">
              <w:rPr>
                <w:rFonts w:ascii="Arial" w:hAnsi="Arial" w:cs="Arial"/>
                <w:i/>
                <w:iCs/>
                <w:color w:val="auto"/>
                <w:sz w:val="16"/>
                <w:szCs w:val="16"/>
              </w:rPr>
              <w:t> </w:t>
            </w:r>
          </w:p>
        </w:tc>
        <w:tc>
          <w:tcPr>
            <w:tcW w:w="916" w:type="dxa"/>
            <w:tcBorders>
              <w:top w:val="nil"/>
              <w:left w:val="nil"/>
              <w:bottom w:val="single" w:sz="4" w:space="0" w:color="auto"/>
              <w:right w:val="nil"/>
            </w:tcBorders>
            <w:shd w:val="clear" w:color="auto" w:fill="auto"/>
            <w:noWrap/>
            <w:vAlign w:val="bottom"/>
            <w:hideMark/>
          </w:tcPr>
          <w:p w:rsidR="001807F5" w:rsidRPr="001807F5" w:rsidRDefault="001807F5" w:rsidP="001807F5">
            <w:pPr>
              <w:spacing w:after="0"/>
              <w:jc w:val="right"/>
              <w:rPr>
                <w:rFonts w:ascii="Arial" w:hAnsi="Arial" w:cs="Arial"/>
                <w:i/>
                <w:iCs/>
                <w:color w:val="auto"/>
                <w:sz w:val="16"/>
                <w:szCs w:val="16"/>
              </w:rPr>
            </w:pPr>
            <w:r w:rsidRPr="001807F5">
              <w:rPr>
                <w:rFonts w:ascii="Arial" w:hAnsi="Arial" w:cs="Arial"/>
                <w:i/>
                <w:iCs/>
                <w:color w:val="auto"/>
                <w:sz w:val="16"/>
                <w:szCs w:val="16"/>
              </w:rPr>
              <w:t xml:space="preserve">- </w:t>
            </w:r>
          </w:p>
        </w:tc>
        <w:tc>
          <w:tcPr>
            <w:tcW w:w="910" w:type="dxa"/>
            <w:tcBorders>
              <w:top w:val="nil"/>
              <w:left w:val="nil"/>
              <w:bottom w:val="single" w:sz="4" w:space="0" w:color="auto"/>
              <w:right w:val="nil"/>
            </w:tcBorders>
            <w:shd w:val="clear" w:color="000000" w:fill="D9D9D9"/>
            <w:noWrap/>
            <w:vAlign w:val="bottom"/>
            <w:hideMark/>
          </w:tcPr>
          <w:p w:rsidR="001807F5" w:rsidRPr="001807F5" w:rsidRDefault="001807F5" w:rsidP="001807F5">
            <w:pPr>
              <w:spacing w:after="0"/>
              <w:jc w:val="right"/>
              <w:rPr>
                <w:rFonts w:ascii="Arial" w:hAnsi="Arial" w:cs="Arial"/>
                <w:i/>
                <w:iCs/>
                <w:color w:val="auto"/>
                <w:sz w:val="16"/>
                <w:szCs w:val="16"/>
              </w:rPr>
            </w:pPr>
            <w:r w:rsidRPr="001807F5">
              <w:rPr>
                <w:rFonts w:ascii="Arial" w:hAnsi="Arial" w:cs="Arial"/>
                <w:i/>
                <w:iCs/>
                <w:color w:val="auto"/>
                <w:sz w:val="16"/>
                <w:szCs w:val="16"/>
              </w:rPr>
              <w:t xml:space="preserve">- </w:t>
            </w:r>
          </w:p>
        </w:tc>
        <w:tc>
          <w:tcPr>
            <w:tcW w:w="897" w:type="dxa"/>
            <w:tcBorders>
              <w:top w:val="nil"/>
              <w:left w:val="nil"/>
              <w:bottom w:val="single" w:sz="4" w:space="0" w:color="auto"/>
              <w:right w:val="nil"/>
            </w:tcBorders>
            <w:shd w:val="clear" w:color="auto" w:fill="auto"/>
            <w:noWrap/>
            <w:vAlign w:val="bottom"/>
            <w:hideMark/>
          </w:tcPr>
          <w:p w:rsidR="001807F5" w:rsidRPr="001807F5" w:rsidRDefault="001807F5" w:rsidP="001807F5">
            <w:pPr>
              <w:spacing w:after="0"/>
              <w:jc w:val="right"/>
              <w:rPr>
                <w:rFonts w:ascii="Arial" w:hAnsi="Arial" w:cs="Arial"/>
                <w:i/>
                <w:iCs/>
                <w:color w:val="auto"/>
                <w:sz w:val="16"/>
                <w:szCs w:val="16"/>
              </w:rPr>
            </w:pPr>
            <w:r w:rsidRPr="001807F5">
              <w:rPr>
                <w:rFonts w:ascii="Arial" w:hAnsi="Arial" w:cs="Arial"/>
                <w:i/>
                <w:iCs/>
                <w:color w:val="auto"/>
                <w:sz w:val="16"/>
                <w:szCs w:val="16"/>
              </w:rPr>
              <w:t xml:space="preserve">2,630 </w:t>
            </w:r>
          </w:p>
        </w:tc>
        <w:tc>
          <w:tcPr>
            <w:tcW w:w="842" w:type="dxa"/>
            <w:tcBorders>
              <w:top w:val="nil"/>
              <w:left w:val="nil"/>
              <w:bottom w:val="single" w:sz="4" w:space="0" w:color="auto"/>
              <w:right w:val="nil"/>
            </w:tcBorders>
            <w:shd w:val="clear" w:color="auto" w:fill="auto"/>
            <w:noWrap/>
            <w:vAlign w:val="bottom"/>
            <w:hideMark/>
          </w:tcPr>
          <w:p w:rsidR="001807F5" w:rsidRPr="001807F5" w:rsidRDefault="001807F5" w:rsidP="001807F5">
            <w:pPr>
              <w:spacing w:after="0"/>
              <w:jc w:val="right"/>
              <w:rPr>
                <w:rFonts w:ascii="Arial" w:hAnsi="Arial" w:cs="Arial"/>
                <w:i/>
                <w:iCs/>
                <w:color w:val="auto"/>
                <w:sz w:val="16"/>
                <w:szCs w:val="16"/>
              </w:rPr>
            </w:pPr>
            <w:r w:rsidRPr="001807F5">
              <w:rPr>
                <w:rFonts w:ascii="Arial" w:hAnsi="Arial" w:cs="Arial"/>
                <w:i/>
                <w:iCs/>
                <w:color w:val="auto"/>
                <w:sz w:val="16"/>
                <w:szCs w:val="16"/>
              </w:rPr>
              <w:t xml:space="preserve">4,656 </w:t>
            </w:r>
          </w:p>
        </w:tc>
        <w:tc>
          <w:tcPr>
            <w:tcW w:w="842" w:type="dxa"/>
            <w:tcBorders>
              <w:top w:val="nil"/>
              <w:left w:val="nil"/>
              <w:bottom w:val="single" w:sz="4" w:space="0" w:color="auto"/>
              <w:right w:val="nil"/>
            </w:tcBorders>
            <w:shd w:val="clear" w:color="auto" w:fill="auto"/>
            <w:noWrap/>
            <w:vAlign w:val="bottom"/>
            <w:hideMark/>
          </w:tcPr>
          <w:p w:rsidR="001807F5" w:rsidRPr="001807F5" w:rsidRDefault="001807F5" w:rsidP="001807F5">
            <w:pPr>
              <w:spacing w:after="0"/>
              <w:jc w:val="right"/>
              <w:rPr>
                <w:rFonts w:ascii="Arial" w:hAnsi="Arial" w:cs="Arial"/>
                <w:i/>
                <w:iCs/>
                <w:color w:val="auto"/>
                <w:sz w:val="16"/>
                <w:szCs w:val="16"/>
              </w:rPr>
            </w:pPr>
            <w:r w:rsidRPr="001807F5">
              <w:rPr>
                <w:rFonts w:ascii="Arial" w:hAnsi="Arial" w:cs="Arial"/>
                <w:i/>
                <w:iCs/>
                <w:color w:val="auto"/>
                <w:sz w:val="16"/>
                <w:szCs w:val="16"/>
              </w:rPr>
              <w:t xml:space="preserve">4,656 </w:t>
            </w:r>
          </w:p>
        </w:tc>
      </w:tr>
      <w:tr w:rsidR="001807F5" w:rsidRPr="001807F5" w:rsidTr="00457A85">
        <w:trPr>
          <w:trHeight w:val="283"/>
        </w:trPr>
        <w:tc>
          <w:tcPr>
            <w:tcW w:w="7388" w:type="dxa"/>
            <w:gridSpan w:val="7"/>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Urgent Care Clinics</w:t>
            </w:r>
          </w:p>
        </w:tc>
      </w:tr>
      <w:tr w:rsidR="001807F5" w:rsidRPr="001807F5" w:rsidTr="00457A85">
        <w:trPr>
          <w:trHeight w:val="397"/>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 xml:space="preserve">Department of Health and Aged Care </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1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ind w:leftChars="75" w:left="143"/>
              <w:rPr>
                <w:rFonts w:ascii="Arial" w:hAnsi="Arial" w:cs="Arial"/>
                <w:color w:val="auto"/>
                <w:sz w:val="16"/>
                <w:szCs w:val="16"/>
              </w:rPr>
            </w:pPr>
            <w:r w:rsidRPr="001807F5">
              <w:rPr>
                <w:rFonts w:ascii="Arial" w:hAnsi="Arial" w:cs="Arial"/>
                <w:color w:val="auto"/>
                <w:sz w:val="16"/>
                <w:szCs w:val="16"/>
              </w:rPr>
              <w:t>Administered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1.6</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20,490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37,249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33,310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33,782 </w:t>
            </w:r>
          </w:p>
        </w:tc>
      </w:tr>
      <w:tr w:rsidR="001807F5" w:rsidRPr="001807F5" w:rsidTr="00457A85">
        <w:trPr>
          <w:trHeight w:val="225"/>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ind w:leftChars="75" w:left="143"/>
              <w:rPr>
                <w:rFonts w:ascii="Arial" w:hAnsi="Arial" w:cs="Arial"/>
                <w:color w:val="auto"/>
                <w:sz w:val="16"/>
                <w:szCs w:val="16"/>
              </w:rPr>
            </w:pPr>
            <w:r w:rsidRPr="001807F5">
              <w:rPr>
                <w:rFonts w:ascii="Arial" w:hAnsi="Arial" w:cs="Arial"/>
                <w:color w:val="auto"/>
                <w:sz w:val="16"/>
                <w:szCs w:val="16"/>
              </w:rPr>
              <w:t>Departmental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1,010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2,951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3,090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3,118 </w:t>
            </w:r>
          </w:p>
        </w:tc>
      </w:tr>
      <w:tr w:rsidR="001807F5" w:rsidRPr="001807F5" w:rsidTr="00457A85">
        <w:trPr>
          <w:trHeight w:val="283"/>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Department of the Treasury</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ind w:leftChars="75" w:left="143"/>
              <w:rPr>
                <w:rFonts w:ascii="Arial" w:hAnsi="Arial" w:cs="Arial"/>
                <w:color w:val="auto"/>
                <w:sz w:val="16"/>
                <w:szCs w:val="16"/>
              </w:rPr>
            </w:pPr>
            <w:r w:rsidRPr="001807F5">
              <w:rPr>
                <w:rFonts w:ascii="Arial" w:hAnsi="Arial" w:cs="Arial"/>
                <w:color w:val="auto"/>
                <w:sz w:val="16"/>
                <w:szCs w:val="16"/>
              </w:rPr>
              <w:t>Administered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50,000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50,000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Total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p>
        </w:tc>
        <w:tc>
          <w:tcPr>
            <w:tcW w:w="916"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c>
          <w:tcPr>
            <w:tcW w:w="910" w:type="dxa"/>
            <w:tcBorders>
              <w:top w:val="single" w:sz="4" w:space="0" w:color="000000"/>
              <w:left w:val="nil"/>
              <w:bottom w:val="single" w:sz="4" w:space="0" w:color="000000"/>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71,500 </w:t>
            </w:r>
          </w:p>
        </w:tc>
        <w:tc>
          <w:tcPr>
            <w:tcW w:w="897"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90,200 </w:t>
            </w:r>
          </w:p>
        </w:tc>
        <w:tc>
          <w:tcPr>
            <w:tcW w:w="842"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36,400 </w:t>
            </w:r>
          </w:p>
        </w:tc>
        <w:tc>
          <w:tcPr>
            <w:tcW w:w="842"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36,900 </w:t>
            </w:r>
          </w:p>
        </w:tc>
      </w:tr>
      <w:tr w:rsidR="001807F5" w:rsidRPr="001807F5" w:rsidTr="00457A85">
        <w:trPr>
          <w:trHeight w:val="13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Times New Roman" w:hAnsi="Times New Roman"/>
                <w:color w:val="auto"/>
                <w:sz w:val="20"/>
                <w:szCs w:val="20"/>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1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457A85" w:rsidRPr="001807F5" w:rsidTr="00457A85">
        <w:trPr>
          <w:trHeight w:val="375"/>
        </w:trPr>
        <w:tc>
          <w:tcPr>
            <w:tcW w:w="6546" w:type="dxa"/>
            <w:gridSpan w:val="6"/>
            <w:tcBorders>
              <w:top w:val="nil"/>
              <w:left w:val="nil"/>
              <w:bottom w:val="nil"/>
              <w:right w:val="nil"/>
            </w:tcBorders>
            <w:shd w:val="clear" w:color="000000" w:fill="D9D9D9"/>
            <w:noWrap/>
            <w:tcMar>
              <w:right w:w="0" w:type="dxa"/>
            </w:tcMar>
            <w:vAlign w:val="bottom"/>
            <w:hideMark/>
          </w:tcPr>
          <w:p w:rsidR="00457A85" w:rsidRPr="001807F5" w:rsidRDefault="00457A85" w:rsidP="00457A85">
            <w:pPr>
              <w:spacing w:after="0"/>
              <w:rPr>
                <w:rFonts w:ascii="Arial" w:hAnsi="Arial" w:cs="Arial"/>
                <w:color w:val="auto"/>
                <w:sz w:val="16"/>
                <w:szCs w:val="16"/>
              </w:rPr>
            </w:pPr>
            <w:r w:rsidRPr="001807F5">
              <w:rPr>
                <w:rFonts w:ascii="Arial" w:hAnsi="Arial" w:cs="Arial"/>
                <w:b/>
                <w:bCs/>
                <w:color w:val="auto"/>
                <w:sz w:val="20"/>
                <w:szCs w:val="20"/>
              </w:rPr>
              <w:t>Other Portfolio measures since the March 2022-23 Budget</w:t>
            </w:r>
            <w:r w:rsidRPr="00457A85">
              <w:rPr>
                <w:rFonts w:ascii="Arial" w:hAnsi="Arial" w:cs="Arial"/>
                <w:b/>
                <w:bCs/>
                <w:color w:val="auto"/>
                <w:sz w:val="20"/>
                <w:szCs w:val="20"/>
                <w:vertAlign w:val="superscript"/>
              </w:rPr>
              <w:t>(e)</w:t>
            </w:r>
            <w:r w:rsidRPr="001807F5">
              <w:rPr>
                <w:rFonts w:ascii="Arial" w:hAnsi="Arial" w:cs="Arial"/>
                <w:color w:val="auto"/>
                <w:sz w:val="16"/>
                <w:szCs w:val="16"/>
              </w:rPr>
              <w:t> </w:t>
            </w:r>
          </w:p>
        </w:tc>
        <w:tc>
          <w:tcPr>
            <w:tcW w:w="842" w:type="dxa"/>
            <w:tcBorders>
              <w:top w:val="nil"/>
              <w:left w:val="nil"/>
              <w:bottom w:val="nil"/>
              <w:right w:val="nil"/>
            </w:tcBorders>
            <w:shd w:val="clear" w:color="000000" w:fill="D9D9D9"/>
            <w:noWrap/>
            <w:vAlign w:val="bottom"/>
            <w:hideMark/>
          </w:tcPr>
          <w:p w:rsidR="00457A85" w:rsidRPr="001807F5" w:rsidRDefault="00457A85" w:rsidP="001807F5">
            <w:pPr>
              <w:spacing w:after="0"/>
              <w:jc w:val="right"/>
              <w:rPr>
                <w:rFonts w:ascii="Arial" w:hAnsi="Arial" w:cs="Arial"/>
                <w:color w:val="auto"/>
                <w:sz w:val="16"/>
                <w:szCs w:val="16"/>
              </w:rPr>
            </w:pPr>
            <w:r w:rsidRPr="001807F5">
              <w:rPr>
                <w:rFonts w:ascii="Arial" w:hAnsi="Arial" w:cs="Arial"/>
                <w:color w:val="auto"/>
                <w:sz w:val="16"/>
                <w:szCs w:val="16"/>
              </w:rPr>
              <w:t> </w:t>
            </w:r>
          </w:p>
        </w:tc>
      </w:tr>
      <w:tr w:rsidR="001807F5" w:rsidRPr="001807F5" w:rsidTr="00457A85">
        <w:trPr>
          <w:trHeight w:val="283"/>
        </w:trPr>
        <w:tc>
          <w:tcPr>
            <w:tcW w:w="7388" w:type="dxa"/>
            <w:gridSpan w:val="7"/>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 xml:space="preserve">Additional Assistance to Ukraine </w:t>
            </w:r>
          </w:p>
        </w:tc>
      </w:tr>
      <w:tr w:rsidR="001807F5" w:rsidRPr="001807F5" w:rsidTr="00457A85">
        <w:trPr>
          <w:trHeight w:val="225"/>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i/>
                <w:iCs/>
                <w:color w:val="auto"/>
                <w:sz w:val="16"/>
                <w:szCs w:val="16"/>
              </w:rPr>
            </w:pPr>
            <w:r w:rsidRPr="001807F5">
              <w:rPr>
                <w:rFonts w:ascii="Arial" w:hAnsi="Arial" w:cs="Arial"/>
                <w:i/>
                <w:iCs/>
                <w:color w:val="auto"/>
                <w:sz w:val="16"/>
                <w:szCs w:val="16"/>
              </w:rPr>
              <w:t>Department of Home Affairs</w:t>
            </w:r>
          </w:p>
        </w:tc>
        <w:tc>
          <w:tcPr>
            <w:tcW w:w="461"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i/>
                <w:iCs/>
                <w:color w:val="auto"/>
                <w:sz w:val="16"/>
                <w:szCs w:val="16"/>
              </w:rPr>
            </w:pPr>
          </w:p>
        </w:tc>
        <w:tc>
          <w:tcPr>
            <w:tcW w:w="916"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c>
          <w:tcPr>
            <w:tcW w:w="910"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c>
          <w:tcPr>
            <w:tcW w:w="897"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c>
          <w:tcPr>
            <w:tcW w:w="842"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c>
          <w:tcPr>
            <w:tcW w:w="842"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r>
      <w:tr w:rsidR="001807F5" w:rsidRPr="001807F5" w:rsidTr="00457A85">
        <w:trPr>
          <w:trHeight w:val="397"/>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 xml:space="preserve">Department of Health and Aged Care </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1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ind w:leftChars="75" w:left="143"/>
              <w:rPr>
                <w:rFonts w:ascii="Arial" w:hAnsi="Arial" w:cs="Arial"/>
                <w:color w:val="auto"/>
                <w:sz w:val="16"/>
                <w:szCs w:val="16"/>
              </w:rPr>
            </w:pPr>
            <w:r w:rsidRPr="001807F5">
              <w:rPr>
                <w:rFonts w:ascii="Arial" w:hAnsi="Arial" w:cs="Arial"/>
                <w:color w:val="auto"/>
                <w:sz w:val="16"/>
                <w:szCs w:val="16"/>
              </w:rPr>
              <w:t>Administered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2.1</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1,827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5,411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2.3</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2,426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2,407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70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vAlign w:val="bottom"/>
            <w:hideMark/>
          </w:tcPr>
          <w:p w:rsidR="001807F5" w:rsidRPr="001807F5" w:rsidRDefault="001807F5" w:rsidP="001807F5">
            <w:pPr>
              <w:spacing w:after="0"/>
              <w:jc w:val="right"/>
              <w:rPr>
                <w:rFonts w:ascii="Arial" w:hAnsi="Arial" w:cs="Arial"/>
                <w:color w:val="auto"/>
                <w:sz w:val="16"/>
                <w:szCs w:val="16"/>
              </w:rPr>
            </w:pP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2.5</w:t>
            </w:r>
          </w:p>
        </w:tc>
        <w:tc>
          <w:tcPr>
            <w:tcW w:w="916"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1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169 </w:t>
            </w:r>
          </w:p>
        </w:tc>
        <w:tc>
          <w:tcPr>
            <w:tcW w:w="897"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169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842"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457A85">
        <w:trPr>
          <w:trHeight w:val="225"/>
        </w:trPr>
        <w:tc>
          <w:tcPr>
            <w:tcW w:w="252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Total payments</w:t>
            </w:r>
          </w:p>
        </w:tc>
        <w:tc>
          <w:tcPr>
            <w:tcW w:w="461"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p>
        </w:tc>
        <w:tc>
          <w:tcPr>
            <w:tcW w:w="916"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c>
          <w:tcPr>
            <w:tcW w:w="910" w:type="dxa"/>
            <w:tcBorders>
              <w:top w:val="single" w:sz="4" w:space="0" w:color="000000"/>
              <w:left w:val="nil"/>
              <w:bottom w:val="single" w:sz="4" w:space="0" w:color="000000"/>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4,422 </w:t>
            </w:r>
          </w:p>
        </w:tc>
        <w:tc>
          <w:tcPr>
            <w:tcW w:w="897"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7,987 </w:t>
            </w:r>
          </w:p>
        </w:tc>
        <w:tc>
          <w:tcPr>
            <w:tcW w:w="842"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70 </w:t>
            </w:r>
          </w:p>
        </w:tc>
        <w:tc>
          <w:tcPr>
            <w:tcW w:w="842"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r>
    </w:tbl>
    <w:p w:rsidR="001807F5" w:rsidRDefault="001807F5" w:rsidP="001807F5">
      <w:pPr>
        <w:rPr>
          <w:rFonts w:ascii="Arial" w:hAnsi="Arial" w:cs="Arial"/>
          <w:szCs w:val="18"/>
        </w:rPr>
      </w:pPr>
      <w:r>
        <w:br w:type="page"/>
      </w:r>
    </w:p>
    <w:p w:rsidR="001807F5" w:rsidRPr="00F277A4" w:rsidRDefault="001807F5" w:rsidP="001807F5">
      <w:pPr>
        <w:pStyle w:val="Tablenumberandreference"/>
        <w:rPr>
          <w:sz w:val="20"/>
        </w:rPr>
      </w:pPr>
      <w:r w:rsidRPr="00F277A4">
        <w:rPr>
          <w:sz w:val="20"/>
        </w:rPr>
        <w:lastRenderedPageBreak/>
        <w:t>Table 1.2: Department of Health and Aged Care October 2022–23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1807F5" w:rsidRPr="001807F5" w:rsidTr="001807F5">
        <w:trPr>
          <w:trHeight w:val="113"/>
          <w:jc w:val="center"/>
        </w:trPr>
        <w:tc>
          <w:tcPr>
            <w:tcW w:w="2780" w:type="dxa"/>
            <w:gridSpan w:val="2"/>
            <w:tcBorders>
              <w:top w:val="single" w:sz="4" w:space="0" w:color="000000"/>
              <w:left w:val="nil"/>
              <w:bottom w:val="nil"/>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 xml:space="preserve">Outcome/ </w:t>
            </w:r>
            <w:r w:rsidRPr="001807F5">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2021–22</w:t>
            </w:r>
            <w:r w:rsidRPr="001807F5">
              <w:rPr>
                <w:rFonts w:ascii="Arial" w:hAnsi="Arial" w:cs="Arial"/>
                <w:b/>
                <w:bCs/>
                <w:color w:val="auto"/>
                <w:sz w:val="16"/>
                <w:szCs w:val="16"/>
              </w:rPr>
              <w:br/>
            </w:r>
            <w:r w:rsidRPr="001807F5">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2022–23</w:t>
            </w:r>
            <w:r w:rsidRPr="001807F5">
              <w:rPr>
                <w:rFonts w:ascii="Arial" w:hAnsi="Arial" w:cs="Arial"/>
                <w:b/>
                <w:bCs/>
                <w:color w:val="auto"/>
                <w:sz w:val="16"/>
                <w:szCs w:val="16"/>
              </w:rPr>
              <w:br/>
            </w:r>
            <w:r w:rsidRPr="001807F5">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2023–24</w:t>
            </w:r>
            <w:r w:rsidRPr="001807F5">
              <w:rPr>
                <w:rFonts w:ascii="Arial" w:hAnsi="Arial" w:cs="Arial"/>
                <w:b/>
                <w:bCs/>
                <w:color w:val="auto"/>
                <w:sz w:val="16"/>
                <w:szCs w:val="16"/>
              </w:rPr>
              <w:br/>
            </w:r>
            <w:r w:rsidRPr="001807F5">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2024–25</w:t>
            </w:r>
            <w:r w:rsidRPr="001807F5">
              <w:rPr>
                <w:rFonts w:ascii="Arial" w:hAnsi="Arial" w:cs="Arial"/>
                <w:b/>
                <w:bCs/>
                <w:color w:val="auto"/>
                <w:sz w:val="16"/>
                <w:szCs w:val="16"/>
              </w:rPr>
              <w:br/>
            </w:r>
            <w:r w:rsidRPr="001807F5">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807F5" w:rsidRPr="001807F5" w:rsidRDefault="001807F5" w:rsidP="001807F5">
            <w:pPr>
              <w:spacing w:before="40" w:after="0"/>
              <w:jc w:val="right"/>
              <w:rPr>
                <w:rFonts w:ascii="Arial" w:hAnsi="Arial" w:cs="Arial"/>
                <w:b/>
                <w:bCs/>
                <w:color w:val="auto"/>
                <w:sz w:val="16"/>
                <w:szCs w:val="16"/>
              </w:rPr>
            </w:pPr>
            <w:r w:rsidRPr="001807F5">
              <w:rPr>
                <w:rFonts w:ascii="Arial" w:hAnsi="Arial" w:cs="Arial"/>
                <w:b/>
                <w:bCs/>
                <w:color w:val="auto"/>
                <w:sz w:val="16"/>
                <w:szCs w:val="16"/>
              </w:rPr>
              <w:t>2025–26</w:t>
            </w:r>
            <w:r w:rsidRPr="001807F5">
              <w:rPr>
                <w:rFonts w:ascii="Arial" w:hAnsi="Arial" w:cs="Arial"/>
                <w:b/>
                <w:bCs/>
                <w:color w:val="auto"/>
                <w:sz w:val="16"/>
                <w:szCs w:val="16"/>
              </w:rPr>
              <w:br/>
            </w:r>
            <w:r w:rsidRPr="001807F5">
              <w:rPr>
                <w:rFonts w:ascii="Arial" w:hAnsi="Arial" w:cs="Arial"/>
                <w:color w:val="auto"/>
                <w:sz w:val="16"/>
                <w:szCs w:val="16"/>
              </w:rPr>
              <w:t>$'000</w:t>
            </w:r>
          </w:p>
        </w:tc>
      </w:tr>
      <w:tr w:rsidR="001807F5" w:rsidRPr="001807F5" w:rsidTr="0013129D">
        <w:trPr>
          <w:trHeight w:val="255"/>
          <w:jc w:val="center"/>
        </w:trPr>
        <w:tc>
          <w:tcPr>
            <w:tcW w:w="7380" w:type="dxa"/>
            <w:gridSpan w:val="7"/>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An Ambitious and Enduring APS Reform Plan</w:t>
            </w:r>
          </w:p>
        </w:tc>
      </w:tr>
      <w:tr w:rsidR="001807F5" w:rsidRPr="001807F5" w:rsidTr="001807F5">
        <w:trPr>
          <w:trHeight w:val="225"/>
          <w:jc w:val="center"/>
        </w:trPr>
        <w:tc>
          <w:tcPr>
            <w:tcW w:w="3700" w:type="dxa"/>
            <w:gridSpan w:val="3"/>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i/>
                <w:iCs/>
                <w:color w:val="auto"/>
                <w:sz w:val="16"/>
                <w:szCs w:val="16"/>
              </w:rPr>
            </w:pPr>
            <w:r w:rsidRPr="001807F5">
              <w:rPr>
                <w:rFonts w:ascii="Arial" w:hAnsi="Arial" w:cs="Arial"/>
                <w:i/>
                <w:iCs/>
                <w:color w:val="auto"/>
                <w:sz w:val="16"/>
                <w:szCs w:val="16"/>
              </w:rPr>
              <w:t>Department of Prime Minister &amp; Cabinet</w:t>
            </w:r>
          </w:p>
        </w:tc>
        <w:tc>
          <w:tcPr>
            <w:tcW w:w="9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807F5" w:rsidRPr="001807F5" w:rsidRDefault="001807F5" w:rsidP="001807F5">
            <w:pPr>
              <w:spacing w:after="0"/>
              <w:rPr>
                <w:rFonts w:ascii="Times New Roman" w:hAnsi="Times New Roman"/>
                <w:color w:val="auto"/>
                <w:sz w:val="20"/>
                <w:szCs w:val="20"/>
              </w:rPr>
            </w:pPr>
          </w:p>
        </w:tc>
      </w:tr>
      <w:tr w:rsidR="001807F5" w:rsidRPr="001807F5" w:rsidTr="001807F5">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(160)</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(367)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(430)</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(60)</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(139)</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(163)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(95)</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(220)</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(258)</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(9)</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Australian Aged Care Quality Safety Commission</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(71)</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(173)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(207)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Australian Digital Health Agency</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(75)</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Australian Instit</w:t>
            </w:r>
            <w:r>
              <w:rPr>
                <w:rFonts w:ascii="Arial" w:hAnsi="Arial" w:cs="Arial"/>
                <w:color w:val="auto"/>
                <w:sz w:val="16"/>
                <w:szCs w:val="16"/>
              </w:rPr>
              <w:t>u</w:t>
            </w:r>
            <w:r w:rsidRPr="001807F5">
              <w:rPr>
                <w:rFonts w:ascii="Arial" w:hAnsi="Arial" w:cs="Arial"/>
                <w:color w:val="auto"/>
                <w:sz w:val="16"/>
                <w:szCs w:val="16"/>
              </w:rPr>
              <w:t>te of Health and Welfare</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(36)</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56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Australian Radiation Protection and Nuclear Safety Agency</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(5)</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Cancer Australia</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Food Standards Australia and New Zealand</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(6)</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National Blood Authority</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(6)</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National Health Funding Body</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(7)</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(8)</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National Health and Medical Research Council</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(38)</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(46)</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3129D">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National Mental Health Commission</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Organ and Tissue Authority</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(6)</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(8)</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170"/>
          <w:jc w:val="center"/>
        </w:trPr>
        <w:tc>
          <w:tcPr>
            <w:tcW w:w="2320" w:type="dxa"/>
            <w:tcBorders>
              <w:top w:val="nil"/>
              <w:left w:val="nil"/>
              <w:bottom w:val="nil"/>
              <w:right w:val="nil"/>
            </w:tcBorders>
            <w:shd w:val="clear" w:color="auto" w:fill="auto"/>
            <w:tcMar>
              <w:right w:w="0" w:type="dxa"/>
            </w:tcMar>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Professional Services Review</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(5)</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(20)</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Sport Integrity Australia</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(19)</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r>
      <w:tr w:rsidR="001807F5" w:rsidRPr="001807F5" w:rsidTr="001807F5">
        <w:trPr>
          <w:trHeight w:val="225"/>
          <w:jc w:val="center"/>
        </w:trPr>
        <w:tc>
          <w:tcPr>
            <w:tcW w:w="232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(531)</w:t>
            </w: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(1,101)</w:t>
            </w: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(1,284)</w:t>
            </w: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r>
      <w:tr w:rsidR="001807F5" w:rsidRPr="001807F5" w:rsidTr="001807F5">
        <w:trPr>
          <w:trHeight w:val="20"/>
          <w:jc w:val="center"/>
        </w:trPr>
        <w:tc>
          <w:tcPr>
            <w:tcW w:w="23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0"/>
                <w:szCs w:val="16"/>
              </w:rPr>
            </w:pP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Times New Roman" w:hAnsi="Times New Roman"/>
                <w:color w:val="auto"/>
                <w:sz w:val="1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1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1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1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1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10"/>
                <w:szCs w:val="20"/>
              </w:rPr>
            </w:pPr>
          </w:p>
        </w:tc>
      </w:tr>
      <w:tr w:rsidR="001807F5" w:rsidRPr="001807F5" w:rsidTr="0013129D">
        <w:trPr>
          <w:trHeight w:val="255"/>
          <w:jc w:val="center"/>
        </w:trPr>
        <w:tc>
          <w:tcPr>
            <w:tcW w:w="7380" w:type="dxa"/>
            <w:gridSpan w:val="7"/>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Brisbane 2032 Olympic and Paralympic Games — departmental resourcing</w:t>
            </w:r>
          </w:p>
        </w:tc>
      </w:tr>
      <w:tr w:rsidR="001807F5" w:rsidRPr="001807F5" w:rsidTr="001807F5">
        <w:trPr>
          <w:trHeight w:val="225"/>
          <w:jc w:val="center"/>
        </w:trPr>
        <w:tc>
          <w:tcPr>
            <w:tcW w:w="7380" w:type="dxa"/>
            <w:gridSpan w:val="7"/>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i/>
                <w:iCs/>
                <w:color w:val="auto"/>
                <w:sz w:val="16"/>
                <w:szCs w:val="16"/>
              </w:rPr>
            </w:pPr>
            <w:r w:rsidRPr="001807F5">
              <w:rPr>
                <w:rFonts w:ascii="Arial" w:hAnsi="Arial" w:cs="Arial"/>
                <w:i/>
                <w:iCs/>
                <w:color w:val="auto"/>
                <w:sz w:val="16"/>
                <w:szCs w:val="16"/>
              </w:rPr>
              <w:t>Department of Infrastructure, Transport, Regional Development, Communications and the Arts</w:t>
            </w:r>
          </w:p>
        </w:tc>
      </w:tr>
      <w:tr w:rsidR="001807F5" w:rsidRPr="001807F5" w:rsidTr="001807F5">
        <w:trPr>
          <w:trHeight w:val="397"/>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rPr>
                <w:rFonts w:ascii="Arial" w:hAnsi="Arial" w:cs="Arial"/>
                <w:color w:val="auto"/>
                <w:sz w:val="16"/>
                <w:szCs w:val="16"/>
              </w:rPr>
            </w:pPr>
            <w:r w:rsidRPr="001807F5">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Times New Roman" w:hAnsi="Times New Roman"/>
                <w:color w:val="auto"/>
                <w:sz w:val="20"/>
                <w:szCs w:val="20"/>
              </w:rPr>
            </w:pPr>
          </w:p>
        </w:tc>
      </w:tr>
      <w:tr w:rsidR="001807F5" w:rsidRPr="001807F5" w:rsidTr="001807F5">
        <w:trPr>
          <w:trHeight w:val="225"/>
          <w:jc w:val="center"/>
        </w:trPr>
        <w:tc>
          <w:tcPr>
            <w:tcW w:w="2320" w:type="dxa"/>
            <w:tcBorders>
              <w:top w:val="nil"/>
              <w:left w:val="nil"/>
              <w:bottom w:val="nil"/>
              <w:right w:val="nil"/>
            </w:tcBorders>
            <w:shd w:val="clear" w:color="auto" w:fill="auto"/>
            <w:vAlign w:val="bottom"/>
            <w:hideMark/>
          </w:tcPr>
          <w:p w:rsidR="001807F5" w:rsidRPr="001807F5" w:rsidRDefault="001807F5" w:rsidP="001807F5">
            <w:pPr>
              <w:spacing w:after="0"/>
              <w:ind w:firstLineChars="100" w:firstLine="160"/>
              <w:rPr>
                <w:rFonts w:ascii="Arial" w:hAnsi="Arial" w:cs="Arial"/>
                <w:color w:val="auto"/>
                <w:sz w:val="16"/>
                <w:szCs w:val="16"/>
              </w:rPr>
            </w:pPr>
            <w:r w:rsidRPr="001807F5">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1,104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676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684 </w:t>
            </w:r>
          </w:p>
        </w:tc>
        <w:tc>
          <w:tcPr>
            <w:tcW w:w="920" w:type="dxa"/>
            <w:tcBorders>
              <w:top w:val="nil"/>
              <w:left w:val="nil"/>
              <w:bottom w:val="nil"/>
              <w:right w:val="nil"/>
            </w:tcBorders>
            <w:shd w:val="clear" w:color="auto" w:fill="auto"/>
            <w:noWrap/>
            <w:vAlign w:val="bottom"/>
            <w:hideMark/>
          </w:tcPr>
          <w:p w:rsidR="001807F5" w:rsidRPr="001807F5" w:rsidRDefault="001807F5" w:rsidP="001807F5">
            <w:pPr>
              <w:spacing w:after="0"/>
              <w:jc w:val="right"/>
              <w:rPr>
                <w:rFonts w:ascii="Arial" w:hAnsi="Arial" w:cs="Arial"/>
                <w:color w:val="auto"/>
                <w:sz w:val="16"/>
                <w:szCs w:val="16"/>
              </w:rPr>
            </w:pPr>
            <w:r w:rsidRPr="001807F5">
              <w:rPr>
                <w:rFonts w:ascii="Arial" w:hAnsi="Arial" w:cs="Arial"/>
                <w:color w:val="auto"/>
                <w:sz w:val="16"/>
                <w:szCs w:val="16"/>
              </w:rPr>
              <w:t xml:space="preserve">689 </w:t>
            </w:r>
          </w:p>
        </w:tc>
      </w:tr>
      <w:tr w:rsidR="001807F5" w:rsidRPr="001807F5" w:rsidTr="001807F5">
        <w:trPr>
          <w:trHeight w:val="225"/>
          <w:jc w:val="center"/>
        </w:trPr>
        <w:tc>
          <w:tcPr>
            <w:tcW w:w="232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r w:rsidRPr="001807F5">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807F5" w:rsidRPr="001807F5" w:rsidRDefault="001807F5" w:rsidP="001807F5">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1,104 </w:t>
            </w: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676 </w:t>
            </w: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684 </w:t>
            </w:r>
          </w:p>
        </w:tc>
        <w:tc>
          <w:tcPr>
            <w:tcW w:w="920" w:type="dxa"/>
            <w:tcBorders>
              <w:top w:val="single" w:sz="4" w:space="0" w:color="000000"/>
              <w:left w:val="nil"/>
              <w:bottom w:val="single" w:sz="4" w:space="0" w:color="000000"/>
              <w:right w:val="nil"/>
            </w:tcBorders>
            <w:shd w:val="clear" w:color="auto" w:fill="auto"/>
            <w:noWrap/>
            <w:vAlign w:val="bottom"/>
            <w:hideMark/>
          </w:tcPr>
          <w:p w:rsidR="001807F5" w:rsidRPr="001807F5" w:rsidRDefault="001807F5" w:rsidP="001807F5">
            <w:pPr>
              <w:spacing w:after="0"/>
              <w:jc w:val="right"/>
              <w:rPr>
                <w:rFonts w:ascii="Arial" w:hAnsi="Arial" w:cs="Arial"/>
                <w:b/>
                <w:bCs/>
                <w:color w:val="auto"/>
                <w:sz w:val="16"/>
                <w:szCs w:val="16"/>
              </w:rPr>
            </w:pPr>
            <w:r w:rsidRPr="001807F5">
              <w:rPr>
                <w:rFonts w:ascii="Arial" w:hAnsi="Arial" w:cs="Arial"/>
                <w:b/>
                <w:bCs/>
                <w:color w:val="auto"/>
                <w:sz w:val="16"/>
                <w:szCs w:val="16"/>
              </w:rPr>
              <w:t xml:space="preserve">689 </w:t>
            </w:r>
          </w:p>
        </w:tc>
      </w:tr>
    </w:tbl>
    <w:p w:rsidR="0013129D" w:rsidRPr="00F277A4" w:rsidRDefault="001807F5" w:rsidP="001807F5">
      <w:pPr>
        <w:pStyle w:val="Tablenumberandreference"/>
        <w:rPr>
          <w:sz w:val="20"/>
        </w:rPr>
      </w:pPr>
      <w:r w:rsidRPr="00F277A4">
        <w:rPr>
          <w:sz w:val="20"/>
        </w:rPr>
        <w:lastRenderedPageBreak/>
        <w:t>Table 1.2: Department of Health and Aged Care October 2022–23 Budget measures (continued)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13129D" w:rsidRPr="0013129D" w:rsidTr="0013129D">
        <w:trPr>
          <w:trHeight w:val="283"/>
        </w:trPr>
        <w:tc>
          <w:tcPr>
            <w:tcW w:w="2780" w:type="dxa"/>
            <w:gridSpan w:val="2"/>
            <w:tcBorders>
              <w:top w:val="single" w:sz="4" w:space="0" w:color="000000"/>
              <w:left w:val="nil"/>
              <w:bottom w:val="nil"/>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 xml:space="preserve">Outcome/ </w:t>
            </w:r>
            <w:r w:rsidRPr="0013129D">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2021–22</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2022–23</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2023–24</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2024–25</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2025–26</w:t>
            </w:r>
            <w:r w:rsidRPr="0013129D">
              <w:rPr>
                <w:rFonts w:ascii="Arial" w:hAnsi="Arial" w:cs="Arial"/>
                <w:b/>
                <w:bCs/>
                <w:color w:val="auto"/>
                <w:sz w:val="16"/>
                <w:szCs w:val="16"/>
              </w:rPr>
              <w:br/>
            </w:r>
            <w:r w:rsidRPr="0013129D">
              <w:rPr>
                <w:rFonts w:ascii="Arial" w:hAnsi="Arial" w:cs="Arial"/>
                <w:color w:val="auto"/>
                <w:sz w:val="16"/>
                <w:szCs w:val="16"/>
              </w:rPr>
              <w:t>$'000</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Lifting the Income Threshold for the Commonwealth Seniors Health Card</w:t>
            </w:r>
          </w:p>
        </w:tc>
      </w:tr>
      <w:tr w:rsidR="0013129D" w:rsidRPr="0013129D" w:rsidTr="0013129D">
        <w:trPr>
          <w:trHeight w:val="225"/>
        </w:trPr>
        <w:tc>
          <w:tcPr>
            <w:tcW w:w="2780" w:type="dxa"/>
            <w:gridSpan w:val="2"/>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Department of Social Services</w:t>
            </w: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4,353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5,077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5,585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6,035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6,934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9,903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10,801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11,368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11,287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14,980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16,386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17,403 </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457A85" w:rsidP="0013129D">
            <w:pPr>
              <w:spacing w:after="0"/>
              <w:rPr>
                <w:rFonts w:ascii="Arial" w:hAnsi="Arial" w:cs="Arial"/>
                <w:b/>
                <w:bCs/>
                <w:color w:val="auto"/>
                <w:sz w:val="16"/>
                <w:szCs w:val="16"/>
              </w:rPr>
            </w:pPr>
            <w:r>
              <w:rPr>
                <w:rFonts w:ascii="Arial" w:hAnsi="Arial" w:cs="Arial"/>
                <w:b/>
                <w:bCs/>
                <w:color w:val="auto"/>
                <w:sz w:val="16"/>
                <w:szCs w:val="16"/>
              </w:rPr>
              <w:t>Migration Program – 2022</w:t>
            </w:r>
            <w:r w:rsidRPr="00457A85">
              <w:rPr>
                <w:rFonts w:ascii="Arial" w:hAnsi="Arial" w:cs="Arial"/>
                <w:b/>
                <w:bCs/>
                <w:color w:val="auto"/>
                <w:sz w:val="16"/>
                <w:szCs w:val="16"/>
              </w:rPr>
              <w:t>–</w:t>
            </w:r>
            <w:r w:rsidR="0013129D" w:rsidRPr="0013129D">
              <w:rPr>
                <w:rFonts w:ascii="Arial" w:hAnsi="Arial" w:cs="Arial"/>
                <w:b/>
                <w:bCs/>
                <w:color w:val="auto"/>
                <w:sz w:val="16"/>
                <w:szCs w:val="16"/>
              </w:rPr>
              <w:t>23 planning levels</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Department of Home Affairs</w:t>
            </w:r>
          </w:p>
        </w:tc>
        <w:tc>
          <w:tcPr>
            <w:tcW w:w="46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7"/>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14,757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29,586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30,967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32,572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9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17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6,256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12,844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13,147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12,823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8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419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551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549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21,022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42,853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44,674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45,961 </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National Autism Strategy</w:t>
            </w:r>
          </w:p>
        </w:tc>
      </w:tr>
      <w:tr w:rsidR="0013129D" w:rsidRPr="0013129D" w:rsidTr="0013129D">
        <w:trPr>
          <w:trHeight w:val="225"/>
        </w:trPr>
        <w:tc>
          <w:tcPr>
            <w:tcW w:w="2780" w:type="dxa"/>
            <w:gridSpan w:val="2"/>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Department of Social Services</w:t>
            </w: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108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192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108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192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Pacific Engagement Visa</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Department of Home Affairs</w:t>
            </w:r>
          </w:p>
        </w:tc>
        <w:tc>
          <w:tcPr>
            <w:tcW w:w="46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1,266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3,898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6,674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544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1,123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1,139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99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289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474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1,909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5,311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8,288 </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Responsible Investment to Grow Our Regions</w:t>
            </w:r>
          </w:p>
        </w:tc>
      </w:tr>
      <w:tr w:rsidR="0013129D" w:rsidRPr="0013129D" w:rsidTr="0013129D">
        <w:trPr>
          <w:trHeight w:val="225"/>
        </w:trPr>
        <w:tc>
          <w:tcPr>
            <w:tcW w:w="7380" w:type="dxa"/>
            <w:gridSpan w:val="7"/>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Department of Infrastructure, Transport, Regional Development, Communications and the Arts</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1,100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950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2,000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2,900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98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4,000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9,048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2,000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r>
    </w:tbl>
    <w:p w:rsidR="001807F5" w:rsidRDefault="001807F5" w:rsidP="001807F5">
      <w:pPr>
        <w:rPr>
          <w:rFonts w:ascii="Arial" w:hAnsi="Arial" w:cs="Arial"/>
          <w:szCs w:val="18"/>
        </w:rPr>
      </w:pPr>
      <w:r>
        <w:br w:type="page"/>
      </w:r>
    </w:p>
    <w:p w:rsidR="0013129D" w:rsidRPr="00F277A4" w:rsidRDefault="001807F5" w:rsidP="001807F5">
      <w:pPr>
        <w:pStyle w:val="Tablenumberandreference"/>
        <w:rPr>
          <w:sz w:val="20"/>
        </w:rPr>
      </w:pPr>
      <w:r w:rsidRPr="00F277A4">
        <w:rPr>
          <w:sz w:val="20"/>
        </w:rPr>
        <w:lastRenderedPageBreak/>
        <w:t>Table 1.2: Department of Health and Aged Care October 2022–23 Budget measures (continued)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13129D" w:rsidRPr="0013129D" w:rsidTr="00457A85">
        <w:trPr>
          <w:trHeight w:val="283"/>
        </w:trPr>
        <w:tc>
          <w:tcPr>
            <w:tcW w:w="2780" w:type="dxa"/>
            <w:gridSpan w:val="2"/>
            <w:tcBorders>
              <w:top w:val="single" w:sz="4" w:space="0" w:color="000000"/>
              <w:left w:val="nil"/>
              <w:bottom w:val="nil"/>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 xml:space="preserve">Outcome/ </w:t>
            </w:r>
            <w:r w:rsidRPr="0013129D">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2021–22</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2022–23</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2023–24</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2024–25</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2025–26</w:t>
            </w:r>
            <w:r w:rsidRPr="0013129D">
              <w:rPr>
                <w:rFonts w:ascii="Arial" w:hAnsi="Arial" w:cs="Arial"/>
                <w:b/>
                <w:bCs/>
                <w:color w:val="auto"/>
                <w:sz w:val="16"/>
                <w:szCs w:val="16"/>
              </w:rPr>
              <w:br/>
            </w:r>
            <w:r w:rsidRPr="0013129D">
              <w:rPr>
                <w:rFonts w:ascii="Arial" w:hAnsi="Arial" w:cs="Arial"/>
                <w:color w:val="auto"/>
                <w:sz w:val="16"/>
                <w:szCs w:val="16"/>
              </w:rPr>
              <w:t>$'000</w:t>
            </w:r>
          </w:p>
        </w:tc>
      </w:tr>
      <w:tr w:rsidR="0013129D" w:rsidRPr="0013129D" w:rsidTr="00457A85">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proofErr w:type="spellStart"/>
            <w:r w:rsidRPr="0013129D">
              <w:rPr>
                <w:rFonts w:ascii="Arial" w:hAnsi="Arial" w:cs="Arial"/>
                <w:b/>
                <w:bCs/>
                <w:color w:val="auto"/>
                <w:sz w:val="16"/>
                <w:szCs w:val="16"/>
              </w:rPr>
              <w:t>Startup</w:t>
            </w:r>
            <w:proofErr w:type="spellEnd"/>
            <w:r w:rsidRPr="0013129D">
              <w:rPr>
                <w:rFonts w:ascii="Arial" w:hAnsi="Arial" w:cs="Arial"/>
                <w:b/>
                <w:bCs/>
                <w:color w:val="auto"/>
                <w:sz w:val="16"/>
                <w:szCs w:val="16"/>
              </w:rPr>
              <w:t xml:space="preserve"> Year — establishment</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Department of Education</w:t>
            </w:r>
          </w:p>
        </w:tc>
        <w:tc>
          <w:tcPr>
            <w:tcW w:w="46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457A85">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23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23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22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22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41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45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45 </w:t>
            </w:r>
          </w:p>
        </w:tc>
      </w:tr>
      <w:tr w:rsidR="0013129D" w:rsidRPr="0013129D" w:rsidTr="00457A85">
        <w:trPr>
          <w:trHeight w:val="13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457A85">
        <w:trPr>
          <w:trHeight w:val="13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457A85" w:rsidRPr="0013129D" w:rsidTr="00457A85">
        <w:trPr>
          <w:trHeight w:val="375"/>
        </w:trPr>
        <w:tc>
          <w:tcPr>
            <w:tcW w:w="7380" w:type="dxa"/>
            <w:gridSpan w:val="7"/>
            <w:tcBorders>
              <w:top w:val="nil"/>
              <w:left w:val="nil"/>
              <w:bottom w:val="nil"/>
              <w:right w:val="nil"/>
            </w:tcBorders>
            <w:shd w:val="clear" w:color="000000" w:fill="D9D9D9"/>
            <w:noWrap/>
            <w:vAlign w:val="bottom"/>
            <w:hideMark/>
          </w:tcPr>
          <w:p w:rsidR="00457A85" w:rsidRPr="0013129D" w:rsidRDefault="00457A85" w:rsidP="00457A85">
            <w:pPr>
              <w:spacing w:after="0"/>
              <w:rPr>
                <w:rFonts w:ascii="Arial" w:hAnsi="Arial" w:cs="Arial"/>
                <w:color w:val="auto"/>
                <w:sz w:val="16"/>
                <w:szCs w:val="16"/>
              </w:rPr>
            </w:pPr>
            <w:r w:rsidRPr="0013129D">
              <w:rPr>
                <w:rFonts w:ascii="Arial" w:hAnsi="Arial" w:cs="Arial"/>
                <w:b/>
                <w:bCs/>
                <w:color w:val="auto"/>
                <w:sz w:val="20"/>
                <w:szCs w:val="20"/>
              </w:rPr>
              <w:t>Whole of Government measures since the March 2022-23 Budget</w:t>
            </w:r>
            <w:r w:rsidRPr="0013129D">
              <w:rPr>
                <w:rFonts w:ascii="Arial" w:hAnsi="Arial" w:cs="Arial"/>
                <w:b/>
                <w:bCs/>
                <w:color w:val="auto"/>
                <w:sz w:val="20"/>
                <w:szCs w:val="20"/>
                <w:vertAlign w:val="superscript"/>
              </w:rPr>
              <w:t xml:space="preserve"> (e)</w:t>
            </w:r>
            <w:r w:rsidRPr="0013129D">
              <w:rPr>
                <w:rFonts w:ascii="Arial" w:hAnsi="Arial" w:cs="Arial"/>
                <w:color w:val="auto"/>
                <w:sz w:val="16"/>
                <w:szCs w:val="16"/>
              </w:rPr>
              <w:t> </w:t>
            </w:r>
          </w:p>
        </w:tc>
      </w:tr>
      <w:tr w:rsidR="0013129D" w:rsidRPr="0013129D" w:rsidTr="00457A85">
        <w:trPr>
          <w:trHeight w:val="454"/>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Government Spending Audit — Providing Certainty on Unlegislated Measures Announced by the Previous Government</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 xml:space="preserve">Cross Portfolio </w:t>
            </w:r>
          </w:p>
        </w:tc>
        <w:tc>
          <w:tcPr>
            <w:tcW w:w="46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457A85">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(4,389)</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353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3,271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7,695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7,695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19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19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164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427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427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438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3,954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8,852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8,852 </w:t>
            </w:r>
          </w:p>
        </w:tc>
      </w:tr>
      <w:tr w:rsidR="0013129D" w:rsidRPr="0013129D" w:rsidTr="00457A85">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(3,581)</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7,396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16,993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16,993 </w:t>
            </w:r>
          </w:p>
        </w:tc>
      </w:tr>
    </w:tbl>
    <w:p w:rsidR="001807F5" w:rsidRDefault="001807F5" w:rsidP="001807F5">
      <w:pPr>
        <w:rPr>
          <w:rFonts w:ascii="Arial" w:hAnsi="Arial" w:cs="Arial"/>
          <w:szCs w:val="18"/>
        </w:rPr>
      </w:pPr>
      <w:r>
        <w:br w:type="page"/>
      </w:r>
    </w:p>
    <w:p w:rsidR="0013129D" w:rsidRPr="00F277A4" w:rsidRDefault="001807F5" w:rsidP="001807F5">
      <w:pPr>
        <w:pStyle w:val="Tablenumberandreference"/>
        <w:rPr>
          <w:sz w:val="20"/>
        </w:rPr>
      </w:pPr>
      <w:r w:rsidRPr="00F277A4">
        <w:rPr>
          <w:sz w:val="20"/>
        </w:rPr>
        <w:lastRenderedPageBreak/>
        <w:t>Table 1.2: Department of Health and Aged Care October 2022–23 Budget measures (continued)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13129D" w:rsidRPr="0013129D" w:rsidTr="0013129D">
        <w:trPr>
          <w:trHeight w:val="283"/>
        </w:trPr>
        <w:tc>
          <w:tcPr>
            <w:tcW w:w="2780" w:type="dxa"/>
            <w:gridSpan w:val="2"/>
            <w:tcBorders>
              <w:top w:val="single" w:sz="4" w:space="0" w:color="000000"/>
              <w:left w:val="nil"/>
              <w:bottom w:val="nil"/>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 xml:space="preserve">Outcome/ </w:t>
            </w:r>
            <w:r w:rsidRPr="0013129D">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2021–22</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2022–23</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2023–24</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2024–25</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2025–26</w:t>
            </w:r>
            <w:r w:rsidRPr="0013129D">
              <w:rPr>
                <w:rFonts w:ascii="Arial" w:hAnsi="Arial" w:cs="Arial"/>
                <w:b/>
                <w:bCs/>
                <w:color w:val="auto"/>
                <w:sz w:val="16"/>
                <w:szCs w:val="16"/>
              </w:rPr>
              <w:br/>
            </w:r>
            <w:r w:rsidRPr="0013129D">
              <w:rPr>
                <w:rFonts w:ascii="Arial" w:hAnsi="Arial" w:cs="Arial"/>
                <w:color w:val="auto"/>
                <w:sz w:val="16"/>
                <w:szCs w:val="16"/>
              </w:rPr>
              <w:t>$'000</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Savings from External Labour, and Savings from Advertising, Travel and Legal Expenses</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 xml:space="preserve">Cross Portfolio </w:t>
            </w:r>
          </w:p>
        </w:tc>
        <w:tc>
          <w:tcPr>
            <w:tcW w:w="46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(10,604)</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(4,030)</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(6,363)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4</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Australian Aged Care Quality Safety Commission</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(4,724)</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Australian Digital Health Agency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(7,444)</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Australian </w:t>
            </w:r>
            <w:proofErr w:type="spellStart"/>
            <w:r w:rsidRPr="0013129D">
              <w:rPr>
                <w:rFonts w:ascii="Arial" w:hAnsi="Arial" w:cs="Arial"/>
                <w:color w:val="auto"/>
                <w:sz w:val="16"/>
                <w:szCs w:val="16"/>
              </w:rPr>
              <w:t>Institite</w:t>
            </w:r>
            <w:proofErr w:type="spellEnd"/>
            <w:r w:rsidRPr="0013129D">
              <w:rPr>
                <w:rFonts w:ascii="Arial" w:hAnsi="Arial" w:cs="Arial"/>
                <w:color w:val="auto"/>
                <w:sz w:val="16"/>
                <w:szCs w:val="16"/>
              </w:rPr>
              <w:t xml:space="preserve"> of Health and Welfare</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(787)</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Australian Radiation Protection and Nuclear Safety Agency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(271)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Australian Sports Commission</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(661)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Cancer Australia</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(161)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Food Standards Australia and New Zealand</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(184)</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National Blood Authority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(76)</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National Health Funding Body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National Health and Medical Research Council</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(878)</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National Mental Health Commission</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(241)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Organ and Tissue Authority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(103)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Professional Services Review</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(534)</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Sport Integrity Australia</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firstLineChars="100" w:firstLine="160"/>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(666)</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(38,060)</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r>
    </w:tbl>
    <w:p w:rsidR="001807F5" w:rsidRDefault="001807F5" w:rsidP="001807F5">
      <w:pPr>
        <w:rPr>
          <w:rFonts w:ascii="Arial" w:hAnsi="Arial" w:cs="Arial"/>
          <w:szCs w:val="18"/>
        </w:rPr>
      </w:pPr>
      <w:r>
        <w:br w:type="page"/>
      </w:r>
    </w:p>
    <w:p w:rsidR="0013129D" w:rsidRPr="00F277A4" w:rsidRDefault="001807F5" w:rsidP="001807F5">
      <w:pPr>
        <w:pStyle w:val="Tablenumberandreference"/>
        <w:rPr>
          <w:sz w:val="20"/>
        </w:rPr>
      </w:pPr>
      <w:r w:rsidRPr="00F277A4">
        <w:rPr>
          <w:sz w:val="20"/>
        </w:rPr>
        <w:lastRenderedPageBreak/>
        <w:t>Table 1.2: Department of Health and Aged Care October 2022–23 Budget measures (continued)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13129D" w:rsidRPr="0013129D" w:rsidTr="0013129D">
        <w:trPr>
          <w:trHeight w:val="227"/>
        </w:trPr>
        <w:tc>
          <w:tcPr>
            <w:tcW w:w="2780" w:type="dxa"/>
            <w:gridSpan w:val="2"/>
            <w:tcBorders>
              <w:top w:val="single" w:sz="4" w:space="0" w:color="000000"/>
              <w:left w:val="nil"/>
              <w:bottom w:val="nil"/>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 xml:space="preserve">Outcome/ </w:t>
            </w:r>
            <w:r w:rsidRPr="0013129D">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2021–22</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2022–23</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2023–24</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2024–25</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2025–26</w:t>
            </w:r>
            <w:r w:rsidRPr="0013129D">
              <w:rPr>
                <w:rFonts w:ascii="Arial" w:hAnsi="Arial" w:cs="Arial"/>
                <w:b/>
                <w:bCs/>
                <w:color w:val="auto"/>
                <w:sz w:val="16"/>
                <w:szCs w:val="16"/>
              </w:rPr>
              <w:br/>
            </w:r>
            <w:r w:rsidRPr="0013129D">
              <w:rPr>
                <w:rFonts w:ascii="Arial" w:hAnsi="Arial" w:cs="Arial"/>
                <w:color w:val="auto"/>
                <w:sz w:val="16"/>
                <w:szCs w:val="16"/>
              </w:rPr>
              <w:t>$'000</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Support for Community Sector Organisations</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i/>
                <w:iCs/>
                <w:color w:val="auto"/>
                <w:sz w:val="16"/>
                <w:szCs w:val="16"/>
              </w:rPr>
            </w:pPr>
            <w:r w:rsidRPr="0013129D">
              <w:rPr>
                <w:rFonts w:ascii="Arial" w:hAnsi="Arial" w:cs="Arial"/>
                <w:i/>
                <w:iCs/>
                <w:color w:val="auto"/>
                <w:sz w:val="16"/>
                <w:szCs w:val="16"/>
              </w:rPr>
              <w:t xml:space="preserve">Cross Portfolio </w:t>
            </w:r>
          </w:p>
        </w:tc>
        <w:tc>
          <w:tcPr>
            <w:tcW w:w="46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rsidR="0013129D" w:rsidRPr="0013129D" w:rsidRDefault="0013129D" w:rsidP="0013129D">
            <w:pPr>
              <w:spacing w:after="0"/>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1,681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1,678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1,677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1,676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445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444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444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444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3.1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15,000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14,971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14,959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14,953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17,126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17,093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17,080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17,073 </w:t>
            </w:r>
          </w:p>
        </w:tc>
      </w:tr>
    </w:tbl>
    <w:p w:rsidR="0013129D" w:rsidRPr="00F277A4" w:rsidRDefault="0013129D" w:rsidP="0013129D">
      <w:pPr>
        <w:pStyle w:val="Tablenumberandreference"/>
        <w:spacing w:before="120"/>
        <w:rPr>
          <w:sz w:val="20"/>
        </w:rPr>
      </w:pPr>
      <w:r w:rsidRPr="00F277A4">
        <w:rPr>
          <w:sz w:val="20"/>
        </w:rPr>
        <w:t>Part 2: Other measures not previously reported in a portfolio statement</w:t>
      </w:r>
      <w:r>
        <w:rPr>
          <w:sz w:val="20"/>
        </w:rPr>
        <w:t xml:space="preserve"> </w:t>
      </w:r>
      <w:r w:rsidRPr="0013129D">
        <w:rPr>
          <w:sz w:val="20"/>
          <w:vertAlign w:val="superscript"/>
        </w:rPr>
        <w:t>(f)</w:t>
      </w:r>
    </w:p>
    <w:tbl>
      <w:tblPr>
        <w:tblW w:w="7380" w:type="dxa"/>
        <w:tblLook w:val="04A0" w:firstRow="1" w:lastRow="0" w:firstColumn="1" w:lastColumn="0" w:noHBand="0" w:noVBand="1"/>
      </w:tblPr>
      <w:tblGrid>
        <w:gridCol w:w="2320"/>
        <w:gridCol w:w="460"/>
        <w:gridCol w:w="920"/>
        <w:gridCol w:w="920"/>
        <w:gridCol w:w="920"/>
        <w:gridCol w:w="920"/>
        <w:gridCol w:w="920"/>
      </w:tblGrid>
      <w:tr w:rsidR="0013129D" w:rsidRPr="0013129D" w:rsidTr="0013129D">
        <w:trPr>
          <w:trHeight w:val="283"/>
        </w:trPr>
        <w:tc>
          <w:tcPr>
            <w:tcW w:w="2780" w:type="dxa"/>
            <w:gridSpan w:val="2"/>
            <w:tcBorders>
              <w:top w:val="single" w:sz="4" w:space="0" w:color="000000"/>
              <w:left w:val="nil"/>
              <w:bottom w:val="nil"/>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 xml:space="preserve">Outcome/ </w:t>
            </w:r>
            <w:r w:rsidRPr="0013129D">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2021–22</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2022–23</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2023–24</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2024–25</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before="40" w:after="0"/>
              <w:jc w:val="right"/>
              <w:rPr>
                <w:rFonts w:ascii="Arial" w:hAnsi="Arial" w:cs="Arial"/>
                <w:b/>
                <w:bCs/>
                <w:color w:val="auto"/>
                <w:sz w:val="16"/>
                <w:szCs w:val="16"/>
              </w:rPr>
            </w:pPr>
            <w:r w:rsidRPr="0013129D">
              <w:rPr>
                <w:rFonts w:ascii="Arial" w:hAnsi="Arial" w:cs="Arial"/>
                <w:b/>
                <w:bCs/>
                <w:color w:val="auto"/>
                <w:sz w:val="16"/>
                <w:szCs w:val="16"/>
              </w:rPr>
              <w:t>2025–26</w:t>
            </w:r>
            <w:r w:rsidRPr="0013129D">
              <w:rPr>
                <w:rFonts w:ascii="Arial" w:hAnsi="Arial" w:cs="Arial"/>
                <w:b/>
                <w:bCs/>
                <w:color w:val="auto"/>
                <w:sz w:val="16"/>
                <w:szCs w:val="16"/>
              </w:rPr>
              <w:br/>
            </w:r>
            <w:r w:rsidRPr="0013129D">
              <w:rPr>
                <w:rFonts w:ascii="Arial" w:hAnsi="Arial" w:cs="Arial"/>
                <w:color w:val="auto"/>
                <w:sz w:val="16"/>
                <w:szCs w:val="16"/>
              </w:rPr>
              <w:t>$'000</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Centre for National Resilience — continuation</w:t>
            </w:r>
            <w:r w:rsidRPr="0013129D">
              <w:rPr>
                <w:rFonts w:ascii="Arial" w:hAnsi="Arial" w:cs="Arial"/>
                <w:b/>
                <w:bCs/>
                <w:color w:val="auto"/>
                <w:sz w:val="16"/>
                <w:szCs w:val="16"/>
                <w:vertAlign w:val="superscript"/>
              </w:rPr>
              <w:t xml:space="preserve"> (b)</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83"/>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r>
      <w:tr w:rsidR="0013129D" w:rsidRPr="0013129D" w:rsidTr="0013129D">
        <w:trPr>
          <w:trHeight w:val="283"/>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COVID-19 Response Package — treatments</w:t>
            </w: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(14,097)</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(101,343)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182,746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943,232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83"/>
        </w:trPr>
        <w:tc>
          <w:tcPr>
            <w:tcW w:w="2780" w:type="dxa"/>
            <w:gridSpan w:val="2"/>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28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83"/>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leftChars="75" w:left="143"/>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6,323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33,111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175,000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875,000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ind w:leftChars="75" w:left="143"/>
              <w:rPr>
                <w:rFonts w:ascii="Arial" w:hAnsi="Arial" w:cs="Arial"/>
                <w:i/>
                <w:iCs/>
                <w:color w:val="auto"/>
                <w:sz w:val="16"/>
                <w:szCs w:val="16"/>
              </w:rPr>
            </w:pPr>
            <w:r w:rsidRPr="0013129D">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ind w:leftChars="75" w:left="143"/>
              <w:rPr>
                <w:rFonts w:ascii="Arial" w:hAnsi="Arial" w:cs="Arial"/>
                <w:i/>
                <w:iCs/>
                <w:color w:val="auto"/>
                <w:sz w:val="16"/>
                <w:szCs w:val="16"/>
              </w:rPr>
            </w:pPr>
            <w:r w:rsidRPr="0013129D">
              <w:rPr>
                <w:rFonts w:ascii="Arial" w:hAnsi="Arial" w:cs="Arial"/>
                <w:i/>
                <w:iCs/>
                <w:color w:val="auto"/>
                <w:sz w:val="16"/>
                <w:szCs w:val="16"/>
              </w:rPr>
              <w:t xml:space="preserve">Department of Health and Aged Care </w:t>
            </w:r>
          </w:p>
        </w:tc>
        <w:tc>
          <w:tcPr>
            <w:tcW w:w="46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w:t>
            </w:r>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xml:space="preserve">175,000 </w:t>
            </w:r>
          </w:p>
        </w:tc>
        <w:tc>
          <w:tcPr>
            <w:tcW w:w="920" w:type="dxa"/>
            <w:tcBorders>
              <w:top w:val="nil"/>
              <w:left w:val="nil"/>
              <w:bottom w:val="single" w:sz="4" w:space="0" w:color="auto"/>
              <w:right w:val="nil"/>
            </w:tcBorders>
            <w:shd w:val="clear" w:color="000000" w:fill="D9D9D9"/>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xml:space="preserve">875,000 </w:t>
            </w:r>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xml:space="preserve">- </w:t>
            </w:r>
          </w:p>
        </w:tc>
      </w:tr>
    </w:tbl>
    <w:p w:rsidR="001807F5" w:rsidRDefault="001807F5" w:rsidP="001807F5">
      <w:pPr>
        <w:rPr>
          <w:rFonts w:ascii="Arial" w:hAnsi="Arial" w:cs="Arial"/>
          <w:szCs w:val="18"/>
        </w:rPr>
      </w:pPr>
      <w:r>
        <w:br w:type="page"/>
      </w:r>
    </w:p>
    <w:p w:rsidR="0013129D" w:rsidRPr="00F277A4" w:rsidRDefault="001807F5" w:rsidP="001807F5">
      <w:pPr>
        <w:pStyle w:val="Tablenumberandreference"/>
        <w:rPr>
          <w:sz w:val="20"/>
        </w:rPr>
      </w:pPr>
      <w:r w:rsidRPr="00F277A4">
        <w:rPr>
          <w:sz w:val="20"/>
        </w:rPr>
        <w:lastRenderedPageBreak/>
        <w:t>Table 1.2: Department of Health and Aged Care October 2022–23 Budget measures (continued)</w:t>
      </w:r>
    </w:p>
    <w:tbl>
      <w:tblPr>
        <w:tblW w:w="7380" w:type="dxa"/>
        <w:tblLook w:val="04A0" w:firstRow="1" w:lastRow="0" w:firstColumn="1" w:lastColumn="0" w:noHBand="0" w:noVBand="1"/>
      </w:tblPr>
      <w:tblGrid>
        <w:gridCol w:w="2320"/>
        <w:gridCol w:w="460"/>
        <w:gridCol w:w="920"/>
        <w:gridCol w:w="920"/>
        <w:gridCol w:w="920"/>
        <w:gridCol w:w="920"/>
        <w:gridCol w:w="920"/>
      </w:tblGrid>
      <w:tr w:rsidR="0013129D" w:rsidRPr="0013129D" w:rsidTr="0013129D">
        <w:trPr>
          <w:trHeight w:val="450"/>
        </w:trPr>
        <w:tc>
          <w:tcPr>
            <w:tcW w:w="2780" w:type="dxa"/>
            <w:gridSpan w:val="2"/>
            <w:tcBorders>
              <w:top w:val="single" w:sz="4" w:space="0" w:color="000000"/>
              <w:left w:val="nil"/>
              <w:bottom w:val="nil"/>
              <w:right w:val="nil"/>
            </w:tcBorders>
            <w:shd w:val="clear" w:color="auto" w:fill="auto"/>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Outcome/ </w:t>
            </w:r>
            <w:r w:rsidRPr="0013129D">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2021–22</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2022–23</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2023–24</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2024–25</w:t>
            </w:r>
            <w:r w:rsidRPr="0013129D">
              <w:rPr>
                <w:rFonts w:ascii="Arial" w:hAnsi="Arial" w:cs="Arial"/>
                <w:b/>
                <w:bCs/>
                <w:color w:val="auto"/>
                <w:sz w:val="16"/>
                <w:szCs w:val="16"/>
              </w:rPr>
              <w:br/>
            </w:r>
            <w:r w:rsidRPr="0013129D">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2025–26</w:t>
            </w:r>
            <w:r w:rsidRPr="0013129D">
              <w:rPr>
                <w:rFonts w:ascii="Arial" w:hAnsi="Arial" w:cs="Arial"/>
                <w:b/>
                <w:bCs/>
                <w:color w:val="auto"/>
                <w:sz w:val="16"/>
                <w:szCs w:val="16"/>
              </w:rPr>
              <w:br/>
            </w:r>
            <w:r w:rsidRPr="0013129D">
              <w:rPr>
                <w:rFonts w:ascii="Arial" w:hAnsi="Arial" w:cs="Arial"/>
                <w:color w:val="auto"/>
                <w:sz w:val="16"/>
                <w:szCs w:val="16"/>
              </w:rPr>
              <w:t>$'000</w:t>
            </w:r>
          </w:p>
        </w:tc>
      </w:tr>
      <w:tr w:rsidR="0013129D" w:rsidRPr="0013129D" w:rsidTr="0013129D">
        <w:trPr>
          <w:trHeight w:val="300"/>
        </w:trPr>
        <w:tc>
          <w:tcPr>
            <w:tcW w:w="7380" w:type="dxa"/>
            <w:gridSpan w:val="7"/>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Pharmaceutical Benefits Scheme — new and amended listings</w:t>
            </w:r>
            <w:r w:rsidRPr="0013129D">
              <w:rPr>
                <w:rFonts w:ascii="Arial" w:hAnsi="Arial" w:cs="Arial"/>
                <w:b/>
                <w:bCs/>
                <w:color w:val="auto"/>
                <w:sz w:val="16"/>
                <w:szCs w:val="16"/>
                <w:vertAlign w:val="superscript"/>
              </w:rPr>
              <w:t xml:space="preserve">  (c), (g)</w:t>
            </w:r>
          </w:p>
        </w:tc>
      </w:tr>
      <w:tr w:rsidR="0013129D" w:rsidRPr="0013129D" w:rsidTr="00DA1CA1">
        <w:trPr>
          <w:trHeight w:val="397"/>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DA1CA1">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683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4,306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4,716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5,331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5,946 </w:t>
            </w:r>
          </w:p>
        </w:tc>
      </w:tr>
      <w:tr w:rsidR="0013129D" w:rsidRPr="0013129D" w:rsidTr="00DA1CA1">
        <w:trPr>
          <w:trHeight w:val="283"/>
        </w:trPr>
        <w:tc>
          <w:tcPr>
            <w:tcW w:w="2780" w:type="dxa"/>
            <w:gridSpan w:val="2"/>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Department of Veterans' Affairs</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DA1CA1">
            <w:pPr>
              <w:spacing w:after="0"/>
              <w:ind w:leftChars="75" w:left="143"/>
              <w:rPr>
                <w:rFonts w:ascii="Arial" w:hAnsi="Arial" w:cs="Arial"/>
                <w:color w:val="auto"/>
                <w:sz w:val="16"/>
                <w:szCs w:val="16"/>
              </w:rPr>
            </w:pPr>
            <w:r w:rsidRPr="0013129D">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DA1CA1">
        <w:trPr>
          <w:trHeight w:val="283"/>
        </w:trPr>
        <w:tc>
          <w:tcPr>
            <w:tcW w:w="2320" w:type="dxa"/>
            <w:tcBorders>
              <w:top w:val="nil"/>
              <w:left w:val="nil"/>
              <w:bottom w:val="nil"/>
              <w:right w:val="nil"/>
            </w:tcBorders>
            <w:shd w:val="clear" w:color="auto" w:fill="auto"/>
            <w:vAlign w:val="bottom"/>
            <w:hideMark/>
          </w:tcPr>
          <w:p w:rsidR="0013129D" w:rsidRPr="0013129D" w:rsidRDefault="0013129D" w:rsidP="0013129D">
            <w:pPr>
              <w:spacing w:after="0"/>
              <w:rPr>
                <w:rFonts w:ascii="Arial" w:hAnsi="Arial" w:cs="Arial"/>
                <w:color w:val="auto"/>
                <w:sz w:val="16"/>
                <w:szCs w:val="16"/>
              </w:rPr>
            </w:pPr>
            <w:r w:rsidRPr="0013129D">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13129D">
        <w:trPr>
          <w:trHeight w:val="225"/>
        </w:trPr>
        <w:tc>
          <w:tcPr>
            <w:tcW w:w="2320" w:type="dxa"/>
            <w:tcBorders>
              <w:top w:val="nil"/>
              <w:left w:val="nil"/>
              <w:bottom w:val="nil"/>
              <w:right w:val="nil"/>
            </w:tcBorders>
            <w:shd w:val="clear" w:color="auto" w:fill="auto"/>
            <w:vAlign w:val="bottom"/>
            <w:hideMark/>
          </w:tcPr>
          <w:p w:rsidR="0013129D" w:rsidRPr="0013129D" w:rsidRDefault="0013129D" w:rsidP="00DA1CA1">
            <w:pPr>
              <w:spacing w:after="0"/>
              <w:ind w:leftChars="75" w:left="143"/>
              <w:rPr>
                <w:rFonts w:ascii="Arial" w:hAnsi="Arial" w:cs="Arial"/>
                <w:color w:val="auto"/>
                <w:sz w:val="16"/>
                <w:szCs w:val="16"/>
              </w:rPr>
            </w:pPr>
            <w:r w:rsidRPr="0013129D">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color w:val="auto"/>
                <w:sz w:val="16"/>
                <w:szCs w:val="16"/>
              </w:rPr>
            </w:pPr>
            <w:r w:rsidRPr="0013129D">
              <w:rPr>
                <w:rFonts w:ascii="Arial" w:hAnsi="Arial" w:cs="Arial"/>
                <w:color w:val="auto"/>
                <w:sz w:val="16"/>
                <w:szCs w:val="16"/>
              </w:rPr>
              <w:t xml:space="preserve">-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r w:rsidRPr="0013129D">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683 </w:t>
            </w:r>
          </w:p>
        </w:tc>
        <w:tc>
          <w:tcPr>
            <w:tcW w:w="920" w:type="dxa"/>
            <w:tcBorders>
              <w:top w:val="single" w:sz="4" w:space="0" w:color="000000"/>
              <w:left w:val="nil"/>
              <w:bottom w:val="single" w:sz="4" w:space="0" w:color="000000"/>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4,306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4,716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5,331 </w:t>
            </w:r>
          </w:p>
        </w:tc>
        <w:tc>
          <w:tcPr>
            <w:tcW w:w="920" w:type="dxa"/>
            <w:tcBorders>
              <w:top w:val="single" w:sz="4" w:space="0" w:color="000000"/>
              <w:left w:val="nil"/>
              <w:bottom w:val="single" w:sz="4" w:space="0" w:color="000000"/>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xml:space="preserve">5,946 </w:t>
            </w:r>
          </w:p>
        </w:tc>
      </w:tr>
      <w:tr w:rsidR="0013129D" w:rsidRPr="0013129D" w:rsidTr="0013129D">
        <w:trPr>
          <w:trHeight w:val="225"/>
        </w:trPr>
        <w:tc>
          <w:tcPr>
            <w:tcW w:w="2320" w:type="dxa"/>
            <w:tcBorders>
              <w:top w:val="nil"/>
              <w:left w:val="nil"/>
              <w:bottom w:val="nil"/>
              <w:right w:val="nil"/>
            </w:tcBorders>
            <w:shd w:val="clear" w:color="auto" w:fill="auto"/>
            <w:noWrap/>
            <w:vAlign w:val="bottom"/>
            <w:hideMark/>
          </w:tcPr>
          <w:p w:rsidR="0013129D" w:rsidRPr="0013129D" w:rsidRDefault="0013129D" w:rsidP="00DA1CA1">
            <w:pPr>
              <w:spacing w:after="0"/>
              <w:ind w:leftChars="75" w:left="143"/>
              <w:rPr>
                <w:rFonts w:ascii="Arial" w:hAnsi="Arial" w:cs="Arial"/>
                <w:i/>
                <w:iCs/>
                <w:color w:val="auto"/>
                <w:sz w:val="16"/>
                <w:szCs w:val="16"/>
              </w:rPr>
            </w:pPr>
            <w:r w:rsidRPr="0013129D">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rsidR="0013129D" w:rsidRPr="0013129D" w:rsidRDefault="0013129D" w:rsidP="0013129D">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rsidR="0013129D" w:rsidRPr="0013129D" w:rsidRDefault="0013129D" w:rsidP="0013129D">
            <w:pPr>
              <w:spacing w:after="0"/>
              <w:jc w:val="right"/>
              <w:rPr>
                <w:rFonts w:ascii="Arial" w:hAnsi="Arial" w:cs="Arial"/>
                <w:b/>
                <w:bCs/>
                <w:color w:val="auto"/>
                <w:sz w:val="16"/>
                <w:szCs w:val="16"/>
              </w:rPr>
            </w:pPr>
            <w:r w:rsidRPr="0013129D">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rsidR="0013129D" w:rsidRPr="0013129D" w:rsidRDefault="0013129D" w:rsidP="0013129D">
            <w:pPr>
              <w:spacing w:after="0"/>
              <w:jc w:val="right"/>
              <w:rPr>
                <w:rFonts w:ascii="Times New Roman" w:hAnsi="Times New Roman"/>
                <w:color w:val="auto"/>
                <w:sz w:val="20"/>
                <w:szCs w:val="20"/>
              </w:rPr>
            </w:pPr>
          </w:p>
        </w:tc>
      </w:tr>
      <w:tr w:rsidR="0013129D" w:rsidRPr="0013129D" w:rsidTr="00DA1CA1">
        <w:trPr>
          <w:trHeight w:val="397"/>
        </w:trPr>
        <w:tc>
          <w:tcPr>
            <w:tcW w:w="2320" w:type="dxa"/>
            <w:tcBorders>
              <w:top w:val="nil"/>
              <w:left w:val="nil"/>
              <w:bottom w:val="nil"/>
              <w:right w:val="nil"/>
            </w:tcBorders>
            <w:shd w:val="clear" w:color="auto" w:fill="auto"/>
            <w:vAlign w:val="bottom"/>
            <w:hideMark/>
          </w:tcPr>
          <w:p w:rsidR="0013129D" w:rsidRPr="0013129D" w:rsidRDefault="0013129D" w:rsidP="00DA1CA1">
            <w:pPr>
              <w:spacing w:after="0"/>
              <w:ind w:leftChars="75" w:left="143"/>
              <w:rPr>
                <w:rFonts w:ascii="Arial" w:hAnsi="Arial" w:cs="Arial"/>
                <w:i/>
                <w:iCs/>
                <w:color w:val="auto"/>
                <w:sz w:val="16"/>
                <w:szCs w:val="16"/>
              </w:rPr>
            </w:pPr>
            <w:r w:rsidRPr="0013129D">
              <w:rPr>
                <w:rFonts w:ascii="Arial" w:hAnsi="Arial" w:cs="Arial"/>
                <w:i/>
                <w:iCs/>
                <w:color w:val="auto"/>
                <w:sz w:val="16"/>
                <w:szCs w:val="16"/>
              </w:rPr>
              <w:t xml:space="preserve">Department of Health and Aged Care </w:t>
            </w:r>
          </w:p>
        </w:tc>
        <w:tc>
          <w:tcPr>
            <w:tcW w:w="46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r w:rsidRPr="0013129D">
              <w:rPr>
                <w:rFonts w:ascii="Arial" w:hAnsi="Arial" w:cs="Arial"/>
                <w:i/>
                <w:iCs/>
                <w:color w:val="auto"/>
                <w:sz w:val="16"/>
                <w:szCs w:val="16"/>
              </w:rPr>
              <w:t> </w:t>
            </w:r>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proofErr w:type="spellStart"/>
            <w:r w:rsidRPr="0013129D">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000000" w:fill="D9D9D9"/>
            <w:noWrap/>
            <w:vAlign w:val="bottom"/>
            <w:hideMark/>
          </w:tcPr>
          <w:p w:rsidR="0013129D" w:rsidRPr="0013129D" w:rsidRDefault="0013129D" w:rsidP="0013129D">
            <w:pPr>
              <w:spacing w:after="0"/>
              <w:jc w:val="right"/>
              <w:rPr>
                <w:rFonts w:ascii="Arial" w:hAnsi="Arial" w:cs="Arial"/>
                <w:i/>
                <w:iCs/>
                <w:color w:val="auto"/>
                <w:sz w:val="16"/>
                <w:szCs w:val="16"/>
              </w:rPr>
            </w:pPr>
            <w:proofErr w:type="spellStart"/>
            <w:r w:rsidRPr="0013129D">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proofErr w:type="spellStart"/>
            <w:r w:rsidRPr="0013129D">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proofErr w:type="spellStart"/>
            <w:r w:rsidRPr="0013129D">
              <w:rPr>
                <w:rFonts w:ascii="Arial" w:hAnsi="Arial" w:cs="Arial"/>
                <w:i/>
                <w:iCs/>
                <w:color w:val="auto"/>
                <w:sz w:val="16"/>
                <w:szCs w:val="16"/>
              </w:rPr>
              <w:t>nfp</w:t>
            </w:r>
            <w:proofErr w:type="spellEnd"/>
          </w:p>
        </w:tc>
        <w:tc>
          <w:tcPr>
            <w:tcW w:w="920" w:type="dxa"/>
            <w:tcBorders>
              <w:top w:val="nil"/>
              <w:left w:val="nil"/>
              <w:bottom w:val="single" w:sz="4" w:space="0" w:color="auto"/>
              <w:right w:val="nil"/>
            </w:tcBorders>
            <w:shd w:val="clear" w:color="auto" w:fill="auto"/>
            <w:noWrap/>
            <w:vAlign w:val="bottom"/>
            <w:hideMark/>
          </w:tcPr>
          <w:p w:rsidR="0013129D" w:rsidRPr="0013129D" w:rsidRDefault="0013129D" w:rsidP="0013129D">
            <w:pPr>
              <w:spacing w:after="0"/>
              <w:jc w:val="right"/>
              <w:rPr>
                <w:rFonts w:ascii="Arial" w:hAnsi="Arial" w:cs="Arial"/>
                <w:i/>
                <w:iCs/>
                <w:color w:val="auto"/>
                <w:sz w:val="16"/>
                <w:szCs w:val="16"/>
              </w:rPr>
            </w:pPr>
            <w:proofErr w:type="spellStart"/>
            <w:r w:rsidRPr="0013129D">
              <w:rPr>
                <w:rFonts w:ascii="Arial" w:hAnsi="Arial" w:cs="Arial"/>
                <w:i/>
                <w:iCs/>
                <w:color w:val="auto"/>
                <w:sz w:val="16"/>
                <w:szCs w:val="16"/>
              </w:rPr>
              <w:t>nfp</w:t>
            </w:r>
            <w:proofErr w:type="spellEnd"/>
          </w:p>
        </w:tc>
      </w:tr>
    </w:tbl>
    <w:p w:rsidR="0013129D" w:rsidRPr="0013129D" w:rsidRDefault="0013129D" w:rsidP="00E53F2F">
      <w:pPr>
        <w:pStyle w:val="FootnoteText"/>
        <w:spacing w:before="120" w:after="0"/>
      </w:pPr>
      <w:r w:rsidRPr="00DA1CA1">
        <w:rPr>
          <w:vertAlign w:val="superscript"/>
        </w:rPr>
        <w:t>(a)</w:t>
      </w:r>
      <w:r w:rsidR="00DA1CA1">
        <w:tab/>
      </w:r>
      <w:r w:rsidRPr="0013129D">
        <w:t>Part of the costs of this measure will be met from within existing resources.</w:t>
      </w:r>
    </w:p>
    <w:p w:rsidR="0013129D" w:rsidRPr="0013129D" w:rsidRDefault="00DA1CA1" w:rsidP="00DA1CA1">
      <w:pPr>
        <w:pStyle w:val="FootnoteText"/>
        <w:spacing w:after="0"/>
      </w:pPr>
      <w:r w:rsidRPr="00DA1CA1">
        <w:rPr>
          <w:vertAlign w:val="superscript"/>
        </w:rPr>
        <w:t>(b)</w:t>
      </w:r>
      <w:r>
        <w:tab/>
      </w:r>
      <w:r w:rsidR="0013129D" w:rsidRPr="0013129D">
        <w:t>The cost of this measure will be met from within existing resources.</w:t>
      </w:r>
    </w:p>
    <w:p w:rsidR="0013129D" w:rsidRPr="0013129D" w:rsidRDefault="00DA1CA1" w:rsidP="00DA1CA1">
      <w:pPr>
        <w:pStyle w:val="FootnoteText"/>
        <w:spacing w:after="0"/>
      </w:pPr>
      <w:r w:rsidRPr="00DA1CA1">
        <w:rPr>
          <w:vertAlign w:val="superscript"/>
        </w:rPr>
        <w:t>(c)</w:t>
      </w:r>
      <w:r>
        <w:tab/>
      </w:r>
      <w:r w:rsidR="0013129D" w:rsidRPr="0013129D">
        <w:t>Includes the impact of measures that are not for publication due to commercial sensitivities (</w:t>
      </w:r>
      <w:proofErr w:type="spellStart"/>
      <w:r w:rsidR="0013129D" w:rsidRPr="0013129D">
        <w:t>nfp</w:t>
      </w:r>
      <w:proofErr w:type="spellEnd"/>
      <w:r w:rsidR="0013129D" w:rsidRPr="0013129D">
        <w:t>).</w:t>
      </w:r>
    </w:p>
    <w:p w:rsidR="0013129D" w:rsidRPr="0013129D" w:rsidRDefault="00DA1CA1" w:rsidP="00DA1CA1">
      <w:pPr>
        <w:pStyle w:val="FootnoteText"/>
        <w:spacing w:after="0"/>
      </w:pPr>
      <w:r w:rsidRPr="00DA1CA1">
        <w:rPr>
          <w:vertAlign w:val="superscript"/>
        </w:rPr>
        <w:t>(d)</w:t>
      </w:r>
      <w:r>
        <w:tab/>
      </w:r>
      <w:r w:rsidR="0013129D" w:rsidRPr="0013129D">
        <w:t>The costs of this measure are provisioned for by the Government.</w:t>
      </w:r>
    </w:p>
    <w:p w:rsidR="0013129D" w:rsidRPr="0013129D" w:rsidRDefault="00DA1CA1" w:rsidP="00DA1CA1">
      <w:pPr>
        <w:pStyle w:val="FootnoteText"/>
        <w:spacing w:after="0"/>
      </w:pPr>
      <w:r w:rsidRPr="00DA1CA1">
        <w:rPr>
          <w:vertAlign w:val="superscript"/>
        </w:rPr>
        <w:t>(e)</w:t>
      </w:r>
      <w:r>
        <w:tab/>
      </w:r>
      <w:r w:rsidR="0013129D" w:rsidRPr="0013129D">
        <w:t>The Department of Health</w:t>
      </w:r>
      <w:r>
        <w:t xml:space="preserve"> and Aged Care</w:t>
      </w:r>
      <w:r w:rsidR="00457A85">
        <w:t xml:space="preserve"> (Health)</w:t>
      </w:r>
      <w:r w:rsidR="0013129D" w:rsidRPr="0013129D">
        <w:t xml:space="preserve"> is not the lead entity for these measures. Only the Health Portfolio impacts and associated Health policy flow-</w:t>
      </w:r>
      <w:proofErr w:type="spellStart"/>
      <w:r w:rsidR="0013129D" w:rsidRPr="0013129D">
        <w:t>ons</w:t>
      </w:r>
      <w:proofErr w:type="spellEnd"/>
      <w:r w:rsidR="0013129D" w:rsidRPr="0013129D">
        <w:t xml:space="preserve"> to other Portfolios are shown in this table.</w:t>
      </w:r>
    </w:p>
    <w:p w:rsidR="0013129D" w:rsidRPr="0013129D" w:rsidRDefault="00DA1CA1" w:rsidP="00DA1CA1">
      <w:pPr>
        <w:pStyle w:val="FootnoteText"/>
        <w:spacing w:after="0"/>
      </w:pPr>
      <w:r w:rsidRPr="00DA1CA1">
        <w:rPr>
          <w:vertAlign w:val="superscript"/>
        </w:rPr>
        <w:t>(f)</w:t>
      </w:r>
      <w:r>
        <w:tab/>
      </w:r>
      <w:r w:rsidR="0013129D" w:rsidRPr="0013129D">
        <w:t>This measure was announced as part of PEFO, but not previously reported in a por</w:t>
      </w:r>
      <w:r>
        <w:t>t</w:t>
      </w:r>
      <w:r w:rsidR="0013129D" w:rsidRPr="0013129D">
        <w:t>folio statement.</w:t>
      </w:r>
    </w:p>
    <w:p w:rsidR="007D48FE" w:rsidRPr="0013129D" w:rsidRDefault="00DA1CA1" w:rsidP="00DA1CA1">
      <w:pPr>
        <w:pStyle w:val="FootnoteText"/>
        <w:spacing w:after="0"/>
      </w:pPr>
      <w:r w:rsidRPr="00DA1CA1">
        <w:rPr>
          <w:vertAlign w:val="superscript"/>
        </w:rPr>
        <w:t>(g)</w:t>
      </w:r>
      <w:r>
        <w:tab/>
      </w:r>
      <w:r w:rsidR="0013129D" w:rsidRPr="0013129D">
        <w:t>Part of the funding for this measure has already been provided for by the Government.</w:t>
      </w:r>
    </w:p>
    <w:p w:rsidR="007D48FE" w:rsidRPr="00232F9B" w:rsidRDefault="007D48FE" w:rsidP="000D22DB">
      <w:pPr>
        <w:pStyle w:val="FootnoteText"/>
        <w:sectPr w:rsidR="007D48FE" w:rsidRPr="00232F9B" w:rsidSect="00BF5D7D">
          <w:headerReference w:type="even" r:id="rId19"/>
          <w:headerReference w:type="default" r:id="rId20"/>
          <w:pgSz w:w="11906" w:h="16838" w:code="9"/>
          <w:pgMar w:top="2466" w:right="2268" w:bottom="2126" w:left="2268" w:header="1899" w:footer="1899" w:gutter="0"/>
          <w:cols w:space="708"/>
          <w:docGrid w:linePitch="360"/>
        </w:sectPr>
      </w:pPr>
    </w:p>
    <w:p w:rsidR="00BA05A4" w:rsidRDefault="00BA05A4" w:rsidP="000D22DB">
      <w:pPr>
        <w:pStyle w:val="Heading2"/>
        <w:sectPr w:rsidR="00BA05A4" w:rsidSect="0079143E">
          <w:headerReference w:type="even" r:id="rId21"/>
          <w:headerReference w:type="default" r:id="rId22"/>
          <w:pgSz w:w="11906" w:h="16838"/>
          <w:pgMar w:top="2665" w:right="2268" w:bottom="2126" w:left="2268" w:header="1899" w:footer="1899" w:gutter="0"/>
          <w:cols w:space="708"/>
          <w:docGrid w:linePitch="360"/>
        </w:sectPr>
      </w:pPr>
    </w:p>
    <w:p w:rsidR="00232F9B" w:rsidRPr="0000272F" w:rsidRDefault="0000272F" w:rsidP="000D22DB">
      <w:pPr>
        <w:pStyle w:val="Heading2"/>
      </w:pPr>
      <w:bookmarkStart w:id="14" w:name="_Toc444523512"/>
      <w:bookmarkStart w:id="15" w:name="_Toc65243509"/>
      <w:bookmarkEnd w:id="12"/>
      <w:bookmarkEnd w:id="13"/>
      <w:r w:rsidRPr="0000272F">
        <w:lastRenderedPageBreak/>
        <w:t>Section 2: Outcomes and planned performance</w:t>
      </w:r>
      <w:bookmarkEnd w:id="14"/>
      <w:bookmarkEnd w:id="15"/>
    </w:p>
    <w:p w:rsidR="0000272F" w:rsidRPr="0000272F" w:rsidRDefault="0000272F" w:rsidP="000D22DB">
      <w:r w:rsidRPr="0000272F">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B20448" w:rsidRDefault="0000272F" w:rsidP="000D22DB">
      <w:r w:rsidRPr="0000272F">
        <w:t>Each outcome is described below together with its related programs. The following provides detailed information on expenses for each outcome and program, further broken down by funding source.</w:t>
      </w:r>
    </w:p>
    <w:p w:rsidR="00CB0838" w:rsidRPr="007149BA" w:rsidRDefault="00CB0838" w:rsidP="000D22DB"/>
    <w:tbl>
      <w:tblPr>
        <w:tblStyle w:val="TableGrid"/>
        <w:tblW w:w="0" w:type="auto"/>
        <w:tblLook w:val="04A0" w:firstRow="1" w:lastRow="0" w:firstColumn="1" w:lastColumn="0" w:noHBand="0" w:noVBand="1"/>
      </w:tblPr>
      <w:tblGrid>
        <w:gridCol w:w="7360"/>
      </w:tblGrid>
      <w:tr w:rsidR="00F277A4" w:rsidTr="00F277A4">
        <w:tc>
          <w:tcPr>
            <w:tcW w:w="7360" w:type="dxa"/>
          </w:tcPr>
          <w:p w:rsidR="00F277A4" w:rsidRPr="00F277A4" w:rsidRDefault="00F277A4" w:rsidP="00F277A4">
            <w:pPr>
              <w:pStyle w:val="Tablenumberandreference"/>
              <w:rPr>
                <w:rFonts w:ascii="Book Antiqua" w:hAnsi="Book Antiqua"/>
              </w:rPr>
            </w:pPr>
            <w:r w:rsidRPr="00F277A4">
              <w:rPr>
                <w:rFonts w:ascii="Book Antiqua" w:hAnsi="Book Antiqua"/>
              </w:rPr>
              <w:t>Note:</w:t>
            </w:r>
          </w:p>
          <w:p w:rsidR="00F277A4" w:rsidRPr="0000272F" w:rsidRDefault="00F277A4" w:rsidP="00F277A4">
            <w:r w:rsidRPr="0000272F">
              <w:t xml:space="preserve">Performance reporting requirements in the Portfolio Budget Statements are part of the Commonwealth performance framework established by the </w:t>
            </w:r>
            <w:r w:rsidRPr="0000272F">
              <w:rPr>
                <w:i/>
              </w:rPr>
              <w:t>Public Governance, Performance and Accountability Act 2013</w:t>
            </w:r>
            <w:r w:rsidRPr="0000272F">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F277A4" w:rsidRPr="0000272F" w:rsidRDefault="00F277A4" w:rsidP="00F277A4">
            <w:r w:rsidRPr="0000272F">
              <w:t>The most recent Corporate Plan for the Department of Health and Aged Care is available at: www.health.gov.au/resources/publications/corporate-plan-2022-23</w:t>
            </w:r>
          </w:p>
          <w:p w:rsidR="00F277A4" w:rsidRDefault="00F277A4" w:rsidP="000D22DB">
            <w:r w:rsidRPr="0000272F">
              <w:t>The most recent Annual Performance Statement for the Department of Health and Aged Care is available at: www.health.gov.au/resources/publications/department-of-health-annual-report-202</w:t>
            </w:r>
            <w:r>
              <w:t>1</w:t>
            </w:r>
            <w:r w:rsidRPr="0000272F">
              <w:t>-2</w:t>
            </w:r>
            <w:r>
              <w:t>2</w:t>
            </w:r>
          </w:p>
        </w:tc>
      </w:tr>
    </w:tbl>
    <w:p w:rsidR="00E42081" w:rsidRPr="00B20448" w:rsidRDefault="00E42081" w:rsidP="000D22DB">
      <w:pPr>
        <w:sectPr w:rsidR="00E42081" w:rsidRPr="00B20448" w:rsidSect="0079143E">
          <w:pgSz w:w="11906" w:h="16838"/>
          <w:pgMar w:top="2665" w:right="2268" w:bottom="2126" w:left="2268" w:header="1899" w:footer="1899" w:gutter="0"/>
          <w:cols w:space="708"/>
          <w:docGrid w:linePitch="360"/>
        </w:sectPr>
      </w:pPr>
    </w:p>
    <w:p w:rsidR="00280050" w:rsidRDefault="00280050" w:rsidP="000D22DB"/>
    <w:sectPr w:rsidR="00280050" w:rsidSect="0079143E">
      <w:headerReference w:type="even" r:id="rId23"/>
      <w:pgSz w:w="11906" w:h="16838"/>
      <w:pgMar w:top="2665"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9D" w:rsidRDefault="0013129D" w:rsidP="000D22DB">
      <w:r>
        <w:separator/>
      </w:r>
    </w:p>
  </w:endnote>
  <w:endnote w:type="continuationSeparator" w:id="0">
    <w:p w:rsidR="0013129D" w:rsidRDefault="0013129D" w:rsidP="000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4C6378" w:rsidRDefault="0013129D" w:rsidP="000D22DB">
    <w:pPr>
      <w:pStyle w:val="FooterEven"/>
    </w:pPr>
    <w:r w:rsidRPr="004C6378">
      <w:rPr>
        <w:b/>
        <w:bCs/>
      </w:rPr>
      <w:t xml:space="preserve">Page </w:t>
    </w:r>
    <w:r w:rsidRPr="004C6378">
      <w:rPr>
        <w:b/>
        <w:bCs/>
      </w:rPr>
      <w:fldChar w:fldCharType="begin"/>
    </w:r>
    <w:r w:rsidRPr="004C6378">
      <w:rPr>
        <w:b/>
        <w:bCs/>
      </w:rPr>
      <w:instrText xml:space="preserve"> PAGE </w:instrText>
    </w:r>
    <w:r w:rsidRPr="004C6378">
      <w:rPr>
        <w:b/>
        <w:bCs/>
      </w:rPr>
      <w:fldChar w:fldCharType="separate"/>
    </w:r>
    <w:r>
      <w:rPr>
        <w:b/>
        <w:bCs/>
        <w:noProof/>
      </w:rPr>
      <w:t>8</w:t>
    </w:r>
    <w:r w:rsidRPr="004C6378">
      <w:rPr>
        <w:b/>
        <w:bCs/>
      </w:rPr>
      <w:fldChar w:fldCharType="end"/>
    </w:r>
    <w:r w:rsidRPr="004C6378">
      <w:t xml:space="preserve">  </w:t>
    </w:r>
    <w:proofErr w:type="gramStart"/>
    <w:r w:rsidRPr="004C6378">
      <w:t xml:space="preserve">|  </w:t>
    </w:r>
    <w:r>
      <w:t>Department</w:t>
    </w:r>
    <w:proofErr w:type="gramEnd"/>
    <w:r>
      <w:t xml:space="preserve"> of Health and Aged Care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D952A0" w:rsidRDefault="0013129D" w:rsidP="000D22DB">
    <w:pPr>
      <w:pStyle w:val="FooterOdd"/>
      <w:rPr>
        <w:rFonts w:cs="Arial"/>
        <w:szCs w:val="18"/>
      </w:rPr>
    </w:pPr>
    <w:r w:rsidRPr="00D96B2A">
      <w:t xml:space="preserve">Department of Health and Aged </w:t>
    </w:r>
    <w:proofErr w:type="gramStart"/>
    <w:r w:rsidRPr="00D96B2A">
      <w:t>Care  |</w:t>
    </w:r>
    <w:proofErr w:type="gramEnd"/>
    <w:r w:rsidRPr="00D96B2A">
      <w:t xml:space="preserve">  </w:t>
    </w:r>
    <w:r w:rsidRPr="00D96B2A">
      <w:rPr>
        <w:b/>
        <w:bCs/>
      </w:rPr>
      <w:t xml:space="preserve">Page </w:t>
    </w:r>
    <w:r w:rsidRPr="00D96B2A">
      <w:rPr>
        <w:b/>
        <w:bCs/>
      </w:rPr>
      <w:fldChar w:fldCharType="begin"/>
    </w:r>
    <w:r w:rsidRPr="00D96B2A">
      <w:rPr>
        <w:b/>
        <w:bCs/>
      </w:rPr>
      <w:instrText xml:space="preserve"> PAGE  \* Arabic </w:instrText>
    </w:r>
    <w:r w:rsidRPr="00D96B2A">
      <w:rPr>
        <w:b/>
        <w:bCs/>
      </w:rPr>
      <w:fldChar w:fldCharType="separate"/>
    </w:r>
    <w:r w:rsidR="00E4787B">
      <w:rPr>
        <w:b/>
        <w:bCs/>
        <w:noProof/>
      </w:rPr>
      <w:t>13</w:t>
    </w:r>
    <w:r w:rsidRPr="00D96B2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B" w:rsidRDefault="009C6E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B40A0F" w:rsidRDefault="0013129D" w:rsidP="00BF5D7D">
    <w:pPr>
      <w:pStyle w:val="FooterEven"/>
    </w:pPr>
    <w:r w:rsidRPr="00BF5D7D">
      <w:rPr>
        <w:b/>
        <w:bCs/>
        <w:szCs w:val="20"/>
      </w:rPr>
      <w:t xml:space="preserve">Page </w:t>
    </w:r>
    <w:r w:rsidRPr="00BF5D7D">
      <w:rPr>
        <w:b/>
        <w:bCs/>
        <w:szCs w:val="20"/>
      </w:rPr>
      <w:fldChar w:fldCharType="begin"/>
    </w:r>
    <w:r w:rsidRPr="00BF5D7D">
      <w:rPr>
        <w:b/>
        <w:bCs/>
        <w:szCs w:val="20"/>
      </w:rPr>
      <w:instrText xml:space="preserve"> PAGE </w:instrText>
    </w:r>
    <w:r w:rsidRPr="00BF5D7D">
      <w:rPr>
        <w:b/>
        <w:bCs/>
        <w:szCs w:val="20"/>
      </w:rPr>
      <w:fldChar w:fldCharType="separate"/>
    </w:r>
    <w:r w:rsidR="00E4787B">
      <w:rPr>
        <w:b/>
        <w:bCs/>
        <w:noProof/>
        <w:szCs w:val="20"/>
      </w:rPr>
      <w:t>18</w:t>
    </w:r>
    <w:r w:rsidRPr="00BF5D7D">
      <w:rPr>
        <w:b/>
        <w:bCs/>
        <w:szCs w:val="20"/>
      </w:rPr>
      <w:fldChar w:fldCharType="end"/>
    </w:r>
    <w:r w:rsidRPr="00BF5D7D">
      <w:rPr>
        <w:szCs w:val="20"/>
      </w:rPr>
      <w:t xml:space="preserve">  </w:t>
    </w:r>
    <w:proofErr w:type="gramStart"/>
    <w:r w:rsidRPr="00BF5D7D">
      <w:rPr>
        <w:szCs w:val="20"/>
      </w:rPr>
      <w:t xml:space="preserve">|  </w:t>
    </w:r>
    <w:proofErr w:type="gramEnd"/>
    <w:r w:rsidRPr="00BF5D7D">
      <w:rPr>
        <w:szCs w:val="20"/>
      </w:rPr>
      <w:fldChar w:fldCharType="begin"/>
    </w:r>
    <w:r w:rsidRPr="00BF5D7D">
      <w:rPr>
        <w:szCs w:val="20"/>
      </w:rPr>
      <w:instrText xml:space="preserve"> STYLEREF  "Heading 1"  \* MERGEFORMAT </w:instrText>
    </w:r>
    <w:r w:rsidRPr="00BF5D7D">
      <w:rPr>
        <w:szCs w:val="20"/>
      </w:rPr>
      <w:fldChar w:fldCharType="separate"/>
    </w:r>
    <w:r w:rsidR="00E4787B">
      <w:rPr>
        <w:noProof/>
        <w:szCs w:val="20"/>
      </w:rPr>
      <w:t>Department of Health and Aged Care</w:t>
    </w:r>
    <w:r w:rsidRPr="00BF5D7D">
      <w:rPr>
        <w:szCs w:val="20"/>
      </w:rPr>
      <w:fldChar w:fldCharType="end"/>
    </w:r>
    <w:r w:rsidRPr="00BF5D7D">
      <w:rPr>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B40A0F" w:rsidRDefault="0013129D" w:rsidP="00BF5D7D">
    <w:pPr>
      <w:pStyle w:val="FooterOdd"/>
      <w:rPr>
        <w:sz w:val="22"/>
      </w:rPr>
    </w:pPr>
    <w:r w:rsidRPr="00BF5D7D">
      <w:rPr>
        <w:color w:val="auto"/>
        <w:szCs w:val="20"/>
      </w:rPr>
      <w:fldChar w:fldCharType="begin"/>
    </w:r>
    <w:r w:rsidRPr="00BF5D7D">
      <w:rPr>
        <w:color w:val="auto"/>
        <w:szCs w:val="20"/>
      </w:rPr>
      <w:instrText xml:space="preserve"> STYLEREF  "Heading 1"  \* MERGEFORMAT </w:instrText>
    </w:r>
    <w:r w:rsidRPr="00BF5D7D">
      <w:rPr>
        <w:color w:val="auto"/>
        <w:szCs w:val="20"/>
      </w:rPr>
      <w:fldChar w:fldCharType="separate"/>
    </w:r>
    <w:r w:rsidR="00E4787B">
      <w:rPr>
        <w:noProof/>
        <w:color w:val="auto"/>
        <w:szCs w:val="20"/>
      </w:rPr>
      <w:t>Department of Health and Aged Care</w:t>
    </w:r>
    <w:r w:rsidRPr="00BF5D7D">
      <w:rPr>
        <w:color w:val="auto"/>
        <w:szCs w:val="20"/>
      </w:rPr>
      <w:fldChar w:fldCharType="end"/>
    </w:r>
    <w:r w:rsidRPr="00BF5D7D">
      <w:rPr>
        <w:color w:val="auto"/>
        <w:szCs w:val="20"/>
      </w:rPr>
      <w:t xml:space="preserve">  </w:t>
    </w:r>
    <w:proofErr w:type="gramStart"/>
    <w:r w:rsidRPr="00BF5D7D">
      <w:rPr>
        <w:color w:val="auto"/>
        <w:szCs w:val="20"/>
      </w:rPr>
      <w:t xml:space="preserve">|  </w:t>
    </w:r>
    <w:r w:rsidRPr="00BF5D7D">
      <w:rPr>
        <w:b/>
        <w:bCs/>
        <w:color w:val="auto"/>
        <w:szCs w:val="20"/>
      </w:rPr>
      <w:t>Page</w:t>
    </w:r>
    <w:proofErr w:type="gramEnd"/>
    <w:r w:rsidRPr="00BF5D7D">
      <w:rPr>
        <w:b/>
        <w:bCs/>
        <w:color w:val="auto"/>
        <w:szCs w:val="20"/>
      </w:rPr>
      <w:t xml:space="preserve"> </w:t>
    </w:r>
    <w:r w:rsidRPr="00BF5D7D">
      <w:rPr>
        <w:b/>
        <w:bCs/>
        <w:color w:val="auto"/>
        <w:szCs w:val="20"/>
      </w:rPr>
      <w:fldChar w:fldCharType="begin"/>
    </w:r>
    <w:r w:rsidRPr="00BF5D7D">
      <w:rPr>
        <w:b/>
        <w:bCs/>
        <w:color w:val="auto"/>
        <w:szCs w:val="20"/>
      </w:rPr>
      <w:instrText xml:space="preserve"> PAGE  \* Arabic </w:instrText>
    </w:r>
    <w:r w:rsidRPr="00BF5D7D">
      <w:rPr>
        <w:b/>
        <w:bCs/>
        <w:color w:val="auto"/>
        <w:szCs w:val="20"/>
      </w:rPr>
      <w:fldChar w:fldCharType="separate"/>
    </w:r>
    <w:r w:rsidR="00E4787B">
      <w:rPr>
        <w:b/>
        <w:bCs/>
        <w:noProof/>
        <w:color w:val="auto"/>
        <w:szCs w:val="20"/>
      </w:rPr>
      <w:t>17</w:t>
    </w:r>
    <w:r w:rsidRPr="00BF5D7D">
      <w:rPr>
        <w:b/>
        <w:bCs/>
        <w:color w:val="auto"/>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9D" w:rsidRDefault="0013129D" w:rsidP="000D22DB">
      <w:r>
        <w:separator/>
      </w:r>
    </w:p>
  </w:footnote>
  <w:footnote w:type="continuationSeparator" w:id="0">
    <w:p w:rsidR="0013129D" w:rsidRDefault="0013129D" w:rsidP="000D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D96B2A" w:rsidRDefault="0013129D" w:rsidP="000D22DB">
    <w:r w:rsidRPr="00D96B2A">
      <w:rPr>
        <w:i/>
        <w:noProof/>
        <w:position w:val="-6"/>
      </w:rPr>
      <w:drawing>
        <wp:inline distT="0" distB="0" distL="0" distR="0" wp14:anchorId="56E5D442" wp14:editId="4A0CDA3E">
          <wp:extent cx="1358265" cy="170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D96B2A">
      <w:rPr>
        <w:i/>
      </w:rPr>
      <w:t xml:space="preserve">  </w:t>
    </w:r>
    <w:proofErr w:type="gramStart"/>
    <w:r w:rsidRPr="00D96B2A">
      <w:rPr>
        <w:i/>
      </w:rPr>
      <w:t xml:space="preserve">| </w:t>
    </w:r>
    <w:r w:rsidRPr="00D96B2A">
      <w:t xml:space="preserve"> Portfolio</w:t>
    </w:r>
    <w:proofErr w:type="gramEnd"/>
    <w:r w:rsidRPr="00D96B2A">
      <w:t xml:space="preserve"> Budget Statements</w:t>
    </w:r>
  </w:p>
  <w:p w:rsidR="0013129D" w:rsidRPr="004C6378" w:rsidRDefault="0013129D" w:rsidP="000D22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D96B2A" w:rsidRDefault="0013129D" w:rsidP="006A7787">
    <w:pPr>
      <w:jc w:val="right"/>
    </w:pPr>
    <w:r w:rsidRPr="00CB0838">
      <w:rPr>
        <w:rFonts w:ascii="Arial" w:hAnsi="Arial" w:cs="Arial"/>
        <w:sz w:val="18"/>
      </w:rPr>
      <w:t xml:space="preserve">Portfolio Budget </w:t>
    </w:r>
    <w:proofErr w:type="gramStart"/>
    <w:r w:rsidRPr="00A25625">
      <w:rPr>
        <w:rFonts w:ascii="Arial" w:hAnsi="Arial" w:cs="Arial"/>
        <w:sz w:val="18"/>
      </w:rPr>
      <w:t>Statements</w:t>
    </w:r>
    <w:r w:rsidRPr="00A25625">
      <w:t xml:space="preserve">  |</w:t>
    </w:r>
    <w:proofErr w:type="gramEnd"/>
    <w:r w:rsidRPr="00D96B2A">
      <w:t xml:space="preserve"> </w:t>
    </w:r>
    <w:r w:rsidRPr="00D96B2A">
      <w:rPr>
        <w:i/>
        <w:noProof/>
        <w:position w:val="-6"/>
      </w:rPr>
      <w:t xml:space="preserve"> </w:t>
    </w:r>
    <w:r w:rsidRPr="00D96B2A">
      <w:rPr>
        <w:i/>
        <w:noProof/>
        <w:position w:val="-6"/>
      </w:rPr>
      <w:drawing>
        <wp:inline distT="0" distB="0" distL="0" distR="0" wp14:anchorId="44BE1775" wp14:editId="4B96B5C6">
          <wp:extent cx="1358265" cy="170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D96B2A">
      <w:t xml:space="preserve"> </w:t>
    </w:r>
  </w:p>
  <w:p w:rsidR="0013129D" w:rsidRPr="0018720A" w:rsidRDefault="0013129D" w:rsidP="000D22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E42081" w:rsidRDefault="0013129D" w:rsidP="000D2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B" w:rsidRDefault="009C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B" w:rsidRDefault="009C6E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1432F3" w:rsidRDefault="0013129D" w:rsidP="000D22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E9428A" w:rsidRDefault="0013129D" w:rsidP="000D22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Default="0013129D" w:rsidP="000D22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BF5D7D" w:rsidRDefault="0013129D" w:rsidP="00BF5D7D">
    <w:pPr>
      <w:tabs>
        <w:tab w:val="center" w:pos="4513"/>
        <w:tab w:val="right" w:pos="9026"/>
      </w:tabs>
      <w:spacing w:before="40" w:after="0"/>
    </w:pPr>
    <w:r w:rsidRPr="00BF5D7D">
      <w:rPr>
        <w:rFonts w:ascii="Arial" w:hAnsi="Arial" w:cs="Arial"/>
        <w:noProof/>
        <w:position w:val="-6"/>
        <w:sz w:val="18"/>
        <w:szCs w:val="18"/>
      </w:rPr>
      <w:drawing>
        <wp:inline distT="0" distB="0" distL="0" distR="0" wp14:anchorId="5C0C6C77" wp14:editId="63A9F602">
          <wp:extent cx="1358265" cy="170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F5D7D">
      <w:rPr>
        <w:rFonts w:ascii="Arial" w:hAnsi="Arial" w:cs="Arial"/>
        <w:sz w:val="18"/>
        <w:szCs w:val="18"/>
      </w:rPr>
      <w:t xml:space="preserve">  </w:t>
    </w:r>
    <w:proofErr w:type="gramStart"/>
    <w:r w:rsidRPr="00BF5D7D">
      <w:rPr>
        <w:rFonts w:ascii="Arial" w:hAnsi="Arial" w:cs="Arial"/>
        <w:sz w:val="18"/>
        <w:szCs w:val="18"/>
      </w:rPr>
      <w:t>|  Portfolio</w:t>
    </w:r>
    <w:proofErr w:type="gramEnd"/>
    <w:r w:rsidRPr="00BF5D7D">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BF5D7D" w:rsidRDefault="0013129D" w:rsidP="00BF5D7D">
    <w:pPr>
      <w:tabs>
        <w:tab w:val="center" w:pos="4150"/>
        <w:tab w:val="right" w:pos="8306"/>
      </w:tabs>
      <w:spacing w:after="0"/>
      <w:jc w:val="right"/>
      <w:rPr>
        <w:rFonts w:ascii="Arial" w:hAnsi="Arial" w:cs="Arial"/>
        <w:iCs/>
        <w:color w:val="auto"/>
        <w:sz w:val="18"/>
        <w:szCs w:val="18"/>
        <w:lang w:eastAsia="en-US"/>
      </w:rPr>
    </w:pPr>
    <w:r w:rsidRPr="00BF5D7D">
      <w:rPr>
        <w:rFonts w:ascii="Arial" w:hAnsi="Arial" w:cs="Arial"/>
        <w:iCs/>
        <w:color w:val="auto"/>
        <w:sz w:val="18"/>
        <w:szCs w:val="18"/>
        <w:lang w:eastAsia="en-US"/>
      </w:rPr>
      <w:t xml:space="preserve">Portfolio Budget </w:t>
    </w:r>
    <w:proofErr w:type="gramStart"/>
    <w:r w:rsidRPr="00BF5D7D">
      <w:rPr>
        <w:rFonts w:ascii="Arial" w:hAnsi="Arial" w:cs="Arial"/>
        <w:iCs/>
        <w:color w:val="auto"/>
        <w:sz w:val="18"/>
        <w:szCs w:val="18"/>
        <w:lang w:eastAsia="en-US"/>
      </w:rPr>
      <w:t xml:space="preserve">Statements </w:t>
    </w:r>
    <w:r>
      <w:rPr>
        <w:rFonts w:ascii="Arial" w:hAnsi="Arial" w:cs="Arial"/>
        <w:iCs/>
        <w:color w:val="auto"/>
        <w:sz w:val="18"/>
        <w:szCs w:val="18"/>
        <w:lang w:eastAsia="en-US"/>
      </w:rPr>
      <w:t xml:space="preserve"> </w:t>
    </w:r>
    <w:r w:rsidRPr="00BF5D7D">
      <w:rPr>
        <w:rFonts w:ascii="Arial" w:hAnsi="Arial" w:cs="Arial"/>
        <w:i/>
        <w:iCs/>
        <w:color w:val="auto"/>
        <w:sz w:val="18"/>
        <w:szCs w:val="18"/>
        <w:lang w:eastAsia="en-US"/>
      </w:rPr>
      <w:t>|</w:t>
    </w:r>
    <w:proofErr w:type="gramEnd"/>
    <w:r w:rsidRPr="00BF5D7D">
      <w:rPr>
        <w:rFonts w:ascii="Arial" w:hAnsi="Arial" w:cs="Arial"/>
        <w:i/>
        <w:iCs/>
        <w:color w:val="auto"/>
        <w:sz w:val="18"/>
        <w:szCs w:val="18"/>
        <w:lang w:eastAsia="en-US"/>
      </w:rPr>
      <w:t xml:space="preserve"> </w:t>
    </w:r>
    <w:r w:rsidRPr="00BF5D7D">
      <w:rPr>
        <w:rFonts w:ascii="Arial" w:hAnsi="Arial" w:cs="Arial"/>
        <w:iCs/>
        <w:color w:val="auto"/>
        <w:sz w:val="18"/>
        <w:szCs w:val="18"/>
        <w:lang w:eastAsia="en-US"/>
      </w:rPr>
      <w:t xml:space="preserve"> </w:t>
    </w:r>
    <w:r w:rsidRPr="00BF5D7D">
      <w:rPr>
        <w:i/>
        <w:iCs/>
        <w:noProof/>
        <w:color w:val="auto"/>
        <w:position w:val="-6"/>
        <w:szCs w:val="20"/>
      </w:rPr>
      <w:drawing>
        <wp:inline distT="0" distB="0" distL="0" distR="0" wp14:anchorId="5E6E9991" wp14:editId="54062A1D">
          <wp:extent cx="1358265" cy="170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D" w:rsidRPr="00BA05A4" w:rsidRDefault="0013129D" w:rsidP="000D2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EA"/>
    <w:multiLevelType w:val="multilevel"/>
    <w:tmpl w:val="D76E4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93105"/>
    <w:multiLevelType w:val="hybridMultilevel"/>
    <w:tmpl w:val="8A44C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5B023D"/>
    <w:multiLevelType w:val="hybridMultilevel"/>
    <w:tmpl w:val="F87A2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2335C"/>
    <w:multiLevelType w:val="hybridMultilevel"/>
    <w:tmpl w:val="316C560C"/>
    <w:lvl w:ilvl="0" w:tplc="6C76454A">
      <w:start w:val="1"/>
      <w:numFmt w:val="bullet"/>
      <w:pStyle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12FC7C8C"/>
    <w:multiLevelType w:val="multilevel"/>
    <w:tmpl w:val="4BA2174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25B0B"/>
    <w:multiLevelType w:val="hybridMultilevel"/>
    <w:tmpl w:val="F0D00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A4263"/>
    <w:multiLevelType w:val="multilevel"/>
    <w:tmpl w:val="0A70E22A"/>
    <w:lvl w:ilvl="0">
      <w:start w:val="1"/>
      <w:numFmt w:val="decimal"/>
      <w:lvlText w:val="%1"/>
      <w:lvlJc w:val="left"/>
      <w:pPr>
        <w:ind w:left="360" w:hanging="360"/>
      </w:pPr>
      <w:rPr>
        <w:rFonts w:hint="default"/>
        <w:b/>
        <w:i w:val="0"/>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23D02480"/>
    <w:multiLevelType w:val="hybridMultilevel"/>
    <w:tmpl w:val="F74E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670722"/>
    <w:multiLevelType w:val="hybridMultilevel"/>
    <w:tmpl w:val="FEB07306"/>
    <w:lvl w:ilvl="0" w:tplc="2116AF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550A6B"/>
    <w:multiLevelType w:val="hybridMultilevel"/>
    <w:tmpl w:val="DC4AA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F96E9AA">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8F2F13"/>
    <w:multiLevelType w:val="multilevel"/>
    <w:tmpl w:val="D76E4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59644E"/>
    <w:multiLevelType w:val="multilevel"/>
    <w:tmpl w:val="2D685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BB1FC6"/>
    <w:multiLevelType w:val="hybridMultilevel"/>
    <w:tmpl w:val="52227366"/>
    <w:lvl w:ilvl="0" w:tplc="04090001">
      <w:start w:val="1"/>
      <w:numFmt w:val="bullet"/>
      <w:lvlText w:val=""/>
      <w:lvlJc w:val="left"/>
      <w:pPr>
        <w:tabs>
          <w:tab w:val="num" w:pos="360"/>
        </w:tabs>
        <w:ind w:left="360" w:hanging="360"/>
      </w:pPr>
      <w:rPr>
        <w:rFonts w:ascii="Symbol" w:hAnsi="Symbol" w:hint="default"/>
      </w:rPr>
    </w:lvl>
    <w:lvl w:ilvl="1" w:tplc="A856633A">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DF0001"/>
    <w:multiLevelType w:val="hybridMultilevel"/>
    <w:tmpl w:val="A818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223EC"/>
    <w:multiLevelType w:val="hybridMultilevel"/>
    <w:tmpl w:val="BF9E9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115ECE"/>
    <w:multiLevelType w:val="multilevel"/>
    <w:tmpl w:val="BB229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654925"/>
    <w:multiLevelType w:val="multilevel"/>
    <w:tmpl w:val="0B4CE6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701BC"/>
    <w:multiLevelType w:val="hybridMultilevel"/>
    <w:tmpl w:val="7D0A6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BF3971"/>
    <w:multiLevelType w:val="hybridMultilevel"/>
    <w:tmpl w:val="E51A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476828"/>
    <w:multiLevelType w:val="hybridMultilevel"/>
    <w:tmpl w:val="2870CF6A"/>
    <w:lvl w:ilvl="0" w:tplc="B5AE86D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55137"/>
    <w:multiLevelType w:val="hybridMultilevel"/>
    <w:tmpl w:val="31D03E28"/>
    <w:lvl w:ilvl="0" w:tplc="0C090001">
      <w:start w:val="1"/>
      <w:numFmt w:val="bullet"/>
      <w:lvlText w:val=""/>
      <w:lvlJc w:val="left"/>
      <w:pPr>
        <w:ind w:left="770" w:hanging="360"/>
      </w:pPr>
      <w:rPr>
        <w:rFonts w:ascii="Symbol" w:hAnsi="Symbol" w:hint="default"/>
      </w:rPr>
    </w:lvl>
    <w:lvl w:ilvl="1" w:tplc="001EC094">
      <w:numFmt w:val="bullet"/>
      <w:lvlText w:val="·"/>
      <w:lvlJc w:val="left"/>
      <w:pPr>
        <w:ind w:left="1490" w:hanging="360"/>
      </w:pPr>
      <w:rPr>
        <w:rFonts w:ascii="Calibri" w:eastAsiaTheme="minorHAnsi" w:hAnsi="Calibri" w:cs="Calibri"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1" w15:restartNumberingAfterBreak="0">
    <w:nsid w:val="49CF5543"/>
    <w:multiLevelType w:val="hybridMultilevel"/>
    <w:tmpl w:val="25B639D2"/>
    <w:lvl w:ilvl="0" w:tplc="FB708D8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A765ECF"/>
    <w:multiLevelType w:val="hybridMultilevel"/>
    <w:tmpl w:val="0DEC8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B7F6437"/>
    <w:multiLevelType w:val="hybridMultilevel"/>
    <w:tmpl w:val="CEDA1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10302F"/>
    <w:multiLevelType w:val="hybridMultilevel"/>
    <w:tmpl w:val="8F82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9E3F0E"/>
    <w:multiLevelType w:val="hybridMultilevel"/>
    <w:tmpl w:val="CA663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D61FAB"/>
    <w:multiLevelType w:val="hybridMultilevel"/>
    <w:tmpl w:val="4CDC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B01BD2"/>
    <w:multiLevelType w:val="hybridMultilevel"/>
    <w:tmpl w:val="0994E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DF0C0F"/>
    <w:multiLevelType w:val="hybridMultilevel"/>
    <w:tmpl w:val="A87E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170E67"/>
    <w:multiLevelType w:val="hybridMultilevel"/>
    <w:tmpl w:val="57FE1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A20BAB"/>
    <w:multiLevelType w:val="multilevel"/>
    <w:tmpl w:val="4CCA64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DC06D1"/>
    <w:multiLevelType w:val="multilevel"/>
    <w:tmpl w:val="692A0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6962C20"/>
    <w:multiLevelType w:val="hybridMultilevel"/>
    <w:tmpl w:val="F2101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2635A5"/>
    <w:multiLevelType w:val="hybridMultilevel"/>
    <w:tmpl w:val="7C4ABDD8"/>
    <w:lvl w:ilvl="0" w:tplc="A5EA97BC">
      <w:start w:val="1"/>
      <w:numFmt w:val="bullet"/>
      <w:lvlText w:val=""/>
      <w:lvlJc w:val="left"/>
      <w:pPr>
        <w:ind w:left="360" w:hanging="360"/>
      </w:pPr>
      <w:rPr>
        <w:rFonts w:ascii="Symbol" w:hAnsi="Symbol" w:hint="default"/>
      </w:rPr>
    </w:lvl>
    <w:lvl w:ilvl="1" w:tplc="A1C2291E">
      <w:start w:val="1"/>
      <w:numFmt w:val="bullet"/>
      <w:lvlText w:val="o"/>
      <w:lvlJc w:val="left"/>
      <w:pPr>
        <w:ind w:left="1440" w:hanging="360"/>
      </w:pPr>
      <w:rPr>
        <w:rFonts w:ascii="Courier New" w:hAnsi="Courier New" w:cs="Courier New" w:hint="default"/>
      </w:rPr>
    </w:lvl>
    <w:lvl w:ilvl="2" w:tplc="BF6A0114">
      <w:start w:val="1"/>
      <w:numFmt w:val="bullet"/>
      <w:lvlText w:val=""/>
      <w:lvlJc w:val="left"/>
      <w:pPr>
        <w:ind w:left="2160" w:hanging="360"/>
      </w:pPr>
      <w:rPr>
        <w:rFonts w:ascii="Wingdings" w:hAnsi="Wingdings" w:hint="default"/>
      </w:rPr>
    </w:lvl>
    <w:lvl w:ilvl="3" w:tplc="D12E4E74">
      <w:start w:val="1"/>
      <w:numFmt w:val="bullet"/>
      <w:lvlText w:val=""/>
      <w:lvlJc w:val="left"/>
      <w:pPr>
        <w:ind w:left="2880" w:hanging="360"/>
      </w:pPr>
      <w:rPr>
        <w:rFonts w:ascii="Symbol" w:hAnsi="Symbol" w:hint="default"/>
      </w:rPr>
    </w:lvl>
    <w:lvl w:ilvl="4" w:tplc="296C5DA4">
      <w:start w:val="1"/>
      <w:numFmt w:val="bullet"/>
      <w:lvlText w:val="o"/>
      <w:lvlJc w:val="left"/>
      <w:pPr>
        <w:ind w:left="3600" w:hanging="360"/>
      </w:pPr>
      <w:rPr>
        <w:rFonts w:ascii="Courier New" w:hAnsi="Courier New" w:cs="Courier New" w:hint="default"/>
      </w:rPr>
    </w:lvl>
    <w:lvl w:ilvl="5" w:tplc="EA0EAE3A">
      <w:start w:val="1"/>
      <w:numFmt w:val="bullet"/>
      <w:lvlText w:val=""/>
      <w:lvlJc w:val="left"/>
      <w:pPr>
        <w:ind w:left="4320" w:hanging="360"/>
      </w:pPr>
      <w:rPr>
        <w:rFonts w:ascii="Wingdings" w:hAnsi="Wingdings" w:hint="default"/>
      </w:rPr>
    </w:lvl>
    <w:lvl w:ilvl="6" w:tplc="7292D2BE">
      <w:start w:val="1"/>
      <w:numFmt w:val="bullet"/>
      <w:lvlText w:val=""/>
      <w:lvlJc w:val="left"/>
      <w:pPr>
        <w:ind w:left="5040" w:hanging="360"/>
      </w:pPr>
      <w:rPr>
        <w:rFonts w:ascii="Symbol" w:hAnsi="Symbol" w:hint="default"/>
      </w:rPr>
    </w:lvl>
    <w:lvl w:ilvl="7" w:tplc="796A6086">
      <w:start w:val="1"/>
      <w:numFmt w:val="bullet"/>
      <w:lvlText w:val="o"/>
      <w:lvlJc w:val="left"/>
      <w:pPr>
        <w:ind w:left="5760" w:hanging="360"/>
      </w:pPr>
      <w:rPr>
        <w:rFonts w:ascii="Courier New" w:hAnsi="Courier New" w:cs="Courier New" w:hint="default"/>
      </w:rPr>
    </w:lvl>
    <w:lvl w:ilvl="8" w:tplc="5ED69A38">
      <w:start w:val="1"/>
      <w:numFmt w:val="bullet"/>
      <w:lvlText w:val=""/>
      <w:lvlJc w:val="left"/>
      <w:pPr>
        <w:ind w:left="6480" w:hanging="360"/>
      </w:pPr>
      <w:rPr>
        <w:rFonts w:ascii="Wingdings" w:hAnsi="Wingdings" w:hint="default"/>
      </w:rPr>
    </w:lvl>
  </w:abstractNum>
  <w:abstractNum w:abstractNumId="34" w15:restartNumberingAfterBreak="0">
    <w:nsid w:val="77670981"/>
    <w:multiLevelType w:val="hybridMultilevel"/>
    <w:tmpl w:val="97F2B138"/>
    <w:lvl w:ilvl="0" w:tplc="B5AE86D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502D1C"/>
    <w:multiLevelType w:val="hybridMultilevel"/>
    <w:tmpl w:val="A9468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9A34D8"/>
    <w:multiLevelType w:val="hybridMultilevel"/>
    <w:tmpl w:val="15D87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B4D04A4"/>
    <w:multiLevelType w:val="hybridMultilevel"/>
    <w:tmpl w:val="7166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12"/>
  </w:num>
  <w:num w:numId="5">
    <w:abstractNumId w:val="9"/>
  </w:num>
  <w:num w:numId="6">
    <w:abstractNumId w:val="23"/>
  </w:num>
  <w:num w:numId="7">
    <w:abstractNumId w:val="16"/>
  </w:num>
  <w:num w:numId="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22"/>
  </w:num>
  <w:num w:numId="12">
    <w:abstractNumId w:val="35"/>
  </w:num>
  <w:num w:numId="13">
    <w:abstractNumId w:val="24"/>
  </w:num>
  <w:num w:numId="14">
    <w:abstractNumId w:val="34"/>
  </w:num>
  <w:num w:numId="15">
    <w:abstractNumId w:val="19"/>
  </w:num>
  <w:num w:numId="16">
    <w:abstractNumId w:val="13"/>
  </w:num>
  <w:num w:numId="17">
    <w:abstractNumId w:val="37"/>
  </w:num>
  <w:num w:numId="18">
    <w:abstractNumId w:val="27"/>
  </w:num>
  <w:num w:numId="19">
    <w:abstractNumId w:val="7"/>
  </w:num>
  <w:num w:numId="20">
    <w:abstractNumId w:val="28"/>
  </w:num>
  <w:num w:numId="21">
    <w:abstractNumId w:val="26"/>
  </w:num>
  <w:num w:numId="22">
    <w:abstractNumId w:val="5"/>
  </w:num>
  <w:num w:numId="23">
    <w:abstractNumId w:val="32"/>
  </w:num>
  <w:num w:numId="24">
    <w:abstractNumId w:val="1"/>
  </w:num>
  <w:num w:numId="25">
    <w:abstractNumId w:val="17"/>
  </w:num>
  <w:num w:numId="26">
    <w:abstractNumId w:val="29"/>
  </w:num>
  <w:num w:numId="27">
    <w:abstractNumId w:val="36"/>
  </w:num>
  <w:num w:numId="28">
    <w:abstractNumId w:val="21"/>
  </w:num>
  <w:num w:numId="29">
    <w:abstractNumId w:val="33"/>
  </w:num>
  <w:num w:numId="30">
    <w:abstractNumId w:val="14"/>
  </w:num>
  <w:num w:numId="31">
    <w:abstractNumId w:val="20"/>
  </w:num>
  <w:num w:numId="32">
    <w:abstractNumId w:val="30"/>
  </w:num>
  <w:num w:numId="33">
    <w:abstractNumId w:val="4"/>
  </w:num>
  <w:num w:numId="34">
    <w:abstractNumId w:val="15"/>
  </w:num>
  <w:num w:numId="35">
    <w:abstractNumId w:val="31"/>
  </w:num>
  <w:num w:numId="36">
    <w:abstractNumId w:val="0"/>
  </w:num>
  <w:num w:numId="37">
    <w:abstractNumId w:val="6"/>
  </w:num>
  <w:num w:numId="38">
    <w:abstractNumId w:val="18"/>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9B"/>
    <w:rsid w:val="0000272F"/>
    <w:rsid w:val="00011AF6"/>
    <w:rsid w:val="00015FAC"/>
    <w:rsid w:val="000166A3"/>
    <w:rsid w:val="0004202E"/>
    <w:rsid w:val="000555FB"/>
    <w:rsid w:val="00055850"/>
    <w:rsid w:val="000921B0"/>
    <w:rsid w:val="000A07C8"/>
    <w:rsid w:val="000B0C29"/>
    <w:rsid w:val="000C724C"/>
    <w:rsid w:val="000D22DB"/>
    <w:rsid w:val="0013129D"/>
    <w:rsid w:val="001432F3"/>
    <w:rsid w:val="001644D5"/>
    <w:rsid w:val="00171DF4"/>
    <w:rsid w:val="00180100"/>
    <w:rsid w:val="001807F5"/>
    <w:rsid w:val="0018720A"/>
    <w:rsid w:val="001B2EF1"/>
    <w:rsid w:val="001E1E28"/>
    <w:rsid w:val="00202081"/>
    <w:rsid w:val="0021020D"/>
    <w:rsid w:val="002277F9"/>
    <w:rsid w:val="00232F9B"/>
    <w:rsid w:val="00280050"/>
    <w:rsid w:val="00284ECF"/>
    <w:rsid w:val="00314BF3"/>
    <w:rsid w:val="003523F1"/>
    <w:rsid w:val="00362527"/>
    <w:rsid w:val="0037037F"/>
    <w:rsid w:val="00390166"/>
    <w:rsid w:val="003A45A0"/>
    <w:rsid w:val="003C2938"/>
    <w:rsid w:val="003C4A03"/>
    <w:rsid w:val="003D40FC"/>
    <w:rsid w:val="003D6BEC"/>
    <w:rsid w:val="003F1847"/>
    <w:rsid w:val="0040541D"/>
    <w:rsid w:val="004476E4"/>
    <w:rsid w:val="00457A85"/>
    <w:rsid w:val="00460A0F"/>
    <w:rsid w:val="004745C1"/>
    <w:rsid w:val="00485651"/>
    <w:rsid w:val="004B14B0"/>
    <w:rsid w:val="004C3B30"/>
    <w:rsid w:val="004C6378"/>
    <w:rsid w:val="004C7F94"/>
    <w:rsid w:val="005637B4"/>
    <w:rsid w:val="005B225B"/>
    <w:rsid w:val="005C2D60"/>
    <w:rsid w:val="005D52B5"/>
    <w:rsid w:val="0060513A"/>
    <w:rsid w:val="00612778"/>
    <w:rsid w:val="006A7787"/>
    <w:rsid w:val="006D04B1"/>
    <w:rsid w:val="007149BA"/>
    <w:rsid w:val="00732FFD"/>
    <w:rsid w:val="007427E1"/>
    <w:rsid w:val="00760E97"/>
    <w:rsid w:val="00774F7F"/>
    <w:rsid w:val="00776000"/>
    <w:rsid w:val="007845B5"/>
    <w:rsid w:val="00784FEB"/>
    <w:rsid w:val="0079143E"/>
    <w:rsid w:val="007936AF"/>
    <w:rsid w:val="007938B3"/>
    <w:rsid w:val="00796498"/>
    <w:rsid w:val="007D48FE"/>
    <w:rsid w:val="007F0FA0"/>
    <w:rsid w:val="00803083"/>
    <w:rsid w:val="0083134F"/>
    <w:rsid w:val="00847AD6"/>
    <w:rsid w:val="0089182B"/>
    <w:rsid w:val="008C0E3D"/>
    <w:rsid w:val="008D71D0"/>
    <w:rsid w:val="008F3F2F"/>
    <w:rsid w:val="009143BF"/>
    <w:rsid w:val="009215A6"/>
    <w:rsid w:val="00992F2C"/>
    <w:rsid w:val="009C0FE8"/>
    <w:rsid w:val="009C6ECB"/>
    <w:rsid w:val="00A14EB6"/>
    <w:rsid w:val="00A21E8B"/>
    <w:rsid w:val="00A25625"/>
    <w:rsid w:val="00A31A90"/>
    <w:rsid w:val="00A6223E"/>
    <w:rsid w:val="00A668BF"/>
    <w:rsid w:val="00A77688"/>
    <w:rsid w:val="00A87D4F"/>
    <w:rsid w:val="00A92B0E"/>
    <w:rsid w:val="00AC4E35"/>
    <w:rsid w:val="00AD5D75"/>
    <w:rsid w:val="00AF3E31"/>
    <w:rsid w:val="00B0267D"/>
    <w:rsid w:val="00B0747C"/>
    <w:rsid w:val="00B20448"/>
    <w:rsid w:val="00B411A5"/>
    <w:rsid w:val="00B57B95"/>
    <w:rsid w:val="00B63A9E"/>
    <w:rsid w:val="00BA05A4"/>
    <w:rsid w:val="00BA4B89"/>
    <w:rsid w:val="00BC1A1D"/>
    <w:rsid w:val="00BC2833"/>
    <w:rsid w:val="00BD26BD"/>
    <w:rsid w:val="00BD4F45"/>
    <w:rsid w:val="00BD703F"/>
    <w:rsid w:val="00BE0F59"/>
    <w:rsid w:val="00BF5D7D"/>
    <w:rsid w:val="00C069E9"/>
    <w:rsid w:val="00C06F9A"/>
    <w:rsid w:val="00C1601F"/>
    <w:rsid w:val="00C50908"/>
    <w:rsid w:val="00C8253B"/>
    <w:rsid w:val="00CB0838"/>
    <w:rsid w:val="00CD19AB"/>
    <w:rsid w:val="00CE2F67"/>
    <w:rsid w:val="00D042CA"/>
    <w:rsid w:val="00D409E9"/>
    <w:rsid w:val="00D55799"/>
    <w:rsid w:val="00D63C2C"/>
    <w:rsid w:val="00D64250"/>
    <w:rsid w:val="00D64D1D"/>
    <w:rsid w:val="00D66C8E"/>
    <w:rsid w:val="00D7327A"/>
    <w:rsid w:val="00D74BDA"/>
    <w:rsid w:val="00D952A0"/>
    <w:rsid w:val="00D96B2A"/>
    <w:rsid w:val="00DA1CA1"/>
    <w:rsid w:val="00DA7A80"/>
    <w:rsid w:val="00E02443"/>
    <w:rsid w:val="00E05BB8"/>
    <w:rsid w:val="00E1721A"/>
    <w:rsid w:val="00E24E18"/>
    <w:rsid w:val="00E335E7"/>
    <w:rsid w:val="00E42081"/>
    <w:rsid w:val="00E4787B"/>
    <w:rsid w:val="00E53F2F"/>
    <w:rsid w:val="00E8250E"/>
    <w:rsid w:val="00EB0222"/>
    <w:rsid w:val="00ED76FE"/>
    <w:rsid w:val="00EF0171"/>
    <w:rsid w:val="00EF5C5E"/>
    <w:rsid w:val="00F14D6C"/>
    <w:rsid w:val="00F277A4"/>
    <w:rsid w:val="00FA06C5"/>
    <w:rsid w:val="00FC4239"/>
    <w:rsid w:val="00FC72B7"/>
    <w:rsid w:val="00FD2283"/>
    <w:rsid w:val="00FD28A8"/>
    <w:rsid w:val="00FF7B9F"/>
    <w:rsid w:val="00FF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0335B4E"/>
  <w15:chartTrackingRefBased/>
  <w15:docId w15:val="{0E29E643-84AE-41BE-AB13-D6ADA19F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DB"/>
    <w:pPr>
      <w:spacing w:after="120"/>
    </w:pPr>
    <w:rPr>
      <w:rFonts w:ascii="Book Antiqua" w:eastAsia="Times New Roman" w:hAnsi="Book Antiqua"/>
      <w:color w:val="000000"/>
      <w:sz w:val="19"/>
      <w:szCs w:val="19"/>
      <w:lang w:eastAsia="en-AU"/>
    </w:rPr>
  </w:style>
  <w:style w:type="paragraph" w:styleId="Heading1">
    <w:name w:val="heading 1"/>
    <w:basedOn w:val="Normal"/>
    <w:next w:val="Normal"/>
    <w:link w:val="Heading1Char"/>
    <w:qFormat/>
    <w:rsid w:val="001432F3"/>
    <w:pPr>
      <w:keepNext/>
      <w:spacing w:after="240"/>
      <w:outlineLvl w:val="0"/>
    </w:pPr>
    <w:rPr>
      <w:rFonts w:ascii="Arial Bold" w:hAnsi="Arial Bold"/>
      <w:b/>
      <w:kern w:val="34"/>
      <w:sz w:val="36"/>
    </w:rPr>
  </w:style>
  <w:style w:type="paragraph" w:styleId="Heading2">
    <w:name w:val="heading 2"/>
    <w:basedOn w:val="Normal"/>
    <w:next w:val="Normal"/>
    <w:link w:val="Heading2Char"/>
    <w:qFormat/>
    <w:rsid w:val="000D22DB"/>
    <w:pPr>
      <w:keepNext/>
      <w:spacing w:before="240" w:after="240"/>
      <w:outlineLvl w:val="1"/>
    </w:pPr>
    <w:rPr>
      <w:rFonts w:ascii="Arial Bold" w:hAnsi="Arial Bold"/>
      <w:b/>
      <w:sz w:val="26"/>
    </w:rPr>
  </w:style>
  <w:style w:type="paragraph" w:styleId="Heading3">
    <w:name w:val="heading 3"/>
    <w:basedOn w:val="Normal"/>
    <w:next w:val="Normal"/>
    <w:link w:val="Heading3Char"/>
    <w:qFormat/>
    <w:rsid w:val="000D22DB"/>
    <w:pPr>
      <w:keepNext/>
      <w:spacing w:before="120"/>
      <w:outlineLvl w:val="2"/>
    </w:pPr>
    <w:rPr>
      <w:rFonts w:ascii="Arial Bold" w:hAnsi="Arial Bold"/>
      <w:b/>
      <w:sz w:val="22"/>
    </w:rPr>
  </w:style>
  <w:style w:type="paragraph" w:styleId="Heading4">
    <w:name w:val="heading 4"/>
    <w:basedOn w:val="Normal"/>
    <w:next w:val="Normal"/>
    <w:link w:val="Heading4Char"/>
    <w:qFormat/>
    <w:rsid w:val="009215A6"/>
    <w:pPr>
      <w:keepNext/>
      <w:tabs>
        <w:tab w:val="left" w:pos="709"/>
      </w:tabs>
      <w:spacing w:before="240"/>
      <w:outlineLvl w:val="3"/>
    </w:pPr>
    <w:rPr>
      <w:rFonts w:ascii="Arial" w:hAnsi="Arial"/>
      <w:b/>
      <w:sz w:val="22"/>
    </w:rPr>
  </w:style>
  <w:style w:type="paragraph" w:styleId="Heading5">
    <w:name w:val="heading 5"/>
    <w:basedOn w:val="Normal"/>
    <w:next w:val="Normal"/>
    <w:link w:val="Heading5Char"/>
    <w:qFormat/>
    <w:rsid w:val="009215A6"/>
    <w:pPr>
      <w:spacing w:before="120"/>
      <w:outlineLvl w:val="4"/>
    </w:pPr>
    <w:rPr>
      <w:rFonts w:ascii="Arial" w:hAnsi="Arial"/>
      <w:b/>
      <w:bCs/>
      <w:iCs/>
      <w:szCs w:val="26"/>
    </w:rPr>
  </w:style>
  <w:style w:type="paragraph" w:styleId="Heading6">
    <w:name w:val="heading 6"/>
    <w:basedOn w:val="Normal"/>
    <w:next w:val="Normal"/>
    <w:link w:val="Heading6Char"/>
    <w:rsid w:val="009215A6"/>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
    <w:name w:val="Contents Heading"/>
    <w:link w:val="ContentsHeadingChar"/>
    <w:qFormat/>
    <w:rsid w:val="009215A6"/>
    <w:pPr>
      <w:spacing w:after="360"/>
      <w:jc w:val="center"/>
    </w:pPr>
    <w:rPr>
      <w:rFonts w:ascii="Arial" w:eastAsia="Times New Roman" w:hAnsi="Arial" w:cs="Arial"/>
      <w:b/>
      <w:bCs/>
      <w:smallCaps/>
      <w:color w:val="000000"/>
      <w:kern w:val="32"/>
      <w:sz w:val="34"/>
      <w:szCs w:val="34"/>
      <w:lang w:eastAsia="en-AU"/>
    </w:rPr>
  </w:style>
  <w:style w:type="character" w:customStyle="1" w:styleId="ContentsHeadingChar">
    <w:name w:val="Contents Heading Char"/>
    <w:basedOn w:val="Heading1Char"/>
    <w:link w:val="ContentsHeading"/>
    <w:rsid w:val="009215A6"/>
    <w:rPr>
      <w:rFonts w:ascii="Arial" w:eastAsia="Times New Roman" w:hAnsi="Arial" w:cs="Arial"/>
      <w:b/>
      <w:bCs w:val="0"/>
      <w:smallCaps w:val="0"/>
      <w:color w:val="000000"/>
      <w:kern w:val="32"/>
      <w:sz w:val="34"/>
      <w:szCs w:val="34"/>
      <w:lang w:eastAsia="en-AU"/>
    </w:rPr>
  </w:style>
  <w:style w:type="paragraph" w:customStyle="1" w:styleId="PartHeading">
    <w:name w:val="Part Heading"/>
    <w:basedOn w:val="Heading1"/>
    <w:next w:val="Normal"/>
    <w:qFormat/>
    <w:rsid w:val="009215A6"/>
    <w:pPr>
      <w:spacing w:after="0"/>
    </w:pPr>
    <w:rPr>
      <w:smallCaps/>
      <w:kern w:val="28"/>
    </w:rPr>
  </w:style>
  <w:style w:type="character" w:customStyle="1" w:styleId="Heading1Char">
    <w:name w:val="Heading 1 Char"/>
    <w:basedOn w:val="DefaultParagraphFont"/>
    <w:link w:val="Heading1"/>
    <w:rsid w:val="001432F3"/>
    <w:rPr>
      <w:rFonts w:ascii="Arial Bold" w:eastAsia="Times New Roman" w:hAnsi="Arial Bold"/>
      <w:b/>
      <w:kern w:val="34"/>
      <w:sz w:val="36"/>
      <w:lang w:eastAsia="en-AU"/>
    </w:rPr>
  </w:style>
  <w:style w:type="paragraph" w:customStyle="1" w:styleId="EntitySubtitle">
    <w:name w:val="Entity Subtitle"/>
    <w:basedOn w:val="Normal"/>
    <w:link w:val="EntitySubtitleChar"/>
    <w:qFormat/>
    <w:rsid w:val="000D22DB"/>
    <w:pPr>
      <w:keepNext/>
      <w:tabs>
        <w:tab w:val="left" w:pos="5830"/>
      </w:tabs>
      <w:spacing w:before="440"/>
      <w:ind w:right="-68"/>
      <w:jc w:val="center"/>
    </w:pPr>
    <w:rPr>
      <w:rFonts w:ascii="Arial Bold" w:hAnsi="Arial Bold" w:cs="Arial"/>
      <w:b/>
      <w:bCs/>
      <w:sz w:val="52"/>
      <w:szCs w:val="56"/>
    </w:rPr>
  </w:style>
  <w:style w:type="character" w:customStyle="1" w:styleId="EntitySubtitleChar">
    <w:name w:val="Entity Subtitle Char"/>
    <w:basedOn w:val="DefaultParagraphFont"/>
    <w:link w:val="EntitySubtitle"/>
    <w:rsid w:val="000D22DB"/>
    <w:rPr>
      <w:rFonts w:ascii="Arial Bold" w:eastAsia="Times New Roman" w:hAnsi="Arial Bold" w:cs="Arial"/>
      <w:b/>
      <w:bCs/>
      <w:sz w:val="52"/>
      <w:szCs w:val="56"/>
    </w:rPr>
  </w:style>
  <w:style w:type="paragraph" w:customStyle="1" w:styleId="TOCHeading1">
    <w:name w:val="TOC Heading1"/>
    <w:basedOn w:val="Normal"/>
    <w:link w:val="ToCHeadingChar"/>
    <w:qFormat/>
    <w:rsid w:val="009215A6"/>
    <w:pPr>
      <w:tabs>
        <w:tab w:val="left" w:pos="1760"/>
        <w:tab w:val="right" w:leader="dot" w:pos="7371"/>
      </w:tabs>
      <w:spacing w:before="180"/>
    </w:pPr>
    <w:rPr>
      <w:rFonts w:ascii="Arial" w:hAnsi="Arial" w:cs="Arial"/>
      <w:b/>
      <w:bCs/>
    </w:rPr>
  </w:style>
  <w:style w:type="character" w:customStyle="1" w:styleId="ToCHeadingChar">
    <w:name w:val="ToC Heading Char"/>
    <w:basedOn w:val="DefaultParagraphFont"/>
    <w:link w:val="TOCHeading1"/>
    <w:rsid w:val="009215A6"/>
    <w:rPr>
      <w:rFonts w:ascii="Arial" w:eastAsia="Times New Roman" w:hAnsi="Arial" w:cs="Arial"/>
      <w:b/>
      <w:bCs/>
      <w:color w:val="000000"/>
      <w:sz w:val="20"/>
      <w:szCs w:val="20"/>
      <w:lang w:eastAsia="en-AU"/>
    </w:rPr>
  </w:style>
  <w:style w:type="paragraph" w:customStyle="1" w:styleId="Bullet">
    <w:name w:val="Bullet"/>
    <w:basedOn w:val="Normal"/>
    <w:rsid w:val="009215A6"/>
    <w:pPr>
      <w:keepNext/>
      <w:keepLines/>
      <w:numPr>
        <w:numId w:val="2"/>
      </w:numPr>
      <w:spacing w:before="60" w:after="60" w:line="300" w:lineRule="auto"/>
      <w:outlineLvl w:val="2"/>
    </w:pPr>
    <w:rPr>
      <w:rFonts w:eastAsiaTheme="minorEastAsia" w:cstheme="minorBidi"/>
      <w:sz w:val="24"/>
      <w:szCs w:val="24"/>
    </w:rPr>
  </w:style>
  <w:style w:type="paragraph" w:customStyle="1" w:styleId="ToCHeading2">
    <w:name w:val="ToC Heading 2"/>
    <w:basedOn w:val="Normal"/>
    <w:link w:val="ToCHeading2Char"/>
    <w:qFormat/>
    <w:rsid w:val="009215A6"/>
    <w:pPr>
      <w:tabs>
        <w:tab w:val="left" w:pos="567"/>
        <w:tab w:val="right" w:leader="dot" w:pos="7371"/>
      </w:tabs>
      <w:spacing w:before="180"/>
    </w:pPr>
    <w:rPr>
      <w:rFonts w:ascii="Arial" w:hAnsi="Arial" w:cs="Arial"/>
      <w:b/>
    </w:rPr>
  </w:style>
  <w:style w:type="character" w:customStyle="1" w:styleId="ToCHeading2Char">
    <w:name w:val="ToC Heading 2 Char"/>
    <w:basedOn w:val="DefaultParagraphFont"/>
    <w:link w:val="ToCHeading2"/>
    <w:rsid w:val="009215A6"/>
    <w:rPr>
      <w:rFonts w:ascii="Arial" w:eastAsia="Times New Roman" w:hAnsi="Arial" w:cs="Arial"/>
      <w:b/>
      <w:color w:val="000000"/>
      <w:sz w:val="20"/>
      <w:szCs w:val="20"/>
      <w:lang w:eastAsia="en-AU"/>
    </w:rPr>
  </w:style>
  <w:style w:type="paragraph" w:customStyle="1" w:styleId="Tablenumberandreference">
    <w:name w:val="Table number and reference"/>
    <w:basedOn w:val="Normal"/>
    <w:qFormat/>
    <w:rsid w:val="009215A6"/>
    <w:rPr>
      <w:rFonts w:ascii="Arial" w:hAnsi="Arial" w:cs="Arial"/>
      <w:b/>
      <w:szCs w:val="18"/>
    </w:rPr>
  </w:style>
  <w:style w:type="paragraph" w:customStyle="1" w:styleId="StyleTableGraphicItalicRed">
    <w:name w:val="Style Table Graphic + Italic Red"/>
    <w:basedOn w:val="Normal"/>
    <w:rsid w:val="009215A6"/>
    <w:pPr>
      <w:spacing w:after="60" w:line="200" w:lineRule="exact"/>
    </w:pPr>
    <w:rPr>
      <w:i/>
      <w:iCs/>
      <w:color w:val="FF0000"/>
    </w:rPr>
  </w:style>
  <w:style w:type="character" w:customStyle="1" w:styleId="Heading2Char">
    <w:name w:val="Heading 2 Char"/>
    <w:basedOn w:val="DefaultParagraphFont"/>
    <w:link w:val="Heading2"/>
    <w:rsid w:val="000D22DB"/>
    <w:rPr>
      <w:rFonts w:ascii="Arial Bold" w:eastAsia="Times New Roman" w:hAnsi="Arial Bold"/>
      <w:b/>
      <w:sz w:val="26"/>
      <w:lang w:eastAsia="en-AU"/>
    </w:rPr>
  </w:style>
  <w:style w:type="character" w:customStyle="1" w:styleId="Heading3Char">
    <w:name w:val="Heading 3 Char"/>
    <w:link w:val="Heading3"/>
    <w:rsid w:val="000D22DB"/>
    <w:rPr>
      <w:rFonts w:ascii="Arial Bold" w:eastAsia="Times New Roman" w:hAnsi="Arial Bold"/>
      <w:b/>
      <w:sz w:val="22"/>
      <w:lang w:eastAsia="en-AU"/>
    </w:rPr>
  </w:style>
  <w:style w:type="character" w:customStyle="1" w:styleId="Heading4Char">
    <w:name w:val="Heading 4 Char"/>
    <w:basedOn w:val="DefaultParagraphFont"/>
    <w:link w:val="Heading4"/>
    <w:rsid w:val="009215A6"/>
    <w:rPr>
      <w:rFonts w:ascii="Arial" w:eastAsia="Times New Roman" w:hAnsi="Arial"/>
      <w:b/>
      <w:color w:val="000000"/>
      <w:sz w:val="22"/>
      <w:szCs w:val="20"/>
      <w:lang w:eastAsia="en-AU"/>
    </w:rPr>
  </w:style>
  <w:style w:type="character" w:customStyle="1" w:styleId="Heading5Char">
    <w:name w:val="Heading 5 Char"/>
    <w:basedOn w:val="DefaultParagraphFont"/>
    <w:link w:val="Heading5"/>
    <w:rsid w:val="009215A6"/>
    <w:rPr>
      <w:rFonts w:ascii="Arial" w:eastAsia="Times New Roman" w:hAnsi="Arial"/>
      <w:b/>
      <w:bCs/>
      <w:iCs/>
      <w:color w:val="000000"/>
      <w:sz w:val="20"/>
      <w:szCs w:val="26"/>
      <w:lang w:eastAsia="en-AU"/>
    </w:rPr>
  </w:style>
  <w:style w:type="character" w:customStyle="1" w:styleId="Heading6Char">
    <w:name w:val="Heading 6 Char"/>
    <w:basedOn w:val="DefaultParagraphFont"/>
    <w:link w:val="Heading6"/>
    <w:rsid w:val="009215A6"/>
    <w:rPr>
      <w:rFonts w:ascii="Book Antiqua" w:eastAsia="Times New Roman" w:hAnsi="Book Antiqua"/>
      <w:b/>
      <w:bCs/>
      <w:i/>
      <w:color w:val="000000"/>
      <w:sz w:val="22"/>
      <w:szCs w:val="22"/>
      <w:lang w:eastAsia="en-AU"/>
    </w:rPr>
  </w:style>
  <w:style w:type="paragraph" w:styleId="TOC1">
    <w:name w:val="toc 1"/>
    <w:next w:val="Normal"/>
    <w:autoRedefine/>
    <w:uiPriority w:val="39"/>
    <w:qFormat/>
    <w:rsid w:val="009215A6"/>
    <w:pPr>
      <w:tabs>
        <w:tab w:val="right" w:leader="dot" w:pos="7371"/>
      </w:tabs>
      <w:spacing w:before="360" w:after="120"/>
    </w:pPr>
    <w:rPr>
      <w:rFonts w:ascii="Arial" w:eastAsia="Times New Roman" w:hAnsi="Arial" w:cs="Arial"/>
      <w:b/>
      <w:bCs/>
      <w:color w:val="000000"/>
    </w:rPr>
  </w:style>
  <w:style w:type="paragraph" w:styleId="TOC2">
    <w:name w:val="toc 2"/>
    <w:next w:val="Normal"/>
    <w:autoRedefine/>
    <w:uiPriority w:val="39"/>
    <w:rsid w:val="009215A6"/>
    <w:pPr>
      <w:tabs>
        <w:tab w:val="left" w:pos="658"/>
        <w:tab w:val="right" w:leader="dot" w:pos="7360"/>
      </w:tabs>
      <w:spacing w:before="60" w:after="120"/>
    </w:pPr>
    <w:rPr>
      <w:rFonts w:ascii="Arial" w:eastAsiaTheme="minorEastAsia" w:hAnsi="Arial" w:cstheme="minorBidi"/>
      <w:noProof/>
      <w:szCs w:val="22"/>
      <w:lang w:eastAsia="en-AU"/>
    </w:rPr>
  </w:style>
  <w:style w:type="paragraph" w:styleId="TOC3">
    <w:name w:val="toc 3"/>
    <w:basedOn w:val="Normal"/>
    <w:next w:val="Normal"/>
    <w:autoRedefine/>
    <w:uiPriority w:val="39"/>
    <w:rsid w:val="009215A6"/>
    <w:pPr>
      <w:tabs>
        <w:tab w:val="right" w:leader="dot" w:pos="7371"/>
      </w:tabs>
      <w:spacing w:before="10" w:after="10"/>
      <w:ind w:left="2694" w:hanging="1843"/>
    </w:pPr>
    <w:rPr>
      <w:rFonts w:ascii="Arial" w:hAnsi="Arial" w:cs="Arial"/>
    </w:rPr>
  </w:style>
  <w:style w:type="paragraph" w:styleId="TOC4">
    <w:name w:val="toc 4"/>
    <w:basedOn w:val="Normal"/>
    <w:next w:val="Normal"/>
    <w:autoRedefine/>
    <w:rsid w:val="009215A6"/>
    <w:pPr>
      <w:spacing w:after="100"/>
      <w:ind w:left="600"/>
    </w:pPr>
  </w:style>
  <w:style w:type="paragraph" w:styleId="FootnoteText">
    <w:name w:val="footnote text"/>
    <w:basedOn w:val="Normal"/>
    <w:link w:val="FootnoteTextChar"/>
    <w:qFormat/>
    <w:rsid w:val="009215A6"/>
    <w:pPr>
      <w:tabs>
        <w:tab w:val="left" w:pos="284"/>
      </w:tabs>
      <w:ind w:left="284" w:hanging="284"/>
    </w:pPr>
    <w:rPr>
      <w:rFonts w:ascii="Arial" w:hAnsi="Arial"/>
      <w:sz w:val="15"/>
    </w:rPr>
  </w:style>
  <w:style w:type="character" w:customStyle="1" w:styleId="FootnoteTextChar">
    <w:name w:val="Footnote Text Char"/>
    <w:basedOn w:val="DefaultParagraphFont"/>
    <w:link w:val="FootnoteText"/>
    <w:rsid w:val="009215A6"/>
    <w:rPr>
      <w:rFonts w:ascii="Arial" w:eastAsia="Times New Roman" w:hAnsi="Arial"/>
      <w:color w:val="000000"/>
      <w:sz w:val="15"/>
      <w:szCs w:val="20"/>
      <w:lang w:eastAsia="en-AU"/>
    </w:rPr>
  </w:style>
  <w:style w:type="paragraph" w:styleId="CommentText">
    <w:name w:val="annotation text"/>
    <w:basedOn w:val="Normal"/>
    <w:link w:val="CommentTextChar"/>
    <w:uiPriority w:val="99"/>
    <w:unhideWhenUsed/>
    <w:rsid w:val="009215A6"/>
  </w:style>
  <w:style w:type="character" w:customStyle="1" w:styleId="CommentTextChar">
    <w:name w:val="Comment Text Char"/>
    <w:basedOn w:val="DefaultParagraphFont"/>
    <w:link w:val="CommentText"/>
    <w:uiPriority w:val="99"/>
    <w:rsid w:val="009215A6"/>
    <w:rPr>
      <w:rFonts w:ascii="Book Antiqua" w:eastAsia="Times New Roman" w:hAnsi="Book Antiqua"/>
      <w:color w:val="000000"/>
      <w:sz w:val="20"/>
      <w:szCs w:val="20"/>
      <w:lang w:eastAsia="en-AU"/>
    </w:rPr>
  </w:style>
  <w:style w:type="paragraph" w:styleId="Header">
    <w:name w:val="header"/>
    <w:basedOn w:val="Normal"/>
    <w:link w:val="HeaderChar"/>
    <w:uiPriority w:val="99"/>
    <w:rsid w:val="009215A6"/>
    <w:pPr>
      <w:tabs>
        <w:tab w:val="center" w:pos="4513"/>
        <w:tab w:val="right" w:pos="9026"/>
      </w:tabs>
    </w:pPr>
  </w:style>
  <w:style w:type="character" w:customStyle="1" w:styleId="HeaderChar">
    <w:name w:val="Header Char"/>
    <w:basedOn w:val="DefaultParagraphFont"/>
    <w:link w:val="Header"/>
    <w:uiPriority w:val="99"/>
    <w:rsid w:val="009215A6"/>
    <w:rPr>
      <w:rFonts w:ascii="Book Antiqua" w:eastAsia="Times New Roman" w:hAnsi="Book Antiqua"/>
      <w:color w:val="000000"/>
      <w:sz w:val="20"/>
      <w:szCs w:val="20"/>
      <w:lang w:eastAsia="en-AU"/>
    </w:rPr>
  </w:style>
  <w:style w:type="paragraph" w:styleId="Footer">
    <w:name w:val="footer"/>
    <w:basedOn w:val="Normal"/>
    <w:link w:val="FooterChar"/>
    <w:uiPriority w:val="99"/>
    <w:rsid w:val="009215A6"/>
    <w:pPr>
      <w:tabs>
        <w:tab w:val="center" w:pos="4513"/>
        <w:tab w:val="right" w:pos="9026"/>
      </w:tabs>
    </w:pPr>
  </w:style>
  <w:style w:type="character" w:customStyle="1" w:styleId="FooterChar">
    <w:name w:val="Footer Char"/>
    <w:basedOn w:val="DefaultParagraphFont"/>
    <w:link w:val="Footer"/>
    <w:uiPriority w:val="99"/>
    <w:rsid w:val="009215A6"/>
    <w:rPr>
      <w:rFonts w:ascii="Book Antiqua" w:eastAsia="Times New Roman" w:hAnsi="Book Antiqua"/>
      <w:color w:val="000000"/>
      <w:sz w:val="20"/>
      <w:szCs w:val="20"/>
      <w:lang w:eastAsia="en-AU"/>
    </w:rPr>
  </w:style>
  <w:style w:type="character" w:styleId="FootnoteReference">
    <w:name w:val="footnote reference"/>
    <w:aliases w:val="(NECG) Footnote Reference"/>
    <w:rsid w:val="009215A6"/>
    <w:rPr>
      <w:rFonts w:ascii="Arial" w:hAnsi="Arial"/>
      <w:sz w:val="15"/>
      <w:vertAlign w:val="superscript"/>
    </w:rPr>
  </w:style>
  <w:style w:type="character" w:styleId="CommentReference">
    <w:name w:val="annotation reference"/>
    <w:basedOn w:val="DefaultParagraphFont"/>
    <w:uiPriority w:val="99"/>
    <w:unhideWhenUsed/>
    <w:rsid w:val="009215A6"/>
    <w:rPr>
      <w:sz w:val="16"/>
      <w:szCs w:val="16"/>
    </w:rPr>
  </w:style>
  <w:style w:type="character" w:styleId="PageNumber">
    <w:name w:val="page number"/>
    <w:rsid w:val="009215A6"/>
    <w:rPr>
      <w:rFonts w:ascii="Arial" w:hAnsi="Arial" w:cs="Arial"/>
    </w:rPr>
  </w:style>
  <w:style w:type="character" w:styleId="Hyperlink">
    <w:name w:val="Hyperlink"/>
    <w:basedOn w:val="DefaultParagraphFont"/>
    <w:uiPriority w:val="99"/>
    <w:unhideWhenUsed/>
    <w:rsid w:val="009215A6"/>
    <w:rPr>
      <w:color w:val="0563C1" w:themeColor="hyperlink"/>
      <w:u w:val="single"/>
    </w:rPr>
  </w:style>
  <w:style w:type="paragraph" w:styleId="CommentSubject">
    <w:name w:val="annotation subject"/>
    <w:basedOn w:val="CommentText"/>
    <w:next w:val="CommentText"/>
    <w:link w:val="CommentSubjectChar"/>
    <w:rsid w:val="009215A6"/>
    <w:rPr>
      <w:b/>
      <w:bCs/>
    </w:rPr>
  </w:style>
  <w:style w:type="character" w:customStyle="1" w:styleId="CommentSubjectChar">
    <w:name w:val="Comment Subject Char"/>
    <w:basedOn w:val="CommentTextChar"/>
    <w:link w:val="CommentSubject"/>
    <w:rsid w:val="009215A6"/>
    <w:rPr>
      <w:rFonts w:ascii="Book Antiqua" w:eastAsia="Times New Roman" w:hAnsi="Book Antiqua"/>
      <w:b/>
      <w:bCs/>
      <w:color w:val="000000"/>
      <w:sz w:val="20"/>
      <w:szCs w:val="20"/>
      <w:lang w:eastAsia="en-AU"/>
    </w:rPr>
  </w:style>
  <w:style w:type="paragraph" w:styleId="BalloonText">
    <w:name w:val="Balloon Text"/>
    <w:basedOn w:val="Normal"/>
    <w:link w:val="BalloonTextChar"/>
    <w:rsid w:val="009215A6"/>
    <w:rPr>
      <w:rFonts w:ascii="Tahoma" w:hAnsi="Tahoma" w:cs="Tahoma"/>
      <w:sz w:val="16"/>
      <w:szCs w:val="16"/>
    </w:rPr>
  </w:style>
  <w:style w:type="character" w:customStyle="1" w:styleId="BalloonTextChar">
    <w:name w:val="Balloon Text Char"/>
    <w:basedOn w:val="DefaultParagraphFont"/>
    <w:link w:val="BalloonText"/>
    <w:rsid w:val="009215A6"/>
    <w:rPr>
      <w:rFonts w:ascii="Tahoma" w:eastAsia="Times New Roman" w:hAnsi="Tahoma" w:cs="Tahoma"/>
      <w:color w:val="000000"/>
      <w:sz w:val="16"/>
      <w:szCs w:val="16"/>
      <w:lang w:eastAsia="en-AU"/>
    </w:rPr>
  </w:style>
  <w:style w:type="table" w:styleId="TableGrid">
    <w:name w:val="Table Grid"/>
    <w:basedOn w:val="TableNormal"/>
    <w:rsid w:val="009215A6"/>
    <w:pPr>
      <w:spacing w:before="120" w:after="120"/>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215A6"/>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215A6"/>
    <w:rPr>
      <w:rFonts w:ascii="Book Antiqua" w:eastAsia="Times New Roman" w:hAnsi="Book Antiqua"/>
      <w:color w:val="000000"/>
      <w:sz w:val="20"/>
      <w:szCs w:val="20"/>
      <w:lang w:eastAsia="en-AU"/>
    </w:rPr>
  </w:style>
  <w:style w:type="paragraph" w:styleId="TOCHeading">
    <w:name w:val="TOC Heading"/>
    <w:basedOn w:val="Heading1"/>
    <w:next w:val="Normal"/>
    <w:uiPriority w:val="39"/>
    <w:semiHidden/>
    <w:unhideWhenUsed/>
    <w:qFormat/>
    <w:rsid w:val="009215A6"/>
    <w:pPr>
      <w:keepLines/>
      <w:spacing w:before="480" w:after="0" w:line="276" w:lineRule="auto"/>
      <w:outlineLvl w:val="9"/>
    </w:pPr>
    <w:rPr>
      <w:rFonts w:asciiTheme="majorHAnsi" w:hAnsiTheme="majorHAnsi" w:cstheme="majorBidi"/>
      <w:smallCaps/>
      <w:color w:val="2E74B5" w:themeColor="accent1" w:themeShade="BF"/>
      <w:kern w:val="0"/>
      <w:sz w:val="28"/>
      <w:szCs w:val="28"/>
      <w:lang w:val="en-US" w:eastAsia="ja-JP"/>
    </w:rPr>
  </w:style>
  <w:style w:type="numbering" w:customStyle="1" w:styleId="NoList1">
    <w:name w:val="No List1"/>
    <w:next w:val="NoList"/>
    <w:uiPriority w:val="99"/>
    <w:semiHidden/>
    <w:unhideWhenUsed/>
    <w:rsid w:val="00232F9B"/>
  </w:style>
  <w:style w:type="paragraph" w:styleId="Revision">
    <w:name w:val="Revision"/>
    <w:hidden/>
    <w:uiPriority w:val="99"/>
    <w:semiHidden/>
    <w:rsid w:val="00232F9B"/>
    <w:rPr>
      <w:rFonts w:ascii="Book Antiqua" w:eastAsia="Times New Roman" w:hAnsi="Book Antiqua"/>
      <w:color w:val="000000"/>
      <w:lang w:eastAsia="en-AU"/>
    </w:rPr>
  </w:style>
  <w:style w:type="paragraph" w:customStyle="1" w:styleId="NormalBookAntiqua">
    <w:name w:val="Normal Book Antiqua"/>
    <w:basedOn w:val="Normal"/>
    <w:qFormat/>
    <w:rsid w:val="001B2EF1"/>
    <w:pPr>
      <w:spacing w:before="40"/>
    </w:pPr>
    <w:rPr>
      <w:rFonts w:cs="Arial"/>
    </w:rPr>
  </w:style>
  <w:style w:type="paragraph" w:customStyle="1" w:styleId="TableParagraph">
    <w:name w:val="Table Paragraph"/>
    <w:basedOn w:val="Normal"/>
    <w:uiPriority w:val="1"/>
    <w:qFormat/>
    <w:rsid w:val="00760E97"/>
    <w:pPr>
      <w:widowControl w:val="0"/>
      <w:autoSpaceDE w:val="0"/>
      <w:autoSpaceDN w:val="0"/>
    </w:pPr>
    <w:rPr>
      <w:rFonts w:eastAsia="Book Antiqua" w:cs="Book Antiqua"/>
      <w:sz w:val="22"/>
      <w:szCs w:val="22"/>
      <w:lang w:val="en-US"/>
    </w:rPr>
  </w:style>
  <w:style w:type="table" w:customStyle="1" w:styleId="TableGrid1">
    <w:name w:val="Table Grid1"/>
    <w:basedOn w:val="TableNormal"/>
    <w:next w:val="TableGrid"/>
    <w:uiPriority w:val="39"/>
    <w:rsid w:val="005C2D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
    <w:qFormat/>
    <w:rsid w:val="00D96B2A"/>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4C6378"/>
    <w:pPr>
      <w:pBdr>
        <w:top w:val="single" w:sz="4" w:space="10" w:color="000000"/>
      </w:pBdr>
      <w:tabs>
        <w:tab w:val="clear" w:pos="4513"/>
        <w:tab w:val="clear" w:pos="9026"/>
        <w:tab w:val="center" w:pos="4153"/>
        <w:tab w:val="right" w:pos="8306"/>
      </w:tabs>
    </w:pPr>
    <w:rPr>
      <w:rFonts w:ascii="Arial" w:hAnsi="Arial"/>
      <w:sz w:val="18"/>
    </w:rPr>
  </w:style>
  <w:style w:type="paragraph" w:customStyle="1" w:styleId="TableHeading">
    <w:name w:val="Table Heading"/>
    <w:basedOn w:val="Normal"/>
    <w:next w:val="TableGraphic"/>
    <w:link w:val="TableHeadingChar"/>
    <w:qFormat/>
    <w:rsid w:val="007D48FE"/>
    <w:pPr>
      <w:keepNext/>
      <w:spacing w:before="120" w:after="20"/>
    </w:pPr>
    <w:rPr>
      <w:rFonts w:ascii="Arial" w:hAnsi="Arial"/>
      <w:b/>
    </w:rPr>
  </w:style>
  <w:style w:type="paragraph" w:customStyle="1" w:styleId="TableGraphic">
    <w:name w:val="Table Graphic"/>
    <w:basedOn w:val="Normal"/>
    <w:next w:val="Normal"/>
    <w:rsid w:val="007D48FE"/>
    <w:pPr>
      <w:ind w:right="-113"/>
    </w:pPr>
  </w:style>
  <w:style w:type="character" w:customStyle="1" w:styleId="TableHeadingChar">
    <w:name w:val="Table Heading Char"/>
    <w:link w:val="TableHeading"/>
    <w:rsid w:val="007D48FE"/>
    <w:rPr>
      <w:rFonts w:ascii="Arial" w:eastAsia="Times New Roman" w:hAnsi="Arial"/>
      <w:b/>
      <w:lang w:eastAsia="en-AU"/>
    </w:rPr>
  </w:style>
  <w:style w:type="character" w:styleId="FollowedHyperlink">
    <w:name w:val="FollowedHyperlink"/>
    <w:basedOn w:val="DefaultParagraphFont"/>
    <w:uiPriority w:val="99"/>
    <w:semiHidden/>
    <w:unhideWhenUsed/>
    <w:rsid w:val="0000272F"/>
    <w:rPr>
      <w:color w:val="954F72" w:themeColor="followedHyperlink"/>
      <w:u w:val="single"/>
    </w:rPr>
  </w:style>
  <w:style w:type="paragraph" w:customStyle="1" w:styleId="Header-Left">
    <w:name w:val="Header -Left"/>
    <w:basedOn w:val="Normal"/>
    <w:link w:val="Header-LeftChar"/>
    <w:uiPriority w:val="13"/>
    <w:qFormat/>
    <w:rsid w:val="001432F3"/>
    <w:pPr>
      <w:pBdr>
        <w:bottom w:val="single" w:sz="4" w:space="1" w:color="auto"/>
      </w:pBdr>
      <w:tabs>
        <w:tab w:val="center" w:pos="4513"/>
        <w:tab w:val="right" w:pos="9026"/>
      </w:tabs>
    </w:pPr>
    <w:rPr>
      <w:rFonts w:ascii="Arial" w:hAnsi="Arial" w:cs="Arial"/>
      <w:sz w:val="18"/>
      <w:szCs w:val="18"/>
    </w:rPr>
  </w:style>
  <w:style w:type="character" w:customStyle="1" w:styleId="Header-LeftChar">
    <w:name w:val="Header -Left Char"/>
    <w:basedOn w:val="DefaultParagraphFont"/>
    <w:link w:val="Header-Left"/>
    <w:uiPriority w:val="13"/>
    <w:locked/>
    <w:rsid w:val="001432F3"/>
    <w:rPr>
      <w:rFonts w:ascii="Arial" w:eastAsia="Times New Roman" w:hAnsi="Arial" w:cs="Arial"/>
      <w:sz w:val="18"/>
      <w:szCs w:val="18"/>
    </w:rPr>
  </w:style>
  <w:style w:type="paragraph" w:styleId="BodyText">
    <w:name w:val="Body Text"/>
    <w:aliases w:val="Body Text Cab,CAB - Body Text,CAB Body Text"/>
    <w:basedOn w:val="Normal"/>
    <w:link w:val="BodyTextChar"/>
    <w:unhideWhenUsed/>
    <w:rsid w:val="000166A3"/>
    <w:pPr>
      <w:spacing w:after="0"/>
    </w:pPr>
    <w:rPr>
      <w:rFonts w:ascii="Times New Roman" w:eastAsiaTheme="minorHAnsi" w:hAnsi="Times New Roman"/>
      <w:color w:val="auto"/>
      <w:sz w:val="20"/>
      <w:szCs w:val="24"/>
      <w:lang w:eastAsia="en-US"/>
    </w:rPr>
  </w:style>
  <w:style w:type="character" w:customStyle="1" w:styleId="BodyTextChar">
    <w:name w:val="Body Text Char"/>
    <w:aliases w:val="Body Text Cab Char,CAB - Body Text Char,CAB Body Text Char"/>
    <w:basedOn w:val="DefaultParagraphFont"/>
    <w:link w:val="BodyText"/>
    <w:rsid w:val="000166A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7920">
      <w:bodyDiv w:val="1"/>
      <w:marLeft w:val="0"/>
      <w:marRight w:val="0"/>
      <w:marTop w:val="0"/>
      <w:marBottom w:val="0"/>
      <w:divBdr>
        <w:top w:val="none" w:sz="0" w:space="0" w:color="auto"/>
        <w:left w:val="none" w:sz="0" w:space="0" w:color="auto"/>
        <w:bottom w:val="none" w:sz="0" w:space="0" w:color="auto"/>
        <w:right w:val="none" w:sz="0" w:space="0" w:color="auto"/>
      </w:divBdr>
    </w:div>
    <w:div w:id="159540423">
      <w:bodyDiv w:val="1"/>
      <w:marLeft w:val="0"/>
      <w:marRight w:val="0"/>
      <w:marTop w:val="0"/>
      <w:marBottom w:val="0"/>
      <w:divBdr>
        <w:top w:val="none" w:sz="0" w:space="0" w:color="auto"/>
        <w:left w:val="none" w:sz="0" w:space="0" w:color="auto"/>
        <w:bottom w:val="none" w:sz="0" w:space="0" w:color="auto"/>
        <w:right w:val="none" w:sz="0" w:space="0" w:color="auto"/>
      </w:divBdr>
    </w:div>
    <w:div w:id="162666887">
      <w:bodyDiv w:val="1"/>
      <w:marLeft w:val="0"/>
      <w:marRight w:val="0"/>
      <w:marTop w:val="0"/>
      <w:marBottom w:val="0"/>
      <w:divBdr>
        <w:top w:val="none" w:sz="0" w:space="0" w:color="auto"/>
        <w:left w:val="none" w:sz="0" w:space="0" w:color="auto"/>
        <w:bottom w:val="none" w:sz="0" w:space="0" w:color="auto"/>
        <w:right w:val="none" w:sz="0" w:space="0" w:color="auto"/>
      </w:divBdr>
    </w:div>
    <w:div w:id="246159720">
      <w:bodyDiv w:val="1"/>
      <w:marLeft w:val="0"/>
      <w:marRight w:val="0"/>
      <w:marTop w:val="0"/>
      <w:marBottom w:val="0"/>
      <w:divBdr>
        <w:top w:val="none" w:sz="0" w:space="0" w:color="auto"/>
        <w:left w:val="none" w:sz="0" w:space="0" w:color="auto"/>
        <w:bottom w:val="none" w:sz="0" w:space="0" w:color="auto"/>
        <w:right w:val="none" w:sz="0" w:space="0" w:color="auto"/>
      </w:divBdr>
    </w:div>
    <w:div w:id="340856882">
      <w:bodyDiv w:val="1"/>
      <w:marLeft w:val="0"/>
      <w:marRight w:val="0"/>
      <w:marTop w:val="0"/>
      <w:marBottom w:val="0"/>
      <w:divBdr>
        <w:top w:val="none" w:sz="0" w:space="0" w:color="auto"/>
        <w:left w:val="none" w:sz="0" w:space="0" w:color="auto"/>
        <w:bottom w:val="none" w:sz="0" w:space="0" w:color="auto"/>
        <w:right w:val="none" w:sz="0" w:space="0" w:color="auto"/>
      </w:divBdr>
    </w:div>
    <w:div w:id="410271575">
      <w:bodyDiv w:val="1"/>
      <w:marLeft w:val="0"/>
      <w:marRight w:val="0"/>
      <w:marTop w:val="0"/>
      <w:marBottom w:val="0"/>
      <w:divBdr>
        <w:top w:val="none" w:sz="0" w:space="0" w:color="auto"/>
        <w:left w:val="none" w:sz="0" w:space="0" w:color="auto"/>
        <w:bottom w:val="none" w:sz="0" w:space="0" w:color="auto"/>
        <w:right w:val="none" w:sz="0" w:space="0" w:color="auto"/>
      </w:divBdr>
    </w:div>
    <w:div w:id="431358749">
      <w:bodyDiv w:val="1"/>
      <w:marLeft w:val="0"/>
      <w:marRight w:val="0"/>
      <w:marTop w:val="0"/>
      <w:marBottom w:val="0"/>
      <w:divBdr>
        <w:top w:val="none" w:sz="0" w:space="0" w:color="auto"/>
        <w:left w:val="none" w:sz="0" w:space="0" w:color="auto"/>
        <w:bottom w:val="none" w:sz="0" w:space="0" w:color="auto"/>
        <w:right w:val="none" w:sz="0" w:space="0" w:color="auto"/>
      </w:divBdr>
    </w:div>
    <w:div w:id="457840929">
      <w:bodyDiv w:val="1"/>
      <w:marLeft w:val="0"/>
      <w:marRight w:val="0"/>
      <w:marTop w:val="0"/>
      <w:marBottom w:val="0"/>
      <w:divBdr>
        <w:top w:val="none" w:sz="0" w:space="0" w:color="auto"/>
        <w:left w:val="none" w:sz="0" w:space="0" w:color="auto"/>
        <w:bottom w:val="none" w:sz="0" w:space="0" w:color="auto"/>
        <w:right w:val="none" w:sz="0" w:space="0" w:color="auto"/>
      </w:divBdr>
    </w:div>
    <w:div w:id="681475985">
      <w:bodyDiv w:val="1"/>
      <w:marLeft w:val="0"/>
      <w:marRight w:val="0"/>
      <w:marTop w:val="0"/>
      <w:marBottom w:val="0"/>
      <w:divBdr>
        <w:top w:val="none" w:sz="0" w:space="0" w:color="auto"/>
        <w:left w:val="none" w:sz="0" w:space="0" w:color="auto"/>
        <w:bottom w:val="none" w:sz="0" w:space="0" w:color="auto"/>
        <w:right w:val="none" w:sz="0" w:space="0" w:color="auto"/>
      </w:divBdr>
    </w:div>
    <w:div w:id="682633186">
      <w:bodyDiv w:val="1"/>
      <w:marLeft w:val="0"/>
      <w:marRight w:val="0"/>
      <w:marTop w:val="0"/>
      <w:marBottom w:val="0"/>
      <w:divBdr>
        <w:top w:val="none" w:sz="0" w:space="0" w:color="auto"/>
        <w:left w:val="none" w:sz="0" w:space="0" w:color="auto"/>
        <w:bottom w:val="none" w:sz="0" w:space="0" w:color="auto"/>
        <w:right w:val="none" w:sz="0" w:space="0" w:color="auto"/>
      </w:divBdr>
    </w:div>
    <w:div w:id="703674221">
      <w:bodyDiv w:val="1"/>
      <w:marLeft w:val="0"/>
      <w:marRight w:val="0"/>
      <w:marTop w:val="0"/>
      <w:marBottom w:val="0"/>
      <w:divBdr>
        <w:top w:val="none" w:sz="0" w:space="0" w:color="auto"/>
        <w:left w:val="none" w:sz="0" w:space="0" w:color="auto"/>
        <w:bottom w:val="none" w:sz="0" w:space="0" w:color="auto"/>
        <w:right w:val="none" w:sz="0" w:space="0" w:color="auto"/>
      </w:divBdr>
    </w:div>
    <w:div w:id="755053196">
      <w:bodyDiv w:val="1"/>
      <w:marLeft w:val="0"/>
      <w:marRight w:val="0"/>
      <w:marTop w:val="0"/>
      <w:marBottom w:val="0"/>
      <w:divBdr>
        <w:top w:val="none" w:sz="0" w:space="0" w:color="auto"/>
        <w:left w:val="none" w:sz="0" w:space="0" w:color="auto"/>
        <w:bottom w:val="none" w:sz="0" w:space="0" w:color="auto"/>
        <w:right w:val="none" w:sz="0" w:space="0" w:color="auto"/>
      </w:divBdr>
    </w:div>
    <w:div w:id="774056288">
      <w:bodyDiv w:val="1"/>
      <w:marLeft w:val="0"/>
      <w:marRight w:val="0"/>
      <w:marTop w:val="0"/>
      <w:marBottom w:val="0"/>
      <w:divBdr>
        <w:top w:val="none" w:sz="0" w:space="0" w:color="auto"/>
        <w:left w:val="none" w:sz="0" w:space="0" w:color="auto"/>
        <w:bottom w:val="none" w:sz="0" w:space="0" w:color="auto"/>
        <w:right w:val="none" w:sz="0" w:space="0" w:color="auto"/>
      </w:divBdr>
    </w:div>
    <w:div w:id="798575872">
      <w:bodyDiv w:val="1"/>
      <w:marLeft w:val="0"/>
      <w:marRight w:val="0"/>
      <w:marTop w:val="0"/>
      <w:marBottom w:val="0"/>
      <w:divBdr>
        <w:top w:val="none" w:sz="0" w:space="0" w:color="auto"/>
        <w:left w:val="none" w:sz="0" w:space="0" w:color="auto"/>
        <w:bottom w:val="none" w:sz="0" w:space="0" w:color="auto"/>
        <w:right w:val="none" w:sz="0" w:space="0" w:color="auto"/>
      </w:divBdr>
    </w:div>
    <w:div w:id="900677880">
      <w:bodyDiv w:val="1"/>
      <w:marLeft w:val="0"/>
      <w:marRight w:val="0"/>
      <w:marTop w:val="0"/>
      <w:marBottom w:val="0"/>
      <w:divBdr>
        <w:top w:val="none" w:sz="0" w:space="0" w:color="auto"/>
        <w:left w:val="none" w:sz="0" w:space="0" w:color="auto"/>
        <w:bottom w:val="none" w:sz="0" w:space="0" w:color="auto"/>
        <w:right w:val="none" w:sz="0" w:space="0" w:color="auto"/>
      </w:divBdr>
    </w:div>
    <w:div w:id="986937669">
      <w:bodyDiv w:val="1"/>
      <w:marLeft w:val="0"/>
      <w:marRight w:val="0"/>
      <w:marTop w:val="0"/>
      <w:marBottom w:val="0"/>
      <w:divBdr>
        <w:top w:val="none" w:sz="0" w:space="0" w:color="auto"/>
        <w:left w:val="none" w:sz="0" w:space="0" w:color="auto"/>
        <w:bottom w:val="none" w:sz="0" w:space="0" w:color="auto"/>
        <w:right w:val="none" w:sz="0" w:space="0" w:color="auto"/>
      </w:divBdr>
    </w:div>
    <w:div w:id="1025252586">
      <w:bodyDiv w:val="1"/>
      <w:marLeft w:val="0"/>
      <w:marRight w:val="0"/>
      <w:marTop w:val="0"/>
      <w:marBottom w:val="0"/>
      <w:divBdr>
        <w:top w:val="none" w:sz="0" w:space="0" w:color="auto"/>
        <w:left w:val="none" w:sz="0" w:space="0" w:color="auto"/>
        <w:bottom w:val="none" w:sz="0" w:space="0" w:color="auto"/>
        <w:right w:val="none" w:sz="0" w:space="0" w:color="auto"/>
      </w:divBdr>
    </w:div>
    <w:div w:id="1062363765">
      <w:bodyDiv w:val="1"/>
      <w:marLeft w:val="0"/>
      <w:marRight w:val="0"/>
      <w:marTop w:val="0"/>
      <w:marBottom w:val="0"/>
      <w:divBdr>
        <w:top w:val="none" w:sz="0" w:space="0" w:color="auto"/>
        <w:left w:val="none" w:sz="0" w:space="0" w:color="auto"/>
        <w:bottom w:val="none" w:sz="0" w:space="0" w:color="auto"/>
        <w:right w:val="none" w:sz="0" w:space="0" w:color="auto"/>
      </w:divBdr>
    </w:div>
    <w:div w:id="1274552892">
      <w:bodyDiv w:val="1"/>
      <w:marLeft w:val="0"/>
      <w:marRight w:val="0"/>
      <w:marTop w:val="0"/>
      <w:marBottom w:val="0"/>
      <w:divBdr>
        <w:top w:val="none" w:sz="0" w:space="0" w:color="auto"/>
        <w:left w:val="none" w:sz="0" w:space="0" w:color="auto"/>
        <w:bottom w:val="none" w:sz="0" w:space="0" w:color="auto"/>
        <w:right w:val="none" w:sz="0" w:space="0" w:color="auto"/>
      </w:divBdr>
    </w:div>
    <w:div w:id="1329209246">
      <w:bodyDiv w:val="1"/>
      <w:marLeft w:val="0"/>
      <w:marRight w:val="0"/>
      <w:marTop w:val="0"/>
      <w:marBottom w:val="0"/>
      <w:divBdr>
        <w:top w:val="none" w:sz="0" w:space="0" w:color="auto"/>
        <w:left w:val="none" w:sz="0" w:space="0" w:color="auto"/>
        <w:bottom w:val="none" w:sz="0" w:space="0" w:color="auto"/>
        <w:right w:val="none" w:sz="0" w:space="0" w:color="auto"/>
      </w:divBdr>
    </w:div>
    <w:div w:id="1348798693">
      <w:bodyDiv w:val="1"/>
      <w:marLeft w:val="0"/>
      <w:marRight w:val="0"/>
      <w:marTop w:val="0"/>
      <w:marBottom w:val="0"/>
      <w:divBdr>
        <w:top w:val="none" w:sz="0" w:space="0" w:color="auto"/>
        <w:left w:val="none" w:sz="0" w:space="0" w:color="auto"/>
        <w:bottom w:val="none" w:sz="0" w:space="0" w:color="auto"/>
        <w:right w:val="none" w:sz="0" w:space="0" w:color="auto"/>
      </w:divBdr>
    </w:div>
    <w:div w:id="1391229354">
      <w:bodyDiv w:val="1"/>
      <w:marLeft w:val="0"/>
      <w:marRight w:val="0"/>
      <w:marTop w:val="0"/>
      <w:marBottom w:val="0"/>
      <w:divBdr>
        <w:top w:val="none" w:sz="0" w:space="0" w:color="auto"/>
        <w:left w:val="none" w:sz="0" w:space="0" w:color="auto"/>
        <w:bottom w:val="none" w:sz="0" w:space="0" w:color="auto"/>
        <w:right w:val="none" w:sz="0" w:space="0" w:color="auto"/>
      </w:divBdr>
    </w:div>
    <w:div w:id="1475561683">
      <w:bodyDiv w:val="1"/>
      <w:marLeft w:val="0"/>
      <w:marRight w:val="0"/>
      <w:marTop w:val="0"/>
      <w:marBottom w:val="0"/>
      <w:divBdr>
        <w:top w:val="none" w:sz="0" w:space="0" w:color="auto"/>
        <w:left w:val="none" w:sz="0" w:space="0" w:color="auto"/>
        <w:bottom w:val="none" w:sz="0" w:space="0" w:color="auto"/>
        <w:right w:val="none" w:sz="0" w:space="0" w:color="auto"/>
      </w:divBdr>
    </w:div>
    <w:div w:id="1495410421">
      <w:bodyDiv w:val="1"/>
      <w:marLeft w:val="0"/>
      <w:marRight w:val="0"/>
      <w:marTop w:val="0"/>
      <w:marBottom w:val="0"/>
      <w:divBdr>
        <w:top w:val="none" w:sz="0" w:space="0" w:color="auto"/>
        <w:left w:val="none" w:sz="0" w:space="0" w:color="auto"/>
        <w:bottom w:val="none" w:sz="0" w:space="0" w:color="auto"/>
        <w:right w:val="none" w:sz="0" w:space="0" w:color="auto"/>
      </w:divBdr>
    </w:div>
    <w:div w:id="1501699233">
      <w:bodyDiv w:val="1"/>
      <w:marLeft w:val="0"/>
      <w:marRight w:val="0"/>
      <w:marTop w:val="0"/>
      <w:marBottom w:val="0"/>
      <w:divBdr>
        <w:top w:val="none" w:sz="0" w:space="0" w:color="auto"/>
        <w:left w:val="none" w:sz="0" w:space="0" w:color="auto"/>
        <w:bottom w:val="none" w:sz="0" w:space="0" w:color="auto"/>
        <w:right w:val="none" w:sz="0" w:space="0" w:color="auto"/>
      </w:divBdr>
    </w:div>
    <w:div w:id="1505777332">
      <w:bodyDiv w:val="1"/>
      <w:marLeft w:val="0"/>
      <w:marRight w:val="0"/>
      <w:marTop w:val="0"/>
      <w:marBottom w:val="0"/>
      <w:divBdr>
        <w:top w:val="none" w:sz="0" w:space="0" w:color="auto"/>
        <w:left w:val="none" w:sz="0" w:space="0" w:color="auto"/>
        <w:bottom w:val="none" w:sz="0" w:space="0" w:color="auto"/>
        <w:right w:val="none" w:sz="0" w:space="0" w:color="auto"/>
      </w:divBdr>
    </w:div>
    <w:div w:id="1558008010">
      <w:bodyDiv w:val="1"/>
      <w:marLeft w:val="0"/>
      <w:marRight w:val="0"/>
      <w:marTop w:val="0"/>
      <w:marBottom w:val="0"/>
      <w:divBdr>
        <w:top w:val="none" w:sz="0" w:space="0" w:color="auto"/>
        <w:left w:val="none" w:sz="0" w:space="0" w:color="auto"/>
        <w:bottom w:val="none" w:sz="0" w:space="0" w:color="auto"/>
        <w:right w:val="none" w:sz="0" w:space="0" w:color="auto"/>
      </w:divBdr>
    </w:div>
    <w:div w:id="1618682073">
      <w:bodyDiv w:val="1"/>
      <w:marLeft w:val="0"/>
      <w:marRight w:val="0"/>
      <w:marTop w:val="0"/>
      <w:marBottom w:val="0"/>
      <w:divBdr>
        <w:top w:val="none" w:sz="0" w:space="0" w:color="auto"/>
        <w:left w:val="none" w:sz="0" w:space="0" w:color="auto"/>
        <w:bottom w:val="none" w:sz="0" w:space="0" w:color="auto"/>
        <w:right w:val="none" w:sz="0" w:space="0" w:color="auto"/>
      </w:divBdr>
    </w:div>
    <w:div w:id="1677073934">
      <w:bodyDiv w:val="1"/>
      <w:marLeft w:val="0"/>
      <w:marRight w:val="0"/>
      <w:marTop w:val="0"/>
      <w:marBottom w:val="0"/>
      <w:divBdr>
        <w:top w:val="none" w:sz="0" w:space="0" w:color="auto"/>
        <w:left w:val="none" w:sz="0" w:space="0" w:color="auto"/>
        <w:bottom w:val="none" w:sz="0" w:space="0" w:color="auto"/>
        <w:right w:val="none" w:sz="0" w:space="0" w:color="auto"/>
      </w:divBdr>
    </w:div>
    <w:div w:id="1699816885">
      <w:bodyDiv w:val="1"/>
      <w:marLeft w:val="0"/>
      <w:marRight w:val="0"/>
      <w:marTop w:val="0"/>
      <w:marBottom w:val="0"/>
      <w:divBdr>
        <w:top w:val="none" w:sz="0" w:space="0" w:color="auto"/>
        <w:left w:val="none" w:sz="0" w:space="0" w:color="auto"/>
        <w:bottom w:val="none" w:sz="0" w:space="0" w:color="auto"/>
        <w:right w:val="none" w:sz="0" w:space="0" w:color="auto"/>
      </w:divBdr>
    </w:div>
    <w:div w:id="1704284194">
      <w:bodyDiv w:val="1"/>
      <w:marLeft w:val="0"/>
      <w:marRight w:val="0"/>
      <w:marTop w:val="0"/>
      <w:marBottom w:val="0"/>
      <w:divBdr>
        <w:top w:val="none" w:sz="0" w:space="0" w:color="auto"/>
        <w:left w:val="none" w:sz="0" w:space="0" w:color="auto"/>
        <w:bottom w:val="none" w:sz="0" w:space="0" w:color="auto"/>
        <w:right w:val="none" w:sz="0" w:space="0" w:color="auto"/>
      </w:divBdr>
    </w:div>
    <w:div w:id="1717703884">
      <w:bodyDiv w:val="1"/>
      <w:marLeft w:val="0"/>
      <w:marRight w:val="0"/>
      <w:marTop w:val="0"/>
      <w:marBottom w:val="0"/>
      <w:divBdr>
        <w:top w:val="none" w:sz="0" w:space="0" w:color="auto"/>
        <w:left w:val="none" w:sz="0" w:space="0" w:color="auto"/>
        <w:bottom w:val="none" w:sz="0" w:space="0" w:color="auto"/>
        <w:right w:val="none" w:sz="0" w:space="0" w:color="auto"/>
      </w:divBdr>
    </w:div>
    <w:div w:id="1762483089">
      <w:bodyDiv w:val="1"/>
      <w:marLeft w:val="0"/>
      <w:marRight w:val="0"/>
      <w:marTop w:val="0"/>
      <w:marBottom w:val="0"/>
      <w:divBdr>
        <w:top w:val="none" w:sz="0" w:space="0" w:color="auto"/>
        <w:left w:val="none" w:sz="0" w:space="0" w:color="auto"/>
        <w:bottom w:val="none" w:sz="0" w:space="0" w:color="auto"/>
        <w:right w:val="none" w:sz="0" w:space="0" w:color="auto"/>
      </w:divBdr>
    </w:div>
    <w:div w:id="1770810733">
      <w:bodyDiv w:val="1"/>
      <w:marLeft w:val="0"/>
      <w:marRight w:val="0"/>
      <w:marTop w:val="0"/>
      <w:marBottom w:val="0"/>
      <w:divBdr>
        <w:top w:val="none" w:sz="0" w:space="0" w:color="auto"/>
        <w:left w:val="none" w:sz="0" w:space="0" w:color="auto"/>
        <w:bottom w:val="none" w:sz="0" w:space="0" w:color="auto"/>
        <w:right w:val="none" w:sz="0" w:space="0" w:color="auto"/>
      </w:divBdr>
    </w:div>
    <w:div w:id="1799252851">
      <w:bodyDiv w:val="1"/>
      <w:marLeft w:val="0"/>
      <w:marRight w:val="0"/>
      <w:marTop w:val="0"/>
      <w:marBottom w:val="0"/>
      <w:divBdr>
        <w:top w:val="none" w:sz="0" w:space="0" w:color="auto"/>
        <w:left w:val="none" w:sz="0" w:space="0" w:color="auto"/>
        <w:bottom w:val="none" w:sz="0" w:space="0" w:color="auto"/>
        <w:right w:val="none" w:sz="0" w:space="0" w:color="auto"/>
      </w:divBdr>
    </w:div>
    <w:div w:id="1806121826">
      <w:bodyDiv w:val="1"/>
      <w:marLeft w:val="0"/>
      <w:marRight w:val="0"/>
      <w:marTop w:val="0"/>
      <w:marBottom w:val="0"/>
      <w:divBdr>
        <w:top w:val="none" w:sz="0" w:space="0" w:color="auto"/>
        <w:left w:val="none" w:sz="0" w:space="0" w:color="auto"/>
        <w:bottom w:val="none" w:sz="0" w:space="0" w:color="auto"/>
        <w:right w:val="none" w:sz="0" w:space="0" w:color="auto"/>
      </w:divBdr>
    </w:div>
    <w:div w:id="1872523825">
      <w:bodyDiv w:val="1"/>
      <w:marLeft w:val="0"/>
      <w:marRight w:val="0"/>
      <w:marTop w:val="0"/>
      <w:marBottom w:val="0"/>
      <w:divBdr>
        <w:top w:val="none" w:sz="0" w:space="0" w:color="auto"/>
        <w:left w:val="none" w:sz="0" w:space="0" w:color="auto"/>
        <w:bottom w:val="none" w:sz="0" w:space="0" w:color="auto"/>
        <w:right w:val="none" w:sz="0" w:space="0" w:color="auto"/>
      </w:divBdr>
    </w:div>
    <w:div w:id="1896505914">
      <w:bodyDiv w:val="1"/>
      <w:marLeft w:val="0"/>
      <w:marRight w:val="0"/>
      <w:marTop w:val="0"/>
      <w:marBottom w:val="0"/>
      <w:divBdr>
        <w:top w:val="none" w:sz="0" w:space="0" w:color="auto"/>
        <w:left w:val="none" w:sz="0" w:space="0" w:color="auto"/>
        <w:bottom w:val="none" w:sz="0" w:space="0" w:color="auto"/>
        <w:right w:val="none" w:sz="0" w:space="0" w:color="auto"/>
      </w:divBdr>
    </w:div>
    <w:div w:id="1903516930">
      <w:bodyDiv w:val="1"/>
      <w:marLeft w:val="0"/>
      <w:marRight w:val="0"/>
      <w:marTop w:val="0"/>
      <w:marBottom w:val="0"/>
      <w:divBdr>
        <w:top w:val="none" w:sz="0" w:space="0" w:color="auto"/>
        <w:left w:val="none" w:sz="0" w:space="0" w:color="auto"/>
        <w:bottom w:val="none" w:sz="0" w:space="0" w:color="auto"/>
        <w:right w:val="none" w:sz="0" w:space="0" w:color="auto"/>
      </w:divBdr>
    </w:div>
    <w:div w:id="1927807511">
      <w:bodyDiv w:val="1"/>
      <w:marLeft w:val="0"/>
      <w:marRight w:val="0"/>
      <w:marTop w:val="0"/>
      <w:marBottom w:val="0"/>
      <w:divBdr>
        <w:top w:val="none" w:sz="0" w:space="0" w:color="auto"/>
        <w:left w:val="none" w:sz="0" w:space="0" w:color="auto"/>
        <w:bottom w:val="none" w:sz="0" w:space="0" w:color="auto"/>
        <w:right w:val="none" w:sz="0" w:space="0" w:color="auto"/>
      </w:divBdr>
    </w:div>
    <w:div w:id="1963921847">
      <w:bodyDiv w:val="1"/>
      <w:marLeft w:val="0"/>
      <w:marRight w:val="0"/>
      <w:marTop w:val="0"/>
      <w:marBottom w:val="0"/>
      <w:divBdr>
        <w:top w:val="none" w:sz="0" w:space="0" w:color="auto"/>
        <w:left w:val="none" w:sz="0" w:space="0" w:color="auto"/>
        <w:bottom w:val="none" w:sz="0" w:space="0" w:color="auto"/>
        <w:right w:val="none" w:sz="0" w:space="0" w:color="auto"/>
      </w:divBdr>
    </w:div>
    <w:div w:id="1989891870">
      <w:bodyDiv w:val="1"/>
      <w:marLeft w:val="0"/>
      <w:marRight w:val="0"/>
      <w:marTop w:val="0"/>
      <w:marBottom w:val="0"/>
      <w:divBdr>
        <w:top w:val="none" w:sz="0" w:space="0" w:color="auto"/>
        <w:left w:val="none" w:sz="0" w:space="0" w:color="auto"/>
        <w:bottom w:val="none" w:sz="0" w:space="0" w:color="auto"/>
        <w:right w:val="none" w:sz="0" w:space="0" w:color="auto"/>
      </w:divBdr>
    </w:div>
    <w:div w:id="2088766825">
      <w:bodyDiv w:val="1"/>
      <w:marLeft w:val="0"/>
      <w:marRight w:val="0"/>
      <w:marTop w:val="0"/>
      <w:marBottom w:val="0"/>
      <w:divBdr>
        <w:top w:val="none" w:sz="0" w:space="0" w:color="auto"/>
        <w:left w:val="none" w:sz="0" w:space="0" w:color="auto"/>
        <w:bottom w:val="none" w:sz="0" w:space="0" w:color="auto"/>
        <w:right w:val="none" w:sz="0" w:space="0" w:color="auto"/>
      </w:divBdr>
    </w:div>
    <w:div w:id="2123842109">
      <w:bodyDiv w:val="1"/>
      <w:marLeft w:val="0"/>
      <w:marRight w:val="0"/>
      <w:marTop w:val="0"/>
      <w:marBottom w:val="0"/>
      <w:divBdr>
        <w:top w:val="none" w:sz="0" w:space="0" w:color="auto"/>
        <w:left w:val="none" w:sz="0" w:space="0" w:color="auto"/>
        <w:bottom w:val="none" w:sz="0" w:space="0" w:color="auto"/>
        <w:right w:val="none" w:sz="0" w:space="0" w:color="auto"/>
      </w:divBdr>
    </w:div>
    <w:div w:id="2132434956">
      <w:bodyDiv w:val="1"/>
      <w:marLeft w:val="0"/>
      <w:marRight w:val="0"/>
      <w:marTop w:val="0"/>
      <w:marBottom w:val="0"/>
      <w:divBdr>
        <w:top w:val="none" w:sz="0" w:space="0" w:color="auto"/>
        <w:left w:val="none" w:sz="0" w:space="0" w:color="auto"/>
        <w:bottom w:val="none" w:sz="0" w:space="0" w:color="auto"/>
        <w:right w:val="none" w:sz="0" w:space="0" w:color="auto"/>
      </w:divBdr>
    </w:div>
    <w:div w:id="2133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1B3C-F1F9-439F-868D-3612AA36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28</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CHEMELLO, Paula</dc:creator>
  <cp:keywords/>
  <dc:description/>
  <cp:lastModifiedBy>Karlen, Robert</cp:lastModifiedBy>
  <cp:revision>110</cp:revision>
  <cp:lastPrinted>2022-10-21T00:40:00Z</cp:lastPrinted>
  <dcterms:created xsi:type="dcterms:W3CDTF">2021-02-16T23:32:00Z</dcterms:created>
  <dcterms:modified xsi:type="dcterms:W3CDTF">2022-10-22T22:47:00Z</dcterms:modified>
</cp:coreProperties>
</file>