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AF6BB" w14:textId="6519A6C5" w:rsidR="00C963C0" w:rsidRDefault="00C963C0" w:rsidP="003A1104">
      <w:pPr>
        <w:pStyle w:val="PartHeading-TOC"/>
      </w:pPr>
      <w:r w:rsidRPr="0089004B">
        <w:t>Australian Sports Commission</w:t>
      </w:r>
    </w:p>
    <w:p w14:paraId="18C8603E" w14:textId="51CB4508" w:rsidR="00913388" w:rsidRPr="0089004B" w:rsidRDefault="00913388" w:rsidP="003A1104">
      <w:pPr>
        <w:pStyle w:val="PartHeading-TOC"/>
      </w:pPr>
      <w:r w:rsidRPr="0089004B">
        <w:t xml:space="preserve">Entity </w:t>
      </w:r>
      <w:r w:rsidR="00EC2EAA">
        <w:t>r</w:t>
      </w:r>
      <w:r w:rsidRPr="0089004B">
        <w:t xml:space="preserve">esources and </w:t>
      </w:r>
      <w:r w:rsidR="00EC2EAA">
        <w:t>p</w:t>
      </w:r>
      <w:r w:rsidRPr="0089004B">
        <w:t>lanned </w:t>
      </w:r>
      <w:r w:rsidR="00EC2EAA">
        <w:t>p</w:t>
      </w:r>
      <w:r w:rsidRPr="0089004B">
        <w:t>erformance</w:t>
      </w:r>
    </w:p>
    <w:p w14:paraId="5A20EB2F" w14:textId="77777777" w:rsidR="00913388" w:rsidRPr="0089004B" w:rsidRDefault="00913388" w:rsidP="00913388">
      <w:pPr>
        <w:rPr>
          <w:color w:val="auto"/>
        </w:rPr>
      </w:pPr>
      <w:r w:rsidRPr="0089004B">
        <w:rPr>
          <w:color w:val="auto"/>
        </w:rPr>
        <w:br w:type="page"/>
      </w:r>
    </w:p>
    <w:p w14:paraId="3BEB60E9" w14:textId="77777777" w:rsidR="00913388" w:rsidRPr="0089004B" w:rsidRDefault="00913388" w:rsidP="00913388">
      <w:pPr>
        <w:rPr>
          <w:color w:val="auto"/>
        </w:rPr>
      </w:pPr>
    </w:p>
    <w:p w14:paraId="4FF1A7A1" w14:textId="77777777" w:rsidR="00913388" w:rsidRPr="0089004B" w:rsidRDefault="00913388">
      <w:pPr>
        <w:rPr>
          <w:color w:val="auto"/>
        </w:rPr>
        <w:sectPr w:rsidR="00913388" w:rsidRPr="0089004B" w:rsidSect="009F764E">
          <w:headerReference w:type="even" r:id="rId8"/>
          <w:headerReference w:type="default" r:id="rId9"/>
          <w:footerReference w:type="even" r:id="rId10"/>
          <w:footerReference w:type="default" r:id="rId11"/>
          <w:headerReference w:type="first" r:id="rId12"/>
          <w:footerReference w:type="first" r:id="rId13"/>
          <w:pgSz w:w="11906" w:h="16838"/>
          <w:pgMar w:top="7053" w:right="2268" w:bottom="2126" w:left="2268" w:header="1899" w:footer="1899" w:gutter="0"/>
          <w:pgNumType w:start="223"/>
          <w:cols w:space="708"/>
          <w:docGrid w:linePitch="360"/>
        </w:sectPr>
      </w:pPr>
    </w:p>
    <w:p w14:paraId="04B8B54A" w14:textId="460518DC" w:rsidR="00C963C0" w:rsidRDefault="00C963C0" w:rsidP="00980201">
      <w:pPr>
        <w:pStyle w:val="Heading1"/>
      </w:pPr>
      <w:r w:rsidRPr="0089004B">
        <w:lastRenderedPageBreak/>
        <w:t>Australian Sports Commission</w:t>
      </w:r>
    </w:p>
    <w:p w14:paraId="581D57F0" w14:textId="13152A8A" w:rsidR="009F764E" w:rsidRDefault="00913388">
      <w:pPr>
        <w:pStyle w:val="TOC1"/>
        <w:rPr>
          <w:rFonts w:asciiTheme="minorHAnsi" w:eastAsiaTheme="minorEastAsia" w:hAnsiTheme="minorHAnsi" w:cstheme="minorBidi"/>
          <w:b w:val="0"/>
          <w:color w:val="auto"/>
          <w:sz w:val="22"/>
          <w:szCs w:val="22"/>
        </w:rPr>
      </w:pPr>
      <w:r w:rsidRPr="0089004B">
        <w:rPr>
          <w:rFonts w:ascii="Arial" w:hAnsi="Arial" w:cs="Arial"/>
          <w:color w:val="auto"/>
        </w:rPr>
        <w:fldChar w:fldCharType="begin"/>
      </w:r>
      <w:r w:rsidRPr="0089004B">
        <w:rPr>
          <w:rFonts w:ascii="Arial" w:hAnsi="Arial" w:cs="Arial"/>
          <w:color w:val="auto"/>
        </w:rPr>
        <w:instrText xml:space="preserve"> TOC \h \z \t "Heading 2,1,Heading 3,2" </w:instrText>
      </w:r>
      <w:r w:rsidRPr="0089004B">
        <w:rPr>
          <w:rFonts w:ascii="Arial" w:hAnsi="Arial" w:cs="Arial"/>
          <w:color w:val="auto"/>
        </w:rPr>
        <w:fldChar w:fldCharType="separate"/>
      </w:r>
      <w:hyperlink w:anchor="_Toc117406954" w:history="1">
        <w:r w:rsidR="009F764E" w:rsidRPr="00085A89">
          <w:rPr>
            <w:rStyle w:val="Hyperlink"/>
          </w:rPr>
          <w:t>Section 1: Entity overview and resources</w:t>
        </w:r>
        <w:r w:rsidR="009F764E">
          <w:rPr>
            <w:webHidden/>
          </w:rPr>
          <w:tab/>
        </w:r>
        <w:r w:rsidR="009F764E">
          <w:rPr>
            <w:webHidden/>
          </w:rPr>
          <w:fldChar w:fldCharType="begin"/>
        </w:r>
        <w:r w:rsidR="009F764E">
          <w:rPr>
            <w:webHidden/>
          </w:rPr>
          <w:instrText xml:space="preserve"> PAGEREF _Toc117406954 \h </w:instrText>
        </w:r>
        <w:r w:rsidR="009F764E">
          <w:rPr>
            <w:webHidden/>
          </w:rPr>
        </w:r>
        <w:r w:rsidR="009F764E">
          <w:rPr>
            <w:webHidden/>
          </w:rPr>
          <w:fldChar w:fldCharType="separate"/>
        </w:r>
        <w:r w:rsidR="009F764E">
          <w:rPr>
            <w:webHidden/>
          </w:rPr>
          <w:t>226</w:t>
        </w:r>
        <w:r w:rsidR="009F764E">
          <w:rPr>
            <w:webHidden/>
          </w:rPr>
          <w:fldChar w:fldCharType="end"/>
        </w:r>
      </w:hyperlink>
    </w:p>
    <w:p w14:paraId="78C37072" w14:textId="46547DA9" w:rsidR="009F764E" w:rsidRDefault="00A4585C">
      <w:pPr>
        <w:pStyle w:val="TOC2"/>
        <w:rPr>
          <w:rFonts w:asciiTheme="minorHAnsi" w:eastAsiaTheme="minorEastAsia" w:hAnsiTheme="minorHAnsi" w:cstheme="minorBidi"/>
          <w:noProof/>
          <w:color w:val="auto"/>
          <w:sz w:val="22"/>
          <w:szCs w:val="22"/>
        </w:rPr>
      </w:pPr>
      <w:hyperlink w:anchor="_Toc117406955" w:history="1">
        <w:r w:rsidR="009F764E" w:rsidRPr="00085A89">
          <w:rPr>
            <w:rStyle w:val="Hyperlink"/>
            <w:noProof/>
          </w:rPr>
          <w:t>1.1</w:t>
        </w:r>
        <w:r w:rsidR="009F764E">
          <w:rPr>
            <w:rFonts w:asciiTheme="minorHAnsi" w:eastAsiaTheme="minorEastAsia" w:hAnsiTheme="minorHAnsi" w:cstheme="minorBidi"/>
            <w:noProof/>
            <w:color w:val="auto"/>
            <w:sz w:val="22"/>
            <w:szCs w:val="22"/>
          </w:rPr>
          <w:tab/>
        </w:r>
        <w:r w:rsidR="009F764E" w:rsidRPr="00085A89">
          <w:rPr>
            <w:rStyle w:val="Hyperlink"/>
            <w:noProof/>
          </w:rPr>
          <w:t>Strategic direction statement</w:t>
        </w:r>
        <w:r w:rsidR="009F764E">
          <w:rPr>
            <w:noProof/>
            <w:webHidden/>
          </w:rPr>
          <w:tab/>
        </w:r>
        <w:r w:rsidR="009F764E">
          <w:rPr>
            <w:noProof/>
            <w:webHidden/>
          </w:rPr>
          <w:fldChar w:fldCharType="begin"/>
        </w:r>
        <w:r w:rsidR="009F764E">
          <w:rPr>
            <w:noProof/>
            <w:webHidden/>
          </w:rPr>
          <w:instrText xml:space="preserve"> PAGEREF _Toc117406955 \h </w:instrText>
        </w:r>
        <w:r w:rsidR="009F764E">
          <w:rPr>
            <w:noProof/>
            <w:webHidden/>
          </w:rPr>
        </w:r>
        <w:r w:rsidR="009F764E">
          <w:rPr>
            <w:noProof/>
            <w:webHidden/>
          </w:rPr>
          <w:fldChar w:fldCharType="separate"/>
        </w:r>
        <w:r w:rsidR="009F764E">
          <w:rPr>
            <w:noProof/>
            <w:webHidden/>
          </w:rPr>
          <w:t>226</w:t>
        </w:r>
        <w:r w:rsidR="009F764E">
          <w:rPr>
            <w:noProof/>
            <w:webHidden/>
          </w:rPr>
          <w:fldChar w:fldCharType="end"/>
        </w:r>
      </w:hyperlink>
    </w:p>
    <w:p w14:paraId="7CBDB295" w14:textId="7FF03E13" w:rsidR="009F764E" w:rsidRDefault="00A4585C">
      <w:pPr>
        <w:pStyle w:val="TOC2"/>
        <w:rPr>
          <w:rFonts w:asciiTheme="minorHAnsi" w:eastAsiaTheme="minorEastAsia" w:hAnsiTheme="minorHAnsi" w:cstheme="minorBidi"/>
          <w:noProof/>
          <w:color w:val="auto"/>
          <w:sz w:val="22"/>
          <w:szCs w:val="22"/>
        </w:rPr>
      </w:pPr>
      <w:hyperlink w:anchor="_Toc117406956" w:history="1">
        <w:r w:rsidR="009F764E" w:rsidRPr="00085A89">
          <w:rPr>
            <w:rStyle w:val="Hyperlink"/>
            <w:noProof/>
          </w:rPr>
          <w:t>1.2</w:t>
        </w:r>
        <w:r w:rsidR="009F764E">
          <w:rPr>
            <w:rFonts w:asciiTheme="minorHAnsi" w:eastAsiaTheme="minorEastAsia" w:hAnsiTheme="minorHAnsi" w:cstheme="minorBidi"/>
            <w:noProof/>
            <w:color w:val="auto"/>
            <w:sz w:val="22"/>
            <w:szCs w:val="22"/>
          </w:rPr>
          <w:tab/>
        </w:r>
        <w:r w:rsidR="009F764E" w:rsidRPr="00085A89">
          <w:rPr>
            <w:rStyle w:val="Hyperlink"/>
            <w:noProof/>
          </w:rPr>
          <w:t>Entity resource statement</w:t>
        </w:r>
        <w:r w:rsidR="009F764E">
          <w:rPr>
            <w:noProof/>
            <w:webHidden/>
          </w:rPr>
          <w:tab/>
        </w:r>
        <w:r w:rsidR="009F764E">
          <w:rPr>
            <w:noProof/>
            <w:webHidden/>
          </w:rPr>
          <w:fldChar w:fldCharType="begin"/>
        </w:r>
        <w:r w:rsidR="009F764E">
          <w:rPr>
            <w:noProof/>
            <w:webHidden/>
          </w:rPr>
          <w:instrText xml:space="preserve"> PAGEREF _Toc117406956 \h </w:instrText>
        </w:r>
        <w:r w:rsidR="009F764E">
          <w:rPr>
            <w:noProof/>
            <w:webHidden/>
          </w:rPr>
        </w:r>
        <w:r w:rsidR="009F764E">
          <w:rPr>
            <w:noProof/>
            <w:webHidden/>
          </w:rPr>
          <w:fldChar w:fldCharType="separate"/>
        </w:r>
        <w:r w:rsidR="009F764E">
          <w:rPr>
            <w:noProof/>
            <w:webHidden/>
          </w:rPr>
          <w:t>227</w:t>
        </w:r>
        <w:r w:rsidR="009F764E">
          <w:rPr>
            <w:noProof/>
            <w:webHidden/>
          </w:rPr>
          <w:fldChar w:fldCharType="end"/>
        </w:r>
      </w:hyperlink>
    </w:p>
    <w:p w14:paraId="1478F0FF" w14:textId="4E29AEC8" w:rsidR="009F764E" w:rsidRDefault="00A4585C">
      <w:pPr>
        <w:pStyle w:val="TOC2"/>
        <w:rPr>
          <w:rFonts w:asciiTheme="minorHAnsi" w:eastAsiaTheme="minorEastAsia" w:hAnsiTheme="minorHAnsi" w:cstheme="minorBidi"/>
          <w:noProof/>
          <w:color w:val="auto"/>
          <w:sz w:val="22"/>
          <w:szCs w:val="22"/>
        </w:rPr>
      </w:pPr>
      <w:hyperlink w:anchor="_Toc117406957" w:history="1">
        <w:r w:rsidR="009F764E" w:rsidRPr="00085A89">
          <w:rPr>
            <w:rStyle w:val="Hyperlink"/>
            <w:noProof/>
          </w:rPr>
          <w:t>1.3</w:t>
        </w:r>
        <w:r w:rsidR="009F764E">
          <w:rPr>
            <w:rFonts w:asciiTheme="minorHAnsi" w:eastAsiaTheme="minorEastAsia" w:hAnsiTheme="minorHAnsi" w:cstheme="minorBidi"/>
            <w:noProof/>
            <w:color w:val="auto"/>
            <w:sz w:val="22"/>
            <w:szCs w:val="22"/>
          </w:rPr>
          <w:tab/>
        </w:r>
        <w:r w:rsidR="009F764E" w:rsidRPr="00085A89">
          <w:rPr>
            <w:rStyle w:val="Hyperlink"/>
            <w:noProof/>
          </w:rPr>
          <w:t>Budget measures</w:t>
        </w:r>
        <w:r w:rsidR="009F764E">
          <w:rPr>
            <w:noProof/>
            <w:webHidden/>
          </w:rPr>
          <w:tab/>
        </w:r>
        <w:r w:rsidR="009F764E">
          <w:rPr>
            <w:noProof/>
            <w:webHidden/>
          </w:rPr>
          <w:fldChar w:fldCharType="begin"/>
        </w:r>
        <w:r w:rsidR="009F764E">
          <w:rPr>
            <w:noProof/>
            <w:webHidden/>
          </w:rPr>
          <w:instrText xml:space="preserve"> PAGEREF _Toc117406957 \h </w:instrText>
        </w:r>
        <w:r w:rsidR="009F764E">
          <w:rPr>
            <w:noProof/>
            <w:webHidden/>
          </w:rPr>
        </w:r>
        <w:r w:rsidR="009F764E">
          <w:rPr>
            <w:noProof/>
            <w:webHidden/>
          </w:rPr>
          <w:fldChar w:fldCharType="separate"/>
        </w:r>
        <w:r w:rsidR="009F764E">
          <w:rPr>
            <w:noProof/>
            <w:webHidden/>
          </w:rPr>
          <w:t>228</w:t>
        </w:r>
        <w:r w:rsidR="009F764E">
          <w:rPr>
            <w:noProof/>
            <w:webHidden/>
          </w:rPr>
          <w:fldChar w:fldCharType="end"/>
        </w:r>
      </w:hyperlink>
    </w:p>
    <w:p w14:paraId="7EC22BA4" w14:textId="390A1ACE" w:rsidR="009F764E" w:rsidRDefault="00A4585C">
      <w:pPr>
        <w:pStyle w:val="TOC1"/>
        <w:rPr>
          <w:rFonts w:asciiTheme="minorHAnsi" w:eastAsiaTheme="minorEastAsia" w:hAnsiTheme="minorHAnsi" w:cstheme="minorBidi"/>
          <w:b w:val="0"/>
          <w:color w:val="auto"/>
          <w:sz w:val="22"/>
          <w:szCs w:val="22"/>
        </w:rPr>
      </w:pPr>
      <w:hyperlink w:anchor="_Toc117406958" w:history="1">
        <w:r w:rsidR="009F764E" w:rsidRPr="00085A89">
          <w:rPr>
            <w:rStyle w:val="Hyperlink"/>
          </w:rPr>
          <w:t>Section 2: Outcomes and planned performance</w:t>
        </w:r>
        <w:r w:rsidR="009F764E">
          <w:rPr>
            <w:webHidden/>
          </w:rPr>
          <w:tab/>
        </w:r>
        <w:r w:rsidR="009F764E">
          <w:rPr>
            <w:webHidden/>
          </w:rPr>
          <w:fldChar w:fldCharType="begin"/>
        </w:r>
        <w:r w:rsidR="009F764E">
          <w:rPr>
            <w:webHidden/>
          </w:rPr>
          <w:instrText xml:space="preserve"> PAGEREF _Toc117406958 \h </w:instrText>
        </w:r>
        <w:r w:rsidR="009F764E">
          <w:rPr>
            <w:webHidden/>
          </w:rPr>
        </w:r>
        <w:r w:rsidR="009F764E">
          <w:rPr>
            <w:webHidden/>
          </w:rPr>
          <w:fldChar w:fldCharType="separate"/>
        </w:r>
        <w:r w:rsidR="009F764E">
          <w:rPr>
            <w:webHidden/>
          </w:rPr>
          <w:t>229</w:t>
        </w:r>
        <w:r w:rsidR="009F764E">
          <w:rPr>
            <w:webHidden/>
          </w:rPr>
          <w:fldChar w:fldCharType="end"/>
        </w:r>
      </w:hyperlink>
    </w:p>
    <w:p w14:paraId="7A113DF1" w14:textId="72669053" w:rsidR="009F764E" w:rsidRDefault="00A4585C">
      <w:pPr>
        <w:pStyle w:val="TOC2"/>
        <w:rPr>
          <w:rFonts w:asciiTheme="minorHAnsi" w:eastAsiaTheme="minorEastAsia" w:hAnsiTheme="minorHAnsi" w:cstheme="minorBidi"/>
          <w:noProof/>
          <w:color w:val="auto"/>
          <w:sz w:val="22"/>
          <w:szCs w:val="22"/>
        </w:rPr>
      </w:pPr>
      <w:hyperlink w:anchor="_Toc117406959" w:history="1">
        <w:r w:rsidR="009F764E" w:rsidRPr="00085A89">
          <w:rPr>
            <w:rStyle w:val="Hyperlink"/>
            <w:noProof/>
          </w:rPr>
          <w:t>2.1</w:t>
        </w:r>
        <w:r w:rsidR="009F764E">
          <w:rPr>
            <w:rFonts w:asciiTheme="minorHAnsi" w:eastAsiaTheme="minorEastAsia" w:hAnsiTheme="minorHAnsi" w:cstheme="minorBidi"/>
            <w:noProof/>
            <w:color w:val="auto"/>
            <w:sz w:val="22"/>
            <w:szCs w:val="22"/>
          </w:rPr>
          <w:tab/>
        </w:r>
        <w:r w:rsidR="009F764E" w:rsidRPr="00085A89">
          <w:rPr>
            <w:rStyle w:val="Hyperlink"/>
            <w:noProof/>
          </w:rPr>
          <w:t>Budgeted expenses and performance</w:t>
        </w:r>
        <w:r w:rsidR="009F764E">
          <w:rPr>
            <w:noProof/>
            <w:webHidden/>
          </w:rPr>
          <w:tab/>
        </w:r>
        <w:r w:rsidR="009F764E">
          <w:rPr>
            <w:noProof/>
            <w:webHidden/>
          </w:rPr>
          <w:fldChar w:fldCharType="begin"/>
        </w:r>
        <w:r w:rsidR="009F764E">
          <w:rPr>
            <w:noProof/>
            <w:webHidden/>
          </w:rPr>
          <w:instrText xml:space="preserve"> PAGEREF _Toc117406959 \h </w:instrText>
        </w:r>
        <w:r w:rsidR="009F764E">
          <w:rPr>
            <w:noProof/>
            <w:webHidden/>
          </w:rPr>
        </w:r>
        <w:r w:rsidR="009F764E">
          <w:rPr>
            <w:noProof/>
            <w:webHidden/>
          </w:rPr>
          <w:fldChar w:fldCharType="separate"/>
        </w:r>
        <w:r w:rsidR="009F764E">
          <w:rPr>
            <w:noProof/>
            <w:webHidden/>
          </w:rPr>
          <w:t>229</w:t>
        </w:r>
        <w:r w:rsidR="009F764E">
          <w:rPr>
            <w:noProof/>
            <w:webHidden/>
          </w:rPr>
          <w:fldChar w:fldCharType="end"/>
        </w:r>
      </w:hyperlink>
    </w:p>
    <w:p w14:paraId="02824110" w14:textId="43E859F8" w:rsidR="009F764E" w:rsidRDefault="00A4585C">
      <w:pPr>
        <w:pStyle w:val="TOC1"/>
        <w:rPr>
          <w:rFonts w:asciiTheme="minorHAnsi" w:eastAsiaTheme="minorEastAsia" w:hAnsiTheme="minorHAnsi" w:cstheme="minorBidi"/>
          <w:b w:val="0"/>
          <w:color w:val="auto"/>
          <w:sz w:val="22"/>
          <w:szCs w:val="22"/>
        </w:rPr>
      </w:pPr>
      <w:hyperlink w:anchor="_Toc117406960" w:history="1">
        <w:r w:rsidR="009F764E" w:rsidRPr="00085A89">
          <w:rPr>
            <w:rStyle w:val="Hyperlink"/>
          </w:rPr>
          <w:t>Section 3: Budgeted financial statements</w:t>
        </w:r>
        <w:r w:rsidR="009F764E">
          <w:rPr>
            <w:webHidden/>
          </w:rPr>
          <w:tab/>
        </w:r>
        <w:r w:rsidR="009F764E">
          <w:rPr>
            <w:webHidden/>
          </w:rPr>
          <w:fldChar w:fldCharType="begin"/>
        </w:r>
        <w:r w:rsidR="009F764E">
          <w:rPr>
            <w:webHidden/>
          </w:rPr>
          <w:instrText xml:space="preserve"> PAGEREF _Toc117406960 \h </w:instrText>
        </w:r>
        <w:r w:rsidR="009F764E">
          <w:rPr>
            <w:webHidden/>
          </w:rPr>
        </w:r>
        <w:r w:rsidR="009F764E">
          <w:rPr>
            <w:webHidden/>
          </w:rPr>
          <w:fldChar w:fldCharType="separate"/>
        </w:r>
        <w:r w:rsidR="009F764E">
          <w:rPr>
            <w:webHidden/>
          </w:rPr>
          <w:t>234</w:t>
        </w:r>
        <w:r w:rsidR="009F764E">
          <w:rPr>
            <w:webHidden/>
          </w:rPr>
          <w:fldChar w:fldCharType="end"/>
        </w:r>
      </w:hyperlink>
    </w:p>
    <w:p w14:paraId="5A06B5B0" w14:textId="65453EB2" w:rsidR="009F764E" w:rsidRDefault="00A4585C">
      <w:pPr>
        <w:pStyle w:val="TOC2"/>
        <w:rPr>
          <w:rFonts w:asciiTheme="minorHAnsi" w:eastAsiaTheme="minorEastAsia" w:hAnsiTheme="minorHAnsi" w:cstheme="minorBidi"/>
          <w:noProof/>
          <w:color w:val="auto"/>
          <w:sz w:val="22"/>
          <w:szCs w:val="22"/>
        </w:rPr>
      </w:pPr>
      <w:hyperlink w:anchor="_Toc117406961" w:history="1">
        <w:r w:rsidR="009F764E" w:rsidRPr="00085A89">
          <w:rPr>
            <w:rStyle w:val="Hyperlink"/>
            <w:noProof/>
          </w:rPr>
          <w:t>3.1</w:t>
        </w:r>
        <w:r w:rsidR="009F764E">
          <w:rPr>
            <w:rFonts w:asciiTheme="minorHAnsi" w:eastAsiaTheme="minorEastAsia" w:hAnsiTheme="minorHAnsi" w:cstheme="minorBidi"/>
            <w:noProof/>
            <w:color w:val="auto"/>
            <w:sz w:val="22"/>
            <w:szCs w:val="22"/>
          </w:rPr>
          <w:tab/>
        </w:r>
        <w:r w:rsidR="009F764E" w:rsidRPr="00085A89">
          <w:rPr>
            <w:rStyle w:val="Hyperlink"/>
            <w:noProof/>
          </w:rPr>
          <w:t>Budgeted financial statements</w:t>
        </w:r>
        <w:r w:rsidR="009F764E">
          <w:rPr>
            <w:noProof/>
            <w:webHidden/>
          </w:rPr>
          <w:tab/>
        </w:r>
        <w:r w:rsidR="009F764E">
          <w:rPr>
            <w:noProof/>
            <w:webHidden/>
          </w:rPr>
          <w:fldChar w:fldCharType="begin"/>
        </w:r>
        <w:r w:rsidR="009F764E">
          <w:rPr>
            <w:noProof/>
            <w:webHidden/>
          </w:rPr>
          <w:instrText xml:space="preserve"> PAGEREF _Toc117406961 \h </w:instrText>
        </w:r>
        <w:r w:rsidR="009F764E">
          <w:rPr>
            <w:noProof/>
            <w:webHidden/>
          </w:rPr>
        </w:r>
        <w:r w:rsidR="009F764E">
          <w:rPr>
            <w:noProof/>
            <w:webHidden/>
          </w:rPr>
          <w:fldChar w:fldCharType="separate"/>
        </w:r>
        <w:r w:rsidR="009F764E">
          <w:rPr>
            <w:noProof/>
            <w:webHidden/>
          </w:rPr>
          <w:t>234</w:t>
        </w:r>
        <w:r w:rsidR="009F764E">
          <w:rPr>
            <w:noProof/>
            <w:webHidden/>
          </w:rPr>
          <w:fldChar w:fldCharType="end"/>
        </w:r>
      </w:hyperlink>
    </w:p>
    <w:p w14:paraId="4E750797" w14:textId="75BABA03" w:rsidR="009F764E" w:rsidRDefault="00A4585C">
      <w:pPr>
        <w:pStyle w:val="TOC2"/>
        <w:rPr>
          <w:rFonts w:asciiTheme="minorHAnsi" w:eastAsiaTheme="minorEastAsia" w:hAnsiTheme="minorHAnsi" w:cstheme="minorBidi"/>
          <w:noProof/>
          <w:color w:val="auto"/>
          <w:sz w:val="22"/>
          <w:szCs w:val="22"/>
        </w:rPr>
      </w:pPr>
      <w:hyperlink w:anchor="_Toc117406962" w:history="1">
        <w:r w:rsidR="009F764E" w:rsidRPr="00085A89">
          <w:rPr>
            <w:rStyle w:val="Hyperlink"/>
            <w:noProof/>
          </w:rPr>
          <w:t>3.2</w:t>
        </w:r>
        <w:r w:rsidR="009F764E">
          <w:rPr>
            <w:rFonts w:asciiTheme="minorHAnsi" w:eastAsiaTheme="minorEastAsia" w:hAnsiTheme="minorHAnsi" w:cstheme="minorBidi"/>
            <w:noProof/>
            <w:color w:val="auto"/>
            <w:sz w:val="22"/>
            <w:szCs w:val="22"/>
          </w:rPr>
          <w:tab/>
        </w:r>
        <w:r w:rsidR="009F764E" w:rsidRPr="00085A89">
          <w:rPr>
            <w:rStyle w:val="Hyperlink"/>
            <w:noProof/>
          </w:rPr>
          <w:t>Budgeted financial statements tables</w:t>
        </w:r>
        <w:r w:rsidR="009F764E">
          <w:rPr>
            <w:noProof/>
            <w:webHidden/>
          </w:rPr>
          <w:tab/>
        </w:r>
        <w:r w:rsidR="009F764E">
          <w:rPr>
            <w:noProof/>
            <w:webHidden/>
          </w:rPr>
          <w:fldChar w:fldCharType="begin"/>
        </w:r>
        <w:r w:rsidR="009F764E">
          <w:rPr>
            <w:noProof/>
            <w:webHidden/>
          </w:rPr>
          <w:instrText xml:space="preserve"> PAGEREF _Toc117406962 \h </w:instrText>
        </w:r>
        <w:r w:rsidR="009F764E">
          <w:rPr>
            <w:noProof/>
            <w:webHidden/>
          </w:rPr>
        </w:r>
        <w:r w:rsidR="009F764E">
          <w:rPr>
            <w:noProof/>
            <w:webHidden/>
          </w:rPr>
          <w:fldChar w:fldCharType="separate"/>
        </w:r>
        <w:r w:rsidR="009F764E">
          <w:rPr>
            <w:noProof/>
            <w:webHidden/>
          </w:rPr>
          <w:t>235</w:t>
        </w:r>
        <w:r w:rsidR="009F764E">
          <w:rPr>
            <w:noProof/>
            <w:webHidden/>
          </w:rPr>
          <w:fldChar w:fldCharType="end"/>
        </w:r>
      </w:hyperlink>
    </w:p>
    <w:p w14:paraId="6B87BBF7" w14:textId="30235FC2" w:rsidR="0024539A" w:rsidRPr="0089004B" w:rsidRDefault="00913388" w:rsidP="00913388">
      <w:pPr>
        <w:rPr>
          <w:rFonts w:ascii="Arial" w:hAnsi="Arial" w:cs="Arial"/>
          <w:b/>
          <w:color w:val="auto"/>
        </w:rPr>
        <w:sectPr w:rsidR="0024539A" w:rsidRPr="0089004B" w:rsidSect="00357948">
          <w:headerReference w:type="even" r:id="rId14"/>
          <w:headerReference w:type="default" r:id="rId15"/>
          <w:footerReference w:type="default" r:id="rId16"/>
          <w:headerReference w:type="first" r:id="rId17"/>
          <w:pgSz w:w="11906" w:h="16838"/>
          <w:pgMar w:top="2466" w:right="2268" w:bottom="2126" w:left="2268" w:header="1899" w:footer="1899" w:gutter="0"/>
          <w:cols w:space="708"/>
          <w:docGrid w:linePitch="360"/>
        </w:sectPr>
      </w:pPr>
      <w:r w:rsidRPr="0089004B">
        <w:rPr>
          <w:rFonts w:ascii="Arial" w:hAnsi="Arial" w:cs="Arial"/>
          <w:b/>
          <w:color w:val="auto"/>
        </w:rPr>
        <w:fldChar w:fldCharType="end"/>
      </w:r>
    </w:p>
    <w:p w14:paraId="5142DFFA" w14:textId="497D4F07" w:rsidR="0024539A" w:rsidRPr="0089004B" w:rsidRDefault="0024539A" w:rsidP="00980201">
      <w:pPr>
        <w:pStyle w:val="Heading2"/>
      </w:pPr>
      <w:bookmarkStart w:id="0" w:name="_Toc117406954"/>
      <w:r w:rsidRPr="0089004B">
        <w:lastRenderedPageBreak/>
        <w:t xml:space="preserve">Section 1: Entity </w:t>
      </w:r>
      <w:r w:rsidR="00980201">
        <w:t>o</w:t>
      </w:r>
      <w:r w:rsidRPr="0089004B">
        <w:t xml:space="preserve">verview and </w:t>
      </w:r>
      <w:r w:rsidR="00980201">
        <w:t>r</w:t>
      </w:r>
      <w:r w:rsidRPr="0089004B">
        <w:t>esources</w:t>
      </w:r>
      <w:bookmarkEnd w:id="0"/>
    </w:p>
    <w:p w14:paraId="0D974D5E" w14:textId="722F8352" w:rsidR="0024539A" w:rsidRPr="0089004B" w:rsidRDefault="0024539A" w:rsidP="00980201">
      <w:pPr>
        <w:pStyle w:val="Heading3"/>
      </w:pPr>
      <w:bookmarkStart w:id="1" w:name="_Toc117406955"/>
      <w:r w:rsidRPr="0089004B">
        <w:t>1.1</w:t>
      </w:r>
      <w:r w:rsidRPr="0089004B">
        <w:tab/>
        <w:t xml:space="preserve">Strategic </w:t>
      </w:r>
      <w:r w:rsidR="00980201">
        <w:t>d</w:t>
      </w:r>
      <w:r w:rsidRPr="0089004B">
        <w:t xml:space="preserve">irection </w:t>
      </w:r>
      <w:r w:rsidR="00980201">
        <w:t>s</w:t>
      </w:r>
      <w:r w:rsidRPr="0089004B">
        <w:t>tatement</w:t>
      </w:r>
      <w:r w:rsidRPr="0089004B">
        <w:rPr>
          <w:vertAlign w:val="superscript"/>
        </w:rPr>
        <w:footnoteReference w:id="1"/>
      </w:r>
      <w:bookmarkEnd w:id="1"/>
    </w:p>
    <w:p w14:paraId="4240897D" w14:textId="63DAE635" w:rsidR="003D462C" w:rsidRDefault="003D462C" w:rsidP="003D462C">
      <w:pPr>
        <w:spacing w:after="80"/>
        <w:rPr>
          <w:rFonts w:cs="Arial"/>
          <w:snapToGrid w:val="0"/>
          <w:color w:val="auto"/>
          <w:lang w:val="en"/>
        </w:rPr>
      </w:pPr>
      <w:r w:rsidRPr="0089004B">
        <w:rPr>
          <w:color w:val="auto"/>
        </w:rPr>
        <w:t>The Australian Sports Commission (ASC) is the Australian Government agency responsible for supporting and investing in sport</w:t>
      </w:r>
      <w:r>
        <w:rPr>
          <w:color w:val="auto"/>
        </w:rPr>
        <w:t xml:space="preserve"> at all levels. </w:t>
      </w:r>
      <w:r>
        <w:rPr>
          <w:rFonts w:cs="Arial"/>
          <w:snapToGrid w:val="0"/>
          <w:color w:val="auto"/>
          <w:lang w:val="en"/>
        </w:rPr>
        <w:t xml:space="preserve">The role of the ASC is to increase participation in </w:t>
      </w:r>
      <w:proofErr w:type="spellStart"/>
      <w:r>
        <w:rPr>
          <w:rFonts w:cs="Arial"/>
          <w:snapToGrid w:val="0"/>
          <w:color w:val="auto"/>
          <w:lang w:val="en"/>
        </w:rPr>
        <w:t>organised</w:t>
      </w:r>
      <w:proofErr w:type="spellEnd"/>
      <w:r>
        <w:rPr>
          <w:rFonts w:cs="Arial"/>
          <w:snapToGrid w:val="0"/>
          <w:color w:val="auto"/>
          <w:lang w:val="en"/>
        </w:rPr>
        <w:t xml:space="preserve"> sport and enable continued international sporting success through leadership and development of a cohesive and effective sports sector, provision of targeted financial support and the operation of the Australian Institute of Sport (AIS).</w:t>
      </w:r>
      <w:r w:rsidR="003A4212">
        <w:rPr>
          <w:rFonts w:cs="Arial"/>
          <w:snapToGrid w:val="0"/>
          <w:color w:val="auto"/>
          <w:lang w:val="en"/>
        </w:rPr>
        <w:t xml:space="preserve"> </w:t>
      </w:r>
      <w:r w:rsidR="003A4212" w:rsidRPr="003A4212">
        <w:rPr>
          <w:rFonts w:cs="Arial"/>
          <w:snapToGrid w:val="0"/>
          <w:color w:val="auto"/>
          <w:lang w:val="en"/>
        </w:rPr>
        <w:t xml:space="preserve">The ASC has a vision that </w:t>
      </w:r>
      <w:r w:rsidR="003A4212" w:rsidRPr="003A4212">
        <w:rPr>
          <w:rFonts w:cs="Arial"/>
          <w:i/>
          <w:iCs/>
          <w:snapToGrid w:val="0"/>
          <w:color w:val="auto"/>
          <w:lang w:val="en"/>
        </w:rPr>
        <w:t>Sport has a place for everyone and delivers results that make Australia proud</w:t>
      </w:r>
      <w:r w:rsidR="003A4212" w:rsidRPr="003A4212">
        <w:rPr>
          <w:rFonts w:cs="Arial"/>
          <w:snapToGrid w:val="0"/>
          <w:color w:val="auto"/>
          <w:lang w:val="en"/>
        </w:rPr>
        <w:t>.</w:t>
      </w:r>
    </w:p>
    <w:p w14:paraId="40E74C8A" w14:textId="77777777" w:rsidR="003D462C" w:rsidRDefault="003D462C" w:rsidP="003D462C">
      <w:pPr>
        <w:spacing w:after="80"/>
        <w:rPr>
          <w:color w:val="auto"/>
        </w:rPr>
      </w:pPr>
      <w:r w:rsidRPr="0089004B">
        <w:rPr>
          <w:rFonts w:cs="Arial"/>
          <w:snapToGrid w:val="0"/>
          <w:color w:val="auto"/>
          <w:lang w:val="en"/>
        </w:rPr>
        <w:t>From grassroots to the pinnacle of elite international competition, the ASC works together with the sport sector, other government partners, business</w:t>
      </w:r>
      <w:r>
        <w:rPr>
          <w:rFonts w:cs="Arial"/>
          <w:snapToGrid w:val="0"/>
          <w:color w:val="auto"/>
          <w:lang w:val="en"/>
        </w:rPr>
        <w:t>,</w:t>
      </w:r>
      <w:r w:rsidRPr="0089004B">
        <w:rPr>
          <w:rFonts w:cs="Arial"/>
          <w:snapToGrid w:val="0"/>
          <w:color w:val="auto"/>
          <w:lang w:val="en"/>
        </w:rPr>
        <w:t xml:space="preserve"> and the wider community to champion the role sport can play in engaging every Australian regardless of age, race, gender, cultural background</w:t>
      </w:r>
      <w:r>
        <w:rPr>
          <w:rFonts w:cs="Arial"/>
          <w:snapToGrid w:val="0"/>
          <w:color w:val="auto"/>
          <w:lang w:val="en"/>
        </w:rPr>
        <w:t>,</w:t>
      </w:r>
      <w:r w:rsidRPr="0089004B">
        <w:rPr>
          <w:rFonts w:cs="Arial"/>
          <w:snapToGrid w:val="0"/>
          <w:color w:val="auto"/>
          <w:lang w:val="en"/>
        </w:rPr>
        <w:t xml:space="preserve"> and physical ability.</w:t>
      </w:r>
      <w:r w:rsidRPr="0089004B">
        <w:rPr>
          <w:color w:val="auto"/>
        </w:rPr>
        <w:t xml:space="preserve"> </w:t>
      </w:r>
    </w:p>
    <w:p w14:paraId="5A85F722" w14:textId="21073B89" w:rsidR="003D462C" w:rsidRPr="0089004B" w:rsidRDefault="003D462C" w:rsidP="003D462C">
      <w:pPr>
        <w:keepNext/>
        <w:tabs>
          <w:tab w:val="left" w:pos="5830"/>
        </w:tabs>
        <w:spacing w:after="80"/>
        <w:outlineLvl w:val="0"/>
        <w:rPr>
          <w:rFonts w:cs="Arial"/>
          <w:snapToGrid w:val="0"/>
          <w:color w:val="auto"/>
          <w:lang w:val="en"/>
        </w:rPr>
      </w:pPr>
      <w:r>
        <w:rPr>
          <w:rFonts w:cs="Arial"/>
          <w:snapToGrid w:val="0"/>
          <w:color w:val="auto"/>
          <w:lang w:val="en"/>
        </w:rPr>
        <w:t>Through in</w:t>
      </w:r>
      <w:r w:rsidRPr="0089004B">
        <w:rPr>
          <w:rFonts w:cs="Arial"/>
          <w:snapToGrid w:val="0"/>
          <w:color w:val="auto"/>
          <w:lang w:val="en"/>
        </w:rPr>
        <w:t>vest</w:t>
      </w:r>
      <w:r>
        <w:rPr>
          <w:rFonts w:cs="Arial"/>
          <w:snapToGrid w:val="0"/>
          <w:color w:val="auto"/>
          <w:lang w:val="en"/>
        </w:rPr>
        <w:t>ment</w:t>
      </w:r>
      <w:r w:rsidRPr="0089004B">
        <w:rPr>
          <w:rFonts w:cs="Arial"/>
          <w:snapToGrid w:val="0"/>
          <w:color w:val="auto"/>
          <w:lang w:val="en"/>
        </w:rPr>
        <w:t xml:space="preserve"> in national sporting organisations </w:t>
      </w:r>
      <w:r w:rsidR="003A4212" w:rsidRPr="003A4212">
        <w:rPr>
          <w:rFonts w:cs="Arial"/>
          <w:snapToGrid w:val="0"/>
          <w:color w:val="auto"/>
          <w:lang w:val="en"/>
        </w:rPr>
        <w:t>and national sporting</w:t>
      </w:r>
      <w:r w:rsidRPr="0089004B">
        <w:rPr>
          <w:rFonts w:cs="Arial"/>
          <w:snapToGrid w:val="0"/>
          <w:color w:val="auto"/>
          <w:lang w:val="en"/>
        </w:rPr>
        <w:t xml:space="preserve"> organisations for people with disability</w:t>
      </w:r>
      <w:r>
        <w:rPr>
          <w:rFonts w:cs="Arial"/>
          <w:snapToGrid w:val="0"/>
          <w:color w:val="auto"/>
          <w:lang w:val="en"/>
        </w:rPr>
        <w:t xml:space="preserve">, the ASC supports the sector to be connected, innovative and grow the capability of the sport workforce to deliver enjoyable and inclusive experiences for all participants. </w:t>
      </w:r>
      <w:r w:rsidRPr="0089004B">
        <w:rPr>
          <w:rFonts w:cs="Arial"/>
          <w:snapToGrid w:val="0"/>
          <w:color w:val="auto"/>
          <w:lang w:val="en"/>
        </w:rPr>
        <w:t xml:space="preserve">In addition to funding, </w:t>
      </w:r>
      <w:r>
        <w:rPr>
          <w:rFonts w:cs="Arial"/>
          <w:snapToGrid w:val="0"/>
          <w:color w:val="auto"/>
          <w:lang w:val="en"/>
        </w:rPr>
        <w:t>the ASC</w:t>
      </w:r>
      <w:r w:rsidRPr="0089004B">
        <w:rPr>
          <w:rFonts w:cs="Arial"/>
          <w:snapToGrid w:val="0"/>
          <w:color w:val="auto"/>
          <w:lang w:val="en"/>
        </w:rPr>
        <w:t xml:space="preserve"> provides </w:t>
      </w:r>
      <w:r>
        <w:rPr>
          <w:rFonts w:cs="Arial"/>
          <w:snapToGrid w:val="0"/>
          <w:color w:val="auto"/>
          <w:lang w:val="en"/>
        </w:rPr>
        <w:t xml:space="preserve">sports with world’s best </w:t>
      </w:r>
      <w:r w:rsidRPr="0089004B">
        <w:rPr>
          <w:rFonts w:cs="Arial"/>
          <w:snapToGrid w:val="0"/>
          <w:color w:val="auto"/>
          <w:lang w:val="en"/>
        </w:rPr>
        <w:t xml:space="preserve">expertise and guidance </w:t>
      </w:r>
      <w:r>
        <w:rPr>
          <w:rFonts w:cs="Arial"/>
          <w:snapToGrid w:val="0"/>
          <w:color w:val="auto"/>
          <w:lang w:val="en"/>
        </w:rPr>
        <w:t>on governance and participation growth</w:t>
      </w:r>
      <w:r w:rsidRPr="0089004B">
        <w:rPr>
          <w:rFonts w:cs="Arial"/>
          <w:snapToGrid w:val="0"/>
          <w:color w:val="auto"/>
          <w:lang w:val="en"/>
        </w:rPr>
        <w:t xml:space="preserve"> </w:t>
      </w:r>
      <w:r>
        <w:rPr>
          <w:rFonts w:cs="Arial"/>
          <w:snapToGrid w:val="0"/>
          <w:color w:val="auto"/>
          <w:lang w:val="en"/>
        </w:rPr>
        <w:t>through resource development, program co-design, insights and market research, knowledge sharing, digital tools, online learning and education.</w:t>
      </w:r>
      <w:r w:rsidRPr="0089004B">
        <w:rPr>
          <w:rFonts w:cs="Arial"/>
          <w:snapToGrid w:val="0"/>
          <w:color w:val="auto"/>
          <w:lang w:val="en"/>
        </w:rPr>
        <w:t xml:space="preserve"> </w:t>
      </w:r>
    </w:p>
    <w:p w14:paraId="6066A9BE" w14:textId="2FD37CCD" w:rsidR="003D462C" w:rsidRDefault="003D462C" w:rsidP="003D462C">
      <w:pPr>
        <w:spacing w:after="80"/>
        <w:rPr>
          <w:snapToGrid w:val="0"/>
          <w:color w:val="auto"/>
          <w:lang w:val="en"/>
        </w:rPr>
      </w:pPr>
      <w:r>
        <w:rPr>
          <w:snapToGrid w:val="0"/>
          <w:color w:val="auto"/>
          <w:lang w:val="en"/>
        </w:rPr>
        <w:t>Through the operation of the AIS, the ASC is</w:t>
      </w:r>
      <w:r w:rsidRPr="0089004B">
        <w:rPr>
          <w:snapToGrid w:val="0"/>
          <w:color w:val="auto"/>
          <w:lang w:val="en"/>
        </w:rPr>
        <w:t xml:space="preserve"> responsible for leading and enabling a united and collaborative</w:t>
      </w:r>
      <w:r>
        <w:rPr>
          <w:snapToGrid w:val="0"/>
          <w:color w:val="auto"/>
          <w:lang w:val="en"/>
        </w:rPr>
        <w:t xml:space="preserve"> high performance system. </w:t>
      </w:r>
      <w:r w:rsidRPr="0089004B">
        <w:rPr>
          <w:snapToGrid w:val="0"/>
          <w:color w:val="auto"/>
          <w:lang w:val="en"/>
        </w:rPr>
        <w:t>The </w:t>
      </w:r>
      <w:r>
        <w:rPr>
          <w:snapToGrid w:val="0"/>
          <w:color w:val="auto"/>
          <w:lang w:val="en"/>
        </w:rPr>
        <w:t xml:space="preserve">ASC contributes </w:t>
      </w:r>
      <w:r w:rsidRPr="0089004B">
        <w:rPr>
          <w:snapToGrid w:val="0"/>
          <w:color w:val="auto"/>
          <w:lang w:val="en"/>
        </w:rPr>
        <w:t>to build</w:t>
      </w:r>
      <w:r>
        <w:rPr>
          <w:snapToGrid w:val="0"/>
          <w:color w:val="auto"/>
          <w:lang w:val="en"/>
        </w:rPr>
        <w:t>ing</w:t>
      </w:r>
      <w:r w:rsidRPr="0089004B">
        <w:rPr>
          <w:snapToGrid w:val="0"/>
          <w:color w:val="auto"/>
          <w:lang w:val="en"/>
        </w:rPr>
        <w:t xml:space="preserve"> sustainable winning systems for Australian athletes, with </w:t>
      </w:r>
      <w:r>
        <w:rPr>
          <w:snapToGrid w:val="0"/>
          <w:color w:val="auto"/>
          <w:lang w:val="en"/>
        </w:rPr>
        <w:t>the objective to</w:t>
      </w:r>
      <w:r w:rsidRPr="0089004B">
        <w:rPr>
          <w:color w:val="auto"/>
        </w:rPr>
        <w:t xml:space="preserve"> consistently produc</w:t>
      </w:r>
      <w:r>
        <w:rPr>
          <w:color w:val="auto"/>
        </w:rPr>
        <w:t>e</w:t>
      </w:r>
      <w:r w:rsidRPr="0089004B">
        <w:rPr>
          <w:color w:val="auto"/>
        </w:rPr>
        <w:t xml:space="preserve"> multiple medallists </w:t>
      </w:r>
      <w:r>
        <w:rPr>
          <w:color w:val="auto"/>
        </w:rPr>
        <w:t xml:space="preserve">across more sports </w:t>
      </w:r>
      <w:r w:rsidRPr="0089004B">
        <w:rPr>
          <w:color w:val="auto"/>
        </w:rPr>
        <w:t>over multiple cycles</w:t>
      </w:r>
      <w:r>
        <w:rPr>
          <w:color w:val="auto"/>
        </w:rPr>
        <w:t>,</w:t>
      </w:r>
      <w:r w:rsidRPr="0089004B">
        <w:rPr>
          <w:color w:val="auto"/>
        </w:rPr>
        <w:t xml:space="preserve"> effectively inspiring the next generation of Australian athletes. </w:t>
      </w:r>
      <w:r w:rsidRPr="0089004B">
        <w:rPr>
          <w:snapToGrid w:val="0"/>
          <w:color w:val="auto"/>
          <w:lang w:val="en"/>
        </w:rPr>
        <w:t>Through the National High Performance Sport Strategy, the</w:t>
      </w:r>
      <w:r>
        <w:rPr>
          <w:snapToGrid w:val="0"/>
          <w:color w:val="auto"/>
          <w:lang w:val="en"/>
        </w:rPr>
        <w:t xml:space="preserve"> </w:t>
      </w:r>
      <w:proofErr w:type="spellStart"/>
      <w:r>
        <w:rPr>
          <w:snapToGrid w:val="0"/>
          <w:color w:val="auto"/>
          <w:lang w:val="en"/>
        </w:rPr>
        <w:t>organisation</w:t>
      </w:r>
      <w:proofErr w:type="spellEnd"/>
      <w:r w:rsidDel="009207E2">
        <w:rPr>
          <w:snapToGrid w:val="0"/>
          <w:color w:val="auto"/>
          <w:lang w:val="en"/>
        </w:rPr>
        <w:t xml:space="preserve"> </w:t>
      </w:r>
      <w:r>
        <w:rPr>
          <w:snapToGrid w:val="0"/>
          <w:color w:val="auto"/>
          <w:lang w:val="en"/>
        </w:rPr>
        <w:t xml:space="preserve">will work to ensure the high </w:t>
      </w:r>
      <w:r w:rsidRPr="0089004B">
        <w:rPr>
          <w:snapToGrid w:val="0"/>
          <w:color w:val="auto"/>
          <w:lang w:val="en"/>
        </w:rPr>
        <w:t xml:space="preserve">performance system is recognised as world leading and prioritising wellbeing, with athletes helping to build national pride, inspiring and positively influencing the Australian community. </w:t>
      </w:r>
    </w:p>
    <w:p w14:paraId="5D8AC86C" w14:textId="2D0203E6" w:rsidR="003D462C" w:rsidRPr="0089004B" w:rsidRDefault="003D462C" w:rsidP="003D462C">
      <w:pPr>
        <w:rPr>
          <w:snapToGrid w:val="0"/>
          <w:color w:val="auto"/>
          <w:lang w:val="en"/>
        </w:rPr>
      </w:pPr>
      <w:r w:rsidRPr="007C3AA7">
        <w:rPr>
          <w:snapToGrid w:val="0"/>
          <w:color w:val="auto"/>
          <w:lang w:val="en"/>
        </w:rPr>
        <w:t>The A</w:t>
      </w:r>
      <w:r>
        <w:rPr>
          <w:snapToGrid w:val="0"/>
          <w:color w:val="auto"/>
          <w:lang w:val="en"/>
        </w:rPr>
        <w:t>SC</w:t>
      </w:r>
      <w:r w:rsidRPr="007C3AA7">
        <w:rPr>
          <w:snapToGrid w:val="0"/>
          <w:color w:val="auto"/>
          <w:lang w:val="en"/>
        </w:rPr>
        <w:t xml:space="preserve"> will </w:t>
      </w:r>
      <w:r w:rsidRPr="00212FA3">
        <w:rPr>
          <w:snapToGrid w:val="0"/>
          <w:color w:val="auto"/>
          <w:lang w:val="en"/>
        </w:rPr>
        <w:t xml:space="preserve">continue </w:t>
      </w:r>
      <w:r w:rsidRPr="007C3AA7">
        <w:rPr>
          <w:snapToGrid w:val="0"/>
          <w:color w:val="auto"/>
          <w:lang w:val="en"/>
        </w:rPr>
        <w:t>assist</w:t>
      </w:r>
      <w:r w:rsidRPr="00212FA3">
        <w:rPr>
          <w:snapToGrid w:val="0"/>
          <w:color w:val="auto"/>
          <w:lang w:val="en"/>
        </w:rPr>
        <w:t>ing sports and</w:t>
      </w:r>
      <w:r w:rsidRPr="007C3AA7">
        <w:rPr>
          <w:snapToGrid w:val="0"/>
          <w:color w:val="auto"/>
          <w:lang w:val="en"/>
        </w:rPr>
        <w:t xml:space="preserve"> partners </w:t>
      </w:r>
      <w:r w:rsidRPr="00212FA3">
        <w:rPr>
          <w:snapToGrid w:val="0"/>
          <w:color w:val="auto"/>
          <w:lang w:val="en"/>
        </w:rPr>
        <w:t xml:space="preserve">to achieve success at pinnacle international </w:t>
      </w:r>
      <w:r>
        <w:rPr>
          <w:snapToGrid w:val="0"/>
          <w:color w:val="auto"/>
          <w:lang w:val="en"/>
        </w:rPr>
        <w:t xml:space="preserve">sporting </w:t>
      </w:r>
      <w:r w:rsidRPr="00212FA3">
        <w:rPr>
          <w:snapToGrid w:val="0"/>
          <w:color w:val="auto"/>
          <w:lang w:val="en"/>
        </w:rPr>
        <w:t>events</w:t>
      </w:r>
      <w:r>
        <w:rPr>
          <w:snapToGrid w:val="0"/>
          <w:color w:val="auto"/>
          <w:lang w:val="en"/>
        </w:rPr>
        <w:t xml:space="preserve"> in the lead up to the Brisbane </w:t>
      </w:r>
      <w:r w:rsidRPr="003C324B">
        <w:rPr>
          <w:snapToGrid w:val="0"/>
          <w:color w:val="auto"/>
          <w:lang w:val="en"/>
        </w:rPr>
        <w:t>2032 Olympic and Paralympic Games</w:t>
      </w:r>
      <w:r>
        <w:rPr>
          <w:snapToGrid w:val="0"/>
          <w:color w:val="auto"/>
          <w:lang w:val="en"/>
        </w:rPr>
        <w:t xml:space="preserve"> and beyond.</w:t>
      </w:r>
      <w:r w:rsidRPr="00212FA3">
        <w:rPr>
          <w:snapToGrid w:val="0"/>
          <w:color w:val="auto"/>
          <w:lang w:val="en"/>
        </w:rPr>
        <w:t xml:space="preserve"> The A</w:t>
      </w:r>
      <w:r>
        <w:rPr>
          <w:snapToGrid w:val="0"/>
          <w:color w:val="auto"/>
          <w:lang w:val="en"/>
        </w:rPr>
        <w:t>SC</w:t>
      </w:r>
      <w:r w:rsidRPr="00212FA3">
        <w:rPr>
          <w:snapToGrid w:val="0"/>
          <w:color w:val="auto"/>
          <w:lang w:val="en"/>
        </w:rPr>
        <w:t xml:space="preserve"> will also continue leading the high performance system, implementing strategies for long</w:t>
      </w:r>
      <w:r>
        <w:rPr>
          <w:snapToGrid w:val="0"/>
          <w:color w:val="auto"/>
          <w:lang w:val="en"/>
        </w:rPr>
        <w:t xml:space="preserve"> </w:t>
      </w:r>
      <w:r w:rsidRPr="00212FA3">
        <w:rPr>
          <w:snapToGrid w:val="0"/>
          <w:color w:val="auto"/>
          <w:lang w:val="en"/>
        </w:rPr>
        <w:t>term sustainable success, with an emphasis on athlete health and wellbeing,</w:t>
      </w:r>
      <w:r>
        <w:rPr>
          <w:snapToGrid w:val="0"/>
          <w:color w:val="auto"/>
          <w:lang w:val="en"/>
        </w:rPr>
        <w:t xml:space="preserve"> </w:t>
      </w:r>
      <w:r w:rsidRPr="00212FA3">
        <w:rPr>
          <w:snapToGrid w:val="0"/>
          <w:color w:val="auto"/>
          <w:lang w:val="en"/>
        </w:rPr>
        <w:t>coach development, performance support pathways and innovation</w:t>
      </w:r>
      <w:r>
        <w:rPr>
          <w:snapToGrid w:val="0"/>
          <w:color w:val="auto"/>
          <w:lang w:val="en"/>
        </w:rPr>
        <w:t>.</w:t>
      </w:r>
      <w:r w:rsidRPr="00212FA3">
        <w:rPr>
          <w:snapToGrid w:val="0"/>
          <w:color w:val="auto"/>
          <w:lang w:val="en"/>
        </w:rPr>
        <w:t xml:space="preserve"> </w:t>
      </w:r>
      <w:r>
        <w:rPr>
          <w:snapToGrid w:val="0"/>
          <w:color w:val="auto"/>
          <w:lang w:val="en"/>
        </w:rPr>
        <w:t xml:space="preserve">World’s best </w:t>
      </w:r>
      <w:r w:rsidRPr="00212FA3">
        <w:rPr>
          <w:snapToGrid w:val="0"/>
          <w:color w:val="auto"/>
          <w:lang w:val="en"/>
        </w:rPr>
        <w:t>medical</w:t>
      </w:r>
      <w:r>
        <w:rPr>
          <w:snapToGrid w:val="0"/>
          <w:color w:val="auto"/>
          <w:lang w:val="en"/>
        </w:rPr>
        <w:t xml:space="preserve"> leadership,</w:t>
      </w:r>
      <w:r w:rsidRPr="00212FA3">
        <w:rPr>
          <w:snapToGrid w:val="0"/>
          <w:color w:val="auto"/>
          <w:lang w:val="en"/>
        </w:rPr>
        <w:t xml:space="preserve"> wellbeing support </w:t>
      </w:r>
      <w:r>
        <w:rPr>
          <w:snapToGrid w:val="0"/>
          <w:color w:val="auto"/>
          <w:lang w:val="en"/>
        </w:rPr>
        <w:t>and mental health services</w:t>
      </w:r>
      <w:r w:rsidRPr="00212FA3">
        <w:rPr>
          <w:snapToGrid w:val="0"/>
          <w:color w:val="auto"/>
          <w:lang w:val="en"/>
        </w:rPr>
        <w:t xml:space="preserve"> for sports and athletes remains a focus</w:t>
      </w:r>
      <w:r>
        <w:rPr>
          <w:snapToGrid w:val="0"/>
          <w:color w:val="auto"/>
          <w:lang w:val="en"/>
        </w:rPr>
        <w:t>.</w:t>
      </w:r>
      <w:r w:rsidRPr="00212FA3">
        <w:rPr>
          <w:snapToGrid w:val="0"/>
          <w:color w:val="auto"/>
          <w:lang w:val="en"/>
        </w:rPr>
        <w:t xml:space="preserve"> </w:t>
      </w:r>
      <w:r>
        <w:rPr>
          <w:snapToGrid w:val="0"/>
          <w:color w:val="auto"/>
          <w:lang w:val="en"/>
        </w:rPr>
        <w:t>The ASC</w:t>
      </w:r>
      <w:r w:rsidRPr="00212FA3">
        <w:rPr>
          <w:snapToGrid w:val="0"/>
          <w:color w:val="auto"/>
          <w:lang w:val="en"/>
        </w:rPr>
        <w:t xml:space="preserve"> continues to work with </w:t>
      </w:r>
      <w:r>
        <w:rPr>
          <w:snapToGrid w:val="0"/>
          <w:color w:val="auto"/>
          <w:lang w:val="en"/>
        </w:rPr>
        <w:t>g</w:t>
      </w:r>
      <w:r w:rsidRPr="00212FA3">
        <w:rPr>
          <w:snapToGrid w:val="0"/>
          <w:color w:val="auto"/>
          <w:lang w:val="en"/>
        </w:rPr>
        <w:t xml:space="preserve">overnment to </w:t>
      </w:r>
      <w:r w:rsidRPr="007C3AA7">
        <w:rPr>
          <w:snapToGrid w:val="0"/>
          <w:color w:val="auto"/>
          <w:lang w:val="en"/>
        </w:rPr>
        <w:t>explor</w:t>
      </w:r>
      <w:r w:rsidRPr="00212FA3">
        <w:rPr>
          <w:snapToGrid w:val="0"/>
          <w:color w:val="auto"/>
          <w:lang w:val="en"/>
        </w:rPr>
        <w:t>e</w:t>
      </w:r>
      <w:r w:rsidRPr="000F6F08">
        <w:rPr>
          <w:snapToGrid w:val="0"/>
          <w:color w:val="auto"/>
          <w:lang w:val="en"/>
        </w:rPr>
        <w:t xml:space="preserve"> </w:t>
      </w:r>
      <w:r w:rsidRPr="007C3AA7">
        <w:rPr>
          <w:snapToGrid w:val="0"/>
          <w:color w:val="auto"/>
          <w:lang w:val="en"/>
        </w:rPr>
        <w:t xml:space="preserve">options for the </w:t>
      </w:r>
      <w:proofErr w:type="spellStart"/>
      <w:r w:rsidRPr="007C3AA7">
        <w:rPr>
          <w:snapToGrid w:val="0"/>
          <w:color w:val="auto"/>
          <w:lang w:val="en"/>
        </w:rPr>
        <w:t>revitalisation</w:t>
      </w:r>
      <w:proofErr w:type="spellEnd"/>
      <w:r w:rsidRPr="007C3AA7">
        <w:rPr>
          <w:snapToGrid w:val="0"/>
          <w:color w:val="auto"/>
          <w:lang w:val="en"/>
        </w:rPr>
        <w:t xml:space="preserve"> of the AIS Campus in Canberra</w:t>
      </w:r>
      <w:r>
        <w:rPr>
          <w:snapToGrid w:val="0"/>
          <w:color w:val="auto"/>
          <w:lang w:val="en"/>
        </w:rPr>
        <w:t>.</w:t>
      </w:r>
      <w:r w:rsidRPr="007C3AA7">
        <w:rPr>
          <w:snapToGrid w:val="0"/>
          <w:color w:val="auto"/>
          <w:lang w:val="en"/>
        </w:rPr>
        <w:t xml:space="preserve"> </w:t>
      </w:r>
    </w:p>
    <w:p w14:paraId="4B05FD2A" w14:textId="77777777" w:rsidR="000F6F08" w:rsidRPr="0089004B" w:rsidRDefault="000F6F08" w:rsidP="000F6F08">
      <w:pPr>
        <w:rPr>
          <w:color w:val="auto"/>
        </w:rPr>
      </w:pPr>
      <w:r w:rsidRPr="0089004B">
        <w:rPr>
          <w:color w:val="auto"/>
        </w:rPr>
        <w:t xml:space="preserve">The role and functions of the ASC are set out in the </w:t>
      </w:r>
      <w:r w:rsidRPr="0089004B">
        <w:rPr>
          <w:i/>
          <w:color w:val="auto"/>
        </w:rPr>
        <w:t>Australian Sports Commission Act 1989</w:t>
      </w:r>
      <w:r w:rsidRPr="0089004B">
        <w:rPr>
          <w:color w:val="auto"/>
        </w:rPr>
        <w:t xml:space="preserve">. The ASC is a corporate Commonwealth entity under the </w:t>
      </w:r>
      <w:r w:rsidRPr="0089004B">
        <w:rPr>
          <w:i/>
          <w:color w:val="auto"/>
        </w:rPr>
        <w:t>Public Governance, Performance and Accountability Act 2013</w:t>
      </w:r>
      <w:r w:rsidRPr="0089004B">
        <w:rPr>
          <w:color w:val="auto"/>
        </w:rPr>
        <w:t>.</w:t>
      </w:r>
    </w:p>
    <w:p w14:paraId="2D334A26" w14:textId="2D14B5C0" w:rsidR="0024539A" w:rsidRPr="0089004B" w:rsidRDefault="00BC2503" w:rsidP="00980201">
      <w:pPr>
        <w:pStyle w:val="Heading3"/>
      </w:pPr>
      <w:r w:rsidRPr="0089004B">
        <w:br w:type="page"/>
      </w:r>
      <w:bookmarkStart w:id="2" w:name="_Toc117406956"/>
      <w:r w:rsidR="0024539A" w:rsidRPr="0089004B">
        <w:lastRenderedPageBreak/>
        <w:t>1.2</w:t>
      </w:r>
      <w:r w:rsidR="0024539A" w:rsidRPr="0089004B">
        <w:tab/>
        <w:t xml:space="preserve">Entity </w:t>
      </w:r>
      <w:r w:rsidR="00BA0F94">
        <w:t>r</w:t>
      </w:r>
      <w:r w:rsidR="0024539A" w:rsidRPr="0089004B">
        <w:t xml:space="preserve">esource </w:t>
      </w:r>
      <w:r w:rsidR="00BA0F94">
        <w:t>s</w:t>
      </w:r>
      <w:r w:rsidR="0024539A" w:rsidRPr="0089004B">
        <w:t>tatement</w:t>
      </w:r>
      <w:bookmarkEnd w:id="2"/>
    </w:p>
    <w:p w14:paraId="23B06AF3" w14:textId="77777777" w:rsidR="0024539A" w:rsidRPr="0089004B" w:rsidRDefault="0024539A" w:rsidP="0024539A">
      <w:pPr>
        <w:rPr>
          <w:color w:val="auto"/>
        </w:rPr>
      </w:pPr>
      <w:r w:rsidRPr="0089004B">
        <w:rPr>
          <w:color w:val="auto"/>
        </w:rPr>
        <w:t>Table 1.1 shows the total funding from all sources available to the entity for its operations and to deliver programs and services on behalf of the Government.</w:t>
      </w:r>
    </w:p>
    <w:p w14:paraId="4203A945" w14:textId="20E068C0" w:rsidR="0024539A" w:rsidRPr="0089004B" w:rsidRDefault="0024539A" w:rsidP="0024539A">
      <w:pPr>
        <w:rPr>
          <w:color w:val="auto"/>
        </w:rPr>
      </w:pPr>
      <w:r w:rsidRPr="0089004B">
        <w:rPr>
          <w:color w:val="auto"/>
        </w:rPr>
        <w:t>The table summarises how resourc</w:t>
      </w:r>
      <w:r w:rsidR="00A05D23">
        <w:rPr>
          <w:color w:val="auto"/>
        </w:rPr>
        <w:t>es will be applied by outcome (g</w:t>
      </w:r>
      <w:r w:rsidRPr="0089004B">
        <w:rPr>
          <w:color w:val="auto"/>
        </w:rPr>
        <w:t>overnment strategic policy objectives) and by administered (on behalf of the Government or the public) and departmental (for the entity’s operations) classification.</w:t>
      </w:r>
    </w:p>
    <w:p w14:paraId="2181905D" w14:textId="77777777" w:rsidR="0024539A" w:rsidRPr="0089004B" w:rsidRDefault="0024539A" w:rsidP="0024539A">
      <w:pPr>
        <w:rPr>
          <w:color w:val="auto"/>
        </w:rPr>
      </w:pPr>
      <w:r w:rsidRPr="0089004B">
        <w:rPr>
          <w:color w:val="auto"/>
        </w:rPr>
        <w:t xml:space="preserve">For more detailed information on special accounts and special appropriations, refer to </w:t>
      </w:r>
      <w:r w:rsidRPr="0089004B">
        <w:rPr>
          <w:i/>
          <w:color w:val="auto"/>
        </w:rPr>
        <w:t>Budget Paper No. 4 – Agency Resourcing</w:t>
      </w:r>
      <w:r w:rsidRPr="0089004B">
        <w:rPr>
          <w:color w:val="auto"/>
        </w:rPr>
        <w:t>.</w:t>
      </w:r>
    </w:p>
    <w:p w14:paraId="028C0087" w14:textId="77777777" w:rsidR="0024539A" w:rsidRPr="0089004B" w:rsidRDefault="0024539A" w:rsidP="0024539A">
      <w:pPr>
        <w:rPr>
          <w:color w:val="auto"/>
        </w:rPr>
      </w:pPr>
      <w:r w:rsidRPr="0089004B">
        <w:rPr>
          <w:color w:val="auto"/>
        </w:rPr>
        <w:t>Information in this table is presented on a resourcing (that is, appropriations/cash available) basis, whilst the ‛Budgeted expenses by outcome’ tables in Section 2 and the financial statements in Section 3 are presented on an accrual basis.</w:t>
      </w:r>
    </w:p>
    <w:p w14:paraId="047AE0E2" w14:textId="77777777" w:rsidR="00BA0F94" w:rsidRDefault="0024539A" w:rsidP="00BA0F94">
      <w:pPr>
        <w:pStyle w:val="Tablenumberandreference"/>
      </w:pPr>
      <w:r w:rsidRPr="0089004B">
        <w:rPr>
          <w:color w:val="auto"/>
        </w:rPr>
        <w:t xml:space="preserve">Table 1.1: </w:t>
      </w:r>
      <w:r w:rsidR="00C963C0" w:rsidRPr="0089004B">
        <w:rPr>
          <w:color w:val="auto"/>
        </w:rPr>
        <w:t>ASC</w:t>
      </w:r>
      <w:r w:rsidRPr="0089004B">
        <w:rPr>
          <w:color w:val="auto"/>
        </w:rPr>
        <w:t xml:space="preserve"> </w:t>
      </w:r>
      <w:r w:rsidR="00BA0F94">
        <w:t>r</w:t>
      </w:r>
      <w:r w:rsidR="00BA0F94" w:rsidRPr="003322E9">
        <w:t xml:space="preserve">esource </w:t>
      </w:r>
      <w:r w:rsidR="00BA0F94">
        <w:t>s</w:t>
      </w:r>
      <w:r w:rsidR="00BA0F94" w:rsidRPr="003322E9">
        <w:t xml:space="preserve">tatement – Budget </w:t>
      </w:r>
      <w:r w:rsidR="00BA0F94">
        <w:t>e</w:t>
      </w:r>
      <w:r w:rsidR="00BA0F94" w:rsidRPr="003322E9">
        <w:t xml:space="preserve">stimates </w:t>
      </w:r>
      <w:r w:rsidR="00BA0F94" w:rsidRPr="00626350">
        <w:t>for 2022</w:t>
      </w:r>
      <w:r w:rsidR="00BA0F94">
        <w:t>–</w:t>
      </w:r>
      <w:r w:rsidR="00BA0F94" w:rsidRPr="00626350">
        <w:t xml:space="preserve">23 as at </w:t>
      </w:r>
      <w:r w:rsidR="00BA0F94">
        <w:t xml:space="preserve">October </w:t>
      </w:r>
      <w:r w:rsidR="00BA0F94" w:rsidRPr="00626350">
        <w:t>Budget 2022</w:t>
      </w:r>
    </w:p>
    <w:tbl>
      <w:tblPr>
        <w:tblW w:w="7369" w:type="dxa"/>
        <w:jc w:val="center"/>
        <w:tblLayout w:type="fixed"/>
        <w:tblCellMar>
          <w:left w:w="0" w:type="dxa"/>
          <w:right w:w="0" w:type="dxa"/>
        </w:tblCellMar>
        <w:tblLook w:val="04A0" w:firstRow="1" w:lastRow="0" w:firstColumn="1" w:lastColumn="0" w:noHBand="0" w:noVBand="1"/>
      </w:tblPr>
      <w:tblGrid>
        <w:gridCol w:w="4649"/>
        <w:gridCol w:w="1360"/>
        <w:gridCol w:w="1360"/>
      </w:tblGrid>
      <w:tr w:rsidR="006C7E08" w14:paraId="377A7966" w14:textId="77777777" w:rsidTr="007B2118">
        <w:trPr>
          <w:trHeight w:val="434"/>
          <w:jc w:val="center"/>
        </w:trPr>
        <w:tc>
          <w:tcPr>
            <w:tcW w:w="4649" w:type="dxa"/>
            <w:tcBorders>
              <w:top w:val="single" w:sz="4" w:space="0" w:color="auto"/>
              <w:left w:val="nil"/>
              <w:bottom w:val="nil"/>
              <w:right w:val="nil"/>
            </w:tcBorders>
            <w:shd w:val="clear" w:color="auto" w:fill="auto"/>
            <w:tcMar>
              <w:top w:w="15" w:type="dxa"/>
              <w:left w:w="15" w:type="dxa"/>
              <w:bottom w:w="0" w:type="dxa"/>
              <w:right w:w="15" w:type="dxa"/>
            </w:tcMar>
            <w:hideMark/>
          </w:tcPr>
          <w:p w14:paraId="6E8C8CE8" w14:textId="77777777" w:rsidR="006C7E08" w:rsidRDefault="006C7E08" w:rsidP="006C7E08">
            <w:pPr>
              <w:spacing w:before="40" w:after="0"/>
              <w:jc w:val="right"/>
              <w:rPr>
                <w:rFonts w:ascii="Times New Roman" w:hAnsi="Times New Roman"/>
                <w:color w:val="auto"/>
                <w:sz w:val="20"/>
              </w:rPr>
            </w:pPr>
          </w:p>
        </w:tc>
        <w:tc>
          <w:tcPr>
            <w:tcW w:w="136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1069F83" w14:textId="77777777" w:rsidR="006C7E08" w:rsidRDefault="006C7E08" w:rsidP="006C7E08">
            <w:pPr>
              <w:spacing w:before="40" w:after="0"/>
              <w:jc w:val="right"/>
              <w:rPr>
                <w:rFonts w:ascii="Arial" w:hAnsi="Arial" w:cs="Arial"/>
                <w:b/>
                <w:bCs/>
                <w:sz w:val="16"/>
                <w:szCs w:val="16"/>
              </w:rPr>
            </w:pPr>
            <w:r>
              <w:rPr>
                <w:rFonts w:ascii="Arial" w:hAnsi="Arial" w:cs="Arial"/>
                <w:b/>
                <w:bCs/>
                <w:sz w:val="16"/>
                <w:szCs w:val="16"/>
              </w:rPr>
              <w:t>2021–22 Estimated actual</w:t>
            </w:r>
            <w:r>
              <w:rPr>
                <w:rFonts w:ascii="Arial" w:hAnsi="Arial" w:cs="Arial"/>
                <w:b/>
                <w:bCs/>
                <w:sz w:val="16"/>
                <w:szCs w:val="16"/>
              </w:rPr>
              <w:br/>
            </w:r>
            <w:r>
              <w:rPr>
                <w:rFonts w:ascii="Arial" w:hAnsi="Arial" w:cs="Arial"/>
                <w:sz w:val="16"/>
                <w:szCs w:val="16"/>
              </w:rPr>
              <w:t>$'000</w:t>
            </w:r>
          </w:p>
        </w:tc>
        <w:tc>
          <w:tcPr>
            <w:tcW w:w="1360" w:type="dxa"/>
            <w:tcBorders>
              <w:top w:val="single" w:sz="4" w:space="0" w:color="auto"/>
              <w:left w:val="nil"/>
              <w:bottom w:val="single" w:sz="4" w:space="0" w:color="auto"/>
              <w:right w:val="nil"/>
            </w:tcBorders>
            <w:shd w:val="clear" w:color="000000" w:fill="D9D9D9"/>
            <w:tcMar>
              <w:top w:w="15" w:type="dxa"/>
              <w:left w:w="15" w:type="dxa"/>
              <w:bottom w:w="0" w:type="dxa"/>
              <w:right w:w="15" w:type="dxa"/>
            </w:tcMar>
            <w:hideMark/>
          </w:tcPr>
          <w:p w14:paraId="1622288D" w14:textId="3C222DFB" w:rsidR="006C7E08" w:rsidRDefault="007B2118" w:rsidP="006C7E08">
            <w:pPr>
              <w:spacing w:before="40" w:after="0"/>
              <w:jc w:val="right"/>
              <w:rPr>
                <w:rFonts w:ascii="Arial" w:hAnsi="Arial" w:cs="Arial"/>
                <w:b/>
                <w:bCs/>
                <w:sz w:val="16"/>
                <w:szCs w:val="16"/>
              </w:rPr>
            </w:pPr>
            <w:r>
              <w:rPr>
                <w:rFonts w:ascii="Arial" w:hAnsi="Arial" w:cs="Arial"/>
                <w:b/>
                <w:bCs/>
                <w:sz w:val="16"/>
                <w:szCs w:val="16"/>
              </w:rPr>
              <w:t>2022–23 Estimate</w:t>
            </w:r>
            <w:r>
              <w:rPr>
                <w:rFonts w:ascii="Arial" w:hAnsi="Arial" w:cs="Arial"/>
                <w:b/>
                <w:bCs/>
                <w:sz w:val="16"/>
                <w:szCs w:val="16"/>
              </w:rPr>
              <w:br/>
            </w:r>
            <w:r w:rsidR="006C7E08">
              <w:rPr>
                <w:rFonts w:ascii="Arial" w:hAnsi="Arial" w:cs="Arial"/>
                <w:sz w:val="16"/>
                <w:szCs w:val="16"/>
              </w:rPr>
              <w:t>$'000</w:t>
            </w:r>
          </w:p>
        </w:tc>
      </w:tr>
      <w:tr w:rsidR="006C7E08" w14:paraId="49083829" w14:textId="77777777" w:rsidTr="006C7E08">
        <w:trPr>
          <w:trHeight w:val="283"/>
          <w:jc w:val="center"/>
        </w:trPr>
        <w:tc>
          <w:tcPr>
            <w:tcW w:w="4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08FFF2A" w14:textId="77777777" w:rsidR="006C7E08" w:rsidRDefault="006C7E08" w:rsidP="006C7E08">
            <w:pPr>
              <w:spacing w:after="0"/>
              <w:rPr>
                <w:rFonts w:ascii="Arial" w:hAnsi="Arial" w:cs="Arial"/>
                <w:b/>
                <w:bCs/>
                <w:sz w:val="16"/>
                <w:szCs w:val="16"/>
              </w:rPr>
            </w:pPr>
            <w:r>
              <w:rPr>
                <w:rFonts w:ascii="Arial" w:hAnsi="Arial" w:cs="Arial"/>
                <w:b/>
                <w:bCs/>
                <w:sz w:val="16"/>
                <w:szCs w:val="16"/>
              </w:rPr>
              <w:t>Opening balance/cash reserves at 1 July</w:t>
            </w:r>
            <w:r>
              <w:rPr>
                <w:rFonts w:ascii="Arial" w:hAnsi="Arial" w:cs="Arial"/>
                <w:b/>
                <w:bCs/>
                <w:sz w:val="16"/>
                <w:szCs w:val="16"/>
                <w:vertAlign w:val="superscript"/>
              </w:rPr>
              <w:t xml:space="preserve"> (a)</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5F3CE88A" w14:textId="77777777" w:rsidR="006C7E08" w:rsidRDefault="006C7E08" w:rsidP="006C7E08">
            <w:pPr>
              <w:spacing w:after="0"/>
              <w:jc w:val="right"/>
              <w:rPr>
                <w:rFonts w:ascii="Arial" w:hAnsi="Arial" w:cs="Arial"/>
                <w:sz w:val="16"/>
                <w:szCs w:val="16"/>
              </w:rPr>
            </w:pPr>
            <w:r>
              <w:rPr>
                <w:rFonts w:ascii="Arial" w:hAnsi="Arial" w:cs="Arial"/>
                <w:sz w:val="16"/>
                <w:szCs w:val="16"/>
              </w:rPr>
              <w:t>108,602</w:t>
            </w: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3EB1E0C2" w14:textId="77777777" w:rsidR="006C7E08" w:rsidRDefault="006C7E08" w:rsidP="006C7E08">
            <w:pPr>
              <w:spacing w:after="0"/>
              <w:jc w:val="right"/>
              <w:rPr>
                <w:rFonts w:ascii="Arial" w:hAnsi="Arial" w:cs="Arial"/>
                <w:sz w:val="16"/>
                <w:szCs w:val="16"/>
              </w:rPr>
            </w:pPr>
            <w:r>
              <w:rPr>
                <w:rFonts w:ascii="Arial" w:hAnsi="Arial" w:cs="Arial"/>
                <w:sz w:val="16"/>
                <w:szCs w:val="16"/>
              </w:rPr>
              <w:t>124,636</w:t>
            </w:r>
          </w:p>
        </w:tc>
      </w:tr>
      <w:tr w:rsidR="006C7E08" w14:paraId="6A6CE5A4" w14:textId="77777777" w:rsidTr="006C7E08">
        <w:trPr>
          <w:trHeight w:val="283"/>
          <w:jc w:val="center"/>
        </w:trPr>
        <w:tc>
          <w:tcPr>
            <w:tcW w:w="4649" w:type="dxa"/>
            <w:tcBorders>
              <w:top w:val="nil"/>
              <w:left w:val="nil"/>
              <w:bottom w:val="nil"/>
              <w:right w:val="nil"/>
            </w:tcBorders>
            <w:shd w:val="clear" w:color="auto" w:fill="auto"/>
            <w:noWrap/>
            <w:tcMar>
              <w:top w:w="15" w:type="dxa"/>
              <w:left w:w="15" w:type="dxa"/>
              <w:bottom w:w="0" w:type="dxa"/>
              <w:right w:w="15" w:type="dxa"/>
            </w:tcMar>
            <w:vAlign w:val="bottom"/>
            <w:hideMark/>
          </w:tcPr>
          <w:p w14:paraId="5B5F53E3" w14:textId="77777777" w:rsidR="006C7E08" w:rsidRDefault="006C7E08" w:rsidP="006C7E08">
            <w:pPr>
              <w:spacing w:after="0"/>
              <w:rPr>
                <w:rFonts w:ascii="Arial" w:hAnsi="Arial" w:cs="Arial"/>
                <w:b/>
                <w:bCs/>
                <w:sz w:val="16"/>
                <w:szCs w:val="16"/>
              </w:rPr>
            </w:pPr>
            <w:r>
              <w:rPr>
                <w:rFonts w:ascii="Arial" w:hAnsi="Arial" w:cs="Arial"/>
                <w:b/>
                <w:bCs/>
                <w:sz w:val="16"/>
                <w:szCs w:val="16"/>
              </w:rPr>
              <w:t>FUNDS FROM GOVERNMENT</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732200E1" w14:textId="77777777" w:rsidR="006C7E08" w:rsidRDefault="006C7E08" w:rsidP="006C7E08">
            <w:pPr>
              <w:spacing w:after="0"/>
              <w:rPr>
                <w:rFonts w:ascii="Arial" w:hAnsi="Arial" w:cs="Arial"/>
                <w:b/>
                <w:bCs/>
                <w:sz w:val="16"/>
                <w:szCs w:val="16"/>
              </w:rPr>
            </w:pP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7A88BAA2" w14:textId="77777777" w:rsidR="006C7E08" w:rsidRDefault="006C7E08" w:rsidP="006C7E08">
            <w:pPr>
              <w:spacing w:after="0"/>
              <w:jc w:val="right"/>
              <w:rPr>
                <w:rFonts w:ascii="Arial" w:hAnsi="Arial" w:cs="Arial"/>
                <w:sz w:val="16"/>
                <w:szCs w:val="16"/>
              </w:rPr>
            </w:pPr>
            <w:r>
              <w:rPr>
                <w:rFonts w:ascii="Arial" w:hAnsi="Arial" w:cs="Arial"/>
                <w:sz w:val="16"/>
                <w:szCs w:val="16"/>
              </w:rPr>
              <w:t> </w:t>
            </w:r>
          </w:p>
        </w:tc>
      </w:tr>
      <w:tr w:rsidR="006C7E08" w14:paraId="24258B11" w14:textId="77777777" w:rsidTr="006C7E08">
        <w:trPr>
          <w:trHeight w:val="225"/>
          <w:jc w:val="center"/>
        </w:trPr>
        <w:tc>
          <w:tcPr>
            <w:tcW w:w="4649" w:type="dxa"/>
            <w:tcBorders>
              <w:top w:val="nil"/>
              <w:left w:val="nil"/>
              <w:bottom w:val="nil"/>
              <w:right w:val="nil"/>
            </w:tcBorders>
            <w:shd w:val="clear" w:color="auto" w:fill="auto"/>
            <w:noWrap/>
            <w:tcMar>
              <w:top w:w="15" w:type="dxa"/>
              <w:left w:w="180" w:type="dxa"/>
              <w:bottom w:w="0" w:type="dxa"/>
              <w:right w:w="15" w:type="dxa"/>
            </w:tcMar>
            <w:vAlign w:val="bottom"/>
            <w:hideMark/>
          </w:tcPr>
          <w:p w14:paraId="6EB2AA1A" w14:textId="77777777" w:rsidR="006C7E08" w:rsidRDefault="006C7E08" w:rsidP="006C7E08">
            <w:pPr>
              <w:spacing w:after="0"/>
              <w:ind w:firstLineChars="100" w:firstLine="160"/>
              <w:rPr>
                <w:rFonts w:ascii="Arial" w:hAnsi="Arial" w:cs="Arial"/>
                <w:b/>
                <w:bCs/>
                <w:sz w:val="16"/>
                <w:szCs w:val="16"/>
              </w:rPr>
            </w:pPr>
            <w:r>
              <w:rPr>
                <w:rFonts w:ascii="Arial" w:hAnsi="Arial" w:cs="Arial"/>
                <w:b/>
                <w:bCs/>
                <w:sz w:val="16"/>
                <w:szCs w:val="16"/>
              </w:rPr>
              <w:t>Annual appropriations</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5734AC5E" w14:textId="77777777" w:rsidR="006C7E08" w:rsidRDefault="006C7E08" w:rsidP="006C7E08">
            <w:pPr>
              <w:spacing w:after="0"/>
              <w:ind w:firstLineChars="100" w:firstLine="160"/>
              <w:rPr>
                <w:rFonts w:ascii="Arial" w:hAnsi="Arial" w:cs="Arial"/>
                <w:b/>
                <w:bCs/>
                <w:sz w:val="16"/>
                <w:szCs w:val="16"/>
              </w:rPr>
            </w:pP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1AC574FB" w14:textId="77777777" w:rsidR="006C7E08" w:rsidRDefault="006C7E08" w:rsidP="006C7E08">
            <w:pPr>
              <w:spacing w:after="0"/>
              <w:jc w:val="right"/>
              <w:rPr>
                <w:rFonts w:ascii="Arial" w:hAnsi="Arial" w:cs="Arial"/>
                <w:sz w:val="16"/>
                <w:szCs w:val="16"/>
              </w:rPr>
            </w:pPr>
            <w:r>
              <w:rPr>
                <w:rFonts w:ascii="Arial" w:hAnsi="Arial" w:cs="Arial"/>
                <w:sz w:val="16"/>
                <w:szCs w:val="16"/>
              </w:rPr>
              <w:t> </w:t>
            </w:r>
          </w:p>
        </w:tc>
      </w:tr>
      <w:tr w:rsidR="006C7E08" w14:paraId="34541701" w14:textId="77777777" w:rsidTr="006C7E08">
        <w:trPr>
          <w:trHeight w:val="225"/>
          <w:jc w:val="center"/>
        </w:trPr>
        <w:tc>
          <w:tcPr>
            <w:tcW w:w="4649" w:type="dxa"/>
            <w:tcBorders>
              <w:top w:val="nil"/>
              <w:left w:val="nil"/>
              <w:bottom w:val="nil"/>
              <w:right w:val="nil"/>
            </w:tcBorders>
            <w:shd w:val="clear" w:color="auto" w:fill="auto"/>
            <w:noWrap/>
            <w:tcMar>
              <w:top w:w="15" w:type="dxa"/>
              <w:left w:w="360" w:type="dxa"/>
              <w:bottom w:w="0" w:type="dxa"/>
              <w:right w:w="15" w:type="dxa"/>
            </w:tcMar>
            <w:vAlign w:val="bottom"/>
            <w:hideMark/>
          </w:tcPr>
          <w:p w14:paraId="4F54C266" w14:textId="77777777" w:rsidR="006C7E08" w:rsidRDefault="006C7E08" w:rsidP="006C7E08">
            <w:pPr>
              <w:spacing w:after="0"/>
              <w:ind w:firstLineChars="200" w:firstLine="320"/>
              <w:rPr>
                <w:rFonts w:ascii="Arial" w:hAnsi="Arial" w:cs="Arial"/>
                <w:sz w:val="16"/>
                <w:szCs w:val="16"/>
              </w:rPr>
            </w:pPr>
            <w:r>
              <w:rPr>
                <w:rFonts w:ascii="Arial" w:hAnsi="Arial" w:cs="Arial"/>
                <w:sz w:val="16"/>
                <w:szCs w:val="16"/>
              </w:rPr>
              <w:t>Ordinary annual services</w:t>
            </w:r>
            <w:r>
              <w:rPr>
                <w:rFonts w:ascii="Arial" w:hAnsi="Arial" w:cs="Arial"/>
                <w:sz w:val="16"/>
                <w:szCs w:val="16"/>
                <w:vertAlign w:val="superscript"/>
              </w:rPr>
              <w:t xml:space="preserve"> (b)</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01B297E1" w14:textId="77777777" w:rsidR="006C7E08" w:rsidRDefault="006C7E08" w:rsidP="006C7E08">
            <w:pPr>
              <w:spacing w:after="0"/>
              <w:ind w:firstLineChars="200" w:firstLine="320"/>
              <w:rPr>
                <w:rFonts w:ascii="Arial" w:hAnsi="Arial" w:cs="Arial"/>
                <w:sz w:val="16"/>
                <w:szCs w:val="16"/>
              </w:rPr>
            </w:pP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3B793787" w14:textId="77777777" w:rsidR="006C7E08" w:rsidRDefault="006C7E08" w:rsidP="006C7E08">
            <w:pPr>
              <w:spacing w:after="0"/>
              <w:jc w:val="right"/>
              <w:rPr>
                <w:rFonts w:ascii="Arial" w:hAnsi="Arial" w:cs="Arial"/>
                <w:sz w:val="16"/>
                <w:szCs w:val="16"/>
              </w:rPr>
            </w:pPr>
            <w:r>
              <w:rPr>
                <w:rFonts w:ascii="Arial" w:hAnsi="Arial" w:cs="Arial"/>
                <w:sz w:val="16"/>
                <w:szCs w:val="16"/>
              </w:rPr>
              <w:t> </w:t>
            </w:r>
          </w:p>
        </w:tc>
      </w:tr>
      <w:tr w:rsidR="006C7E08" w14:paraId="32CD4E83" w14:textId="77777777" w:rsidTr="006C7E08">
        <w:trPr>
          <w:trHeight w:val="225"/>
          <w:jc w:val="center"/>
        </w:trPr>
        <w:tc>
          <w:tcPr>
            <w:tcW w:w="4649" w:type="dxa"/>
            <w:tcBorders>
              <w:top w:val="nil"/>
              <w:left w:val="nil"/>
              <w:bottom w:val="nil"/>
              <w:right w:val="nil"/>
            </w:tcBorders>
            <w:shd w:val="clear" w:color="auto" w:fill="auto"/>
            <w:noWrap/>
            <w:tcMar>
              <w:top w:w="15" w:type="dxa"/>
              <w:left w:w="540" w:type="dxa"/>
              <w:bottom w:w="0" w:type="dxa"/>
              <w:right w:w="15" w:type="dxa"/>
            </w:tcMar>
            <w:vAlign w:val="bottom"/>
            <w:hideMark/>
          </w:tcPr>
          <w:p w14:paraId="19034D7E" w14:textId="77777777" w:rsidR="006C7E08" w:rsidRDefault="006C7E08" w:rsidP="006C7E08">
            <w:pPr>
              <w:spacing w:after="0"/>
              <w:ind w:firstLineChars="300" w:firstLine="480"/>
              <w:rPr>
                <w:rFonts w:ascii="Arial" w:hAnsi="Arial" w:cs="Arial"/>
                <w:sz w:val="16"/>
                <w:szCs w:val="16"/>
              </w:rPr>
            </w:pPr>
            <w:r>
              <w:rPr>
                <w:rFonts w:ascii="Arial" w:hAnsi="Arial" w:cs="Arial"/>
                <w:sz w:val="16"/>
                <w:szCs w:val="16"/>
              </w:rPr>
              <w:t>Outcome 1</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2EC0A33B" w14:textId="77777777" w:rsidR="006C7E08" w:rsidRDefault="006C7E08" w:rsidP="006C7E08">
            <w:pPr>
              <w:spacing w:after="0"/>
              <w:jc w:val="right"/>
              <w:rPr>
                <w:rFonts w:ascii="Arial" w:hAnsi="Arial" w:cs="Arial"/>
                <w:sz w:val="16"/>
                <w:szCs w:val="16"/>
              </w:rPr>
            </w:pPr>
            <w:r>
              <w:rPr>
                <w:rFonts w:ascii="Arial" w:hAnsi="Arial" w:cs="Arial"/>
                <w:sz w:val="16"/>
                <w:szCs w:val="16"/>
              </w:rPr>
              <w:t>323,529</w:t>
            </w: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2F42DAB6" w14:textId="77777777" w:rsidR="006C7E08" w:rsidRDefault="006C7E08" w:rsidP="006C7E08">
            <w:pPr>
              <w:spacing w:after="0"/>
              <w:jc w:val="right"/>
              <w:rPr>
                <w:rFonts w:ascii="Arial" w:hAnsi="Arial" w:cs="Arial"/>
                <w:sz w:val="16"/>
                <w:szCs w:val="16"/>
              </w:rPr>
            </w:pPr>
            <w:r>
              <w:rPr>
                <w:rFonts w:ascii="Arial" w:hAnsi="Arial" w:cs="Arial"/>
                <w:sz w:val="16"/>
                <w:szCs w:val="16"/>
              </w:rPr>
              <w:t>337,870</w:t>
            </w:r>
          </w:p>
        </w:tc>
      </w:tr>
      <w:tr w:rsidR="006C7E08" w14:paraId="362717E5" w14:textId="77777777" w:rsidTr="006C7E08">
        <w:trPr>
          <w:trHeight w:val="255"/>
          <w:jc w:val="center"/>
        </w:trPr>
        <w:tc>
          <w:tcPr>
            <w:tcW w:w="4649" w:type="dxa"/>
            <w:tcBorders>
              <w:top w:val="nil"/>
              <w:left w:val="nil"/>
              <w:bottom w:val="nil"/>
              <w:right w:val="nil"/>
            </w:tcBorders>
            <w:shd w:val="clear" w:color="auto" w:fill="auto"/>
            <w:noWrap/>
            <w:tcMar>
              <w:top w:w="15" w:type="dxa"/>
              <w:left w:w="360" w:type="dxa"/>
              <w:bottom w:w="0" w:type="dxa"/>
              <w:right w:w="15" w:type="dxa"/>
            </w:tcMar>
            <w:vAlign w:val="bottom"/>
            <w:hideMark/>
          </w:tcPr>
          <w:p w14:paraId="0949BBA1" w14:textId="77777777" w:rsidR="006C7E08" w:rsidRDefault="006C7E08" w:rsidP="006C7E08">
            <w:pPr>
              <w:spacing w:after="0"/>
              <w:ind w:firstLineChars="200" w:firstLine="320"/>
              <w:rPr>
                <w:rFonts w:ascii="Arial" w:hAnsi="Arial" w:cs="Arial"/>
                <w:sz w:val="16"/>
                <w:szCs w:val="16"/>
              </w:rPr>
            </w:pPr>
            <w:r>
              <w:rPr>
                <w:rFonts w:ascii="Arial" w:hAnsi="Arial" w:cs="Arial"/>
                <w:sz w:val="16"/>
                <w:szCs w:val="16"/>
              </w:rPr>
              <w:t>Other services</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6CAFC044" w14:textId="77777777" w:rsidR="006C7E08" w:rsidRDefault="006C7E08" w:rsidP="006C7E08">
            <w:pPr>
              <w:spacing w:after="0"/>
              <w:ind w:firstLineChars="200" w:firstLine="320"/>
              <w:rPr>
                <w:rFonts w:ascii="Arial" w:hAnsi="Arial" w:cs="Arial"/>
                <w:sz w:val="16"/>
                <w:szCs w:val="16"/>
              </w:rPr>
            </w:pP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2D6FD40F" w14:textId="77777777" w:rsidR="006C7E08" w:rsidRDefault="006C7E08" w:rsidP="006C7E08">
            <w:pPr>
              <w:spacing w:after="0"/>
              <w:jc w:val="right"/>
              <w:rPr>
                <w:rFonts w:ascii="Arial" w:hAnsi="Arial" w:cs="Arial"/>
                <w:sz w:val="16"/>
                <w:szCs w:val="16"/>
              </w:rPr>
            </w:pPr>
            <w:r>
              <w:rPr>
                <w:rFonts w:ascii="Arial" w:hAnsi="Arial" w:cs="Arial"/>
                <w:sz w:val="16"/>
                <w:szCs w:val="16"/>
              </w:rPr>
              <w:t> </w:t>
            </w:r>
          </w:p>
        </w:tc>
      </w:tr>
      <w:tr w:rsidR="006C7E08" w14:paraId="740F6B8B" w14:textId="77777777" w:rsidTr="006C7E08">
        <w:trPr>
          <w:trHeight w:val="225"/>
          <w:jc w:val="center"/>
        </w:trPr>
        <w:tc>
          <w:tcPr>
            <w:tcW w:w="4649" w:type="dxa"/>
            <w:tcBorders>
              <w:top w:val="nil"/>
              <w:left w:val="nil"/>
              <w:bottom w:val="nil"/>
              <w:right w:val="nil"/>
            </w:tcBorders>
            <w:shd w:val="clear" w:color="auto" w:fill="auto"/>
            <w:noWrap/>
            <w:tcMar>
              <w:top w:w="15" w:type="dxa"/>
              <w:left w:w="540" w:type="dxa"/>
              <w:bottom w:w="0" w:type="dxa"/>
              <w:right w:w="15" w:type="dxa"/>
            </w:tcMar>
            <w:vAlign w:val="bottom"/>
            <w:hideMark/>
          </w:tcPr>
          <w:p w14:paraId="14CC7ADE" w14:textId="77777777" w:rsidR="006C7E08" w:rsidRDefault="006C7E08" w:rsidP="006C7E08">
            <w:pPr>
              <w:spacing w:after="0"/>
              <w:ind w:firstLineChars="300" w:firstLine="480"/>
              <w:rPr>
                <w:rFonts w:ascii="Arial" w:hAnsi="Arial" w:cs="Arial"/>
                <w:sz w:val="16"/>
                <w:szCs w:val="16"/>
              </w:rPr>
            </w:pPr>
            <w:r>
              <w:rPr>
                <w:rFonts w:ascii="Arial" w:hAnsi="Arial" w:cs="Arial"/>
                <w:sz w:val="16"/>
                <w:szCs w:val="16"/>
              </w:rPr>
              <w:t xml:space="preserve">Equity injection </w:t>
            </w:r>
            <w:r>
              <w:rPr>
                <w:rFonts w:ascii="Arial" w:hAnsi="Arial" w:cs="Arial"/>
                <w:sz w:val="16"/>
                <w:szCs w:val="16"/>
                <w:vertAlign w:val="superscript"/>
              </w:rPr>
              <w:t>(c)</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039265DA" w14:textId="77777777" w:rsidR="006C7E08" w:rsidRDefault="006C7E08" w:rsidP="006C7E08">
            <w:pPr>
              <w:spacing w:after="0"/>
              <w:jc w:val="right"/>
              <w:rPr>
                <w:rFonts w:ascii="Arial" w:hAnsi="Arial" w:cs="Arial"/>
                <w:sz w:val="16"/>
                <w:szCs w:val="16"/>
              </w:rPr>
            </w:pPr>
            <w:r>
              <w:rPr>
                <w:rFonts w:ascii="Arial" w:hAnsi="Arial" w:cs="Arial"/>
                <w:sz w:val="16"/>
                <w:szCs w:val="16"/>
              </w:rPr>
              <w:t>-</w:t>
            </w: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225A0F73" w14:textId="77777777" w:rsidR="006C7E08" w:rsidRDefault="006C7E08" w:rsidP="006C7E08">
            <w:pPr>
              <w:spacing w:after="0"/>
              <w:jc w:val="right"/>
              <w:rPr>
                <w:rFonts w:ascii="Arial" w:hAnsi="Arial" w:cs="Arial"/>
                <w:sz w:val="16"/>
                <w:szCs w:val="16"/>
              </w:rPr>
            </w:pPr>
            <w:r>
              <w:rPr>
                <w:rFonts w:ascii="Arial" w:hAnsi="Arial" w:cs="Arial"/>
                <w:sz w:val="16"/>
                <w:szCs w:val="16"/>
              </w:rPr>
              <w:t>10,334</w:t>
            </w:r>
          </w:p>
        </w:tc>
      </w:tr>
      <w:tr w:rsidR="006C7E08" w14:paraId="2480D24E" w14:textId="77777777" w:rsidTr="006C7E08">
        <w:trPr>
          <w:trHeight w:val="225"/>
          <w:jc w:val="center"/>
        </w:trPr>
        <w:tc>
          <w:tcPr>
            <w:tcW w:w="4649" w:type="dxa"/>
            <w:tcBorders>
              <w:top w:val="nil"/>
              <w:left w:val="nil"/>
              <w:bottom w:val="nil"/>
              <w:right w:val="nil"/>
            </w:tcBorders>
            <w:shd w:val="clear" w:color="auto" w:fill="auto"/>
            <w:noWrap/>
            <w:tcMar>
              <w:top w:w="15" w:type="dxa"/>
              <w:left w:w="360" w:type="dxa"/>
              <w:bottom w:w="0" w:type="dxa"/>
              <w:right w:w="15" w:type="dxa"/>
            </w:tcMar>
            <w:vAlign w:val="bottom"/>
            <w:hideMark/>
          </w:tcPr>
          <w:p w14:paraId="0E9D9941" w14:textId="77777777" w:rsidR="006C7E08" w:rsidRDefault="006C7E08" w:rsidP="006C7E08">
            <w:pPr>
              <w:spacing w:after="0"/>
              <w:ind w:firstLineChars="200" w:firstLine="320"/>
              <w:rPr>
                <w:rFonts w:ascii="Arial" w:hAnsi="Arial" w:cs="Arial"/>
                <w:b/>
                <w:bCs/>
                <w:sz w:val="16"/>
                <w:szCs w:val="16"/>
              </w:rPr>
            </w:pPr>
            <w:r>
              <w:rPr>
                <w:rFonts w:ascii="Arial" w:hAnsi="Arial" w:cs="Arial"/>
                <w:b/>
                <w:bCs/>
                <w:sz w:val="16"/>
                <w:szCs w:val="16"/>
              </w:rPr>
              <w:t>Total annual appropriations</w:t>
            </w:r>
          </w:p>
        </w:tc>
        <w:tc>
          <w:tcPr>
            <w:tcW w:w="13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F0CF980" w14:textId="77777777" w:rsidR="006C7E08" w:rsidRDefault="006C7E08" w:rsidP="006C7E08">
            <w:pPr>
              <w:spacing w:after="0"/>
              <w:jc w:val="right"/>
              <w:rPr>
                <w:rFonts w:ascii="Arial" w:hAnsi="Arial" w:cs="Arial"/>
                <w:b/>
                <w:bCs/>
                <w:sz w:val="16"/>
                <w:szCs w:val="16"/>
              </w:rPr>
            </w:pPr>
            <w:r>
              <w:rPr>
                <w:rFonts w:ascii="Arial" w:hAnsi="Arial" w:cs="Arial"/>
                <w:b/>
                <w:bCs/>
                <w:sz w:val="16"/>
                <w:szCs w:val="16"/>
              </w:rPr>
              <w:t>323,529</w:t>
            </w:r>
          </w:p>
        </w:tc>
        <w:tc>
          <w:tcPr>
            <w:tcW w:w="136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3FCC87C1" w14:textId="77777777" w:rsidR="006C7E08" w:rsidRDefault="006C7E08" w:rsidP="006C7E08">
            <w:pPr>
              <w:spacing w:after="0"/>
              <w:jc w:val="right"/>
              <w:rPr>
                <w:rFonts w:ascii="Arial" w:hAnsi="Arial" w:cs="Arial"/>
                <w:b/>
                <w:bCs/>
                <w:sz w:val="16"/>
                <w:szCs w:val="16"/>
              </w:rPr>
            </w:pPr>
            <w:r>
              <w:rPr>
                <w:rFonts w:ascii="Arial" w:hAnsi="Arial" w:cs="Arial"/>
                <w:b/>
                <w:bCs/>
                <w:sz w:val="16"/>
                <w:szCs w:val="16"/>
              </w:rPr>
              <w:t>348,204</w:t>
            </w:r>
          </w:p>
        </w:tc>
      </w:tr>
      <w:tr w:rsidR="006C7E08" w14:paraId="3163166A" w14:textId="77777777" w:rsidTr="006C7E08">
        <w:trPr>
          <w:trHeight w:val="283"/>
          <w:jc w:val="center"/>
        </w:trPr>
        <w:tc>
          <w:tcPr>
            <w:tcW w:w="4649" w:type="dxa"/>
            <w:tcBorders>
              <w:top w:val="nil"/>
              <w:left w:val="nil"/>
              <w:bottom w:val="nil"/>
              <w:right w:val="nil"/>
            </w:tcBorders>
            <w:shd w:val="clear" w:color="auto" w:fill="auto"/>
            <w:noWrap/>
            <w:tcMar>
              <w:top w:w="15" w:type="dxa"/>
              <w:left w:w="180" w:type="dxa"/>
              <w:bottom w:w="0" w:type="dxa"/>
              <w:right w:w="15" w:type="dxa"/>
            </w:tcMar>
            <w:vAlign w:val="bottom"/>
            <w:hideMark/>
          </w:tcPr>
          <w:p w14:paraId="7D10AFFB" w14:textId="77777777" w:rsidR="006C7E08" w:rsidRDefault="006C7E08" w:rsidP="006C7E08">
            <w:pPr>
              <w:spacing w:after="0"/>
              <w:ind w:firstLineChars="100" w:firstLine="160"/>
              <w:rPr>
                <w:rFonts w:ascii="Arial" w:hAnsi="Arial" w:cs="Arial"/>
                <w:b/>
                <w:bCs/>
                <w:sz w:val="16"/>
                <w:szCs w:val="16"/>
              </w:rPr>
            </w:pPr>
            <w:r>
              <w:rPr>
                <w:rFonts w:ascii="Arial" w:hAnsi="Arial" w:cs="Arial"/>
                <w:b/>
                <w:bCs/>
                <w:sz w:val="16"/>
                <w:szCs w:val="16"/>
              </w:rPr>
              <w:t>Total funds from Government</w:t>
            </w:r>
          </w:p>
        </w:tc>
        <w:tc>
          <w:tcPr>
            <w:tcW w:w="13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43C327D" w14:textId="77777777" w:rsidR="006C7E08" w:rsidRDefault="006C7E08" w:rsidP="006C7E08">
            <w:pPr>
              <w:spacing w:after="0"/>
              <w:jc w:val="right"/>
              <w:rPr>
                <w:rFonts w:ascii="Arial" w:hAnsi="Arial" w:cs="Arial"/>
                <w:b/>
                <w:bCs/>
                <w:sz w:val="16"/>
                <w:szCs w:val="16"/>
              </w:rPr>
            </w:pPr>
            <w:r>
              <w:rPr>
                <w:rFonts w:ascii="Arial" w:hAnsi="Arial" w:cs="Arial"/>
                <w:b/>
                <w:bCs/>
                <w:sz w:val="16"/>
                <w:szCs w:val="16"/>
              </w:rPr>
              <w:t>323,529</w:t>
            </w:r>
          </w:p>
        </w:tc>
        <w:tc>
          <w:tcPr>
            <w:tcW w:w="136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14699418" w14:textId="77777777" w:rsidR="006C7E08" w:rsidRDefault="006C7E08" w:rsidP="006C7E08">
            <w:pPr>
              <w:spacing w:after="0"/>
              <w:jc w:val="right"/>
              <w:rPr>
                <w:rFonts w:ascii="Arial" w:hAnsi="Arial" w:cs="Arial"/>
                <w:b/>
                <w:bCs/>
                <w:sz w:val="16"/>
                <w:szCs w:val="16"/>
              </w:rPr>
            </w:pPr>
            <w:r>
              <w:rPr>
                <w:rFonts w:ascii="Arial" w:hAnsi="Arial" w:cs="Arial"/>
                <w:b/>
                <w:bCs/>
                <w:sz w:val="16"/>
                <w:szCs w:val="16"/>
              </w:rPr>
              <w:t>348,204</w:t>
            </w:r>
          </w:p>
        </w:tc>
      </w:tr>
      <w:tr w:rsidR="006C7E08" w14:paraId="431E7925" w14:textId="77777777" w:rsidTr="006C7E08">
        <w:trPr>
          <w:trHeight w:val="283"/>
          <w:jc w:val="center"/>
        </w:trPr>
        <w:tc>
          <w:tcPr>
            <w:tcW w:w="4649" w:type="dxa"/>
            <w:tcBorders>
              <w:top w:val="nil"/>
              <w:left w:val="nil"/>
              <w:bottom w:val="nil"/>
              <w:right w:val="nil"/>
            </w:tcBorders>
            <w:shd w:val="clear" w:color="auto" w:fill="auto"/>
            <w:tcMar>
              <w:top w:w="15" w:type="dxa"/>
              <w:left w:w="15" w:type="dxa"/>
              <w:bottom w:w="0" w:type="dxa"/>
              <w:right w:w="15" w:type="dxa"/>
            </w:tcMar>
            <w:vAlign w:val="bottom"/>
            <w:hideMark/>
          </w:tcPr>
          <w:p w14:paraId="415FB51A" w14:textId="0375D106" w:rsidR="006C7E08" w:rsidRDefault="006C7E08" w:rsidP="006C7E08">
            <w:pPr>
              <w:spacing w:after="0"/>
              <w:rPr>
                <w:rFonts w:ascii="Arial" w:hAnsi="Arial" w:cs="Arial"/>
                <w:b/>
                <w:bCs/>
                <w:sz w:val="16"/>
                <w:szCs w:val="16"/>
              </w:rPr>
            </w:pPr>
            <w:r>
              <w:rPr>
                <w:rFonts w:ascii="Arial" w:hAnsi="Arial" w:cs="Arial"/>
                <w:b/>
                <w:bCs/>
                <w:sz w:val="16"/>
                <w:szCs w:val="16"/>
              </w:rPr>
              <w:t>Funds from other sources</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0FB3830F" w14:textId="77777777" w:rsidR="006C7E08" w:rsidRDefault="006C7E08" w:rsidP="006C7E08">
            <w:pPr>
              <w:spacing w:after="0"/>
              <w:rPr>
                <w:rFonts w:ascii="Arial" w:hAnsi="Arial" w:cs="Arial"/>
                <w:b/>
                <w:bCs/>
                <w:sz w:val="16"/>
                <w:szCs w:val="16"/>
              </w:rPr>
            </w:pP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74B79D67" w14:textId="77777777" w:rsidR="006C7E08" w:rsidRDefault="006C7E08" w:rsidP="006C7E08">
            <w:pPr>
              <w:spacing w:after="0"/>
              <w:jc w:val="right"/>
              <w:rPr>
                <w:rFonts w:ascii="Arial" w:hAnsi="Arial" w:cs="Arial"/>
                <w:sz w:val="16"/>
                <w:szCs w:val="16"/>
              </w:rPr>
            </w:pPr>
            <w:r>
              <w:rPr>
                <w:rFonts w:ascii="Arial" w:hAnsi="Arial" w:cs="Arial"/>
                <w:sz w:val="16"/>
                <w:szCs w:val="16"/>
              </w:rPr>
              <w:t> </w:t>
            </w:r>
          </w:p>
        </w:tc>
      </w:tr>
      <w:tr w:rsidR="006C7E08" w14:paraId="2F1B5C80" w14:textId="77777777" w:rsidTr="006C7E08">
        <w:trPr>
          <w:trHeight w:val="225"/>
          <w:jc w:val="center"/>
        </w:trPr>
        <w:tc>
          <w:tcPr>
            <w:tcW w:w="4649" w:type="dxa"/>
            <w:tcBorders>
              <w:top w:val="nil"/>
              <w:left w:val="nil"/>
              <w:bottom w:val="nil"/>
              <w:right w:val="nil"/>
            </w:tcBorders>
            <w:shd w:val="clear" w:color="auto" w:fill="auto"/>
            <w:noWrap/>
            <w:tcMar>
              <w:top w:w="15" w:type="dxa"/>
              <w:left w:w="180" w:type="dxa"/>
              <w:bottom w:w="0" w:type="dxa"/>
              <w:right w:w="15" w:type="dxa"/>
            </w:tcMar>
            <w:vAlign w:val="bottom"/>
            <w:hideMark/>
          </w:tcPr>
          <w:p w14:paraId="031A5CAF" w14:textId="77777777" w:rsidR="006C7E08" w:rsidRDefault="006C7E08" w:rsidP="006C7E08">
            <w:pPr>
              <w:spacing w:after="0"/>
              <w:ind w:firstLineChars="100" w:firstLine="160"/>
              <w:rPr>
                <w:rFonts w:ascii="Arial" w:hAnsi="Arial" w:cs="Arial"/>
                <w:sz w:val="16"/>
                <w:szCs w:val="16"/>
              </w:rPr>
            </w:pPr>
            <w:r>
              <w:rPr>
                <w:rFonts w:ascii="Arial" w:hAnsi="Arial" w:cs="Arial"/>
                <w:sz w:val="16"/>
                <w:szCs w:val="16"/>
              </w:rPr>
              <w:t>Interest</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256249B1" w14:textId="77777777" w:rsidR="006C7E08" w:rsidRDefault="006C7E08" w:rsidP="006C7E08">
            <w:pPr>
              <w:spacing w:after="0"/>
              <w:jc w:val="right"/>
              <w:rPr>
                <w:rFonts w:ascii="Arial" w:hAnsi="Arial" w:cs="Arial"/>
                <w:sz w:val="16"/>
                <w:szCs w:val="16"/>
              </w:rPr>
            </w:pPr>
            <w:r>
              <w:rPr>
                <w:rFonts w:ascii="Arial" w:hAnsi="Arial" w:cs="Arial"/>
                <w:sz w:val="16"/>
                <w:szCs w:val="16"/>
              </w:rPr>
              <w:t>549</w:t>
            </w: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46B1D3E9" w14:textId="77777777" w:rsidR="006C7E08" w:rsidRDefault="006C7E08" w:rsidP="006C7E08">
            <w:pPr>
              <w:spacing w:after="0"/>
              <w:jc w:val="right"/>
              <w:rPr>
                <w:rFonts w:ascii="Arial" w:hAnsi="Arial" w:cs="Arial"/>
                <w:sz w:val="16"/>
                <w:szCs w:val="16"/>
              </w:rPr>
            </w:pPr>
            <w:r>
              <w:rPr>
                <w:rFonts w:ascii="Arial" w:hAnsi="Arial" w:cs="Arial"/>
                <w:sz w:val="16"/>
                <w:szCs w:val="16"/>
              </w:rPr>
              <w:t>2,316</w:t>
            </w:r>
          </w:p>
        </w:tc>
      </w:tr>
      <w:tr w:rsidR="006C7E08" w14:paraId="3DCDB122" w14:textId="77777777" w:rsidTr="006C7E08">
        <w:trPr>
          <w:trHeight w:val="225"/>
          <w:jc w:val="center"/>
        </w:trPr>
        <w:tc>
          <w:tcPr>
            <w:tcW w:w="4649" w:type="dxa"/>
            <w:tcBorders>
              <w:top w:val="nil"/>
              <w:left w:val="nil"/>
              <w:bottom w:val="nil"/>
              <w:right w:val="nil"/>
            </w:tcBorders>
            <w:shd w:val="clear" w:color="auto" w:fill="auto"/>
            <w:noWrap/>
            <w:tcMar>
              <w:top w:w="15" w:type="dxa"/>
              <w:left w:w="180" w:type="dxa"/>
              <w:bottom w:w="0" w:type="dxa"/>
              <w:right w:w="15" w:type="dxa"/>
            </w:tcMar>
            <w:vAlign w:val="bottom"/>
            <w:hideMark/>
          </w:tcPr>
          <w:p w14:paraId="47B85F95" w14:textId="77777777" w:rsidR="006C7E08" w:rsidRDefault="006C7E08" w:rsidP="006C7E08">
            <w:pPr>
              <w:spacing w:after="0"/>
              <w:ind w:firstLineChars="100" w:firstLine="160"/>
              <w:rPr>
                <w:rFonts w:ascii="Arial" w:hAnsi="Arial" w:cs="Arial"/>
                <w:sz w:val="16"/>
                <w:szCs w:val="16"/>
              </w:rPr>
            </w:pPr>
            <w:r>
              <w:rPr>
                <w:rFonts w:ascii="Arial" w:hAnsi="Arial" w:cs="Arial"/>
                <w:sz w:val="16"/>
                <w:szCs w:val="16"/>
              </w:rPr>
              <w:t>Goods and services</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0737C31B" w14:textId="77777777" w:rsidR="006C7E08" w:rsidRDefault="006C7E08" w:rsidP="006C7E08">
            <w:pPr>
              <w:spacing w:after="0"/>
              <w:jc w:val="right"/>
              <w:rPr>
                <w:rFonts w:ascii="Arial" w:hAnsi="Arial" w:cs="Arial"/>
                <w:sz w:val="16"/>
                <w:szCs w:val="16"/>
              </w:rPr>
            </w:pPr>
            <w:r>
              <w:rPr>
                <w:rFonts w:ascii="Arial" w:hAnsi="Arial" w:cs="Arial"/>
                <w:sz w:val="16"/>
                <w:szCs w:val="16"/>
              </w:rPr>
              <w:t>13,695</w:t>
            </w: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01448C79" w14:textId="77777777" w:rsidR="006C7E08" w:rsidRDefault="006C7E08" w:rsidP="006C7E08">
            <w:pPr>
              <w:spacing w:after="0"/>
              <w:jc w:val="right"/>
              <w:rPr>
                <w:rFonts w:ascii="Arial" w:hAnsi="Arial" w:cs="Arial"/>
                <w:sz w:val="16"/>
                <w:szCs w:val="16"/>
              </w:rPr>
            </w:pPr>
            <w:r>
              <w:rPr>
                <w:rFonts w:ascii="Arial" w:hAnsi="Arial" w:cs="Arial"/>
                <w:sz w:val="16"/>
                <w:szCs w:val="16"/>
              </w:rPr>
              <w:t>15,571</w:t>
            </w:r>
          </w:p>
        </w:tc>
      </w:tr>
      <w:tr w:rsidR="006C7E08" w14:paraId="7297BF1D" w14:textId="77777777" w:rsidTr="006C7E08">
        <w:trPr>
          <w:trHeight w:val="225"/>
          <w:jc w:val="center"/>
        </w:trPr>
        <w:tc>
          <w:tcPr>
            <w:tcW w:w="4649" w:type="dxa"/>
            <w:tcBorders>
              <w:top w:val="nil"/>
              <w:left w:val="nil"/>
              <w:bottom w:val="nil"/>
              <w:right w:val="nil"/>
            </w:tcBorders>
            <w:shd w:val="clear" w:color="auto" w:fill="auto"/>
            <w:noWrap/>
            <w:tcMar>
              <w:top w:w="15" w:type="dxa"/>
              <w:left w:w="180" w:type="dxa"/>
              <w:bottom w:w="0" w:type="dxa"/>
              <w:right w:w="15" w:type="dxa"/>
            </w:tcMar>
            <w:vAlign w:val="bottom"/>
            <w:hideMark/>
          </w:tcPr>
          <w:p w14:paraId="17114184" w14:textId="77777777" w:rsidR="006C7E08" w:rsidRDefault="006C7E08" w:rsidP="006C7E08">
            <w:pPr>
              <w:spacing w:after="0"/>
              <w:ind w:firstLineChars="100" w:firstLine="160"/>
              <w:rPr>
                <w:rFonts w:ascii="Arial" w:hAnsi="Arial" w:cs="Arial"/>
                <w:sz w:val="16"/>
                <w:szCs w:val="16"/>
              </w:rPr>
            </w:pPr>
            <w:r>
              <w:rPr>
                <w:rFonts w:ascii="Arial" w:hAnsi="Arial" w:cs="Arial"/>
                <w:sz w:val="16"/>
                <w:szCs w:val="16"/>
              </w:rPr>
              <w:t>Contribution from Government entities</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0C0B33EE" w14:textId="77777777" w:rsidR="006C7E08" w:rsidRDefault="006C7E08" w:rsidP="006C7E08">
            <w:pPr>
              <w:spacing w:after="0"/>
              <w:jc w:val="right"/>
              <w:rPr>
                <w:rFonts w:ascii="Arial" w:hAnsi="Arial" w:cs="Arial"/>
                <w:sz w:val="16"/>
                <w:szCs w:val="16"/>
              </w:rPr>
            </w:pPr>
            <w:r>
              <w:rPr>
                <w:rFonts w:ascii="Arial" w:hAnsi="Arial" w:cs="Arial"/>
                <w:sz w:val="16"/>
                <w:szCs w:val="16"/>
              </w:rPr>
              <w:t>13,413</w:t>
            </w: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24D3F62C" w14:textId="77777777" w:rsidR="006C7E08" w:rsidRDefault="006C7E08" w:rsidP="006C7E08">
            <w:pPr>
              <w:spacing w:after="0"/>
              <w:jc w:val="right"/>
              <w:rPr>
                <w:rFonts w:ascii="Arial" w:hAnsi="Arial" w:cs="Arial"/>
                <w:sz w:val="16"/>
                <w:szCs w:val="16"/>
              </w:rPr>
            </w:pPr>
            <w:r>
              <w:rPr>
                <w:rFonts w:ascii="Arial" w:hAnsi="Arial" w:cs="Arial"/>
                <w:sz w:val="16"/>
                <w:szCs w:val="16"/>
              </w:rPr>
              <w:t>7,518</w:t>
            </w:r>
          </w:p>
        </w:tc>
      </w:tr>
      <w:tr w:rsidR="006C7E08" w14:paraId="16EDAD91" w14:textId="77777777" w:rsidTr="006C7E08">
        <w:trPr>
          <w:trHeight w:val="225"/>
          <w:jc w:val="center"/>
        </w:trPr>
        <w:tc>
          <w:tcPr>
            <w:tcW w:w="4649" w:type="dxa"/>
            <w:tcBorders>
              <w:top w:val="nil"/>
              <w:left w:val="nil"/>
              <w:bottom w:val="nil"/>
              <w:right w:val="nil"/>
            </w:tcBorders>
            <w:shd w:val="clear" w:color="auto" w:fill="auto"/>
            <w:noWrap/>
            <w:tcMar>
              <w:top w:w="15" w:type="dxa"/>
              <w:left w:w="180" w:type="dxa"/>
              <w:bottom w:w="0" w:type="dxa"/>
              <w:right w:w="15" w:type="dxa"/>
            </w:tcMar>
            <w:vAlign w:val="bottom"/>
            <w:hideMark/>
          </w:tcPr>
          <w:p w14:paraId="428BA02A" w14:textId="77777777" w:rsidR="006C7E08" w:rsidRDefault="006C7E08" w:rsidP="006C7E08">
            <w:pPr>
              <w:spacing w:after="0"/>
              <w:ind w:firstLineChars="100" w:firstLine="160"/>
              <w:rPr>
                <w:rFonts w:ascii="Arial" w:hAnsi="Arial" w:cs="Arial"/>
                <w:b/>
                <w:bCs/>
                <w:sz w:val="16"/>
                <w:szCs w:val="16"/>
              </w:rPr>
            </w:pPr>
            <w:r>
              <w:rPr>
                <w:rFonts w:ascii="Arial" w:hAnsi="Arial" w:cs="Arial"/>
                <w:b/>
                <w:bCs/>
                <w:sz w:val="16"/>
                <w:szCs w:val="16"/>
              </w:rPr>
              <w:t>Total funds from other sources</w:t>
            </w:r>
          </w:p>
        </w:tc>
        <w:tc>
          <w:tcPr>
            <w:tcW w:w="13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18C4301" w14:textId="77777777" w:rsidR="006C7E08" w:rsidRDefault="006C7E08" w:rsidP="006C7E08">
            <w:pPr>
              <w:spacing w:after="0"/>
              <w:jc w:val="right"/>
              <w:rPr>
                <w:rFonts w:ascii="Arial" w:hAnsi="Arial" w:cs="Arial"/>
                <w:b/>
                <w:bCs/>
                <w:sz w:val="16"/>
                <w:szCs w:val="16"/>
              </w:rPr>
            </w:pPr>
            <w:r>
              <w:rPr>
                <w:rFonts w:ascii="Arial" w:hAnsi="Arial" w:cs="Arial"/>
                <w:b/>
                <w:bCs/>
                <w:sz w:val="16"/>
                <w:szCs w:val="16"/>
              </w:rPr>
              <w:t>27,657</w:t>
            </w:r>
          </w:p>
        </w:tc>
        <w:tc>
          <w:tcPr>
            <w:tcW w:w="136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7CF3255F" w14:textId="77777777" w:rsidR="006C7E08" w:rsidRDefault="006C7E08" w:rsidP="006C7E08">
            <w:pPr>
              <w:spacing w:after="0"/>
              <w:jc w:val="right"/>
              <w:rPr>
                <w:rFonts w:ascii="Arial" w:hAnsi="Arial" w:cs="Arial"/>
                <w:b/>
                <w:bCs/>
                <w:sz w:val="16"/>
                <w:szCs w:val="16"/>
              </w:rPr>
            </w:pPr>
            <w:r>
              <w:rPr>
                <w:rFonts w:ascii="Arial" w:hAnsi="Arial" w:cs="Arial"/>
                <w:b/>
                <w:bCs/>
                <w:sz w:val="16"/>
                <w:szCs w:val="16"/>
              </w:rPr>
              <w:t>25,405</w:t>
            </w:r>
          </w:p>
        </w:tc>
      </w:tr>
      <w:tr w:rsidR="006C7E08" w14:paraId="2596A2CB" w14:textId="77777777" w:rsidTr="006C7E08">
        <w:trPr>
          <w:trHeight w:val="283"/>
          <w:jc w:val="center"/>
        </w:trPr>
        <w:tc>
          <w:tcPr>
            <w:tcW w:w="464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7286307" w14:textId="77777777" w:rsidR="006C7E08" w:rsidRDefault="006C7E08" w:rsidP="006C7E08">
            <w:pPr>
              <w:spacing w:after="0"/>
              <w:rPr>
                <w:rFonts w:ascii="Arial" w:hAnsi="Arial" w:cs="Arial"/>
                <w:b/>
                <w:bCs/>
                <w:sz w:val="16"/>
                <w:szCs w:val="16"/>
              </w:rPr>
            </w:pPr>
            <w:r>
              <w:rPr>
                <w:rFonts w:ascii="Arial" w:hAnsi="Arial" w:cs="Arial"/>
                <w:b/>
                <w:bCs/>
                <w:sz w:val="16"/>
                <w:szCs w:val="16"/>
              </w:rPr>
              <w:t>Total net resourcing for ASC</w:t>
            </w:r>
          </w:p>
        </w:tc>
        <w:tc>
          <w:tcPr>
            <w:tcW w:w="13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36BC4BC" w14:textId="77777777" w:rsidR="006C7E08" w:rsidRDefault="006C7E08" w:rsidP="006C7E08">
            <w:pPr>
              <w:spacing w:after="0"/>
              <w:jc w:val="right"/>
              <w:rPr>
                <w:rFonts w:ascii="Arial" w:hAnsi="Arial" w:cs="Arial"/>
                <w:b/>
                <w:bCs/>
                <w:sz w:val="16"/>
                <w:szCs w:val="16"/>
              </w:rPr>
            </w:pPr>
            <w:r>
              <w:rPr>
                <w:rFonts w:ascii="Arial" w:hAnsi="Arial" w:cs="Arial"/>
                <w:b/>
                <w:bCs/>
                <w:sz w:val="16"/>
                <w:szCs w:val="16"/>
              </w:rPr>
              <w:t>459,788</w:t>
            </w:r>
          </w:p>
        </w:tc>
        <w:tc>
          <w:tcPr>
            <w:tcW w:w="136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786714D2" w14:textId="77777777" w:rsidR="006C7E08" w:rsidRDefault="006C7E08" w:rsidP="006C7E08">
            <w:pPr>
              <w:spacing w:after="0"/>
              <w:jc w:val="right"/>
              <w:rPr>
                <w:rFonts w:ascii="Arial" w:hAnsi="Arial" w:cs="Arial"/>
                <w:b/>
                <w:bCs/>
                <w:sz w:val="16"/>
                <w:szCs w:val="16"/>
              </w:rPr>
            </w:pPr>
            <w:r>
              <w:rPr>
                <w:rFonts w:ascii="Arial" w:hAnsi="Arial" w:cs="Arial"/>
                <w:b/>
                <w:bCs/>
                <w:sz w:val="16"/>
                <w:szCs w:val="16"/>
              </w:rPr>
              <w:t>498,245</w:t>
            </w:r>
          </w:p>
        </w:tc>
      </w:tr>
      <w:tr w:rsidR="006C7E08" w14:paraId="337A5413" w14:textId="77777777" w:rsidTr="00EF25E1">
        <w:trPr>
          <w:trHeight w:val="225"/>
          <w:jc w:val="center"/>
        </w:trPr>
        <w:tc>
          <w:tcPr>
            <w:tcW w:w="464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EF00BCE" w14:textId="77777777" w:rsidR="006C7E08" w:rsidRDefault="006C7E08" w:rsidP="006C7E08">
            <w:pPr>
              <w:spacing w:after="0"/>
              <w:jc w:val="right"/>
              <w:rPr>
                <w:rFonts w:ascii="Arial" w:hAnsi="Arial" w:cs="Arial"/>
                <w:b/>
                <w:bCs/>
                <w:sz w:val="16"/>
                <w:szCs w:val="16"/>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7A01B14E" w14:textId="77777777" w:rsidR="006C7E08" w:rsidRDefault="006C7E08" w:rsidP="006C7E08">
            <w:pPr>
              <w:spacing w:after="0"/>
              <w:rPr>
                <w:sz w:val="20"/>
              </w:rPr>
            </w:pPr>
          </w:p>
        </w:tc>
        <w:tc>
          <w:tcPr>
            <w:tcW w:w="136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DFBE483" w14:textId="77777777" w:rsidR="006C7E08" w:rsidRDefault="006C7E08" w:rsidP="006C7E08">
            <w:pPr>
              <w:spacing w:after="0"/>
              <w:jc w:val="right"/>
              <w:rPr>
                <w:rFonts w:ascii="Arial" w:hAnsi="Arial" w:cs="Arial"/>
                <w:b/>
                <w:bCs/>
                <w:sz w:val="16"/>
                <w:szCs w:val="16"/>
              </w:rPr>
            </w:pPr>
            <w:r>
              <w:rPr>
                <w:rFonts w:ascii="Arial" w:hAnsi="Arial" w:cs="Arial"/>
                <w:b/>
                <w:bCs/>
                <w:sz w:val="16"/>
                <w:szCs w:val="16"/>
              </w:rPr>
              <w:t> </w:t>
            </w:r>
          </w:p>
        </w:tc>
      </w:tr>
      <w:tr w:rsidR="006C7E08" w14:paraId="6CDB7240" w14:textId="77777777" w:rsidTr="00EF25E1">
        <w:trPr>
          <w:trHeight w:val="225"/>
          <w:jc w:val="center"/>
        </w:trPr>
        <w:tc>
          <w:tcPr>
            <w:tcW w:w="4649"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76F8389D" w14:textId="77777777" w:rsidR="006C7E08" w:rsidRDefault="006C7E08" w:rsidP="006C7E08">
            <w:pPr>
              <w:spacing w:after="0"/>
              <w:jc w:val="right"/>
              <w:rPr>
                <w:rFonts w:ascii="Arial" w:hAnsi="Arial" w:cs="Arial"/>
                <w:b/>
                <w:bCs/>
                <w:sz w:val="16"/>
                <w:szCs w:val="16"/>
              </w:rPr>
            </w:pPr>
          </w:p>
        </w:tc>
        <w:tc>
          <w:tcPr>
            <w:tcW w:w="1360" w:type="dxa"/>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hideMark/>
          </w:tcPr>
          <w:p w14:paraId="2BA0C577" w14:textId="77777777" w:rsidR="006C7E08" w:rsidRDefault="006C7E08" w:rsidP="006C7E08">
            <w:pPr>
              <w:spacing w:after="0"/>
              <w:jc w:val="right"/>
              <w:rPr>
                <w:rFonts w:ascii="Arial" w:hAnsi="Arial" w:cs="Arial"/>
                <w:b/>
                <w:bCs/>
                <w:sz w:val="16"/>
                <w:szCs w:val="16"/>
              </w:rPr>
            </w:pPr>
            <w:r>
              <w:rPr>
                <w:rFonts w:ascii="Arial" w:hAnsi="Arial" w:cs="Arial"/>
                <w:b/>
                <w:bCs/>
                <w:sz w:val="16"/>
                <w:szCs w:val="16"/>
              </w:rPr>
              <w:t>2021–22</w:t>
            </w:r>
          </w:p>
        </w:tc>
        <w:tc>
          <w:tcPr>
            <w:tcW w:w="1360" w:type="dxa"/>
            <w:tcBorders>
              <w:top w:val="single" w:sz="4" w:space="0" w:color="000000"/>
              <w:left w:val="nil"/>
              <w:bottom w:val="single" w:sz="4" w:space="0" w:color="000000"/>
              <w:right w:val="nil"/>
            </w:tcBorders>
            <w:shd w:val="clear" w:color="000000" w:fill="D9D9D9"/>
            <w:noWrap/>
            <w:tcMar>
              <w:top w:w="15" w:type="dxa"/>
              <w:left w:w="15" w:type="dxa"/>
              <w:bottom w:w="0" w:type="dxa"/>
              <w:right w:w="15" w:type="dxa"/>
            </w:tcMar>
            <w:vAlign w:val="bottom"/>
            <w:hideMark/>
          </w:tcPr>
          <w:p w14:paraId="51C42565" w14:textId="77777777" w:rsidR="006C7E08" w:rsidRDefault="006C7E08" w:rsidP="006C7E08">
            <w:pPr>
              <w:spacing w:after="0"/>
              <w:jc w:val="right"/>
              <w:rPr>
                <w:rFonts w:ascii="Arial" w:hAnsi="Arial" w:cs="Arial"/>
                <w:b/>
                <w:bCs/>
                <w:sz w:val="16"/>
                <w:szCs w:val="16"/>
              </w:rPr>
            </w:pPr>
            <w:r>
              <w:rPr>
                <w:rFonts w:ascii="Arial" w:hAnsi="Arial" w:cs="Arial"/>
                <w:b/>
                <w:bCs/>
                <w:sz w:val="16"/>
                <w:szCs w:val="16"/>
              </w:rPr>
              <w:t>2022–23</w:t>
            </w:r>
          </w:p>
        </w:tc>
      </w:tr>
      <w:tr w:rsidR="006C7E08" w14:paraId="0D65DCDF" w14:textId="77777777" w:rsidTr="006C7E08">
        <w:trPr>
          <w:trHeight w:val="225"/>
          <w:jc w:val="center"/>
        </w:trPr>
        <w:tc>
          <w:tcPr>
            <w:tcW w:w="464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9BAE3EE" w14:textId="77777777" w:rsidR="006C7E08" w:rsidRDefault="006C7E08" w:rsidP="006C7E08">
            <w:pPr>
              <w:spacing w:after="0"/>
              <w:rPr>
                <w:rFonts w:ascii="Arial" w:hAnsi="Arial" w:cs="Arial"/>
                <w:b/>
                <w:bCs/>
                <w:sz w:val="16"/>
                <w:szCs w:val="16"/>
              </w:rPr>
            </w:pPr>
            <w:r>
              <w:rPr>
                <w:rFonts w:ascii="Arial" w:hAnsi="Arial" w:cs="Arial"/>
                <w:b/>
                <w:bCs/>
                <w:sz w:val="16"/>
                <w:szCs w:val="16"/>
              </w:rPr>
              <w:t>Average staffing level (number)</w:t>
            </w:r>
          </w:p>
        </w:tc>
        <w:tc>
          <w:tcPr>
            <w:tcW w:w="1360" w:type="dxa"/>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51C703D7" w14:textId="77777777" w:rsidR="006C7E08" w:rsidRDefault="006C7E08" w:rsidP="006C7E08">
            <w:pPr>
              <w:spacing w:after="0"/>
              <w:jc w:val="right"/>
              <w:rPr>
                <w:rFonts w:ascii="Arial" w:hAnsi="Arial" w:cs="Arial"/>
                <w:color w:val="auto"/>
                <w:sz w:val="16"/>
                <w:szCs w:val="16"/>
              </w:rPr>
            </w:pPr>
            <w:r>
              <w:rPr>
                <w:rFonts w:ascii="Arial" w:hAnsi="Arial" w:cs="Arial"/>
                <w:sz w:val="16"/>
                <w:szCs w:val="16"/>
              </w:rPr>
              <w:t>454</w:t>
            </w:r>
          </w:p>
        </w:tc>
        <w:tc>
          <w:tcPr>
            <w:tcW w:w="136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5AEB3BE6" w14:textId="77777777" w:rsidR="006C7E08" w:rsidRDefault="006C7E08" w:rsidP="006C7E08">
            <w:pPr>
              <w:spacing w:after="0"/>
              <w:jc w:val="right"/>
              <w:rPr>
                <w:rFonts w:ascii="Arial" w:hAnsi="Arial" w:cs="Arial"/>
                <w:sz w:val="16"/>
                <w:szCs w:val="16"/>
              </w:rPr>
            </w:pPr>
            <w:r>
              <w:rPr>
                <w:rFonts w:ascii="Arial" w:hAnsi="Arial" w:cs="Arial"/>
                <w:sz w:val="16"/>
                <w:szCs w:val="16"/>
              </w:rPr>
              <w:t>494</w:t>
            </w:r>
          </w:p>
        </w:tc>
      </w:tr>
    </w:tbl>
    <w:p w14:paraId="66673AAF" w14:textId="25564D72" w:rsidR="006C7E08" w:rsidRDefault="006C7E08" w:rsidP="006C7E08">
      <w:pPr>
        <w:pStyle w:val="FootnoteText"/>
        <w:spacing w:before="120"/>
      </w:pPr>
      <w:r>
        <w:t>All figures are GST exclusive.</w:t>
      </w:r>
    </w:p>
    <w:p w14:paraId="214347CF" w14:textId="2A7CBE32" w:rsidR="006C7E08" w:rsidRDefault="006C7E08" w:rsidP="006C7E08">
      <w:pPr>
        <w:pStyle w:val="FootnoteText"/>
        <w:tabs>
          <w:tab w:val="clear" w:pos="284"/>
          <w:tab w:val="left" w:pos="0"/>
        </w:tabs>
        <w:ind w:left="0" w:firstLine="0"/>
      </w:pPr>
      <w:r>
        <w:t>The ASC is not directly appropriated as it is a corporate Commonwealth entity. Appropriations are made to the Department of Health</w:t>
      </w:r>
      <w:r w:rsidR="00A50E72">
        <w:t xml:space="preserve"> and Aged Care</w:t>
      </w:r>
      <w:r>
        <w:t>, which are then paid to the ASC and are considered 'departmental' for all purposes</w:t>
      </w:r>
      <w:r w:rsidR="00A50E72">
        <w:t>.</w:t>
      </w:r>
    </w:p>
    <w:p w14:paraId="2D2689D2" w14:textId="682A0492" w:rsidR="006C7E08" w:rsidRDefault="006C7E08" w:rsidP="006C7E08">
      <w:pPr>
        <w:pStyle w:val="FootnoteText"/>
      </w:pPr>
      <w:r w:rsidRPr="006C7E08">
        <w:rPr>
          <w:vertAlign w:val="superscript"/>
        </w:rPr>
        <w:t>(a)</w:t>
      </w:r>
      <w:r>
        <w:tab/>
        <w:t>Includes cash and investments.</w:t>
      </w:r>
    </w:p>
    <w:p w14:paraId="3A820AEA" w14:textId="22307336" w:rsidR="006C7E08" w:rsidRDefault="006C7E08" w:rsidP="006C7E08">
      <w:pPr>
        <w:pStyle w:val="FootnoteText"/>
      </w:pPr>
      <w:r w:rsidRPr="006C7E08">
        <w:rPr>
          <w:vertAlign w:val="superscript"/>
        </w:rPr>
        <w:t>(b)</w:t>
      </w:r>
      <w:r w:rsidRPr="006C7E08">
        <w:rPr>
          <w:vertAlign w:val="superscript"/>
        </w:rPr>
        <w:tab/>
      </w:r>
      <w:r>
        <w:t>Appropriation Bill (No. 1) 2022–23.</w:t>
      </w:r>
    </w:p>
    <w:p w14:paraId="37BFBF47" w14:textId="4D9F3C68" w:rsidR="006C7E08" w:rsidRDefault="006C7E08" w:rsidP="006C7E08">
      <w:pPr>
        <w:pStyle w:val="FootnoteText"/>
      </w:pPr>
      <w:r w:rsidRPr="006C7E08">
        <w:rPr>
          <w:vertAlign w:val="superscript"/>
        </w:rPr>
        <w:t>(c)</w:t>
      </w:r>
      <w:r>
        <w:tab/>
        <w:t>Appropriation Bill (No. 2) 2022–23.</w:t>
      </w:r>
    </w:p>
    <w:p w14:paraId="45DF979E" w14:textId="77777777" w:rsidR="006C7E08" w:rsidRDefault="006C7E08">
      <w:pPr>
        <w:spacing w:after="160" w:line="259" w:lineRule="auto"/>
        <w:rPr>
          <w:rFonts w:ascii="Arial Bold" w:hAnsi="Arial Bold"/>
          <w:b/>
          <w:color w:val="auto"/>
          <w:sz w:val="22"/>
        </w:rPr>
      </w:pPr>
      <w:r>
        <w:br w:type="page"/>
      </w:r>
    </w:p>
    <w:p w14:paraId="40E8E916" w14:textId="5219E128" w:rsidR="0024539A" w:rsidRPr="0089004B" w:rsidRDefault="0024539A" w:rsidP="00980201">
      <w:pPr>
        <w:pStyle w:val="Heading3"/>
      </w:pPr>
      <w:bookmarkStart w:id="3" w:name="_Toc117406957"/>
      <w:r w:rsidRPr="0089004B">
        <w:lastRenderedPageBreak/>
        <w:t>1.3</w:t>
      </w:r>
      <w:r w:rsidRPr="0089004B">
        <w:tab/>
        <w:t xml:space="preserve">Budget </w:t>
      </w:r>
      <w:r w:rsidR="00BA0F94">
        <w:t>m</w:t>
      </w:r>
      <w:r w:rsidRPr="0089004B">
        <w:t>easures</w:t>
      </w:r>
      <w:bookmarkEnd w:id="3"/>
    </w:p>
    <w:p w14:paraId="4242D552" w14:textId="77777777" w:rsidR="00E01FD3" w:rsidRPr="0089004B" w:rsidRDefault="00E01FD3" w:rsidP="00E01FD3">
      <w:pPr>
        <w:rPr>
          <w:color w:val="auto"/>
        </w:rPr>
      </w:pPr>
      <w:r w:rsidRPr="0089004B">
        <w:rPr>
          <w:color w:val="auto"/>
        </w:rPr>
        <w:t xml:space="preserve">Budget measures in Part 1 relating to the ASC are detailed in </w:t>
      </w:r>
      <w:r w:rsidRPr="00E36D0C">
        <w:rPr>
          <w:i/>
          <w:color w:val="auto"/>
        </w:rPr>
        <w:t>Budget Paper No. 2</w:t>
      </w:r>
      <w:r w:rsidRPr="0089004B">
        <w:rPr>
          <w:color w:val="auto"/>
        </w:rPr>
        <w:t xml:space="preserve"> and are summarised below.</w:t>
      </w:r>
    </w:p>
    <w:p w14:paraId="18FE8CF3" w14:textId="6CB7276A" w:rsidR="00E01FD3" w:rsidRDefault="00DE128A" w:rsidP="00E01FD3">
      <w:pPr>
        <w:pStyle w:val="Tablenumberandreference"/>
        <w:rPr>
          <w:color w:val="auto"/>
        </w:rPr>
      </w:pPr>
      <w:r>
        <w:rPr>
          <w:color w:val="auto"/>
        </w:rPr>
        <w:t xml:space="preserve">Table 1.2: ASC </w:t>
      </w:r>
      <w:r w:rsidR="00A50E72">
        <w:rPr>
          <w:color w:val="auto"/>
        </w:rPr>
        <w:t xml:space="preserve">October </w:t>
      </w:r>
      <w:r>
        <w:rPr>
          <w:color w:val="auto"/>
        </w:rPr>
        <w:t>202</w:t>
      </w:r>
      <w:r w:rsidR="003D6D39">
        <w:rPr>
          <w:color w:val="auto"/>
        </w:rPr>
        <w:t>2</w:t>
      </w:r>
      <w:r>
        <w:rPr>
          <w:color w:val="auto"/>
        </w:rPr>
        <w:t>–</w:t>
      </w:r>
      <w:r w:rsidR="00E01FD3" w:rsidRPr="0089004B">
        <w:rPr>
          <w:color w:val="auto"/>
        </w:rPr>
        <w:t>2</w:t>
      </w:r>
      <w:r w:rsidR="003D6D39">
        <w:rPr>
          <w:color w:val="auto"/>
        </w:rPr>
        <w:t>3</w:t>
      </w:r>
      <w:r w:rsidR="00E01FD3" w:rsidRPr="0089004B">
        <w:rPr>
          <w:color w:val="auto"/>
        </w:rPr>
        <w:t xml:space="preserve"> Budget </w:t>
      </w:r>
      <w:r w:rsidR="00BA0F94">
        <w:rPr>
          <w:color w:val="auto"/>
        </w:rPr>
        <w:t>m</w:t>
      </w:r>
      <w:r w:rsidR="00E01FD3" w:rsidRPr="0089004B">
        <w:rPr>
          <w:color w:val="auto"/>
        </w:rPr>
        <w:t>easures</w:t>
      </w:r>
    </w:p>
    <w:p w14:paraId="67F685F8" w14:textId="77777777" w:rsidR="00F173CE" w:rsidRPr="003203FF" w:rsidRDefault="00F173CE" w:rsidP="00F173CE">
      <w:pPr>
        <w:pStyle w:val="Tablenumberandreference"/>
        <w:rPr>
          <w:sz w:val="19"/>
          <w:szCs w:val="19"/>
        </w:rPr>
      </w:pPr>
      <w:r w:rsidRPr="003203FF">
        <w:rPr>
          <w:sz w:val="19"/>
          <w:szCs w:val="19"/>
        </w:rPr>
        <w:t>Part 1: Measures announced since the March 2022–23 Budget</w:t>
      </w:r>
    </w:p>
    <w:tbl>
      <w:tblPr>
        <w:tblW w:w="7420" w:type="dxa"/>
        <w:tblLayout w:type="fixed"/>
        <w:tblLook w:val="04A0" w:firstRow="1" w:lastRow="0" w:firstColumn="1" w:lastColumn="0" w:noHBand="0" w:noVBand="1"/>
      </w:tblPr>
      <w:tblGrid>
        <w:gridCol w:w="2140"/>
        <w:gridCol w:w="880"/>
        <w:gridCol w:w="880"/>
        <w:gridCol w:w="880"/>
        <w:gridCol w:w="880"/>
        <w:gridCol w:w="880"/>
        <w:gridCol w:w="880"/>
      </w:tblGrid>
      <w:tr w:rsidR="005E610C" w:rsidRPr="005E610C" w14:paraId="71276466" w14:textId="77777777" w:rsidTr="007B2118">
        <w:trPr>
          <w:trHeight w:val="320"/>
        </w:trPr>
        <w:tc>
          <w:tcPr>
            <w:tcW w:w="2140" w:type="dxa"/>
            <w:tcBorders>
              <w:top w:val="single" w:sz="4" w:space="0" w:color="auto"/>
              <w:left w:val="nil"/>
              <w:bottom w:val="nil"/>
              <w:right w:val="nil"/>
            </w:tcBorders>
            <w:shd w:val="clear" w:color="auto" w:fill="auto"/>
            <w:noWrap/>
            <w:hideMark/>
          </w:tcPr>
          <w:p w14:paraId="68720831" w14:textId="77777777" w:rsidR="005E610C" w:rsidRPr="005E610C" w:rsidRDefault="005E610C" w:rsidP="005E610C">
            <w:pPr>
              <w:spacing w:before="40" w:after="0"/>
              <w:jc w:val="right"/>
              <w:rPr>
                <w:rFonts w:ascii="Arial" w:hAnsi="Arial" w:cs="Arial"/>
                <w:color w:val="auto"/>
                <w:sz w:val="16"/>
                <w:szCs w:val="16"/>
              </w:rPr>
            </w:pPr>
            <w:r w:rsidRPr="005E610C">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79B13C41" w14:textId="77777777" w:rsidR="005E610C" w:rsidRPr="005E610C" w:rsidRDefault="005E610C" w:rsidP="005E610C">
            <w:pPr>
              <w:spacing w:before="40" w:after="0"/>
              <w:jc w:val="right"/>
              <w:rPr>
                <w:rFonts w:ascii="Arial" w:hAnsi="Arial" w:cs="Arial"/>
                <w:b/>
                <w:bCs/>
                <w:color w:val="auto"/>
                <w:sz w:val="16"/>
                <w:szCs w:val="16"/>
              </w:rPr>
            </w:pPr>
            <w:r w:rsidRPr="005E610C">
              <w:rPr>
                <w:rFonts w:ascii="Arial" w:hAnsi="Arial" w:cs="Arial"/>
                <w:b/>
                <w:bCs/>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1F617E81" w14:textId="77777777" w:rsidR="005E610C" w:rsidRPr="005E610C" w:rsidRDefault="005E610C" w:rsidP="005E610C">
            <w:pPr>
              <w:spacing w:before="40" w:after="0"/>
              <w:jc w:val="right"/>
              <w:rPr>
                <w:rFonts w:ascii="Arial" w:hAnsi="Arial" w:cs="Arial"/>
                <w:b/>
                <w:bCs/>
                <w:color w:val="auto"/>
                <w:sz w:val="16"/>
                <w:szCs w:val="16"/>
              </w:rPr>
            </w:pPr>
            <w:r w:rsidRPr="005E610C">
              <w:rPr>
                <w:rFonts w:ascii="Arial" w:hAnsi="Arial" w:cs="Arial"/>
                <w:b/>
                <w:bCs/>
                <w:color w:val="auto"/>
                <w:sz w:val="16"/>
                <w:szCs w:val="16"/>
              </w:rPr>
              <w:t xml:space="preserve">2021–22 </w:t>
            </w:r>
            <w:r w:rsidRPr="005E610C">
              <w:rPr>
                <w:rFonts w:ascii="Arial" w:hAnsi="Arial" w:cs="Arial"/>
                <w:b/>
                <w:bCs/>
                <w:color w:val="auto"/>
                <w:sz w:val="16"/>
                <w:szCs w:val="16"/>
              </w:rPr>
              <w:br/>
            </w:r>
            <w:r w:rsidRPr="005E610C">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000000" w:fill="D9D9D9"/>
            <w:vAlign w:val="bottom"/>
            <w:hideMark/>
          </w:tcPr>
          <w:p w14:paraId="7A3EDC1F" w14:textId="77777777" w:rsidR="005E610C" w:rsidRPr="005E610C" w:rsidRDefault="005E610C" w:rsidP="005E610C">
            <w:pPr>
              <w:spacing w:before="40" w:after="0"/>
              <w:jc w:val="right"/>
              <w:rPr>
                <w:rFonts w:ascii="Arial" w:hAnsi="Arial" w:cs="Arial"/>
                <w:b/>
                <w:bCs/>
                <w:color w:val="auto"/>
                <w:sz w:val="16"/>
                <w:szCs w:val="16"/>
              </w:rPr>
            </w:pPr>
            <w:r w:rsidRPr="005E610C">
              <w:rPr>
                <w:rFonts w:ascii="Arial" w:hAnsi="Arial" w:cs="Arial"/>
                <w:b/>
                <w:bCs/>
                <w:color w:val="auto"/>
                <w:sz w:val="16"/>
                <w:szCs w:val="16"/>
              </w:rPr>
              <w:t>2022–23</w:t>
            </w:r>
            <w:r w:rsidRPr="005E610C">
              <w:rPr>
                <w:rFonts w:ascii="Arial" w:hAnsi="Arial" w:cs="Arial"/>
                <w:b/>
                <w:bCs/>
                <w:color w:val="auto"/>
                <w:sz w:val="16"/>
                <w:szCs w:val="16"/>
              </w:rPr>
              <w:br/>
            </w:r>
            <w:r w:rsidRPr="005E610C">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588F997B" w14:textId="77777777" w:rsidR="005E610C" w:rsidRPr="005E610C" w:rsidRDefault="005E610C" w:rsidP="005E610C">
            <w:pPr>
              <w:spacing w:before="40" w:after="0"/>
              <w:jc w:val="right"/>
              <w:rPr>
                <w:rFonts w:ascii="Arial" w:hAnsi="Arial" w:cs="Arial"/>
                <w:b/>
                <w:bCs/>
                <w:color w:val="auto"/>
                <w:sz w:val="16"/>
                <w:szCs w:val="16"/>
              </w:rPr>
            </w:pPr>
            <w:r w:rsidRPr="005E610C">
              <w:rPr>
                <w:rFonts w:ascii="Arial" w:hAnsi="Arial" w:cs="Arial"/>
                <w:b/>
                <w:bCs/>
                <w:color w:val="auto"/>
                <w:sz w:val="16"/>
                <w:szCs w:val="16"/>
              </w:rPr>
              <w:t>2023–24</w:t>
            </w:r>
            <w:r w:rsidRPr="005E610C">
              <w:rPr>
                <w:rFonts w:ascii="Arial" w:hAnsi="Arial" w:cs="Arial"/>
                <w:b/>
                <w:bCs/>
                <w:color w:val="auto"/>
                <w:sz w:val="16"/>
                <w:szCs w:val="16"/>
              </w:rPr>
              <w:br/>
            </w:r>
            <w:r w:rsidRPr="005E610C">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17FFE638" w14:textId="77777777" w:rsidR="005E610C" w:rsidRPr="005E610C" w:rsidRDefault="005E610C" w:rsidP="005E610C">
            <w:pPr>
              <w:spacing w:before="40" w:after="0"/>
              <w:jc w:val="right"/>
              <w:rPr>
                <w:rFonts w:ascii="Arial" w:hAnsi="Arial" w:cs="Arial"/>
                <w:b/>
                <w:bCs/>
                <w:color w:val="auto"/>
                <w:sz w:val="16"/>
                <w:szCs w:val="16"/>
              </w:rPr>
            </w:pPr>
            <w:r w:rsidRPr="005E610C">
              <w:rPr>
                <w:rFonts w:ascii="Arial" w:hAnsi="Arial" w:cs="Arial"/>
                <w:b/>
                <w:bCs/>
                <w:color w:val="auto"/>
                <w:sz w:val="16"/>
                <w:szCs w:val="16"/>
              </w:rPr>
              <w:t>2024–25</w:t>
            </w:r>
            <w:r w:rsidRPr="005E610C">
              <w:rPr>
                <w:rFonts w:ascii="Arial" w:hAnsi="Arial" w:cs="Arial"/>
                <w:b/>
                <w:bCs/>
                <w:color w:val="auto"/>
                <w:sz w:val="16"/>
                <w:szCs w:val="16"/>
              </w:rPr>
              <w:br/>
            </w:r>
            <w:r w:rsidRPr="005E610C">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4F2FA059" w14:textId="77777777" w:rsidR="005E610C" w:rsidRPr="005E610C" w:rsidRDefault="005E610C" w:rsidP="005E610C">
            <w:pPr>
              <w:spacing w:before="40" w:after="0"/>
              <w:jc w:val="right"/>
              <w:rPr>
                <w:rFonts w:ascii="Arial" w:hAnsi="Arial" w:cs="Arial"/>
                <w:b/>
                <w:bCs/>
                <w:color w:val="auto"/>
                <w:sz w:val="16"/>
                <w:szCs w:val="16"/>
              </w:rPr>
            </w:pPr>
            <w:r w:rsidRPr="005E610C">
              <w:rPr>
                <w:rFonts w:ascii="Arial" w:hAnsi="Arial" w:cs="Arial"/>
                <w:b/>
                <w:bCs/>
                <w:color w:val="auto"/>
                <w:sz w:val="16"/>
                <w:szCs w:val="16"/>
              </w:rPr>
              <w:t>2025–26</w:t>
            </w:r>
            <w:r w:rsidRPr="005E610C">
              <w:rPr>
                <w:rFonts w:ascii="Arial" w:hAnsi="Arial" w:cs="Arial"/>
                <w:b/>
                <w:bCs/>
                <w:color w:val="auto"/>
                <w:sz w:val="16"/>
                <w:szCs w:val="16"/>
              </w:rPr>
              <w:br/>
            </w:r>
            <w:r w:rsidRPr="005E610C">
              <w:rPr>
                <w:rFonts w:ascii="Arial" w:hAnsi="Arial" w:cs="Arial"/>
                <w:color w:val="auto"/>
                <w:sz w:val="16"/>
                <w:szCs w:val="16"/>
              </w:rPr>
              <w:t>$'000</w:t>
            </w:r>
          </w:p>
        </w:tc>
      </w:tr>
      <w:tr w:rsidR="005E610C" w:rsidRPr="005E610C" w14:paraId="2EFAA9E7" w14:textId="77777777" w:rsidTr="005E610C">
        <w:trPr>
          <w:trHeight w:val="300"/>
        </w:trPr>
        <w:tc>
          <w:tcPr>
            <w:tcW w:w="7420" w:type="dxa"/>
            <w:gridSpan w:val="7"/>
            <w:tcBorders>
              <w:top w:val="nil"/>
              <w:left w:val="nil"/>
              <w:bottom w:val="nil"/>
              <w:right w:val="nil"/>
            </w:tcBorders>
            <w:shd w:val="clear" w:color="auto" w:fill="auto"/>
            <w:noWrap/>
            <w:vAlign w:val="bottom"/>
            <w:hideMark/>
          </w:tcPr>
          <w:p w14:paraId="0F4396BE" w14:textId="77777777" w:rsidR="005E610C" w:rsidRPr="005E610C" w:rsidRDefault="005E610C" w:rsidP="005E610C">
            <w:pPr>
              <w:spacing w:after="0"/>
              <w:rPr>
                <w:rFonts w:ascii="Arial" w:hAnsi="Arial" w:cs="Arial"/>
                <w:b/>
                <w:bCs/>
                <w:color w:val="auto"/>
                <w:sz w:val="16"/>
                <w:szCs w:val="16"/>
              </w:rPr>
            </w:pPr>
            <w:r w:rsidRPr="005E610C">
              <w:rPr>
                <w:rFonts w:ascii="Arial" w:hAnsi="Arial" w:cs="Arial"/>
                <w:b/>
                <w:bCs/>
                <w:color w:val="auto"/>
                <w:sz w:val="16"/>
                <w:szCs w:val="16"/>
              </w:rPr>
              <w:t xml:space="preserve">Revitalisation of the AIS Arena </w:t>
            </w:r>
            <w:r w:rsidRPr="005E610C">
              <w:rPr>
                <w:rFonts w:ascii="Arial" w:hAnsi="Arial" w:cs="Arial"/>
                <w:b/>
                <w:bCs/>
                <w:color w:val="auto"/>
                <w:sz w:val="16"/>
                <w:szCs w:val="16"/>
                <w:vertAlign w:val="superscript"/>
              </w:rPr>
              <w:t>(a) (b)</w:t>
            </w:r>
          </w:p>
        </w:tc>
      </w:tr>
      <w:tr w:rsidR="005E610C" w:rsidRPr="005E610C" w14:paraId="76A04285" w14:textId="77777777" w:rsidTr="005E610C">
        <w:trPr>
          <w:trHeight w:val="225"/>
        </w:trPr>
        <w:tc>
          <w:tcPr>
            <w:tcW w:w="3020" w:type="dxa"/>
            <w:gridSpan w:val="2"/>
            <w:tcBorders>
              <w:top w:val="nil"/>
              <w:left w:val="nil"/>
              <w:bottom w:val="nil"/>
              <w:right w:val="nil"/>
            </w:tcBorders>
            <w:shd w:val="clear" w:color="auto" w:fill="auto"/>
            <w:noWrap/>
            <w:vAlign w:val="bottom"/>
            <w:hideMark/>
          </w:tcPr>
          <w:p w14:paraId="6154C334" w14:textId="77777777" w:rsidR="005E610C" w:rsidRPr="005E610C" w:rsidRDefault="005E610C" w:rsidP="005E610C">
            <w:pPr>
              <w:spacing w:after="0"/>
              <w:rPr>
                <w:rFonts w:ascii="Arial" w:hAnsi="Arial" w:cs="Arial"/>
                <w:color w:val="auto"/>
                <w:sz w:val="16"/>
                <w:szCs w:val="16"/>
              </w:rPr>
            </w:pPr>
            <w:r w:rsidRPr="005E610C">
              <w:rPr>
                <w:rFonts w:ascii="Arial" w:hAnsi="Arial" w:cs="Arial"/>
                <w:color w:val="auto"/>
                <w:sz w:val="16"/>
                <w:szCs w:val="16"/>
              </w:rPr>
              <w:t>Australian Sports Commission</w:t>
            </w:r>
          </w:p>
        </w:tc>
        <w:tc>
          <w:tcPr>
            <w:tcW w:w="880" w:type="dxa"/>
            <w:tcBorders>
              <w:top w:val="nil"/>
              <w:left w:val="nil"/>
              <w:bottom w:val="nil"/>
              <w:right w:val="nil"/>
            </w:tcBorders>
            <w:shd w:val="clear" w:color="auto" w:fill="auto"/>
            <w:noWrap/>
            <w:vAlign w:val="bottom"/>
            <w:hideMark/>
          </w:tcPr>
          <w:p w14:paraId="0BD19C41" w14:textId="77777777" w:rsidR="005E610C" w:rsidRPr="005E610C" w:rsidRDefault="005E610C" w:rsidP="005E610C">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03640E7B" w14:textId="77777777" w:rsidR="005E610C" w:rsidRPr="005E610C" w:rsidRDefault="005E610C" w:rsidP="005E610C">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308C463F" w14:textId="77777777" w:rsidR="005E610C" w:rsidRPr="005E610C" w:rsidRDefault="005E610C" w:rsidP="005E610C">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106FB642" w14:textId="77777777" w:rsidR="005E610C" w:rsidRPr="005E610C" w:rsidRDefault="005E610C" w:rsidP="005E610C">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28AFAD83" w14:textId="77777777" w:rsidR="005E610C" w:rsidRPr="005E610C" w:rsidRDefault="005E610C" w:rsidP="005E610C">
            <w:pPr>
              <w:spacing w:after="0"/>
              <w:rPr>
                <w:rFonts w:ascii="Times New Roman" w:hAnsi="Times New Roman"/>
                <w:color w:val="auto"/>
                <w:sz w:val="20"/>
              </w:rPr>
            </w:pPr>
          </w:p>
        </w:tc>
      </w:tr>
      <w:tr w:rsidR="005E610C" w:rsidRPr="005E610C" w14:paraId="011B26FD" w14:textId="77777777" w:rsidTr="005E610C">
        <w:trPr>
          <w:trHeight w:val="225"/>
        </w:trPr>
        <w:tc>
          <w:tcPr>
            <w:tcW w:w="2140" w:type="dxa"/>
            <w:tcBorders>
              <w:top w:val="nil"/>
              <w:left w:val="nil"/>
              <w:bottom w:val="nil"/>
              <w:right w:val="nil"/>
            </w:tcBorders>
            <w:shd w:val="clear" w:color="auto" w:fill="auto"/>
            <w:noWrap/>
            <w:vAlign w:val="bottom"/>
            <w:hideMark/>
          </w:tcPr>
          <w:p w14:paraId="7D24D08A" w14:textId="77777777" w:rsidR="005E610C" w:rsidRPr="005E610C" w:rsidRDefault="005E610C" w:rsidP="005E610C">
            <w:pPr>
              <w:spacing w:after="0"/>
              <w:ind w:firstLineChars="100" w:firstLine="160"/>
              <w:rPr>
                <w:rFonts w:ascii="Arial" w:hAnsi="Arial" w:cs="Arial"/>
                <w:color w:val="auto"/>
                <w:sz w:val="16"/>
                <w:szCs w:val="16"/>
              </w:rPr>
            </w:pPr>
            <w:r w:rsidRPr="005E610C">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08613174"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13B2D13C"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4E11B713"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842</w:t>
            </w:r>
          </w:p>
        </w:tc>
        <w:tc>
          <w:tcPr>
            <w:tcW w:w="880" w:type="dxa"/>
            <w:tcBorders>
              <w:top w:val="nil"/>
              <w:left w:val="nil"/>
              <w:bottom w:val="nil"/>
              <w:right w:val="nil"/>
            </w:tcBorders>
            <w:shd w:val="clear" w:color="auto" w:fill="auto"/>
            <w:noWrap/>
            <w:vAlign w:val="bottom"/>
            <w:hideMark/>
          </w:tcPr>
          <w:p w14:paraId="18A92A4C"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1,105</w:t>
            </w:r>
          </w:p>
        </w:tc>
        <w:tc>
          <w:tcPr>
            <w:tcW w:w="880" w:type="dxa"/>
            <w:tcBorders>
              <w:top w:val="nil"/>
              <w:left w:val="nil"/>
              <w:bottom w:val="nil"/>
              <w:right w:val="nil"/>
            </w:tcBorders>
            <w:shd w:val="clear" w:color="auto" w:fill="auto"/>
            <w:noWrap/>
            <w:vAlign w:val="bottom"/>
            <w:hideMark/>
          </w:tcPr>
          <w:p w14:paraId="2CC869A5"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888</w:t>
            </w:r>
          </w:p>
        </w:tc>
        <w:tc>
          <w:tcPr>
            <w:tcW w:w="880" w:type="dxa"/>
            <w:tcBorders>
              <w:top w:val="nil"/>
              <w:left w:val="nil"/>
              <w:bottom w:val="nil"/>
              <w:right w:val="nil"/>
            </w:tcBorders>
            <w:shd w:val="clear" w:color="auto" w:fill="auto"/>
            <w:noWrap/>
            <w:vAlign w:val="bottom"/>
            <w:hideMark/>
          </w:tcPr>
          <w:p w14:paraId="1F89B616"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889</w:t>
            </w:r>
          </w:p>
        </w:tc>
      </w:tr>
      <w:tr w:rsidR="005E610C" w:rsidRPr="005E610C" w14:paraId="3B1FB4BA" w14:textId="77777777" w:rsidTr="005E610C">
        <w:trPr>
          <w:trHeight w:val="225"/>
        </w:trPr>
        <w:tc>
          <w:tcPr>
            <w:tcW w:w="3020" w:type="dxa"/>
            <w:gridSpan w:val="2"/>
            <w:tcBorders>
              <w:top w:val="nil"/>
              <w:left w:val="nil"/>
              <w:bottom w:val="nil"/>
              <w:right w:val="nil"/>
            </w:tcBorders>
            <w:shd w:val="clear" w:color="auto" w:fill="auto"/>
            <w:noWrap/>
            <w:vAlign w:val="bottom"/>
            <w:hideMark/>
          </w:tcPr>
          <w:p w14:paraId="09B365D8" w14:textId="77777777" w:rsidR="005E610C" w:rsidRPr="005E610C" w:rsidRDefault="005E610C" w:rsidP="005E610C">
            <w:pPr>
              <w:spacing w:after="0"/>
              <w:ind w:firstLineChars="100" w:firstLine="160"/>
              <w:rPr>
                <w:rFonts w:ascii="Arial" w:hAnsi="Arial" w:cs="Arial"/>
                <w:color w:val="auto"/>
                <w:sz w:val="16"/>
                <w:szCs w:val="16"/>
              </w:rPr>
            </w:pPr>
            <w:r w:rsidRPr="005E610C">
              <w:rPr>
                <w:rFonts w:ascii="Arial" w:hAnsi="Arial" w:cs="Arial"/>
                <w:color w:val="auto"/>
                <w:sz w:val="16"/>
                <w:szCs w:val="16"/>
              </w:rPr>
              <w:t>Departmental capital payments</w:t>
            </w:r>
          </w:p>
        </w:tc>
        <w:tc>
          <w:tcPr>
            <w:tcW w:w="880" w:type="dxa"/>
            <w:tcBorders>
              <w:top w:val="nil"/>
              <w:left w:val="nil"/>
              <w:bottom w:val="single" w:sz="4" w:space="0" w:color="auto"/>
              <w:right w:val="nil"/>
            </w:tcBorders>
            <w:shd w:val="clear" w:color="auto" w:fill="auto"/>
            <w:noWrap/>
            <w:vAlign w:val="bottom"/>
            <w:hideMark/>
          </w:tcPr>
          <w:p w14:paraId="4256D035"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177E6433"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66D6B9B7"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569F7C5E"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3F7308A7"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w:t>
            </w:r>
          </w:p>
        </w:tc>
      </w:tr>
      <w:tr w:rsidR="005E610C" w:rsidRPr="005E610C" w14:paraId="419A938E" w14:textId="77777777" w:rsidTr="005E610C">
        <w:trPr>
          <w:trHeight w:val="225"/>
        </w:trPr>
        <w:tc>
          <w:tcPr>
            <w:tcW w:w="2140" w:type="dxa"/>
            <w:tcBorders>
              <w:top w:val="nil"/>
              <w:left w:val="nil"/>
              <w:bottom w:val="nil"/>
              <w:right w:val="nil"/>
            </w:tcBorders>
            <w:shd w:val="clear" w:color="auto" w:fill="auto"/>
            <w:noWrap/>
            <w:vAlign w:val="bottom"/>
            <w:hideMark/>
          </w:tcPr>
          <w:p w14:paraId="4A65170A" w14:textId="77777777" w:rsidR="005E610C" w:rsidRPr="005E610C" w:rsidRDefault="005E610C" w:rsidP="005E610C">
            <w:pPr>
              <w:spacing w:after="0"/>
              <w:rPr>
                <w:rFonts w:ascii="Arial" w:hAnsi="Arial" w:cs="Arial"/>
                <w:b/>
                <w:bCs/>
                <w:color w:val="auto"/>
                <w:sz w:val="16"/>
                <w:szCs w:val="16"/>
              </w:rPr>
            </w:pPr>
            <w:r w:rsidRPr="005E610C">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2331C1D0" w14:textId="77777777" w:rsidR="005E610C" w:rsidRPr="005E610C" w:rsidRDefault="005E610C" w:rsidP="005E610C">
            <w:pPr>
              <w:spacing w:after="0"/>
              <w:rPr>
                <w:rFonts w:ascii="Arial" w:hAnsi="Arial" w:cs="Arial"/>
                <w:b/>
                <w:bCs/>
                <w:color w:val="auto"/>
                <w:sz w:val="16"/>
                <w:szCs w:val="16"/>
              </w:rPr>
            </w:pPr>
          </w:p>
        </w:tc>
        <w:tc>
          <w:tcPr>
            <w:tcW w:w="880" w:type="dxa"/>
            <w:tcBorders>
              <w:top w:val="nil"/>
              <w:left w:val="nil"/>
              <w:bottom w:val="single" w:sz="4" w:space="0" w:color="auto"/>
              <w:right w:val="nil"/>
            </w:tcBorders>
            <w:shd w:val="clear" w:color="auto" w:fill="auto"/>
            <w:noWrap/>
            <w:vAlign w:val="bottom"/>
            <w:hideMark/>
          </w:tcPr>
          <w:p w14:paraId="46E5009C"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5A55356A"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842</w:t>
            </w:r>
          </w:p>
        </w:tc>
        <w:tc>
          <w:tcPr>
            <w:tcW w:w="880" w:type="dxa"/>
            <w:tcBorders>
              <w:top w:val="nil"/>
              <w:left w:val="nil"/>
              <w:bottom w:val="single" w:sz="4" w:space="0" w:color="auto"/>
              <w:right w:val="nil"/>
            </w:tcBorders>
            <w:shd w:val="clear" w:color="auto" w:fill="auto"/>
            <w:noWrap/>
            <w:vAlign w:val="bottom"/>
            <w:hideMark/>
          </w:tcPr>
          <w:p w14:paraId="11EF0E0F"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1,105</w:t>
            </w:r>
          </w:p>
        </w:tc>
        <w:tc>
          <w:tcPr>
            <w:tcW w:w="880" w:type="dxa"/>
            <w:tcBorders>
              <w:top w:val="nil"/>
              <w:left w:val="nil"/>
              <w:bottom w:val="single" w:sz="4" w:space="0" w:color="auto"/>
              <w:right w:val="nil"/>
            </w:tcBorders>
            <w:shd w:val="clear" w:color="auto" w:fill="auto"/>
            <w:noWrap/>
            <w:vAlign w:val="bottom"/>
            <w:hideMark/>
          </w:tcPr>
          <w:p w14:paraId="1AFB142B"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888</w:t>
            </w:r>
          </w:p>
        </w:tc>
        <w:tc>
          <w:tcPr>
            <w:tcW w:w="880" w:type="dxa"/>
            <w:tcBorders>
              <w:top w:val="nil"/>
              <w:left w:val="nil"/>
              <w:bottom w:val="single" w:sz="4" w:space="0" w:color="auto"/>
              <w:right w:val="nil"/>
            </w:tcBorders>
            <w:shd w:val="clear" w:color="auto" w:fill="auto"/>
            <w:noWrap/>
            <w:vAlign w:val="bottom"/>
            <w:hideMark/>
          </w:tcPr>
          <w:p w14:paraId="2D416A5F"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889</w:t>
            </w:r>
          </w:p>
        </w:tc>
      </w:tr>
      <w:tr w:rsidR="005E610C" w:rsidRPr="005E610C" w14:paraId="563C2489" w14:textId="77777777" w:rsidTr="005E610C">
        <w:trPr>
          <w:trHeight w:val="529"/>
        </w:trPr>
        <w:tc>
          <w:tcPr>
            <w:tcW w:w="7420" w:type="dxa"/>
            <w:gridSpan w:val="7"/>
            <w:tcBorders>
              <w:top w:val="nil"/>
              <w:left w:val="nil"/>
              <w:bottom w:val="nil"/>
              <w:right w:val="nil"/>
            </w:tcBorders>
            <w:shd w:val="clear" w:color="auto" w:fill="auto"/>
            <w:vAlign w:val="bottom"/>
            <w:hideMark/>
          </w:tcPr>
          <w:p w14:paraId="621B8EA4" w14:textId="77777777" w:rsidR="005E610C" w:rsidRPr="005E610C" w:rsidRDefault="005E610C" w:rsidP="005E610C">
            <w:pPr>
              <w:spacing w:after="0"/>
              <w:rPr>
                <w:rFonts w:ascii="Arial" w:hAnsi="Arial" w:cs="Arial"/>
                <w:b/>
                <w:bCs/>
                <w:color w:val="auto"/>
                <w:sz w:val="16"/>
                <w:szCs w:val="16"/>
              </w:rPr>
            </w:pPr>
            <w:r w:rsidRPr="005E610C">
              <w:rPr>
                <w:rFonts w:ascii="Arial" w:hAnsi="Arial" w:cs="Arial"/>
                <w:b/>
                <w:bCs/>
                <w:color w:val="auto"/>
                <w:sz w:val="16"/>
                <w:szCs w:val="16"/>
              </w:rPr>
              <w:t xml:space="preserve">Savings from External Labour, and Savings from Advertising, Travel and Legal </w:t>
            </w:r>
            <w:r w:rsidRPr="005E610C">
              <w:rPr>
                <w:rFonts w:ascii="Arial" w:hAnsi="Arial" w:cs="Arial"/>
                <w:b/>
                <w:bCs/>
                <w:color w:val="auto"/>
                <w:sz w:val="16"/>
                <w:szCs w:val="16"/>
              </w:rPr>
              <w:br/>
              <w:t xml:space="preserve">Expenses </w:t>
            </w:r>
            <w:r w:rsidRPr="005E610C">
              <w:rPr>
                <w:rFonts w:ascii="Arial" w:hAnsi="Arial" w:cs="Arial"/>
                <w:b/>
                <w:bCs/>
                <w:color w:val="auto"/>
                <w:sz w:val="16"/>
                <w:szCs w:val="16"/>
                <w:vertAlign w:val="superscript"/>
              </w:rPr>
              <w:t>(c)</w:t>
            </w:r>
          </w:p>
        </w:tc>
      </w:tr>
      <w:tr w:rsidR="005E610C" w:rsidRPr="005E610C" w14:paraId="51C17416" w14:textId="77777777" w:rsidTr="005E610C">
        <w:trPr>
          <w:trHeight w:val="225"/>
        </w:trPr>
        <w:tc>
          <w:tcPr>
            <w:tcW w:w="3020" w:type="dxa"/>
            <w:gridSpan w:val="2"/>
            <w:tcBorders>
              <w:top w:val="nil"/>
              <w:left w:val="nil"/>
              <w:bottom w:val="nil"/>
              <w:right w:val="nil"/>
            </w:tcBorders>
            <w:shd w:val="clear" w:color="auto" w:fill="auto"/>
            <w:noWrap/>
            <w:vAlign w:val="bottom"/>
            <w:hideMark/>
          </w:tcPr>
          <w:p w14:paraId="5C527861" w14:textId="77777777" w:rsidR="005E610C" w:rsidRPr="005E610C" w:rsidRDefault="005E610C" w:rsidP="005E610C">
            <w:pPr>
              <w:spacing w:after="0"/>
              <w:rPr>
                <w:rFonts w:ascii="Arial" w:hAnsi="Arial" w:cs="Arial"/>
                <w:color w:val="auto"/>
                <w:sz w:val="16"/>
                <w:szCs w:val="16"/>
              </w:rPr>
            </w:pPr>
            <w:r w:rsidRPr="005E610C">
              <w:rPr>
                <w:rFonts w:ascii="Arial" w:hAnsi="Arial" w:cs="Arial"/>
                <w:color w:val="auto"/>
                <w:sz w:val="16"/>
                <w:szCs w:val="16"/>
              </w:rPr>
              <w:t>Australian Sports Commission</w:t>
            </w:r>
          </w:p>
        </w:tc>
        <w:tc>
          <w:tcPr>
            <w:tcW w:w="880" w:type="dxa"/>
            <w:tcBorders>
              <w:top w:val="nil"/>
              <w:left w:val="nil"/>
              <w:bottom w:val="nil"/>
              <w:right w:val="nil"/>
            </w:tcBorders>
            <w:shd w:val="clear" w:color="auto" w:fill="auto"/>
            <w:noWrap/>
            <w:vAlign w:val="bottom"/>
            <w:hideMark/>
          </w:tcPr>
          <w:p w14:paraId="62E10E8F" w14:textId="77777777" w:rsidR="005E610C" w:rsidRPr="005E610C" w:rsidRDefault="005E610C" w:rsidP="005E610C">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6EF85E4F" w14:textId="77777777" w:rsidR="005E610C" w:rsidRPr="005E610C" w:rsidRDefault="005E610C" w:rsidP="005E610C">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4946FF26" w14:textId="77777777" w:rsidR="005E610C" w:rsidRPr="005E610C" w:rsidRDefault="005E610C" w:rsidP="005E610C">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43B737C9" w14:textId="77777777" w:rsidR="005E610C" w:rsidRPr="005E610C" w:rsidRDefault="005E610C" w:rsidP="005E610C">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66E3F1D5" w14:textId="77777777" w:rsidR="005E610C" w:rsidRPr="005E610C" w:rsidRDefault="005E610C" w:rsidP="005E610C">
            <w:pPr>
              <w:spacing w:after="0"/>
              <w:rPr>
                <w:rFonts w:ascii="Times New Roman" w:hAnsi="Times New Roman"/>
                <w:color w:val="auto"/>
                <w:sz w:val="20"/>
              </w:rPr>
            </w:pPr>
          </w:p>
        </w:tc>
      </w:tr>
      <w:tr w:rsidR="005E610C" w:rsidRPr="005E610C" w14:paraId="340C29EA" w14:textId="77777777" w:rsidTr="005E610C">
        <w:trPr>
          <w:trHeight w:val="225"/>
        </w:trPr>
        <w:tc>
          <w:tcPr>
            <w:tcW w:w="2140" w:type="dxa"/>
            <w:tcBorders>
              <w:top w:val="nil"/>
              <w:left w:val="nil"/>
              <w:bottom w:val="nil"/>
              <w:right w:val="nil"/>
            </w:tcBorders>
            <w:shd w:val="clear" w:color="auto" w:fill="auto"/>
            <w:noWrap/>
            <w:vAlign w:val="bottom"/>
            <w:hideMark/>
          </w:tcPr>
          <w:p w14:paraId="058F4590" w14:textId="77777777" w:rsidR="005E610C" w:rsidRPr="005E610C" w:rsidRDefault="005E610C" w:rsidP="005E610C">
            <w:pPr>
              <w:spacing w:after="0"/>
              <w:ind w:firstLineChars="100" w:firstLine="160"/>
              <w:rPr>
                <w:rFonts w:ascii="Arial" w:hAnsi="Arial" w:cs="Arial"/>
                <w:color w:val="auto"/>
                <w:sz w:val="16"/>
                <w:szCs w:val="16"/>
              </w:rPr>
            </w:pPr>
            <w:r w:rsidRPr="005E610C">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646C696C"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2E153259"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7E393933"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(661)</w:t>
            </w:r>
          </w:p>
        </w:tc>
        <w:tc>
          <w:tcPr>
            <w:tcW w:w="880" w:type="dxa"/>
            <w:tcBorders>
              <w:top w:val="nil"/>
              <w:left w:val="nil"/>
              <w:bottom w:val="nil"/>
              <w:right w:val="nil"/>
            </w:tcBorders>
            <w:shd w:val="clear" w:color="auto" w:fill="auto"/>
            <w:noWrap/>
            <w:vAlign w:val="bottom"/>
            <w:hideMark/>
          </w:tcPr>
          <w:p w14:paraId="7454548F"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623CD5AD"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52DE450F"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w:t>
            </w:r>
          </w:p>
        </w:tc>
      </w:tr>
      <w:tr w:rsidR="005E610C" w:rsidRPr="005E610C" w14:paraId="1D494FFA" w14:textId="77777777" w:rsidTr="005E610C">
        <w:trPr>
          <w:trHeight w:val="225"/>
        </w:trPr>
        <w:tc>
          <w:tcPr>
            <w:tcW w:w="2140" w:type="dxa"/>
            <w:tcBorders>
              <w:top w:val="nil"/>
              <w:left w:val="nil"/>
              <w:bottom w:val="nil"/>
              <w:right w:val="nil"/>
            </w:tcBorders>
            <w:shd w:val="clear" w:color="auto" w:fill="auto"/>
            <w:noWrap/>
            <w:vAlign w:val="bottom"/>
            <w:hideMark/>
          </w:tcPr>
          <w:p w14:paraId="51B0CB33" w14:textId="77777777" w:rsidR="005E610C" w:rsidRPr="005E610C" w:rsidRDefault="005E610C" w:rsidP="005E610C">
            <w:pPr>
              <w:spacing w:after="0"/>
              <w:rPr>
                <w:rFonts w:ascii="Arial" w:hAnsi="Arial" w:cs="Arial"/>
                <w:b/>
                <w:bCs/>
                <w:color w:val="auto"/>
                <w:sz w:val="16"/>
                <w:szCs w:val="16"/>
              </w:rPr>
            </w:pPr>
            <w:r w:rsidRPr="005E610C">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06705187" w14:textId="77777777" w:rsidR="005E610C" w:rsidRPr="005E610C" w:rsidRDefault="005E610C" w:rsidP="005E610C">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1DF44E09"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40626644"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(661)</w:t>
            </w:r>
          </w:p>
        </w:tc>
        <w:tc>
          <w:tcPr>
            <w:tcW w:w="880" w:type="dxa"/>
            <w:tcBorders>
              <w:top w:val="single" w:sz="4" w:space="0" w:color="auto"/>
              <w:left w:val="nil"/>
              <w:bottom w:val="single" w:sz="4" w:space="0" w:color="auto"/>
              <w:right w:val="nil"/>
            </w:tcBorders>
            <w:shd w:val="clear" w:color="auto" w:fill="auto"/>
            <w:noWrap/>
            <w:vAlign w:val="bottom"/>
            <w:hideMark/>
          </w:tcPr>
          <w:p w14:paraId="19FA24FC"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2C6988B4"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67AE1ADC"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w:t>
            </w:r>
          </w:p>
        </w:tc>
      </w:tr>
      <w:tr w:rsidR="005E610C" w:rsidRPr="005E610C" w14:paraId="7FB42427" w14:textId="77777777" w:rsidTr="005E610C">
        <w:trPr>
          <w:trHeight w:val="300"/>
        </w:trPr>
        <w:tc>
          <w:tcPr>
            <w:tcW w:w="7420" w:type="dxa"/>
            <w:gridSpan w:val="7"/>
            <w:tcBorders>
              <w:top w:val="nil"/>
              <w:left w:val="nil"/>
              <w:bottom w:val="nil"/>
              <w:right w:val="nil"/>
            </w:tcBorders>
            <w:shd w:val="clear" w:color="auto" w:fill="auto"/>
            <w:noWrap/>
            <w:vAlign w:val="bottom"/>
            <w:hideMark/>
          </w:tcPr>
          <w:p w14:paraId="208DEC6F" w14:textId="77777777" w:rsidR="005E610C" w:rsidRPr="005E610C" w:rsidRDefault="005E610C" w:rsidP="005E610C">
            <w:pPr>
              <w:spacing w:after="0"/>
              <w:rPr>
                <w:rFonts w:ascii="Arial" w:hAnsi="Arial" w:cs="Arial"/>
                <w:b/>
                <w:bCs/>
                <w:color w:val="auto"/>
                <w:sz w:val="16"/>
                <w:szCs w:val="16"/>
              </w:rPr>
            </w:pPr>
            <w:r w:rsidRPr="005E610C">
              <w:rPr>
                <w:rFonts w:ascii="Arial" w:hAnsi="Arial" w:cs="Arial"/>
                <w:b/>
                <w:bCs/>
                <w:color w:val="auto"/>
                <w:sz w:val="16"/>
                <w:szCs w:val="16"/>
              </w:rPr>
              <w:t xml:space="preserve">Sport4All — First Nations Program — expansion </w:t>
            </w:r>
            <w:r w:rsidRPr="005E610C">
              <w:rPr>
                <w:rFonts w:ascii="Arial" w:hAnsi="Arial" w:cs="Arial"/>
                <w:b/>
                <w:bCs/>
                <w:color w:val="auto"/>
                <w:sz w:val="16"/>
                <w:szCs w:val="16"/>
                <w:vertAlign w:val="superscript"/>
              </w:rPr>
              <w:t>(b)</w:t>
            </w:r>
          </w:p>
        </w:tc>
      </w:tr>
      <w:tr w:rsidR="005E610C" w:rsidRPr="005E610C" w14:paraId="2D63F10D" w14:textId="77777777" w:rsidTr="005E610C">
        <w:trPr>
          <w:trHeight w:val="225"/>
        </w:trPr>
        <w:tc>
          <w:tcPr>
            <w:tcW w:w="3020" w:type="dxa"/>
            <w:gridSpan w:val="2"/>
            <w:tcBorders>
              <w:top w:val="nil"/>
              <w:left w:val="nil"/>
              <w:bottom w:val="nil"/>
              <w:right w:val="nil"/>
            </w:tcBorders>
            <w:shd w:val="clear" w:color="auto" w:fill="auto"/>
            <w:noWrap/>
            <w:vAlign w:val="bottom"/>
            <w:hideMark/>
          </w:tcPr>
          <w:p w14:paraId="3CDBF776" w14:textId="77777777" w:rsidR="005E610C" w:rsidRPr="005E610C" w:rsidRDefault="005E610C" w:rsidP="005E610C">
            <w:pPr>
              <w:spacing w:after="0"/>
              <w:rPr>
                <w:rFonts w:ascii="Arial" w:hAnsi="Arial" w:cs="Arial"/>
                <w:color w:val="auto"/>
                <w:sz w:val="16"/>
                <w:szCs w:val="16"/>
              </w:rPr>
            </w:pPr>
            <w:r w:rsidRPr="005E610C">
              <w:rPr>
                <w:rFonts w:ascii="Arial" w:hAnsi="Arial" w:cs="Arial"/>
                <w:color w:val="auto"/>
                <w:sz w:val="16"/>
                <w:szCs w:val="16"/>
              </w:rPr>
              <w:t>Australian Sports Commission</w:t>
            </w:r>
          </w:p>
        </w:tc>
        <w:tc>
          <w:tcPr>
            <w:tcW w:w="880" w:type="dxa"/>
            <w:tcBorders>
              <w:top w:val="nil"/>
              <w:left w:val="nil"/>
              <w:bottom w:val="nil"/>
              <w:right w:val="nil"/>
            </w:tcBorders>
            <w:shd w:val="clear" w:color="auto" w:fill="auto"/>
            <w:noWrap/>
            <w:vAlign w:val="bottom"/>
            <w:hideMark/>
          </w:tcPr>
          <w:p w14:paraId="5DB1371E" w14:textId="77777777" w:rsidR="005E610C" w:rsidRPr="005E610C" w:rsidRDefault="005E610C" w:rsidP="005E610C">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729C5E26" w14:textId="77777777" w:rsidR="005E610C" w:rsidRPr="005E610C" w:rsidRDefault="005E610C" w:rsidP="005E610C">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73D4D95A" w14:textId="77777777" w:rsidR="005E610C" w:rsidRPr="005E610C" w:rsidRDefault="005E610C" w:rsidP="005E610C">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47A35425" w14:textId="77777777" w:rsidR="005E610C" w:rsidRPr="005E610C" w:rsidRDefault="005E610C" w:rsidP="005E610C">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5FDFF26C" w14:textId="77777777" w:rsidR="005E610C" w:rsidRPr="005E610C" w:rsidRDefault="005E610C" w:rsidP="005E610C">
            <w:pPr>
              <w:spacing w:after="0"/>
              <w:rPr>
                <w:rFonts w:ascii="Times New Roman" w:hAnsi="Times New Roman"/>
                <w:color w:val="auto"/>
                <w:sz w:val="20"/>
              </w:rPr>
            </w:pPr>
          </w:p>
        </w:tc>
      </w:tr>
      <w:tr w:rsidR="005E610C" w:rsidRPr="005E610C" w14:paraId="1C99F4A6" w14:textId="77777777" w:rsidTr="005E610C">
        <w:trPr>
          <w:trHeight w:val="225"/>
        </w:trPr>
        <w:tc>
          <w:tcPr>
            <w:tcW w:w="2140" w:type="dxa"/>
            <w:tcBorders>
              <w:top w:val="nil"/>
              <w:left w:val="nil"/>
              <w:bottom w:val="nil"/>
              <w:right w:val="nil"/>
            </w:tcBorders>
            <w:shd w:val="clear" w:color="auto" w:fill="auto"/>
            <w:noWrap/>
            <w:vAlign w:val="bottom"/>
            <w:hideMark/>
          </w:tcPr>
          <w:p w14:paraId="6E235510" w14:textId="77777777" w:rsidR="005E610C" w:rsidRPr="005E610C" w:rsidRDefault="005E610C" w:rsidP="005E610C">
            <w:pPr>
              <w:spacing w:after="0"/>
              <w:ind w:firstLineChars="100" w:firstLine="160"/>
              <w:rPr>
                <w:rFonts w:ascii="Arial" w:hAnsi="Arial" w:cs="Arial"/>
                <w:color w:val="auto"/>
                <w:sz w:val="16"/>
                <w:szCs w:val="16"/>
              </w:rPr>
            </w:pPr>
            <w:r w:rsidRPr="005E610C">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5C8342BE"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32A45DA6"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66A96EFC"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3,375</w:t>
            </w:r>
          </w:p>
        </w:tc>
        <w:tc>
          <w:tcPr>
            <w:tcW w:w="880" w:type="dxa"/>
            <w:tcBorders>
              <w:top w:val="nil"/>
              <w:left w:val="nil"/>
              <w:bottom w:val="nil"/>
              <w:right w:val="nil"/>
            </w:tcBorders>
            <w:shd w:val="clear" w:color="auto" w:fill="auto"/>
            <w:noWrap/>
            <w:vAlign w:val="bottom"/>
            <w:hideMark/>
          </w:tcPr>
          <w:p w14:paraId="0D13B6E8"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2,731</w:t>
            </w:r>
          </w:p>
        </w:tc>
        <w:tc>
          <w:tcPr>
            <w:tcW w:w="880" w:type="dxa"/>
            <w:tcBorders>
              <w:top w:val="nil"/>
              <w:left w:val="nil"/>
              <w:bottom w:val="nil"/>
              <w:right w:val="nil"/>
            </w:tcBorders>
            <w:shd w:val="clear" w:color="auto" w:fill="auto"/>
            <w:noWrap/>
            <w:vAlign w:val="bottom"/>
            <w:hideMark/>
          </w:tcPr>
          <w:p w14:paraId="485C9156"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2,193</w:t>
            </w:r>
          </w:p>
        </w:tc>
        <w:tc>
          <w:tcPr>
            <w:tcW w:w="880" w:type="dxa"/>
            <w:tcBorders>
              <w:top w:val="nil"/>
              <w:left w:val="nil"/>
              <w:bottom w:val="nil"/>
              <w:right w:val="nil"/>
            </w:tcBorders>
            <w:shd w:val="clear" w:color="auto" w:fill="auto"/>
            <w:noWrap/>
            <w:vAlign w:val="bottom"/>
            <w:hideMark/>
          </w:tcPr>
          <w:p w14:paraId="22406CC8"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1,992</w:t>
            </w:r>
          </w:p>
        </w:tc>
      </w:tr>
      <w:tr w:rsidR="005E610C" w:rsidRPr="005E610C" w14:paraId="6B64DB03" w14:textId="77777777" w:rsidTr="005E610C">
        <w:trPr>
          <w:trHeight w:val="225"/>
        </w:trPr>
        <w:tc>
          <w:tcPr>
            <w:tcW w:w="2140" w:type="dxa"/>
            <w:tcBorders>
              <w:top w:val="nil"/>
              <w:left w:val="nil"/>
              <w:bottom w:val="nil"/>
              <w:right w:val="nil"/>
            </w:tcBorders>
            <w:shd w:val="clear" w:color="auto" w:fill="auto"/>
            <w:noWrap/>
            <w:vAlign w:val="bottom"/>
            <w:hideMark/>
          </w:tcPr>
          <w:p w14:paraId="594B3C6D" w14:textId="77777777" w:rsidR="005E610C" w:rsidRPr="005E610C" w:rsidRDefault="005E610C" w:rsidP="005E610C">
            <w:pPr>
              <w:spacing w:after="0"/>
              <w:rPr>
                <w:rFonts w:ascii="Arial" w:hAnsi="Arial" w:cs="Arial"/>
                <w:b/>
                <w:bCs/>
                <w:color w:val="auto"/>
                <w:sz w:val="16"/>
                <w:szCs w:val="16"/>
              </w:rPr>
            </w:pPr>
            <w:r w:rsidRPr="005E610C">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3659FD50" w14:textId="77777777" w:rsidR="005E610C" w:rsidRPr="005E610C" w:rsidRDefault="005E610C" w:rsidP="005E610C">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3557A621"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7E8CFF13"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3,375</w:t>
            </w:r>
          </w:p>
        </w:tc>
        <w:tc>
          <w:tcPr>
            <w:tcW w:w="880" w:type="dxa"/>
            <w:tcBorders>
              <w:top w:val="single" w:sz="4" w:space="0" w:color="auto"/>
              <w:left w:val="nil"/>
              <w:bottom w:val="single" w:sz="4" w:space="0" w:color="auto"/>
              <w:right w:val="nil"/>
            </w:tcBorders>
            <w:shd w:val="clear" w:color="auto" w:fill="auto"/>
            <w:noWrap/>
            <w:vAlign w:val="bottom"/>
            <w:hideMark/>
          </w:tcPr>
          <w:p w14:paraId="022279DC"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2,731</w:t>
            </w:r>
          </w:p>
        </w:tc>
        <w:tc>
          <w:tcPr>
            <w:tcW w:w="880" w:type="dxa"/>
            <w:tcBorders>
              <w:top w:val="single" w:sz="4" w:space="0" w:color="auto"/>
              <w:left w:val="nil"/>
              <w:bottom w:val="single" w:sz="4" w:space="0" w:color="auto"/>
              <w:right w:val="nil"/>
            </w:tcBorders>
            <w:shd w:val="clear" w:color="auto" w:fill="auto"/>
            <w:noWrap/>
            <w:vAlign w:val="bottom"/>
            <w:hideMark/>
          </w:tcPr>
          <w:p w14:paraId="7FA9AD6E"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2,193</w:t>
            </w:r>
          </w:p>
        </w:tc>
        <w:tc>
          <w:tcPr>
            <w:tcW w:w="880" w:type="dxa"/>
            <w:tcBorders>
              <w:top w:val="single" w:sz="4" w:space="0" w:color="auto"/>
              <w:left w:val="nil"/>
              <w:bottom w:val="single" w:sz="4" w:space="0" w:color="auto"/>
              <w:right w:val="nil"/>
            </w:tcBorders>
            <w:shd w:val="clear" w:color="auto" w:fill="auto"/>
            <w:noWrap/>
            <w:vAlign w:val="bottom"/>
            <w:hideMark/>
          </w:tcPr>
          <w:p w14:paraId="2B6F643A"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1,992</w:t>
            </w:r>
          </w:p>
        </w:tc>
      </w:tr>
      <w:tr w:rsidR="005E610C" w:rsidRPr="005E610C" w14:paraId="172314A7" w14:textId="77777777" w:rsidTr="005E610C">
        <w:trPr>
          <w:trHeight w:val="300"/>
        </w:trPr>
        <w:tc>
          <w:tcPr>
            <w:tcW w:w="7420" w:type="dxa"/>
            <w:gridSpan w:val="7"/>
            <w:tcBorders>
              <w:top w:val="nil"/>
              <w:left w:val="nil"/>
              <w:bottom w:val="nil"/>
              <w:right w:val="nil"/>
            </w:tcBorders>
            <w:shd w:val="clear" w:color="auto" w:fill="auto"/>
            <w:noWrap/>
            <w:vAlign w:val="bottom"/>
            <w:hideMark/>
          </w:tcPr>
          <w:p w14:paraId="1732E90B" w14:textId="77777777" w:rsidR="005E610C" w:rsidRPr="005E610C" w:rsidRDefault="005E610C" w:rsidP="005E610C">
            <w:pPr>
              <w:spacing w:after="0"/>
              <w:rPr>
                <w:rFonts w:ascii="Arial" w:hAnsi="Arial" w:cs="Arial"/>
                <w:b/>
                <w:bCs/>
                <w:color w:val="auto"/>
                <w:sz w:val="16"/>
                <w:szCs w:val="16"/>
              </w:rPr>
            </w:pPr>
            <w:r w:rsidRPr="005E610C">
              <w:rPr>
                <w:rFonts w:ascii="Arial" w:hAnsi="Arial" w:cs="Arial"/>
                <w:b/>
                <w:bCs/>
                <w:color w:val="auto"/>
                <w:sz w:val="16"/>
                <w:szCs w:val="16"/>
              </w:rPr>
              <w:t xml:space="preserve">Strengthening First Nations Health </w:t>
            </w:r>
            <w:r w:rsidRPr="005E610C">
              <w:rPr>
                <w:rFonts w:ascii="Arial" w:hAnsi="Arial" w:cs="Arial"/>
                <w:b/>
                <w:bCs/>
                <w:color w:val="auto"/>
                <w:sz w:val="16"/>
                <w:szCs w:val="16"/>
                <w:vertAlign w:val="superscript"/>
              </w:rPr>
              <w:t>(b)</w:t>
            </w:r>
          </w:p>
        </w:tc>
      </w:tr>
      <w:tr w:rsidR="005E610C" w:rsidRPr="005E610C" w14:paraId="73F65591" w14:textId="77777777" w:rsidTr="005E610C">
        <w:trPr>
          <w:trHeight w:val="225"/>
        </w:trPr>
        <w:tc>
          <w:tcPr>
            <w:tcW w:w="3020" w:type="dxa"/>
            <w:gridSpan w:val="2"/>
            <w:tcBorders>
              <w:top w:val="nil"/>
              <w:left w:val="nil"/>
              <w:bottom w:val="nil"/>
              <w:right w:val="nil"/>
            </w:tcBorders>
            <w:shd w:val="clear" w:color="auto" w:fill="auto"/>
            <w:noWrap/>
            <w:vAlign w:val="bottom"/>
            <w:hideMark/>
          </w:tcPr>
          <w:p w14:paraId="37DC1359" w14:textId="77777777" w:rsidR="005E610C" w:rsidRPr="005E610C" w:rsidRDefault="005E610C" w:rsidP="005E610C">
            <w:pPr>
              <w:spacing w:after="0"/>
              <w:rPr>
                <w:rFonts w:ascii="Arial" w:hAnsi="Arial" w:cs="Arial"/>
                <w:color w:val="auto"/>
                <w:sz w:val="16"/>
                <w:szCs w:val="16"/>
              </w:rPr>
            </w:pPr>
            <w:r w:rsidRPr="005E610C">
              <w:rPr>
                <w:rFonts w:ascii="Arial" w:hAnsi="Arial" w:cs="Arial"/>
                <w:color w:val="auto"/>
                <w:sz w:val="16"/>
                <w:szCs w:val="16"/>
              </w:rPr>
              <w:t>Australian Sports Commission</w:t>
            </w:r>
          </w:p>
        </w:tc>
        <w:tc>
          <w:tcPr>
            <w:tcW w:w="880" w:type="dxa"/>
            <w:tcBorders>
              <w:top w:val="nil"/>
              <w:left w:val="nil"/>
              <w:bottom w:val="nil"/>
              <w:right w:val="nil"/>
            </w:tcBorders>
            <w:shd w:val="clear" w:color="auto" w:fill="auto"/>
            <w:noWrap/>
            <w:vAlign w:val="bottom"/>
            <w:hideMark/>
          </w:tcPr>
          <w:p w14:paraId="10DF1E84" w14:textId="77777777" w:rsidR="005E610C" w:rsidRPr="005E610C" w:rsidRDefault="005E610C" w:rsidP="005E610C">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5AA277FB" w14:textId="77777777" w:rsidR="005E610C" w:rsidRPr="005E610C" w:rsidRDefault="005E610C" w:rsidP="005E610C">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25E1C3B5" w14:textId="77777777" w:rsidR="005E610C" w:rsidRPr="005E610C" w:rsidRDefault="005E610C" w:rsidP="005E610C">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611DC354" w14:textId="77777777" w:rsidR="005E610C" w:rsidRPr="005E610C" w:rsidRDefault="005E610C" w:rsidP="005E610C">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4DDB5FC8" w14:textId="77777777" w:rsidR="005E610C" w:rsidRPr="005E610C" w:rsidRDefault="005E610C" w:rsidP="005E610C">
            <w:pPr>
              <w:spacing w:after="0"/>
              <w:rPr>
                <w:rFonts w:ascii="Times New Roman" w:hAnsi="Times New Roman"/>
                <w:color w:val="auto"/>
                <w:sz w:val="20"/>
              </w:rPr>
            </w:pPr>
          </w:p>
        </w:tc>
      </w:tr>
      <w:tr w:rsidR="005E610C" w:rsidRPr="005E610C" w14:paraId="72405630" w14:textId="77777777" w:rsidTr="005E610C">
        <w:trPr>
          <w:trHeight w:val="225"/>
        </w:trPr>
        <w:tc>
          <w:tcPr>
            <w:tcW w:w="2140" w:type="dxa"/>
            <w:tcBorders>
              <w:top w:val="nil"/>
              <w:left w:val="nil"/>
              <w:bottom w:val="nil"/>
              <w:right w:val="nil"/>
            </w:tcBorders>
            <w:shd w:val="clear" w:color="auto" w:fill="auto"/>
            <w:noWrap/>
            <w:vAlign w:val="bottom"/>
            <w:hideMark/>
          </w:tcPr>
          <w:p w14:paraId="4C3D9AAE" w14:textId="77777777" w:rsidR="005E610C" w:rsidRPr="005E610C" w:rsidRDefault="005E610C" w:rsidP="005E610C">
            <w:pPr>
              <w:spacing w:after="0"/>
              <w:ind w:firstLineChars="100" w:firstLine="160"/>
              <w:rPr>
                <w:rFonts w:ascii="Arial" w:hAnsi="Arial" w:cs="Arial"/>
                <w:color w:val="auto"/>
                <w:sz w:val="16"/>
                <w:szCs w:val="16"/>
              </w:rPr>
            </w:pPr>
            <w:r w:rsidRPr="005E610C">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7263DA8D"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7BC44F27"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351D75CB"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550</w:t>
            </w:r>
          </w:p>
        </w:tc>
        <w:tc>
          <w:tcPr>
            <w:tcW w:w="880" w:type="dxa"/>
            <w:tcBorders>
              <w:top w:val="nil"/>
              <w:left w:val="nil"/>
              <w:bottom w:val="nil"/>
              <w:right w:val="nil"/>
            </w:tcBorders>
            <w:shd w:val="clear" w:color="auto" w:fill="auto"/>
            <w:noWrap/>
            <w:vAlign w:val="bottom"/>
            <w:hideMark/>
          </w:tcPr>
          <w:p w14:paraId="463CB281"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1,100</w:t>
            </w:r>
          </w:p>
        </w:tc>
        <w:tc>
          <w:tcPr>
            <w:tcW w:w="880" w:type="dxa"/>
            <w:tcBorders>
              <w:top w:val="nil"/>
              <w:left w:val="nil"/>
              <w:bottom w:val="nil"/>
              <w:right w:val="nil"/>
            </w:tcBorders>
            <w:shd w:val="clear" w:color="auto" w:fill="auto"/>
            <w:noWrap/>
            <w:vAlign w:val="bottom"/>
            <w:hideMark/>
          </w:tcPr>
          <w:p w14:paraId="2198DCD3"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550</w:t>
            </w:r>
          </w:p>
        </w:tc>
        <w:tc>
          <w:tcPr>
            <w:tcW w:w="880" w:type="dxa"/>
            <w:tcBorders>
              <w:top w:val="nil"/>
              <w:left w:val="nil"/>
              <w:bottom w:val="nil"/>
              <w:right w:val="nil"/>
            </w:tcBorders>
            <w:shd w:val="clear" w:color="auto" w:fill="auto"/>
            <w:noWrap/>
            <w:vAlign w:val="bottom"/>
            <w:hideMark/>
          </w:tcPr>
          <w:p w14:paraId="005C5BF4" w14:textId="77777777" w:rsidR="005E610C" w:rsidRPr="005E610C" w:rsidRDefault="005E610C" w:rsidP="005E610C">
            <w:pPr>
              <w:spacing w:after="0"/>
              <w:jc w:val="right"/>
              <w:rPr>
                <w:rFonts w:ascii="Arial" w:hAnsi="Arial" w:cs="Arial"/>
                <w:color w:val="auto"/>
                <w:sz w:val="16"/>
                <w:szCs w:val="16"/>
              </w:rPr>
            </w:pPr>
            <w:r w:rsidRPr="005E610C">
              <w:rPr>
                <w:rFonts w:ascii="Arial" w:hAnsi="Arial" w:cs="Arial"/>
                <w:color w:val="auto"/>
                <w:sz w:val="16"/>
                <w:szCs w:val="16"/>
              </w:rPr>
              <w:t>-</w:t>
            </w:r>
          </w:p>
        </w:tc>
      </w:tr>
      <w:tr w:rsidR="005E610C" w:rsidRPr="005E610C" w14:paraId="479405D0" w14:textId="77777777" w:rsidTr="005E610C">
        <w:trPr>
          <w:trHeight w:val="225"/>
        </w:trPr>
        <w:tc>
          <w:tcPr>
            <w:tcW w:w="2140" w:type="dxa"/>
            <w:tcBorders>
              <w:top w:val="nil"/>
              <w:left w:val="nil"/>
              <w:bottom w:val="single" w:sz="4" w:space="0" w:color="auto"/>
              <w:right w:val="nil"/>
            </w:tcBorders>
            <w:shd w:val="clear" w:color="auto" w:fill="auto"/>
            <w:noWrap/>
            <w:vAlign w:val="bottom"/>
            <w:hideMark/>
          </w:tcPr>
          <w:p w14:paraId="29375245" w14:textId="77777777" w:rsidR="005E610C" w:rsidRPr="005E610C" w:rsidRDefault="005E610C" w:rsidP="005E610C">
            <w:pPr>
              <w:spacing w:after="0"/>
              <w:rPr>
                <w:rFonts w:ascii="Arial" w:hAnsi="Arial" w:cs="Arial"/>
                <w:b/>
                <w:bCs/>
                <w:color w:val="auto"/>
                <w:sz w:val="16"/>
                <w:szCs w:val="16"/>
              </w:rPr>
            </w:pPr>
            <w:r w:rsidRPr="005E610C">
              <w:rPr>
                <w:rFonts w:ascii="Arial" w:hAnsi="Arial" w:cs="Arial"/>
                <w:b/>
                <w:bCs/>
                <w:color w:val="auto"/>
                <w:sz w:val="16"/>
                <w:szCs w:val="16"/>
              </w:rPr>
              <w:t>Total payments</w:t>
            </w:r>
          </w:p>
        </w:tc>
        <w:tc>
          <w:tcPr>
            <w:tcW w:w="880" w:type="dxa"/>
            <w:tcBorders>
              <w:top w:val="nil"/>
              <w:left w:val="nil"/>
              <w:bottom w:val="single" w:sz="4" w:space="0" w:color="auto"/>
              <w:right w:val="nil"/>
            </w:tcBorders>
            <w:shd w:val="clear" w:color="auto" w:fill="auto"/>
            <w:noWrap/>
            <w:vAlign w:val="bottom"/>
            <w:hideMark/>
          </w:tcPr>
          <w:p w14:paraId="4A5BF968"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14:paraId="457BEA8A"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3DE18F38"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550</w:t>
            </w:r>
          </w:p>
        </w:tc>
        <w:tc>
          <w:tcPr>
            <w:tcW w:w="880" w:type="dxa"/>
            <w:tcBorders>
              <w:top w:val="single" w:sz="4" w:space="0" w:color="auto"/>
              <w:left w:val="nil"/>
              <w:bottom w:val="single" w:sz="4" w:space="0" w:color="auto"/>
              <w:right w:val="nil"/>
            </w:tcBorders>
            <w:shd w:val="clear" w:color="auto" w:fill="auto"/>
            <w:noWrap/>
            <w:vAlign w:val="bottom"/>
            <w:hideMark/>
          </w:tcPr>
          <w:p w14:paraId="11401E14"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1,100</w:t>
            </w:r>
          </w:p>
        </w:tc>
        <w:tc>
          <w:tcPr>
            <w:tcW w:w="880" w:type="dxa"/>
            <w:tcBorders>
              <w:top w:val="single" w:sz="4" w:space="0" w:color="auto"/>
              <w:left w:val="nil"/>
              <w:bottom w:val="single" w:sz="4" w:space="0" w:color="auto"/>
              <w:right w:val="nil"/>
            </w:tcBorders>
            <w:shd w:val="clear" w:color="auto" w:fill="auto"/>
            <w:noWrap/>
            <w:vAlign w:val="bottom"/>
            <w:hideMark/>
          </w:tcPr>
          <w:p w14:paraId="63CEAAB9"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550</w:t>
            </w:r>
          </w:p>
        </w:tc>
        <w:tc>
          <w:tcPr>
            <w:tcW w:w="880" w:type="dxa"/>
            <w:tcBorders>
              <w:top w:val="single" w:sz="4" w:space="0" w:color="auto"/>
              <w:left w:val="nil"/>
              <w:bottom w:val="single" w:sz="4" w:space="0" w:color="auto"/>
              <w:right w:val="nil"/>
            </w:tcBorders>
            <w:shd w:val="clear" w:color="auto" w:fill="auto"/>
            <w:noWrap/>
            <w:vAlign w:val="bottom"/>
            <w:hideMark/>
          </w:tcPr>
          <w:p w14:paraId="0A7863A9" w14:textId="77777777" w:rsidR="005E610C" w:rsidRPr="005E610C" w:rsidRDefault="005E610C" w:rsidP="005E610C">
            <w:pPr>
              <w:spacing w:after="0"/>
              <w:jc w:val="right"/>
              <w:rPr>
                <w:rFonts w:ascii="Arial" w:hAnsi="Arial" w:cs="Arial"/>
                <w:b/>
                <w:bCs/>
                <w:color w:val="auto"/>
                <w:sz w:val="16"/>
                <w:szCs w:val="16"/>
              </w:rPr>
            </w:pPr>
            <w:r w:rsidRPr="005E610C">
              <w:rPr>
                <w:rFonts w:ascii="Arial" w:hAnsi="Arial" w:cs="Arial"/>
                <w:b/>
                <w:bCs/>
                <w:color w:val="auto"/>
                <w:sz w:val="16"/>
                <w:szCs w:val="16"/>
              </w:rPr>
              <w:t>-</w:t>
            </w:r>
          </w:p>
        </w:tc>
      </w:tr>
    </w:tbl>
    <w:p w14:paraId="0B8A1B9F" w14:textId="6D65ACE4" w:rsidR="005E610C" w:rsidRPr="005E610C" w:rsidRDefault="005E610C" w:rsidP="007B2118">
      <w:pPr>
        <w:pStyle w:val="FootnoteText"/>
        <w:spacing w:before="120"/>
      </w:pPr>
      <w:r w:rsidRPr="005E610C">
        <w:rPr>
          <w:vertAlign w:val="superscript"/>
        </w:rPr>
        <w:t>(a)</w:t>
      </w:r>
      <w:r>
        <w:tab/>
      </w:r>
      <w:r w:rsidRPr="005E610C">
        <w:t>Part of the costs of this measure will be met from within existing resources.</w:t>
      </w:r>
    </w:p>
    <w:p w14:paraId="4C524860" w14:textId="0F5BCE41" w:rsidR="005E610C" w:rsidRPr="005E610C" w:rsidRDefault="005E610C" w:rsidP="005E610C">
      <w:pPr>
        <w:pStyle w:val="FootnoteText"/>
      </w:pPr>
      <w:r w:rsidRPr="005E610C">
        <w:rPr>
          <w:vertAlign w:val="superscript"/>
        </w:rPr>
        <w:t>(b)</w:t>
      </w:r>
      <w:r>
        <w:tab/>
      </w:r>
      <w:r w:rsidRPr="005E610C">
        <w:t xml:space="preserve">The ASC is not the lead entity for this measure. Full details of this measure are published under Table 1.2: Department of Health and Aged </w:t>
      </w:r>
      <w:r w:rsidR="007B2118">
        <w:t>Care October 2022–</w:t>
      </w:r>
      <w:r w:rsidRPr="005E610C">
        <w:t>23 Budget Measures.</w:t>
      </w:r>
    </w:p>
    <w:p w14:paraId="13D01016" w14:textId="4A8BBD36" w:rsidR="00B706C3" w:rsidRPr="005E610C" w:rsidRDefault="005E610C" w:rsidP="005E610C">
      <w:pPr>
        <w:pStyle w:val="FootnoteText"/>
      </w:pPr>
      <w:r w:rsidRPr="005E610C">
        <w:rPr>
          <w:vertAlign w:val="superscript"/>
        </w:rPr>
        <w:t>(c)</w:t>
      </w:r>
      <w:r>
        <w:tab/>
      </w:r>
      <w:r w:rsidRPr="005E610C">
        <w:t>The ASC is not the lead entity for this measure. Only the ASC impacts are shown in this table.</w:t>
      </w:r>
    </w:p>
    <w:p w14:paraId="24307E2F" w14:textId="77777777" w:rsidR="005E610C" w:rsidRPr="007E1DF2" w:rsidRDefault="005E610C" w:rsidP="007E1DF2">
      <w:pPr>
        <w:pStyle w:val="FootnoteText"/>
        <w:spacing w:before="120"/>
        <w:sectPr w:rsidR="005E610C" w:rsidRPr="007E1DF2"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6634DDDB" w14:textId="6F9D4DE5" w:rsidR="0024539A" w:rsidRPr="0089004B" w:rsidRDefault="0024539A" w:rsidP="00980201">
      <w:pPr>
        <w:pStyle w:val="Heading2"/>
      </w:pPr>
      <w:bookmarkStart w:id="4" w:name="_Toc117406958"/>
      <w:r w:rsidRPr="0089004B">
        <w:lastRenderedPageBreak/>
        <w:t xml:space="preserve">Section 2: Outcomes and </w:t>
      </w:r>
      <w:r w:rsidR="00BA0F94">
        <w:t>p</w:t>
      </w:r>
      <w:r w:rsidRPr="0089004B">
        <w:t xml:space="preserve">lanned </w:t>
      </w:r>
      <w:r w:rsidR="00BA0F94">
        <w:t>p</w:t>
      </w:r>
      <w:r w:rsidRPr="0089004B">
        <w:t>erformance</w:t>
      </w:r>
      <w:bookmarkEnd w:id="4"/>
    </w:p>
    <w:p w14:paraId="153015F8" w14:textId="74C8EA6E" w:rsidR="0024539A" w:rsidRPr="0089004B" w:rsidRDefault="0024539A" w:rsidP="0024539A">
      <w:pPr>
        <w:rPr>
          <w:color w:val="auto"/>
        </w:rPr>
      </w:pPr>
      <w:r w:rsidRPr="0089004B">
        <w:rPr>
          <w:color w:val="auto"/>
        </w:rPr>
        <w:t>Government outcomes are the intended results, impacts or consequences of actions by the Government on the Australian community. Commonwealth programs ar</w:t>
      </w:r>
      <w:r w:rsidR="00A05D23">
        <w:rPr>
          <w:color w:val="auto"/>
        </w:rPr>
        <w:t>e the primary vehicle by which g</w:t>
      </w:r>
      <w:r w:rsidRPr="0089004B">
        <w:rPr>
          <w:color w:val="auto"/>
        </w:rPr>
        <w:t>overnment entities achieve the intended results of their outcome statements. Entities are required to identify t</w:t>
      </w:r>
      <w:r w:rsidR="00A05D23">
        <w:rPr>
          <w:color w:val="auto"/>
        </w:rPr>
        <w:t>he programs that contribute to g</w:t>
      </w:r>
      <w:r w:rsidRPr="0089004B">
        <w:rPr>
          <w:color w:val="auto"/>
        </w:rPr>
        <w:t>overnment outcomes over the Budget and forward years.</w:t>
      </w:r>
    </w:p>
    <w:p w14:paraId="70C784C9" w14:textId="77777777" w:rsidR="0024539A" w:rsidRPr="0089004B" w:rsidRDefault="0024539A" w:rsidP="0024539A">
      <w:pPr>
        <w:rPr>
          <w:color w:val="auto"/>
        </w:rPr>
      </w:pPr>
      <w:r w:rsidRPr="0089004B">
        <w:rPr>
          <w:color w:val="auto"/>
        </w:rPr>
        <w:t>Each outcome is described within this section, together with its related programs. The following provides detailed information on expenses for each outcome and program, further broken down by funding source.</w:t>
      </w:r>
    </w:p>
    <w:p w14:paraId="7BBB03C0" w14:textId="77777777" w:rsidR="00BA0F94" w:rsidRPr="00BA0F94" w:rsidRDefault="00BA0F94" w:rsidP="00BA0F94">
      <w:pPr>
        <w:pBdr>
          <w:top w:val="single" w:sz="4" w:space="2" w:color="auto"/>
          <w:left w:val="single" w:sz="4" w:space="4" w:color="auto"/>
          <w:bottom w:val="single" w:sz="4" w:space="2" w:color="auto"/>
          <w:right w:val="single" w:sz="4" w:space="4" w:color="auto"/>
        </w:pBdr>
        <w:rPr>
          <w:rFonts w:cs="Arial"/>
          <w:b/>
          <w:szCs w:val="19"/>
        </w:rPr>
      </w:pPr>
      <w:r w:rsidRPr="00BA0F94">
        <w:rPr>
          <w:rFonts w:cs="Arial"/>
          <w:b/>
          <w:szCs w:val="19"/>
        </w:rPr>
        <w:t>Note:</w:t>
      </w:r>
    </w:p>
    <w:p w14:paraId="508BCF9D" w14:textId="77777777" w:rsidR="00BA0F94" w:rsidRPr="00BA0F94" w:rsidRDefault="00BA0F94" w:rsidP="00BA0F94">
      <w:pPr>
        <w:pBdr>
          <w:top w:val="single" w:sz="4" w:space="2" w:color="auto"/>
          <w:left w:val="single" w:sz="4" w:space="4" w:color="auto"/>
          <w:bottom w:val="single" w:sz="4" w:space="2" w:color="auto"/>
          <w:right w:val="single" w:sz="4" w:space="4" w:color="auto"/>
        </w:pBdr>
        <w:rPr>
          <w:szCs w:val="19"/>
        </w:rPr>
      </w:pPr>
      <w:r w:rsidRPr="00BA0F94">
        <w:rPr>
          <w:szCs w:val="19"/>
        </w:rPr>
        <w:t xml:space="preserve">Performance reporting requirements in the Portfolio Budget Statements are part of the Commonwealth Performance Framework established by </w:t>
      </w:r>
      <w:r w:rsidRPr="00BA0F94">
        <w:rPr>
          <w:i/>
          <w:szCs w:val="19"/>
        </w:rPr>
        <w:t>the Public Governance, Performance and Accountability Act 2013</w:t>
      </w:r>
      <w:r w:rsidRPr="00BA0F94">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210BA527" w14:textId="3CBEF719" w:rsidR="0031188B" w:rsidRPr="0089004B" w:rsidRDefault="0031188B" w:rsidP="00086180">
      <w:pPr>
        <w:pBdr>
          <w:top w:val="single" w:sz="4" w:space="2" w:color="auto"/>
          <w:left w:val="single" w:sz="4" w:space="4" w:color="auto"/>
          <w:bottom w:val="single" w:sz="4" w:space="2" w:color="auto"/>
          <w:right w:val="single" w:sz="4" w:space="4" w:color="auto"/>
        </w:pBdr>
        <w:rPr>
          <w:color w:val="auto"/>
        </w:rPr>
      </w:pPr>
      <w:r w:rsidRPr="0089004B">
        <w:rPr>
          <w:color w:val="auto"/>
        </w:rPr>
        <w:t xml:space="preserve">The </w:t>
      </w:r>
      <w:r w:rsidR="000842FC" w:rsidRPr="0089004B">
        <w:rPr>
          <w:color w:val="auto"/>
        </w:rPr>
        <w:t xml:space="preserve">ASC’s </w:t>
      </w:r>
      <w:r w:rsidRPr="0089004B">
        <w:rPr>
          <w:color w:val="auto"/>
        </w:rPr>
        <w:t>most recent Corporate Plan a</w:t>
      </w:r>
      <w:r w:rsidR="00F1298B" w:rsidRPr="0089004B">
        <w:rPr>
          <w:color w:val="auto"/>
        </w:rPr>
        <w:t>nd Annual Performance Statement</w:t>
      </w:r>
      <w:r w:rsidRPr="0089004B">
        <w:rPr>
          <w:color w:val="auto"/>
        </w:rPr>
        <w:t xml:space="preserve"> </w:t>
      </w:r>
      <w:r w:rsidR="000842FC" w:rsidRPr="0089004B">
        <w:rPr>
          <w:color w:val="auto"/>
        </w:rPr>
        <w:t>are available</w:t>
      </w:r>
      <w:r w:rsidRPr="0089004B">
        <w:rPr>
          <w:color w:val="auto"/>
        </w:rPr>
        <w:t xml:space="preserve"> at: www.sportaus.gov.au/media_centre/publications</w:t>
      </w:r>
      <w:r w:rsidR="00291E15" w:rsidRPr="00291E15">
        <w:t xml:space="preserve"> </w:t>
      </w:r>
    </w:p>
    <w:p w14:paraId="56CB9F69" w14:textId="1852122A" w:rsidR="00BC0659" w:rsidRPr="00B86F4E" w:rsidRDefault="00BC0659" w:rsidP="00980201">
      <w:pPr>
        <w:pStyle w:val="Heading3"/>
      </w:pPr>
      <w:bookmarkStart w:id="5" w:name="_Toc117406959"/>
      <w:r w:rsidRPr="00B86F4E">
        <w:t>2.1</w:t>
      </w:r>
      <w:r w:rsidRPr="00B86F4E">
        <w:tab/>
        <w:t xml:space="preserve">Budgeted </w:t>
      </w:r>
      <w:r w:rsidR="00BA0F94" w:rsidRPr="00B86F4E">
        <w:t>e</w:t>
      </w:r>
      <w:r w:rsidRPr="00B86F4E">
        <w:t xml:space="preserve">xpenses and </w:t>
      </w:r>
      <w:r w:rsidR="00BA0F94" w:rsidRPr="00B86F4E">
        <w:t>p</w:t>
      </w:r>
      <w:r w:rsidRPr="00B86F4E">
        <w:t>erformance</w:t>
      </w:r>
      <w:bookmarkEnd w:id="5"/>
    </w:p>
    <w:p w14:paraId="5CAF5B9B" w14:textId="77777777" w:rsidR="00EE73F8" w:rsidRPr="0049518D" w:rsidRDefault="00BC0659" w:rsidP="00EE73F8">
      <w:pPr>
        <w:pStyle w:val="OutcomeStatement"/>
        <w:spacing w:before="120" w:after="120"/>
        <w:rPr>
          <w:b/>
          <w:color w:val="auto"/>
          <w:szCs w:val="20"/>
        </w:rPr>
      </w:pPr>
      <w:r w:rsidRPr="0049518D">
        <w:rPr>
          <w:b/>
          <w:color w:val="auto"/>
          <w:szCs w:val="20"/>
        </w:rPr>
        <w:t>Outcome 1</w:t>
      </w:r>
    </w:p>
    <w:p w14:paraId="4E5A28B1" w14:textId="4C209F40" w:rsidR="00EE73F8" w:rsidRPr="0049518D" w:rsidRDefault="00C963C0" w:rsidP="00EE73F8">
      <w:pPr>
        <w:pStyle w:val="OutcomeStatement"/>
        <w:rPr>
          <w:rFonts w:cs="Arial"/>
          <w:color w:val="auto"/>
          <w:szCs w:val="20"/>
        </w:rPr>
      </w:pPr>
      <w:r w:rsidRPr="0049518D">
        <w:rPr>
          <w:rFonts w:cs="Arial"/>
          <w:color w:val="auto"/>
          <w:szCs w:val="20"/>
        </w:rPr>
        <w:t>Increased participation in organised sport and continued international sporting success including through leadership and development of a cohesive and effective sports sector, provision of targeted financial support, and the operation of the Australian Institute of Sport</w:t>
      </w:r>
      <w:r w:rsidR="00362B59">
        <w:rPr>
          <w:rFonts w:cs="Arial"/>
          <w:color w:val="auto"/>
          <w:szCs w:val="20"/>
        </w:rPr>
        <w:t>.</w:t>
      </w:r>
    </w:p>
    <w:p w14:paraId="73D7F0E7" w14:textId="251B0F28" w:rsidR="00BC0659" w:rsidRPr="0089004B" w:rsidRDefault="00BC0659" w:rsidP="00BC0659">
      <w:pPr>
        <w:pStyle w:val="Heading4"/>
        <w:rPr>
          <w:color w:val="auto"/>
        </w:rPr>
      </w:pPr>
      <w:r w:rsidRPr="0089004B">
        <w:rPr>
          <w:color w:val="auto"/>
        </w:rPr>
        <w:t xml:space="preserve">Program </w:t>
      </w:r>
      <w:r w:rsidR="00BA0F94">
        <w:rPr>
          <w:color w:val="auto"/>
        </w:rPr>
        <w:t>c</w:t>
      </w:r>
      <w:r w:rsidRPr="0089004B">
        <w:rPr>
          <w:color w:val="auto"/>
        </w:rPr>
        <w:t>ontributing to Outcome 1</w:t>
      </w:r>
    </w:p>
    <w:p w14:paraId="3E41CF9F" w14:textId="2153B1F2" w:rsidR="00C963C0" w:rsidRPr="0089004B" w:rsidRDefault="00BC0659" w:rsidP="003D35A4">
      <w:pPr>
        <w:widowControl w:val="0"/>
        <w:pBdr>
          <w:top w:val="single" w:sz="4" w:space="2" w:color="auto"/>
          <w:left w:val="single" w:sz="4" w:space="4" w:color="auto"/>
          <w:bottom w:val="single" w:sz="4" w:space="2" w:color="auto"/>
          <w:right w:val="single" w:sz="4" w:space="4" w:color="auto"/>
        </w:pBdr>
        <w:tabs>
          <w:tab w:val="left" w:pos="0"/>
        </w:tabs>
        <w:spacing w:before="40" w:after="40"/>
        <w:rPr>
          <w:rFonts w:ascii="Arial" w:hAnsi="Arial" w:cs="Arial"/>
          <w:b/>
          <w:color w:val="auto"/>
          <w:sz w:val="18"/>
          <w:szCs w:val="18"/>
        </w:rPr>
      </w:pPr>
      <w:r w:rsidRPr="0089004B">
        <w:rPr>
          <w:rFonts w:ascii="Arial" w:hAnsi="Arial" w:cs="Arial"/>
          <w:b/>
          <w:color w:val="auto"/>
          <w:sz w:val="18"/>
          <w:szCs w:val="18"/>
        </w:rPr>
        <w:t>Program 1.1:</w:t>
      </w:r>
      <w:r w:rsidRPr="0089004B">
        <w:rPr>
          <w:rFonts w:ascii="Arial" w:hAnsi="Arial" w:cs="Arial"/>
          <w:b/>
          <w:color w:val="auto"/>
          <w:sz w:val="18"/>
          <w:szCs w:val="18"/>
        </w:rPr>
        <w:tab/>
      </w:r>
      <w:r w:rsidR="00C963C0" w:rsidRPr="0089004B">
        <w:rPr>
          <w:rFonts w:ascii="Arial" w:hAnsi="Arial" w:cs="Arial"/>
          <w:b/>
          <w:color w:val="auto"/>
          <w:sz w:val="18"/>
          <w:szCs w:val="18"/>
        </w:rPr>
        <w:t>Australian Sports Commission</w:t>
      </w:r>
    </w:p>
    <w:p w14:paraId="6E99B171" w14:textId="535F25C1" w:rsidR="00291E15" w:rsidRPr="0049518D" w:rsidRDefault="00BC0659" w:rsidP="006D50A9">
      <w:pPr>
        <w:pStyle w:val="Heading4"/>
        <w:pageBreakBefore/>
        <w:rPr>
          <w:color w:val="auto"/>
          <w:sz w:val="22"/>
        </w:rPr>
      </w:pPr>
      <w:r w:rsidRPr="0049518D">
        <w:rPr>
          <w:color w:val="auto"/>
          <w:sz w:val="22"/>
        </w:rPr>
        <w:lastRenderedPageBreak/>
        <w:t xml:space="preserve">Linked </w:t>
      </w:r>
      <w:r w:rsidR="00BA0F94" w:rsidRPr="0049518D">
        <w:rPr>
          <w:color w:val="auto"/>
          <w:sz w:val="22"/>
        </w:rPr>
        <w:t>p</w:t>
      </w:r>
      <w:r w:rsidRPr="0049518D">
        <w:rPr>
          <w:color w:val="auto"/>
          <w:sz w:val="22"/>
        </w:rPr>
        <w:t>rograms</w:t>
      </w:r>
    </w:p>
    <w:tbl>
      <w:tblPr>
        <w:tblStyle w:val="TableGrid"/>
        <w:tblW w:w="5198" w:type="pct"/>
        <w:jc w:val="center"/>
        <w:tblLook w:val="04A0" w:firstRow="1" w:lastRow="0" w:firstColumn="1" w:lastColumn="0" w:noHBand="0" w:noVBand="1"/>
        <w:tblCaption w:val="Linked Programs: ASC"/>
        <w:tblDescription w:val="This table outlines linked programs for ASC's Outcome 1, including how other Commonwealth entities contribute to Outcome 1&#10;"/>
      </w:tblPr>
      <w:tblGrid>
        <w:gridCol w:w="7651"/>
      </w:tblGrid>
      <w:tr w:rsidR="0089004B" w:rsidRPr="0089004B" w14:paraId="7E48284C" w14:textId="77777777" w:rsidTr="00A032F5">
        <w:trPr>
          <w:tblHeader/>
          <w:jc w:val="center"/>
        </w:trPr>
        <w:tc>
          <w:tcPr>
            <w:tcW w:w="5000" w:type="pct"/>
            <w:shd w:val="clear" w:color="auto" w:fill="D9D9D9" w:themeFill="background1" w:themeFillShade="D9"/>
          </w:tcPr>
          <w:p w14:paraId="4E506BE6" w14:textId="77777777" w:rsidR="00BC0659" w:rsidRPr="00047C81" w:rsidRDefault="00BC0659" w:rsidP="00A032F5">
            <w:pPr>
              <w:pStyle w:val="Tableheadingrow9pt"/>
              <w:rPr>
                <w:color w:val="auto"/>
                <w:sz w:val="20"/>
                <w:szCs w:val="20"/>
              </w:rPr>
            </w:pPr>
            <w:r w:rsidRPr="00047C81">
              <w:rPr>
                <w:color w:val="auto"/>
                <w:sz w:val="20"/>
                <w:szCs w:val="20"/>
              </w:rPr>
              <w:t>Other Commonwealth entities that contribute to Outcome 1</w:t>
            </w:r>
          </w:p>
        </w:tc>
      </w:tr>
      <w:tr w:rsidR="008D0392" w:rsidRPr="0089004B" w14:paraId="150CD179" w14:textId="77777777" w:rsidTr="00A032F5">
        <w:trPr>
          <w:jc w:val="center"/>
        </w:trPr>
        <w:tc>
          <w:tcPr>
            <w:tcW w:w="5000" w:type="pct"/>
          </w:tcPr>
          <w:p w14:paraId="48EF07D8" w14:textId="0384DE96" w:rsidR="008D0392" w:rsidRPr="00BA0F94" w:rsidRDefault="008D0392" w:rsidP="008D0392">
            <w:pPr>
              <w:pStyle w:val="Tableheadingrow9pt"/>
              <w:rPr>
                <w:color w:val="auto"/>
                <w:sz w:val="19"/>
                <w:szCs w:val="19"/>
              </w:rPr>
            </w:pPr>
            <w:r w:rsidRPr="00BA0F94">
              <w:rPr>
                <w:color w:val="auto"/>
                <w:sz w:val="19"/>
                <w:szCs w:val="19"/>
              </w:rPr>
              <w:t>Department of Health and Aged Care</w:t>
            </w:r>
          </w:p>
        </w:tc>
      </w:tr>
      <w:tr w:rsidR="0089004B" w:rsidRPr="0089004B" w14:paraId="0C8E6C17" w14:textId="77777777" w:rsidTr="00A032F5">
        <w:trPr>
          <w:jc w:val="center"/>
        </w:trPr>
        <w:tc>
          <w:tcPr>
            <w:tcW w:w="5000" w:type="pct"/>
          </w:tcPr>
          <w:p w14:paraId="56E37122" w14:textId="77777777" w:rsidR="00C963C0" w:rsidRPr="00BA0F94" w:rsidRDefault="00715E72" w:rsidP="00C963C0">
            <w:pPr>
              <w:pStyle w:val="Tableheadingrow9pt"/>
              <w:rPr>
                <w:rFonts w:ascii="Book Antiqua" w:hAnsi="Book Antiqua"/>
                <w:color w:val="auto"/>
                <w:sz w:val="19"/>
                <w:szCs w:val="19"/>
              </w:rPr>
            </w:pPr>
            <w:r w:rsidRPr="00BA0F94">
              <w:rPr>
                <w:rFonts w:ascii="Book Antiqua" w:hAnsi="Book Antiqua"/>
                <w:color w:val="auto"/>
                <w:sz w:val="19"/>
                <w:szCs w:val="19"/>
              </w:rPr>
              <w:t>Program 4.1</w:t>
            </w:r>
            <w:r w:rsidR="00C963C0" w:rsidRPr="00BA0F94">
              <w:rPr>
                <w:rFonts w:ascii="Book Antiqua" w:hAnsi="Book Antiqua"/>
                <w:color w:val="auto"/>
                <w:sz w:val="19"/>
                <w:szCs w:val="19"/>
              </w:rPr>
              <w:t xml:space="preserve">: Sport and </w:t>
            </w:r>
            <w:r w:rsidR="00001D94" w:rsidRPr="00BA0F94">
              <w:rPr>
                <w:rFonts w:ascii="Book Antiqua" w:hAnsi="Book Antiqua"/>
                <w:color w:val="auto"/>
                <w:sz w:val="19"/>
                <w:szCs w:val="19"/>
              </w:rPr>
              <w:t>Recreation</w:t>
            </w:r>
          </w:p>
          <w:p w14:paraId="6E77FF6A" w14:textId="7B44CEC3" w:rsidR="00E9321E" w:rsidRPr="0089004B" w:rsidRDefault="00C04432" w:rsidP="00C963C0">
            <w:pPr>
              <w:pStyle w:val="Tabletextnormal9pt"/>
              <w:rPr>
                <w:color w:val="auto"/>
              </w:rPr>
            </w:pPr>
            <w:r w:rsidRPr="00BA0F94">
              <w:rPr>
                <w:rFonts w:ascii="Book Antiqua" w:hAnsi="Book Antiqua"/>
                <w:color w:val="auto"/>
                <w:sz w:val="19"/>
                <w:szCs w:val="19"/>
              </w:rPr>
              <w:t>The Department of Health and Aged Care</w:t>
            </w:r>
            <w:r w:rsidR="00DA1A9F" w:rsidRPr="00BA0F94">
              <w:rPr>
                <w:rFonts w:ascii="Book Antiqua" w:hAnsi="Book Antiqua"/>
                <w:color w:val="auto"/>
                <w:sz w:val="19"/>
                <w:szCs w:val="19"/>
              </w:rPr>
              <w:t xml:space="preserve"> </w:t>
            </w:r>
            <w:r w:rsidR="00C963C0" w:rsidRPr="00BA0F94">
              <w:rPr>
                <w:rFonts w:ascii="Book Antiqua" w:hAnsi="Book Antiqua"/>
                <w:color w:val="auto"/>
                <w:sz w:val="19"/>
                <w:szCs w:val="19"/>
              </w:rPr>
              <w:t>aims to increase participation in sport and recreation activities, support major international sporting events and improve water and snow safety.</w:t>
            </w:r>
          </w:p>
        </w:tc>
      </w:tr>
      <w:tr w:rsidR="008D0392" w:rsidRPr="0089004B" w14:paraId="25C573F5" w14:textId="77777777" w:rsidTr="00A032F5">
        <w:trPr>
          <w:jc w:val="center"/>
        </w:trPr>
        <w:tc>
          <w:tcPr>
            <w:tcW w:w="5000" w:type="pct"/>
          </w:tcPr>
          <w:p w14:paraId="45F3670F" w14:textId="6A05B395" w:rsidR="008D0392" w:rsidRPr="00BA0F94" w:rsidRDefault="008D0392" w:rsidP="008D0392">
            <w:pPr>
              <w:pStyle w:val="Tableheadingrow9pt"/>
              <w:rPr>
                <w:color w:val="auto"/>
                <w:sz w:val="19"/>
                <w:szCs w:val="19"/>
              </w:rPr>
            </w:pPr>
            <w:r w:rsidRPr="00BA0F94">
              <w:rPr>
                <w:color w:val="auto"/>
                <w:sz w:val="19"/>
                <w:szCs w:val="19"/>
              </w:rPr>
              <w:t>Department of the Prime Minister and Cabinet (PM&amp;C)</w:t>
            </w:r>
          </w:p>
        </w:tc>
      </w:tr>
      <w:tr w:rsidR="0089004B" w:rsidRPr="0089004B" w14:paraId="02A84A4B" w14:textId="77777777" w:rsidTr="00A032F5">
        <w:trPr>
          <w:jc w:val="center"/>
        </w:trPr>
        <w:tc>
          <w:tcPr>
            <w:tcW w:w="5000" w:type="pct"/>
          </w:tcPr>
          <w:p w14:paraId="692E5009" w14:textId="77777777" w:rsidR="00C963C0" w:rsidRPr="00BA0F94" w:rsidRDefault="00C963C0" w:rsidP="00C963C0">
            <w:pPr>
              <w:pStyle w:val="Tableheadingrow9pt"/>
              <w:rPr>
                <w:rFonts w:ascii="Book Antiqua" w:hAnsi="Book Antiqua"/>
                <w:color w:val="auto"/>
                <w:sz w:val="19"/>
                <w:szCs w:val="19"/>
              </w:rPr>
            </w:pPr>
            <w:r w:rsidRPr="00BA0F94">
              <w:rPr>
                <w:rFonts w:ascii="Book Antiqua" w:hAnsi="Book Antiqua"/>
                <w:color w:val="auto"/>
                <w:sz w:val="19"/>
                <w:szCs w:val="19"/>
              </w:rPr>
              <w:t>Program 1.1: Prime Minister and Cabinet</w:t>
            </w:r>
          </w:p>
          <w:p w14:paraId="30C14CB3" w14:textId="77777777" w:rsidR="00C963C0" w:rsidRPr="0089004B" w:rsidRDefault="00C963C0" w:rsidP="00C963C0">
            <w:pPr>
              <w:pStyle w:val="Tableheadingrow9pt"/>
              <w:rPr>
                <w:b w:val="0"/>
                <w:color w:val="auto"/>
              </w:rPr>
            </w:pPr>
            <w:r w:rsidRPr="00BA0F94">
              <w:rPr>
                <w:rFonts w:ascii="Book Antiqua" w:hAnsi="Book Antiqua"/>
                <w:b w:val="0"/>
                <w:color w:val="auto"/>
                <w:sz w:val="19"/>
                <w:szCs w:val="19"/>
              </w:rPr>
              <w:t>PM&amp;C contributes to improving the diversity of sporting organisations by working to increase female representation in sport leadership roles.</w:t>
            </w:r>
          </w:p>
        </w:tc>
      </w:tr>
      <w:tr w:rsidR="008D0392" w:rsidRPr="0089004B" w14:paraId="0621A87F" w14:textId="77777777" w:rsidTr="00A032F5">
        <w:trPr>
          <w:jc w:val="center"/>
        </w:trPr>
        <w:tc>
          <w:tcPr>
            <w:tcW w:w="5000" w:type="pct"/>
          </w:tcPr>
          <w:p w14:paraId="468C0ED4" w14:textId="1184172E" w:rsidR="008D0392" w:rsidRPr="00BA0F94" w:rsidRDefault="008D0392" w:rsidP="008D0392">
            <w:pPr>
              <w:pStyle w:val="Tableheadingrow9pt"/>
              <w:rPr>
                <w:color w:val="auto"/>
                <w:sz w:val="19"/>
                <w:szCs w:val="19"/>
              </w:rPr>
            </w:pPr>
            <w:r w:rsidRPr="00BA0F94">
              <w:rPr>
                <w:color w:val="auto"/>
                <w:sz w:val="19"/>
                <w:szCs w:val="19"/>
              </w:rPr>
              <w:t>Sport Integrity Australia</w:t>
            </w:r>
            <w:r w:rsidRPr="00BA0F94">
              <w:rPr>
                <w:rStyle w:val="FootnoteReference"/>
                <w:color w:val="auto"/>
                <w:sz w:val="19"/>
                <w:szCs w:val="19"/>
              </w:rPr>
              <w:footnoteReference w:id="2"/>
            </w:r>
          </w:p>
        </w:tc>
      </w:tr>
      <w:tr w:rsidR="0089004B" w:rsidRPr="0089004B" w14:paraId="5D2B3643" w14:textId="77777777" w:rsidTr="00A032F5">
        <w:trPr>
          <w:jc w:val="center"/>
        </w:trPr>
        <w:tc>
          <w:tcPr>
            <w:tcW w:w="5000" w:type="pct"/>
          </w:tcPr>
          <w:p w14:paraId="0C9D851B" w14:textId="77777777" w:rsidR="00C963C0" w:rsidRPr="00BA0F94" w:rsidRDefault="00C963C0" w:rsidP="00C963C0">
            <w:pPr>
              <w:pStyle w:val="Tableheadingrow9pt"/>
              <w:rPr>
                <w:rFonts w:ascii="Book Antiqua" w:hAnsi="Book Antiqua"/>
                <w:color w:val="auto"/>
                <w:sz w:val="19"/>
                <w:szCs w:val="19"/>
              </w:rPr>
            </w:pPr>
            <w:r w:rsidRPr="00BA0F94">
              <w:rPr>
                <w:rFonts w:ascii="Book Antiqua" w:hAnsi="Book Antiqua"/>
                <w:color w:val="auto"/>
                <w:sz w:val="19"/>
                <w:szCs w:val="19"/>
              </w:rPr>
              <w:t>Program 1.1: Sport Integrity</w:t>
            </w:r>
          </w:p>
          <w:p w14:paraId="120822C9" w14:textId="77777777" w:rsidR="00C963C0" w:rsidRPr="0089004B" w:rsidRDefault="00C963C0" w:rsidP="00C963C0">
            <w:pPr>
              <w:pStyle w:val="Tableheadingrow9pt"/>
              <w:rPr>
                <w:color w:val="auto"/>
              </w:rPr>
            </w:pPr>
            <w:r w:rsidRPr="00BA0F94">
              <w:rPr>
                <w:rFonts w:ascii="Book Antiqua" w:hAnsi="Book Antiqua"/>
                <w:b w:val="0"/>
                <w:color w:val="auto"/>
                <w:sz w:val="19"/>
                <w:szCs w:val="19"/>
              </w:rPr>
              <w:t>Sport Integrity Australia plays a central role in protecting the integrity of sport through targeting match-fixing, doping in sport and other forms of corruption. The ASC works collaboratively with Sport Integrity Australia to protect Australian sport from integrity threats, including the protection of children and other vulnerable sport participants.</w:t>
            </w:r>
          </w:p>
        </w:tc>
      </w:tr>
    </w:tbl>
    <w:p w14:paraId="141A245D" w14:textId="77777777" w:rsidR="00BA0F94" w:rsidRPr="00BA0F94" w:rsidRDefault="00BA0F94" w:rsidP="00BA0F94">
      <w:pPr>
        <w:keepNext/>
        <w:spacing w:before="240"/>
        <w:outlineLvl w:val="4"/>
        <w:rPr>
          <w:rFonts w:ascii="Arial" w:hAnsi="Arial"/>
          <w:bCs/>
          <w:i/>
          <w:iCs/>
          <w:color w:val="auto"/>
          <w:sz w:val="20"/>
          <w:szCs w:val="26"/>
        </w:rPr>
      </w:pPr>
      <w:r w:rsidRPr="00BA0F94">
        <w:rPr>
          <w:rFonts w:ascii="Arial" w:hAnsi="Arial"/>
          <w:bCs/>
          <w:i/>
          <w:iCs/>
          <w:color w:val="auto"/>
          <w:sz w:val="20"/>
          <w:szCs w:val="26"/>
        </w:rPr>
        <w:t>Budgeted expenses for Outcome 1</w:t>
      </w:r>
    </w:p>
    <w:p w14:paraId="49F1BBFB" w14:textId="77777777" w:rsidR="00BA0F94" w:rsidRPr="00BA0F94" w:rsidRDefault="00BA0F94" w:rsidP="00BA0F94">
      <w:pPr>
        <w:spacing w:before="240" w:after="240" w:line="240" w:lineRule="exact"/>
        <w:rPr>
          <w:color w:val="auto"/>
        </w:rPr>
      </w:pPr>
      <w:r w:rsidRPr="00BA0F94">
        <w:rPr>
          <w:color w:val="auto"/>
        </w:rPr>
        <w:t>This table shows how much the entity intends to spend (on an accrual basis) on achieving the outcome, broken down by program, as well as by Administered and Departmental funding sources.</w:t>
      </w:r>
    </w:p>
    <w:p w14:paraId="2F3B77C1" w14:textId="3C17F605" w:rsidR="00BC0659" w:rsidRDefault="00BC0659" w:rsidP="00BC0659">
      <w:pPr>
        <w:pStyle w:val="Tablenumberandreference"/>
        <w:rPr>
          <w:color w:val="auto"/>
        </w:rPr>
      </w:pPr>
      <w:r w:rsidRPr="0089004B">
        <w:rPr>
          <w:color w:val="auto"/>
        </w:rPr>
        <w:t xml:space="preserve">Table 2.1.1: Budgeted </w:t>
      </w:r>
      <w:r w:rsidR="00BA0F94">
        <w:rPr>
          <w:color w:val="auto"/>
        </w:rPr>
        <w:t>e</w:t>
      </w:r>
      <w:r w:rsidRPr="0089004B">
        <w:rPr>
          <w:color w:val="auto"/>
        </w:rPr>
        <w:t xml:space="preserve">xpenses </w:t>
      </w:r>
      <w:r w:rsidR="00743A03" w:rsidRPr="0089004B">
        <w:rPr>
          <w:color w:val="auto"/>
        </w:rPr>
        <w:t xml:space="preserve">and </w:t>
      </w:r>
      <w:r w:rsidR="00BA0F94">
        <w:rPr>
          <w:color w:val="auto"/>
        </w:rPr>
        <w:t>r</w:t>
      </w:r>
      <w:r w:rsidR="00743A03" w:rsidRPr="0089004B">
        <w:rPr>
          <w:color w:val="auto"/>
        </w:rPr>
        <w:t xml:space="preserve">esources </w:t>
      </w:r>
      <w:r w:rsidRPr="0089004B">
        <w:rPr>
          <w:color w:val="auto"/>
        </w:rPr>
        <w:t xml:space="preserve">for </w:t>
      </w:r>
      <w:r w:rsidR="005C3C33">
        <w:rPr>
          <w:color w:val="auto"/>
        </w:rPr>
        <w:t>Outcome 1</w:t>
      </w:r>
    </w:p>
    <w:tbl>
      <w:tblPr>
        <w:tblW w:w="7418" w:type="dxa"/>
        <w:jc w:val="center"/>
        <w:tblLayout w:type="fixed"/>
        <w:tblLook w:val="04A0" w:firstRow="1" w:lastRow="0" w:firstColumn="1" w:lastColumn="0" w:noHBand="0" w:noVBand="1"/>
      </w:tblPr>
      <w:tblGrid>
        <w:gridCol w:w="2818"/>
        <w:gridCol w:w="920"/>
        <w:gridCol w:w="920"/>
        <w:gridCol w:w="920"/>
        <w:gridCol w:w="920"/>
        <w:gridCol w:w="907"/>
        <w:gridCol w:w="13"/>
      </w:tblGrid>
      <w:tr w:rsidR="007E1DF2" w:rsidRPr="007E1DF2" w14:paraId="6703EE33" w14:textId="77777777" w:rsidTr="00963710">
        <w:trPr>
          <w:gridAfter w:val="1"/>
          <w:wAfter w:w="13" w:type="dxa"/>
          <w:trHeight w:val="765"/>
          <w:jc w:val="center"/>
        </w:trPr>
        <w:tc>
          <w:tcPr>
            <w:tcW w:w="2818" w:type="dxa"/>
            <w:tcBorders>
              <w:top w:val="single" w:sz="4" w:space="0" w:color="auto"/>
              <w:left w:val="nil"/>
              <w:bottom w:val="nil"/>
              <w:right w:val="nil"/>
            </w:tcBorders>
            <w:shd w:val="clear" w:color="auto" w:fill="auto"/>
            <w:hideMark/>
          </w:tcPr>
          <w:p w14:paraId="689DBAC1" w14:textId="77777777" w:rsidR="007E1DF2" w:rsidRPr="007E1DF2" w:rsidRDefault="007E1DF2" w:rsidP="007E1DF2">
            <w:pPr>
              <w:spacing w:before="40" w:after="0"/>
              <w:jc w:val="right"/>
              <w:rPr>
                <w:rFonts w:ascii="Times New Roman" w:hAnsi="Times New Roman"/>
                <w:color w:val="auto"/>
                <w:sz w:val="20"/>
                <w:szCs w:val="24"/>
              </w:rPr>
            </w:pPr>
          </w:p>
        </w:tc>
        <w:tc>
          <w:tcPr>
            <w:tcW w:w="920" w:type="dxa"/>
            <w:tcBorders>
              <w:top w:val="single" w:sz="4" w:space="0" w:color="auto"/>
              <w:left w:val="nil"/>
              <w:bottom w:val="single" w:sz="4" w:space="0" w:color="auto"/>
              <w:right w:val="nil"/>
            </w:tcBorders>
            <w:shd w:val="clear" w:color="auto" w:fill="auto"/>
            <w:tcMar>
              <w:left w:w="0" w:type="dxa"/>
            </w:tcMar>
            <w:hideMark/>
          </w:tcPr>
          <w:p w14:paraId="06126E23" w14:textId="77777777" w:rsidR="007E1DF2" w:rsidRPr="007E1DF2" w:rsidRDefault="007E1DF2" w:rsidP="007E1DF2">
            <w:pPr>
              <w:spacing w:before="40" w:after="0"/>
              <w:jc w:val="right"/>
              <w:rPr>
                <w:rFonts w:ascii="Arial" w:hAnsi="Arial" w:cs="Arial"/>
                <w:b/>
                <w:bCs/>
                <w:color w:val="auto"/>
                <w:sz w:val="16"/>
                <w:szCs w:val="16"/>
              </w:rPr>
            </w:pPr>
            <w:r w:rsidRPr="007E1DF2">
              <w:rPr>
                <w:rFonts w:ascii="Arial" w:hAnsi="Arial" w:cs="Arial"/>
                <w:b/>
                <w:bCs/>
                <w:color w:val="auto"/>
                <w:sz w:val="16"/>
                <w:szCs w:val="16"/>
              </w:rPr>
              <w:t>2021–22 Estimated actual</w:t>
            </w:r>
            <w:r w:rsidRPr="007E1DF2">
              <w:rPr>
                <w:rFonts w:ascii="Arial" w:hAnsi="Arial" w:cs="Arial"/>
                <w:b/>
                <w:bCs/>
                <w:color w:val="auto"/>
                <w:sz w:val="16"/>
                <w:szCs w:val="16"/>
              </w:rPr>
              <w:br/>
            </w:r>
            <w:r w:rsidRPr="007E1DF2">
              <w:rPr>
                <w:rFonts w:ascii="Arial" w:hAnsi="Arial" w:cs="Arial"/>
                <w:color w:val="auto"/>
                <w:sz w:val="16"/>
                <w:szCs w:val="16"/>
              </w:rPr>
              <w:t>$'000</w:t>
            </w:r>
          </w:p>
        </w:tc>
        <w:tc>
          <w:tcPr>
            <w:tcW w:w="920" w:type="dxa"/>
            <w:tcBorders>
              <w:top w:val="single" w:sz="4" w:space="0" w:color="auto"/>
              <w:left w:val="nil"/>
              <w:bottom w:val="single" w:sz="4" w:space="0" w:color="auto"/>
              <w:right w:val="nil"/>
            </w:tcBorders>
            <w:shd w:val="clear" w:color="000000" w:fill="D9D9D9"/>
            <w:hideMark/>
          </w:tcPr>
          <w:p w14:paraId="0C17D709" w14:textId="77777777" w:rsidR="007E1DF2" w:rsidRPr="007E1DF2" w:rsidRDefault="007E1DF2" w:rsidP="007E1DF2">
            <w:pPr>
              <w:spacing w:before="40" w:after="0"/>
              <w:jc w:val="right"/>
              <w:rPr>
                <w:rFonts w:ascii="Arial" w:hAnsi="Arial" w:cs="Arial"/>
                <w:b/>
                <w:bCs/>
                <w:color w:val="auto"/>
                <w:sz w:val="16"/>
                <w:szCs w:val="16"/>
              </w:rPr>
            </w:pPr>
            <w:r w:rsidRPr="007E1DF2">
              <w:rPr>
                <w:rFonts w:ascii="Arial" w:hAnsi="Arial" w:cs="Arial"/>
                <w:b/>
                <w:bCs/>
                <w:color w:val="auto"/>
                <w:sz w:val="16"/>
                <w:szCs w:val="16"/>
              </w:rPr>
              <w:t>2022–23</w:t>
            </w:r>
            <w:r w:rsidRPr="007E1DF2">
              <w:rPr>
                <w:rFonts w:ascii="Arial" w:hAnsi="Arial" w:cs="Arial"/>
                <w:b/>
                <w:bCs/>
                <w:color w:val="auto"/>
                <w:sz w:val="16"/>
                <w:szCs w:val="16"/>
              </w:rPr>
              <w:br/>
              <w:t>Budget</w:t>
            </w:r>
            <w:r w:rsidRPr="007E1DF2">
              <w:rPr>
                <w:rFonts w:ascii="Arial" w:hAnsi="Arial" w:cs="Arial"/>
                <w:b/>
                <w:bCs/>
                <w:color w:val="auto"/>
                <w:sz w:val="16"/>
                <w:szCs w:val="16"/>
              </w:rPr>
              <w:br/>
            </w:r>
            <w:r w:rsidRPr="007E1DF2">
              <w:rPr>
                <w:rFonts w:ascii="Arial" w:hAnsi="Arial" w:cs="Arial"/>
                <w:b/>
                <w:bCs/>
                <w:color w:val="auto"/>
                <w:sz w:val="16"/>
                <w:szCs w:val="16"/>
              </w:rPr>
              <w:br/>
            </w:r>
            <w:r w:rsidRPr="007E1DF2">
              <w:rPr>
                <w:rFonts w:ascii="Arial" w:hAnsi="Arial" w:cs="Arial"/>
                <w:color w:val="auto"/>
                <w:sz w:val="16"/>
                <w:szCs w:val="16"/>
              </w:rPr>
              <w:t>$'000</w:t>
            </w:r>
          </w:p>
        </w:tc>
        <w:tc>
          <w:tcPr>
            <w:tcW w:w="920" w:type="dxa"/>
            <w:tcBorders>
              <w:top w:val="single" w:sz="4" w:space="0" w:color="auto"/>
              <w:left w:val="nil"/>
              <w:bottom w:val="single" w:sz="4" w:space="0" w:color="auto"/>
              <w:right w:val="nil"/>
            </w:tcBorders>
            <w:shd w:val="clear" w:color="auto" w:fill="auto"/>
            <w:hideMark/>
          </w:tcPr>
          <w:p w14:paraId="09A12F18" w14:textId="77777777" w:rsidR="007E1DF2" w:rsidRPr="007E1DF2" w:rsidRDefault="007E1DF2" w:rsidP="007E1DF2">
            <w:pPr>
              <w:spacing w:before="40" w:after="0"/>
              <w:jc w:val="right"/>
              <w:rPr>
                <w:rFonts w:ascii="Arial" w:hAnsi="Arial" w:cs="Arial"/>
                <w:b/>
                <w:bCs/>
                <w:color w:val="auto"/>
                <w:sz w:val="16"/>
                <w:szCs w:val="16"/>
              </w:rPr>
            </w:pPr>
            <w:r w:rsidRPr="007E1DF2">
              <w:rPr>
                <w:rFonts w:ascii="Arial" w:hAnsi="Arial" w:cs="Arial"/>
                <w:b/>
                <w:bCs/>
                <w:color w:val="auto"/>
                <w:sz w:val="16"/>
                <w:szCs w:val="16"/>
              </w:rPr>
              <w:t>2023–24 Forward estimate</w:t>
            </w:r>
            <w:r w:rsidRPr="007E1DF2">
              <w:rPr>
                <w:rFonts w:ascii="Arial" w:hAnsi="Arial" w:cs="Arial"/>
                <w:b/>
                <w:bCs/>
                <w:color w:val="auto"/>
                <w:sz w:val="16"/>
                <w:szCs w:val="16"/>
              </w:rPr>
              <w:br/>
            </w:r>
            <w:r w:rsidRPr="007E1DF2">
              <w:rPr>
                <w:rFonts w:ascii="Arial" w:hAnsi="Arial" w:cs="Arial"/>
                <w:color w:val="auto"/>
                <w:sz w:val="16"/>
                <w:szCs w:val="16"/>
              </w:rPr>
              <w:t>$'000</w:t>
            </w:r>
          </w:p>
        </w:tc>
        <w:tc>
          <w:tcPr>
            <w:tcW w:w="920" w:type="dxa"/>
            <w:tcBorders>
              <w:top w:val="single" w:sz="4" w:space="0" w:color="auto"/>
              <w:left w:val="nil"/>
              <w:bottom w:val="single" w:sz="4" w:space="0" w:color="auto"/>
              <w:right w:val="nil"/>
            </w:tcBorders>
            <w:shd w:val="clear" w:color="auto" w:fill="auto"/>
            <w:hideMark/>
          </w:tcPr>
          <w:p w14:paraId="07984F63" w14:textId="77777777" w:rsidR="007E1DF2" w:rsidRPr="007E1DF2" w:rsidRDefault="007E1DF2" w:rsidP="007E1DF2">
            <w:pPr>
              <w:spacing w:before="40" w:after="0"/>
              <w:jc w:val="right"/>
              <w:rPr>
                <w:rFonts w:ascii="Arial" w:hAnsi="Arial" w:cs="Arial"/>
                <w:b/>
                <w:bCs/>
                <w:color w:val="auto"/>
                <w:sz w:val="16"/>
                <w:szCs w:val="16"/>
              </w:rPr>
            </w:pPr>
            <w:r w:rsidRPr="007E1DF2">
              <w:rPr>
                <w:rFonts w:ascii="Arial" w:hAnsi="Arial" w:cs="Arial"/>
                <w:b/>
                <w:bCs/>
                <w:color w:val="auto"/>
                <w:sz w:val="16"/>
                <w:szCs w:val="16"/>
              </w:rPr>
              <w:t>2024–25</w:t>
            </w:r>
            <w:r w:rsidRPr="007E1DF2">
              <w:rPr>
                <w:rFonts w:ascii="Arial" w:hAnsi="Arial" w:cs="Arial"/>
                <w:b/>
                <w:bCs/>
                <w:color w:val="auto"/>
                <w:sz w:val="16"/>
                <w:szCs w:val="16"/>
              </w:rPr>
              <w:br/>
              <w:t>Forward estimate</w:t>
            </w:r>
            <w:r w:rsidRPr="007E1DF2">
              <w:rPr>
                <w:rFonts w:ascii="Arial" w:hAnsi="Arial" w:cs="Arial"/>
                <w:b/>
                <w:bCs/>
                <w:color w:val="auto"/>
                <w:sz w:val="16"/>
                <w:szCs w:val="16"/>
              </w:rPr>
              <w:br/>
            </w:r>
            <w:r w:rsidRPr="007E1DF2">
              <w:rPr>
                <w:rFonts w:ascii="Arial" w:hAnsi="Arial" w:cs="Arial"/>
                <w:color w:val="auto"/>
                <w:sz w:val="16"/>
                <w:szCs w:val="16"/>
              </w:rPr>
              <w:t>$'000</w:t>
            </w:r>
          </w:p>
        </w:tc>
        <w:tc>
          <w:tcPr>
            <w:tcW w:w="907" w:type="dxa"/>
            <w:tcBorders>
              <w:top w:val="single" w:sz="4" w:space="0" w:color="auto"/>
              <w:left w:val="nil"/>
              <w:bottom w:val="single" w:sz="4" w:space="0" w:color="auto"/>
              <w:right w:val="nil"/>
            </w:tcBorders>
            <w:shd w:val="clear" w:color="auto" w:fill="auto"/>
            <w:hideMark/>
          </w:tcPr>
          <w:p w14:paraId="792A4E1F" w14:textId="77777777" w:rsidR="007E1DF2" w:rsidRPr="007E1DF2" w:rsidRDefault="007E1DF2" w:rsidP="007E1DF2">
            <w:pPr>
              <w:spacing w:before="40" w:after="0"/>
              <w:jc w:val="right"/>
              <w:rPr>
                <w:rFonts w:ascii="Arial" w:hAnsi="Arial" w:cs="Arial"/>
                <w:b/>
                <w:bCs/>
                <w:color w:val="auto"/>
                <w:sz w:val="16"/>
                <w:szCs w:val="16"/>
              </w:rPr>
            </w:pPr>
            <w:r w:rsidRPr="007E1DF2">
              <w:rPr>
                <w:rFonts w:ascii="Arial" w:hAnsi="Arial" w:cs="Arial"/>
                <w:b/>
                <w:bCs/>
                <w:color w:val="auto"/>
                <w:sz w:val="16"/>
                <w:szCs w:val="16"/>
              </w:rPr>
              <w:t>2025–26 Forward estimate</w:t>
            </w:r>
            <w:r w:rsidRPr="007E1DF2">
              <w:rPr>
                <w:rFonts w:ascii="Arial" w:hAnsi="Arial" w:cs="Arial"/>
                <w:b/>
                <w:bCs/>
                <w:color w:val="auto"/>
                <w:sz w:val="16"/>
                <w:szCs w:val="16"/>
              </w:rPr>
              <w:br/>
            </w:r>
            <w:r w:rsidRPr="007E1DF2">
              <w:rPr>
                <w:rFonts w:ascii="Arial" w:hAnsi="Arial" w:cs="Arial"/>
                <w:color w:val="auto"/>
                <w:sz w:val="16"/>
                <w:szCs w:val="16"/>
              </w:rPr>
              <w:t>$'000</w:t>
            </w:r>
          </w:p>
        </w:tc>
      </w:tr>
      <w:tr w:rsidR="007E1DF2" w:rsidRPr="007E1DF2" w14:paraId="5ABB6166" w14:textId="77777777" w:rsidTr="007E1DF2">
        <w:trPr>
          <w:trHeight w:val="283"/>
          <w:jc w:val="center"/>
        </w:trPr>
        <w:tc>
          <w:tcPr>
            <w:tcW w:w="7418" w:type="dxa"/>
            <w:gridSpan w:val="7"/>
            <w:tcBorders>
              <w:top w:val="nil"/>
              <w:left w:val="nil"/>
              <w:bottom w:val="nil"/>
              <w:right w:val="nil"/>
            </w:tcBorders>
            <w:shd w:val="clear" w:color="auto" w:fill="auto"/>
            <w:noWrap/>
            <w:vAlign w:val="bottom"/>
            <w:hideMark/>
          </w:tcPr>
          <w:p w14:paraId="1CD60CF2" w14:textId="77777777" w:rsidR="007E1DF2" w:rsidRPr="007E1DF2" w:rsidRDefault="007E1DF2" w:rsidP="007E1DF2">
            <w:pPr>
              <w:spacing w:after="0"/>
              <w:rPr>
                <w:rFonts w:ascii="Arial" w:hAnsi="Arial" w:cs="Arial"/>
                <w:b/>
                <w:bCs/>
                <w:color w:val="auto"/>
                <w:sz w:val="16"/>
                <w:szCs w:val="16"/>
              </w:rPr>
            </w:pPr>
            <w:r w:rsidRPr="007E1DF2">
              <w:rPr>
                <w:rFonts w:ascii="Arial" w:hAnsi="Arial" w:cs="Arial"/>
                <w:b/>
                <w:bCs/>
                <w:color w:val="auto"/>
                <w:sz w:val="16"/>
                <w:szCs w:val="16"/>
              </w:rPr>
              <w:t>Program 1.1: Australian Sports Commission</w:t>
            </w:r>
          </w:p>
        </w:tc>
      </w:tr>
      <w:tr w:rsidR="007E1DF2" w:rsidRPr="007E1DF2" w14:paraId="247D313B" w14:textId="77777777" w:rsidTr="007E1DF2">
        <w:trPr>
          <w:gridAfter w:val="1"/>
          <w:wAfter w:w="13" w:type="dxa"/>
          <w:trHeight w:val="227"/>
          <w:jc w:val="center"/>
        </w:trPr>
        <w:tc>
          <w:tcPr>
            <w:tcW w:w="2818" w:type="dxa"/>
            <w:tcBorders>
              <w:top w:val="nil"/>
              <w:left w:val="nil"/>
              <w:bottom w:val="nil"/>
              <w:right w:val="nil"/>
            </w:tcBorders>
            <w:shd w:val="clear" w:color="auto" w:fill="auto"/>
            <w:noWrap/>
            <w:vAlign w:val="bottom"/>
            <w:hideMark/>
          </w:tcPr>
          <w:p w14:paraId="61947CD0" w14:textId="77777777" w:rsidR="007E1DF2" w:rsidRPr="007E1DF2" w:rsidRDefault="007E1DF2" w:rsidP="007E1DF2">
            <w:pPr>
              <w:spacing w:after="0"/>
              <w:ind w:leftChars="75" w:left="143"/>
              <w:rPr>
                <w:rFonts w:ascii="Arial" w:hAnsi="Arial" w:cs="Arial"/>
                <w:color w:val="auto"/>
                <w:sz w:val="16"/>
                <w:szCs w:val="16"/>
              </w:rPr>
            </w:pPr>
            <w:r w:rsidRPr="007E1DF2">
              <w:rPr>
                <w:rFonts w:ascii="Arial" w:hAnsi="Arial" w:cs="Arial"/>
                <w:color w:val="auto"/>
                <w:sz w:val="16"/>
                <w:szCs w:val="16"/>
              </w:rPr>
              <w:t>Revenue from Government</w:t>
            </w:r>
          </w:p>
        </w:tc>
        <w:tc>
          <w:tcPr>
            <w:tcW w:w="920" w:type="dxa"/>
            <w:tcBorders>
              <w:top w:val="nil"/>
              <w:left w:val="nil"/>
              <w:bottom w:val="nil"/>
              <w:right w:val="nil"/>
            </w:tcBorders>
            <w:shd w:val="clear" w:color="auto" w:fill="auto"/>
            <w:noWrap/>
            <w:vAlign w:val="bottom"/>
            <w:hideMark/>
          </w:tcPr>
          <w:p w14:paraId="188533F2" w14:textId="77777777" w:rsidR="007E1DF2" w:rsidRPr="007E1DF2" w:rsidRDefault="007E1DF2" w:rsidP="007E1DF2">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000000" w:fill="D9D9D9"/>
            <w:noWrap/>
            <w:vAlign w:val="bottom"/>
            <w:hideMark/>
          </w:tcPr>
          <w:p w14:paraId="49269278"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67CDF157" w14:textId="77777777" w:rsidR="007E1DF2" w:rsidRPr="007E1DF2" w:rsidRDefault="007E1DF2" w:rsidP="007E1DF2">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2B07816" w14:textId="77777777" w:rsidR="007E1DF2" w:rsidRPr="007E1DF2" w:rsidRDefault="007E1DF2" w:rsidP="007E1DF2">
            <w:pPr>
              <w:spacing w:after="0"/>
              <w:jc w:val="right"/>
              <w:rPr>
                <w:rFonts w:ascii="Times New Roman" w:hAnsi="Times New Roman"/>
                <w:color w:val="auto"/>
                <w:sz w:val="20"/>
              </w:rPr>
            </w:pPr>
          </w:p>
        </w:tc>
        <w:tc>
          <w:tcPr>
            <w:tcW w:w="907" w:type="dxa"/>
            <w:tcBorders>
              <w:top w:val="nil"/>
              <w:left w:val="nil"/>
              <w:bottom w:val="nil"/>
              <w:right w:val="nil"/>
            </w:tcBorders>
            <w:shd w:val="clear" w:color="auto" w:fill="auto"/>
            <w:noWrap/>
            <w:vAlign w:val="bottom"/>
            <w:hideMark/>
          </w:tcPr>
          <w:p w14:paraId="26FBC9E6" w14:textId="77777777" w:rsidR="007E1DF2" w:rsidRPr="007E1DF2" w:rsidRDefault="007E1DF2" w:rsidP="007E1DF2">
            <w:pPr>
              <w:spacing w:after="0"/>
              <w:jc w:val="right"/>
              <w:rPr>
                <w:rFonts w:ascii="Times New Roman" w:hAnsi="Times New Roman"/>
                <w:color w:val="auto"/>
                <w:sz w:val="20"/>
              </w:rPr>
            </w:pPr>
          </w:p>
        </w:tc>
      </w:tr>
      <w:tr w:rsidR="007E1DF2" w:rsidRPr="007E1DF2" w14:paraId="7DA61C11" w14:textId="77777777" w:rsidTr="007E1DF2">
        <w:trPr>
          <w:gridAfter w:val="1"/>
          <w:wAfter w:w="13" w:type="dxa"/>
          <w:trHeight w:val="225"/>
          <w:jc w:val="center"/>
        </w:trPr>
        <w:tc>
          <w:tcPr>
            <w:tcW w:w="2818" w:type="dxa"/>
            <w:tcBorders>
              <w:top w:val="nil"/>
              <w:left w:val="nil"/>
              <w:bottom w:val="nil"/>
              <w:right w:val="nil"/>
            </w:tcBorders>
            <w:shd w:val="clear" w:color="auto" w:fill="auto"/>
            <w:noWrap/>
            <w:vAlign w:val="bottom"/>
            <w:hideMark/>
          </w:tcPr>
          <w:p w14:paraId="71D67282" w14:textId="77777777" w:rsidR="007E1DF2" w:rsidRPr="007E1DF2" w:rsidRDefault="007E1DF2" w:rsidP="007E1DF2">
            <w:pPr>
              <w:spacing w:after="0"/>
              <w:ind w:firstLineChars="200" w:firstLine="320"/>
              <w:rPr>
                <w:rFonts w:ascii="Arial" w:hAnsi="Arial" w:cs="Arial"/>
                <w:color w:val="auto"/>
                <w:sz w:val="16"/>
                <w:szCs w:val="16"/>
              </w:rPr>
            </w:pPr>
            <w:r w:rsidRPr="007E1DF2">
              <w:rPr>
                <w:rFonts w:ascii="Arial" w:hAnsi="Arial" w:cs="Arial"/>
                <w:color w:val="auto"/>
                <w:sz w:val="16"/>
                <w:szCs w:val="16"/>
              </w:rPr>
              <w:t xml:space="preserve">Ordinary annual services </w:t>
            </w:r>
            <w:r w:rsidRPr="007E1DF2">
              <w:rPr>
                <w:rFonts w:ascii="Arial" w:hAnsi="Arial" w:cs="Arial"/>
                <w:color w:val="auto"/>
                <w:sz w:val="16"/>
                <w:szCs w:val="16"/>
                <w:vertAlign w:val="superscript"/>
              </w:rPr>
              <w:t>(a)</w:t>
            </w:r>
          </w:p>
        </w:tc>
        <w:tc>
          <w:tcPr>
            <w:tcW w:w="920" w:type="dxa"/>
            <w:tcBorders>
              <w:top w:val="nil"/>
              <w:left w:val="nil"/>
              <w:bottom w:val="nil"/>
              <w:right w:val="nil"/>
            </w:tcBorders>
            <w:shd w:val="clear" w:color="auto" w:fill="auto"/>
            <w:noWrap/>
            <w:vAlign w:val="bottom"/>
            <w:hideMark/>
          </w:tcPr>
          <w:p w14:paraId="4AF3C968"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323,530</w:t>
            </w:r>
          </w:p>
        </w:tc>
        <w:tc>
          <w:tcPr>
            <w:tcW w:w="920" w:type="dxa"/>
            <w:tcBorders>
              <w:top w:val="nil"/>
              <w:left w:val="nil"/>
              <w:bottom w:val="nil"/>
              <w:right w:val="nil"/>
            </w:tcBorders>
            <w:shd w:val="clear" w:color="000000" w:fill="D9D9D9"/>
            <w:noWrap/>
            <w:vAlign w:val="bottom"/>
            <w:hideMark/>
          </w:tcPr>
          <w:p w14:paraId="05826F14"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337,870</w:t>
            </w:r>
          </w:p>
        </w:tc>
        <w:tc>
          <w:tcPr>
            <w:tcW w:w="920" w:type="dxa"/>
            <w:tcBorders>
              <w:top w:val="nil"/>
              <w:left w:val="nil"/>
              <w:bottom w:val="nil"/>
              <w:right w:val="nil"/>
            </w:tcBorders>
            <w:shd w:val="clear" w:color="auto" w:fill="auto"/>
            <w:noWrap/>
            <w:vAlign w:val="bottom"/>
            <w:hideMark/>
          </w:tcPr>
          <w:p w14:paraId="77EC1300"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343,601</w:t>
            </w:r>
          </w:p>
        </w:tc>
        <w:tc>
          <w:tcPr>
            <w:tcW w:w="920" w:type="dxa"/>
            <w:tcBorders>
              <w:top w:val="nil"/>
              <w:left w:val="nil"/>
              <w:bottom w:val="nil"/>
              <w:right w:val="nil"/>
            </w:tcBorders>
            <w:shd w:val="clear" w:color="auto" w:fill="auto"/>
            <w:noWrap/>
            <w:vAlign w:val="bottom"/>
            <w:hideMark/>
          </w:tcPr>
          <w:p w14:paraId="36A1E4CE"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266,668</w:t>
            </w:r>
          </w:p>
        </w:tc>
        <w:tc>
          <w:tcPr>
            <w:tcW w:w="907" w:type="dxa"/>
            <w:tcBorders>
              <w:top w:val="nil"/>
              <w:left w:val="nil"/>
              <w:bottom w:val="nil"/>
              <w:right w:val="nil"/>
            </w:tcBorders>
            <w:shd w:val="clear" w:color="auto" w:fill="auto"/>
            <w:noWrap/>
            <w:vAlign w:val="bottom"/>
            <w:hideMark/>
          </w:tcPr>
          <w:p w14:paraId="7BD38BC6"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241,799</w:t>
            </w:r>
          </w:p>
        </w:tc>
      </w:tr>
      <w:tr w:rsidR="007E1DF2" w:rsidRPr="007E1DF2" w14:paraId="48C09303" w14:textId="77777777" w:rsidTr="007E1DF2">
        <w:trPr>
          <w:gridAfter w:val="1"/>
          <w:wAfter w:w="13" w:type="dxa"/>
          <w:trHeight w:val="227"/>
          <w:jc w:val="center"/>
        </w:trPr>
        <w:tc>
          <w:tcPr>
            <w:tcW w:w="2818" w:type="dxa"/>
            <w:tcBorders>
              <w:top w:val="nil"/>
              <w:left w:val="nil"/>
              <w:bottom w:val="nil"/>
              <w:right w:val="nil"/>
            </w:tcBorders>
            <w:shd w:val="clear" w:color="auto" w:fill="auto"/>
            <w:vAlign w:val="bottom"/>
            <w:hideMark/>
          </w:tcPr>
          <w:p w14:paraId="688FC32A" w14:textId="77777777" w:rsidR="007E1DF2" w:rsidRPr="007E1DF2" w:rsidRDefault="007E1DF2" w:rsidP="007E1DF2">
            <w:pPr>
              <w:spacing w:after="0"/>
              <w:ind w:leftChars="75" w:left="143"/>
              <w:rPr>
                <w:rFonts w:ascii="Arial" w:hAnsi="Arial" w:cs="Arial"/>
                <w:color w:val="auto"/>
                <w:sz w:val="16"/>
                <w:szCs w:val="16"/>
              </w:rPr>
            </w:pPr>
            <w:r w:rsidRPr="007E1DF2">
              <w:rPr>
                <w:rFonts w:ascii="Arial" w:hAnsi="Arial" w:cs="Arial"/>
                <w:color w:val="auto"/>
                <w:sz w:val="16"/>
                <w:szCs w:val="16"/>
              </w:rPr>
              <w:t>Revenues from independent sources</w:t>
            </w:r>
          </w:p>
        </w:tc>
        <w:tc>
          <w:tcPr>
            <w:tcW w:w="920" w:type="dxa"/>
            <w:tcBorders>
              <w:top w:val="nil"/>
              <w:left w:val="nil"/>
              <w:bottom w:val="nil"/>
              <w:right w:val="nil"/>
            </w:tcBorders>
            <w:shd w:val="clear" w:color="auto" w:fill="auto"/>
            <w:noWrap/>
            <w:vAlign w:val="bottom"/>
            <w:hideMark/>
          </w:tcPr>
          <w:p w14:paraId="6E3F205C"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28,539</w:t>
            </w:r>
          </w:p>
        </w:tc>
        <w:tc>
          <w:tcPr>
            <w:tcW w:w="920" w:type="dxa"/>
            <w:tcBorders>
              <w:top w:val="nil"/>
              <w:left w:val="nil"/>
              <w:bottom w:val="nil"/>
              <w:right w:val="nil"/>
            </w:tcBorders>
            <w:shd w:val="clear" w:color="000000" w:fill="D9D9D9"/>
            <w:noWrap/>
            <w:vAlign w:val="bottom"/>
            <w:hideMark/>
          </w:tcPr>
          <w:p w14:paraId="06C95E2A"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23,536</w:t>
            </w:r>
          </w:p>
        </w:tc>
        <w:tc>
          <w:tcPr>
            <w:tcW w:w="920" w:type="dxa"/>
            <w:tcBorders>
              <w:top w:val="nil"/>
              <w:left w:val="nil"/>
              <w:bottom w:val="nil"/>
              <w:right w:val="nil"/>
            </w:tcBorders>
            <w:shd w:val="clear" w:color="auto" w:fill="auto"/>
            <w:noWrap/>
            <w:vAlign w:val="bottom"/>
            <w:hideMark/>
          </w:tcPr>
          <w:p w14:paraId="762E24BB"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17,111</w:t>
            </w:r>
          </w:p>
        </w:tc>
        <w:tc>
          <w:tcPr>
            <w:tcW w:w="920" w:type="dxa"/>
            <w:tcBorders>
              <w:top w:val="nil"/>
              <w:left w:val="nil"/>
              <w:bottom w:val="nil"/>
              <w:right w:val="nil"/>
            </w:tcBorders>
            <w:shd w:val="clear" w:color="auto" w:fill="auto"/>
            <w:noWrap/>
            <w:vAlign w:val="bottom"/>
            <w:hideMark/>
          </w:tcPr>
          <w:p w14:paraId="634411F8"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15,471</w:t>
            </w:r>
          </w:p>
        </w:tc>
        <w:tc>
          <w:tcPr>
            <w:tcW w:w="907" w:type="dxa"/>
            <w:tcBorders>
              <w:top w:val="nil"/>
              <w:left w:val="nil"/>
              <w:bottom w:val="nil"/>
              <w:right w:val="nil"/>
            </w:tcBorders>
            <w:shd w:val="clear" w:color="auto" w:fill="auto"/>
            <w:noWrap/>
            <w:vAlign w:val="bottom"/>
            <w:hideMark/>
          </w:tcPr>
          <w:p w14:paraId="457230A2"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14,718</w:t>
            </w:r>
          </w:p>
        </w:tc>
      </w:tr>
      <w:tr w:rsidR="007E1DF2" w:rsidRPr="007E1DF2" w14:paraId="06C89B8C" w14:textId="77777777" w:rsidTr="007E1DF2">
        <w:trPr>
          <w:gridAfter w:val="1"/>
          <w:wAfter w:w="13" w:type="dxa"/>
          <w:trHeight w:val="397"/>
          <w:jc w:val="center"/>
        </w:trPr>
        <w:tc>
          <w:tcPr>
            <w:tcW w:w="2818" w:type="dxa"/>
            <w:tcBorders>
              <w:top w:val="nil"/>
              <w:left w:val="nil"/>
              <w:bottom w:val="nil"/>
              <w:right w:val="nil"/>
            </w:tcBorders>
            <w:shd w:val="clear" w:color="auto" w:fill="auto"/>
            <w:vAlign w:val="bottom"/>
            <w:hideMark/>
          </w:tcPr>
          <w:p w14:paraId="1ED4C3F7" w14:textId="77777777" w:rsidR="007E1DF2" w:rsidRPr="007E1DF2" w:rsidRDefault="007E1DF2" w:rsidP="007E1DF2">
            <w:pPr>
              <w:spacing w:after="0"/>
              <w:ind w:leftChars="75" w:left="143"/>
              <w:rPr>
                <w:rFonts w:ascii="Arial" w:hAnsi="Arial" w:cs="Arial"/>
                <w:color w:val="auto"/>
                <w:sz w:val="16"/>
                <w:szCs w:val="16"/>
              </w:rPr>
            </w:pPr>
            <w:r w:rsidRPr="007E1DF2">
              <w:rPr>
                <w:rFonts w:ascii="Arial" w:hAnsi="Arial" w:cs="Arial"/>
                <w:color w:val="auto"/>
                <w:sz w:val="16"/>
                <w:szCs w:val="16"/>
              </w:rPr>
              <w:t xml:space="preserve">Expenses not requiring appropriation in the Budget year </w:t>
            </w:r>
            <w:r w:rsidRPr="007E1DF2">
              <w:rPr>
                <w:rFonts w:ascii="Arial" w:hAnsi="Arial" w:cs="Arial"/>
                <w:color w:val="auto"/>
                <w:sz w:val="16"/>
                <w:szCs w:val="16"/>
                <w:vertAlign w:val="superscript"/>
              </w:rPr>
              <w:t>(b)</w:t>
            </w:r>
          </w:p>
        </w:tc>
        <w:tc>
          <w:tcPr>
            <w:tcW w:w="920" w:type="dxa"/>
            <w:tcBorders>
              <w:top w:val="nil"/>
              <w:left w:val="nil"/>
              <w:bottom w:val="nil"/>
              <w:right w:val="nil"/>
            </w:tcBorders>
            <w:shd w:val="clear" w:color="auto" w:fill="auto"/>
            <w:noWrap/>
            <w:vAlign w:val="bottom"/>
            <w:hideMark/>
          </w:tcPr>
          <w:p w14:paraId="636EA775"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(62)</w:t>
            </w:r>
          </w:p>
        </w:tc>
        <w:tc>
          <w:tcPr>
            <w:tcW w:w="920" w:type="dxa"/>
            <w:tcBorders>
              <w:top w:val="nil"/>
              <w:left w:val="nil"/>
              <w:bottom w:val="nil"/>
              <w:right w:val="nil"/>
            </w:tcBorders>
            <w:shd w:val="clear" w:color="000000" w:fill="D9D9D9"/>
            <w:noWrap/>
            <w:vAlign w:val="bottom"/>
            <w:hideMark/>
          </w:tcPr>
          <w:p w14:paraId="271B0D58"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8,913</w:t>
            </w:r>
          </w:p>
        </w:tc>
        <w:tc>
          <w:tcPr>
            <w:tcW w:w="920" w:type="dxa"/>
            <w:tcBorders>
              <w:top w:val="nil"/>
              <w:left w:val="nil"/>
              <w:bottom w:val="nil"/>
              <w:right w:val="nil"/>
            </w:tcBorders>
            <w:shd w:val="clear" w:color="auto" w:fill="auto"/>
            <w:noWrap/>
            <w:vAlign w:val="bottom"/>
            <w:hideMark/>
          </w:tcPr>
          <w:p w14:paraId="53DBBAA4"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10,407</w:t>
            </w:r>
          </w:p>
        </w:tc>
        <w:tc>
          <w:tcPr>
            <w:tcW w:w="920" w:type="dxa"/>
            <w:tcBorders>
              <w:top w:val="nil"/>
              <w:left w:val="nil"/>
              <w:bottom w:val="nil"/>
              <w:right w:val="nil"/>
            </w:tcBorders>
            <w:shd w:val="clear" w:color="auto" w:fill="auto"/>
            <w:noWrap/>
            <w:vAlign w:val="bottom"/>
            <w:hideMark/>
          </w:tcPr>
          <w:p w14:paraId="2F93FEF8"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8,891</w:t>
            </w:r>
          </w:p>
        </w:tc>
        <w:tc>
          <w:tcPr>
            <w:tcW w:w="907" w:type="dxa"/>
            <w:tcBorders>
              <w:top w:val="nil"/>
              <w:left w:val="nil"/>
              <w:bottom w:val="nil"/>
              <w:right w:val="nil"/>
            </w:tcBorders>
            <w:shd w:val="clear" w:color="auto" w:fill="auto"/>
            <w:noWrap/>
            <w:vAlign w:val="bottom"/>
            <w:hideMark/>
          </w:tcPr>
          <w:p w14:paraId="5BA93E51"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8,893</w:t>
            </w:r>
          </w:p>
        </w:tc>
      </w:tr>
      <w:tr w:rsidR="007E1DF2" w:rsidRPr="007E1DF2" w14:paraId="4EBBC912" w14:textId="77777777" w:rsidTr="007E1DF2">
        <w:trPr>
          <w:gridAfter w:val="1"/>
          <w:wAfter w:w="13" w:type="dxa"/>
          <w:trHeight w:val="283"/>
          <w:jc w:val="center"/>
        </w:trPr>
        <w:tc>
          <w:tcPr>
            <w:tcW w:w="2818" w:type="dxa"/>
            <w:tcBorders>
              <w:top w:val="nil"/>
              <w:left w:val="nil"/>
              <w:bottom w:val="nil"/>
              <w:right w:val="nil"/>
            </w:tcBorders>
            <w:shd w:val="clear" w:color="auto" w:fill="auto"/>
            <w:noWrap/>
            <w:vAlign w:val="bottom"/>
            <w:hideMark/>
          </w:tcPr>
          <w:p w14:paraId="5903EF79" w14:textId="77777777" w:rsidR="007E1DF2" w:rsidRPr="007E1DF2" w:rsidRDefault="007E1DF2" w:rsidP="007E1DF2">
            <w:pPr>
              <w:spacing w:after="0"/>
              <w:ind w:firstLineChars="100" w:firstLine="160"/>
              <w:rPr>
                <w:rFonts w:ascii="Arial" w:hAnsi="Arial" w:cs="Arial"/>
                <w:b/>
                <w:bCs/>
                <w:color w:val="auto"/>
                <w:sz w:val="16"/>
                <w:szCs w:val="16"/>
              </w:rPr>
            </w:pPr>
            <w:r w:rsidRPr="007E1DF2">
              <w:rPr>
                <w:rFonts w:ascii="Arial" w:hAnsi="Arial" w:cs="Arial"/>
                <w:b/>
                <w:bCs/>
                <w:color w:val="auto"/>
                <w:sz w:val="16"/>
                <w:szCs w:val="16"/>
              </w:rPr>
              <w:t>Total for Program 1.1</w:t>
            </w:r>
          </w:p>
        </w:tc>
        <w:tc>
          <w:tcPr>
            <w:tcW w:w="920" w:type="dxa"/>
            <w:tcBorders>
              <w:top w:val="nil"/>
              <w:left w:val="nil"/>
              <w:bottom w:val="single" w:sz="4" w:space="0" w:color="auto"/>
              <w:right w:val="nil"/>
            </w:tcBorders>
            <w:shd w:val="clear" w:color="auto" w:fill="auto"/>
            <w:noWrap/>
            <w:vAlign w:val="bottom"/>
            <w:hideMark/>
          </w:tcPr>
          <w:p w14:paraId="0706D5D8" w14:textId="77777777" w:rsidR="007E1DF2" w:rsidRPr="007E1DF2" w:rsidRDefault="007E1DF2" w:rsidP="007E1DF2">
            <w:pPr>
              <w:spacing w:after="0"/>
              <w:jc w:val="right"/>
              <w:rPr>
                <w:rFonts w:ascii="Arial" w:hAnsi="Arial" w:cs="Arial"/>
                <w:b/>
                <w:bCs/>
                <w:color w:val="auto"/>
                <w:sz w:val="16"/>
                <w:szCs w:val="16"/>
              </w:rPr>
            </w:pPr>
            <w:r w:rsidRPr="007E1DF2">
              <w:rPr>
                <w:rFonts w:ascii="Arial" w:hAnsi="Arial" w:cs="Arial"/>
                <w:b/>
                <w:bCs/>
                <w:color w:val="auto"/>
                <w:sz w:val="16"/>
                <w:szCs w:val="16"/>
              </w:rPr>
              <w:t>352,007</w:t>
            </w:r>
          </w:p>
        </w:tc>
        <w:tc>
          <w:tcPr>
            <w:tcW w:w="920" w:type="dxa"/>
            <w:tcBorders>
              <w:top w:val="nil"/>
              <w:left w:val="nil"/>
              <w:bottom w:val="single" w:sz="4" w:space="0" w:color="auto"/>
              <w:right w:val="nil"/>
            </w:tcBorders>
            <w:shd w:val="clear" w:color="000000" w:fill="D9D9D9"/>
            <w:noWrap/>
            <w:vAlign w:val="bottom"/>
            <w:hideMark/>
          </w:tcPr>
          <w:p w14:paraId="2C466DA0" w14:textId="77777777" w:rsidR="007E1DF2" w:rsidRPr="007E1DF2" w:rsidRDefault="007E1DF2" w:rsidP="007E1DF2">
            <w:pPr>
              <w:spacing w:after="0"/>
              <w:jc w:val="right"/>
              <w:rPr>
                <w:rFonts w:ascii="Arial" w:hAnsi="Arial" w:cs="Arial"/>
                <w:b/>
                <w:bCs/>
                <w:color w:val="auto"/>
                <w:sz w:val="16"/>
                <w:szCs w:val="16"/>
              </w:rPr>
            </w:pPr>
            <w:r w:rsidRPr="007E1DF2">
              <w:rPr>
                <w:rFonts w:ascii="Arial" w:hAnsi="Arial" w:cs="Arial"/>
                <w:b/>
                <w:bCs/>
                <w:color w:val="auto"/>
                <w:sz w:val="16"/>
                <w:szCs w:val="16"/>
              </w:rPr>
              <w:t>370,319</w:t>
            </w:r>
          </w:p>
        </w:tc>
        <w:tc>
          <w:tcPr>
            <w:tcW w:w="920" w:type="dxa"/>
            <w:tcBorders>
              <w:top w:val="nil"/>
              <w:left w:val="nil"/>
              <w:bottom w:val="single" w:sz="4" w:space="0" w:color="auto"/>
              <w:right w:val="nil"/>
            </w:tcBorders>
            <w:shd w:val="clear" w:color="auto" w:fill="auto"/>
            <w:noWrap/>
            <w:vAlign w:val="bottom"/>
            <w:hideMark/>
          </w:tcPr>
          <w:p w14:paraId="24E868C5" w14:textId="77777777" w:rsidR="007E1DF2" w:rsidRPr="007E1DF2" w:rsidRDefault="007E1DF2" w:rsidP="007E1DF2">
            <w:pPr>
              <w:spacing w:after="0"/>
              <w:jc w:val="right"/>
              <w:rPr>
                <w:rFonts w:ascii="Arial" w:hAnsi="Arial" w:cs="Arial"/>
                <w:b/>
                <w:bCs/>
                <w:color w:val="auto"/>
                <w:sz w:val="16"/>
                <w:szCs w:val="16"/>
              </w:rPr>
            </w:pPr>
            <w:r w:rsidRPr="007E1DF2">
              <w:rPr>
                <w:rFonts w:ascii="Arial" w:hAnsi="Arial" w:cs="Arial"/>
                <w:b/>
                <w:bCs/>
                <w:color w:val="auto"/>
                <w:sz w:val="16"/>
                <w:szCs w:val="16"/>
              </w:rPr>
              <w:t>371,119</w:t>
            </w:r>
          </w:p>
        </w:tc>
        <w:tc>
          <w:tcPr>
            <w:tcW w:w="920" w:type="dxa"/>
            <w:tcBorders>
              <w:top w:val="nil"/>
              <w:left w:val="nil"/>
              <w:bottom w:val="single" w:sz="4" w:space="0" w:color="auto"/>
              <w:right w:val="nil"/>
            </w:tcBorders>
            <w:shd w:val="clear" w:color="auto" w:fill="auto"/>
            <w:noWrap/>
            <w:vAlign w:val="bottom"/>
            <w:hideMark/>
          </w:tcPr>
          <w:p w14:paraId="030818A6" w14:textId="77777777" w:rsidR="007E1DF2" w:rsidRPr="007E1DF2" w:rsidRDefault="007E1DF2" w:rsidP="007E1DF2">
            <w:pPr>
              <w:spacing w:after="0"/>
              <w:jc w:val="right"/>
              <w:rPr>
                <w:rFonts w:ascii="Arial" w:hAnsi="Arial" w:cs="Arial"/>
                <w:b/>
                <w:bCs/>
                <w:color w:val="auto"/>
                <w:sz w:val="16"/>
                <w:szCs w:val="16"/>
              </w:rPr>
            </w:pPr>
            <w:r w:rsidRPr="007E1DF2">
              <w:rPr>
                <w:rFonts w:ascii="Arial" w:hAnsi="Arial" w:cs="Arial"/>
                <w:b/>
                <w:bCs/>
                <w:color w:val="auto"/>
                <w:sz w:val="16"/>
                <w:szCs w:val="16"/>
              </w:rPr>
              <w:t>291,030</w:t>
            </w:r>
          </w:p>
        </w:tc>
        <w:tc>
          <w:tcPr>
            <w:tcW w:w="907" w:type="dxa"/>
            <w:tcBorders>
              <w:top w:val="nil"/>
              <w:left w:val="nil"/>
              <w:bottom w:val="single" w:sz="4" w:space="0" w:color="auto"/>
              <w:right w:val="nil"/>
            </w:tcBorders>
            <w:shd w:val="clear" w:color="auto" w:fill="auto"/>
            <w:noWrap/>
            <w:vAlign w:val="bottom"/>
            <w:hideMark/>
          </w:tcPr>
          <w:p w14:paraId="68A64BEE" w14:textId="77777777" w:rsidR="007E1DF2" w:rsidRPr="007E1DF2" w:rsidRDefault="007E1DF2" w:rsidP="007E1DF2">
            <w:pPr>
              <w:spacing w:after="0"/>
              <w:jc w:val="right"/>
              <w:rPr>
                <w:rFonts w:ascii="Arial" w:hAnsi="Arial" w:cs="Arial"/>
                <w:b/>
                <w:bCs/>
                <w:color w:val="auto"/>
                <w:sz w:val="16"/>
                <w:szCs w:val="16"/>
              </w:rPr>
            </w:pPr>
            <w:r w:rsidRPr="007E1DF2">
              <w:rPr>
                <w:rFonts w:ascii="Arial" w:hAnsi="Arial" w:cs="Arial"/>
                <w:b/>
                <w:bCs/>
                <w:color w:val="auto"/>
                <w:sz w:val="16"/>
                <w:szCs w:val="16"/>
              </w:rPr>
              <w:t>265,410</w:t>
            </w:r>
          </w:p>
        </w:tc>
      </w:tr>
      <w:tr w:rsidR="007E1DF2" w:rsidRPr="007E1DF2" w14:paraId="69B56838" w14:textId="77777777" w:rsidTr="007E1DF2">
        <w:trPr>
          <w:gridAfter w:val="1"/>
          <w:wAfter w:w="13" w:type="dxa"/>
          <w:trHeight w:val="283"/>
          <w:jc w:val="center"/>
        </w:trPr>
        <w:tc>
          <w:tcPr>
            <w:tcW w:w="2818" w:type="dxa"/>
            <w:tcBorders>
              <w:top w:val="nil"/>
              <w:left w:val="nil"/>
              <w:bottom w:val="single" w:sz="4" w:space="0" w:color="auto"/>
              <w:right w:val="nil"/>
            </w:tcBorders>
            <w:shd w:val="clear" w:color="auto" w:fill="auto"/>
            <w:noWrap/>
            <w:vAlign w:val="bottom"/>
            <w:hideMark/>
          </w:tcPr>
          <w:p w14:paraId="151D9FB1" w14:textId="77777777" w:rsidR="007E1DF2" w:rsidRPr="007E1DF2" w:rsidRDefault="007E1DF2" w:rsidP="007E1DF2">
            <w:pPr>
              <w:spacing w:after="0"/>
              <w:rPr>
                <w:rFonts w:ascii="Arial" w:hAnsi="Arial" w:cs="Arial"/>
                <w:b/>
                <w:bCs/>
                <w:sz w:val="16"/>
                <w:szCs w:val="16"/>
              </w:rPr>
            </w:pPr>
            <w:r w:rsidRPr="007E1DF2">
              <w:rPr>
                <w:rFonts w:ascii="Arial" w:hAnsi="Arial" w:cs="Arial"/>
                <w:b/>
                <w:bCs/>
                <w:sz w:val="16"/>
                <w:szCs w:val="16"/>
              </w:rPr>
              <w:t>Total expenses for Outcome 1</w:t>
            </w:r>
          </w:p>
        </w:tc>
        <w:tc>
          <w:tcPr>
            <w:tcW w:w="920" w:type="dxa"/>
            <w:tcBorders>
              <w:top w:val="nil"/>
              <w:left w:val="nil"/>
              <w:bottom w:val="single" w:sz="4" w:space="0" w:color="auto"/>
              <w:right w:val="nil"/>
            </w:tcBorders>
            <w:shd w:val="clear" w:color="auto" w:fill="auto"/>
            <w:noWrap/>
            <w:vAlign w:val="bottom"/>
            <w:hideMark/>
          </w:tcPr>
          <w:p w14:paraId="2C840F36" w14:textId="77777777" w:rsidR="007E1DF2" w:rsidRPr="007E1DF2" w:rsidRDefault="007E1DF2" w:rsidP="007E1DF2">
            <w:pPr>
              <w:spacing w:after="0"/>
              <w:jc w:val="right"/>
              <w:rPr>
                <w:rFonts w:ascii="Arial" w:hAnsi="Arial" w:cs="Arial"/>
                <w:b/>
                <w:bCs/>
                <w:color w:val="auto"/>
                <w:sz w:val="16"/>
                <w:szCs w:val="16"/>
              </w:rPr>
            </w:pPr>
            <w:r w:rsidRPr="007E1DF2">
              <w:rPr>
                <w:rFonts w:ascii="Arial" w:hAnsi="Arial" w:cs="Arial"/>
                <w:b/>
                <w:bCs/>
                <w:color w:val="auto"/>
                <w:sz w:val="16"/>
                <w:szCs w:val="16"/>
              </w:rPr>
              <w:t>352,007</w:t>
            </w:r>
          </w:p>
        </w:tc>
        <w:tc>
          <w:tcPr>
            <w:tcW w:w="920" w:type="dxa"/>
            <w:tcBorders>
              <w:top w:val="nil"/>
              <w:left w:val="nil"/>
              <w:bottom w:val="single" w:sz="4" w:space="0" w:color="auto"/>
              <w:right w:val="nil"/>
            </w:tcBorders>
            <w:shd w:val="clear" w:color="000000" w:fill="D9D9D9"/>
            <w:noWrap/>
            <w:vAlign w:val="bottom"/>
            <w:hideMark/>
          </w:tcPr>
          <w:p w14:paraId="61485026" w14:textId="77777777" w:rsidR="007E1DF2" w:rsidRPr="007E1DF2" w:rsidRDefault="007E1DF2" w:rsidP="007E1DF2">
            <w:pPr>
              <w:spacing w:after="0"/>
              <w:jc w:val="right"/>
              <w:rPr>
                <w:rFonts w:ascii="Arial" w:hAnsi="Arial" w:cs="Arial"/>
                <w:b/>
                <w:bCs/>
                <w:color w:val="auto"/>
                <w:sz w:val="16"/>
                <w:szCs w:val="16"/>
              </w:rPr>
            </w:pPr>
            <w:r w:rsidRPr="007E1DF2">
              <w:rPr>
                <w:rFonts w:ascii="Arial" w:hAnsi="Arial" w:cs="Arial"/>
                <w:b/>
                <w:bCs/>
                <w:color w:val="auto"/>
                <w:sz w:val="16"/>
                <w:szCs w:val="16"/>
              </w:rPr>
              <w:t>370,319</w:t>
            </w:r>
          </w:p>
        </w:tc>
        <w:tc>
          <w:tcPr>
            <w:tcW w:w="920" w:type="dxa"/>
            <w:tcBorders>
              <w:top w:val="nil"/>
              <w:left w:val="nil"/>
              <w:bottom w:val="single" w:sz="4" w:space="0" w:color="auto"/>
              <w:right w:val="nil"/>
            </w:tcBorders>
            <w:shd w:val="clear" w:color="auto" w:fill="auto"/>
            <w:noWrap/>
            <w:vAlign w:val="bottom"/>
            <w:hideMark/>
          </w:tcPr>
          <w:p w14:paraId="2E37B139" w14:textId="77777777" w:rsidR="007E1DF2" w:rsidRPr="007E1DF2" w:rsidRDefault="007E1DF2" w:rsidP="007E1DF2">
            <w:pPr>
              <w:spacing w:after="0"/>
              <w:jc w:val="right"/>
              <w:rPr>
                <w:rFonts w:ascii="Arial" w:hAnsi="Arial" w:cs="Arial"/>
                <w:b/>
                <w:bCs/>
                <w:color w:val="auto"/>
                <w:sz w:val="16"/>
                <w:szCs w:val="16"/>
              </w:rPr>
            </w:pPr>
            <w:r w:rsidRPr="007E1DF2">
              <w:rPr>
                <w:rFonts w:ascii="Arial" w:hAnsi="Arial" w:cs="Arial"/>
                <w:b/>
                <w:bCs/>
                <w:color w:val="auto"/>
                <w:sz w:val="16"/>
                <w:szCs w:val="16"/>
              </w:rPr>
              <w:t>371,119</w:t>
            </w:r>
          </w:p>
        </w:tc>
        <w:tc>
          <w:tcPr>
            <w:tcW w:w="920" w:type="dxa"/>
            <w:tcBorders>
              <w:top w:val="nil"/>
              <w:left w:val="nil"/>
              <w:bottom w:val="single" w:sz="4" w:space="0" w:color="auto"/>
              <w:right w:val="nil"/>
            </w:tcBorders>
            <w:shd w:val="clear" w:color="auto" w:fill="auto"/>
            <w:noWrap/>
            <w:vAlign w:val="bottom"/>
            <w:hideMark/>
          </w:tcPr>
          <w:p w14:paraId="2996B55E" w14:textId="77777777" w:rsidR="007E1DF2" w:rsidRPr="007E1DF2" w:rsidRDefault="007E1DF2" w:rsidP="007E1DF2">
            <w:pPr>
              <w:spacing w:after="0"/>
              <w:jc w:val="right"/>
              <w:rPr>
                <w:rFonts w:ascii="Arial" w:hAnsi="Arial" w:cs="Arial"/>
                <w:b/>
                <w:bCs/>
                <w:color w:val="auto"/>
                <w:sz w:val="16"/>
                <w:szCs w:val="16"/>
              </w:rPr>
            </w:pPr>
            <w:r w:rsidRPr="007E1DF2">
              <w:rPr>
                <w:rFonts w:ascii="Arial" w:hAnsi="Arial" w:cs="Arial"/>
                <w:b/>
                <w:bCs/>
                <w:color w:val="auto"/>
                <w:sz w:val="16"/>
                <w:szCs w:val="16"/>
              </w:rPr>
              <w:t>291,030</w:t>
            </w:r>
          </w:p>
        </w:tc>
        <w:tc>
          <w:tcPr>
            <w:tcW w:w="907" w:type="dxa"/>
            <w:tcBorders>
              <w:top w:val="nil"/>
              <w:left w:val="nil"/>
              <w:bottom w:val="single" w:sz="4" w:space="0" w:color="auto"/>
              <w:right w:val="nil"/>
            </w:tcBorders>
            <w:shd w:val="clear" w:color="auto" w:fill="auto"/>
            <w:noWrap/>
            <w:vAlign w:val="bottom"/>
            <w:hideMark/>
          </w:tcPr>
          <w:p w14:paraId="15B8B2F0" w14:textId="77777777" w:rsidR="007E1DF2" w:rsidRPr="007E1DF2" w:rsidRDefault="007E1DF2" w:rsidP="007E1DF2">
            <w:pPr>
              <w:spacing w:after="0"/>
              <w:jc w:val="right"/>
              <w:rPr>
                <w:rFonts w:ascii="Arial" w:hAnsi="Arial" w:cs="Arial"/>
                <w:b/>
                <w:bCs/>
                <w:color w:val="auto"/>
                <w:sz w:val="16"/>
                <w:szCs w:val="16"/>
              </w:rPr>
            </w:pPr>
            <w:r w:rsidRPr="007E1DF2">
              <w:rPr>
                <w:rFonts w:ascii="Arial" w:hAnsi="Arial" w:cs="Arial"/>
                <w:b/>
                <w:bCs/>
                <w:color w:val="auto"/>
                <w:sz w:val="16"/>
                <w:szCs w:val="16"/>
              </w:rPr>
              <w:t>265,410</w:t>
            </w:r>
          </w:p>
        </w:tc>
      </w:tr>
      <w:tr w:rsidR="007E1DF2" w:rsidRPr="007E1DF2" w14:paraId="1E3070E4" w14:textId="77777777" w:rsidTr="007E1DF2">
        <w:trPr>
          <w:gridAfter w:val="1"/>
          <w:wAfter w:w="13" w:type="dxa"/>
          <w:trHeight w:val="204"/>
          <w:jc w:val="center"/>
        </w:trPr>
        <w:tc>
          <w:tcPr>
            <w:tcW w:w="2818" w:type="dxa"/>
            <w:tcBorders>
              <w:top w:val="nil"/>
              <w:left w:val="nil"/>
              <w:bottom w:val="nil"/>
              <w:right w:val="nil"/>
            </w:tcBorders>
            <w:shd w:val="clear" w:color="auto" w:fill="auto"/>
            <w:noWrap/>
            <w:vAlign w:val="bottom"/>
            <w:hideMark/>
          </w:tcPr>
          <w:p w14:paraId="6F6C0DAC" w14:textId="77777777" w:rsidR="007E1DF2" w:rsidRPr="007E1DF2" w:rsidRDefault="007E1DF2" w:rsidP="007E1DF2">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1F557DD1" w14:textId="77777777" w:rsidR="007E1DF2" w:rsidRPr="007E1DF2" w:rsidRDefault="007E1DF2" w:rsidP="007E1DF2">
            <w:pPr>
              <w:spacing w:after="0"/>
              <w:rPr>
                <w:rFonts w:ascii="Times New Roman" w:hAnsi="Times New Roman"/>
                <w:color w:val="auto"/>
                <w:sz w:val="20"/>
              </w:rPr>
            </w:pPr>
          </w:p>
        </w:tc>
        <w:tc>
          <w:tcPr>
            <w:tcW w:w="920" w:type="dxa"/>
            <w:tcBorders>
              <w:top w:val="nil"/>
              <w:left w:val="nil"/>
              <w:bottom w:val="nil"/>
              <w:right w:val="nil"/>
            </w:tcBorders>
            <w:shd w:val="clear" w:color="auto" w:fill="auto"/>
            <w:noWrap/>
            <w:vAlign w:val="bottom"/>
            <w:hideMark/>
          </w:tcPr>
          <w:p w14:paraId="2DC877FE" w14:textId="77777777" w:rsidR="007E1DF2" w:rsidRPr="007E1DF2" w:rsidRDefault="007E1DF2" w:rsidP="007E1DF2">
            <w:pPr>
              <w:spacing w:after="0"/>
              <w:jc w:val="right"/>
              <w:rPr>
                <w:rFonts w:ascii="Times New Roman" w:hAnsi="Times New Roman"/>
                <w:color w:val="auto"/>
                <w:sz w:val="20"/>
              </w:rPr>
            </w:pPr>
          </w:p>
        </w:tc>
        <w:tc>
          <w:tcPr>
            <w:tcW w:w="920" w:type="dxa"/>
            <w:tcBorders>
              <w:top w:val="nil"/>
              <w:left w:val="nil"/>
              <w:bottom w:val="nil"/>
              <w:right w:val="nil"/>
            </w:tcBorders>
            <w:shd w:val="clear" w:color="auto" w:fill="auto"/>
            <w:noWrap/>
            <w:vAlign w:val="center"/>
            <w:hideMark/>
          </w:tcPr>
          <w:p w14:paraId="7EB02688" w14:textId="77777777" w:rsidR="007E1DF2" w:rsidRPr="007E1DF2" w:rsidRDefault="007E1DF2" w:rsidP="007E1DF2">
            <w:pPr>
              <w:spacing w:after="0"/>
              <w:jc w:val="right"/>
              <w:rPr>
                <w:rFonts w:ascii="Times New Roman" w:hAnsi="Times New Roman"/>
                <w:color w:val="auto"/>
                <w:sz w:val="20"/>
              </w:rPr>
            </w:pPr>
          </w:p>
        </w:tc>
        <w:tc>
          <w:tcPr>
            <w:tcW w:w="920" w:type="dxa"/>
            <w:tcBorders>
              <w:top w:val="nil"/>
              <w:left w:val="nil"/>
              <w:bottom w:val="nil"/>
              <w:right w:val="nil"/>
            </w:tcBorders>
            <w:shd w:val="clear" w:color="auto" w:fill="auto"/>
            <w:noWrap/>
            <w:vAlign w:val="center"/>
            <w:hideMark/>
          </w:tcPr>
          <w:p w14:paraId="46C338C0" w14:textId="77777777" w:rsidR="007E1DF2" w:rsidRPr="007E1DF2" w:rsidRDefault="007E1DF2" w:rsidP="007E1DF2">
            <w:pPr>
              <w:spacing w:after="0"/>
              <w:rPr>
                <w:rFonts w:ascii="Times New Roman" w:hAnsi="Times New Roman"/>
                <w:color w:val="auto"/>
                <w:sz w:val="20"/>
              </w:rPr>
            </w:pPr>
          </w:p>
        </w:tc>
        <w:tc>
          <w:tcPr>
            <w:tcW w:w="907" w:type="dxa"/>
            <w:tcBorders>
              <w:top w:val="nil"/>
              <w:left w:val="nil"/>
              <w:bottom w:val="nil"/>
              <w:right w:val="nil"/>
            </w:tcBorders>
            <w:shd w:val="clear" w:color="auto" w:fill="auto"/>
            <w:noWrap/>
            <w:vAlign w:val="center"/>
            <w:hideMark/>
          </w:tcPr>
          <w:p w14:paraId="4A64F5A4" w14:textId="77777777" w:rsidR="007E1DF2" w:rsidRPr="007E1DF2" w:rsidRDefault="007E1DF2" w:rsidP="007E1DF2">
            <w:pPr>
              <w:spacing w:after="0"/>
              <w:rPr>
                <w:rFonts w:ascii="Times New Roman" w:hAnsi="Times New Roman"/>
                <w:color w:val="auto"/>
                <w:sz w:val="20"/>
              </w:rPr>
            </w:pPr>
          </w:p>
        </w:tc>
      </w:tr>
      <w:tr w:rsidR="007E1DF2" w:rsidRPr="007E1DF2" w14:paraId="4ECDDBEC" w14:textId="77777777" w:rsidTr="007E1DF2">
        <w:trPr>
          <w:gridAfter w:val="1"/>
          <w:wAfter w:w="13" w:type="dxa"/>
          <w:trHeight w:val="225"/>
          <w:jc w:val="center"/>
        </w:trPr>
        <w:tc>
          <w:tcPr>
            <w:tcW w:w="2818" w:type="dxa"/>
            <w:tcBorders>
              <w:top w:val="single" w:sz="4" w:space="0" w:color="auto"/>
              <w:left w:val="nil"/>
              <w:bottom w:val="nil"/>
              <w:right w:val="nil"/>
            </w:tcBorders>
            <w:shd w:val="clear" w:color="auto" w:fill="auto"/>
            <w:noWrap/>
            <w:vAlign w:val="center"/>
            <w:hideMark/>
          </w:tcPr>
          <w:p w14:paraId="4367AC46" w14:textId="77777777" w:rsidR="007E1DF2" w:rsidRPr="007E1DF2" w:rsidRDefault="007E1DF2" w:rsidP="007E1DF2">
            <w:pPr>
              <w:spacing w:after="0"/>
              <w:rPr>
                <w:rFonts w:ascii="Arial" w:hAnsi="Arial" w:cs="Arial"/>
                <w:sz w:val="16"/>
                <w:szCs w:val="16"/>
              </w:rPr>
            </w:pPr>
            <w:r w:rsidRPr="007E1DF2">
              <w:rPr>
                <w:rFonts w:ascii="Arial" w:hAnsi="Arial" w:cs="Arial"/>
                <w:sz w:val="16"/>
                <w:szCs w:val="16"/>
              </w:rPr>
              <w:t> </w:t>
            </w:r>
          </w:p>
        </w:tc>
        <w:tc>
          <w:tcPr>
            <w:tcW w:w="920" w:type="dxa"/>
            <w:tcBorders>
              <w:top w:val="single" w:sz="4" w:space="0" w:color="000000"/>
              <w:left w:val="nil"/>
              <w:bottom w:val="single" w:sz="4" w:space="0" w:color="000000"/>
              <w:right w:val="nil"/>
            </w:tcBorders>
            <w:shd w:val="clear" w:color="auto" w:fill="auto"/>
            <w:noWrap/>
            <w:vAlign w:val="bottom"/>
            <w:hideMark/>
          </w:tcPr>
          <w:p w14:paraId="7B48E446" w14:textId="77777777" w:rsidR="007E1DF2" w:rsidRPr="007E1DF2" w:rsidRDefault="007E1DF2" w:rsidP="007E1DF2">
            <w:pPr>
              <w:spacing w:after="0"/>
              <w:jc w:val="right"/>
              <w:rPr>
                <w:rFonts w:ascii="Arial" w:hAnsi="Arial" w:cs="Arial"/>
                <w:b/>
                <w:bCs/>
                <w:color w:val="auto"/>
                <w:sz w:val="16"/>
                <w:szCs w:val="16"/>
              </w:rPr>
            </w:pPr>
            <w:r w:rsidRPr="007E1DF2">
              <w:rPr>
                <w:rFonts w:ascii="Arial" w:hAnsi="Arial" w:cs="Arial"/>
                <w:b/>
                <w:bCs/>
                <w:color w:val="auto"/>
                <w:sz w:val="16"/>
                <w:szCs w:val="16"/>
              </w:rPr>
              <w:t>2021–22</w:t>
            </w:r>
          </w:p>
        </w:tc>
        <w:tc>
          <w:tcPr>
            <w:tcW w:w="920" w:type="dxa"/>
            <w:tcBorders>
              <w:top w:val="single" w:sz="4" w:space="0" w:color="000000"/>
              <w:left w:val="nil"/>
              <w:bottom w:val="single" w:sz="4" w:space="0" w:color="000000"/>
              <w:right w:val="nil"/>
            </w:tcBorders>
            <w:shd w:val="clear" w:color="000000" w:fill="D9D9D9"/>
            <w:noWrap/>
            <w:vAlign w:val="bottom"/>
            <w:hideMark/>
          </w:tcPr>
          <w:p w14:paraId="366A5262" w14:textId="77777777" w:rsidR="007E1DF2" w:rsidRPr="007E1DF2" w:rsidRDefault="007E1DF2" w:rsidP="007E1DF2">
            <w:pPr>
              <w:spacing w:after="0"/>
              <w:jc w:val="right"/>
              <w:rPr>
                <w:rFonts w:ascii="Arial" w:hAnsi="Arial" w:cs="Arial"/>
                <w:b/>
                <w:bCs/>
                <w:color w:val="auto"/>
                <w:sz w:val="16"/>
                <w:szCs w:val="16"/>
              </w:rPr>
            </w:pPr>
            <w:r w:rsidRPr="007E1DF2">
              <w:rPr>
                <w:rFonts w:ascii="Arial" w:hAnsi="Arial" w:cs="Arial"/>
                <w:b/>
                <w:bCs/>
                <w:color w:val="auto"/>
                <w:sz w:val="16"/>
                <w:szCs w:val="16"/>
              </w:rPr>
              <w:t>2022–23</w:t>
            </w:r>
          </w:p>
        </w:tc>
        <w:tc>
          <w:tcPr>
            <w:tcW w:w="920" w:type="dxa"/>
            <w:tcBorders>
              <w:top w:val="nil"/>
              <w:left w:val="nil"/>
              <w:bottom w:val="nil"/>
              <w:right w:val="nil"/>
            </w:tcBorders>
            <w:shd w:val="clear" w:color="auto" w:fill="auto"/>
            <w:noWrap/>
            <w:vAlign w:val="center"/>
            <w:hideMark/>
          </w:tcPr>
          <w:p w14:paraId="27E7444F" w14:textId="77777777" w:rsidR="007E1DF2" w:rsidRPr="007E1DF2" w:rsidRDefault="007E1DF2" w:rsidP="007E1DF2">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center"/>
            <w:hideMark/>
          </w:tcPr>
          <w:p w14:paraId="6E3441D8" w14:textId="77777777" w:rsidR="007E1DF2" w:rsidRPr="007E1DF2" w:rsidRDefault="007E1DF2" w:rsidP="007E1DF2">
            <w:pPr>
              <w:spacing w:after="0"/>
              <w:rPr>
                <w:rFonts w:ascii="Times New Roman" w:hAnsi="Times New Roman"/>
                <w:color w:val="auto"/>
                <w:sz w:val="20"/>
              </w:rPr>
            </w:pPr>
          </w:p>
        </w:tc>
        <w:tc>
          <w:tcPr>
            <w:tcW w:w="907" w:type="dxa"/>
            <w:tcBorders>
              <w:top w:val="nil"/>
              <w:left w:val="nil"/>
              <w:bottom w:val="nil"/>
              <w:right w:val="nil"/>
            </w:tcBorders>
            <w:shd w:val="clear" w:color="auto" w:fill="auto"/>
            <w:noWrap/>
            <w:vAlign w:val="center"/>
            <w:hideMark/>
          </w:tcPr>
          <w:p w14:paraId="65CEEFAE" w14:textId="77777777" w:rsidR="007E1DF2" w:rsidRPr="007E1DF2" w:rsidRDefault="007E1DF2" w:rsidP="007E1DF2">
            <w:pPr>
              <w:spacing w:after="0"/>
              <w:rPr>
                <w:rFonts w:ascii="Times New Roman" w:hAnsi="Times New Roman"/>
                <w:color w:val="auto"/>
                <w:sz w:val="20"/>
              </w:rPr>
            </w:pPr>
          </w:p>
        </w:tc>
      </w:tr>
      <w:tr w:rsidR="007E1DF2" w:rsidRPr="007E1DF2" w14:paraId="7D5C38F0" w14:textId="77777777" w:rsidTr="007E1DF2">
        <w:trPr>
          <w:gridAfter w:val="1"/>
          <w:wAfter w:w="13" w:type="dxa"/>
          <w:trHeight w:val="225"/>
          <w:jc w:val="center"/>
        </w:trPr>
        <w:tc>
          <w:tcPr>
            <w:tcW w:w="2818" w:type="dxa"/>
            <w:tcBorders>
              <w:top w:val="nil"/>
              <w:left w:val="nil"/>
              <w:bottom w:val="single" w:sz="4" w:space="0" w:color="auto"/>
              <w:right w:val="nil"/>
            </w:tcBorders>
            <w:shd w:val="clear" w:color="auto" w:fill="auto"/>
            <w:noWrap/>
            <w:vAlign w:val="bottom"/>
            <w:hideMark/>
          </w:tcPr>
          <w:p w14:paraId="4A7AD449" w14:textId="77777777" w:rsidR="007E1DF2" w:rsidRPr="007E1DF2" w:rsidRDefault="007E1DF2" w:rsidP="007E1DF2">
            <w:pPr>
              <w:spacing w:after="0"/>
              <w:rPr>
                <w:rFonts w:ascii="Arial" w:hAnsi="Arial" w:cs="Arial"/>
                <w:b/>
                <w:bCs/>
                <w:sz w:val="16"/>
                <w:szCs w:val="16"/>
              </w:rPr>
            </w:pPr>
            <w:r w:rsidRPr="007E1DF2">
              <w:rPr>
                <w:rFonts w:ascii="Arial" w:hAnsi="Arial" w:cs="Arial"/>
                <w:b/>
                <w:bCs/>
                <w:sz w:val="16"/>
                <w:szCs w:val="16"/>
              </w:rPr>
              <w:t xml:space="preserve">Average </w:t>
            </w:r>
            <w:r w:rsidRPr="007E1DF2">
              <w:rPr>
                <w:rFonts w:ascii="Arial" w:hAnsi="Arial" w:cs="Arial"/>
                <w:b/>
                <w:bCs/>
                <w:color w:val="auto"/>
                <w:sz w:val="16"/>
                <w:szCs w:val="16"/>
              </w:rPr>
              <w:t>s</w:t>
            </w:r>
            <w:r w:rsidRPr="007E1DF2">
              <w:rPr>
                <w:rFonts w:ascii="Arial" w:hAnsi="Arial" w:cs="Arial"/>
                <w:b/>
                <w:bCs/>
                <w:sz w:val="16"/>
                <w:szCs w:val="16"/>
              </w:rPr>
              <w:t xml:space="preserve">taffing </w:t>
            </w:r>
            <w:r w:rsidRPr="007E1DF2">
              <w:rPr>
                <w:rFonts w:ascii="Arial" w:hAnsi="Arial" w:cs="Arial"/>
                <w:b/>
                <w:bCs/>
                <w:color w:val="auto"/>
                <w:sz w:val="16"/>
                <w:szCs w:val="16"/>
              </w:rPr>
              <w:t>l</w:t>
            </w:r>
            <w:r w:rsidRPr="007E1DF2">
              <w:rPr>
                <w:rFonts w:ascii="Arial" w:hAnsi="Arial" w:cs="Arial"/>
                <w:b/>
                <w:bCs/>
                <w:sz w:val="16"/>
                <w:szCs w:val="16"/>
              </w:rPr>
              <w:t>evel (number)</w:t>
            </w:r>
          </w:p>
        </w:tc>
        <w:tc>
          <w:tcPr>
            <w:tcW w:w="920" w:type="dxa"/>
            <w:tcBorders>
              <w:top w:val="nil"/>
              <w:left w:val="nil"/>
              <w:bottom w:val="single" w:sz="4" w:space="0" w:color="000000"/>
              <w:right w:val="nil"/>
            </w:tcBorders>
            <w:shd w:val="clear" w:color="auto" w:fill="auto"/>
            <w:noWrap/>
            <w:vAlign w:val="bottom"/>
            <w:hideMark/>
          </w:tcPr>
          <w:p w14:paraId="652ECF68"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454</w:t>
            </w:r>
          </w:p>
        </w:tc>
        <w:tc>
          <w:tcPr>
            <w:tcW w:w="920" w:type="dxa"/>
            <w:tcBorders>
              <w:top w:val="nil"/>
              <w:left w:val="nil"/>
              <w:bottom w:val="single" w:sz="4" w:space="0" w:color="000000"/>
              <w:right w:val="nil"/>
            </w:tcBorders>
            <w:shd w:val="clear" w:color="000000" w:fill="D9D9D9"/>
            <w:noWrap/>
            <w:vAlign w:val="bottom"/>
            <w:hideMark/>
          </w:tcPr>
          <w:p w14:paraId="4FD7AF48" w14:textId="77777777" w:rsidR="007E1DF2" w:rsidRPr="007E1DF2" w:rsidRDefault="007E1DF2" w:rsidP="007E1DF2">
            <w:pPr>
              <w:spacing w:after="0"/>
              <w:jc w:val="right"/>
              <w:rPr>
                <w:rFonts w:ascii="Arial" w:hAnsi="Arial" w:cs="Arial"/>
                <w:color w:val="auto"/>
                <w:sz w:val="16"/>
                <w:szCs w:val="16"/>
              </w:rPr>
            </w:pPr>
            <w:r w:rsidRPr="007E1DF2">
              <w:rPr>
                <w:rFonts w:ascii="Arial" w:hAnsi="Arial" w:cs="Arial"/>
                <w:color w:val="auto"/>
                <w:sz w:val="16"/>
                <w:szCs w:val="16"/>
              </w:rPr>
              <w:t>494</w:t>
            </w:r>
          </w:p>
        </w:tc>
        <w:tc>
          <w:tcPr>
            <w:tcW w:w="920" w:type="dxa"/>
            <w:tcBorders>
              <w:top w:val="nil"/>
              <w:left w:val="nil"/>
              <w:bottom w:val="nil"/>
              <w:right w:val="nil"/>
            </w:tcBorders>
            <w:shd w:val="clear" w:color="auto" w:fill="auto"/>
            <w:noWrap/>
            <w:vAlign w:val="center"/>
            <w:hideMark/>
          </w:tcPr>
          <w:p w14:paraId="206C4994" w14:textId="77777777" w:rsidR="007E1DF2" w:rsidRPr="007E1DF2" w:rsidRDefault="007E1DF2" w:rsidP="007E1DF2">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center"/>
            <w:hideMark/>
          </w:tcPr>
          <w:p w14:paraId="754F863C" w14:textId="77777777" w:rsidR="007E1DF2" w:rsidRPr="007E1DF2" w:rsidRDefault="007E1DF2" w:rsidP="007E1DF2">
            <w:pPr>
              <w:spacing w:after="0"/>
              <w:rPr>
                <w:rFonts w:ascii="Times New Roman" w:hAnsi="Times New Roman"/>
                <w:color w:val="auto"/>
                <w:sz w:val="20"/>
              </w:rPr>
            </w:pPr>
          </w:p>
        </w:tc>
        <w:tc>
          <w:tcPr>
            <w:tcW w:w="907" w:type="dxa"/>
            <w:tcBorders>
              <w:top w:val="nil"/>
              <w:left w:val="nil"/>
              <w:bottom w:val="nil"/>
              <w:right w:val="nil"/>
            </w:tcBorders>
            <w:shd w:val="clear" w:color="auto" w:fill="auto"/>
            <w:noWrap/>
            <w:vAlign w:val="center"/>
            <w:hideMark/>
          </w:tcPr>
          <w:p w14:paraId="06DD92FA" w14:textId="77777777" w:rsidR="007E1DF2" w:rsidRPr="007E1DF2" w:rsidRDefault="007E1DF2" w:rsidP="007E1DF2">
            <w:pPr>
              <w:spacing w:after="0"/>
              <w:rPr>
                <w:rFonts w:ascii="Times New Roman" w:hAnsi="Times New Roman"/>
                <w:color w:val="auto"/>
                <w:sz w:val="20"/>
              </w:rPr>
            </w:pPr>
          </w:p>
        </w:tc>
      </w:tr>
    </w:tbl>
    <w:p w14:paraId="1AB3B9B0" w14:textId="15C3DDC0" w:rsidR="007E1DF2" w:rsidRPr="007E1DF2" w:rsidRDefault="007E1DF2" w:rsidP="007E1DF2">
      <w:pPr>
        <w:pStyle w:val="FootnoteText"/>
        <w:spacing w:before="120"/>
      </w:pPr>
      <w:r w:rsidRPr="007E1DF2">
        <w:rPr>
          <w:vertAlign w:val="superscript"/>
        </w:rPr>
        <w:t>(a)</w:t>
      </w:r>
      <w:r>
        <w:tab/>
      </w:r>
      <w:r w:rsidRPr="007E1DF2">
        <w:t>Appropriation Bill (No. 1) 2022–23.</w:t>
      </w:r>
    </w:p>
    <w:p w14:paraId="769A8C24" w14:textId="2DA2EC34" w:rsidR="00BC0659" w:rsidRPr="001B05F2" w:rsidRDefault="007E1DF2" w:rsidP="001725C0">
      <w:pPr>
        <w:pStyle w:val="FootnoteText"/>
      </w:pPr>
      <w:r w:rsidRPr="007E1DF2">
        <w:rPr>
          <w:vertAlign w:val="superscript"/>
        </w:rPr>
        <w:t>(b)</w:t>
      </w:r>
      <w:r w:rsidRPr="007E1DF2">
        <w:rPr>
          <w:vertAlign w:val="superscript"/>
        </w:rPr>
        <w:tab/>
      </w:r>
      <w:r w:rsidRPr="007E1DF2">
        <w:t>Expenses not requiring appropriation in the Budget year mainly consist of unfunded depreciation</w:t>
      </w:r>
      <w:r w:rsidR="001725C0">
        <w:t xml:space="preserve"> </w:t>
      </w:r>
      <w:r w:rsidRPr="007E1DF2">
        <w:t xml:space="preserve">and </w:t>
      </w:r>
      <w:r w:rsidR="00BD534E">
        <w:t>amortisation expenses.</w:t>
      </w:r>
      <w:r w:rsidR="00BC0659" w:rsidRPr="0089004B">
        <w:rPr>
          <w:color w:val="auto"/>
        </w:rPr>
        <w:br w:type="page"/>
      </w:r>
    </w:p>
    <w:p w14:paraId="21FF44A8" w14:textId="0EEC52A0" w:rsidR="00BC0659" w:rsidRPr="0049518D" w:rsidRDefault="00BC0659" w:rsidP="00BC0659">
      <w:pPr>
        <w:pStyle w:val="Heading4"/>
        <w:rPr>
          <w:color w:val="auto"/>
          <w:sz w:val="22"/>
        </w:rPr>
      </w:pPr>
      <w:r w:rsidRPr="0049518D">
        <w:rPr>
          <w:color w:val="auto"/>
          <w:sz w:val="22"/>
        </w:rPr>
        <w:lastRenderedPageBreak/>
        <w:t xml:space="preserve">Performance </w:t>
      </w:r>
      <w:r w:rsidR="00BA0F94" w:rsidRPr="0049518D">
        <w:rPr>
          <w:color w:val="auto"/>
          <w:sz w:val="22"/>
        </w:rPr>
        <w:t xml:space="preserve">measures </w:t>
      </w:r>
      <w:r w:rsidRPr="0049518D">
        <w:rPr>
          <w:color w:val="auto"/>
          <w:sz w:val="22"/>
        </w:rPr>
        <w:t xml:space="preserve">for </w:t>
      </w:r>
      <w:r w:rsidR="00BA0F94" w:rsidRPr="0049518D">
        <w:rPr>
          <w:color w:val="auto"/>
          <w:sz w:val="22"/>
        </w:rPr>
        <w:t>Outcome 1</w:t>
      </w:r>
    </w:p>
    <w:p w14:paraId="1197BDEF" w14:textId="7D9006AC" w:rsidR="00BA0F94" w:rsidRPr="00BA0F94" w:rsidRDefault="00BA0F94" w:rsidP="00BA0F94">
      <w:pPr>
        <w:rPr>
          <w:color w:val="auto"/>
          <w:szCs w:val="19"/>
        </w:rPr>
      </w:pPr>
      <w:r w:rsidRPr="00BA0F94">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w:t>
      </w:r>
      <w:r w:rsidR="00FE421E">
        <w:rPr>
          <w:szCs w:val="19"/>
        </w:rPr>
        <w:br/>
      </w:r>
      <w:r w:rsidRPr="00BA0F94">
        <w:rPr>
          <w:szCs w:val="19"/>
        </w:rPr>
        <w:t>October 2022</w:t>
      </w:r>
      <w:r w:rsidR="00FE421E">
        <w:rPr>
          <w:szCs w:val="19"/>
        </w:rPr>
        <w:t>–</w:t>
      </w:r>
      <w:r w:rsidRPr="00BA0F94">
        <w:rPr>
          <w:szCs w:val="19"/>
        </w:rPr>
        <w:t>23 Budget measures that have created new programs or materially changed existing programs are provided.</w:t>
      </w:r>
    </w:p>
    <w:p w14:paraId="7989937B" w14:textId="26459D0D" w:rsidR="00BC0659" w:rsidRPr="0089004B" w:rsidRDefault="00BC0659" w:rsidP="00BC0659">
      <w:pPr>
        <w:pStyle w:val="Tablenumberandreference"/>
        <w:rPr>
          <w:color w:val="auto"/>
        </w:rPr>
      </w:pPr>
      <w:r w:rsidRPr="0089004B">
        <w:rPr>
          <w:color w:val="auto"/>
        </w:rPr>
        <w:t xml:space="preserve">Table 2.1.2: Performance </w:t>
      </w:r>
      <w:r w:rsidR="00BA0F94">
        <w:rPr>
          <w:color w:val="auto"/>
        </w:rPr>
        <w:t>m</w:t>
      </w:r>
      <w:r w:rsidR="008F5901" w:rsidRPr="0089004B">
        <w:rPr>
          <w:color w:val="auto"/>
        </w:rPr>
        <w:t>easure</w:t>
      </w:r>
      <w:r w:rsidR="003E7223" w:rsidRPr="0089004B">
        <w:rPr>
          <w:color w:val="auto"/>
        </w:rPr>
        <w:t>s</w:t>
      </w:r>
      <w:r w:rsidRPr="0089004B">
        <w:rPr>
          <w:color w:val="auto"/>
        </w:rPr>
        <w:t xml:space="preserve"> for the </w:t>
      </w:r>
      <w:r w:rsidR="00FB515D" w:rsidRPr="0089004B">
        <w:rPr>
          <w:color w:val="auto"/>
        </w:rPr>
        <w:t>ASC</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SC"/>
        <w:tblDescription w:val="This table outlines the ASC's Outcome 1 outcome statement, Program 1.1's objective and the key activities for Program 1.1"/>
      </w:tblPr>
      <w:tblGrid>
        <w:gridCol w:w="2550"/>
        <w:gridCol w:w="2413"/>
        <w:gridCol w:w="2425"/>
        <w:gridCol w:w="22"/>
      </w:tblGrid>
      <w:tr w:rsidR="0089004B" w:rsidRPr="0089004B" w14:paraId="4C426E29" w14:textId="77777777" w:rsidTr="00C04432">
        <w:trPr>
          <w:jc w:val="center"/>
        </w:trPr>
        <w:tc>
          <w:tcPr>
            <w:tcW w:w="5000" w:type="pct"/>
            <w:gridSpan w:val="4"/>
            <w:shd w:val="clear" w:color="auto" w:fill="D9D9D9" w:themeFill="background1" w:themeFillShade="D9"/>
            <w:tcMar>
              <w:left w:w="85" w:type="dxa"/>
            </w:tcMar>
            <w:vAlign w:val="center"/>
          </w:tcPr>
          <w:p w14:paraId="2DEBDB22" w14:textId="57AD2DC2" w:rsidR="00BC0659" w:rsidRPr="0089004B" w:rsidRDefault="00BC0659" w:rsidP="003D35A4">
            <w:pPr>
              <w:pStyle w:val="Tableheadingrow9pt"/>
              <w:rPr>
                <w:bCs/>
                <w:iCs/>
                <w:color w:val="auto"/>
              </w:rPr>
            </w:pPr>
            <w:r w:rsidRPr="0089004B">
              <w:rPr>
                <w:color w:val="auto"/>
              </w:rPr>
              <w:t>Outcome 1</w:t>
            </w:r>
          </w:p>
        </w:tc>
      </w:tr>
      <w:tr w:rsidR="0089004B" w:rsidRPr="0089004B" w14:paraId="3E1F191E" w14:textId="77777777" w:rsidTr="00C04432">
        <w:trPr>
          <w:jc w:val="center"/>
        </w:trPr>
        <w:tc>
          <w:tcPr>
            <w:tcW w:w="5000" w:type="pct"/>
            <w:gridSpan w:val="4"/>
            <w:shd w:val="clear" w:color="auto" w:fill="auto"/>
            <w:tcMar>
              <w:left w:w="85" w:type="dxa"/>
            </w:tcMar>
          </w:tcPr>
          <w:p w14:paraId="2B88E753" w14:textId="04D9DF5F" w:rsidR="00BC0659" w:rsidRPr="0089004B" w:rsidRDefault="00F34B94" w:rsidP="00A032F5">
            <w:pPr>
              <w:pStyle w:val="Tabletextnormal9pt"/>
              <w:rPr>
                <w:rFonts w:eastAsiaTheme="minorEastAsia"/>
                <w:color w:val="auto"/>
              </w:rPr>
            </w:pPr>
            <w:r w:rsidRPr="0089004B">
              <w:rPr>
                <w:rFonts w:eastAsiaTheme="minorEastAsia"/>
                <w:color w:val="auto"/>
              </w:rPr>
              <w:t>Increased participation in organised sport and continued international sporting success including through leadership and development of a cohesive and effective sports sector, provision of targeted financial support, and the operation</w:t>
            </w:r>
            <w:r w:rsidR="00406EE7">
              <w:rPr>
                <w:rFonts w:eastAsiaTheme="minorEastAsia"/>
                <w:color w:val="auto"/>
              </w:rPr>
              <w:t xml:space="preserve"> of the Australian Institute of </w:t>
            </w:r>
            <w:r w:rsidRPr="0089004B">
              <w:rPr>
                <w:rFonts w:eastAsiaTheme="minorEastAsia"/>
                <w:color w:val="auto"/>
              </w:rPr>
              <w:t>Sport.</w:t>
            </w:r>
          </w:p>
        </w:tc>
      </w:tr>
      <w:tr w:rsidR="0089004B" w:rsidRPr="0089004B" w14:paraId="67A4CEFA" w14:textId="77777777" w:rsidTr="00C04432">
        <w:trPr>
          <w:jc w:val="center"/>
        </w:trPr>
        <w:tc>
          <w:tcPr>
            <w:tcW w:w="5000" w:type="pct"/>
            <w:gridSpan w:val="4"/>
            <w:shd w:val="clear" w:color="auto" w:fill="D9D9D9" w:themeFill="background1" w:themeFillShade="D9"/>
            <w:tcMar>
              <w:left w:w="85" w:type="dxa"/>
            </w:tcMar>
          </w:tcPr>
          <w:p w14:paraId="4A13760E" w14:textId="1A303E19" w:rsidR="00C04432" w:rsidRPr="0089004B" w:rsidRDefault="00BC0659" w:rsidP="008A780B">
            <w:pPr>
              <w:pStyle w:val="Tableheadingrow9pt"/>
              <w:rPr>
                <w:color w:val="auto"/>
              </w:rPr>
            </w:pPr>
            <w:r w:rsidRPr="0089004B">
              <w:rPr>
                <w:color w:val="auto"/>
              </w:rPr>
              <w:t xml:space="preserve">Program Objective – Program 1.1: </w:t>
            </w:r>
            <w:r w:rsidR="00F34B94" w:rsidRPr="0089004B">
              <w:rPr>
                <w:color w:val="auto"/>
              </w:rPr>
              <w:t>Australian Sports Commission</w:t>
            </w:r>
          </w:p>
        </w:tc>
      </w:tr>
      <w:tr w:rsidR="0089004B" w:rsidRPr="0089004B" w14:paraId="3327CECD" w14:textId="77777777" w:rsidTr="00C04432">
        <w:trPr>
          <w:jc w:val="center"/>
        </w:trPr>
        <w:tc>
          <w:tcPr>
            <w:tcW w:w="5000" w:type="pct"/>
            <w:gridSpan w:val="4"/>
            <w:shd w:val="clear" w:color="auto" w:fill="auto"/>
            <w:tcMar>
              <w:left w:w="85" w:type="dxa"/>
            </w:tcMar>
          </w:tcPr>
          <w:p w14:paraId="38A52922" w14:textId="333AF26D" w:rsidR="00BC0659" w:rsidRPr="0089004B" w:rsidRDefault="008A780B" w:rsidP="00A032F5">
            <w:pPr>
              <w:pStyle w:val="Tabletextnormal9pt"/>
              <w:rPr>
                <w:rFonts w:eastAsiaTheme="minorEastAsia"/>
                <w:color w:val="auto"/>
              </w:rPr>
            </w:pPr>
            <w:r>
              <w:rPr>
                <w:rFonts w:eastAsiaTheme="minorEastAsia"/>
                <w:color w:val="auto"/>
              </w:rPr>
              <w:t>The Australian Sports Commission (ASC)</w:t>
            </w:r>
            <w:r w:rsidRPr="0089004B">
              <w:rPr>
                <w:rFonts w:eastAsiaTheme="minorEastAsia"/>
                <w:color w:val="auto"/>
              </w:rPr>
              <w:t xml:space="preserve"> is focused on increasing participation and involvement in organised sport and improving the capability of our sports sector. </w:t>
            </w:r>
            <w:r>
              <w:rPr>
                <w:rFonts w:eastAsiaTheme="minorEastAsia"/>
                <w:color w:val="auto"/>
              </w:rPr>
              <w:t>Through t</w:t>
            </w:r>
            <w:r w:rsidRPr="0089004B">
              <w:rPr>
                <w:rFonts w:eastAsiaTheme="minorEastAsia"/>
                <w:color w:val="auto"/>
              </w:rPr>
              <w:t>he Australian Institute of Sport</w:t>
            </w:r>
            <w:r>
              <w:rPr>
                <w:rFonts w:eastAsiaTheme="minorEastAsia"/>
                <w:color w:val="auto"/>
              </w:rPr>
              <w:t>, the ASC</w:t>
            </w:r>
            <w:r w:rsidRPr="0089004B">
              <w:rPr>
                <w:rFonts w:eastAsiaTheme="minorEastAsia"/>
                <w:color w:val="auto"/>
              </w:rPr>
              <w:t xml:space="preserve"> will strive to deliver national pride and inspiration through international sporting success.</w:t>
            </w:r>
          </w:p>
        </w:tc>
      </w:tr>
      <w:tr w:rsidR="0089004B" w:rsidRPr="0089004B" w14:paraId="2DBC5B98" w14:textId="77777777" w:rsidTr="00C04432">
        <w:trPr>
          <w:jc w:val="center"/>
        </w:trPr>
        <w:tc>
          <w:tcPr>
            <w:tcW w:w="5000" w:type="pct"/>
            <w:gridSpan w:val="4"/>
            <w:shd w:val="clear" w:color="auto" w:fill="D9D9D9" w:themeFill="background1" w:themeFillShade="D9"/>
            <w:tcMar>
              <w:left w:w="85" w:type="dxa"/>
            </w:tcMar>
            <w:vAlign w:val="center"/>
          </w:tcPr>
          <w:p w14:paraId="193552F6" w14:textId="45A765C1" w:rsidR="00C04432" w:rsidRPr="0089004B" w:rsidRDefault="00DF1ABA" w:rsidP="008A780B">
            <w:pPr>
              <w:pStyle w:val="Tableheadingrow9pt"/>
              <w:rPr>
                <w:color w:val="auto"/>
              </w:rPr>
            </w:pPr>
            <w:r>
              <w:rPr>
                <w:color w:val="auto"/>
              </w:rPr>
              <w:t>Key Activities</w:t>
            </w:r>
          </w:p>
        </w:tc>
      </w:tr>
      <w:tr w:rsidR="00BC0659" w:rsidRPr="0089004B" w14:paraId="08EFCABC" w14:textId="77777777" w:rsidTr="00C04432">
        <w:trPr>
          <w:trHeight w:val="388"/>
          <w:jc w:val="center"/>
        </w:trPr>
        <w:tc>
          <w:tcPr>
            <w:tcW w:w="5000" w:type="pct"/>
            <w:gridSpan w:val="4"/>
            <w:tcBorders>
              <w:bottom w:val="single" w:sz="4" w:space="0" w:color="auto"/>
            </w:tcBorders>
            <w:shd w:val="clear" w:color="auto" w:fill="auto"/>
            <w:tcMar>
              <w:left w:w="85" w:type="dxa"/>
            </w:tcMar>
          </w:tcPr>
          <w:p w14:paraId="20DA4BD0" w14:textId="77777777" w:rsidR="008A780B" w:rsidRDefault="008A780B" w:rsidP="008A780B">
            <w:pPr>
              <w:pStyle w:val="ListParagraph"/>
              <w:numPr>
                <w:ilvl w:val="0"/>
                <w:numId w:val="18"/>
              </w:numPr>
              <w:spacing w:before="40" w:after="40"/>
              <w:ind w:left="284" w:hanging="284"/>
              <w:contextualSpacing w:val="0"/>
              <w:rPr>
                <w:rFonts w:ascii="Arial" w:hAnsi="Arial" w:cs="Arial"/>
                <w:color w:val="auto"/>
                <w:sz w:val="18"/>
                <w:szCs w:val="18"/>
              </w:rPr>
            </w:pPr>
            <w:r>
              <w:rPr>
                <w:rFonts w:ascii="Arial" w:hAnsi="Arial" w:cs="Arial"/>
                <w:color w:val="auto"/>
                <w:sz w:val="18"/>
                <w:szCs w:val="18"/>
              </w:rPr>
              <w:t>World’s best high performance system</w:t>
            </w:r>
          </w:p>
          <w:p w14:paraId="719B35F0" w14:textId="00629AB8" w:rsidR="008A780B" w:rsidRDefault="008A780B" w:rsidP="008A780B">
            <w:pPr>
              <w:pStyle w:val="ListParagraph"/>
              <w:numPr>
                <w:ilvl w:val="0"/>
                <w:numId w:val="20"/>
              </w:numPr>
              <w:spacing w:before="40" w:after="40"/>
              <w:ind w:left="567" w:hanging="284"/>
              <w:contextualSpacing w:val="0"/>
              <w:rPr>
                <w:rFonts w:ascii="Arial" w:hAnsi="Arial" w:cs="Arial"/>
                <w:color w:val="auto"/>
                <w:sz w:val="18"/>
                <w:szCs w:val="18"/>
              </w:rPr>
            </w:pPr>
            <w:r>
              <w:rPr>
                <w:rFonts w:ascii="Arial" w:hAnsi="Arial" w:cs="Arial"/>
                <w:color w:val="auto"/>
                <w:sz w:val="18"/>
                <w:szCs w:val="18"/>
              </w:rPr>
              <w:t>targeted high performance investment</w:t>
            </w:r>
          </w:p>
          <w:p w14:paraId="6A712E0C" w14:textId="0609D97C" w:rsidR="008A780B" w:rsidRDefault="008A780B" w:rsidP="008A780B">
            <w:pPr>
              <w:pStyle w:val="ListParagraph"/>
              <w:numPr>
                <w:ilvl w:val="0"/>
                <w:numId w:val="20"/>
              </w:numPr>
              <w:spacing w:before="40" w:after="40"/>
              <w:ind w:left="567" w:hanging="284"/>
              <w:contextualSpacing w:val="0"/>
              <w:rPr>
                <w:rFonts w:ascii="Arial" w:hAnsi="Arial" w:cs="Arial"/>
                <w:color w:val="auto"/>
                <w:sz w:val="18"/>
                <w:szCs w:val="18"/>
              </w:rPr>
            </w:pPr>
            <w:r>
              <w:rPr>
                <w:rFonts w:ascii="Arial" w:hAnsi="Arial" w:cs="Arial"/>
                <w:color w:val="auto"/>
                <w:sz w:val="18"/>
                <w:szCs w:val="18"/>
              </w:rPr>
              <w:t>support safe and holistic high performance cultures including the prioritisation of athlete wellbeing and community connection</w:t>
            </w:r>
          </w:p>
          <w:p w14:paraId="130077ED" w14:textId="630EC4FC" w:rsidR="008A780B" w:rsidRDefault="008A780B" w:rsidP="008A780B">
            <w:pPr>
              <w:pStyle w:val="ListParagraph"/>
              <w:numPr>
                <w:ilvl w:val="0"/>
                <w:numId w:val="20"/>
              </w:numPr>
              <w:spacing w:before="40" w:after="40"/>
              <w:ind w:left="567" w:hanging="284"/>
              <w:contextualSpacing w:val="0"/>
              <w:rPr>
                <w:rFonts w:ascii="Arial" w:hAnsi="Arial" w:cs="Arial"/>
                <w:color w:val="auto"/>
                <w:sz w:val="18"/>
                <w:szCs w:val="18"/>
              </w:rPr>
            </w:pPr>
            <w:proofErr w:type="gramStart"/>
            <w:r>
              <w:rPr>
                <w:rFonts w:ascii="Arial" w:hAnsi="Arial" w:cs="Arial"/>
                <w:color w:val="auto"/>
                <w:sz w:val="18"/>
                <w:szCs w:val="18"/>
              </w:rPr>
              <w:t>be</w:t>
            </w:r>
            <w:proofErr w:type="gramEnd"/>
            <w:r>
              <w:rPr>
                <w:rFonts w:ascii="Arial" w:hAnsi="Arial" w:cs="Arial"/>
                <w:color w:val="auto"/>
                <w:sz w:val="18"/>
                <w:szCs w:val="18"/>
              </w:rPr>
              <w:t xml:space="preserve"> on the frontier of science and technology to support all athletes.</w:t>
            </w:r>
          </w:p>
          <w:p w14:paraId="1405725A" w14:textId="77777777" w:rsidR="008A780B" w:rsidRPr="00A04B44" w:rsidRDefault="008A780B" w:rsidP="008A780B">
            <w:pPr>
              <w:pStyle w:val="ListParagraph"/>
              <w:numPr>
                <w:ilvl w:val="0"/>
                <w:numId w:val="18"/>
              </w:numPr>
              <w:spacing w:before="40" w:after="40"/>
              <w:ind w:left="284" w:hanging="284"/>
              <w:contextualSpacing w:val="0"/>
              <w:rPr>
                <w:rFonts w:ascii="Arial" w:hAnsi="Arial" w:cs="Arial"/>
                <w:color w:val="auto"/>
                <w:sz w:val="18"/>
                <w:szCs w:val="18"/>
              </w:rPr>
            </w:pPr>
            <w:r w:rsidRPr="00A04B44">
              <w:rPr>
                <w:rFonts w:ascii="Arial" w:hAnsi="Arial" w:cs="Arial"/>
                <w:color w:val="auto"/>
                <w:sz w:val="18"/>
                <w:szCs w:val="18"/>
              </w:rPr>
              <w:t>More Australians involved in organised sport</w:t>
            </w:r>
          </w:p>
          <w:p w14:paraId="3000A377" w14:textId="77777777" w:rsidR="008A780B" w:rsidRPr="00FC3708" w:rsidRDefault="008A780B" w:rsidP="008A780B">
            <w:pPr>
              <w:pStyle w:val="ListParagraph"/>
              <w:numPr>
                <w:ilvl w:val="1"/>
                <w:numId w:val="19"/>
              </w:numPr>
              <w:spacing w:before="40" w:after="40"/>
              <w:ind w:left="567" w:hanging="284"/>
              <w:contextualSpacing w:val="0"/>
              <w:rPr>
                <w:rFonts w:ascii="Arial" w:hAnsi="Arial" w:cs="Arial"/>
                <w:color w:val="auto"/>
                <w:sz w:val="18"/>
                <w:szCs w:val="18"/>
              </w:rPr>
            </w:pPr>
            <w:r w:rsidRPr="00FC3708">
              <w:rPr>
                <w:rFonts w:ascii="Arial" w:hAnsi="Arial" w:cs="Arial"/>
                <w:color w:val="auto"/>
                <w:sz w:val="18"/>
                <w:szCs w:val="18"/>
              </w:rPr>
              <w:t>help Australians understand the value and benefits of organised sport</w:t>
            </w:r>
          </w:p>
          <w:p w14:paraId="238BCB9F" w14:textId="77777777" w:rsidR="008A780B" w:rsidRPr="00FC3708" w:rsidRDefault="008A780B" w:rsidP="008A780B">
            <w:pPr>
              <w:pStyle w:val="ListParagraph"/>
              <w:numPr>
                <w:ilvl w:val="1"/>
                <w:numId w:val="19"/>
              </w:numPr>
              <w:spacing w:before="40" w:after="40"/>
              <w:ind w:left="567" w:hanging="284"/>
              <w:contextualSpacing w:val="0"/>
              <w:rPr>
                <w:rFonts w:ascii="Arial" w:hAnsi="Arial" w:cs="Arial"/>
                <w:color w:val="auto"/>
                <w:sz w:val="18"/>
                <w:szCs w:val="18"/>
              </w:rPr>
            </w:pPr>
            <w:r w:rsidRPr="00FC3708">
              <w:rPr>
                <w:rFonts w:ascii="Arial" w:hAnsi="Arial" w:cs="Arial"/>
                <w:color w:val="auto"/>
                <w:sz w:val="18"/>
                <w:szCs w:val="18"/>
              </w:rPr>
              <w:t>enable organised sport providers to deliver an inviting and enjoyable experience for</w:t>
            </w:r>
            <w:r>
              <w:rPr>
                <w:rFonts w:ascii="Arial" w:hAnsi="Arial" w:cs="Arial"/>
                <w:color w:val="auto"/>
                <w:sz w:val="18"/>
                <w:szCs w:val="18"/>
              </w:rPr>
              <w:t> </w:t>
            </w:r>
            <w:r w:rsidRPr="00FC3708">
              <w:rPr>
                <w:rFonts w:ascii="Arial" w:hAnsi="Arial" w:cs="Arial"/>
                <w:color w:val="auto"/>
                <w:sz w:val="18"/>
                <w:szCs w:val="18"/>
              </w:rPr>
              <w:t>all</w:t>
            </w:r>
          </w:p>
          <w:p w14:paraId="450F5FDD" w14:textId="77777777" w:rsidR="008A780B" w:rsidRPr="00FC3708" w:rsidRDefault="008A780B" w:rsidP="008A780B">
            <w:pPr>
              <w:pStyle w:val="ListParagraph"/>
              <w:numPr>
                <w:ilvl w:val="1"/>
                <w:numId w:val="19"/>
              </w:numPr>
              <w:spacing w:before="40" w:after="40"/>
              <w:ind w:left="567" w:hanging="284"/>
              <w:contextualSpacing w:val="0"/>
              <w:rPr>
                <w:rFonts w:ascii="Arial" w:hAnsi="Arial" w:cs="Arial"/>
                <w:color w:val="auto"/>
                <w:sz w:val="18"/>
                <w:szCs w:val="18"/>
              </w:rPr>
            </w:pPr>
            <w:proofErr w:type="gramStart"/>
            <w:r w:rsidRPr="00FC3708">
              <w:rPr>
                <w:rFonts w:ascii="Arial" w:hAnsi="Arial" w:cs="Arial"/>
                <w:color w:val="auto"/>
                <w:sz w:val="18"/>
                <w:szCs w:val="18"/>
              </w:rPr>
              <w:t>drive</w:t>
            </w:r>
            <w:proofErr w:type="gramEnd"/>
            <w:r w:rsidRPr="00FC3708">
              <w:rPr>
                <w:rFonts w:ascii="Arial" w:hAnsi="Arial" w:cs="Arial"/>
                <w:color w:val="auto"/>
                <w:sz w:val="18"/>
                <w:szCs w:val="18"/>
              </w:rPr>
              <w:t xml:space="preserve"> involvement and inclusion in organised sport</w:t>
            </w:r>
            <w:r>
              <w:rPr>
                <w:rFonts w:ascii="Arial" w:hAnsi="Arial" w:cs="Arial"/>
                <w:color w:val="auto"/>
                <w:sz w:val="18"/>
                <w:szCs w:val="18"/>
              </w:rPr>
              <w:t>.</w:t>
            </w:r>
          </w:p>
          <w:p w14:paraId="79DD7799" w14:textId="52AF4ACC" w:rsidR="008A780B" w:rsidRPr="00FC3708" w:rsidRDefault="008A780B" w:rsidP="008A780B">
            <w:pPr>
              <w:pStyle w:val="ListParagraph"/>
              <w:numPr>
                <w:ilvl w:val="1"/>
                <w:numId w:val="17"/>
              </w:numPr>
              <w:spacing w:before="40" w:after="40"/>
              <w:ind w:left="284" w:hanging="284"/>
              <w:contextualSpacing w:val="0"/>
              <w:rPr>
                <w:rFonts w:ascii="Arial" w:hAnsi="Arial" w:cs="Arial"/>
                <w:color w:val="auto"/>
                <w:sz w:val="18"/>
                <w:szCs w:val="18"/>
              </w:rPr>
            </w:pPr>
            <w:r>
              <w:rPr>
                <w:rFonts w:ascii="Arial" w:hAnsi="Arial" w:cs="Arial"/>
                <w:color w:val="auto"/>
                <w:sz w:val="18"/>
                <w:szCs w:val="18"/>
              </w:rPr>
              <w:t>A</w:t>
            </w:r>
            <w:r w:rsidRPr="00FC3708">
              <w:rPr>
                <w:rFonts w:ascii="Arial" w:hAnsi="Arial" w:cs="Arial"/>
                <w:color w:val="auto"/>
                <w:sz w:val="18"/>
                <w:szCs w:val="18"/>
              </w:rPr>
              <w:t xml:space="preserve"> thriving</w:t>
            </w:r>
            <w:r>
              <w:rPr>
                <w:rFonts w:ascii="Arial" w:hAnsi="Arial" w:cs="Arial"/>
                <w:color w:val="auto"/>
                <w:sz w:val="18"/>
                <w:szCs w:val="18"/>
              </w:rPr>
              <w:t>,</w:t>
            </w:r>
            <w:r w:rsidRPr="00FC3708">
              <w:rPr>
                <w:rFonts w:ascii="Arial" w:hAnsi="Arial" w:cs="Arial"/>
                <w:color w:val="auto"/>
                <w:sz w:val="18"/>
                <w:szCs w:val="18"/>
              </w:rPr>
              <w:t xml:space="preserve"> organised sport sector</w:t>
            </w:r>
          </w:p>
          <w:p w14:paraId="40423260" w14:textId="77777777" w:rsidR="008A780B" w:rsidRPr="00FC3708" w:rsidRDefault="008A780B" w:rsidP="008A780B">
            <w:pPr>
              <w:pStyle w:val="ListParagraph"/>
              <w:numPr>
                <w:ilvl w:val="0"/>
                <w:numId w:val="20"/>
              </w:numPr>
              <w:spacing w:before="40" w:after="40"/>
              <w:ind w:left="567" w:hanging="284"/>
              <w:contextualSpacing w:val="0"/>
              <w:rPr>
                <w:rFonts w:ascii="Arial" w:hAnsi="Arial" w:cs="Arial"/>
                <w:color w:val="auto"/>
                <w:sz w:val="18"/>
                <w:szCs w:val="18"/>
              </w:rPr>
            </w:pPr>
            <w:r w:rsidRPr="00FC3708">
              <w:rPr>
                <w:rFonts w:ascii="Arial" w:hAnsi="Arial" w:cs="Arial"/>
                <w:color w:val="auto"/>
                <w:sz w:val="18"/>
                <w:szCs w:val="18"/>
              </w:rPr>
              <w:t>a more cohesive, innovative and effective sector</w:t>
            </w:r>
          </w:p>
          <w:p w14:paraId="46936836" w14:textId="51608C12" w:rsidR="008A780B" w:rsidRDefault="008A780B" w:rsidP="008A780B">
            <w:pPr>
              <w:pStyle w:val="ListParagraph"/>
              <w:numPr>
                <w:ilvl w:val="0"/>
                <w:numId w:val="20"/>
              </w:numPr>
              <w:spacing w:before="40" w:after="40"/>
              <w:ind w:left="567" w:hanging="284"/>
              <w:contextualSpacing w:val="0"/>
              <w:rPr>
                <w:rFonts w:ascii="Arial" w:hAnsi="Arial" w:cs="Arial"/>
                <w:color w:val="auto"/>
                <w:sz w:val="18"/>
                <w:szCs w:val="18"/>
              </w:rPr>
            </w:pPr>
            <w:r w:rsidRPr="00FC3708">
              <w:rPr>
                <w:rFonts w:ascii="Arial" w:hAnsi="Arial" w:cs="Arial"/>
                <w:color w:val="auto"/>
                <w:sz w:val="18"/>
                <w:szCs w:val="18"/>
              </w:rPr>
              <w:t>support organisations running sport to improve their effectiveness</w:t>
            </w:r>
          </w:p>
          <w:p w14:paraId="02D6E3DA" w14:textId="747D14C0" w:rsidR="00D74EC4" w:rsidRPr="008A780B" w:rsidRDefault="008A780B" w:rsidP="008A780B">
            <w:pPr>
              <w:pStyle w:val="ListParagraph"/>
              <w:numPr>
                <w:ilvl w:val="0"/>
                <w:numId w:val="20"/>
              </w:numPr>
              <w:spacing w:before="40" w:after="40"/>
              <w:ind w:left="567" w:hanging="284"/>
              <w:contextualSpacing w:val="0"/>
              <w:rPr>
                <w:rFonts w:ascii="Arial" w:hAnsi="Arial" w:cs="Arial"/>
                <w:color w:val="auto"/>
                <w:sz w:val="18"/>
                <w:szCs w:val="18"/>
              </w:rPr>
            </w:pPr>
            <w:proofErr w:type="gramStart"/>
            <w:r>
              <w:rPr>
                <w:rFonts w:ascii="Arial" w:hAnsi="Arial" w:cs="Arial"/>
                <w:color w:val="auto"/>
                <w:sz w:val="18"/>
                <w:szCs w:val="18"/>
              </w:rPr>
              <w:t>build</w:t>
            </w:r>
            <w:proofErr w:type="gramEnd"/>
            <w:r>
              <w:rPr>
                <w:rFonts w:ascii="Arial" w:hAnsi="Arial" w:cs="Arial"/>
                <w:color w:val="auto"/>
                <w:sz w:val="18"/>
                <w:szCs w:val="18"/>
              </w:rPr>
              <w:t xml:space="preserve"> system capability and the ability of individuals in the Australian sport workforce.</w:t>
            </w:r>
          </w:p>
        </w:tc>
      </w:tr>
      <w:tr w:rsidR="0089004B" w:rsidRPr="0089004B" w14:paraId="307B26CB" w14:textId="77777777" w:rsidTr="00C04432">
        <w:trPr>
          <w:gridAfter w:val="1"/>
          <w:wAfter w:w="16" w:type="pct"/>
          <w:trHeight w:val="104"/>
          <w:jc w:val="center"/>
        </w:trPr>
        <w:tc>
          <w:tcPr>
            <w:tcW w:w="4984" w:type="pct"/>
            <w:gridSpan w:val="3"/>
            <w:shd w:val="clear" w:color="auto" w:fill="D9D9D9" w:themeFill="background1" w:themeFillShade="D9"/>
            <w:tcMar>
              <w:left w:w="85" w:type="dxa"/>
            </w:tcMar>
          </w:tcPr>
          <w:p w14:paraId="4E0EFFE1" w14:textId="75CBD622" w:rsidR="00C04432" w:rsidRPr="0089004B" w:rsidRDefault="00BC0659" w:rsidP="005054CC">
            <w:pPr>
              <w:pStyle w:val="Tableheadingrow9pt"/>
              <w:keepNext/>
              <w:keepLines/>
              <w:pageBreakBefore/>
              <w:rPr>
                <w:color w:val="auto"/>
              </w:rPr>
            </w:pPr>
            <w:r w:rsidRPr="0089004B">
              <w:rPr>
                <w:color w:val="auto"/>
              </w:rPr>
              <w:lastRenderedPageBreak/>
              <w:t xml:space="preserve">Performance </w:t>
            </w:r>
            <w:r w:rsidR="008F5901" w:rsidRPr="0089004B">
              <w:rPr>
                <w:color w:val="auto"/>
              </w:rPr>
              <w:t>Measure</w:t>
            </w:r>
            <w:r w:rsidR="00BB62A8" w:rsidRPr="0089004B">
              <w:rPr>
                <w:color w:val="auto"/>
              </w:rPr>
              <w:t>s</w:t>
            </w:r>
          </w:p>
        </w:tc>
      </w:tr>
      <w:tr w:rsidR="0089004B" w:rsidRPr="0089004B" w14:paraId="3831FD32" w14:textId="77777777" w:rsidTr="00C04432">
        <w:tblPrEx>
          <w:tblCellMar>
            <w:top w:w="0" w:type="dxa"/>
            <w:left w:w="108" w:type="dxa"/>
            <w:bottom w:w="0" w:type="dxa"/>
            <w:right w:w="108" w:type="dxa"/>
          </w:tblCellMar>
        </w:tblPrEx>
        <w:trPr>
          <w:gridAfter w:val="1"/>
          <w:wAfter w:w="16" w:type="pct"/>
          <w:trHeight w:val="283"/>
          <w:jc w:val="center"/>
        </w:trPr>
        <w:tc>
          <w:tcPr>
            <w:tcW w:w="4984" w:type="pct"/>
            <w:gridSpan w:val="3"/>
            <w:shd w:val="clear" w:color="auto" w:fill="D9D9D9" w:themeFill="background1" w:themeFillShade="D9"/>
            <w:tcMar>
              <w:left w:w="85" w:type="dxa"/>
            </w:tcMar>
          </w:tcPr>
          <w:p w14:paraId="7F8BFB3B" w14:textId="0967F355" w:rsidR="00C515FC" w:rsidRPr="00D04EE8" w:rsidRDefault="00FB515D" w:rsidP="00C515FC">
            <w:pPr>
              <w:pStyle w:val="Tableheadingrowmeasures85pt"/>
              <w:rPr>
                <w:color w:val="auto"/>
              </w:rPr>
            </w:pPr>
            <w:r w:rsidRPr="0089004B">
              <w:rPr>
                <w:color w:val="auto"/>
              </w:rPr>
              <w:t xml:space="preserve">Percentage of high-performance funded sports rated by the </w:t>
            </w:r>
            <w:r w:rsidR="00CC49B7" w:rsidRPr="0089004B">
              <w:rPr>
                <w:color w:val="auto"/>
              </w:rPr>
              <w:t xml:space="preserve">Australian Institute of </w:t>
            </w:r>
            <w:r w:rsidRPr="0089004B">
              <w:rPr>
                <w:color w:val="auto"/>
              </w:rPr>
              <w:t>S</w:t>
            </w:r>
            <w:r w:rsidR="002D482F">
              <w:rPr>
                <w:color w:val="auto"/>
              </w:rPr>
              <w:t>port </w:t>
            </w:r>
            <w:r w:rsidR="00CC49B7" w:rsidRPr="0089004B">
              <w:rPr>
                <w:color w:val="auto"/>
              </w:rPr>
              <w:t>(AIS)</w:t>
            </w:r>
            <w:r w:rsidRPr="0089004B">
              <w:rPr>
                <w:color w:val="auto"/>
              </w:rPr>
              <w:t xml:space="preserve"> as achieving benchmark targets.</w:t>
            </w:r>
          </w:p>
        </w:tc>
      </w:tr>
      <w:tr w:rsidR="00291E15" w:rsidRPr="0089004B" w14:paraId="4FD99E7B" w14:textId="77777777" w:rsidTr="00C04432">
        <w:tblPrEx>
          <w:tblCellMar>
            <w:top w:w="0" w:type="dxa"/>
            <w:left w:w="108" w:type="dxa"/>
            <w:bottom w:w="0" w:type="dxa"/>
            <w:right w:w="108" w:type="dxa"/>
          </w:tblCellMar>
        </w:tblPrEx>
        <w:trPr>
          <w:gridAfter w:val="1"/>
          <w:wAfter w:w="16" w:type="pct"/>
          <w:trHeight w:val="283"/>
          <w:jc w:val="center"/>
        </w:trPr>
        <w:tc>
          <w:tcPr>
            <w:tcW w:w="1721" w:type="pct"/>
            <w:shd w:val="clear" w:color="auto" w:fill="auto"/>
            <w:tcMar>
              <w:left w:w="85" w:type="dxa"/>
            </w:tcMar>
          </w:tcPr>
          <w:p w14:paraId="70CB3D41" w14:textId="5686D417" w:rsidR="00291E15" w:rsidRPr="00291E15" w:rsidRDefault="00BA0F94" w:rsidP="00291E15">
            <w:pPr>
              <w:pStyle w:val="Tableheadingrowmeasures85pt"/>
              <w:keepNext/>
              <w:rPr>
                <w:color w:val="auto"/>
              </w:rPr>
            </w:pPr>
            <w:r>
              <w:t>Prior</w:t>
            </w:r>
            <w:r w:rsidR="00ED4117">
              <w:t xml:space="preserve"> Year</w:t>
            </w:r>
            <w:r w:rsidR="00ED4117">
              <w:br/>
              <w:t>2021–</w:t>
            </w:r>
            <w:r w:rsidR="00ED4117" w:rsidRPr="00744C28">
              <w:t xml:space="preserve">22 </w:t>
            </w:r>
            <w:r w:rsidR="004D5EFA">
              <w:rPr>
                <w:color w:val="auto"/>
              </w:rPr>
              <w:t xml:space="preserve">Expected </w:t>
            </w:r>
            <w:r w:rsidR="00ED4117">
              <w:t>Performance Results</w:t>
            </w:r>
          </w:p>
        </w:tc>
        <w:tc>
          <w:tcPr>
            <w:tcW w:w="1628" w:type="pct"/>
            <w:shd w:val="clear" w:color="auto" w:fill="auto"/>
            <w:tcMar>
              <w:left w:w="85" w:type="dxa"/>
            </w:tcMar>
          </w:tcPr>
          <w:p w14:paraId="3FF9DB80" w14:textId="602E6453" w:rsidR="00291E15" w:rsidRPr="00291E15" w:rsidRDefault="00053E8E" w:rsidP="00291E15">
            <w:pPr>
              <w:pStyle w:val="Tableheadingrowmeasures85pt"/>
              <w:keepNext/>
              <w:rPr>
                <w:color w:val="auto"/>
              </w:rPr>
            </w:pPr>
            <w:r>
              <w:t>Budget Year</w:t>
            </w:r>
            <w:r>
              <w:br/>
            </w:r>
            <w:r w:rsidR="00DE128A">
              <w:t>2022–</w:t>
            </w:r>
            <w:r w:rsidR="00C515FC">
              <w:t>23 Planned Performance Results</w:t>
            </w:r>
          </w:p>
        </w:tc>
        <w:tc>
          <w:tcPr>
            <w:tcW w:w="1636" w:type="pct"/>
            <w:shd w:val="clear" w:color="auto" w:fill="auto"/>
            <w:tcMar>
              <w:left w:w="85" w:type="dxa"/>
            </w:tcMar>
          </w:tcPr>
          <w:p w14:paraId="6F66A520" w14:textId="28717120" w:rsidR="00291E15" w:rsidRPr="00291E15" w:rsidRDefault="00DE128A" w:rsidP="00291E15">
            <w:pPr>
              <w:pStyle w:val="Tableheadingrowmeasures85pt"/>
              <w:keepNext/>
              <w:rPr>
                <w:color w:val="auto"/>
              </w:rPr>
            </w:pPr>
            <w:r>
              <w:t>Forward Estimates</w:t>
            </w:r>
            <w:r>
              <w:br/>
              <w:t>2023–</w:t>
            </w:r>
            <w:r w:rsidR="00053E8E">
              <w:t xml:space="preserve">26 </w:t>
            </w:r>
            <w:r w:rsidR="00C515FC">
              <w:t>Planned Performance Results</w:t>
            </w:r>
          </w:p>
        </w:tc>
      </w:tr>
      <w:tr w:rsidR="0089004B" w:rsidRPr="0089004B" w14:paraId="602D4AE6" w14:textId="77777777" w:rsidTr="00C04432">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25E3C07F" w14:textId="7DBDD9CD" w:rsidR="005054CC" w:rsidRPr="001A3D59" w:rsidRDefault="005054CC" w:rsidP="005054CC">
            <w:pPr>
              <w:pStyle w:val="Tabletextmeasures85pt"/>
            </w:pPr>
            <w:r w:rsidRPr="001A3D59">
              <w:t xml:space="preserve">85% of high performance funded </w:t>
            </w:r>
            <w:r>
              <w:t xml:space="preserve">National Sporting Organisations </w:t>
            </w:r>
            <w:r w:rsidRPr="001A3D59">
              <w:t>achieved performance outcomes at the 2020 and 2022 Olympic and Paralympic Games.</w:t>
            </w:r>
          </w:p>
          <w:p w14:paraId="6AA1B736" w14:textId="790B7563" w:rsidR="00BC0659" w:rsidRPr="005E2BD9" w:rsidRDefault="005054CC" w:rsidP="00611C88">
            <w:pPr>
              <w:pStyle w:val="Tabletextmeasures85pt"/>
              <w:rPr>
                <w:color w:val="auto"/>
              </w:rPr>
            </w:pPr>
            <w:r w:rsidRPr="001A3D59">
              <w:t>Delays in the annual review process due to the postponement of the Tokyo Olympic and Paralympic Games and ongoing COVID impacts means the 90% target for agreed action plans has not been met in 2021</w:t>
            </w:r>
            <w:r w:rsidR="00611C88">
              <w:t>–</w:t>
            </w:r>
            <w:r w:rsidRPr="001A3D59">
              <w:t>22.</w:t>
            </w:r>
          </w:p>
        </w:tc>
        <w:tc>
          <w:tcPr>
            <w:tcW w:w="1628" w:type="pct"/>
            <w:shd w:val="clear" w:color="auto" w:fill="auto"/>
            <w:tcMar>
              <w:left w:w="85" w:type="dxa"/>
            </w:tcMar>
          </w:tcPr>
          <w:p w14:paraId="11C90DFE" w14:textId="6B456D3A" w:rsidR="006D5D80" w:rsidRPr="0089004B" w:rsidRDefault="006D5D80" w:rsidP="006D5D80">
            <w:pPr>
              <w:pStyle w:val="Tabletextmeasures85pt"/>
              <w:rPr>
                <w:color w:val="auto"/>
              </w:rPr>
            </w:pPr>
            <w:r w:rsidRPr="0089004B">
              <w:rPr>
                <w:color w:val="auto"/>
              </w:rPr>
              <w:t xml:space="preserve">On average, 85% of high performance funded National Sporting Organisations achieve </w:t>
            </w:r>
            <w:r>
              <w:rPr>
                <w:color w:val="auto"/>
              </w:rPr>
              <w:t xml:space="preserve">agreed </w:t>
            </w:r>
            <w:r w:rsidRPr="0089004B">
              <w:rPr>
                <w:color w:val="auto"/>
              </w:rPr>
              <w:t>performance outcomes</w:t>
            </w:r>
            <w:r w:rsidRPr="0089004B">
              <w:rPr>
                <w:rStyle w:val="FootnoteReference"/>
                <w:color w:val="auto"/>
                <w:sz w:val="17"/>
              </w:rPr>
              <w:footnoteReference w:id="3"/>
            </w:r>
            <w:r w:rsidRPr="0089004B">
              <w:rPr>
                <w:color w:val="auto"/>
              </w:rPr>
              <w:t xml:space="preserve"> at their pinnacle event (Olympic, Paralympic and/or Commonwealth Games).</w:t>
            </w:r>
          </w:p>
          <w:p w14:paraId="38817D67" w14:textId="692A8D02" w:rsidR="00AE4E9D" w:rsidRPr="0089004B" w:rsidRDefault="006D5D80" w:rsidP="006D5D80">
            <w:pPr>
              <w:pStyle w:val="Tabletextmeasures85pt"/>
              <w:rPr>
                <w:color w:val="auto"/>
              </w:rPr>
            </w:pPr>
            <w:r w:rsidRPr="0089004B">
              <w:rPr>
                <w:color w:val="auto"/>
              </w:rPr>
              <w:t>90% of all high performance funded N</w:t>
            </w:r>
            <w:r>
              <w:rPr>
                <w:color w:val="auto"/>
              </w:rPr>
              <w:t xml:space="preserve">ational </w:t>
            </w:r>
            <w:r w:rsidRPr="0089004B">
              <w:rPr>
                <w:color w:val="auto"/>
              </w:rPr>
              <w:t>S</w:t>
            </w:r>
            <w:r>
              <w:rPr>
                <w:color w:val="auto"/>
              </w:rPr>
              <w:t xml:space="preserve">porting </w:t>
            </w:r>
            <w:r w:rsidRPr="0089004B">
              <w:rPr>
                <w:color w:val="auto"/>
              </w:rPr>
              <w:t>O</w:t>
            </w:r>
            <w:r>
              <w:rPr>
                <w:color w:val="auto"/>
              </w:rPr>
              <w:t>rganisation</w:t>
            </w:r>
            <w:r w:rsidRPr="0089004B">
              <w:rPr>
                <w:color w:val="auto"/>
              </w:rPr>
              <w:t>s demonstrate clear progression on annual agreed action plans and implementation of best practice systems and processes within their high performance program, as identified through the</w:t>
            </w:r>
            <w:r>
              <w:rPr>
                <w:color w:val="auto"/>
              </w:rPr>
              <w:t xml:space="preserve"> annual review process with the </w:t>
            </w:r>
            <w:r w:rsidRPr="0089004B">
              <w:rPr>
                <w:color w:val="auto"/>
              </w:rPr>
              <w:t>AIS.</w:t>
            </w:r>
          </w:p>
        </w:tc>
        <w:tc>
          <w:tcPr>
            <w:tcW w:w="1636" w:type="pct"/>
            <w:shd w:val="clear" w:color="auto" w:fill="auto"/>
            <w:tcMar>
              <w:left w:w="85" w:type="dxa"/>
            </w:tcMar>
          </w:tcPr>
          <w:p w14:paraId="5AB4ABBD" w14:textId="370A5F4A" w:rsidR="00291E15" w:rsidRPr="0089004B" w:rsidRDefault="00DE128A" w:rsidP="00CF40C3">
            <w:pPr>
              <w:pStyle w:val="Tabletextmeasures85pt"/>
              <w:rPr>
                <w:color w:val="auto"/>
                <w:highlight w:val="yellow"/>
              </w:rPr>
            </w:pPr>
            <w:r>
              <w:rPr>
                <w:color w:val="auto"/>
              </w:rPr>
              <w:t>As per 2022–</w:t>
            </w:r>
            <w:r w:rsidR="00D04EE8" w:rsidRPr="00212FA3">
              <w:rPr>
                <w:color w:val="auto"/>
              </w:rPr>
              <w:t>23</w:t>
            </w:r>
            <w:r w:rsidR="00A92C93">
              <w:rPr>
                <w:color w:val="auto"/>
              </w:rPr>
              <w:t>.</w:t>
            </w:r>
          </w:p>
        </w:tc>
      </w:tr>
      <w:tr w:rsidR="0089004B" w:rsidRPr="0089004B" w14:paraId="2C6F0540" w14:textId="77777777" w:rsidTr="00C04432">
        <w:tblPrEx>
          <w:tblCellMar>
            <w:top w:w="0" w:type="dxa"/>
            <w:left w:w="108" w:type="dxa"/>
            <w:bottom w:w="0" w:type="dxa"/>
            <w:right w:w="108" w:type="dxa"/>
          </w:tblCellMar>
        </w:tblPrEx>
        <w:trPr>
          <w:gridAfter w:val="1"/>
          <w:wAfter w:w="16" w:type="pct"/>
          <w:trHeight w:val="70"/>
          <w:jc w:val="center"/>
        </w:trPr>
        <w:tc>
          <w:tcPr>
            <w:tcW w:w="4984" w:type="pct"/>
            <w:gridSpan w:val="3"/>
            <w:shd w:val="clear" w:color="auto" w:fill="D9D9D9" w:themeFill="background1" w:themeFillShade="D9"/>
            <w:tcMar>
              <w:left w:w="85" w:type="dxa"/>
            </w:tcMar>
            <w:vAlign w:val="center"/>
          </w:tcPr>
          <w:p w14:paraId="449F4035" w14:textId="41A92CFC" w:rsidR="00014843" w:rsidRPr="006D5D80" w:rsidRDefault="00FB515D" w:rsidP="006D5D80">
            <w:pPr>
              <w:pStyle w:val="Tableheadingrowmeasures85pt"/>
              <w:rPr>
                <w:color w:val="auto"/>
              </w:rPr>
            </w:pPr>
            <w:r w:rsidRPr="0089004B">
              <w:rPr>
                <w:color w:val="auto"/>
              </w:rPr>
              <w:t>Increase sport participation by Australian children aged 5</w:t>
            </w:r>
            <w:r w:rsidR="00014843">
              <w:rPr>
                <w:color w:val="auto"/>
              </w:rPr>
              <w:t xml:space="preserve"> to</w:t>
            </w:r>
            <w:r w:rsidR="00D013B8">
              <w:rPr>
                <w:color w:val="auto"/>
              </w:rPr>
              <w:t xml:space="preserve"> </w:t>
            </w:r>
            <w:r w:rsidRPr="0089004B">
              <w:rPr>
                <w:color w:val="auto"/>
              </w:rPr>
              <w:t>14 years</w:t>
            </w:r>
            <w:r w:rsidR="00AE4E9D" w:rsidRPr="0089004B">
              <w:rPr>
                <w:color w:val="auto"/>
              </w:rPr>
              <w:t>.</w:t>
            </w:r>
          </w:p>
        </w:tc>
      </w:tr>
      <w:tr w:rsidR="007E7E4E" w:rsidRPr="0089004B" w14:paraId="3E716683" w14:textId="77777777" w:rsidTr="00C04432">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3A29337B" w14:textId="3C519763" w:rsidR="007E7E4E" w:rsidRPr="0089004B" w:rsidRDefault="00BA0F94" w:rsidP="007E7E4E">
            <w:pPr>
              <w:pStyle w:val="Tableheadingrowmeasures85pt"/>
              <w:keepNext/>
              <w:rPr>
                <w:color w:val="auto"/>
              </w:rPr>
            </w:pPr>
            <w:r>
              <w:t>Prior</w:t>
            </w:r>
            <w:r w:rsidR="00ED4117">
              <w:t xml:space="preserve"> Year</w:t>
            </w:r>
            <w:r w:rsidR="00ED4117">
              <w:br/>
              <w:t>2021–</w:t>
            </w:r>
            <w:r w:rsidR="00ED4117" w:rsidRPr="00744C28">
              <w:t xml:space="preserve">22 </w:t>
            </w:r>
            <w:r w:rsidR="004D5EFA">
              <w:rPr>
                <w:color w:val="auto"/>
              </w:rPr>
              <w:t xml:space="preserve">Expected </w:t>
            </w:r>
            <w:r w:rsidR="00ED4117">
              <w:t>Performance Results</w:t>
            </w:r>
          </w:p>
        </w:tc>
        <w:tc>
          <w:tcPr>
            <w:tcW w:w="1628" w:type="pct"/>
            <w:shd w:val="clear" w:color="auto" w:fill="auto"/>
            <w:tcMar>
              <w:left w:w="85" w:type="dxa"/>
            </w:tcMar>
          </w:tcPr>
          <w:p w14:paraId="59A8B73F" w14:textId="200DA12A" w:rsidR="007E7E4E" w:rsidRPr="0089004B" w:rsidRDefault="00053E8E" w:rsidP="007E7E4E">
            <w:pPr>
              <w:pStyle w:val="Tableheadingrowmeasures85pt"/>
              <w:keepNext/>
              <w:rPr>
                <w:color w:val="auto"/>
              </w:rPr>
            </w:pPr>
            <w:r>
              <w:t>Budget Year</w:t>
            </w:r>
            <w:r>
              <w:br/>
            </w:r>
            <w:r w:rsidR="00DE128A">
              <w:t>2022–</w:t>
            </w:r>
            <w:r w:rsidR="00C515FC">
              <w:t>23 Planned Performance Results</w:t>
            </w:r>
          </w:p>
        </w:tc>
        <w:tc>
          <w:tcPr>
            <w:tcW w:w="1636" w:type="pct"/>
            <w:shd w:val="clear" w:color="auto" w:fill="auto"/>
            <w:tcMar>
              <w:left w:w="85" w:type="dxa"/>
            </w:tcMar>
          </w:tcPr>
          <w:p w14:paraId="388AC341" w14:textId="423ACC31" w:rsidR="007E7E4E" w:rsidRPr="0089004B" w:rsidRDefault="00DE128A" w:rsidP="007E7E4E">
            <w:pPr>
              <w:pStyle w:val="Tableheadingrowmeasures85pt"/>
              <w:keepNext/>
              <w:rPr>
                <w:color w:val="auto"/>
              </w:rPr>
            </w:pPr>
            <w:r>
              <w:t>Forward Estimates</w:t>
            </w:r>
            <w:r>
              <w:br/>
              <w:t>2023–</w:t>
            </w:r>
            <w:r w:rsidR="00053E8E">
              <w:t xml:space="preserve">26 </w:t>
            </w:r>
            <w:r w:rsidR="00C515FC">
              <w:t>Planned Performance Results</w:t>
            </w:r>
          </w:p>
        </w:tc>
      </w:tr>
      <w:tr w:rsidR="00A92C93" w:rsidRPr="0089004B" w14:paraId="4A518133" w14:textId="77777777" w:rsidTr="00C04432">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04CCE032" w14:textId="77777777" w:rsidR="003E5ED8" w:rsidRPr="001A3D59" w:rsidRDefault="003E5ED8" w:rsidP="003E5ED8">
            <w:pPr>
              <w:pStyle w:val="Tabletextmeasures85pt"/>
            </w:pPr>
            <w:r w:rsidRPr="001A3D59">
              <w:t>30.9% of children in Australia aged 5-14 participated in at least two hours per week in organised sport or physical activity outside of school hours in 2021</w:t>
            </w:r>
            <w:r>
              <w:t>.</w:t>
            </w:r>
          </w:p>
          <w:p w14:paraId="1ED4118B" w14:textId="28F3CC99" w:rsidR="00126608" w:rsidRPr="00D27E92" w:rsidRDefault="003E5ED8" w:rsidP="003E5ED8">
            <w:pPr>
              <w:pStyle w:val="Tabletextmeasures85pt"/>
            </w:pPr>
            <w:r w:rsidRPr="001A3D59">
              <w:t>1,950,000 participant attendances in the Sporting Schools Program</w:t>
            </w:r>
            <w:r>
              <w:t>.</w:t>
            </w:r>
          </w:p>
        </w:tc>
        <w:tc>
          <w:tcPr>
            <w:tcW w:w="1628" w:type="pct"/>
            <w:shd w:val="clear" w:color="auto" w:fill="auto"/>
            <w:tcMar>
              <w:left w:w="85" w:type="dxa"/>
            </w:tcMar>
          </w:tcPr>
          <w:p w14:paraId="3A96D0A1" w14:textId="3C1D6382" w:rsidR="00A92C93" w:rsidRDefault="00A92C93" w:rsidP="00A92C93">
            <w:pPr>
              <w:pStyle w:val="Tabletextmeasures85pt"/>
              <w:rPr>
                <w:color w:val="auto"/>
              </w:rPr>
            </w:pPr>
            <w:r w:rsidRPr="0089004B">
              <w:rPr>
                <w:color w:val="auto"/>
              </w:rPr>
              <w:t>47% of children in Australia aged 5</w:t>
            </w:r>
            <w:r w:rsidR="00014843">
              <w:rPr>
                <w:color w:val="auto"/>
              </w:rPr>
              <w:t xml:space="preserve"> to</w:t>
            </w:r>
            <w:r w:rsidR="00CC30CC">
              <w:rPr>
                <w:color w:val="auto"/>
              </w:rPr>
              <w:t xml:space="preserve"> </w:t>
            </w:r>
            <w:r w:rsidRPr="0089004B">
              <w:rPr>
                <w:color w:val="auto"/>
              </w:rPr>
              <w:t>14 years participate in at least 2 hours per week of organised sport outside of school hours.</w:t>
            </w:r>
            <w:r w:rsidRPr="0089004B">
              <w:rPr>
                <w:rStyle w:val="FootnoteReference"/>
                <w:color w:val="auto"/>
                <w:sz w:val="17"/>
              </w:rPr>
              <w:footnoteReference w:id="4"/>
            </w:r>
          </w:p>
          <w:p w14:paraId="6846FA49" w14:textId="065D6CC4" w:rsidR="00126608" w:rsidRPr="0089004B" w:rsidRDefault="003E5ED8" w:rsidP="00A92C93">
            <w:pPr>
              <w:pStyle w:val="Tabletextmeasures85pt"/>
              <w:rPr>
                <w:rFonts w:eastAsiaTheme="minorHAnsi"/>
                <w:color w:val="auto"/>
                <w:lang w:eastAsia="en-US"/>
              </w:rPr>
            </w:pPr>
            <w:r>
              <w:rPr>
                <w:rFonts w:eastAsiaTheme="minorHAnsi"/>
                <w:color w:val="auto"/>
                <w:lang w:eastAsia="en-US"/>
              </w:rPr>
              <w:t>Participant attendances in the Sporting Schools Program to reach 1,700,000</w:t>
            </w:r>
            <w:r w:rsidRPr="0089004B">
              <w:rPr>
                <w:rFonts w:eastAsiaTheme="minorHAnsi"/>
                <w:color w:val="auto"/>
                <w:lang w:eastAsia="en-US"/>
              </w:rPr>
              <w:t>.</w:t>
            </w:r>
          </w:p>
        </w:tc>
        <w:tc>
          <w:tcPr>
            <w:tcW w:w="1636" w:type="pct"/>
            <w:shd w:val="clear" w:color="auto" w:fill="auto"/>
            <w:tcMar>
              <w:left w:w="85" w:type="dxa"/>
            </w:tcMar>
          </w:tcPr>
          <w:p w14:paraId="6E264A5A" w14:textId="77777777" w:rsidR="003E5ED8" w:rsidRDefault="003E5ED8" w:rsidP="003E5ED8">
            <w:pPr>
              <w:pStyle w:val="Tabletextmeasures85pt"/>
              <w:rPr>
                <w:color w:val="auto"/>
              </w:rPr>
            </w:pPr>
            <w:r>
              <w:rPr>
                <w:color w:val="auto"/>
              </w:rPr>
              <w:t>As per 2022–</w:t>
            </w:r>
            <w:r w:rsidRPr="00212FA3">
              <w:rPr>
                <w:color w:val="auto"/>
              </w:rPr>
              <w:t>23</w:t>
            </w:r>
            <w:r>
              <w:rPr>
                <w:color w:val="auto"/>
              </w:rPr>
              <w:t>.</w:t>
            </w:r>
            <w:r w:rsidDel="00794F1A">
              <w:rPr>
                <w:rStyle w:val="FootnoteReference"/>
                <w:color w:val="auto"/>
              </w:rPr>
              <w:t xml:space="preserve"> </w:t>
            </w:r>
          </w:p>
          <w:p w14:paraId="5E420ECC" w14:textId="65D94F51" w:rsidR="003E5ED8" w:rsidRPr="001A3D59" w:rsidRDefault="002D482F" w:rsidP="003E5ED8">
            <w:pPr>
              <w:pStyle w:val="Tabletextmeasures85pt"/>
              <w:rPr>
                <w:color w:val="auto"/>
              </w:rPr>
            </w:pPr>
            <w:r>
              <w:rPr>
                <w:color w:val="auto"/>
              </w:rPr>
              <w:t>2024–</w:t>
            </w:r>
            <w:r w:rsidR="003E5ED8" w:rsidRPr="001A3D59">
              <w:rPr>
                <w:color w:val="auto"/>
              </w:rPr>
              <w:t>25</w:t>
            </w:r>
          </w:p>
          <w:p w14:paraId="05FCB251" w14:textId="0A07AFBC" w:rsidR="00A92C93" w:rsidRPr="0089004B" w:rsidRDefault="003E5ED8" w:rsidP="003E5ED8">
            <w:pPr>
              <w:pStyle w:val="Tabletextmeasures85pt"/>
              <w:rPr>
                <w:color w:val="auto"/>
                <w:highlight w:val="yellow"/>
              </w:rPr>
            </w:pPr>
            <w:r>
              <w:rPr>
                <w:rFonts w:eastAsiaTheme="minorHAnsi"/>
                <w:color w:val="auto"/>
                <w:lang w:eastAsia="en-US"/>
              </w:rPr>
              <w:t>Participant attendances in the Sporting Schools Program to reach 1,700,000.</w:t>
            </w:r>
          </w:p>
        </w:tc>
      </w:tr>
    </w:tbl>
    <w:p w14:paraId="0B9208FB" w14:textId="77777777" w:rsidR="00DE128A" w:rsidRDefault="00DE128A">
      <w:r>
        <w:br w:type="page"/>
      </w:r>
    </w:p>
    <w:tbl>
      <w:tblPr>
        <w:tblStyle w:val="TableGrid"/>
        <w:tblW w:w="5018" w:type="pct"/>
        <w:jc w:val="center"/>
        <w:tblLayout w:type="fixed"/>
        <w:tblLook w:val="04A0" w:firstRow="1" w:lastRow="0" w:firstColumn="1" w:lastColumn="0" w:noHBand="0" w:noVBand="1"/>
        <w:tblCaption w:val="Table 2.1.2: Performance Measures for the ASC (continued)"/>
        <w:tblDescription w:val="This table includes 2 performance measures for Program 1.1, with an expected performance result for 2021-22, and planned performance results for 2022-23 and the forward estimates"/>
      </w:tblPr>
      <w:tblGrid>
        <w:gridCol w:w="2550"/>
        <w:gridCol w:w="2412"/>
        <w:gridCol w:w="2424"/>
      </w:tblGrid>
      <w:tr w:rsidR="0089004B" w:rsidRPr="0049518D" w14:paraId="446FF4CF" w14:textId="77777777" w:rsidTr="00DD4C19">
        <w:trPr>
          <w:trHeight w:val="283"/>
          <w:jc w:val="center"/>
        </w:trPr>
        <w:tc>
          <w:tcPr>
            <w:tcW w:w="5000" w:type="pct"/>
            <w:gridSpan w:val="3"/>
            <w:shd w:val="clear" w:color="auto" w:fill="D9D9D9" w:themeFill="background1" w:themeFillShade="D9"/>
            <w:tcMar>
              <w:left w:w="85" w:type="dxa"/>
            </w:tcMar>
          </w:tcPr>
          <w:p w14:paraId="33D66F13" w14:textId="0939DAF8" w:rsidR="00C515FC" w:rsidRPr="0049518D" w:rsidRDefault="00FB515D" w:rsidP="00C515FC">
            <w:pPr>
              <w:pStyle w:val="Tabletextmeasures85pt"/>
              <w:rPr>
                <w:b/>
                <w:color w:val="auto"/>
              </w:rPr>
            </w:pPr>
            <w:r w:rsidRPr="0049518D">
              <w:rPr>
                <w:b/>
                <w:color w:val="auto"/>
                <w:lang w:eastAsia="en-US"/>
              </w:rPr>
              <w:lastRenderedPageBreak/>
              <w:t>Increase the number of Australians involved in organised sport</w:t>
            </w:r>
            <w:r w:rsidR="00AE4E9D" w:rsidRPr="0049518D">
              <w:rPr>
                <w:b/>
                <w:color w:val="auto"/>
                <w:lang w:eastAsia="en-US"/>
              </w:rPr>
              <w:t>.</w:t>
            </w:r>
          </w:p>
        </w:tc>
      </w:tr>
      <w:tr w:rsidR="00D02E3C" w:rsidRPr="0049518D" w14:paraId="1EDA4F6D" w14:textId="77777777" w:rsidTr="00A032F5">
        <w:trPr>
          <w:trHeight w:val="283"/>
          <w:jc w:val="center"/>
        </w:trPr>
        <w:tc>
          <w:tcPr>
            <w:tcW w:w="1726" w:type="pct"/>
            <w:tcMar>
              <w:left w:w="85" w:type="dxa"/>
            </w:tcMar>
          </w:tcPr>
          <w:p w14:paraId="160F78ED" w14:textId="04A142F3" w:rsidR="00D02E3C" w:rsidRPr="0049518D" w:rsidRDefault="00BA0F94" w:rsidP="00D02E3C">
            <w:pPr>
              <w:pStyle w:val="Tableheadingrowmeasures85pt"/>
              <w:keepNext/>
              <w:rPr>
                <w:color w:val="auto"/>
              </w:rPr>
            </w:pPr>
            <w:r w:rsidRPr="0049518D">
              <w:t>Prior</w:t>
            </w:r>
            <w:r w:rsidR="00ED4117" w:rsidRPr="0049518D">
              <w:t xml:space="preserve"> Year</w:t>
            </w:r>
            <w:r w:rsidR="00ED4117" w:rsidRPr="0049518D">
              <w:br/>
              <w:t xml:space="preserve">2021–22 </w:t>
            </w:r>
            <w:r w:rsidR="004D5EFA" w:rsidRPr="0049518D">
              <w:rPr>
                <w:color w:val="auto"/>
              </w:rPr>
              <w:t xml:space="preserve">Expected </w:t>
            </w:r>
            <w:r w:rsidR="00ED4117" w:rsidRPr="0049518D">
              <w:t>Performance Results</w:t>
            </w:r>
          </w:p>
        </w:tc>
        <w:tc>
          <w:tcPr>
            <w:tcW w:w="1633" w:type="pct"/>
            <w:shd w:val="clear" w:color="auto" w:fill="auto"/>
            <w:tcMar>
              <w:left w:w="85" w:type="dxa"/>
            </w:tcMar>
          </w:tcPr>
          <w:p w14:paraId="6A9ED9C3" w14:textId="1510CD4F" w:rsidR="00D02E3C" w:rsidRPr="0049518D" w:rsidRDefault="00053E8E" w:rsidP="00D02E3C">
            <w:pPr>
              <w:pStyle w:val="Tableheadingrowmeasures85pt"/>
              <w:keepNext/>
              <w:rPr>
                <w:color w:val="auto"/>
              </w:rPr>
            </w:pPr>
            <w:r w:rsidRPr="0049518D">
              <w:t>Budget Year</w:t>
            </w:r>
            <w:r w:rsidRPr="0049518D">
              <w:br/>
            </w:r>
            <w:r w:rsidR="00B52DC6" w:rsidRPr="0049518D">
              <w:t>2022–</w:t>
            </w:r>
            <w:r w:rsidR="00C515FC" w:rsidRPr="0049518D">
              <w:t>23 Planned Performance Results</w:t>
            </w:r>
          </w:p>
        </w:tc>
        <w:tc>
          <w:tcPr>
            <w:tcW w:w="1641" w:type="pct"/>
            <w:shd w:val="clear" w:color="auto" w:fill="auto"/>
            <w:tcMar>
              <w:left w:w="85" w:type="dxa"/>
            </w:tcMar>
          </w:tcPr>
          <w:p w14:paraId="6B14FA7C" w14:textId="5BA1C17D" w:rsidR="00D02E3C" w:rsidRPr="0049518D" w:rsidRDefault="00B52DC6" w:rsidP="00D02E3C">
            <w:pPr>
              <w:pStyle w:val="Tableheadingrowmeasures85pt"/>
              <w:keepNext/>
              <w:rPr>
                <w:color w:val="auto"/>
              </w:rPr>
            </w:pPr>
            <w:r w:rsidRPr="0049518D">
              <w:t>Forward Estimates</w:t>
            </w:r>
            <w:r w:rsidRPr="0049518D">
              <w:br/>
              <w:t>2023–</w:t>
            </w:r>
            <w:r w:rsidR="00053E8E" w:rsidRPr="0049518D">
              <w:t xml:space="preserve">26 </w:t>
            </w:r>
            <w:r w:rsidR="00C515FC" w:rsidRPr="0049518D">
              <w:t>Planned Performance Results</w:t>
            </w:r>
          </w:p>
        </w:tc>
      </w:tr>
      <w:tr w:rsidR="001258BA" w:rsidRPr="0049518D" w14:paraId="7FAE22CE" w14:textId="77777777" w:rsidTr="00A032F5">
        <w:trPr>
          <w:trHeight w:val="283"/>
          <w:jc w:val="center"/>
        </w:trPr>
        <w:tc>
          <w:tcPr>
            <w:tcW w:w="1726" w:type="pct"/>
            <w:tcMar>
              <w:left w:w="85" w:type="dxa"/>
            </w:tcMar>
          </w:tcPr>
          <w:p w14:paraId="3825BD20" w14:textId="3F680DCF" w:rsidR="00401F4C" w:rsidRPr="0049518D" w:rsidRDefault="00200B01" w:rsidP="00200B01">
            <w:pPr>
              <w:spacing w:before="40" w:after="40"/>
              <w:rPr>
                <w:sz w:val="17"/>
                <w:szCs w:val="17"/>
              </w:rPr>
            </w:pPr>
            <w:r w:rsidRPr="0049518D">
              <w:rPr>
                <w:rFonts w:ascii="Arial" w:hAnsi="Arial" w:cs="Arial"/>
                <w:sz w:val="17"/>
                <w:szCs w:val="17"/>
              </w:rPr>
              <w:t xml:space="preserve">45.4% of Australians aged 15+ were </w:t>
            </w:r>
            <w:r w:rsidRPr="0049518D">
              <w:rPr>
                <w:rFonts w:ascii="Arial" w:hAnsi="Arial" w:cs="Arial"/>
                <w:color w:val="auto"/>
                <w:sz w:val="17"/>
                <w:szCs w:val="17"/>
              </w:rPr>
              <w:t>involved</w:t>
            </w:r>
            <w:r w:rsidRPr="0049518D">
              <w:rPr>
                <w:rFonts w:ascii="Arial" w:hAnsi="Arial" w:cs="Arial"/>
                <w:sz w:val="17"/>
                <w:szCs w:val="17"/>
              </w:rPr>
              <w:t xml:space="preserve"> in organised sport, either as a participant or in a non-playing role.</w:t>
            </w:r>
          </w:p>
        </w:tc>
        <w:tc>
          <w:tcPr>
            <w:tcW w:w="1633" w:type="pct"/>
            <w:shd w:val="clear" w:color="auto" w:fill="auto"/>
            <w:tcMar>
              <w:left w:w="85" w:type="dxa"/>
            </w:tcMar>
          </w:tcPr>
          <w:p w14:paraId="1AD534C4" w14:textId="4AC454AC" w:rsidR="00A077D2" w:rsidRPr="0049518D" w:rsidRDefault="000C4A6B" w:rsidP="00200B01">
            <w:pPr>
              <w:pStyle w:val="Tabletextmeasures85pt"/>
              <w:rPr>
                <w:color w:val="auto"/>
              </w:rPr>
            </w:pPr>
            <w:r w:rsidRPr="0049518D">
              <w:rPr>
                <w:color w:val="auto"/>
              </w:rPr>
              <w:t>47% of Australians aged 15 years and over are involved</w:t>
            </w:r>
            <w:r w:rsidRPr="0049518D">
              <w:rPr>
                <w:rStyle w:val="FootnoteReference"/>
                <w:color w:val="auto"/>
                <w:sz w:val="17"/>
              </w:rPr>
              <w:footnoteReference w:id="5"/>
            </w:r>
            <w:r w:rsidRPr="0049518D">
              <w:rPr>
                <w:color w:val="auto"/>
              </w:rPr>
              <w:t xml:space="preserve"> in organised</w:t>
            </w:r>
            <w:r w:rsidRPr="0049518D">
              <w:rPr>
                <w:rStyle w:val="FootnoteReference"/>
                <w:color w:val="auto"/>
                <w:sz w:val="17"/>
              </w:rPr>
              <w:footnoteReference w:id="6"/>
            </w:r>
            <w:r w:rsidRPr="0049518D">
              <w:rPr>
                <w:rStyle w:val="FootnoteReference"/>
                <w:sz w:val="17"/>
              </w:rPr>
              <w:t xml:space="preserve"> </w:t>
            </w:r>
            <w:r w:rsidRPr="0049518D">
              <w:rPr>
                <w:color w:val="auto"/>
              </w:rPr>
              <w:t>sport.</w:t>
            </w:r>
            <w:r w:rsidRPr="0049518D">
              <w:rPr>
                <w:rStyle w:val="FootnoteReference"/>
                <w:color w:val="auto"/>
                <w:sz w:val="17"/>
              </w:rPr>
              <w:footnoteReference w:id="7"/>
            </w:r>
          </w:p>
        </w:tc>
        <w:tc>
          <w:tcPr>
            <w:tcW w:w="1641" w:type="pct"/>
            <w:shd w:val="clear" w:color="auto" w:fill="auto"/>
            <w:tcMar>
              <w:left w:w="85" w:type="dxa"/>
            </w:tcMar>
          </w:tcPr>
          <w:p w14:paraId="00560944" w14:textId="28186E47" w:rsidR="00D05660" w:rsidRPr="0049518D" w:rsidRDefault="00B52DC6" w:rsidP="00200B01">
            <w:pPr>
              <w:pStyle w:val="Tabletextmeasures85pt"/>
              <w:rPr>
                <w:color w:val="000000" w:themeColor="text1"/>
              </w:rPr>
            </w:pPr>
            <w:r w:rsidRPr="0049518D">
              <w:rPr>
                <w:color w:val="000000" w:themeColor="text1"/>
              </w:rPr>
              <w:t>As per 2022</w:t>
            </w:r>
            <w:r w:rsidR="0068237C" w:rsidRPr="0049518D">
              <w:rPr>
                <w:color w:val="000000" w:themeColor="text1"/>
              </w:rPr>
              <w:t>–</w:t>
            </w:r>
            <w:r w:rsidR="00D05660" w:rsidRPr="0049518D">
              <w:rPr>
                <w:color w:val="000000" w:themeColor="text1"/>
              </w:rPr>
              <w:t>23.</w:t>
            </w:r>
          </w:p>
        </w:tc>
      </w:tr>
      <w:tr w:rsidR="0089004B" w:rsidRPr="0049518D" w14:paraId="2BEABDBF" w14:textId="77777777" w:rsidTr="00F34B94">
        <w:trPr>
          <w:trHeight w:val="283"/>
          <w:jc w:val="center"/>
        </w:trPr>
        <w:tc>
          <w:tcPr>
            <w:tcW w:w="5000" w:type="pct"/>
            <w:gridSpan w:val="3"/>
            <w:shd w:val="clear" w:color="auto" w:fill="D9D9D9" w:themeFill="background1" w:themeFillShade="D9"/>
            <w:tcMar>
              <w:left w:w="85" w:type="dxa"/>
            </w:tcMar>
          </w:tcPr>
          <w:p w14:paraId="567A4660" w14:textId="0D5CA709" w:rsidR="00C515FC" w:rsidRPr="0049518D" w:rsidRDefault="00FB515D" w:rsidP="00C515FC">
            <w:pPr>
              <w:pStyle w:val="Tableheadingrowmeasures85pt0"/>
              <w:keepNext/>
              <w:rPr>
                <w:color w:val="auto"/>
                <w:szCs w:val="17"/>
              </w:rPr>
            </w:pPr>
            <w:r w:rsidRPr="0049518D">
              <w:rPr>
                <w:color w:val="auto"/>
                <w:szCs w:val="17"/>
              </w:rPr>
              <w:t>Improvement in N</w:t>
            </w:r>
            <w:r w:rsidR="007E2BAB" w:rsidRPr="0049518D">
              <w:rPr>
                <w:color w:val="auto"/>
                <w:szCs w:val="17"/>
              </w:rPr>
              <w:t>ational Sporting Organisation</w:t>
            </w:r>
            <w:r w:rsidR="0077451C" w:rsidRPr="0049518D">
              <w:rPr>
                <w:color w:val="auto"/>
                <w:szCs w:val="17"/>
              </w:rPr>
              <w:t>s’</w:t>
            </w:r>
            <w:r w:rsidRPr="0049518D">
              <w:rPr>
                <w:color w:val="auto"/>
                <w:szCs w:val="17"/>
              </w:rPr>
              <w:t xml:space="preserve"> business operations</w:t>
            </w:r>
            <w:r w:rsidR="007E2BAB" w:rsidRPr="0049518D">
              <w:rPr>
                <w:color w:val="auto"/>
                <w:szCs w:val="17"/>
              </w:rPr>
              <w:t>.</w:t>
            </w:r>
          </w:p>
        </w:tc>
      </w:tr>
      <w:tr w:rsidR="00D02E3C" w:rsidRPr="0049518D" w14:paraId="538EFEF9" w14:textId="77777777" w:rsidTr="00A032F5">
        <w:trPr>
          <w:trHeight w:val="283"/>
          <w:jc w:val="center"/>
        </w:trPr>
        <w:tc>
          <w:tcPr>
            <w:tcW w:w="1726" w:type="pct"/>
            <w:tcMar>
              <w:left w:w="85" w:type="dxa"/>
            </w:tcMar>
          </w:tcPr>
          <w:p w14:paraId="677E1F4D" w14:textId="3DFEBB8B" w:rsidR="00D02E3C" w:rsidRPr="0049518D" w:rsidRDefault="00BA0F94" w:rsidP="00D02E3C">
            <w:pPr>
              <w:pStyle w:val="Tableheadingrowmeasures85pt"/>
              <w:keepNext/>
              <w:rPr>
                <w:color w:val="auto"/>
              </w:rPr>
            </w:pPr>
            <w:r w:rsidRPr="0049518D">
              <w:t>Prior</w:t>
            </w:r>
            <w:r w:rsidR="00ED4117" w:rsidRPr="0049518D">
              <w:t xml:space="preserve"> Year</w:t>
            </w:r>
            <w:r w:rsidR="00ED4117" w:rsidRPr="0049518D">
              <w:br/>
              <w:t xml:space="preserve">2021–22 </w:t>
            </w:r>
            <w:r w:rsidR="004D5EFA" w:rsidRPr="0049518D">
              <w:rPr>
                <w:color w:val="auto"/>
              </w:rPr>
              <w:t xml:space="preserve">Expected </w:t>
            </w:r>
            <w:r w:rsidR="00ED4117" w:rsidRPr="0049518D">
              <w:t>Performance Results</w:t>
            </w:r>
          </w:p>
        </w:tc>
        <w:tc>
          <w:tcPr>
            <w:tcW w:w="1633" w:type="pct"/>
            <w:shd w:val="clear" w:color="auto" w:fill="auto"/>
            <w:tcMar>
              <w:left w:w="85" w:type="dxa"/>
            </w:tcMar>
          </w:tcPr>
          <w:p w14:paraId="6C83C1C9" w14:textId="0084567C" w:rsidR="00D02E3C" w:rsidRPr="0049518D" w:rsidRDefault="00053E8E" w:rsidP="00D02E3C">
            <w:pPr>
              <w:pStyle w:val="Tableheadingrowmeasures85pt"/>
              <w:keepNext/>
              <w:rPr>
                <w:color w:val="auto"/>
              </w:rPr>
            </w:pPr>
            <w:r w:rsidRPr="0049518D">
              <w:t>Budget Year</w:t>
            </w:r>
            <w:r w:rsidRPr="0049518D">
              <w:br/>
            </w:r>
            <w:r w:rsidR="00B52DC6" w:rsidRPr="0049518D">
              <w:t>2022–</w:t>
            </w:r>
            <w:r w:rsidR="00C515FC" w:rsidRPr="0049518D">
              <w:t>23 Planned Performance Results</w:t>
            </w:r>
          </w:p>
        </w:tc>
        <w:tc>
          <w:tcPr>
            <w:tcW w:w="1641" w:type="pct"/>
            <w:shd w:val="clear" w:color="auto" w:fill="auto"/>
            <w:tcMar>
              <w:left w:w="85" w:type="dxa"/>
            </w:tcMar>
          </w:tcPr>
          <w:p w14:paraId="15AE1CAE" w14:textId="705A0266" w:rsidR="00D02E3C" w:rsidRPr="0049518D" w:rsidRDefault="00B52DC6" w:rsidP="00D02E3C">
            <w:pPr>
              <w:pStyle w:val="Tableheadingrowmeasures85pt"/>
              <w:keepNext/>
              <w:rPr>
                <w:color w:val="auto"/>
              </w:rPr>
            </w:pPr>
            <w:r w:rsidRPr="0049518D">
              <w:t>Forward Estimates</w:t>
            </w:r>
            <w:r w:rsidRPr="0049518D">
              <w:br/>
              <w:t>2023–</w:t>
            </w:r>
            <w:r w:rsidR="00053E8E" w:rsidRPr="0049518D">
              <w:t xml:space="preserve">26 </w:t>
            </w:r>
            <w:r w:rsidR="00C515FC" w:rsidRPr="0049518D">
              <w:t>Planned Performance Results</w:t>
            </w:r>
          </w:p>
        </w:tc>
      </w:tr>
      <w:tr w:rsidR="007969F1" w:rsidRPr="0049518D" w14:paraId="48B738E7" w14:textId="77777777" w:rsidTr="00A032F5">
        <w:trPr>
          <w:trHeight w:val="283"/>
          <w:jc w:val="center"/>
        </w:trPr>
        <w:tc>
          <w:tcPr>
            <w:tcW w:w="1726" w:type="pct"/>
            <w:tcMar>
              <w:left w:w="85" w:type="dxa"/>
            </w:tcMar>
          </w:tcPr>
          <w:p w14:paraId="2FD88667" w14:textId="03BFE15D" w:rsidR="007969F1" w:rsidRPr="0049518D" w:rsidRDefault="00200B01" w:rsidP="00280068">
            <w:pPr>
              <w:spacing w:before="40" w:after="40"/>
              <w:rPr>
                <w:rFonts w:ascii="Arial" w:hAnsi="Arial" w:cs="Arial"/>
                <w:color w:val="auto"/>
                <w:sz w:val="17"/>
                <w:szCs w:val="17"/>
              </w:rPr>
            </w:pPr>
            <w:r w:rsidRPr="0049518D">
              <w:rPr>
                <w:rFonts w:ascii="Arial" w:hAnsi="Arial" w:cs="Arial"/>
                <w:color w:val="auto"/>
                <w:sz w:val="17"/>
                <w:szCs w:val="17"/>
              </w:rPr>
              <w:t xml:space="preserve">60 of the 61 funded National Sporting Organisations and National Sporting Organisations for People with Disability established a Governance </w:t>
            </w:r>
            <w:r w:rsidR="00280068" w:rsidRPr="0049518D">
              <w:rPr>
                <w:rFonts w:ascii="Arial" w:hAnsi="Arial" w:cs="Arial"/>
                <w:color w:val="auto"/>
                <w:sz w:val="17"/>
                <w:szCs w:val="17"/>
              </w:rPr>
              <w:t>and</w:t>
            </w:r>
            <w:r w:rsidRPr="0049518D">
              <w:rPr>
                <w:rFonts w:ascii="Arial" w:hAnsi="Arial" w:cs="Arial"/>
                <w:color w:val="auto"/>
                <w:sz w:val="17"/>
                <w:szCs w:val="17"/>
              </w:rPr>
              <w:t xml:space="preserve"> Organisational Enhancement Plan.</w:t>
            </w:r>
          </w:p>
        </w:tc>
        <w:tc>
          <w:tcPr>
            <w:tcW w:w="1633" w:type="pct"/>
            <w:shd w:val="clear" w:color="auto" w:fill="auto"/>
            <w:tcMar>
              <w:left w:w="85" w:type="dxa"/>
            </w:tcMar>
          </w:tcPr>
          <w:p w14:paraId="20A8DF22" w14:textId="73556B7F" w:rsidR="00401F4C" w:rsidRPr="0049518D" w:rsidRDefault="007969F1" w:rsidP="002D5272">
            <w:pPr>
              <w:pStyle w:val="Tabletextmeasures85pt"/>
              <w:rPr>
                <w:color w:val="auto"/>
              </w:rPr>
            </w:pPr>
            <w:r w:rsidRPr="0049518D">
              <w:rPr>
                <w:color w:val="auto"/>
              </w:rPr>
              <w:t>On average, 70% of National Sporting Organisations</w:t>
            </w:r>
            <w:r w:rsidR="00954AAC" w:rsidRPr="0049518D">
              <w:rPr>
                <w:color w:val="auto"/>
              </w:rPr>
              <w:t xml:space="preserve"> and National Sporting Organisations for People with Disability</w:t>
            </w:r>
            <w:r w:rsidRPr="0049518D">
              <w:rPr>
                <w:color w:val="auto"/>
              </w:rPr>
              <w:t xml:space="preserve"> have achieved the targets of their Governance and Organisational Enhancement Plan.</w:t>
            </w:r>
          </w:p>
        </w:tc>
        <w:tc>
          <w:tcPr>
            <w:tcW w:w="1641" w:type="pct"/>
            <w:shd w:val="clear" w:color="auto" w:fill="auto"/>
            <w:tcMar>
              <w:left w:w="85" w:type="dxa"/>
            </w:tcMar>
          </w:tcPr>
          <w:p w14:paraId="0984DA4C" w14:textId="25EE86EA" w:rsidR="00401F4C" w:rsidRPr="0049518D" w:rsidRDefault="00200B01" w:rsidP="00200B01">
            <w:pPr>
              <w:pStyle w:val="Tabletextmeasures85pt"/>
              <w:rPr>
                <w:color w:val="auto"/>
              </w:rPr>
            </w:pPr>
            <w:r w:rsidRPr="0049518D">
              <w:rPr>
                <w:color w:val="auto"/>
              </w:rPr>
              <w:t>A 5% increase in each of</w:t>
            </w:r>
            <w:r w:rsidRPr="0049518D">
              <w:rPr>
                <w:color w:val="auto"/>
              </w:rPr>
              <w:br/>
            </w:r>
            <w:r w:rsidR="00F0513F" w:rsidRPr="0049518D">
              <w:rPr>
                <w:color w:val="auto"/>
              </w:rPr>
              <w:t>20</w:t>
            </w:r>
            <w:r w:rsidRPr="0049518D">
              <w:rPr>
                <w:color w:val="auto"/>
              </w:rPr>
              <w:t xml:space="preserve">23–24, </w:t>
            </w:r>
            <w:r w:rsidR="00F0513F" w:rsidRPr="0049518D">
              <w:rPr>
                <w:color w:val="auto"/>
              </w:rPr>
              <w:t>20</w:t>
            </w:r>
            <w:r w:rsidRPr="0049518D">
              <w:rPr>
                <w:color w:val="auto"/>
              </w:rPr>
              <w:t xml:space="preserve">24–25 and </w:t>
            </w:r>
            <w:r w:rsidR="00F0513F" w:rsidRPr="0049518D">
              <w:rPr>
                <w:color w:val="auto"/>
              </w:rPr>
              <w:t>20</w:t>
            </w:r>
            <w:r w:rsidRPr="0049518D">
              <w:rPr>
                <w:color w:val="auto"/>
              </w:rPr>
              <w:t>25–26.</w:t>
            </w:r>
          </w:p>
        </w:tc>
      </w:tr>
      <w:tr w:rsidR="0089004B" w:rsidRPr="0089004B" w14:paraId="756252A7" w14:textId="77777777" w:rsidTr="00A032F5">
        <w:trPr>
          <w:trHeight w:val="283"/>
          <w:jc w:val="center"/>
        </w:trPr>
        <w:tc>
          <w:tcPr>
            <w:tcW w:w="5000" w:type="pct"/>
            <w:gridSpan w:val="3"/>
            <w:shd w:val="clear" w:color="auto" w:fill="FFFFFF" w:themeFill="background1"/>
            <w:tcMar>
              <w:left w:w="85" w:type="dxa"/>
            </w:tcMar>
            <w:vAlign w:val="center"/>
          </w:tcPr>
          <w:p w14:paraId="380EBE99" w14:textId="77777777" w:rsidR="00FB515D" w:rsidRPr="0089004B" w:rsidRDefault="00FB515D" w:rsidP="00FB515D">
            <w:pPr>
              <w:pStyle w:val="Tableheadingrow9pt"/>
              <w:rPr>
                <w:color w:val="auto"/>
              </w:rPr>
            </w:pPr>
            <w:r w:rsidRPr="0089004B">
              <w:rPr>
                <w:color w:val="auto"/>
              </w:rPr>
              <w:t>Material changes to Program 1.1 resulting from the following measures:</w:t>
            </w:r>
          </w:p>
          <w:p w14:paraId="62691BF4" w14:textId="66F937E4" w:rsidR="00FB515D" w:rsidRPr="0089004B" w:rsidRDefault="007072BB" w:rsidP="007072BB">
            <w:pPr>
              <w:pStyle w:val="Tableheadingrow9pt"/>
              <w:keepNext/>
              <w:rPr>
                <w:b w:val="0"/>
                <w:color w:val="auto"/>
                <w:sz w:val="17"/>
                <w:szCs w:val="17"/>
              </w:rPr>
            </w:pPr>
            <w:r w:rsidRPr="00473719">
              <w:rPr>
                <w:b w:val="0"/>
                <w:sz w:val="17"/>
                <w:szCs w:val="17"/>
              </w:rPr>
              <w:t>There are no material changes to Program 1.1 resulting from measures.</w:t>
            </w:r>
          </w:p>
        </w:tc>
      </w:tr>
    </w:tbl>
    <w:p w14:paraId="04EBF0D9" w14:textId="77777777" w:rsidR="00BC0659" w:rsidRPr="0089004B" w:rsidRDefault="00BC0659" w:rsidP="00913388">
      <w:pPr>
        <w:rPr>
          <w:rFonts w:ascii="Arial" w:hAnsi="Arial" w:cs="Arial"/>
          <w:color w:val="auto"/>
        </w:rPr>
        <w:sectPr w:rsidR="00BC0659" w:rsidRPr="0089004B"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6A8377E4" w14:textId="0F316618" w:rsidR="00BC0659" w:rsidRPr="0089004B" w:rsidRDefault="00BC0659" w:rsidP="00980201">
      <w:pPr>
        <w:pStyle w:val="Heading2"/>
      </w:pPr>
      <w:bookmarkStart w:id="7" w:name="_Toc190682315"/>
      <w:bookmarkStart w:id="8" w:name="_Toc190682532"/>
      <w:bookmarkStart w:id="9" w:name="_Toc117406960"/>
      <w:r w:rsidRPr="0089004B">
        <w:lastRenderedPageBreak/>
        <w:t xml:space="preserve">Section 3: Budgeted </w:t>
      </w:r>
      <w:r w:rsidR="00A80B87">
        <w:t>f</w:t>
      </w:r>
      <w:r w:rsidRPr="0089004B">
        <w:t xml:space="preserve">inancial </w:t>
      </w:r>
      <w:r w:rsidR="00A80B87">
        <w:t>s</w:t>
      </w:r>
      <w:r w:rsidRPr="0089004B">
        <w:t>tatements</w:t>
      </w:r>
      <w:bookmarkEnd w:id="7"/>
      <w:bookmarkEnd w:id="8"/>
      <w:bookmarkEnd w:id="9"/>
    </w:p>
    <w:p w14:paraId="509B5578" w14:textId="4A690F93" w:rsidR="00BC0659" w:rsidRPr="0089004B" w:rsidRDefault="00BC0659" w:rsidP="00BC0659">
      <w:pPr>
        <w:rPr>
          <w:color w:val="auto"/>
        </w:rPr>
      </w:pPr>
      <w:r w:rsidRPr="0089004B">
        <w:rPr>
          <w:color w:val="auto"/>
        </w:rPr>
        <w:t>Section 3 presents budgeted financial statements which provide a comprehensive snapshot of entity finances for the 202</w:t>
      </w:r>
      <w:r w:rsidR="00063831">
        <w:rPr>
          <w:color w:val="auto"/>
        </w:rPr>
        <w:t>2</w:t>
      </w:r>
      <w:r w:rsidR="003D6D39">
        <w:rPr>
          <w:color w:val="auto"/>
        </w:rPr>
        <w:t>–</w:t>
      </w:r>
      <w:r w:rsidRPr="0089004B">
        <w:rPr>
          <w:color w:val="auto"/>
        </w:rPr>
        <w:t>2</w:t>
      </w:r>
      <w:r w:rsidR="00063831">
        <w:rPr>
          <w:color w:val="auto"/>
        </w:rPr>
        <w:t>3</w:t>
      </w:r>
      <w:r w:rsidRPr="0089004B">
        <w:rPr>
          <w:color w:val="auto"/>
        </w:rPr>
        <w:t xml:space="preserve"> Budget year, including the impact of Budget measures and resourcing on financial statements.</w:t>
      </w:r>
    </w:p>
    <w:p w14:paraId="722ACF28" w14:textId="7E8ACE65" w:rsidR="00BC0659" w:rsidRPr="0089004B" w:rsidRDefault="00BC0659" w:rsidP="00980201">
      <w:pPr>
        <w:pStyle w:val="Heading3"/>
      </w:pPr>
      <w:bookmarkStart w:id="10" w:name="_Toc117406961"/>
      <w:r w:rsidRPr="0089004B">
        <w:t>3.1</w:t>
      </w:r>
      <w:r w:rsidRPr="0089004B">
        <w:tab/>
        <w:t xml:space="preserve">Budgeted </w:t>
      </w:r>
      <w:r w:rsidR="00A80B87">
        <w:t>f</w:t>
      </w:r>
      <w:r w:rsidRPr="0089004B">
        <w:t xml:space="preserve">inancial </w:t>
      </w:r>
      <w:r w:rsidR="00A80B87">
        <w:t>s</w:t>
      </w:r>
      <w:r w:rsidRPr="0089004B">
        <w:t>tatements</w:t>
      </w:r>
      <w:bookmarkEnd w:id="10"/>
    </w:p>
    <w:p w14:paraId="6F5A2751" w14:textId="7D93B650" w:rsidR="00BC0659" w:rsidRPr="0089004B" w:rsidRDefault="00BC0659" w:rsidP="00BC0659">
      <w:pPr>
        <w:pStyle w:val="Heading4"/>
        <w:rPr>
          <w:color w:val="auto"/>
        </w:rPr>
      </w:pPr>
      <w:r w:rsidRPr="0089004B">
        <w:rPr>
          <w:color w:val="auto"/>
        </w:rPr>
        <w:t>3.1.1</w:t>
      </w:r>
      <w:r w:rsidRPr="0089004B">
        <w:rPr>
          <w:color w:val="auto"/>
        </w:rPr>
        <w:tab/>
        <w:t xml:space="preserve">Differences between </w:t>
      </w:r>
      <w:r w:rsidR="00A80B87">
        <w:rPr>
          <w:color w:val="auto"/>
        </w:rPr>
        <w:t>e</w:t>
      </w:r>
      <w:r w:rsidRPr="0089004B">
        <w:rPr>
          <w:color w:val="auto"/>
        </w:rPr>
        <w:t xml:space="preserve">ntity </w:t>
      </w:r>
      <w:r w:rsidR="00A80B87">
        <w:rPr>
          <w:color w:val="auto"/>
        </w:rPr>
        <w:t>r</w:t>
      </w:r>
      <w:r w:rsidRPr="0089004B">
        <w:rPr>
          <w:color w:val="auto"/>
        </w:rPr>
        <w:t xml:space="preserve">esourcing and </w:t>
      </w:r>
      <w:r w:rsidR="00A80B87">
        <w:rPr>
          <w:color w:val="auto"/>
        </w:rPr>
        <w:t>f</w:t>
      </w:r>
      <w:r w:rsidRPr="0089004B">
        <w:rPr>
          <w:color w:val="auto"/>
        </w:rPr>
        <w:t xml:space="preserve">inancial </w:t>
      </w:r>
      <w:r w:rsidR="00A80B87">
        <w:rPr>
          <w:color w:val="auto"/>
        </w:rPr>
        <w:t>s</w:t>
      </w:r>
      <w:r w:rsidRPr="0089004B">
        <w:rPr>
          <w:color w:val="auto"/>
        </w:rPr>
        <w:t>tatements</w:t>
      </w:r>
    </w:p>
    <w:p w14:paraId="22736CF6" w14:textId="1BCD6815" w:rsidR="007E1DF2" w:rsidRPr="007E1DF2" w:rsidRDefault="007E1DF2" w:rsidP="00BC0659">
      <w:pPr>
        <w:pStyle w:val="Heading4"/>
        <w:rPr>
          <w:rFonts w:ascii="Book Antiqua" w:hAnsi="Book Antiqua" w:cs="Arial"/>
          <w:b w:val="0"/>
          <w:color w:val="auto"/>
          <w:sz w:val="19"/>
        </w:rPr>
      </w:pPr>
      <w:r w:rsidRPr="007E1DF2">
        <w:rPr>
          <w:rFonts w:ascii="Book Antiqua" w:hAnsi="Book Antiqua" w:cs="Arial"/>
          <w:b w:val="0"/>
          <w:color w:val="auto"/>
          <w:sz w:val="19"/>
        </w:rPr>
        <w:t>The Entity Resource Statement provides a consolidated view of all the resources available in 2022</w:t>
      </w:r>
      <w:r w:rsidRPr="007E1DF2">
        <w:rPr>
          <w:b w:val="0"/>
          <w:color w:val="auto"/>
        </w:rPr>
        <w:t>–</w:t>
      </w:r>
      <w:r w:rsidRPr="007E1DF2">
        <w:rPr>
          <w:rFonts w:ascii="Book Antiqua" w:hAnsi="Book Antiqua" w:cs="Arial"/>
          <w:b w:val="0"/>
          <w:color w:val="auto"/>
          <w:sz w:val="19"/>
        </w:rPr>
        <w:t>23. This includes operating appropriations, funds from other sources, and cash and investments to cover payables and provisions on the balance sheet. Operating appropriation is shown as Revenue from Government in the comprehensive income statement.</w:t>
      </w:r>
    </w:p>
    <w:p w14:paraId="4165E6C2" w14:textId="30680ACF" w:rsidR="00BC0659" w:rsidRPr="0089004B" w:rsidRDefault="00BC0659" w:rsidP="00D12377">
      <w:pPr>
        <w:pStyle w:val="Heading4"/>
        <w:spacing w:before="160"/>
        <w:rPr>
          <w:color w:val="auto"/>
        </w:rPr>
      </w:pPr>
      <w:r w:rsidRPr="0089004B">
        <w:rPr>
          <w:color w:val="auto"/>
        </w:rPr>
        <w:t>3.1.2</w:t>
      </w:r>
      <w:r w:rsidRPr="0089004B">
        <w:rPr>
          <w:color w:val="auto"/>
        </w:rPr>
        <w:tab/>
        <w:t xml:space="preserve">Explanatory </w:t>
      </w:r>
      <w:r w:rsidR="00A80B87">
        <w:rPr>
          <w:color w:val="auto"/>
        </w:rPr>
        <w:t>n</w:t>
      </w:r>
      <w:r w:rsidRPr="0089004B">
        <w:rPr>
          <w:color w:val="auto"/>
        </w:rPr>
        <w:t xml:space="preserve">otes and </w:t>
      </w:r>
      <w:r w:rsidR="00A80B87">
        <w:rPr>
          <w:color w:val="auto"/>
        </w:rPr>
        <w:t>a</w:t>
      </w:r>
      <w:r w:rsidRPr="0089004B">
        <w:rPr>
          <w:color w:val="auto"/>
        </w:rPr>
        <w:t xml:space="preserve">nalysis of </w:t>
      </w:r>
      <w:r w:rsidR="00A80B87">
        <w:rPr>
          <w:color w:val="auto"/>
        </w:rPr>
        <w:t>b</w:t>
      </w:r>
      <w:r w:rsidRPr="0089004B">
        <w:rPr>
          <w:color w:val="auto"/>
        </w:rPr>
        <w:t xml:space="preserve">udgeted </w:t>
      </w:r>
      <w:r w:rsidR="00A80B87">
        <w:rPr>
          <w:color w:val="auto"/>
        </w:rPr>
        <w:t>f</w:t>
      </w:r>
      <w:r w:rsidRPr="0089004B">
        <w:rPr>
          <w:color w:val="auto"/>
        </w:rPr>
        <w:t xml:space="preserve">inancial </w:t>
      </w:r>
      <w:r w:rsidR="00A80B87">
        <w:rPr>
          <w:color w:val="auto"/>
        </w:rPr>
        <w:t>s</w:t>
      </w:r>
      <w:r w:rsidRPr="0089004B">
        <w:rPr>
          <w:color w:val="auto"/>
        </w:rPr>
        <w:t>tatements</w:t>
      </w:r>
    </w:p>
    <w:p w14:paraId="39B8194F" w14:textId="01780505" w:rsidR="00402DDC" w:rsidRPr="006C364E" w:rsidRDefault="00402DDC" w:rsidP="00402DDC">
      <w:pPr>
        <w:keepNext/>
        <w:keepLines/>
        <w:spacing w:before="120"/>
        <w:outlineLvl w:val="3"/>
        <w:rPr>
          <w:rFonts w:ascii="Arial" w:hAnsi="Arial"/>
          <w:b/>
          <w:szCs w:val="19"/>
        </w:rPr>
      </w:pPr>
      <w:r w:rsidRPr="006C364E">
        <w:rPr>
          <w:rFonts w:ascii="Arial" w:hAnsi="Arial"/>
          <w:b/>
          <w:szCs w:val="19"/>
        </w:rPr>
        <w:t xml:space="preserve">Departmental </w:t>
      </w:r>
      <w:r w:rsidR="00A80B87" w:rsidRPr="006C364E">
        <w:rPr>
          <w:rFonts w:ascii="Arial" w:hAnsi="Arial"/>
          <w:b/>
          <w:szCs w:val="19"/>
        </w:rPr>
        <w:t>r</w:t>
      </w:r>
      <w:r w:rsidRPr="006C364E">
        <w:rPr>
          <w:rFonts w:ascii="Arial" w:hAnsi="Arial"/>
          <w:b/>
          <w:szCs w:val="19"/>
        </w:rPr>
        <w:t>esources</w:t>
      </w:r>
    </w:p>
    <w:p w14:paraId="50D954E1" w14:textId="289EC88E" w:rsidR="00C04432" w:rsidRDefault="00D12377" w:rsidP="00B47795">
      <w:pPr>
        <w:rPr>
          <w:rFonts w:ascii="Arial" w:hAnsi="Arial" w:cs="Arial"/>
          <w:b/>
          <w:color w:val="auto"/>
        </w:rPr>
      </w:pPr>
      <w:r w:rsidRPr="00D12377">
        <w:rPr>
          <w:rFonts w:ascii="Arial" w:hAnsi="Arial" w:cs="Arial"/>
          <w:b/>
          <w:color w:val="auto"/>
        </w:rPr>
        <w:t>Comprehensive Income Statement</w:t>
      </w:r>
    </w:p>
    <w:p w14:paraId="29C541C2" w14:textId="42D6C8CC" w:rsidR="00D12377" w:rsidRPr="00D12377" w:rsidRDefault="00D12377" w:rsidP="00D12377">
      <w:pPr>
        <w:rPr>
          <w:rFonts w:cs="Arial"/>
          <w:color w:val="auto"/>
        </w:rPr>
      </w:pPr>
      <w:r w:rsidRPr="00D12377">
        <w:rPr>
          <w:rFonts w:cs="Arial"/>
          <w:color w:val="auto"/>
        </w:rPr>
        <w:t>The ASC is budgeting for an operating loss in the 2022</w:t>
      </w:r>
      <w:r w:rsidR="00A50E72" w:rsidRPr="007E1DF2">
        <w:rPr>
          <w:color w:val="auto"/>
        </w:rPr>
        <w:t>–</w:t>
      </w:r>
      <w:r w:rsidRPr="00D12377">
        <w:rPr>
          <w:rFonts w:cs="Arial"/>
          <w:color w:val="auto"/>
        </w:rPr>
        <w:t>23 Budget year and over the forward estimates relating to unfunded depreciation. The ASC recognised a small surplus of $0.06 million in 2021</w:t>
      </w:r>
      <w:r w:rsidR="00A50E72" w:rsidRPr="007E1DF2">
        <w:rPr>
          <w:color w:val="auto"/>
        </w:rPr>
        <w:t>–</w:t>
      </w:r>
      <w:r w:rsidRPr="00D12377">
        <w:rPr>
          <w:rFonts w:cs="Arial"/>
          <w:color w:val="auto"/>
        </w:rPr>
        <w:t xml:space="preserve">22 against an approved deficit of $25.0 million predominantly driven by decreases in expenditure resulting from the impact of the COVID-19 pandemic disrupting ASC operations.   </w:t>
      </w:r>
    </w:p>
    <w:p w14:paraId="1DABE070" w14:textId="5F7259EB" w:rsidR="00D12377" w:rsidRPr="00D12377" w:rsidRDefault="00D12377" w:rsidP="00D12377">
      <w:pPr>
        <w:rPr>
          <w:rFonts w:cs="Arial"/>
          <w:color w:val="auto"/>
        </w:rPr>
      </w:pPr>
      <w:r w:rsidRPr="00D12377">
        <w:rPr>
          <w:rFonts w:cs="Arial"/>
          <w:color w:val="auto"/>
        </w:rPr>
        <w:t>Total own source revenue for 2022</w:t>
      </w:r>
      <w:r w:rsidR="00A50E72" w:rsidRPr="007E1DF2">
        <w:rPr>
          <w:color w:val="auto"/>
        </w:rPr>
        <w:t>–</w:t>
      </w:r>
      <w:r w:rsidRPr="00D12377">
        <w:rPr>
          <w:rFonts w:cs="Arial"/>
          <w:color w:val="auto"/>
        </w:rPr>
        <w:t>23 is budgeted at $23.5 million, lower than the 2021</w:t>
      </w:r>
      <w:r w:rsidR="00A50E72" w:rsidRPr="007E1DF2">
        <w:rPr>
          <w:color w:val="auto"/>
        </w:rPr>
        <w:t>–</w:t>
      </w:r>
      <w:r w:rsidRPr="00D12377">
        <w:rPr>
          <w:rFonts w:cs="Arial"/>
          <w:color w:val="auto"/>
        </w:rPr>
        <w:t>22 estimated actual result of $28.5 million.  This slight decrease reflects one-off contributions from other Government departments in 2021</w:t>
      </w:r>
      <w:r w:rsidR="00A50E72" w:rsidRPr="007E1DF2">
        <w:rPr>
          <w:color w:val="auto"/>
        </w:rPr>
        <w:t>–</w:t>
      </w:r>
      <w:r w:rsidRPr="00D12377">
        <w:rPr>
          <w:rFonts w:cs="Arial"/>
          <w:color w:val="auto"/>
        </w:rPr>
        <w:t>22 (Contributions from Government entities) not repeated in 2022</w:t>
      </w:r>
      <w:r w:rsidR="00A50E72" w:rsidRPr="007E1DF2">
        <w:rPr>
          <w:color w:val="auto"/>
        </w:rPr>
        <w:t>–</w:t>
      </w:r>
      <w:r w:rsidRPr="00D12377">
        <w:rPr>
          <w:rFonts w:cs="Arial"/>
          <w:color w:val="auto"/>
        </w:rPr>
        <w:t>23, partially offset by increased commercial revenue (sale of goods and rendering of services) beginning to return to pre-COVID-19 levels.</w:t>
      </w:r>
    </w:p>
    <w:p w14:paraId="65CDE5D4" w14:textId="77D002EA" w:rsidR="00D12377" w:rsidRPr="00D12377" w:rsidRDefault="00D12377" w:rsidP="00D12377">
      <w:pPr>
        <w:rPr>
          <w:rFonts w:cs="Arial"/>
          <w:color w:val="auto"/>
        </w:rPr>
      </w:pPr>
      <w:r w:rsidRPr="00D12377">
        <w:rPr>
          <w:rFonts w:cs="Arial"/>
          <w:color w:val="auto"/>
        </w:rPr>
        <w:t>Grants in 2022</w:t>
      </w:r>
      <w:r w:rsidR="00A50E72" w:rsidRPr="007E1DF2">
        <w:rPr>
          <w:color w:val="auto"/>
        </w:rPr>
        <w:t>–</w:t>
      </w:r>
      <w:r w:rsidRPr="00D12377">
        <w:rPr>
          <w:rFonts w:cs="Arial"/>
          <w:color w:val="auto"/>
        </w:rPr>
        <w:t>23 are budgeted at $237.9 million, an increase of $8.8 million from the 2021</w:t>
      </w:r>
      <w:r w:rsidR="00A50E72" w:rsidRPr="007E1DF2">
        <w:rPr>
          <w:color w:val="auto"/>
        </w:rPr>
        <w:t>–</w:t>
      </w:r>
      <w:r w:rsidRPr="00D12377">
        <w:rPr>
          <w:rFonts w:cs="Arial"/>
          <w:color w:val="auto"/>
        </w:rPr>
        <w:t>22 estimated actual result, predominantly reflecting the net impact of new measures announced in the 2022</w:t>
      </w:r>
      <w:r w:rsidR="00A50E72" w:rsidRPr="007E1DF2">
        <w:rPr>
          <w:color w:val="auto"/>
        </w:rPr>
        <w:t>–</w:t>
      </w:r>
      <w:r w:rsidRPr="00D12377">
        <w:rPr>
          <w:rFonts w:cs="Arial"/>
          <w:color w:val="auto"/>
        </w:rPr>
        <w:t xml:space="preserve">23 Budgets and movement in existing measures. </w:t>
      </w:r>
    </w:p>
    <w:p w14:paraId="26F6D840" w14:textId="0B95C5D2" w:rsidR="00D12377" w:rsidRPr="00D12377" w:rsidRDefault="00D12377" w:rsidP="00D12377">
      <w:pPr>
        <w:rPr>
          <w:rFonts w:cs="Arial"/>
          <w:color w:val="auto"/>
        </w:rPr>
      </w:pPr>
      <w:r w:rsidRPr="00D12377">
        <w:rPr>
          <w:rFonts w:cs="Arial"/>
          <w:color w:val="auto"/>
        </w:rPr>
        <w:t>The ASC recognised employee expenses of $59.0 million in 2021</w:t>
      </w:r>
      <w:r w:rsidR="00870BB9" w:rsidRPr="007E1DF2">
        <w:rPr>
          <w:color w:val="auto"/>
        </w:rPr>
        <w:t>–</w:t>
      </w:r>
      <w:r w:rsidRPr="00D12377">
        <w:rPr>
          <w:rFonts w:cs="Arial"/>
          <w:color w:val="auto"/>
        </w:rPr>
        <w:t>22 supporting an Average Staffing Level (ASL) of 454. The lower-than-expected ASL for 2021</w:t>
      </w:r>
      <w:r w:rsidR="00A50E72" w:rsidRPr="007E1DF2">
        <w:rPr>
          <w:color w:val="auto"/>
        </w:rPr>
        <w:t>–</w:t>
      </w:r>
      <w:r w:rsidRPr="00D12377">
        <w:rPr>
          <w:rFonts w:cs="Arial"/>
          <w:color w:val="auto"/>
        </w:rPr>
        <w:t xml:space="preserve">22 is due to the impact of the lockdowns and restrictions from the COVID-19 pandemic on ASC operations. </w:t>
      </w:r>
    </w:p>
    <w:p w14:paraId="6E80C1A1" w14:textId="771F2DE0" w:rsidR="00D12377" w:rsidRPr="00D12377" w:rsidRDefault="00D12377" w:rsidP="00D12377">
      <w:pPr>
        <w:rPr>
          <w:rFonts w:cs="Arial"/>
          <w:color w:val="auto"/>
        </w:rPr>
      </w:pPr>
      <w:r w:rsidRPr="00D12377">
        <w:rPr>
          <w:rFonts w:cs="Arial"/>
          <w:color w:val="auto"/>
        </w:rPr>
        <w:t>With ASC operations resuming, including commercial activity returning to</w:t>
      </w:r>
      <w:r w:rsidR="00A50E72">
        <w:rPr>
          <w:rFonts w:cs="Arial"/>
          <w:color w:val="auto"/>
        </w:rPr>
        <w:br/>
      </w:r>
      <w:r w:rsidR="00BD534E">
        <w:rPr>
          <w:rFonts w:cs="Arial"/>
          <w:color w:val="auto"/>
        </w:rPr>
        <w:t>pre-</w:t>
      </w:r>
      <w:r w:rsidRPr="00D12377">
        <w:rPr>
          <w:rFonts w:cs="Arial"/>
          <w:color w:val="auto"/>
        </w:rPr>
        <w:t>COVID-19 levels, the ASC is budgeting for an ASL of 494 in 2022</w:t>
      </w:r>
      <w:r w:rsidR="00A50E72" w:rsidRPr="007E1DF2">
        <w:rPr>
          <w:color w:val="auto"/>
        </w:rPr>
        <w:t>–</w:t>
      </w:r>
      <w:r w:rsidRPr="00D12377">
        <w:rPr>
          <w:rFonts w:cs="Arial"/>
          <w:color w:val="auto"/>
        </w:rPr>
        <w:t>23.</w:t>
      </w:r>
    </w:p>
    <w:p w14:paraId="58BDA030" w14:textId="53696CAF" w:rsidR="00D12377" w:rsidRDefault="00D12377" w:rsidP="00D12377">
      <w:pPr>
        <w:rPr>
          <w:rFonts w:ascii="Arial" w:hAnsi="Arial" w:cs="Arial"/>
          <w:b/>
          <w:color w:val="auto"/>
        </w:rPr>
      </w:pPr>
      <w:r>
        <w:rPr>
          <w:rFonts w:ascii="Arial" w:hAnsi="Arial" w:cs="Arial"/>
          <w:b/>
          <w:color w:val="auto"/>
        </w:rPr>
        <w:t>Balance Sheet</w:t>
      </w:r>
    </w:p>
    <w:p w14:paraId="26C5BB50" w14:textId="3D8657AB" w:rsidR="00D12377" w:rsidRDefault="00D12377" w:rsidP="00D12377">
      <w:r>
        <w:t>Total assets for 2022</w:t>
      </w:r>
      <w:r w:rsidR="00A50E72" w:rsidRPr="007E1DF2">
        <w:rPr>
          <w:color w:val="auto"/>
        </w:rPr>
        <w:t>–</w:t>
      </w:r>
      <w:r>
        <w:t>23 are estimated to be $351.5 million, comprising $129.1 million in financial assets and $222.4 million in non-financial assets. Total liabilities for 2022</w:t>
      </w:r>
      <w:r w:rsidR="00A50E72" w:rsidRPr="007E1DF2">
        <w:rPr>
          <w:color w:val="auto"/>
        </w:rPr>
        <w:t>–</w:t>
      </w:r>
      <w:r>
        <w:t>23 are estimated to be $28.9 million, with the primary liabilities accrued being employee entitlements, which total $13.8 million.</w:t>
      </w:r>
    </w:p>
    <w:p w14:paraId="0AAFB44C" w14:textId="48DD01DC" w:rsidR="00D12377" w:rsidRDefault="00D12377" w:rsidP="00D12377">
      <w:r>
        <w:t>Total equity is budgeted to be $322.6 million at the end of 2022</w:t>
      </w:r>
      <w:r w:rsidR="00A50E72" w:rsidRPr="007E1DF2">
        <w:rPr>
          <w:color w:val="auto"/>
        </w:rPr>
        <w:t>–</w:t>
      </w:r>
      <w:r>
        <w:t>23.</w:t>
      </w:r>
    </w:p>
    <w:p w14:paraId="2AB08B99" w14:textId="23C7C5D5" w:rsidR="00BC0659" w:rsidRPr="0089004B" w:rsidRDefault="00BC0659" w:rsidP="00980201">
      <w:pPr>
        <w:pStyle w:val="Heading3"/>
      </w:pPr>
      <w:bookmarkStart w:id="11" w:name="_Toc117406962"/>
      <w:r w:rsidRPr="0089004B">
        <w:lastRenderedPageBreak/>
        <w:t>3.2</w:t>
      </w:r>
      <w:r w:rsidRPr="0089004B">
        <w:tab/>
        <w:t xml:space="preserve">Budgeted </w:t>
      </w:r>
      <w:r w:rsidR="00A80B87">
        <w:t>f</w:t>
      </w:r>
      <w:r w:rsidRPr="0089004B">
        <w:t xml:space="preserve">inancial </w:t>
      </w:r>
      <w:r w:rsidR="00A80B87">
        <w:t>s</w:t>
      </w:r>
      <w:r w:rsidRPr="0089004B">
        <w:t xml:space="preserve">tatements </w:t>
      </w:r>
      <w:r w:rsidR="00A80B87">
        <w:t>t</w:t>
      </w:r>
      <w:r w:rsidRPr="0089004B">
        <w:t>ables</w:t>
      </w:r>
      <w:bookmarkEnd w:id="11"/>
    </w:p>
    <w:p w14:paraId="469B31BE" w14:textId="77777777" w:rsidR="00A80B87" w:rsidRPr="00A80B87" w:rsidRDefault="00A80B87" w:rsidP="00A50E72">
      <w:pPr>
        <w:keepNext/>
        <w:spacing w:before="120"/>
        <w:rPr>
          <w:rFonts w:ascii="Arial" w:hAnsi="Arial"/>
          <w:b/>
          <w:snapToGrid w:val="0"/>
          <w:color w:val="auto"/>
          <w:sz w:val="20"/>
        </w:rPr>
      </w:pPr>
      <w:r w:rsidRPr="00A80B87">
        <w:rPr>
          <w:rFonts w:ascii="Arial" w:hAnsi="Arial"/>
          <w:b/>
          <w:color w:val="auto"/>
          <w:sz w:val="20"/>
        </w:rPr>
        <w:t xml:space="preserve">Table 3.1: Comprehensive income statement (showing net cost of services) </w:t>
      </w:r>
      <w:r w:rsidRPr="00A80B87">
        <w:rPr>
          <w:rFonts w:ascii="Arial" w:hAnsi="Arial"/>
          <w:b/>
          <w:snapToGrid w:val="0"/>
          <w:color w:val="auto"/>
          <w:sz w:val="20"/>
        </w:rPr>
        <w:t>for the period ended 30 June</w:t>
      </w:r>
    </w:p>
    <w:tbl>
      <w:tblPr>
        <w:tblW w:w="7418" w:type="dxa"/>
        <w:jc w:val="center"/>
        <w:tblLayout w:type="fixed"/>
        <w:tblLook w:val="04A0" w:firstRow="1" w:lastRow="0" w:firstColumn="1" w:lastColumn="0" w:noHBand="0" w:noVBand="1"/>
      </w:tblPr>
      <w:tblGrid>
        <w:gridCol w:w="2818"/>
        <w:gridCol w:w="920"/>
        <w:gridCol w:w="907"/>
        <w:gridCol w:w="907"/>
        <w:gridCol w:w="907"/>
        <w:gridCol w:w="907"/>
        <w:gridCol w:w="52"/>
      </w:tblGrid>
      <w:tr w:rsidR="00D12377" w:rsidRPr="00D12377" w14:paraId="14FB3CC2" w14:textId="77777777" w:rsidTr="00963710">
        <w:trPr>
          <w:gridAfter w:val="1"/>
          <w:wAfter w:w="52" w:type="dxa"/>
          <w:trHeight w:val="765"/>
          <w:jc w:val="center"/>
        </w:trPr>
        <w:tc>
          <w:tcPr>
            <w:tcW w:w="2818" w:type="dxa"/>
            <w:tcBorders>
              <w:top w:val="single" w:sz="4" w:space="0" w:color="auto"/>
              <w:left w:val="nil"/>
              <w:bottom w:val="nil"/>
              <w:right w:val="nil"/>
            </w:tcBorders>
            <w:shd w:val="clear" w:color="auto" w:fill="auto"/>
            <w:hideMark/>
          </w:tcPr>
          <w:p w14:paraId="1691792D" w14:textId="77777777" w:rsidR="00D12377" w:rsidRPr="00D12377" w:rsidRDefault="00D12377" w:rsidP="00D12377">
            <w:pPr>
              <w:spacing w:before="40" w:after="0"/>
              <w:jc w:val="right"/>
              <w:rPr>
                <w:rFonts w:ascii="Times New Roman" w:hAnsi="Times New Roman"/>
                <w:color w:val="auto"/>
                <w:sz w:val="20"/>
                <w:szCs w:val="24"/>
              </w:rPr>
            </w:pPr>
          </w:p>
        </w:tc>
        <w:tc>
          <w:tcPr>
            <w:tcW w:w="920" w:type="dxa"/>
            <w:tcBorders>
              <w:top w:val="single" w:sz="4" w:space="0" w:color="auto"/>
              <w:left w:val="nil"/>
              <w:bottom w:val="single" w:sz="4" w:space="0" w:color="auto"/>
              <w:right w:val="nil"/>
            </w:tcBorders>
            <w:shd w:val="clear" w:color="auto" w:fill="auto"/>
            <w:tcMar>
              <w:left w:w="0" w:type="dxa"/>
            </w:tcMar>
            <w:hideMark/>
          </w:tcPr>
          <w:p w14:paraId="65E274E8" w14:textId="77777777" w:rsidR="00D12377" w:rsidRPr="00D12377" w:rsidRDefault="00D12377" w:rsidP="00D12377">
            <w:pPr>
              <w:spacing w:before="40" w:after="0"/>
              <w:jc w:val="right"/>
              <w:rPr>
                <w:rFonts w:ascii="Arial" w:hAnsi="Arial" w:cs="Arial"/>
                <w:b/>
                <w:bCs/>
                <w:color w:val="auto"/>
                <w:sz w:val="16"/>
                <w:szCs w:val="16"/>
              </w:rPr>
            </w:pPr>
            <w:r w:rsidRPr="00D12377">
              <w:rPr>
                <w:rFonts w:ascii="Arial" w:hAnsi="Arial" w:cs="Arial"/>
                <w:b/>
                <w:bCs/>
                <w:color w:val="auto"/>
                <w:sz w:val="16"/>
                <w:szCs w:val="16"/>
              </w:rPr>
              <w:t>2021–22 Estimated actual</w:t>
            </w:r>
            <w:r w:rsidRPr="00D12377">
              <w:rPr>
                <w:rFonts w:ascii="Arial" w:hAnsi="Arial" w:cs="Arial"/>
                <w:b/>
                <w:bCs/>
                <w:color w:val="auto"/>
                <w:sz w:val="16"/>
                <w:szCs w:val="16"/>
              </w:rPr>
              <w:br/>
            </w:r>
            <w:r w:rsidRPr="00D12377">
              <w:rPr>
                <w:rFonts w:ascii="Arial" w:hAnsi="Arial" w:cs="Arial"/>
                <w:color w:val="auto"/>
                <w:sz w:val="16"/>
                <w:szCs w:val="16"/>
              </w:rPr>
              <w:t>$'000</w:t>
            </w:r>
          </w:p>
        </w:tc>
        <w:tc>
          <w:tcPr>
            <w:tcW w:w="907" w:type="dxa"/>
            <w:tcBorders>
              <w:top w:val="single" w:sz="4" w:space="0" w:color="auto"/>
              <w:left w:val="nil"/>
              <w:bottom w:val="single" w:sz="4" w:space="0" w:color="auto"/>
              <w:right w:val="nil"/>
            </w:tcBorders>
            <w:shd w:val="clear" w:color="000000" w:fill="D9D9D9"/>
            <w:hideMark/>
          </w:tcPr>
          <w:p w14:paraId="3BABE603" w14:textId="77777777" w:rsidR="00D12377" w:rsidRPr="00D12377" w:rsidRDefault="00D12377" w:rsidP="00D12377">
            <w:pPr>
              <w:spacing w:before="40" w:after="0"/>
              <w:jc w:val="right"/>
              <w:rPr>
                <w:rFonts w:ascii="Arial" w:hAnsi="Arial" w:cs="Arial"/>
                <w:b/>
                <w:bCs/>
                <w:color w:val="auto"/>
                <w:sz w:val="16"/>
                <w:szCs w:val="16"/>
              </w:rPr>
            </w:pPr>
            <w:r w:rsidRPr="00D12377">
              <w:rPr>
                <w:rFonts w:ascii="Arial" w:hAnsi="Arial" w:cs="Arial"/>
                <w:b/>
                <w:bCs/>
                <w:color w:val="auto"/>
                <w:sz w:val="16"/>
                <w:szCs w:val="16"/>
              </w:rPr>
              <w:t>2022–23</w:t>
            </w:r>
            <w:r w:rsidRPr="00D12377">
              <w:rPr>
                <w:rFonts w:ascii="Arial" w:hAnsi="Arial" w:cs="Arial"/>
                <w:b/>
                <w:bCs/>
                <w:color w:val="auto"/>
                <w:sz w:val="16"/>
                <w:szCs w:val="16"/>
              </w:rPr>
              <w:br/>
              <w:t>Budget</w:t>
            </w:r>
            <w:r w:rsidRPr="00D12377">
              <w:rPr>
                <w:rFonts w:ascii="Arial" w:hAnsi="Arial" w:cs="Arial"/>
                <w:b/>
                <w:bCs/>
                <w:color w:val="auto"/>
                <w:sz w:val="16"/>
                <w:szCs w:val="16"/>
              </w:rPr>
              <w:br/>
            </w:r>
            <w:r w:rsidRPr="00D12377">
              <w:rPr>
                <w:rFonts w:ascii="Arial" w:hAnsi="Arial" w:cs="Arial"/>
                <w:b/>
                <w:bCs/>
                <w:color w:val="auto"/>
                <w:sz w:val="16"/>
                <w:szCs w:val="16"/>
              </w:rPr>
              <w:br/>
            </w:r>
            <w:r w:rsidRPr="00D12377">
              <w:rPr>
                <w:rFonts w:ascii="Arial" w:hAnsi="Arial" w:cs="Arial"/>
                <w:color w:val="auto"/>
                <w:sz w:val="16"/>
                <w:szCs w:val="16"/>
              </w:rPr>
              <w:t>$'000</w:t>
            </w:r>
          </w:p>
        </w:tc>
        <w:tc>
          <w:tcPr>
            <w:tcW w:w="907" w:type="dxa"/>
            <w:tcBorders>
              <w:top w:val="single" w:sz="4" w:space="0" w:color="auto"/>
              <w:left w:val="nil"/>
              <w:bottom w:val="single" w:sz="4" w:space="0" w:color="auto"/>
              <w:right w:val="nil"/>
            </w:tcBorders>
            <w:shd w:val="clear" w:color="auto" w:fill="auto"/>
            <w:hideMark/>
          </w:tcPr>
          <w:p w14:paraId="4CA3D2FC" w14:textId="77777777" w:rsidR="00D12377" w:rsidRPr="00D12377" w:rsidRDefault="00D12377" w:rsidP="00D12377">
            <w:pPr>
              <w:spacing w:before="40" w:after="0"/>
              <w:jc w:val="right"/>
              <w:rPr>
                <w:rFonts w:ascii="Arial" w:hAnsi="Arial" w:cs="Arial"/>
                <w:b/>
                <w:bCs/>
                <w:color w:val="auto"/>
                <w:sz w:val="16"/>
                <w:szCs w:val="16"/>
              </w:rPr>
            </w:pPr>
            <w:r w:rsidRPr="00D12377">
              <w:rPr>
                <w:rFonts w:ascii="Arial" w:hAnsi="Arial" w:cs="Arial"/>
                <w:b/>
                <w:bCs/>
                <w:color w:val="auto"/>
                <w:sz w:val="16"/>
                <w:szCs w:val="16"/>
              </w:rPr>
              <w:t>2023–24 Forward estimate</w:t>
            </w:r>
            <w:r w:rsidRPr="00D12377">
              <w:rPr>
                <w:rFonts w:ascii="Arial" w:hAnsi="Arial" w:cs="Arial"/>
                <w:b/>
                <w:bCs/>
                <w:color w:val="auto"/>
                <w:sz w:val="16"/>
                <w:szCs w:val="16"/>
              </w:rPr>
              <w:br/>
            </w:r>
            <w:r w:rsidRPr="00D12377">
              <w:rPr>
                <w:rFonts w:ascii="Arial" w:hAnsi="Arial" w:cs="Arial"/>
                <w:color w:val="auto"/>
                <w:sz w:val="16"/>
                <w:szCs w:val="16"/>
              </w:rPr>
              <w:t>$'000</w:t>
            </w:r>
          </w:p>
        </w:tc>
        <w:tc>
          <w:tcPr>
            <w:tcW w:w="907" w:type="dxa"/>
            <w:tcBorders>
              <w:top w:val="single" w:sz="4" w:space="0" w:color="auto"/>
              <w:left w:val="nil"/>
              <w:bottom w:val="single" w:sz="4" w:space="0" w:color="auto"/>
              <w:right w:val="nil"/>
            </w:tcBorders>
            <w:shd w:val="clear" w:color="auto" w:fill="auto"/>
            <w:hideMark/>
          </w:tcPr>
          <w:p w14:paraId="43E1FBD7" w14:textId="77777777" w:rsidR="00D12377" w:rsidRPr="00D12377" w:rsidRDefault="00D12377" w:rsidP="00D12377">
            <w:pPr>
              <w:spacing w:before="40" w:after="0"/>
              <w:jc w:val="right"/>
              <w:rPr>
                <w:rFonts w:ascii="Arial" w:hAnsi="Arial" w:cs="Arial"/>
                <w:b/>
                <w:bCs/>
                <w:color w:val="auto"/>
                <w:sz w:val="16"/>
                <w:szCs w:val="16"/>
              </w:rPr>
            </w:pPr>
            <w:r w:rsidRPr="00D12377">
              <w:rPr>
                <w:rFonts w:ascii="Arial" w:hAnsi="Arial" w:cs="Arial"/>
                <w:b/>
                <w:bCs/>
                <w:color w:val="auto"/>
                <w:sz w:val="16"/>
                <w:szCs w:val="16"/>
              </w:rPr>
              <w:t>2024–25</w:t>
            </w:r>
            <w:r w:rsidRPr="00D12377">
              <w:rPr>
                <w:rFonts w:ascii="Arial" w:hAnsi="Arial" w:cs="Arial"/>
                <w:b/>
                <w:bCs/>
                <w:color w:val="auto"/>
                <w:sz w:val="16"/>
                <w:szCs w:val="16"/>
              </w:rPr>
              <w:br/>
              <w:t>Forward estimate</w:t>
            </w:r>
            <w:r w:rsidRPr="00D12377">
              <w:rPr>
                <w:rFonts w:ascii="Arial" w:hAnsi="Arial" w:cs="Arial"/>
                <w:b/>
                <w:bCs/>
                <w:color w:val="auto"/>
                <w:sz w:val="16"/>
                <w:szCs w:val="16"/>
              </w:rPr>
              <w:br/>
            </w:r>
            <w:r w:rsidRPr="00D12377">
              <w:rPr>
                <w:rFonts w:ascii="Arial" w:hAnsi="Arial" w:cs="Arial"/>
                <w:color w:val="auto"/>
                <w:sz w:val="16"/>
                <w:szCs w:val="16"/>
              </w:rPr>
              <w:t>$'000</w:t>
            </w:r>
          </w:p>
        </w:tc>
        <w:tc>
          <w:tcPr>
            <w:tcW w:w="907" w:type="dxa"/>
            <w:tcBorders>
              <w:top w:val="single" w:sz="4" w:space="0" w:color="auto"/>
              <w:left w:val="nil"/>
              <w:bottom w:val="single" w:sz="4" w:space="0" w:color="auto"/>
              <w:right w:val="nil"/>
            </w:tcBorders>
            <w:shd w:val="clear" w:color="auto" w:fill="auto"/>
            <w:hideMark/>
          </w:tcPr>
          <w:p w14:paraId="4F874F55" w14:textId="77777777" w:rsidR="00D12377" w:rsidRPr="00D12377" w:rsidRDefault="00D12377" w:rsidP="00D12377">
            <w:pPr>
              <w:spacing w:before="40" w:after="0"/>
              <w:jc w:val="right"/>
              <w:rPr>
                <w:rFonts w:ascii="Arial" w:hAnsi="Arial" w:cs="Arial"/>
                <w:b/>
                <w:bCs/>
                <w:color w:val="auto"/>
                <w:sz w:val="16"/>
                <w:szCs w:val="16"/>
              </w:rPr>
            </w:pPr>
            <w:r w:rsidRPr="00D12377">
              <w:rPr>
                <w:rFonts w:ascii="Arial" w:hAnsi="Arial" w:cs="Arial"/>
                <w:b/>
                <w:bCs/>
                <w:color w:val="auto"/>
                <w:sz w:val="16"/>
                <w:szCs w:val="16"/>
              </w:rPr>
              <w:t>2025–26 Forward estimate</w:t>
            </w:r>
            <w:r w:rsidRPr="00D12377">
              <w:rPr>
                <w:rFonts w:ascii="Arial" w:hAnsi="Arial" w:cs="Arial"/>
                <w:b/>
                <w:bCs/>
                <w:color w:val="auto"/>
                <w:sz w:val="16"/>
                <w:szCs w:val="16"/>
              </w:rPr>
              <w:br/>
            </w:r>
            <w:r w:rsidRPr="00D12377">
              <w:rPr>
                <w:rFonts w:ascii="Arial" w:hAnsi="Arial" w:cs="Arial"/>
                <w:color w:val="auto"/>
                <w:sz w:val="16"/>
                <w:szCs w:val="16"/>
              </w:rPr>
              <w:t>$'000</w:t>
            </w:r>
          </w:p>
        </w:tc>
      </w:tr>
      <w:tr w:rsidR="00D12377" w:rsidRPr="00D12377" w14:paraId="38B525CE" w14:textId="77777777" w:rsidTr="00D12377">
        <w:trPr>
          <w:gridAfter w:val="1"/>
          <w:wAfter w:w="52" w:type="dxa"/>
          <w:trHeight w:val="227"/>
          <w:jc w:val="center"/>
        </w:trPr>
        <w:tc>
          <w:tcPr>
            <w:tcW w:w="2818" w:type="dxa"/>
            <w:tcBorders>
              <w:top w:val="nil"/>
              <w:left w:val="nil"/>
              <w:bottom w:val="nil"/>
              <w:right w:val="nil"/>
            </w:tcBorders>
            <w:shd w:val="clear" w:color="auto" w:fill="auto"/>
            <w:noWrap/>
            <w:vAlign w:val="bottom"/>
            <w:hideMark/>
          </w:tcPr>
          <w:p w14:paraId="05569FE5" w14:textId="77777777" w:rsidR="00D12377" w:rsidRPr="00D12377" w:rsidRDefault="00D12377" w:rsidP="00D12377">
            <w:pPr>
              <w:spacing w:after="0"/>
              <w:rPr>
                <w:rFonts w:ascii="Arial" w:hAnsi="Arial" w:cs="Arial"/>
                <w:b/>
                <w:bCs/>
                <w:color w:val="auto"/>
                <w:sz w:val="16"/>
                <w:szCs w:val="16"/>
              </w:rPr>
            </w:pPr>
            <w:r w:rsidRPr="00D12377">
              <w:rPr>
                <w:rFonts w:ascii="Arial" w:hAnsi="Arial" w:cs="Arial"/>
                <w:b/>
                <w:bCs/>
                <w:color w:val="auto"/>
                <w:sz w:val="16"/>
                <w:szCs w:val="16"/>
              </w:rPr>
              <w:t>EXPENSES</w:t>
            </w:r>
          </w:p>
        </w:tc>
        <w:tc>
          <w:tcPr>
            <w:tcW w:w="920" w:type="dxa"/>
            <w:tcBorders>
              <w:top w:val="nil"/>
              <w:left w:val="nil"/>
              <w:bottom w:val="nil"/>
              <w:right w:val="nil"/>
            </w:tcBorders>
            <w:shd w:val="clear" w:color="auto" w:fill="auto"/>
            <w:noWrap/>
            <w:vAlign w:val="bottom"/>
            <w:hideMark/>
          </w:tcPr>
          <w:p w14:paraId="6740B741" w14:textId="77777777" w:rsidR="00D12377" w:rsidRPr="00D12377" w:rsidRDefault="00D12377" w:rsidP="00D12377">
            <w:pPr>
              <w:spacing w:after="0"/>
              <w:rPr>
                <w:rFonts w:ascii="Arial" w:hAnsi="Arial" w:cs="Arial"/>
                <w:b/>
                <w:bCs/>
                <w:color w:val="auto"/>
                <w:sz w:val="16"/>
                <w:szCs w:val="16"/>
              </w:rPr>
            </w:pPr>
          </w:p>
        </w:tc>
        <w:tc>
          <w:tcPr>
            <w:tcW w:w="907" w:type="dxa"/>
            <w:tcBorders>
              <w:top w:val="nil"/>
              <w:left w:val="nil"/>
              <w:bottom w:val="nil"/>
              <w:right w:val="nil"/>
            </w:tcBorders>
            <w:shd w:val="clear" w:color="000000" w:fill="D9D9D9"/>
            <w:noWrap/>
            <w:vAlign w:val="bottom"/>
            <w:hideMark/>
          </w:tcPr>
          <w:p w14:paraId="38C3391E"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 </w:t>
            </w:r>
          </w:p>
        </w:tc>
        <w:tc>
          <w:tcPr>
            <w:tcW w:w="907" w:type="dxa"/>
            <w:tcBorders>
              <w:top w:val="nil"/>
              <w:left w:val="nil"/>
              <w:bottom w:val="nil"/>
              <w:right w:val="nil"/>
            </w:tcBorders>
            <w:shd w:val="clear" w:color="auto" w:fill="auto"/>
            <w:noWrap/>
            <w:vAlign w:val="bottom"/>
            <w:hideMark/>
          </w:tcPr>
          <w:p w14:paraId="3472FB15" w14:textId="77777777" w:rsidR="00D12377" w:rsidRPr="00D12377" w:rsidRDefault="00D12377" w:rsidP="00D12377">
            <w:pPr>
              <w:spacing w:after="0"/>
              <w:jc w:val="right"/>
              <w:rPr>
                <w:rFonts w:ascii="Arial" w:hAnsi="Arial" w:cs="Arial"/>
                <w:color w:val="auto"/>
                <w:sz w:val="16"/>
                <w:szCs w:val="16"/>
              </w:rPr>
            </w:pPr>
          </w:p>
        </w:tc>
        <w:tc>
          <w:tcPr>
            <w:tcW w:w="907" w:type="dxa"/>
            <w:tcBorders>
              <w:top w:val="nil"/>
              <w:left w:val="nil"/>
              <w:bottom w:val="nil"/>
              <w:right w:val="nil"/>
            </w:tcBorders>
            <w:shd w:val="clear" w:color="auto" w:fill="auto"/>
            <w:noWrap/>
            <w:vAlign w:val="bottom"/>
            <w:hideMark/>
          </w:tcPr>
          <w:p w14:paraId="3A171D89" w14:textId="77777777" w:rsidR="00D12377" w:rsidRPr="00D12377" w:rsidRDefault="00D12377" w:rsidP="00D12377">
            <w:pPr>
              <w:spacing w:after="0"/>
              <w:jc w:val="right"/>
              <w:rPr>
                <w:rFonts w:ascii="Times New Roman" w:hAnsi="Times New Roman"/>
                <w:color w:val="auto"/>
                <w:sz w:val="20"/>
              </w:rPr>
            </w:pPr>
          </w:p>
        </w:tc>
        <w:tc>
          <w:tcPr>
            <w:tcW w:w="907" w:type="dxa"/>
            <w:tcBorders>
              <w:top w:val="nil"/>
              <w:left w:val="nil"/>
              <w:bottom w:val="nil"/>
              <w:right w:val="nil"/>
            </w:tcBorders>
            <w:shd w:val="clear" w:color="auto" w:fill="auto"/>
            <w:noWrap/>
            <w:vAlign w:val="bottom"/>
            <w:hideMark/>
          </w:tcPr>
          <w:p w14:paraId="23D4E07F" w14:textId="77777777" w:rsidR="00D12377" w:rsidRPr="00D12377" w:rsidRDefault="00D12377" w:rsidP="00D12377">
            <w:pPr>
              <w:spacing w:after="0"/>
              <w:jc w:val="right"/>
              <w:rPr>
                <w:rFonts w:ascii="Times New Roman" w:hAnsi="Times New Roman"/>
                <w:color w:val="auto"/>
                <w:sz w:val="20"/>
              </w:rPr>
            </w:pPr>
          </w:p>
        </w:tc>
      </w:tr>
      <w:tr w:rsidR="00D12377" w:rsidRPr="00D12377" w14:paraId="3824C1E7" w14:textId="77777777" w:rsidTr="00D12377">
        <w:trPr>
          <w:gridAfter w:val="1"/>
          <w:wAfter w:w="52" w:type="dxa"/>
          <w:trHeight w:val="225"/>
          <w:jc w:val="center"/>
        </w:trPr>
        <w:tc>
          <w:tcPr>
            <w:tcW w:w="2818" w:type="dxa"/>
            <w:tcBorders>
              <w:top w:val="nil"/>
              <w:left w:val="nil"/>
              <w:bottom w:val="nil"/>
              <w:right w:val="nil"/>
            </w:tcBorders>
            <w:shd w:val="clear" w:color="auto" w:fill="auto"/>
            <w:noWrap/>
            <w:vAlign w:val="bottom"/>
            <w:hideMark/>
          </w:tcPr>
          <w:p w14:paraId="1878161F" w14:textId="77777777" w:rsidR="00D12377" w:rsidRPr="00D12377" w:rsidRDefault="00D12377" w:rsidP="00D12377">
            <w:pPr>
              <w:spacing w:after="0"/>
              <w:ind w:leftChars="75" w:left="143"/>
              <w:rPr>
                <w:rFonts w:ascii="Arial" w:hAnsi="Arial" w:cs="Arial"/>
                <w:color w:val="auto"/>
                <w:sz w:val="16"/>
                <w:szCs w:val="16"/>
              </w:rPr>
            </w:pPr>
            <w:r w:rsidRPr="00D12377">
              <w:rPr>
                <w:rFonts w:ascii="Arial" w:hAnsi="Arial" w:cs="Arial"/>
                <w:color w:val="auto"/>
                <w:sz w:val="16"/>
                <w:szCs w:val="16"/>
              </w:rPr>
              <w:t>Employee benefits</w:t>
            </w:r>
          </w:p>
        </w:tc>
        <w:tc>
          <w:tcPr>
            <w:tcW w:w="920" w:type="dxa"/>
            <w:tcBorders>
              <w:top w:val="nil"/>
              <w:left w:val="nil"/>
              <w:bottom w:val="nil"/>
              <w:right w:val="nil"/>
            </w:tcBorders>
            <w:shd w:val="clear" w:color="auto" w:fill="auto"/>
            <w:noWrap/>
            <w:vAlign w:val="bottom"/>
            <w:hideMark/>
          </w:tcPr>
          <w:p w14:paraId="51F56546"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59,035</w:t>
            </w:r>
          </w:p>
        </w:tc>
        <w:tc>
          <w:tcPr>
            <w:tcW w:w="907" w:type="dxa"/>
            <w:tcBorders>
              <w:top w:val="nil"/>
              <w:left w:val="nil"/>
              <w:bottom w:val="nil"/>
              <w:right w:val="nil"/>
            </w:tcBorders>
            <w:shd w:val="clear" w:color="000000" w:fill="D9D9D9"/>
            <w:noWrap/>
            <w:vAlign w:val="bottom"/>
            <w:hideMark/>
          </w:tcPr>
          <w:p w14:paraId="4E3B093E"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62,287</w:t>
            </w:r>
          </w:p>
        </w:tc>
        <w:tc>
          <w:tcPr>
            <w:tcW w:w="907" w:type="dxa"/>
            <w:tcBorders>
              <w:top w:val="nil"/>
              <w:left w:val="nil"/>
              <w:bottom w:val="nil"/>
              <w:right w:val="nil"/>
            </w:tcBorders>
            <w:shd w:val="clear" w:color="auto" w:fill="auto"/>
            <w:noWrap/>
            <w:vAlign w:val="bottom"/>
            <w:hideMark/>
          </w:tcPr>
          <w:p w14:paraId="49DE6F0F"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64,156</w:t>
            </w:r>
          </w:p>
        </w:tc>
        <w:tc>
          <w:tcPr>
            <w:tcW w:w="907" w:type="dxa"/>
            <w:tcBorders>
              <w:top w:val="nil"/>
              <w:left w:val="nil"/>
              <w:bottom w:val="nil"/>
              <w:right w:val="nil"/>
            </w:tcBorders>
            <w:shd w:val="clear" w:color="auto" w:fill="auto"/>
            <w:noWrap/>
            <w:vAlign w:val="bottom"/>
            <w:hideMark/>
          </w:tcPr>
          <w:p w14:paraId="75575CA0"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66,080</w:t>
            </w:r>
          </w:p>
        </w:tc>
        <w:tc>
          <w:tcPr>
            <w:tcW w:w="907" w:type="dxa"/>
            <w:tcBorders>
              <w:top w:val="nil"/>
              <w:left w:val="nil"/>
              <w:bottom w:val="nil"/>
              <w:right w:val="nil"/>
            </w:tcBorders>
            <w:shd w:val="clear" w:color="auto" w:fill="auto"/>
            <w:noWrap/>
            <w:vAlign w:val="bottom"/>
            <w:hideMark/>
          </w:tcPr>
          <w:p w14:paraId="33895F96"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67,512</w:t>
            </w:r>
          </w:p>
        </w:tc>
      </w:tr>
      <w:tr w:rsidR="00D12377" w:rsidRPr="00D12377" w14:paraId="22966D65" w14:textId="77777777" w:rsidTr="00D12377">
        <w:trPr>
          <w:gridAfter w:val="1"/>
          <w:wAfter w:w="52" w:type="dxa"/>
          <w:trHeight w:val="225"/>
          <w:jc w:val="center"/>
        </w:trPr>
        <w:tc>
          <w:tcPr>
            <w:tcW w:w="2818" w:type="dxa"/>
            <w:tcBorders>
              <w:top w:val="nil"/>
              <w:left w:val="nil"/>
              <w:bottom w:val="nil"/>
              <w:right w:val="nil"/>
            </w:tcBorders>
            <w:shd w:val="clear" w:color="auto" w:fill="auto"/>
            <w:noWrap/>
            <w:vAlign w:val="bottom"/>
            <w:hideMark/>
          </w:tcPr>
          <w:p w14:paraId="752F8E89" w14:textId="77777777" w:rsidR="00D12377" w:rsidRPr="00D12377" w:rsidRDefault="00D12377" w:rsidP="00D12377">
            <w:pPr>
              <w:spacing w:after="0"/>
              <w:ind w:leftChars="75" w:left="143"/>
              <w:rPr>
                <w:rFonts w:ascii="Arial" w:hAnsi="Arial" w:cs="Arial"/>
                <w:color w:val="auto"/>
                <w:sz w:val="16"/>
                <w:szCs w:val="16"/>
              </w:rPr>
            </w:pPr>
            <w:r w:rsidRPr="00D12377">
              <w:rPr>
                <w:rFonts w:ascii="Arial" w:hAnsi="Arial" w:cs="Arial"/>
                <w:color w:val="auto"/>
                <w:sz w:val="16"/>
                <w:szCs w:val="16"/>
              </w:rPr>
              <w:t>Suppliers</w:t>
            </w:r>
          </w:p>
        </w:tc>
        <w:tc>
          <w:tcPr>
            <w:tcW w:w="920" w:type="dxa"/>
            <w:tcBorders>
              <w:top w:val="nil"/>
              <w:left w:val="nil"/>
              <w:bottom w:val="nil"/>
              <w:right w:val="nil"/>
            </w:tcBorders>
            <w:shd w:val="clear" w:color="auto" w:fill="auto"/>
            <w:noWrap/>
            <w:vAlign w:val="bottom"/>
            <w:hideMark/>
          </w:tcPr>
          <w:p w14:paraId="3C7C12E2"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41,965</w:t>
            </w:r>
          </w:p>
        </w:tc>
        <w:tc>
          <w:tcPr>
            <w:tcW w:w="907" w:type="dxa"/>
            <w:tcBorders>
              <w:top w:val="nil"/>
              <w:left w:val="nil"/>
              <w:bottom w:val="nil"/>
              <w:right w:val="nil"/>
            </w:tcBorders>
            <w:shd w:val="clear" w:color="000000" w:fill="D9D9D9"/>
            <w:noWrap/>
            <w:vAlign w:val="bottom"/>
            <w:hideMark/>
          </w:tcPr>
          <w:p w14:paraId="7EED3E57"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44,410</w:t>
            </w:r>
          </w:p>
        </w:tc>
        <w:tc>
          <w:tcPr>
            <w:tcW w:w="907" w:type="dxa"/>
            <w:tcBorders>
              <w:top w:val="nil"/>
              <w:left w:val="nil"/>
              <w:bottom w:val="nil"/>
              <w:right w:val="nil"/>
            </w:tcBorders>
            <w:shd w:val="clear" w:color="auto" w:fill="auto"/>
            <w:noWrap/>
            <w:vAlign w:val="bottom"/>
            <w:hideMark/>
          </w:tcPr>
          <w:p w14:paraId="6E7D926E"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45,293</w:t>
            </w:r>
          </w:p>
        </w:tc>
        <w:tc>
          <w:tcPr>
            <w:tcW w:w="907" w:type="dxa"/>
            <w:tcBorders>
              <w:top w:val="nil"/>
              <w:left w:val="nil"/>
              <w:bottom w:val="nil"/>
              <w:right w:val="nil"/>
            </w:tcBorders>
            <w:shd w:val="clear" w:color="auto" w:fill="auto"/>
            <w:noWrap/>
            <w:vAlign w:val="bottom"/>
            <w:hideMark/>
          </w:tcPr>
          <w:p w14:paraId="6267657E"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34,526</w:t>
            </w:r>
          </w:p>
        </w:tc>
        <w:tc>
          <w:tcPr>
            <w:tcW w:w="907" w:type="dxa"/>
            <w:tcBorders>
              <w:top w:val="nil"/>
              <w:left w:val="nil"/>
              <w:bottom w:val="nil"/>
              <w:right w:val="nil"/>
            </w:tcBorders>
            <w:shd w:val="clear" w:color="auto" w:fill="auto"/>
            <w:noWrap/>
            <w:vAlign w:val="bottom"/>
            <w:hideMark/>
          </w:tcPr>
          <w:p w14:paraId="33AD8364"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32,201</w:t>
            </w:r>
          </w:p>
        </w:tc>
      </w:tr>
      <w:tr w:rsidR="00D12377" w:rsidRPr="00D12377" w14:paraId="75A66DB3" w14:textId="77777777" w:rsidTr="00D12377">
        <w:trPr>
          <w:gridAfter w:val="1"/>
          <w:wAfter w:w="52" w:type="dxa"/>
          <w:trHeight w:val="225"/>
          <w:jc w:val="center"/>
        </w:trPr>
        <w:tc>
          <w:tcPr>
            <w:tcW w:w="2818" w:type="dxa"/>
            <w:tcBorders>
              <w:top w:val="nil"/>
              <w:left w:val="nil"/>
              <w:bottom w:val="nil"/>
              <w:right w:val="nil"/>
            </w:tcBorders>
            <w:shd w:val="clear" w:color="auto" w:fill="auto"/>
            <w:noWrap/>
            <w:vAlign w:val="bottom"/>
            <w:hideMark/>
          </w:tcPr>
          <w:p w14:paraId="7FEF7BE7" w14:textId="77777777" w:rsidR="00D12377" w:rsidRPr="00D12377" w:rsidRDefault="00D12377" w:rsidP="00D12377">
            <w:pPr>
              <w:spacing w:after="0"/>
              <w:ind w:leftChars="75" w:left="143"/>
              <w:rPr>
                <w:rFonts w:ascii="Arial" w:hAnsi="Arial" w:cs="Arial"/>
                <w:color w:val="auto"/>
                <w:sz w:val="16"/>
                <w:szCs w:val="16"/>
              </w:rPr>
            </w:pPr>
            <w:r w:rsidRPr="00D12377">
              <w:rPr>
                <w:rFonts w:ascii="Arial" w:hAnsi="Arial" w:cs="Arial"/>
                <w:color w:val="auto"/>
                <w:sz w:val="16"/>
                <w:szCs w:val="16"/>
              </w:rPr>
              <w:t>Grants</w:t>
            </w:r>
          </w:p>
        </w:tc>
        <w:tc>
          <w:tcPr>
            <w:tcW w:w="920" w:type="dxa"/>
            <w:tcBorders>
              <w:top w:val="nil"/>
              <w:left w:val="nil"/>
              <w:bottom w:val="nil"/>
              <w:right w:val="nil"/>
            </w:tcBorders>
            <w:shd w:val="clear" w:color="auto" w:fill="auto"/>
            <w:noWrap/>
            <w:vAlign w:val="bottom"/>
            <w:hideMark/>
          </w:tcPr>
          <w:p w14:paraId="2171404F"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229,120</w:t>
            </w:r>
          </w:p>
        </w:tc>
        <w:tc>
          <w:tcPr>
            <w:tcW w:w="907" w:type="dxa"/>
            <w:tcBorders>
              <w:top w:val="nil"/>
              <w:left w:val="nil"/>
              <w:bottom w:val="nil"/>
              <w:right w:val="nil"/>
            </w:tcBorders>
            <w:shd w:val="clear" w:color="000000" w:fill="D9D9D9"/>
            <w:noWrap/>
            <w:vAlign w:val="bottom"/>
            <w:hideMark/>
          </w:tcPr>
          <w:p w14:paraId="10BCE60D"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237,905</w:t>
            </w:r>
          </w:p>
        </w:tc>
        <w:tc>
          <w:tcPr>
            <w:tcW w:w="907" w:type="dxa"/>
            <w:tcBorders>
              <w:top w:val="nil"/>
              <w:left w:val="nil"/>
              <w:bottom w:val="nil"/>
              <w:right w:val="nil"/>
            </w:tcBorders>
            <w:shd w:val="clear" w:color="auto" w:fill="auto"/>
            <w:noWrap/>
            <w:vAlign w:val="bottom"/>
            <w:hideMark/>
          </w:tcPr>
          <w:p w14:paraId="39D241E9"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235,960</w:t>
            </w:r>
          </w:p>
        </w:tc>
        <w:tc>
          <w:tcPr>
            <w:tcW w:w="907" w:type="dxa"/>
            <w:tcBorders>
              <w:top w:val="nil"/>
              <w:left w:val="nil"/>
              <w:bottom w:val="nil"/>
              <w:right w:val="nil"/>
            </w:tcBorders>
            <w:shd w:val="clear" w:color="auto" w:fill="auto"/>
            <w:noWrap/>
            <w:vAlign w:val="bottom"/>
            <w:hideMark/>
          </w:tcPr>
          <w:p w14:paraId="52376288"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164,752</w:t>
            </w:r>
          </w:p>
        </w:tc>
        <w:tc>
          <w:tcPr>
            <w:tcW w:w="907" w:type="dxa"/>
            <w:tcBorders>
              <w:top w:val="nil"/>
              <w:left w:val="nil"/>
              <w:bottom w:val="nil"/>
              <w:right w:val="nil"/>
            </w:tcBorders>
            <w:shd w:val="clear" w:color="auto" w:fill="auto"/>
            <w:noWrap/>
            <w:vAlign w:val="bottom"/>
            <w:hideMark/>
          </w:tcPr>
          <w:p w14:paraId="31CBE1E9"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140,963</w:t>
            </w:r>
          </w:p>
        </w:tc>
      </w:tr>
      <w:tr w:rsidR="00D12377" w:rsidRPr="00D12377" w14:paraId="2BC8E32C" w14:textId="77777777" w:rsidTr="00D12377">
        <w:trPr>
          <w:gridAfter w:val="1"/>
          <w:wAfter w:w="52" w:type="dxa"/>
          <w:trHeight w:val="225"/>
          <w:jc w:val="center"/>
        </w:trPr>
        <w:tc>
          <w:tcPr>
            <w:tcW w:w="2818" w:type="dxa"/>
            <w:tcBorders>
              <w:top w:val="nil"/>
              <w:left w:val="nil"/>
              <w:bottom w:val="nil"/>
              <w:right w:val="nil"/>
            </w:tcBorders>
            <w:shd w:val="clear" w:color="auto" w:fill="auto"/>
            <w:noWrap/>
            <w:vAlign w:val="bottom"/>
            <w:hideMark/>
          </w:tcPr>
          <w:p w14:paraId="0CCB65DD" w14:textId="77777777" w:rsidR="00D12377" w:rsidRPr="00D12377" w:rsidRDefault="00D12377" w:rsidP="00D12377">
            <w:pPr>
              <w:spacing w:after="0"/>
              <w:ind w:leftChars="75" w:left="143"/>
              <w:rPr>
                <w:rFonts w:ascii="Arial" w:hAnsi="Arial" w:cs="Arial"/>
                <w:color w:val="auto"/>
                <w:sz w:val="16"/>
                <w:szCs w:val="16"/>
              </w:rPr>
            </w:pPr>
            <w:r w:rsidRPr="00D12377">
              <w:rPr>
                <w:rFonts w:ascii="Arial" w:hAnsi="Arial" w:cs="Arial"/>
                <w:color w:val="auto"/>
                <w:sz w:val="16"/>
                <w:szCs w:val="16"/>
              </w:rPr>
              <w:t>Depreciation and amortisation</w:t>
            </w:r>
          </w:p>
        </w:tc>
        <w:tc>
          <w:tcPr>
            <w:tcW w:w="920" w:type="dxa"/>
            <w:tcBorders>
              <w:top w:val="nil"/>
              <w:left w:val="nil"/>
              <w:bottom w:val="nil"/>
              <w:right w:val="nil"/>
            </w:tcBorders>
            <w:shd w:val="clear" w:color="auto" w:fill="auto"/>
            <w:noWrap/>
            <w:vAlign w:val="bottom"/>
            <w:hideMark/>
          </w:tcPr>
          <w:p w14:paraId="720F903F"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21,511</w:t>
            </w:r>
          </w:p>
        </w:tc>
        <w:tc>
          <w:tcPr>
            <w:tcW w:w="907" w:type="dxa"/>
            <w:tcBorders>
              <w:top w:val="nil"/>
              <w:left w:val="nil"/>
              <w:bottom w:val="nil"/>
              <w:right w:val="nil"/>
            </w:tcBorders>
            <w:shd w:val="clear" w:color="000000" w:fill="D9D9D9"/>
            <w:noWrap/>
            <w:vAlign w:val="bottom"/>
            <w:hideMark/>
          </w:tcPr>
          <w:p w14:paraId="5A1DAD3B"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25,663</w:t>
            </w:r>
          </w:p>
        </w:tc>
        <w:tc>
          <w:tcPr>
            <w:tcW w:w="907" w:type="dxa"/>
            <w:tcBorders>
              <w:top w:val="nil"/>
              <w:left w:val="nil"/>
              <w:bottom w:val="nil"/>
              <w:right w:val="nil"/>
            </w:tcBorders>
            <w:shd w:val="clear" w:color="auto" w:fill="auto"/>
            <w:noWrap/>
            <w:vAlign w:val="bottom"/>
            <w:hideMark/>
          </w:tcPr>
          <w:p w14:paraId="3F8BA373"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25,664</w:t>
            </w:r>
          </w:p>
        </w:tc>
        <w:tc>
          <w:tcPr>
            <w:tcW w:w="907" w:type="dxa"/>
            <w:tcBorders>
              <w:top w:val="nil"/>
              <w:left w:val="nil"/>
              <w:bottom w:val="nil"/>
              <w:right w:val="nil"/>
            </w:tcBorders>
            <w:shd w:val="clear" w:color="auto" w:fill="auto"/>
            <w:noWrap/>
            <w:vAlign w:val="bottom"/>
            <w:hideMark/>
          </w:tcPr>
          <w:p w14:paraId="6B0A45A5"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25,633</w:t>
            </w:r>
          </w:p>
        </w:tc>
        <w:tc>
          <w:tcPr>
            <w:tcW w:w="907" w:type="dxa"/>
            <w:tcBorders>
              <w:top w:val="nil"/>
              <w:left w:val="nil"/>
              <w:bottom w:val="nil"/>
              <w:right w:val="nil"/>
            </w:tcBorders>
            <w:shd w:val="clear" w:color="auto" w:fill="auto"/>
            <w:noWrap/>
            <w:vAlign w:val="bottom"/>
            <w:hideMark/>
          </w:tcPr>
          <w:p w14:paraId="041EC71A"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24,686</w:t>
            </w:r>
          </w:p>
        </w:tc>
      </w:tr>
      <w:tr w:rsidR="00D12377" w:rsidRPr="00D12377" w14:paraId="316A5C6D" w14:textId="77777777" w:rsidTr="00D12377">
        <w:trPr>
          <w:gridAfter w:val="1"/>
          <w:wAfter w:w="52" w:type="dxa"/>
          <w:trHeight w:val="225"/>
          <w:jc w:val="center"/>
        </w:trPr>
        <w:tc>
          <w:tcPr>
            <w:tcW w:w="2818" w:type="dxa"/>
            <w:tcBorders>
              <w:top w:val="nil"/>
              <w:left w:val="nil"/>
              <w:bottom w:val="nil"/>
              <w:right w:val="nil"/>
            </w:tcBorders>
            <w:shd w:val="clear" w:color="auto" w:fill="auto"/>
            <w:noWrap/>
            <w:vAlign w:val="bottom"/>
            <w:hideMark/>
          </w:tcPr>
          <w:p w14:paraId="54BFE7B3" w14:textId="77777777" w:rsidR="00D12377" w:rsidRPr="00D12377" w:rsidRDefault="00D12377" w:rsidP="00D12377">
            <w:pPr>
              <w:spacing w:after="0"/>
              <w:ind w:leftChars="75" w:left="143"/>
              <w:rPr>
                <w:rFonts w:ascii="Arial" w:hAnsi="Arial" w:cs="Arial"/>
                <w:color w:val="auto"/>
                <w:sz w:val="16"/>
                <w:szCs w:val="16"/>
              </w:rPr>
            </w:pPr>
            <w:r w:rsidRPr="00D12377">
              <w:rPr>
                <w:rFonts w:ascii="Arial" w:hAnsi="Arial" w:cs="Arial"/>
                <w:color w:val="auto"/>
                <w:sz w:val="16"/>
                <w:szCs w:val="16"/>
              </w:rPr>
              <w:t>Other expenses</w:t>
            </w:r>
          </w:p>
        </w:tc>
        <w:tc>
          <w:tcPr>
            <w:tcW w:w="920" w:type="dxa"/>
            <w:tcBorders>
              <w:top w:val="nil"/>
              <w:left w:val="nil"/>
              <w:bottom w:val="nil"/>
              <w:right w:val="nil"/>
            </w:tcBorders>
            <w:shd w:val="clear" w:color="auto" w:fill="auto"/>
            <w:noWrap/>
            <w:vAlign w:val="bottom"/>
            <w:hideMark/>
          </w:tcPr>
          <w:p w14:paraId="61289A43"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376</w:t>
            </w:r>
          </w:p>
        </w:tc>
        <w:tc>
          <w:tcPr>
            <w:tcW w:w="907" w:type="dxa"/>
            <w:tcBorders>
              <w:top w:val="nil"/>
              <w:left w:val="nil"/>
              <w:bottom w:val="nil"/>
              <w:right w:val="nil"/>
            </w:tcBorders>
            <w:shd w:val="clear" w:color="000000" w:fill="D9D9D9"/>
            <w:noWrap/>
            <w:vAlign w:val="bottom"/>
            <w:hideMark/>
          </w:tcPr>
          <w:p w14:paraId="6DB2ED2E"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54</w:t>
            </w:r>
          </w:p>
        </w:tc>
        <w:tc>
          <w:tcPr>
            <w:tcW w:w="907" w:type="dxa"/>
            <w:tcBorders>
              <w:top w:val="nil"/>
              <w:left w:val="nil"/>
              <w:bottom w:val="nil"/>
              <w:right w:val="nil"/>
            </w:tcBorders>
            <w:shd w:val="clear" w:color="auto" w:fill="auto"/>
            <w:noWrap/>
            <w:vAlign w:val="bottom"/>
            <w:hideMark/>
          </w:tcPr>
          <w:p w14:paraId="0441ECAF"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46</w:t>
            </w:r>
          </w:p>
        </w:tc>
        <w:tc>
          <w:tcPr>
            <w:tcW w:w="907" w:type="dxa"/>
            <w:tcBorders>
              <w:top w:val="nil"/>
              <w:left w:val="nil"/>
              <w:bottom w:val="nil"/>
              <w:right w:val="nil"/>
            </w:tcBorders>
            <w:shd w:val="clear" w:color="auto" w:fill="auto"/>
            <w:noWrap/>
            <w:vAlign w:val="bottom"/>
            <w:hideMark/>
          </w:tcPr>
          <w:p w14:paraId="7021A97F"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39</w:t>
            </w:r>
          </w:p>
        </w:tc>
        <w:tc>
          <w:tcPr>
            <w:tcW w:w="907" w:type="dxa"/>
            <w:tcBorders>
              <w:top w:val="nil"/>
              <w:left w:val="nil"/>
              <w:bottom w:val="nil"/>
              <w:right w:val="nil"/>
            </w:tcBorders>
            <w:shd w:val="clear" w:color="auto" w:fill="auto"/>
            <w:noWrap/>
            <w:vAlign w:val="bottom"/>
            <w:hideMark/>
          </w:tcPr>
          <w:p w14:paraId="5670689E"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48</w:t>
            </w:r>
          </w:p>
        </w:tc>
      </w:tr>
      <w:tr w:rsidR="00D12377" w:rsidRPr="00D12377" w14:paraId="346362E1" w14:textId="77777777" w:rsidTr="00D12377">
        <w:trPr>
          <w:gridAfter w:val="1"/>
          <w:wAfter w:w="52" w:type="dxa"/>
          <w:trHeight w:val="225"/>
          <w:jc w:val="center"/>
        </w:trPr>
        <w:tc>
          <w:tcPr>
            <w:tcW w:w="2818" w:type="dxa"/>
            <w:tcBorders>
              <w:top w:val="nil"/>
              <w:left w:val="nil"/>
              <w:bottom w:val="nil"/>
              <w:right w:val="nil"/>
            </w:tcBorders>
            <w:shd w:val="clear" w:color="auto" w:fill="auto"/>
            <w:noWrap/>
            <w:vAlign w:val="bottom"/>
            <w:hideMark/>
          </w:tcPr>
          <w:p w14:paraId="58689212" w14:textId="77777777" w:rsidR="00D12377" w:rsidRPr="00D12377" w:rsidRDefault="00D12377" w:rsidP="00D12377">
            <w:pPr>
              <w:spacing w:after="0"/>
              <w:ind w:leftChars="75" w:left="143"/>
              <w:rPr>
                <w:rFonts w:ascii="Arial" w:hAnsi="Arial" w:cs="Arial"/>
                <w:b/>
                <w:bCs/>
                <w:color w:val="auto"/>
                <w:sz w:val="16"/>
                <w:szCs w:val="16"/>
              </w:rPr>
            </w:pPr>
            <w:r w:rsidRPr="00D12377">
              <w:rPr>
                <w:rFonts w:ascii="Arial" w:hAnsi="Arial" w:cs="Arial"/>
                <w:b/>
                <w:bCs/>
                <w:color w:val="auto"/>
                <w:sz w:val="16"/>
                <w:szCs w:val="16"/>
              </w:rPr>
              <w:t>Total expenses</w:t>
            </w:r>
          </w:p>
        </w:tc>
        <w:tc>
          <w:tcPr>
            <w:tcW w:w="920" w:type="dxa"/>
            <w:tcBorders>
              <w:top w:val="nil"/>
              <w:left w:val="nil"/>
              <w:bottom w:val="single" w:sz="4" w:space="0" w:color="auto"/>
              <w:right w:val="nil"/>
            </w:tcBorders>
            <w:shd w:val="clear" w:color="auto" w:fill="auto"/>
            <w:noWrap/>
            <w:vAlign w:val="bottom"/>
            <w:hideMark/>
          </w:tcPr>
          <w:p w14:paraId="3EB89987"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352,007</w:t>
            </w:r>
          </w:p>
        </w:tc>
        <w:tc>
          <w:tcPr>
            <w:tcW w:w="907" w:type="dxa"/>
            <w:tcBorders>
              <w:top w:val="nil"/>
              <w:left w:val="nil"/>
              <w:bottom w:val="single" w:sz="4" w:space="0" w:color="auto"/>
              <w:right w:val="nil"/>
            </w:tcBorders>
            <w:shd w:val="clear" w:color="000000" w:fill="D9D9D9"/>
            <w:noWrap/>
            <w:vAlign w:val="bottom"/>
            <w:hideMark/>
          </w:tcPr>
          <w:p w14:paraId="4AE6937A"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370,319</w:t>
            </w:r>
          </w:p>
        </w:tc>
        <w:tc>
          <w:tcPr>
            <w:tcW w:w="907" w:type="dxa"/>
            <w:tcBorders>
              <w:top w:val="nil"/>
              <w:left w:val="nil"/>
              <w:bottom w:val="single" w:sz="4" w:space="0" w:color="auto"/>
              <w:right w:val="nil"/>
            </w:tcBorders>
            <w:shd w:val="clear" w:color="auto" w:fill="auto"/>
            <w:noWrap/>
            <w:vAlign w:val="bottom"/>
            <w:hideMark/>
          </w:tcPr>
          <w:p w14:paraId="0AB49B72"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371,119</w:t>
            </w:r>
          </w:p>
        </w:tc>
        <w:tc>
          <w:tcPr>
            <w:tcW w:w="907" w:type="dxa"/>
            <w:tcBorders>
              <w:top w:val="nil"/>
              <w:left w:val="nil"/>
              <w:bottom w:val="single" w:sz="4" w:space="0" w:color="auto"/>
              <w:right w:val="nil"/>
            </w:tcBorders>
            <w:shd w:val="clear" w:color="auto" w:fill="auto"/>
            <w:noWrap/>
            <w:vAlign w:val="bottom"/>
            <w:hideMark/>
          </w:tcPr>
          <w:p w14:paraId="4DBC1C03"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291,030</w:t>
            </w:r>
          </w:p>
        </w:tc>
        <w:tc>
          <w:tcPr>
            <w:tcW w:w="907" w:type="dxa"/>
            <w:tcBorders>
              <w:top w:val="nil"/>
              <w:left w:val="nil"/>
              <w:bottom w:val="single" w:sz="4" w:space="0" w:color="auto"/>
              <w:right w:val="nil"/>
            </w:tcBorders>
            <w:shd w:val="clear" w:color="auto" w:fill="auto"/>
            <w:noWrap/>
            <w:vAlign w:val="bottom"/>
            <w:hideMark/>
          </w:tcPr>
          <w:p w14:paraId="448B7063"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265,410</w:t>
            </w:r>
          </w:p>
        </w:tc>
      </w:tr>
      <w:tr w:rsidR="00D12377" w:rsidRPr="00D12377" w14:paraId="3E769D5B" w14:textId="77777777" w:rsidTr="00D12377">
        <w:trPr>
          <w:gridAfter w:val="1"/>
          <w:wAfter w:w="52" w:type="dxa"/>
          <w:trHeight w:val="283"/>
          <w:jc w:val="center"/>
        </w:trPr>
        <w:tc>
          <w:tcPr>
            <w:tcW w:w="2818" w:type="dxa"/>
            <w:tcBorders>
              <w:top w:val="nil"/>
              <w:left w:val="nil"/>
              <w:bottom w:val="nil"/>
              <w:right w:val="nil"/>
            </w:tcBorders>
            <w:shd w:val="clear" w:color="auto" w:fill="auto"/>
            <w:noWrap/>
            <w:vAlign w:val="bottom"/>
            <w:hideMark/>
          </w:tcPr>
          <w:p w14:paraId="63D50E34" w14:textId="77777777" w:rsidR="00D12377" w:rsidRPr="00D12377" w:rsidRDefault="00D12377" w:rsidP="00D12377">
            <w:pPr>
              <w:spacing w:after="0"/>
              <w:rPr>
                <w:rFonts w:ascii="Arial" w:hAnsi="Arial" w:cs="Arial"/>
                <w:b/>
                <w:bCs/>
                <w:color w:val="auto"/>
                <w:sz w:val="16"/>
                <w:szCs w:val="16"/>
              </w:rPr>
            </w:pPr>
            <w:r w:rsidRPr="00D12377">
              <w:rPr>
                <w:rFonts w:ascii="Arial" w:hAnsi="Arial" w:cs="Arial"/>
                <w:b/>
                <w:bCs/>
                <w:color w:val="auto"/>
                <w:sz w:val="16"/>
                <w:szCs w:val="16"/>
              </w:rPr>
              <w:t xml:space="preserve">LESS: </w:t>
            </w:r>
          </w:p>
        </w:tc>
        <w:tc>
          <w:tcPr>
            <w:tcW w:w="920" w:type="dxa"/>
            <w:tcBorders>
              <w:top w:val="nil"/>
              <w:left w:val="nil"/>
              <w:bottom w:val="nil"/>
              <w:right w:val="nil"/>
            </w:tcBorders>
            <w:shd w:val="clear" w:color="auto" w:fill="auto"/>
            <w:noWrap/>
            <w:vAlign w:val="bottom"/>
            <w:hideMark/>
          </w:tcPr>
          <w:p w14:paraId="7F8ED121" w14:textId="77777777" w:rsidR="00D12377" w:rsidRPr="00D12377" w:rsidRDefault="00D12377" w:rsidP="00D12377">
            <w:pPr>
              <w:spacing w:after="0"/>
              <w:rPr>
                <w:rFonts w:ascii="Arial" w:hAnsi="Arial" w:cs="Arial"/>
                <w:b/>
                <w:bCs/>
                <w:color w:val="auto"/>
                <w:sz w:val="16"/>
                <w:szCs w:val="16"/>
              </w:rPr>
            </w:pPr>
          </w:p>
        </w:tc>
        <w:tc>
          <w:tcPr>
            <w:tcW w:w="907" w:type="dxa"/>
            <w:tcBorders>
              <w:top w:val="nil"/>
              <w:left w:val="nil"/>
              <w:bottom w:val="nil"/>
              <w:right w:val="nil"/>
            </w:tcBorders>
            <w:shd w:val="clear" w:color="000000" w:fill="D9D9D9"/>
            <w:noWrap/>
            <w:vAlign w:val="bottom"/>
            <w:hideMark/>
          </w:tcPr>
          <w:p w14:paraId="24F9E2F0"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 </w:t>
            </w:r>
          </w:p>
        </w:tc>
        <w:tc>
          <w:tcPr>
            <w:tcW w:w="907" w:type="dxa"/>
            <w:tcBorders>
              <w:top w:val="nil"/>
              <w:left w:val="nil"/>
              <w:bottom w:val="nil"/>
              <w:right w:val="nil"/>
            </w:tcBorders>
            <w:shd w:val="clear" w:color="auto" w:fill="auto"/>
            <w:noWrap/>
            <w:vAlign w:val="bottom"/>
            <w:hideMark/>
          </w:tcPr>
          <w:p w14:paraId="2183E615" w14:textId="77777777" w:rsidR="00D12377" w:rsidRPr="00D12377" w:rsidRDefault="00D12377" w:rsidP="00D12377">
            <w:pPr>
              <w:spacing w:after="0"/>
              <w:jc w:val="right"/>
              <w:rPr>
                <w:rFonts w:ascii="Arial" w:hAnsi="Arial" w:cs="Arial"/>
                <w:b/>
                <w:bCs/>
                <w:color w:val="auto"/>
                <w:sz w:val="16"/>
                <w:szCs w:val="16"/>
              </w:rPr>
            </w:pPr>
          </w:p>
        </w:tc>
        <w:tc>
          <w:tcPr>
            <w:tcW w:w="907" w:type="dxa"/>
            <w:tcBorders>
              <w:top w:val="nil"/>
              <w:left w:val="nil"/>
              <w:bottom w:val="nil"/>
              <w:right w:val="nil"/>
            </w:tcBorders>
            <w:shd w:val="clear" w:color="auto" w:fill="auto"/>
            <w:noWrap/>
            <w:vAlign w:val="bottom"/>
            <w:hideMark/>
          </w:tcPr>
          <w:p w14:paraId="5C1E85C0" w14:textId="77777777" w:rsidR="00D12377" w:rsidRPr="00D12377" w:rsidRDefault="00D12377" w:rsidP="00D12377">
            <w:pPr>
              <w:spacing w:after="0"/>
              <w:jc w:val="right"/>
              <w:rPr>
                <w:rFonts w:ascii="Times New Roman" w:hAnsi="Times New Roman"/>
                <w:color w:val="auto"/>
                <w:sz w:val="20"/>
              </w:rPr>
            </w:pPr>
          </w:p>
        </w:tc>
        <w:tc>
          <w:tcPr>
            <w:tcW w:w="907" w:type="dxa"/>
            <w:tcBorders>
              <w:top w:val="nil"/>
              <w:left w:val="nil"/>
              <w:bottom w:val="nil"/>
              <w:right w:val="nil"/>
            </w:tcBorders>
            <w:shd w:val="clear" w:color="auto" w:fill="auto"/>
            <w:noWrap/>
            <w:vAlign w:val="bottom"/>
            <w:hideMark/>
          </w:tcPr>
          <w:p w14:paraId="19FDF397" w14:textId="77777777" w:rsidR="00D12377" w:rsidRPr="00D12377" w:rsidRDefault="00D12377" w:rsidP="00D12377">
            <w:pPr>
              <w:spacing w:after="0"/>
              <w:jc w:val="right"/>
              <w:rPr>
                <w:rFonts w:ascii="Times New Roman" w:hAnsi="Times New Roman"/>
                <w:color w:val="auto"/>
                <w:sz w:val="20"/>
              </w:rPr>
            </w:pPr>
          </w:p>
        </w:tc>
      </w:tr>
      <w:tr w:rsidR="00D12377" w:rsidRPr="00D12377" w14:paraId="45C1634D" w14:textId="77777777" w:rsidTr="00D12377">
        <w:trPr>
          <w:gridAfter w:val="1"/>
          <w:wAfter w:w="52" w:type="dxa"/>
          <w:trHeight w:val="225"/>
          <w:jc w:val="center"/>
        </w:trPr>
        <w:tc>
          <w:tcPr>
            <w:tcW w:w="2818" w:type="dxa"/>
            <w:tcBorders>
              <w:top w:val="nil"/>
              <w:left w:val="nil"/>
              <w:bottom w:val="nil"/>
              <w:right w:val="nil"/>
            </w:tcBorders>
            <w:shd w:val="clear" w:color="auto" w:fill="auto"/>
            <w:noWrap/>
            <w:vAlign w:val="bottom"/>
            <w:hideMark/>
          </w:tcPr>
          <w:p w14:paraId="677F7A0F" w14:textId="77777777" w:rsidR="00D12377" w:rsidRPr="00D12377" w:rsidRDefault="00D12377" w:rsidP="00D12377">
            <w:pPr>
              <w:spacing w:after="0"/>
              <w:rPr>
                <w:rFonts w:ascii="Arial" w:hAnsi="Arial" w:cs="Arial"/>
                <w:b/>
                <w:bCs/>
                <w:color w:val="auto"/>
                <w:sz w:val="16"/>
                <w:szCs w:val="16"/>
              </w:rPr>
            </w:pPr>
            <w:r w:rsidRPr="00D12377">
              <w:rPr>
                <w:rFonts w:ascii="Arial" w:hAnsi="Arial" w:cs="Arial"/>
                <w:b/>
                <w:bCs/>
                <w:color w:val="auto"/>
                <w:sz w:val="16"/>
                <w:szCs w:val="16"/>
              </w:rPr>
              <w:t>OWN-SOURCE INCOME</w:t>
            </w:r>
          </w:p>
        </w:tc>
        <w:tc>
          <w:tcPr>
            <w:tcW w:w="920" w:type="dxa"/>
            <w:tcBorders>
              <w:top w:val="nil"/>
              <w:left w:val="nil"/>
              <w:bottom w:val="nil"/>
              <w:right w:val="nil"/>
            </w:tcBorders>
            <w:shd w:val="clear" w:color="auto" w:fill="auto"/>
            <w:noWrap/>
            <w:vAlign w:val="bottom"/>
            <w:hideMark/>
          </w:tcPr>
          <w:p w14:paraId="207A6EAA" w14:textId="77777777" w:rsidR="00D12377" w:rsidRPr="00D12377" w:rsidRDefault="00D12377" w:rsidP="00D12377">
            <w:pPr>
              <w:spacing w:after="0"/>
              <w:rPr>
                <w:rFonts w:ascii="Arial" w:hAnsi="Arial" w:cs="Arial"/>
                <w:b/>
                <w:bCs/>
                <w:color w:val="auto"/>
                <w:sz w:val="16"/>
                <w:szCs w:val="16"/>
              </w:rPr>
            </w:pPr>
          </w:p>
        </w:tc>
        <w:tc>
          <w:tcPr>
            <w:tcW w:w="907" w:type="dxa"/>
            <w:tcBorders>
              <w:top w:val="nil"/>
              <w:left w:val="nil"/>
              <w:bottom w:val="nil"/>
              <w:right w:val="nil"/>
            </w:tcBorders>
            <w:shd w:val="clear" w:color="000000" w:fill="D9D9D9"/>
            <w:noWrap/>
            <w:vAlign w:val="bottom"/>
            <w:hideMark/>
          </w:tcPr>
          <w:p w14:paraId="13F421BD"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 </w:t>
            </w:r>
          </w:p>
        </w:tc>
        <w:tc>
          <w:tcPr>
            <w:tcW w:w="907" w:type="dxa"/>
            <w:tcBorders>
              <w:top w:val="nil"/>
              <w:left w:val="nil"/>
              <w:bottom w:val="nil"/>
              <w:right w:val="nil"/>
            </w:tcBorders>
            <w:shd w:val="clear" w:color="auto" w:fill="auto"/>
            <w:noWrap/>
            <w:vAlign w:val="bottom"/>
            <w:hideMark/>
          </w:tcPr>
          <w:p w14:paraId="17BF090F" w14:textId="77777777" w:rsidR="00D12377" w:rsidRPr="00D12377" w:rsidRDefault="00D12377" w:rsidP="00D12377">
            <w:pPr>
              <w:spacing w:after="0"/>
              <w:jc w:val="right"/>
              <w:rPr>
                <w:rFonts w:ascii="Arial" w:hAnsi="Arial" w:cs="Arial"/>
                <w:b/>
                <w:bCs/>
                <w:color w:val="auto"/>
                <w:sz w:val="16"/>
                <w:szCs w:val="16"/>
              </w:rPr>
            </w:pPr>
          </w:p>
        </w:tc>
        <w:tc>
          <w:tcPr>
            <w:tcW w:w="907" w:type="dxa"/>
            <w:tcBorders>
              <w:top w:val="nil"/>
              <w:left w:val="nil"/>
              <w:bottom w:val="nil"/>
              <w:right w:val="nil"/>
            </w:tcBorders>
            <w:shd w:val="clear" w:color="auto" w:fill="auto"/>
            <w:noWrap/>
            <w:vAlign w:val="bottom"/>
            <w:hideMark/>
          </w:tcPr>
          <w:p w14:paraId="16CB3D2C" w14:textId="77777777" w:rsidR="00D12377" w:rsidRPr="00D12377" w:rsidRDefault="00D12377" w:rsidP="00D12377">
            <w:pPr>
              <w:spacing w:after="0"/>
              <w:jc w:val="right"/>
              <w:rPr>
                <w:rFonts w:ascii="Times New Roman" w:hAnsi="Times New Roman"/>
                <w:color w:val="auto"/>
                <w:sz w:val="20"/>
              </w:rPr>
            </w:pPr>
          </w:p>
        </w:tc>
        <w:tc>
          <w:tcPr>
            <w:tcW w:w="907" w:type="dxa"/>
            <w:tcBorders>
              <w:top w:val="nil"/>
              <w:left w:val="nil"/>
              <w:bottom w:val="nil"/>
              <w:right w:val="nil"/>
            </w:tcBorders>
            <w:shd w:val="clear" w:color="auto" w:fill="auto"/>
            <w:noWrap/>
            <w:vAlign w:val="bottom"/>
            <w:hideMark/>
          </w:tcPr>
          <w:p w14:paraId="0DF687B8" w14:textId="77777777" w:rsidR="00D12377" w:rsidRPr="00D12377" w:rsidRDefault="00D12377" w:rsidP="00D12377">
            <w:pPr>
              <w:spacing w:after="0"/>
              <w:jc w:val="right"/>
              <w:rPr>
                <w:rFonts w:ascii="Times New Roman" w:hAnsi="Times New Roman"/>
                <w:color w:val="auto"/>
                <w:sz w:val="20"/>
              </w:rPr>
            </w:pPr>
          </w:p>
        </w:tc>
      </w:tr>
      <w:tr w:rsidR="00D12377" w:rsidRPr="00D12377" w14:paraId="649644AD" w14:textId="77777777" w:rsidTr="00D12377">
        <w:trPr>
          <w:gridAfter w:val="1"/>
          <w:wAfter w:w="52" w:type="dxa"/>
          <w:trHeight w:val="225"/>
          <w:jc w:val="center"/>
        </w:trPr>
        <w:tc>
          <w:tcPr>
            <w:tcW w:w="2818" w:type="dxa"/>
            <w:tcBorders>
              <w:top w:val="nil"/>
              <w:left w:val="nil"/>
              <w:bottom w:val="nil"/>
              <w:right w:val="nil"/>
            </w:tcBorders>
            <w:shd w:val="clear" w:color="auto" w:fill="auto"/>
            <w:noWrap/>
            <w:vAlign w:val="bottom"/>
            <w:hideMark/>
          </w:tcPr>
          <w:p w14:paraId="270B696D" w14:textId="77777777" w:rsidR="00D12377" w:rsidRPr="00D12377" w:rsidRDefault="00D12377" w:rsidP="00D12377">
            <w:pPr>
              <w:spacing w:after="0"/>
              <w:ind w:leftChars="75" w:left="143"/>
              <w:rPr>
                <w:rFonts w:ascii="Arial" w:hAnsi="Arial" w:cs="Arial"/>
                <w:b/>
                <w:bCs/>
                <w:color w:val="auto"/>
                <w:sz w:val="16"/>
                <w:szCs w:val="16"/>
              </w:rPr>
            </w:pPr>
            <w:r w:rsidRPr="00D12377">
              <w:rPr>
                <w:rFonts w:ascii="Arial" w:hAnsi="Arial" w:cs="Arial"/>
                <w:b/>
                <w:bCs/>
                <w:color w:val="auto"/>
                <w:sz w:val="16"/>
                <w:szCs w:val="16"/>
              </w:rPr>
              <w:t>Revenue</w:t>
            </w:r>
          </w:p>
        </w:tc>
        <w:tc>
          <w:tcPr>
            <w:tcW w:w="920" w:type="dxa"/>
            <w:tcBorders>
              <w:top w:val="nil"/>
              <w:left w:val="nil"/>
              <w:bottom w:val="nil"/>
              <w:right w:val="nil"/>
            </w:tcBorders>
            <w:shd w:val="clear" w:color="auto" w:fill="auto"/>
            <w:noWrap/>
            <w:vAlign w:val="bottom"/>
            <w:hideMark/>
          </w:tcPr>
          <w:p w14:paraId="7BD83603" w14:textId="77777777" w:rsidR="00D12377" w:rsidRPr="00D12377" w:rsidRDefault="00D12377" w:rsidP="00D12377">
            <w:pPr>
              <w:spacing w:after="0"/>
              <w:ind w:firstLineChars="100" w:firstLine="160"/>
              <w:rPr>
                <w:rFonts w:ascii="Arial" w:hAnsi="Arial" w:cs="Arial"/>
                <w:b/>
                <w:bCs/>
                <w:color w:val="auto"/>
                <w:sz w:val="16"/>
                <w:szCs w:val="16"/>
              </w:rPr>
            </w:pPr>
          </w:p>
        </w:tc>
        <w:tc>
          <w:tcPr>
            <w:tcW w:w="907" w:type="dxa"/>
            <w:tcBorders>
              <w:top w:val="nil"/>
              <w:left w:val="nil"/>
              <w:bottom w:val="nil"/>
              <w:right w:val="nil"/>
            </w:tcBorders>
            <w:shd w:val="clear" w:color="000000" w:fill="D9D9D9"/>
            <w:noWrap/>
            <w:vAlign w:val="bottom"/>
            <w:hideMark/>
          </w:tcPr>
          <w:p w14:paraId="309D12DE"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 </w:t>
            </w:r>
          </w:p>
        </w:tc>
        <w:tc>
          <w:tcPr>
            <w:tcW w:w="907" w:type="dxa"/>
            <w:tcBorders>
              <w:top w:val="nil"/>
              <w:left w:val="nil"/>
              <w:bottom w:val="nil"/>
              <w:right w:val="nil"/>
            </w:tcBorders>
            <w:shd w:val="clear" w:color="auto" w:fill="auto"/>
            <w:noWrap/>
            <w:vAlign w:val="bottom"/>
            <w:hideMark/>
          </w:tcPr>
          <w:p w14:paraId="14E99934" w14:textId="77777777" w:rsidR="00D12377" w:rsidRPr="00D12377" w:rsidRDefault="00D12377" w:rsidP="00D12377">
            <w:pPr>
              <w:spacing w:after="0"/>
              <w:jc w:val="right"/>
              <w:rPr>
                <w:rFonts w:ascii="Arial" w:hAnsi="Arial" w:cs="Arial"/>
                <w:b/>
                <w:bCs/>
                <w:color w:val="auto"/>
                <w:sz w:val="16"/>
                <w:szCs w:val="16"/>
              </w:rPr>
            </w:pPr>
          </w:p>
        </w:tc>
        <w:tc>
          <w:tcPr>
            <w:tcW w:w="907" w:type="dxa"/>
            <w:tcBorders>
              <w:top w:val="nil"/>
              <w:left w:val="nil"/>
              <w:bottom w:val="nil"/>
              <w:right w:val="nil"/>
            </w:tcBorders>
            <w:shd w:val="clear" w:color="auto" w:fill="auto"/>
            <w:noWrap/>
            <w:vAlign w:val="bottom"/>
            <w:hideMark/>
          </w:tcPr>
          <w:p w14:paraId="60A72F76" w14:textId="77777777" w:rsidR="00D12377" w:rsidRPr="00D12377" w:rsidRDefault="00D12377" w:rsidP="00D12377">
            <w:pPr>
              <w:spacing w:after="0"/>
              <w:jc w:val="right"/>
              <w:rPr>
                <w:rFonts w:ascii="Times New Roman" w:hAnsi="Times New Roman"/>
                <w:color w:val="auto"/>
                <w:sz w:val="20"/>
              </w:rPr>
            </w:pPr>
          </w:p>
        </w:tc>
        <w:tc>
          <w:tcPr>
            <w:tcW w:w="907" w:type="dxa"/>
            <w:tcBorders>
              <w:top w:val="nil"/>
              <w:left w:val="nil"/>
              <w:bottom w:val="nil"/>
              <w:right w:val="nil"/>
            </w:tcBorders>
            <w:shd w:val="clear" w:color="auto" w:fill="auto"/>
            <w:noWrap/>
            <w:vAlign w:val="bottom"/>
            <w:hideMark/>
          </w:tcPr>
          <w:p w14:paraId="08D4BE54" w14:textId="77777777" w:rsidR="00D12377" w:rsidRPr="00D12377" w:rsidRDefault="00D12377" w:rsidP="00D12377">
            <w:pPr>
              <w:spacing w:after="0"/>
              <w:jc w:val="right"/>
              <w:rPr>
                <w:rFonts w:ascii="Times New Roman" w:hAnsi="Times New Roman"/>
                <w:color w:val="auto"/>
                <w:sz w:val="20"/>
              </w:rPr>
            </w:pPr>
          </w:p>
        </w:tc>
      </w:tr>
      <w:tr w:rsidR="00D12377" w:rsidRPr="00D12377" w14:paraId="70F6CE97" w14:textId="77777777" w:rsidTr="00D12377">
        <w:trPr>
          <w:gridAfter w:val="1"/>
          <w:wAfter w:w="52" w:type="dxa"/>
          <w:trHeight w:val="408"/>
          <w:jc w:val="center"/>
        </w:trPr>
        <w:tc>
          <w:tcPr>
            <w:tcW w:w="2818" w:type="dxa"/>
            <w:tcBorders>
              <w:top w:val="nil"/>
              <w:left w:val="nil"/>
              <w:bottom w:val="nil"/>
              <w:right w:val="nil"/>
            </w:tcBorders>
            <w:shd w:val="clear" w:color="auto" w:fill="auto"/>
            <w:vAlign w:val="bottom"/>
            <w:hideMark/>
          </w:tcPr>
          <w:p w14:paraId="73D58878" w14:textId="77777777" w:rsidR="00D12377" w:rsidRPr="00D12377" w:rsidRDefault="00D12377" w:rsidP="00D12377">
            <w:pPr>
              <w:spacing w:after="0"/>
              <w:ind w:leftChars="150" w:left="285"/>
              <w:rPr>
                <w:rFonts w:ascii="Arial" w:hAnsi="Arial" w:cs="Arial"/>
                <w:color w:val="auto"/>
                <w:sz w:val="16"/>
                <w:szCs w:val="16"/>
              </w:rPr>
            </w:pPr>
            <w:r w:rsidRPr="00D12377">
              <w:rPr>
                <w:rFonts w:ascii="Arial" w:hAnsi="Arial" w:cs="Arial"/>
                <w:color w:val="auto"/>
                <w:sz w:val="16"/>
                <w:szCs w:val="16"/>
              </w:rPr>
              <w:t>Sale of goods and rendering of services</w:t>
            </w:r>
          </w:p>
        </w:tc>
        <w:tc>
          <w:tcPr>
            <w:tcW w:w="920" w:type="dxa"/>
            <w:tcBorders>
              <w:top w:val="nil"/>
              <w:left w:val="nil"/>
              <w:bottom w:val="nil"/>
              <w:right w:val="nil"/>
            </w:tcBorders>
            <w:shd w:val="clear" w:color="auto" w:fill="auto"/>
            <w:noWrap/>
            <w:vAlign w:val="bottom"/>
            <w:hideMark/>
          </w:tcPr>
          <w:p w14:paraId="61E16BD0"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7,034</w:t>
            </w:r>
          </w:p>
        </w:tc>
        <w:tc>
          <w:tcPr>
            <w:tcW w:w="907" w:type="dxa"/>
            <w:tcBorders>
              <w:top w:val="nil"/>
              <w:left w:val="nil"/>
              <w:bottom w:val="nil"/>
              <w:right w:val="nil"/>
            </w:tcBorders>
            <w:shd w:val="clear" w:color="000000" w:fill="D9D9D9"/>
            <w:noWrap/>
            <w:vAlign w:val="bottom"/>
            <w:hideMark/>
          </w:tcPr>
          <w:p w14:paraId="1FF1ED18"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13,702</w:t>
            </w:r>
          </w:p>
        </w:tc>
        <w:tc>
          <w:tcPr>
            <w:tcW w:w="907" w:type="dxa"/>
            <w:tcBorders>
              <w:top w:val="nil"/>
              <w:left w:val="nil"/>
              <w:bottom w:val="nil"/>
              <w:right w:val="nil"/>
            </w:tcBorders>
            <w:shd w:val="clear" w:color="auto" w:fill="auto"/>
            <w:noWrap/>
            <w:vAlign w:val="bottom"/>
            <w:hideMark/>
          </w:tcPr>
          <w:p w14:paraId="1F218617"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14,612</w:t>
            </w:r>
          </w:p>
        </w:tc>
        <w:tc>
          <w:tcPr>
            <w:tcW w:w="907" w:type="dxa"/>
            <w:tcBorders>
              <w:top w:val="nil"/>
              <w:left w:val="nil"/>
              <w:bottom w:val="nil"/>
              <w:right w:val="nil"/>
            </w:tcBorders>
            <w:shd w:val="clear" w:color="auto" w:fill="auto"/>
            <w:noWrap/>
            <w:vAlign w:val="bottom"/>
            <w:hideMark/>
          </w:tcPr>
          <w:p w14:paraId="6421E80F"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14,419</w:t>
            </w:r>
          </w:p>
        </w:tc>
        <w:tc>
          <w:tcPr>
            <w:tcW w:w="907" w:type="dxa"/>
            <w:tcBorders>
              <w:top w:val="nil"/>
              <w:left w:val="nil"/>
              <w:bottom w:val="nil"/>
              <w:right w:val="nil"/>
            </w:tcBorders>
            <w:shd w:val="clear" w:color="auto" w:fill="auto"/>
            <w:noWrap/>
            <w:vAlign w:val="bottom"/>
            <w:hideMark/>
          </w:tcPr>
          <w:p w14:paraId="03D08123"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14,225</w:t>
            </w:r>
          </w:p>
        </w:tc>
      </w:tr>
      <w:tr w:rsidR="00D12377" w:rsidRPr="00D12377" w14:paraId="71EE69DA" w14:textId="77777777" w:rsidTr="00D12377">
        <w:trPr>
          <w:gridAfter w:val="1"/>
          <w:wAfter w:w="52" w:type="dxa"/>
          <w:trHeight w:val="408"/>
          <w:jc w:val="center"/>
        </w:trPr>
        <w:tc>
          <w:tcPr>
            <w:tcW w:w="2818" w:type="dxa"/>
            <w:tcBorders>
              <w:top w:val="nil"/>
              <w:left w:val="nil"/>
              <w:bottom w:val="nil"/>
              <w:right w:val="nil"/>
            </w:tcBorders>
            <w:shd w:val="clear" w:color="auto" w:fill="auto"/>
            <w:vAlign w:val="bottom"/>
            <w:hideMark/>
          </w:tcPr>
          <w:p w14:paraId="47605D82" w14:textId="77777777" w:rsidR="00D12377" w:rsidRPr="00D12377" w:rsidRDefault="00D12377" w:rsidP="00D12377">
            <w:pPr>
              <w:spacing w:after="0"/>
              <w:ind w:leftChars="150" w:left="285"/>
              <w:rPr>
                <w:rFonts w:ascii="Arial" w:hAnsi="Arial" w:cs="Arial"/>
                <w:color w:val="auto"/>
                <w:sz w:val="16"/>
                <w:szCs w:val="16"/>
              </w:rPr>
            </w:pPr>
            <w:r w:rsidRPr="00D12377">
              <w:rPr>
                <w:rFonts w:ascii="Arial" w:hAnsi="Arial" w:cs="Arial"/>
                <w:color w:val="auto"/>
                <w:sz w:val="16"/>
                <w:szCs w:val="16"/>
              </w:rPr>
              <w:t>Contributions from Government entities</w:t>
            </w:r>
          </w:p>
        </w:tc>
        <w:tc>
          <w:tcPr>
            <w:tcW w:w="920" w:type="dxa"/>
            <w:tcBorders>
              <w:top w:val="nil"/>
              <w:left w:val="nil"/>
              <w:bottom w:val="nil"/>
              <w:right w:val="nil"/>
            </w:tcBorders>
            <w:shd w:val="clear" w:color="auto" w:fill="auto"/>
            <w:noWrap/>
            <w:vAlign w:val="bottom"/>
            <w:hideMark/>
          </w:tcPr>
          <w:p w14:paraId="56F0185F"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13,313</w:t>
            </w:r>
          </w:p>
        </w:tc>
        <w:tc>
          <w:tcPr>
            <w:tcW w:w="907" w:type="dxa"/>
            <w:tcBorders>
              <w:top w:val="nil"/>
              <w:left w:val="nil"/>
              <w:bottom w:val="nil"/>
              <w:right w:val="nil"/>
            </w:tcBorders>
            <w:shd w:val="clear" w:color="000000" w:fill="D9D9D9"/>
            <w:noWrap/>
            <w:vAlign w:val="bottom"/>
            <w:hideMark/>
          </w:tcPr>
          <w:p w14:paraId="53E3CDAD"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7,020</w:t>
            </w:r>
          </w:p>
        </w:tc>
        <w:tc>
          <w:tcPr>
            <w:tcW w:w="907" w:type="dxa"/>
            <w:tcBorders>
              <w:top w:val="nil"/>
              <w:left w:val="nil"/>
              <w:bottom w:val="nil"/>
              <w:right w:val="nil"/>
            </w:tcBorders>
            <w:shd w:val="clear" w:color="auto" w:fill="auto"/>
            <w:noWrap/>
            <w:vAlign w:val="bottom"/>
            <w:hideMark/>
          </w:tcPr>
          <w:p w14:paraId="65564587"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850</w:t>
            </w:r>
          </w:p>
        </w:tc>
        <w:tc>
          <w:tcPr>
            <w:tcW w:w="907" w:type="dxa"/>
            <w:tcBorders>
              <w:top w:val="nil"/>
              <w:left w:val="nil"/>
              <w:bottom w:val="nil"/>
              <w:right w:val="nil"/>
            </w:tcBorders>
            <w:shd w:val="clear" w:color="auto" w:fill="auto"/>
            <w:noWrap/>
            <w:vAlign w:val="bottom"/>
            <w:hideMark/>
          </w:tcPr>
          <w:p w14:paraId="39B64A86"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w:t>
            </w:r>
          </w:p>
        </w:tc>
        <w:tc>
          <w:tcPr>
            <w:tcW w:w="907" w:type="dxa"/>
            <w:tcBorders>
              <w:top w:val="nil"/>
              <w:left w:val="nil"/>
              <w:bottom w:val="nil"/>
              <w:right w:val="nil"/>
            </w:tcBorders>
            <w:shd w:val="clear" w:color="auto" w:fill="auto"/>
            <w:noWrap/>
            <w:vAlign w:val="bottom"/>
            <w:hideMark/>
          </w:tcPr>
          <w:p w14:paraId="2155C189"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w:t>
            </w:r>
          </w:p>
        </w:tc>
      </w:tr>
      <w:tr w:rsidR="00D12377" w:rsidRPr="00D12377" w14:paraId="1449454E" w14:textId="77777777" w:rsidTr="00D12377">
        <w:trPr>
          <w:gridAfter w:val="1"/>
          <w:wAfter w:w="52" w:type="dxa"/>
          <w:trHeight w:val="225"/>
          <w:jc w:val="center"/>
        </w:trPr>
        <w:tc>
          <w:tcPr>
            <w:tcW w:w="2818" w:type="dxa"/>
            <w:tcBorders>
              <w:top w:val="nil"/>
              <w:left w:val="nil"/>
              <w:bottom w:val="nil"/>
              <w:right w:val="nil"/>
            </w:tcBorders>
            <w:shd w:val="clear" w:color="auto" w:fill="auto"/>
            <w:noWrap/>
            <w:vAlign w:val="bottom"/>
            <w:hideMark/>
          </w:tcPr>
          <w:p w14:paraId="625FBC2A" w14:textId="77777777" w:rsidR="00D12377" w:rsidRPr="00D12377" w:rsidRDefault="00D12377" w:rsidP="00D12377">
            <w:pPr>
              <w:spacing w:after="0"/>
              <w:ind w:leftChars="150" w:left="285"/>
              <w:rPr>
                <w:rFonts w:ascii="Arial" w:hAnsi="Arial" w:cs="Arial"/>
                <w:color w:val="auto"/>
                <w:sz w:val="16"/>
                <w:szCs w:val="16"/>
              </w:rPr>
            </w:pPr>
            <w:r w:rsidRPr="00D12377">
              <w:rPr>
                <w:rFonts w:ascii="Arial" w:hAnsi="Arial" w:cs="Arial"/>
                <w:color w:val="auto"/>
                <w:sz w:val="16"/>
                <w:szCs w:val="16"/>
              </w:rPr>
              <w:t>Interest</w:t>
            </w:r>
          </w:p>
        </w:tc>
        <w:tc>
          <w:tcPr>
            <w:tcW w:w="920" w:type="dxa"/>
            <w:tcBorders>
              <w:top w:val="nil"/>
              <w:left w:val="nil"/>
              <w:bottom w:val="nil"/>
              <w:right w:val="nil"/>
            </w:tcBorders>
            <w:shd w:val="clear" w:color="auto" w:fill="auto"/>
            <w:noWrap/>
            <w:vAlign w:val="bottom"/>
            <w:hideMark/>
          </w:tcPr>
          <w:p w14:paraId="0DC28DB9"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651</w:t>
            </w:r>
          </w:p>
        </w:tc>
        <w:tc>
          <w:tcPr>
            <w:tcW w:w="907" w:type="dxa"/>
            <w:tcBorders>
              <w:top w:val="nil"/>
              <w:left w:val="nil"/>
              <w:bottom w:val="nil"/>
              <w:right w:val="nil"/>
            </w:tcBorders>
            <w:shd w:val="clear" w:color="000000" w:fill="D9D9D9"/>
            <w:noWrap/>
            <w:vAlign w:val="bottom"/>
            <w:hideMark/>
          </w:tcPr>
          <w:p w14:paraId="7BC3AC59"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2,316</w:t>
            </w:r>
          </w:p>
        </w:tc>
        <w:tc>
          <w:tcPr>
            <w:tcW w:w="907" w:type="dxa"/>
            <w:tcBorders>
              <w:top w:val="nil"/>
              <w:left w:val="nil"/>
              <w:bottom w:val="nil"/>
              <w:right w:val="nil"/>
            </w:tcBorders>
            <w:shd w:val="clear" w:color="auto" w:fill="auto"/>
            <w:noWrap/>
            <w:vAlign w:val="bottom"/>
            <w:hideMark/>
          </w:tcPr>
          <w:p w14:paraId="1CB7D0BD"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1,206</w:t>
            </w:r>
          </w:p>
        </w:tc>
        <w:tc>
          <w:tcPr>
            <w:tcW w:w="907" w:type="dxa"/>
            <w:tcBorders>
              <w:top w:val="nil"/>
              <w:left w:val="nil"/>
              <w:bottom w:val="nil"/>
              <w:right w:val="nil"/>
            </w:tcBorders>
            <w:shd w:val="clear" w:color="auto" w:fill="auto"/>
            <w:noWrap/>
            <w:vAlign w:val="bottom"/>
            <w:hideMark/>
          </w:tcPr>
          <w:p w14:paraId="52CFA69F"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609</w:t>
            </w:r>
          </w:p>
        </w:tc>
        <w:tc>
          <w:tcPr>
            <w:tcW w:w="907" w:type="dxa"/>
            <w:tcBorders>
              <w:top w:val="nil"/>
              <w:left w:val="nil"/>
              <w:bottom w:val="nil"/>
              <w:right w:val="nil"/>
            </w:tcBorders>
            <w:shd w:val="clear" w:color="auto" w:fill="auto"/>
            <w:noWrap/>
            <w:vAlign w:val="bottom"/>
            <w:hideMark/>
          </w:tcPr>
          <w:p w14:paraId="0337F1F0"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50</w:t>
            </w:r>
          </w:p>
        </w:tc>
      </w:tr>
      <w:tr w:rsidR="00D12377" w:rsidRPr="00D12377" w14:paraId="5AE660A2" w14:textId="77777777" w:rsidTr="00D12377">
        <w:trPr>
          <w:gridAfter w:val="1"/>
          <w:wAfter w:w="52" w:type="dxa"/>
          <w:trHeight w:val="225"/>
          <w:jc w:val="center"/>
        </w:trPr>
        <w:tc>
          <w:tcPr>
            <w:tcW w:w="2818" w:type="dxa"/>
            <w:tcBorders>
              <w:top w:val="nil"/>
              <w:left w:val="nil"/>
              <w:bottom w:val="nil"/>
              <w:right w:val="nil"/>
            </w:tcBorders>
            <w:shd w:val="clear" w:color="auto" w:fill="auto"/>
            <w:noWrap/>
            <w:vAlign w:val="bottom"/>
            <w:hideMark/>
          </w:tcPr>
          <w:p w14:paraId="59F46EE5" w14:textId="77777777" w:rsidR="00D12377" w:rsidRPr="00D12377" w:rsidRDefault="00D12377" w:rsidP="00D12377">
            <w:pPr>
              <w:spacing w:after="0"/>
              <w:ind w:leftChars="150" w:left="285"/>
              <w:rPr>
                <w:rFonts w:ascii="Arial" w:hAnsi="Arial" w:cs="Arial"/>
                <w:color w:val="auto"/>
                <w:sz w:val="16"/>
                <w:szCs w:val="16"/>
              </w:rPr>
            </w:pPr>
            <w:r w:rsidRPr="00D12377">
              <w:rPr>
                <w:rFonts w:ascii="Arial" w:hAnsi="Arial" w:cs="Arial"/>
                <w:color w:val="auto"/>
                <w:sz w:val="16"/>
                <w:szCs w:val="16"/>
              </w:rPr>
              <w:t>Other revenue</w:t>
            </w:r>
          </w:p>
        </w:tc>
        <w:tc>
          <w:tcPr>
            <w:tcW w:w="920" w:type="dxa"/>
            <w:tcBorders>
              <w:top w:val="nil"/>
              <w:left w:val="nil"/>
              <w:bottom w:val="nil"/>
              <w:right w:val="nil"/>
            </w:tcBorders>
            <w:shd w:val="clear" w:color="auto" w:fill="auto"/>
            <w:noWrap/>
            <w:vAlign w:val="bottom"/>
            <w:hideMark/>
          </w:tcPr>
          <w:p w14:paraId="114F2275"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5,392</w:t>
            </w:r>
          </w:p>
        </w:tc>
        <w:tc>
          <w:tcPr>
            <w:tcW w:w="907" w:type="dxa"/>
            <w:tcBorders>
              <w:top w:val="nil"/>
              <w:left w:val="nil"/>
              <w:bottom w:val="nil"/>
              <w:right w:val="nil"/>
            </w:tcBorders>
            <w:shd w:val="clear" w:color="000000" w:fill="D9D9D9"/>
            <w:noWrap/>
            <w:vAlign w:val="bottom"/>
            <w:hideMark/>
          </w:tcPr>
          <w:p w14:paraId="23E99F1F"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498</w:t>
            </w:r>
          </w:p>
        </w:tc>
        <w:tc>
          <w:tcPr>
            <w:tcW w:w="907" w:type="dxa"/>
            <w:tcBorders>
              <w:top w:val="nil"/>
              <w:left w:val="nil"/>
              <w:bottom w:val="nil"/>
              <w:right w:val="nil"/>
            </w:tcBorders>
            <w:shd w:val="clear" w:color="auto" w:fill="auto"/>
            <w:noWrap/>
            <w:vAlign w:val="bottom"/>
            <w:hideMark/>
          </w:tcPr>
          <w:p w14:paraId="548A4014"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443</w:t>
            </w:r>
          </w:p>
        </w:tc>
        <w:tc>
          <w:tcPr>
            <w:tcW w:w="907" w:type="dxa"/>
            <w:tcBorders>
              <w:top w:val="nil"/>
              <w:left w:val="nil"/>
              <w:bottom w:val="nil"/>
              <w:right w:val="nil"/>
            </w:tcBorders>
            <w:shd w:val="clear" w:color="auto" w:fill="auto"/>
            <w:noWrap/>
            <w:vAlign w:val="bottom"/>
            <w:hideMark/>
          </w:tcPr>
          <w:p w14:paraId="56C9149C"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443</w:t>
            </w:r>
          </w:p>
        </w:tc>
        <w:tc>
          <w:tcPr>
            <w:tcW w:w="907" w:type="dxa"/>
            <w:tcBorders>
              <w:top w:val="nil"/>
              <w:left w:val="nil"/>
              <w:bottom w:val="nil"/>
              <w:right w:val="nil"/>
            </w:tcBorders>
            <w:shd w:val="clear" w:color="auto" w:fill="auto"/>
            <w:noWrap/>
            <w:vAlign w:val="bottom"/>
            <w:hideMark/>
          </w:tcPr>
          <w:p w14:paraId="7B287A3D"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443</w:t>
            </w:r>
          </w:p>
        </w:tc>
      </w:tr>
      <w:tr w:rsidR="00D12377" w:rsidRPr="00D12377" w14:paraId="7431727D" w14:textId="77777777" w:rsidTr="00D12377">
        <w:trPr>
          <w:gridAfter w:val="1"/>
          <w:wAfter w:w="52" w:type="dxa"/>
          <w:trHeight w:val="225"/>
          <w:jc w:val="center"/>
        </w:trPr>
        <w:tc>
          <w:tcPr>
            <w:tcW w:w="2818" w:type="dxa"/>
            <w:tcBorders>
              <w:top w:val="nil"/>
              <w:left w:val="nil"/>
              <w:bottom w:val="nil"/>
              <w:right w:val="nil"/>
            </w:tcBorders>
            <w:shd w:val="clear" w:color="auto" w:fill="auto"/>
            <w:noWrap/>
            <w:vAlign w:val="bottom"/>
            <w:hideMark/>
          </w:tcPr>
          <w:p w14:paraId="53160509" w14:textId="77777777" w:rsidR="00D12377" w:rsidRPr="00D12377" w:rsidRDefault="00D12377" w:rsidP="00D12377">
            <w:pPr>
              <w:spacing w:after="0"/>
              <w:ind w:leftChars="150" w:left="285"/>
              <w:rPr>
                <w:rFonts w:ascii="Arial" w:hAnsi="Arial" w:cs="Arial"/>
                <w:b/>
                <w:bCs/>
                <w:color w:val="auto"/>
                <w:sz w:val="16"/>
                <w:szCs w:val="16"/>
              </w:rPr>
            </w:pPr>
            <w:r w:rsidRPr="00D12377">
              <w:rPr>
                <w:rFonts w:ascii="Arial" w:hAnsi="Arial" w:cs="Arial"/>
                <w:b/>
                <w:bCs/>
                <w:color w:val="auto"/>
                <w:sz w:val="16"/>
                <w:szCs w:val="16"/>
              </w:rPr>
              <w:t>Total revenue</w:t>
            </w:r>
          </w:p>
        </w:tc>
        <w:tc>
          <w:tcPr>
            <w:tcW w:w="920" w:type="dxa"/>
            <w:tcBorders>
              <w:top w:val="nil"/>
              <w:left w:val="nil"/>
              <w:bottom w:val="single" w:sz="4" w:space="0" w:color="auto"/>
              <w:right w:val="nil"/>
            </w:tcBorders>
            <w:shd w:val="clear" w:color="auto" w:fill="auto"/>
            <w:noWrap/>
            <w:vAlign w:val="bottom"/>
            <w:hideMark/>
          </w:tcPr>
          <w:p w14:paraId="0ECC107A"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26,390</w:t>
            </w:r>
          </w:p>
        </w:tc>
        <w:tc>
          <w:tcPr>
            <w:tcW w:w="907" w:type="dxa"/>
            <w:tcBorders>
              <w:top w:val="nil"/>
              <w:left w:val="nil"/>
              <w:bottom w:val="single" w:sz="4" w:space="0" w:color="auto"/>
              <w:right w:val="nil"/>
            </w:tcBorders>
            <w:shd w:val="clear" w:color="000000" w:fill="D9D9D9"/>
            <w:noWrap/>
            <w:vAlign w:val="bottom"/>
            <w:hideMark/>
          </w:tcPr>
          <w:p w14:paraId="45A0C281"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23,536</w:t>
            </w:r>
          </w:p>
        </w:tc>
        <w:tc>
          <w:tcPr>
            <w:tcW w:w="907" w:type="dxa"/>
            <w:tcBorders>
              <w:top w:val="nil"/>
              <w:left w:val="nil"/>
              <w:bottom w:val="single" w:sz="4" w:space="0" w:color="auto"/>
              <w:right w:val="nil"/>
            </w:tcBorders>
            <w:shd w:val="clear" w:color="auto" w:fill="auto"/>
            <w:noWrap/>
            <w:vAlign w:val="bottom"/>
            <w:hideMark/>
          </w:tcPr>
          <w:p w14:paraId="4352B2D1"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17,111</w:t>
            </w:r>
          </w:p>
        </w:tc>
        <w:tc>
          <w:tcPr>
            <w:tcW w:w="907" w:type="dxa"/>
            <w:tcBorders>
              <w:top w:val="nil"/>
              <w:left w:val="nil"/>
              <w:bottom w:val="single" w:sz="4" w:space="0" w:color="auto"/>
              <w:right w:val="nil"/>
            </w:tcBorders>
            <w:shd w:val="clear" w:color="auto" w:fill="auto"/>
            <w:noWrap/>
            <w:vAlign w:val="bottom"/>
            <w:hideMark/>
          </w:tcPr>
          <w:p w14:paraId="56A2E19A"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15,471</w:t>
            </w:r>
          </w:p>
        </w:tc>
        <w:tc>
          <w:tcPr>
            <w:tcW w:w="907" w:type="dxa"/>
            <w:tcBorders>
              <w:top w:val="nil"/>
              <w:left w:val="nil"/>
              <w:bottom w:val="single" w:sz="4" w:space="0" w:color="auto"/>
              <w:right w:val="nil"/>
            </w:tcBorders>
            <w:shd w:val="clear" w:color="auto" w:fill="auto"/>
            <w:noWrap/>
            <w:vAlign w:val="bottom"/>
            <w:hideMark/>
          </w:tcPr>
          <w:p w14:paraId="41B5BD71"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14,718</w:t>
            </w:r>
          </w:p>
        </w:tc>
      </w:tr>
      <w:tr w:rsidR="00D12377" w:rsidRPr="00D12377" w14:paraId="0A067A2E" w14:textId="77777777" w:rsidTr="00D12377">
        <w:trPr>
          <w:gridAfter w:val="1"/>
          <w:wAfter w:w="52" w:type="dxa"/>
          <w:trHeight w:val="283"/>
          <w:jc w:val="center"/>
        </w:trPr>
        <w:tc>
          <w:tcPr>
            <w:tcW w:w="2818" w:type="dxa"/>
            <w:tcBorders>
              <w:top w:val="nil"/>
              <w:left w:val="nil"/>
              <w:bottom w:val="nil"/>
              <w:right w:val="nil"/>
            </w:tcBorders>
            <w:shd w:val="clear" w:color="auto" w:fill="auto"/>
            <w:noWrap/>
            <w:vAlign w:val="bottom"/>
            <w:hideMark/>
          </w:tcPr>
          <w:p w14:paraId="28020878" w14:textId="77777777" w:rsidR="00D12377" w:rsidRPr="00D12377" w:rsidRDefault="00D12377" w:rsidP="00D12377">
            <w:pPr>
              <w:spacing w:after="0"/>
              <w:ind w:leftChars="75" w:left="143"/>
              <w:rPr>
                <w:rFonts w:ascii="Arial" w:hAnsi="Arial" w:cs="Arial"/>
                <w:b/>
                <w:bCs/>
                <w:color w:val="auto"/>
                <w:sz w:val="16"/>
                <w:szCs w:val="16"/>
              </w:rPr>
            </w:pPr>
            <w:r w:rsidRPr="00D12377">
              <w:rPr>
                <w:rFonts w:ascii="Arial" w:hAnsi="Arial" w:cs="Arial"/>
                <w:b/>
                <w:bCs/>
                <w:color w:val="auto"/>
                <w:sz w:val="16"/>
                <w:szCs w:val="16"/>
              </w:rPr>
              <w:t>Gains</w:t>
            </w:r>
          </w:p>
        </w:tc>
        <w:tc>
          <w:tcPr>
            <w:tcW w:w="920" w:type="dxa"/>
            <w:tcBorders>
              <w:top w:val="nil"/>
              <w:left w:val="nil"/>
              <w:bottom w:val="nil"/>
              <w:right w:val="nil"/>
            </w:tcBorders>
            <w:shd w:val="clear" w:color="auto" w:fill="auto"/>
            <w:noWrap/>
            <w:vAlign w:val="bottom"/>
            <w:hideMark/>
          </w:tcPr>
          <w:p w14:paraId="710B9C29" w14:textId="77777777" w:rsidR="00D12377" w:rsidRPr="00D12377" w:rsidRDefault="00D12377" w:rsidP="00D12377">
            <w:pPr>
              <w:spacing w:after="0"/>
              <w:ind w:firstLineChars="100" w:firstLine="160"/>
              <w:rPr>
                <w:rFonts w:ascii="Arial" w:hAnsi="Arial" w:cs="Arial"/>
                <w:b/>
                <w:bCs/>
                <w:color w:val="auto"/>
                <w:sz w:val="16"/>
                <w:szCs w:val="16"/>
              </w:rPr>
            </w:pPr>
          </w:p>
        </w:tc>
        <w:tc>
          <w:tcPr>
            <w:tcW w:w="907" w:type="dxa"/>
            <w:tcBorders>
              <w:top w:val="nil"/>
              <w:left w:val="nil"/>
              <w:bottom w:val="nil"/>
              <w:right w:val="nil"/>
            </w:tcBorders>
            <w:shd w:val="clear" w:color="000000" w:fill="D9D9D9"/>
            <w:noWrap/>
            <w:vAlign w:val="bottom"/>
            <w:hideMark/>
          </w:tcPr>
          <w:p w14:paraId="6572D66A"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 </w:t>
            </w:r>
          </w:p>
        </w:tc>
        <w:tc>
          <w:tcPr>
            <w:tcW w:w="907" w:type="dxa"/>
            <w:tcBorders>
              <w:top w:val="nil"/>
              <w:left w:val="nil"/>
              <w:bottom w:val="nil"/>
              <w:right w:val="nil"/>
            </w:tcBorders>
            <w:shd w:val="clear" w:color="auto" w:fill="auto"/>
            <w:noWrap/>
            <w:vAlign w:val="bottom"/>
            <w:hideMark/>
          </w:tcPr>
          <w:p w14:paraId="019894BA" w14:textId="77777777" w:rsidR="00D12377" w:rsidRPr="00D12377" w:rsidRDefault="00D12377" w:rsidP="00D12377">
            <w:pPr>
              <w:spacing w:after="0"/>
              <w:jc w:val="right"/>
              <w:rPr>
                <w:rFonts w:ascii="Arial" w:hAnsi="Arial" w:cs="Arial"/>
                <w:b/>
                <w:bCs/>
                <w:color w:val="auto"/>
                <w:sz w:val="16"/>
                <w:szCs w:val="16"/>
              </w:rPr>
            </w:pPr>
          </w:p>
        </w:tc>
        <w:tc>
          <w:tcPr>
            <w:tcW w:w="907" w:type="dxa"/>
            <w:tcBorders>
              <w:top w:val="nil"/>
              <w:left w:val="nil"/>
              <w:bottom w:val="nil"/>
              <w:right w:val="nil"/>
            </w:tcBorders>
            <w:shd w:val="clear" w:color="auto" w:fill="auto"/>
            <w:noWrap/>
            <w:vAlign w:val="bottom"/>
            <w:hideMark/>
          </w:tcPr>
          <w:p w14:paraId="558E4C7B" w14:textId="77777777" w:rsidR="00D12377" w:rsidRPr="00D12377" w:rsidRDefault="00D12377" w:rsidP="00D12377">
            <w:pPr>
              <w:spacing w:after="0"/>
              <w:jc w:val="right"/>
              <w:rPr>
                <w:rFonts w:ascii="Times New Roman" w:hAnsi="Times New Roman"/>
                <w:color w:val="auto"/>
                <w:sz w:val="20"/>
              </w:rPr>
            </w:pPr>
          </w:p>
        </w:tc>
        <w:tc>
          <w:tcPr>
            <w:tcW w:w="907" w:type="dxa"/>
            <w:tcBorders>
              <w:top w:val="nil"/>
              <w:left w:val="nil"/>
              <w:bottom w:val="nil"/>
              <w:right w:val="nil"/>
            </w:tcBorders>
            <w:shd w:val="clear" w:color="auto" w:fill="auto"/>
            <w:noWrap/>
            <w:vAlign w:val="bottom"/>
            <w:hideMark/>
          </w:tcPr>
          <w:p w14:paraId="4F18EB44" w14:textId="77777777" w:rsidR="00D12377" w:rsidRPr="00D12377" w:rsidRDefault="00D12377" w:rsidP="00D12377">
            <w:pPr>
              <w:spacing w:after="0"/>
              <w:jc w:val="right"/>
              <w:rPr>
                <w:rFonts w:ascii="Times New Roman" w:hAnsi="Times New Roman"/>
                <w:color w:val="auto"/>
                <w:sz w:val="20"/>
              </w:rPr>
            </w:pPr>
          </w:p>
        </w:tc>
      </w:tr>
      <w:tr w:rsidR="00D12377" w:rsidRPr="00D12377" w14:paraId="4720AFBD" w14:textId="77777777" w:rsidTr="00D12377">
        <w:trPr>
          <w:gridAfter w:val="1"/>
          <w:wAfter w:w="52" w:type="dxa"/>
          <w:trHeight w:val="225"/>
          <w:jc w:val="center"/>
        </w:trPr>
        <w:tc>
          <w:tcPr>
            <w:tcW w:w="2818" w:type="dxa"/>
            <w:tcBorders>
              <w:top w:val="nil"/>
              <w:left w:val="nil"/>
              <w:bottom w:val="nil"/>
              <w:right w:val="nil"/>
            </w:tcBorders>
            <w:shd w:val="clear" w:color="auto" w:fill="auto"/>
            <w:noWrap/>
            <w:vAlign w:val="bottom"/>
            <w:hideMark/>
          </w:tcPr>
          <w:p w14:paraId="3589EE75" w14:textId="77777777" w:rsidR="00D12377" w:rsidRPr="00D12377" w:rsidRDefault="00D12377" w:rsidP="00D12377">
            <w:pPr>
              <w:spacing w:after="0"/>
              <w:ind w:leftChars="150" w:left="285"/>
              <w:rPr>
                <w:rFonts w:ascii="Arial" w:hAnsi="Arial" w:cs="Arial"/>
                <w:color w:val="auto"/>
                <w:sz w:val="16"/>
                <w:szCs w:val="16"/>
              </w:rPr>
            </w:pPr>
            <w:r w:rsidRPr="00D12377">
              <w:rPr>
                <w:rFonts w:ascii="Arial" w:hAnsi="Arial" w:cs="Arial"/>
                <w:color w:val="auto"/>
                <w:sz w:val="16"/>
                <w:szCs w:val="16"/>
              </w:rPr>
              <w:t>Other gains</w:t>
            </w:r>
          </w:p>
        </w:tc>
        <w:tc>
          <w:tcPr>
            <w:tcW w:w="920" w:type="dxa"/>
            <w:tcBorders>
              <w:top w:val="nil"/>
              <w:left w:val="nil"/>
              <w:bottom w:val="nil"/>
              <w:right w:val="nil"/>
            </w:tcBorders>
            <w:shd w:val="clear" w:color="auto" w:fill="auto"/>
            <w:noWrap/>
            <w:vAlign w:val="bottom"/>
            <w:hideMark/>
          </w:tcPr>
          <w:p w14:paraId="078DDDBE"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2,149</w:t>
            </w:r>
          </w:p>
        </w:tc>
        <w:tc>
          <w:tcPr>
            <w:tcW w:w="907" w:type="dxa"/>
            <w:tcBorders>
              <w:top w:val="nil"/>
              <w:left w:val="nil"/>
              <w:bottom w:val="nil"/>
              <w:right w:val="nil"/>
            </w:tcBorders>
            <w:shd w:val="clear" w:color="000000" w:fill="D9D9D9"/>
            <w:noWrap/>
            <w:vAlign w:val="bottom"/>
            <w:hideMark/>
          </w:tcPr>
          <w:p w14:paraId="68807054"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w:t>
            </w:r>
          </w:p>
        </w:tc>
        <w:tc>
          <w:tcPr>
            <w:tcW w:w="907" w:type="dxa"/>
            <w:tcBorders>
              <w:top w:val="nil"/>
              <w:left w:val="nil"/>
              <w:bottom w:val="nil"/>
              <w:right w:val="nil"/>
            </w:tcBorders>
            <w:shd w:val="clear" w:color="auto" w:fill="auto"/>
            <w:noWrap/>
            <w:vAlign w:val="bottom"/>
            <w:hideMark/>
          </w:tcPr>
          <w:p w14:paraId="22622A19"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w:t>
            </w:r>
          </w:p>
        </w:tc>
        <w:tc>
          <w:tcPr>
            <w:tcW w:w="907" w:type="dxa"/>
            <w:tcBorders>
              <w:top w:val="nil"/>
              <w:left w:val="nil"/>
              <w:bottom w:val="nil"/>
              <w:right w:val="nil"/>
            </w:tcBorders>
            <w:shd w:val="clear" w:color="auto" w:fill="auto"/>
            <w:noWrap/>
            <w:vAlign w:val="bottom"/>
            <w:hideMark/>
          </w:tcPr>
          <w:p w14:paraId="2AF5C3EB"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w:t>
            </w:r>
          </w:p>
        </w:tc>
        <w:tc>
          <w:tcPr>
            <w:tcW w:w="907" w:type="dxa"/>
            <w:tcBorders>
              <w:top w:val="nil"/>
              <w:left w:val="nil"/>
              <w:bottom w:val="nil"/>
              <w:right w:val="nil"/>
            </w:tcBorders>
            <w:shd w:val="clear" w:color="auto" w:fill="auto"/>
            <w:noWrap/>
            <w:vAlign w:val="bottom"/>
            <w:hideMark/>
          </w:tcPr>
          <w:p w14:paraId="3169E91C"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w:t>
            </w:r>
          </w:p>
        </w:tc>
      </w:tr>
      <w:tr w:rsidR="00D12377" w:rsidRPr="00D12377" w14:paraId="46B423F6" w14:textId="77777777" w:rsidTr="00D12377">
        <w:trPr>
          <w:gridAfter w:val="1"/>
          <w:wAfter w:w="52" w:type="dxa"/>
          <w:trHeight w:val="225"/>
          <w:jc w:val="center"/>
        </w:trPr>
        <w:tc>
          <w:tcPr>
            <w:tcW w:w="2818" w:type="dxa"/>
            <w:tcBorders>
              <w:top w:val="nil"/>
              <w:left w:val="nil"/>
              <w:bottom w:val="nil"/>
              <w:right w:val="nil"/>
            </w:tcBorders>
            <w:shd w:val="clear" w:color="auto" w:fill="auto"/>
            <w:noWrap/>
            <w:vAlign w:val="bottom"/>
            <w:hideMark/>
          </w:tcPr>
          <w:p w14:paraId="4C02B3F6" w14:textId="77777777" w:rsidR="00D12377" w:rsidRPr="00D12377" w:rsidRDefault="00D12377" w:rsidP="00D12377">
            <w:pPr>
              <w:spacing w:after="0"/>
              <w:ind w:leftChars="150" w:left="285"/>
              <w:rPr>
                <w:rFonts w:ascii="Arial" w:hAnsi="Arial" w:cs="Arial"/>
                <w:b/>
                <w:bCs/>
                <w:color w:val="auto"/>
                <w:sz w:val="16"/>
                <w:szCs w:val="16"/>
              </w:rPr>
            </w:pPr>
            <w:r w:rsidRPr="00D12377">
              <w:rPr>
                <w:rFonts w:ascii="Arial" w:hAnsi="Arial" w:cs="Arial"/>
                <w:b/>
                <w:bCs/>
                <w:color w:val="auto"/>
                <w:sz w:val="16"/>
                <w:szCs w:val="16"/>
              </w:rPr>
              <w:t>Total gains</w:t>
            </w:r>
          </w:p>
        </w:tc>
        <w:tc>
          <w:tcPr>
            <w:tcW w:w="920" w:type="dxa"/>
            <w:tcBorders>
              <w:top w:val="nil"/>
              <w:left w:val="nil"/>
              <w:bottom w:val="nil"/>
              <w:right w:val="nil"/>
            </w:tcBorders>
            <w:shd w:val="clear" w:color="auto" w:fill="auto"/>
            <w:noWrap/>
            <w:vAlign w:val="bottom"/>
            <w:hideMark/>
          </w:tcPr>
          <w:p w14:paraId="1EBEB717"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2,149</w:t>
            </w:r>
          </w:p>
        </w:tc>
        <w:tc>
          <w:tcPr>
            <w:tcW w:w="907" w:type="dxa"/>
            <w:tcBorders>
              <w:top w:val="nil"/>
              <w:left w:val="nil"/>
              <w:bottom w:val="nil"/>
              <w:right w:val="nil"/>
            </w:tcBorders>
            <w:shd w:val="clear" w:color="000000" w:fill="D9D9D9"/>
            <w:noWrap/>
            <w:vAlign w:val="bottom"/>
            <w:hideMark/>
          </w:tcPr>
          <w:p w14:paraId="1582B537"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w:t>
            </w:r>
          </w:p>
        </w:tc>
        <w:tc>
          <w:tcPr>
            <w:tcW w:w="907" w:type="dxa"/>
            <w:tcBorders>
              <w:top w:val="nil"/>
              <w:left w:val="nil"/>
              <w:bottom w:val="nil"/>
              <w:right w:val="nil"/>
            </w:tcBorders>
            <w:shd w:val="clear" w:color="auto" w:fill="auto"/>
            <w:noWrap/>
            <w:vAlign w:val="bottom"/>
            <w:hideMark/>
          </w:tcPr>
          <w:p w14:paraId="526EB9E0"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w:t>
            </w:r>
          </w:p>
        </w:tc>
        <w:tc>
          <w:tcPr>
            <w:tcW w:w="907" w:type="dxa"/>
            <w:tcBorders>
              <w:top w:val="nil"/>
              <w:left w:val="nil"/>
              <w:bottom w:val="nil"/>
              <w:right w:val="nil"/>
            </w:tcBorders>
            <w:shd w:val="clear" w:color="auto" w:fill="auto"/>
            <w:noWrap/>
            <w:vAlign w:val="bottom"/>
            <w:hideMark/>
          </w:tcPr>
          <w:p w14:paraId="7CDD975E"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w:t>
            </w:r>
          </w:p>
        </w:tc>
        <w:tc>
          <w:tcPr>
            <w:tcW w:w="907" w:type="dxa"/>
            <w:tcBorders>
              <w:top w:val="nil"/>
              <w:left w:val="nil"/>
              <w:bottom w:val="nil"/>
              <w:right w:val="nil"/>
            </w:tcBorders>
            <w:shd w:val="clear" w:color="auto" w:fill="auto"/>
            <w:noWrap/>
            <w:vAlign w:val="bottom"/>
            <w:hideMark/>
          </w:tcPr>
          <w:p w14:paraId="5C04FEE9"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w:t>
            </w:r>
          </w:p>
        </w:tc>
      </w:tr>
      <w:tr w:rsidR="00D12377" w:rsidRPr="00D12377" w14:paraId="00C2F770" w14:textId="77777777" w:rsidTr="00D12377">
        <w:trPr>
          <w:gridAfter w:val="1"/>
          <w:wAfter w:w="52" w:type="dxa"/>
          <w:trHeight w:val="225"/>
          <w:jc w:val="center"/>
        </w:trPr>
        <w:tc>
          <w:tcPr>
            <w:tcW w:w="2818" w:type="dxa"/>
            <w:tcBorders>
              <w:top w:val="nil"/>
              <w:left w:val="nil"/>
              <w:bottom w:val="nil"/>
              <w:right w:val="nil"/>
            </w:tcBorders>
            <w:shd w:val="clear" w:color="auto" w:fill="auto"/>
            <w:noWrap/>
            <w:vAlign w:val="bottom"/>
            <w:hideMark/>
          </w:tcPr>
          <w:p w14:paraId="07D45CC0" w14:textId="77777777" w:rsidR="00D12377" w:rsidRPr="00D12377" w:rsidRDefault="00D12377" w:rsidP="00D12377">
            <w:pPr>
              <w:spacing w:after="0"/>
              <w:ind w:leftChars="75" w:left="143"/>
              <w:rPr>
                <w:rFonts w:ascii="Arial" w:hAnsi="Arial" w:cs="Arial"/>
                <w:b/>
                <w:bCs/>
                <w:color w:val="auto"/>
                <w:sz w:val="16"/>
                <w:szCs w:val="16"/>
              </w:rPr>
            </w:pPr>
            <w:r w:rsidRPr="00D12377">
              <w:rPr>
                <w:rFonts w:ascii="Arial" w:hAnsi="Arial" w:cs="Arial"/>
                <w:b/>
                <w:bCs/>
                <w:color w:val="auto"/>
                <w:sz w:val="16"/>
                <w:szCs w:val="16"/>
              </w:rPr>
              <w:t>Total own-sourced income</w:t>
            </w:r>
          </w:p>
        </w:tc>
        <w:tc>
          <w:tcPr>
            <w:tcW w:w="920" w:type="dxa"/>
            <w:tcBorders>
              <w:top w:val="nil"/>
              <w:left w:val="nil"/>
              <w:bottom w:val="single" w:sz="4" w:space="0" w:color="auto"/>
              <w:right w:val="nil"/>
            </w:tcBorders>
            <w:shd w:val="clear" w:color="auto" w:fill="auto"/>
            <w:noWrap/>
            <w:vAlign w:val="bottom"/>
            <w:hideMark/>
          </w:tcPr>
          <w:p w14:paraId="78F6F70E"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28,539</w:t>
            </w:r>
          </w:p>
        </w:tc>
        <w:tc>
          <w:tcPr>
            <w:tcW w:w="907" w:type="dxa"/>
            <w:tcBorders>
              <w:top w:val="nil"/>
              <w:left w:val="nil"/>
              <w:bottom w:val="single" w:sz="4" w:space="0" w:color="auto"/>
              <w:right w:val="nil"/>
            </w:tcBorders>
            <w:shd w:val="clear" w:color="000000" w:fill="D9D9D9"/>
            <w:noWrap/>
            <w:vAlign w:val="bottom"/>
            <w:hideMark/>
          </w:tcPr>
          <w:p w14:paraId="3570D4F7"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23,536</w:t>
            </w:r>
          </w:p>
        </w:tc>
        <w:tc>
          <w:tcPr>
            <w:tcW w:w="907" w:type="dxa"/>
            <w:tcBorders>
              <w:top w:val="nil"/>
              <w:left w:val="nil"/>
              <w:bottom w:val="single" w:sz="4" w:space="0" w:color="auto"/>
              <w:right w:val="nil"/>
            </w:tcBorders>
            <w:shd w:val="clear" w:color="auto" w:fill="auto"/>
            <w:noWrap/>
            <w:vAlign w:val="bottom"/>
            <w:hideMark/>
          </w:tcPr>
          <w:p w14:paraId="44A6CB64"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17,111</w:t>
            </w:r>
          </w:p>
        </w:tc>
        <w:tc>
          <w:tcPr>
            <w:tcW w:w="907" w:type="dxa"/>
            <w:tcBorders>
              <w:top w:val="nil"/>
              <w:left w:val="nil"/>
              <w:bottom w:val="single" w:sz="4" w:space="0" w:color="auto"/>
              <w:right w:val="nil"/>
            </w:tcBorders>
            <w:shd w:val="clear" w:color="auto" w:fill="auto"/>
            <w:noWrap/>
            <w:vAlign w:val="bottom"/>
            <w:hideMark/>
          </w:tcPr>
          <w:p w14:paraId="4DD595FE"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15,471</w:t>
            </w:r>
          </w:p>
        </w:tc>
        <w:tc>
          <w:tcPr>
            <w:tcW w:w="907" w:type="dxa"/>
            <w:tcBorders>
              <w:top w:val="nil"/>
              <w:left w:val="nil"/>
              <w:bottom w:val="single" w:sz="4" w:space="0" w:color="auto"/>
              <w:right w:val="nil"/>
            </w:tcBorders>
            <w:shd w:val="clear" w:color="auto" w:fill="auto"/>
            <w:noWrap/>
            <w:vAlign w:val="bottom"/>
            <w:hideMark/>
          </w:tcPr>
          <w:p w14:paraId="15E802E0"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14,718</w:t>
            </w:r>
          </w:p>
        </w:tc>
      </w:tr>
      <w:tr w:rsidR="00D12377" w:rsidRPr="00D12377" w14:paraId="5CA5335B" w14:textId="77777777" w:rsidTr="00D12377">
        <w:trPr>
          <w:gridAfter w:val="1"/>
          <w:wAfter w:w="52" w:type="dxa"/>
          <w:trHeight w:val="425"/>
          <w:jc w:val="center"/>
        </w:trPr>
        <w:tc>
          <w:tcPr>
            <w:tcW w:w="2818" w:type="dxa"/>
            <w:tcBorders>
              <w:top w:val="nil"/>
              <w:left w:val="nil"/>
              <w:bottom w:val="nil"/>
              <w:right w:val="nil"/>
            </w:tcBorders>
            <w:shd w:val="clear" w:color="auto" w:fill="auto"/>
            <w:vAlign w:val="bottom"/>
            <w:hideMark/>
          </w:tcPr>
          <w:p w14:paraId="529B2FAB" w14:textId="77777777" w:rsidR="00D12377" w:rsidRPr="00D12377" w:rsidRDefault="00D12377" w:rsidP="00D12377">
            <w:pPr>
              <w:spacing w:after="0"/>
              <w:rPr>
                <w:rFonts w:ascii="Arial" w:hAnsi="Arial" w:cs="Arial"/>
                <w:b/>
                <w:bCs/>
                <w:color w:val="auto"/>
                <w:sz w:val="16"/>
                <w:szCs w:val="16"/>
              </w:rPr>
            </w:pPr>
            <w:r w:rsidRPr="00D12377">
              <w:rPr>
                <w:rFonts w:ascii="Arial" w:hAnsi="Arial" w:cs="Arial"/>
                <w:b/>
                <w:bCs/>
                <w:color w:val="auto"/>
                <w:sz w:val="16"/>
                <w:szCs w:val="16"/>
              </w:rPr>
              <w:t xml:space="preserve">Net cost of (contribution by) services </w:t>
            </w:r>
          </w:p>
        </w:tc>
        <w:tc>
          <w:tcPr>
            <w:tcW w:w="920" w:type="dxa"/>
            <w:tcBorders>
              <w:top w:val="nil"/>
              <w:left w:val="nil"/>
              <w:bottom w:val="single" w:sz="4" w:space="0" w:color="auto"/>
              <w:right w:val="nil"/>
            </w:tcBorders>
            <w:shd w:val="clear" w:color="auto" w:fill="auto"/>
            <w:noWrap/>
            <w:vAlign w:val="bottom"/>
            <w:hideMark/>
          </w:tcPr>
          <w:p w14:paraId="2680A4DE"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323,468</w:t>
            </w:r>
          </w:p>
        </w:tc>
        <w:tc>
          <w:tcPr>
            <w:tcW w:w="907" w:type="dxa"/>
            <w:tcBorders>
              <w:top w:val="nil"/>
              <w:left w:val="nil"/>
              <w:bottom w:val="single" w:sz="4" w:space="0" w:color="auto"/>
              <w:right w:val="nil"/>
            </w:tcBorders>
            <w:shd w:val="clear" w:color="000000" w:fill="D9D9D9"/>
            <w:noWrap/>
            <w:vAlign w:val="bottom"/>
            <w:hideMark/>
          </w:tcPr>
          <w:p w14:paraId="30418D40"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346,783</w:t>
            </w:r>
          </w:p>
        </w:tc>
        <w:tc>
          <w:tcPr>
            <w:tcW w:w="907" w:type="dxa"/>
            <w:tcBorders>
              <w:top w:val="nil"/>
              <w:left w:val="nil"/>
              <w:bottom w:val="single" w:sz="4" w:space="0" w:color="auto"/>
              <w:right w:val="nil"/>
            </w:tcBorders>
            <w:shd w:val="clear" w:color="auto" w:fill="auto"/>
            <w:noWrap/>
            <w:vAlign w:val="bottom"/>
            <w:hideMark/>
          </w:tcPr>
          <w:p w14:paraId="5DD4975B"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354,008</w:t>
            </w:r>
          </w:p>
        </w:tc>
        <w:tc>
          <w:tcPr>
            <w:tcW w:w="907" w:type="dxa"/>
            <w:tcBorders>
              <w:top w:val="nil"/>
              <w:left w:val="nil"/>
              <w:bottom w:val="single" w:sz="4" w:space="0" w:color="auto"/>
              <w:right w:val="nil"/>
            </w:tcBorders>
            <w:shd w:val="clear" w:color="auto" w:fill="auto"/>
            <w:noWrap/>
            <w:vAlign w:val="bottom"/>
            <w:hideMark/>
          </w:tcPr>
          <w:p w14:paraId="3FBF665C"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275,559</w:t>
            </w:r>
          </w:p>
        </w:tc>
        <w:tc>
          <w:tcPr>
            <w:tcW w:w="907" w:type="dxa"/>
            <w:tcBorders>
              <w:top w:val="nil"/>
              <w:left w:val="nil"/>
              <w:bottom w:val="single" w:sz="4" w:space="0" w:color="auto"/>
              <w:right w:val="nil"/>
            </w:tcBorders>
            <w:shd w:val="clear" w:color="auto" w:fill="auto"/>
            <w:noWrap/>
            <w:vAlign w:val="bottom"/>
            <w:hideMark/>
          </w:tcPr>
          <w:p w14:paraId="2CC6AB45"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250,692</w:t>
            </w:r>
          </w:p>
        </w:tc>
      </w:tr>
      <w:tr w:rsidR="00D12377" w:rsidRPr="00D12377" w14:paraId="5CD3F7BC" w14:textId="77777777" w:rsidTr="00D12377">
        <w:trPr>
          <w:gridAfter w:val="1"/>
          <w:wAfter w:w="52" w:type="dxa"/>
          <w:trHeight w:val="283"/>
          <w:jc w:val="center"/>
        </w:trPr>
        <w:tc>
          <w:tcPr>
            <w:tcW w:w="2818" w:type="dxa"/>
            <w:tcBorders>
              <w:top w:val="nil"/>
              <w:left w:val="nil"/>
              <w:bottom w:val="nil"/>
              <w:right w:val="nil"/>
            </w:tcBorders>
            <w:shd w:val="clear" w:color="auto" w:fill="auto"/>
            <w:noWrap/>
            <w:vAlign w:val="bottom"/>
            <w:hideMark/>
          </w:tcPr>
          <w:p w14:paraId="48B01A3A" w14:textId="77777777" w:rsidR="00D12377" w:rsidRPr="00D12377" w:rsidRDefault="00D12377" w:rsidP="00D12377">
            <w:pPr>
              <w:spacing w:after="0"/>
              <w:ind w:leftChars="75" w:left="143"/>
              <w:rPr>
                <w:rFonts w:ascii="Arial" w:hAnsi="Arial" w:cs="Arial"/>
                <w:color w:val="auto"/>
                <w:sz w:val="16"/>
                <w:szCs w:val="16"/>
              </w:rPr>
            </w:pPr>
            <w:r w:rsidRPr="00D12377">
              <w:rPr>
                <w:rFonts w:ascii="Arial" w:hAnsi="Arial" w:cs="Arial"/>
                <w:color w:val="auto"/>
                <w:sz w:val="16"/>
                <w:szCs w:val="16"/>
              </w:rPr>
              <w:t>Revenue from Government</w:t>
            </w:r>
          </w:p>
        </w:tc>
        <w:tc>
          <w:tcPr>
            <w:tcW w:w="920" w:type="dxa"/>
            <w:tcBorders>
              <w:top w:val="nil"/>
              <w:left w:val="nil"/>
              <w:bottom w:val="nil"/>
              <w:right w:val="nil"/>
            </w:tcBorders>
            <w:shd w:val="clear" w:color="auto" w:fill="auto"/>
            <w:noWrap/>
            <w:vAlign w:val="bottom"/>
            <w:hideMark/>
          </w:tcPr>
          <w:p w14:paraId="26EAF9B0"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323,530</w:t>
            </w:r>
          </w:p>
        </w:tc>
        <w:tc>
          <w:tcPr>
            <w:tcW w:w="907" w:type="dxa"/>
            <w:tcBorders>
              <w:top w:val="nil"/>
              <w:left w:val="nil"/>
              <w:bottom w:val="nil"/>
              <w:right w:val="nil"/>
            </w:tcBorders>
            <w:shd w:val="clear" w:color="000000" w:fill="D9D9D9"/>
            <w:noWrap/>
            <w:vAlign w:val="bottom"/>
            <w:hideMark/>
          </w:tcPr>
          <w:p w14:paraId="1F79ADE1"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337,870</w:t>
            </w:r>
          </w:p>
        </w:tc>
        <w:tc>
          <w:tcPr>
            <w:tcW w:w="907" w:type="dxa"/>
            <w:tcBorders>
              <w:top w:val="nil"/>
              <w:left w:val="nil"/>
              <w:bottom w:val="nil"/>
              <w:right w:val="nil"/>
            </w:tcBorders>
            <w:shd w:val="clear" w:color="auto" w:fill="auto"/>
            <w:noWrap/>
            <w:vAlign w:val="bottom"/>
            <w:hideMark/>
          </w:tcPr>
          <w:p w14:paraId="1A105B85"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343,601</w:t>
            </w:r>
          </w:p>
        </w:tc>
        <w:tc>
          <w:tcPr>
            <w:tcW w:w="907" w:type="dxa"/>
            <w:tcBorders>
              <w:top w:val="nil"/>
              <w:left w:val="nil"/>
              <w:bottom w:val="nil"/>
              <w:right w:val="nil"/>
            </w:tcBorders>
            <w:shd w:val="clear" w:color="auto" w:fill="auto"/>
            <w:noWrap/>
            <w:vAlign w:val="bottom"/>
            <w:hideMark/>
          </w:tcPr>
          <w:p w14:paraId="0093BB70"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266,668</w:t>
            </w:r>
          </w:p>
        </w:tc>
        <w:tc>
          <w:tcPr>
            <w:tcW w:w="907" w:type="dxa"/>
            <w:tcBorders>
              <w:top w:val="nil"/>
              <w:left w:val="nil"/>
              <w:bottom w:val="nil"/>
              <w:right w:val="nil"/>
            </w:tcBorders>
            <w:shd w:val="clear" w:color="auto" w:fill="auto"/>
            <w:noWrap/>
            <w:vAlign w:val="bottom"/>
            <w:hideMark/>
          </w:tcPr>
          <w:p w14:paraId="3E8A5B0E"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241,799</w:t>
            </w:r>
          </w:p>
        </w:tc>
      </w:tr>
      <w:tr w:rsidR="00D12377" w:rsidRPr="00D12377" w14:paraId="7E7F7315" w14:textId="77777777" w:rsidTr="00D12377">
        <w:trPr>
          <w:gridAfter w:val="1"/>
          <w:wAfter w:w="52" w:type="dxa"/>
          <w:trHeight w:val="425"/>
          <w:jc w:val="center"/>
        </w:trPr>
        <w:tc>
          <w:tcPr>
            <w:tcW w:w="2818" w:type="dxa"/>
            <w:tcBorders>
              <w:top w:val="nil"/>
              <w:left w:val="nil"/>
              <w:bottom w:val="nil"/>
              <w:right w:val="nil"/>
            </w:tcBorders>
            <w:shd w:val="clear" w:color="auto" w:fill="auto"/>
            <w:vAlign w:val="bottom"/>
            <w:hideMark/>
          </w:tcPr>
          <w:p w14:paraId="4AD3CFD2" w14:textId="77777777" w:rsidR="00D12377" w:rsidRPr="00D12377" w:rsidRDefault="00D12377" w:rsidP="00D12377">
            <w:pPr>
              <w:spacing w:after="0"/>
              <w:rPr>
                <w:rFonts w:ascii="Arial" w:hAnsi="Arial" w:cs="Arial"/>
                <w:b/>
                <w:bCs/>
                <w:color w:val="auto"/>
                <w:sz w:val="16"/>
                <w:szCs w:val="16"/>
              </w:rPr>
            </w:pPr>
            <w:r w:rsidRPr="00D12377">
              <w:rPr>
                <w:rFonts w:ascii="Arial" w:hAnsi="Arial" w:cs="Arial"/>
                <w:b/>
                <w:bCs/>
                <w:color w:val="auto"/>
                <w:sz w:val="16"/>
                <w:szCs w:val="16"/>
              </w:rPr>
              <w:t>Surplus (deficit) attributable to the Australian Government</w:t>
            </w:r>
          </w:p>
        </w:tc>
        <w:tc>
          <w:tcPr>
            <w:tcW w:w="920" w:type="dxa"/>
            <w:tcBorders>
              <w:top w:val="nil"/>
              <w:left w:val="nil"/>
              <w:bottom w:val="single" w:sz="4" w:space="0" w:color="auto"/>
              <w:right w:val="nil"/>
            </w:tcBorders>
            <w:shd w:val="clear" w:color="auto" w:fill="auto"/>
            <w:noWrap/>
            <w:vAlign w:val="bottom"/>
            <w:hideMark/>
          </w:tcPr>
          <w:p w14:paraId="3AD8940A"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62</w:t>
            </w:r>
          </w:p>
        </w:tc>
        <w:tc>
          <w:tcPr>
            <w:tcW w:w="907" w:type="dxa"/>
            <w:tcBorders>
              <w:top w:val="nil"/>
              <w:left w:val="nil"/>
              <w:bottom w:val="single" w:sz="4" w:space="0" w:color="auto"/>
              <w:right w:val="nil"/>
            </w:tcBorders>
            <w:shd w:val="clear" w:color="000000" w:fill="D9D9D9"/>
            <w:noWrap/>
            <w:vAlign w:val="bottom"/>
            <w:hideMark/>
          </w:tcPr>
          <w:p w14:paraId="21B41AED"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(8,913)</w:t>
            </w:r>
          </w:p>
        </w:tc>
        <w:tc>
          <w:tcPr>
            <w:tcW w:w="907" w:type="dxa"/>
            <w:tcBorders>
              <w:top w:val="nil"/>
              <w:left w:val="nil"/>
              <w:bottom w:val="single" w:sz="4" w:space="0" w:color="auto"/>
              <w:right w:val="nil"/>
            </w:tcBorders>
            <w:shd w:val="clear" w:color="auto" w:fill="auto"/>
            <w:noWrap/>
            <w:vAlign w:val="bottom"/>
            <w:hideMark/>
          </w:tcPr>
          <w:p w14:paraId="1579C107"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(10,407)</w:t>
            </w:r>
          </w:p>
        </w:tc>
        <w:tc>
          <w:tcPr>
            <w:tcW w:w="907" w:type="dxa"/>
            <w:tcBorders>
              <w:top w:val="nil"/>
              <w:left w:val="nil"/>
              <w:bottom w:val="single" w:sz="4" w:space="0" w:color="auto"/>
              <w:right w:val="nil"/>
            </w:tcBorders>
            <w:shd w:val="clear" w:color="auto" w:fill="auto"/>
            <w:noWrap/>
            <w:vAlign w:val="bottom"/>
            <w:hideMark/>
          </w:tcPr>
          <w:p w14:paraId="7AEEF598"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(8,891)</w:t>
            </w:r>
          </w:p>
        </w:tc>
        <w:tc>
          <w:tcPr>
            <w:tcW w:w="907" w:type="dxa"/>
            <w:tcBorders>
              <w:top w:val="nil"/>
              <w:left w:val="nil"/>
              <w:bottom w:val="single" w:sz="4" w:space="0" w:color="auto"/>
              <w:right w:val="nil"/>
            </w:tcBorders>
            <w:shd w:val="clear" w:color="auto" w:fill="auto"/>
            <w:noWrap/>
            <w:vAlign w:val="bottom"/>
            <w:hideMark/>
          </w:tcPr>
          <w:p w14:paraId="3C50B012"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(8,893)</w:t>
            </w:r>
          </w:p>
        </w:tc>
      </w:tr>
      <w:tr w:rsidR="00D12377" w:rsidRPr="00D12377" w14:paraId="071CEB15" w14:textId="77777777" w:rsidTr="00D12377">
        <w:trPr>
          <w:gridAfter w:val="1"/>
          <w:wAfter w:w="52" w:type="dxa"/>
          <w:trHeight w:val="624"/>
          <w:jc w:val="center"/>
        </w:trPr>
        <w:tc>
          <w:tcPr>
            <w:tcW w:w="2818" w:type="dxa"/>
            <w:tcBorders>
              <w:top w:val="nil"/>
              <w:left w:val="nil"/>
              <w:bottom w:val="single" w:sz="4" w:space="0" w:color="auto"/>
              <w:right w:val="nil"/>
            </w:tcBorders>
            <w:shd w:val="clear" w:color="auto" w:fill="auto"/>
            <w:vAlign w:val="bottom"/>
            <w:hideMark/>
          </w:tcPr>
          <w:p w14:paraId="7A6EF6F1" w14:textId="77777777" w:rsidR="00D12377" w:rsidRPr="00D12377" w:rsidRDefault="00D12377" w:rsidP="00D12377">
            <w:pPr>
              <w:spacing w:after="0"/>
              <w:rPr>
                <w:rFonts w:ascii="Arial" w:hAnsi="Arial" w:cs="Arial"/>
                <w:b/>
                <w:bCs/>
                <w:color w:val="auto"/>
                <w:sz w:val="16"/>
                <w:szCs w:val="16"/>
              </w:rPr>
            </w:pPr>
            <w:r w:rsidRPr="00D12377">
              <w:rPr>
                <w:rFonts w:ascii="Arial" w:hAnsi="Arial" w:cs="Arial"/>
                <w:b/>
                <w:bCs/>
                <w:color w:val="auto"/>
                <w:sz w:val="16"/>
                <w:szCs w:val="16"/>
              </w:rPr>
              <w:t>Total comprehensive income (loss) attributable to the Australian Government</w:t>
            </w:r>
          </w:p>
        </w:tc>
        <w:tc>
          <w:tcPr>
            <w:tcW w:w="920" w:type="dxa"/>
            <w:tcBorders>
              <w:top w:val="nil"/>
              <w:left w:val="nil"/>
              <w:bottom w:val="single" w:sz="4" w:space="0" w:color="auto"/>
              <w:right w:val="nil"/>
            </w:tcBorders>
            <w:shd w:val="clear" w:color="auto" w:fill="auto"/>
            <w:noWrap/>
            <w:vAlign w:val="bottom"/>
            <w:hideMark/>
          </w:tcPr>
          <w:p w14:paraId="0E0487BF"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62</w:t>
            </w:r>
          </w:p>
        </w:tc>
        <w:tc>
          <w:tcPr>
            <w:tcW w:w="907" w:type="dxa"/>
            <w:tcBorders>
              <w:top w:val="nil"/>
              <w:left w:val="nil"/>
              <w:bottom w:val="single" w:sz="4" w:space="0" w:color="auto"/>
              <w:right w:val="nil"/>
            </w:tcBorders>
            <w:shd w:val="clear" w:color="000000" w:fill="D9D9D9"/>
            <w:noWrap/>
            <w:vAlign w:val="bottom"/>
            <w:hideMark/>
          </w:tcPr>
          <w:p w14:paraId="5ED8582B"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(8,913)</w:t>
            </w:r>
          </w:p>
        </w:tc>
        <w:tc>
          <w:tcPr>
            <w:tcW w:w="907" w:type="dxa"/>
            <w:tcBorders>
              <w:top w:val="nil"/>
              <w:left w:val="nil"/>
              <w:bottom w:val="single" w:sz="4" w:space="0" w:color="auto"/>
              <w:right w:val="nil"/>
            </w:tcBorders>
            <w:shd w:val="clear" w:color="auto" w:fill="auto"/>
            <w:noWrap/>
            <w:vAlign w:val="bottom"/>
            <w:hideMark/>
          </w:tcPr>
          <w:p w14:paraId="2CBB42CA"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(10,407)</w:t>
            </w:r>
          </w:p>
        </w:tc>
        <w:tc>
          <w:tcPr>
            <w:tcW w:w="907" w:type="dxa"/>
            <w:tcBorders>
              <w:top w:val="nil"/>
              <w:left w:val="nil"/>
              <w:bottom w:val="single" w:sz="4" w:space="0" w:color="auto"/>
              <w:right w:val="nil"/>
            </w:tcBorders>
            <w:shd w:val="clear" w:color="auto" w:fill="auto"/>
            <w:noWrap/>
            <w:vAlign w:val="bottom"/>
            <w:hideMark/>
          </w:tcPr>
          <w:p w14:paraId="26FDF8B4"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(8,891)</w:t>
            </w:r>
          </w:p>
        </w:tc>
        <w:tc>
          <w:tcPr>
            <w:tcW w:w="907" w:type="dxa"/>
            <w:tcBorders>
              <w:top w:val="nil"/>
              <w:left w:val="nil"/>
              <w:bottom w:val="single" w:sz="4" w:space="0" w:color="auto"/>
              <w:right w:val="nil"/>
            </w:tcBorders>
            <w:shd w:val="clear" w:color="auto" w:fill="auto"/>
            <w:noWrap/>
            <w:vAlign w:val="bottom"/>
            <w:hideMark/>
          </w:tcPr>
          <w:p w14:paraId="783AE981"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(8,893)</w:t>
            </w:r>
          </w:p>
        </w:tc>
      </w:tr>
      <w:tr w:rsidR="00D12377" w:rsidRPr="00D12377" w14:paraId="7B082DFF" w14:textId="77777777" w:rsidTr="00D12377">
        <w:trPr>
          <w:trHeight w:val="300"/>
          <w:jc w:val="center"/>
        </w:trPr>
        <w:tc>
          <w:tcPr>
            <w:tcW w:w="7418" w:type="dxa"/>
            <w:gridSpan w:val="7"/>
            <w:tcBorders>
              <w:top w:val="nil"/>
              <w:left w:val="nil"/>
              <w:bottom w:val="single" w:sz="4" w:space="0" w:color="auto"/>
              <w:right w:val="nil"/>
            </w:tcBorders>
            <w:shd w:val="clear" w:color="auto" w:fill="auto"/>
            <w:noWrap/>
            <w:vAlign w:val="bottom"/>
            <w:hideMark/>
          </w:tcPr>
          <w:p w14:paraId="2C740C4A" w14:textId="77777777" w:rsidR="00D12377" w:rsidRPr="00D12377" w:rsidRDefault="00D12377" w:rsidP="00D12377">
            <w:pPr>
              <w:spacing w:after="0"/>
              <w:rPr>
                <w:rFonts w:ascii="Arial" w:hAnsi="Arial" w:cs="Arial"/>
                <w:b/>
                <w:bCs/>
                <w:sz w:val="16"/>
                <w:szCs w:val="16"/>
              </w:rPr>
            </w:pPr>
            <w:r w:rsidRPr="00D12377">
              <w:rPr>
                <w:rFonts w:ascii="Arial" w:hAnsi="Arial" w:cs="Arial"/>
                <w:b/>
                <w:bCs/>
                <w:sz w:val="16"/>
                <w:szCs w:val="16"/>
              </w:rPr>
              <w:t>Note: Reconciliation of comprehensive income attributable to the entity</w:t>
            </w:r>
          </w:p>
        </w:tc>
      </w:tr>
      <w:tr w:rsidR="00D12377" w:rsidRPr="00D12377" w14:paraId="47B09D1C" w14:textId="77777777" w:rsidTr="00D12377">
        <w:trPr>
          <w:gridAfter w:val="1"/>
          <w:wAfter w:w="52" w:type="dxa"/>
          <w:trHeight w:val="408"/>
          <w:jc w:val="center"/>
        </w:trPr>
        <w:tc>
          <w:tcPr>
            <w:tcW w:w="2818" w:type="dxa"/>
            <w:tcBorders>
              <w:top w:val="nil"/>
              <w:left w:val="nil"/>
              <w:bottom w:val="nil"/>
              <w:right w:val="nil"/>
            </w:tcBorders>
            <w:shd w:val="clear" w:color="auto" w:fill="auto"/>
            <w:vAlign w:val="bottom"/>
            <w:hideMark/>
          </w:tcPr>
          <w:p w14:paraId="03D99BE8" w14:textId="77777777" w:rsidR="00D12377" w:rsidRPr="00D12377" w:rsidRDefault="00D12377" w:rsidP="00D12377">
            <w:pPr>
              <w:spacing w:after="0"/>
              <w:rPr>
                <w:rFonts w:ascii="Arial" w:hAnsi="Arial" w:cs="Arial"/>
                <w:b/>
                <w:bCs/>
                <w:sz w:val="16"/>
                <w:szCs w:val="16"/>
              </w:rPr>
            </w:pPr>
          </w:p>
        </w:tc>
        <w:tc>
          <w:tcPr>
            <w:tcW w:w="920" w:type="dxa"/>
            <w:tcBorders>
              <w:top w:val="nil"/>
              <w:left w:val="nil"/>
              <w:bottom w:val="single" w:sz="4" w:space="0" w:color="auto"/>
              <w:right w:val="nil"/>
            </w:tcBorders>
            <w:shd w:val="clear" w:color="auto" w:fill="auto"/>
            <w:vAlign w:val="bottom"/>
            <w:hideMark/>
          </w:tcPr>
          <w:p w14:paraId="4E3EC7F5"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2021–22</w:t>
            </w:r>
            <w:r w:rsidRPr="00D12377">
              <w:rPr>
                <w:rFonts w:ascii="Arial" w:hAnsi="Arial" w:cs="Arial"/>
                <w:b/>
                <w:bCs/>
                <w:color w:val="auto"/>
                <w:sz w:val="16"/>
                <w:szCs w:val="16"/>
              </w:rPr>
              <w:br/>
            </w:r>
            <w:r w:rsidRPr="00D12377">
              <w:rPr>
                <w:rFonts w:ascii="Arial" w:hAnsi="Arial" w:cs="Arial"/>
                <w:color w:val="auto"/>
                <w:sz w:val="16"/>
                <w:szCs w:val="16"/>
              </w:rPr>
              <w:t>$'000</w:t>
            </w:r>
          </w:p>
        </w:tc>
        <w:tc>
          <w:tcPr>
            <w:tcW w:w="907" w:type="dxa"/>
            <w:tcBorders>
              <w:top w:val="nil"/>
              <w:left w:val="nil"/>
              <w:bottom w:val="single" w:sz="4" w:space="0" w:color="auto"/>
              <w:right w:val="nil"/>
            </w:tcBorders>
            <w:shd w:val="clear" w:color="000000" w:fill="D9D9D9"/>
            <w:vAlign w:val="bottom"/>
            <w:hideMark/>
          </w:tcPr>
          <w:p w14:paraId="5989D014"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2022–23</w:t>
            </w:r>
            <w:r w:rsidRPr="00D12377">
              <w:rPr>
                <w:rFonts w:ascii="Arial" w:hAnsi="Arial" w:cs="Arial"/>
                <w:b/>
                <w:bCs/>
                <w:color w:val="auto"/>
                <w:sz w:val="16"/>
                <w:szCs w:val="16"/>
              </w:rPr>
              <w:br/>
            </w:r>
            <w:r w:rsidRPr="00D12377">
              <w:rPr>
                <w:rFonts w:ascii="Arial" w:hAnsi="Arial" w:cs="Arial"/>
                <w:color w:val="auto"/>
                <w:sz w:val="16"/>
                <w:szCs w:val="16"/>
              </w:rPr>
              <w:t>$'000</w:t>
            </w:r>
          </w:p>
        </w:tc>
        <w:tc>
          <w:tcPr>
            <w:tcW w:w="907" w:type="dxa"/>
            <w:tcBorders>
              <w:top w:val="nil"/>
              <w:left w:val="nil"/>
              <w:bottom w:val="single" w:sz="4" w:space="0" w:color="auto"/>
              <w:right w:val="nil"/>
            </w:tcBorders>
            <w:shd w:val="clear" w:color="auto" w:fill="auto"/>
            <w:vAlign w:val="bottom"/>
            <w:hideMark/>
          </w:tcPr>
          <w:p w14:paraId="17007373"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2023–24</w:t>
            </w:r>
            <w:r w:rsidRPr="00D12377">
              <w:rPr>
                <w:rFonts w:ascii="Arial" w:hAnsi="Arial" w:cs="Arial"/>
                <w:b/>
                <w:bCs/>
                <w:color w:val="auto"/>
                <w:sz w:val="16"/>
                <w:szCs w:val="16"/>
              </w:rPr>
              <w:br/>
            </w:r>
            <w:r w:rsidRPr="00D12377">
              <w:rPr>
                <w:rFonts w:ascii="Arial" w:hAnsi="Arial" w:cs="Arial"/>
                <w:color w:val="auto"/>
                <w:sz w:val="16"/>
                <w:szCs w:val="16"/>
              </w:rPr>
              <w:t>$'000</w:t>
            </w:r>
          </w:p>
        </w:tc>
        <w:tc>
          <w:tcPr>
            <w:tcW w:w="907" w:type="dxa"/>
            <w:tcBorders>
              <w:top w:val="nil"/>
              <w:left w:val="nil"/>
              <w:bottom w:val="single" w:sz="4" w:space="0" w:color="auto"/>
              <w:right w:val="nil"/>
            </w:tcBorders>
            <w:shd w:val="clear" w:color="auto" w:fill="auto"/>
            <w:vAlign w:val="bottom"/>
            <w:hideMark/>
          </w:tcPr>
          <w:p w14:paraId="0759B0A3"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2024–25</w:t>
            </w:r>
            <w:r w:rsidRPr="00D12377">
              <w:rPr>
                <w:rFonts w:ascii="Arial" w:hAnsi="Arial" w:cs="Arial"/>
                <w:b/>
                <w:bCs/>
                <w:color w:val="auto"/>
                <w:sz w:val="16"/>
                <w:szCs w:val="16"/>
              </w:rPr>
              <w:br/>
            </w:r>
            <w:r w:rsidRPr="00D12377">
              <w:rPr>
                <w:rFonts w:ascii="Arial" w:hAnsi="Arial" w:cs="Arial"/>
                <w:color w:val="auto"/>
                <w:sz w:val="16"/>
                <w:szCs w:val="16"/>
              </w:rPr>
              <w:t>$'000</w:t>
            </w:r>
          </w:p>
        </w:tc>
        <w:tc>
          <w:tcPr>
            <w:tcW w:w="907" w:type="dxa"/>
            <w:tcBorders>
              <w:top w:val="nil"/>
              <w:left w:val="nil"/>
              <w:bottom w:val="single" w:sz="4" w:space="0" w:color="auto"/>
              <w:right w:val="nil"/>
            </w:tcBorders>
            <w:shd w:val="clear" w:color="auto" w:fill="auto"/>
            <w:vAlign w:val="bottom"/>
            <w:hideMark/>
          </w:tcPr>
          <w:p w14:paraId="16DA16FD"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2025–26</w:t>
            </w:r>
            <w:r w:rsidRPr="00D12377">
              <w:rPr>
                <w:rFonts w:ascii="Arial" w:hAnsi="Arial" w:cs="Arial"/>
                <w:b/>
                <w:bCs/>
                <w:color w:val="auto"/>
                <w:sz w:val="16"/>
                <w:szCs w:val="16"/>
              </w:rPr>
              <w:br/>
            </w:r>
            <w:r w:rsidRPr="00D12377">
              <w:rPr>
                <w:rFonts w:ascii="Arial" w:hAnsi="Arial" w:cs="Arial"/>
                <w:color w:val="auto"/>
                <w:sz w:val="16"/>
                <w:szCs w:val="16"/>
              </w:rPr>
              <w:t>$'000</w:t>
            </w:r>
          </w:p>
        </w:tc>
      </w:tr>
      <w:tr w:rsidR="00D12377" w:rsidRPr="00D12377" w14:paraId="064902C3" w14:textId="77777777" w:rsidTr="00D12377">
        <w:trPr>
          <w:gridAfter w:val="1"/>
          <w:wAfter w:w="52" w:type="dxa"/>
          <w:trHeight w:val="624"/>
          <w:jc w:val="center"/>
        </w:trPr>
        <w:tc>
          <w:tcPr>
            <w:tcW w:w="2818" w:type="dxa"/>
            <w:tcBorders>
              <w:top w:val="nil"/>
              <w:left w:val="nil"/>
              <w:bottom w:val="nil"/>
              <w:right w:val="nil"/>
            </w:tcBorders>
            <w:shd w:val="clear" w:color="auto" w:fill="auto"/>
            <w:vAlign w:val="bottom"/>
            <w:hideMark/>
          </w:tcPr>
          <w:p w14:paraId="5D8813A9" w14:textId="77777777" w:rsidR="00D12377" w:rsidRPr="00D12377" w:rsidRDefault="00D12377" w:rsidP="00D12377">
            <w:pPr>
              <w:spacing w:after="0"/>
              <w:rPr>
                <w:rFonts w:ascii="Arial" w:hAnsi="Arial" w:cs="Arial"/>
                <w:b/>
                <w:bCs/>
                <w:color w:val="auto"/>
                <w:sz w:val="16"/>
                <w:szCs w:val="16"/>
              </w:rPr>
            </w:pPr>
            <w:r w:rsidRPr="00D12377">
              <w:rPr>
                <w:rFonts w:ascii="Arial" w:hAnsi="Arial" w:cs="Arial"/>
                <w:b/>
                <w:bCs/>
                <w:color w:val="auto"/>
                <w:sz w:val="16"/>
                <w:szCs w:val="16"/>
              </w:rPr>
              <w:t>Total comprehensive income (loss) attributable to the Australian Government</w:t>
            </w:r>
          </w:p>
        </w:tc>
        <w:tc>
          <w:tcPr>
            <w:tcW w:w="920" w:type="dxa"/>
            <w:tcBorders>
              <w:top w:val="nil"/>
              <w:left w:val="nil"/>
              <w:bottom w:val="nil"/>
              <w:right w:val="nil"/>
            </w:tcBorders>
            <w:shd w:val="clear" w:color="auto" w:fill="auto"/>
            <w:noWrap/>
            <w:vAlign w:val="bottom"/>
            <w:hideMark/>
          </w:tcPr>
          <w:p w14:paraId="48672817"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62</w:t>
            </w:r>
          </w:p>
        </w:tc>
        <w:tc>
          <w:tcPr>
            <w:tcW w:w="907" w:type="dxa"/>
            <w:tcBorders>
              <w:top w:val="nil"/>
              <w:left w:val="nil"/>
              <w:bottom w:val="nil"/>
              <w:right w:val="nil"/>
            </w:tcBorders>
            <w:shd w:val="clear" w:color="000000" w:fill="D9D9D9"/>
            <w:noWrap/>
            <w:vAlign w:val="bottom"/>
            <w:hideMark/>
          </w:tcPr>
          <w:p w14:paraId="3879D133"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(8,913)</w:t>
            </w:r>
          </w:p>
        </w:tc>
        <w:tc>
          <w:tcPr>
            <w:tcW w:w="907" w:type="dxa"/>
            <w:tcBorders>
              <w:top w:val="nil"/>
              <w:left w:val="nil"/>
              <w:bottom w:val="nil"/>
              <w:right w:val="nil"/>
            </w:tcBorders>
            <w:shd w:val="clear" w:color="auto" w:fill="auto"/>
            <w:noWrap/>
            <w:vAlign w:val="bottom"/>
            <w:hideMark/>
          </w:tcPr>
          <w:p w14:paraId="345B5903"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(10,407)</w:t>
            </w:r>
          </w:p>
        </w:tc>
        <w:tc>
          <w:tcPr>
            <w:tcW w:w="907" w:type="dxa"/>
            <w:tcBorders>
              <w:top w:val="nil"/>
              <w:left w:val="nil"/>
              <w:bottom w:val="nil"/>
              <w:right w:val="nil"/>
            </w:tcBorders>
            <w:shd w:val="clear" w:color="auto" w:fill="auto"/>
            <w:noWrap/>
            <w:vAlign w:val="bottom"/>
            <w:hideMark/>
          </w:tcPr>
          <w:p w14:paraId="2F728682"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(8,891)</w:t>
            </w:r>
          </w:p>
        </w:tc>
        <w:tc>
          <w:tcPr>
            <w:tcW w:w="907" w:type="dxa"/>
            <w:tcBorders>
              <w:top w:val="nil"/>
              <w:left w:val="nil"/>
              <w:bottom w:val="nil"/>
              <w:right w:val="nil"/>
            </w:tcBorders>
            <w:shd w:val="clear" w:color="auto" w:fill="auto"/>
            <w:noWrap/>
            <w:vAlign w:val="bottom"/>
            <w:hideMark/>
          </w:tcPr>
          <w:p w14:paraId="579EE877"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(8,893)</w:t>
            </w:r>
          </w:p>
        </w:tc>
      </w:tr>
      <w:tr w:rsidR="00D12377" w:rsidRPr="00D12377" w14:paraId="78FEC9C6" w14:textId="77777777" w:rsidTr="00D12377">
        <w:trPr>
          <w:gridAfter w:val="1"/>
          <w:wAfter w:w="52" w:type="dxa"/>
          <w:trHeight w:val="454"/>
          <w:jc w:val="center"/>
        </w:trPr>
        <w:tc>
          <w:tcPr>
            <w:tcW w:w="2818" w:type="dxa"/>
            <w:tcBorders>
              <w:top w:val="nil"/>
              <w:left w:val="nil"/>
              <w:bottom w:val="nil"/>
              <w:right w:val="nil"/>
            </w:tcBorders>
            <w:shd w:val="clear" w:color="auto" w:fill="auto"/>
            <w:vAlign w:val="bottom"/>
            <w:hideMark/>
          </w:tcPr>
          <w:p w14:paraId="39FBAB09" w14:textId="77777777" w:rsidR="00D12377" w:rsidRPr="00D12377" w:rsidRDefault="00D12377" w:rsidP="00D12377">
            <w:pPr>
              <w:spacing w:after="0"/>
              <w:ind w:leftChars="75" w:left="143"/>
              <w:rPr>
                <w:rFonts w:ascii="Arial" w:hAnsi="Arial" w:cs="Arial"/>
                <w:sz w:val="16"/>
                <w:szCs w:val="16"/>
              </w:rPr>
            </w:pPr>
            <w:r w:rsidRPr="00D12377">
              <w:rPr>
                <w:rFonts w:ascii="Arial" w:hAnsi="Arial" w:cs="Arial"/>
                <w:sz w:val="16"/>
                <w:szCs w:val="16"/>
              </w:rPr>
              <w:t xml:space="preserve">plus depreciation and amortisation expenses for </w:t>
            </w:r>
            <w:proofErr w:type="spellStart"/>
            <w:r w:rsidRPr="00D12377">
              <w:rPr>
                <w:rFonts w:ascii="Arial" w:hAnsi="Arial" w:cs="Arial"/>
                <w:sz w:val="16"/>
                <w:szCs w:val="16"/>
              </w:rPr>
              <w:t>RoU</w:t>
            </w:r>
            <w:proofErr w:type="spellEnd"/>
          </w:p>
        </w:tc>
        <w:tc>
          <w:tcPr>
            <w:tcW w:w="920" w:type="dxa"/>
            <w:tcBorders>
              <w:top w:val="nil"/>
              <w:left w:val="nil"/>
              <w:bottom w:val="nil"/>
              <w:right w:val="nil"/>
            </w:tcBorders>
            <w:shd w:val="clear" w:color="auto" w:fill="auto"/>
            <w:noWrap/>
            <w:vAlign w:val="bottom"/>
            <w:hideMark/>
          </w:tcPr>
          <w:p w14:paraId="06DD5AF4"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744</w:t>
            </w:r>
          </w:p>
        </w:tc>
        <w:tc>
          <w:tcPr>
            <w:tcW w:w="907" w:type="dxa"/>
            <w:tcBorders>
              <w:top w:val="nil"/>
              <w:left w:val="nil"/>
              <w:bottom w:val="nil"/>
              <w:right w:val="nil"/>
            </w:tcBorders>
            <w:shd w:val="clear" w:color="000000" w:fill="D9D9D9"/>
            <w:noWrap/>
            <w:vAlign w:val="bottom"/>
            <w:hideMark/>
          </w:tcPr>
          <w:p w14:paraId="74F6FE95"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730</w:t>
            </w:r>
          </w:p>
        </w:tc>
        <w:tc>
          <w:tcPr>
            <w:tcW w:w="907" w:type="dxa"/>
            <w:tcBorders>
              <w:top w:val="nil"/>
              <w:left w:val="nil"/>
              <w:bottom w:val="nil"/>
              <w:right w:val="nil"/>
            </w:tcBorders>
            <w:shd w:val="clear" w:color="auto" w:fill="auto"/>
            <w:noWrap/>
            <w:vAlign w:val="bottom"/>
            <w:hideMark/>
          </w:tcPr>
          <w:p w14:paraId="42917FF5"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730</w:t>
            </w:r>
          </w:p>
        </w:tc>
        <w:tc>
          <w:tcPr>
            <w:tcW w:w="907" w:type="dxa"/>
            <w:tcBorders>
              <w:top w:val="nil"/>
              <w:left w:val="nil"/>
              <w:bottom w:val="nil"/>
              <w:right w:val="nil"/>
            </w:tcBorders>
            <w:shd w:val="clear" w:color="auto" w:fill="auto"/>
            <w:noWrap/>
            <w:vAlign w:val="bottom"/>
            <w:hideMark/>
          </w:tcPr>
          <w:p w14:paraId="62E6AE26"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700</w:t>
            </w:r>
          </w:p>
        </w:tc>
        <w:tc>
          <w:tcPr>
            <w:tcW w:w="907" w:type="dxa"/>
            <w:tcBorders>
              <w:top w:val="nil"/>
              <w:left w:val="nil"/>
              <w:bottom w:val="nil"/>
              <w:right w:val="nil"/>
            </w:tcBorders>
            <w:shd w:val="clear" w:color="auto" w:fill="auto"/>
            <w:noWrap/>
            <w:vAlign w:val="bottom"/>
            <w:hideMark/>
          </w:tcPr>
          <w:p w14:paraId="46B3C0F8"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575</w:t>
            </w:r>
          </w:p>
        </w:tc>
      </w:tr>
      <w:tr w:rsidR="00D12377" w:rsidRPr="00D12377" w14:paraId="70DA1AE7" w14:textId="77777777" w:rsidTr="00D12377">
        <w:trPr>
          <w:gridAfter w:val="1"/>
          <w:wAfter w:w="52" w:type="dxa"/>
          <w:trHeight w:val="227"/>
          <w:jc w:val="center"/>
        </w:trPr>
        <w:tc>
          <w:tcPr>
            <w:tcW w:w="2818" w:type="dxa"/>
            <w:tcBorders>
              <w:top w:val="nil"/>
              <w:left w:val="nil"/>
              <w:bottom w:val="nil"/>
              <w:right w:val="nil"/>
            </w:tcBorders>
            <w:shd w:val="clear" w:color="auto" w:fill="auto"/>
            <w:vAlign w:val="bottom"/>
            <w:hideMark/>
          </w:tcPr>
          <w:p w14:paraId="618FAF68" w14:textId="77777777" w:rsidR="00D12377" w:rsidRPr="00D12377" w:rsidRDefault="00D12377" w:rsidP="00D12377">
            <w:pPr>
              <w:spacing w:after="0"/>
              <w:ind w:leftChars="75" w:left="143"/>
              <w:rPr>
                <w:rFonts w:ascii="Arial" w:hAnsi="Arial" w:cs="Arial"/>
                <w:sz w:val="16"/>
                <w:szCs w:val="16"/>
              </w:rPr>
            </w:pPr>
            <w:r w:rsidRPr="00D12377">
              <w:rPr>
                <w:rFonts w:ascii="Arial" w:hAnsi="Arial" w:cs="Arial"/>
                <w:sz w:val="16"/>
                <w:szCs w:val="16"/>
              </w:rPr>
              <w:t>less lease principal repayments</w:t>
            </w:r>
          </w:p>
        </w:tc>
        <w:tc>
          <w:tcPr>
            <w:tcW w:w="920" w:type="dxa"/>
            <w:tcBorders>
              <w:top w:val="nil"/>
              <w:left w:val="nil"/>
              <w:bottom w:val="nil"/>
              <w:right w:val="nil"/>
            </w:tcBorders>
            <w:shd w:val="clear" w:color="auto" w:fill="auto"/>
            <w:noWrap/>
            <w:vAlign w:val="bottom"/>
            <w:hideMark/>
          </w:tcPr>
          <w:p w14:paraId="604919FF"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(329)</w:t>
            </w:r>
          </w:p>
        </w:tc>
        <w:tc>
          <w:tcPr>
            <w:tcW w:w="907" w:type="dxa"/>
            <w:tcBorders>
              <w:top w:val="nil"/>
              <w:left w:val="nil"/>
              <w:bottom w:val="nil"/>
              <w:right w:val="nil"/>
            </w:tcBorders>
            <w:shd w:val="clear" w:color="000000" w:fill="D9D9D9"/>
            <w:noWrap/>
            <w:vAlign w:val="bottom"/>
            <w:hideMark/>
          </w:tcPr>
          <w:p w14:paraId="6F773715"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(775)</w:t>
            </w:r>
          </w:p>
        </w:tc>
        <w:tc>
          <w:tcPr>
            <w:tcW w:w="907" w:type="dxa"/>
            <w:tcBorders>
              <w:top w:val="nil"/>
              <w:left w:val="nil"/>
              <w:bottom w:val="nil"/>
              <w:right w:val="nil"/>
            </w:tcBorders>
            <w:shd w:val="clear" w:color="auto" w:fill="auto"/>
            <w:noWrap/>
            <w:vAlign w:val="bottom"/>
            <w:hideMark/>
          </w:tcPr>
          <w:p w14:paraId="4B890C9A"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(781)</w:t>
            </w:r>
          </w:p>
        </w:tc>
        <w:tc>
          <w:tcPr>
            <w:tcW w:w="907" w:type="dxa"/>
            <w:tcBorders>
              <w:top w:val="nil"/>
              <w:left w:val="nil"/>
              <w:bottom w:val="nil"/>
              <w:right w:val="nil"/>
            </w:tcBorders>
            <w:shd w:val="clear" w:color="auto" w:fill="auto"/>
            <w:noWrap/>
            <w:vAlign w:val="bottom"/>
            <w:hideMark/>
          </w:tcPr>
          <w:p w14:paraId="63B5400B"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(767)</w:t>
            </w:r>
          </w:p>
        </w:tc>
        <w:tc>
          <w:tcPr>
            <w:tcW w:w="907" w:type="dxa"/>
            <w:tcBorders>
              <w:top w:val="nil"/>
              <w:left w:val="nil"/>
              <w:bottom w:val="nil"/>
              <w:right w:val="nil"/>
            </w:tcBorders>
            <w:shd w:val="clear" w:color="auto" w:fill="auto"/>
            <w:noWrap/>
            <w:vAlign w:val="bottom"/>
            <w:hideMark/>
          </w:tcPr>
          <w:p w14:paraId="3B66C681"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(640)</w:t>
            </w:r>
          </w:p>
        </w:tc>
      </w:tr>
      <w:tr w:rsidR="00D12377" w:rsidRPr="00D12377" w14:paraId="26A53B33" w14:textId="77777777" w:rsidTr="00D12377">
        <w:trPr>
          <w:gridAfter w:val="1"/>
          <w:wAfter w:w="52" w:type="dxa"/>
          <w:trHeight w:val="454"/>
          <w:jc w:val="center"/>
        </w:trPr>
        <w:tc>
          <w:tcPr>
            <w:tcW w:w="2818" w:type="dxa"/>
            <w:tcBorders>
              <w:top w:val="nil"/>
              <w:left w:val="nil"/>
              <w:bottom w:val="single" w:sz="4" w:space="0" w:color="auto"/>
              <w:right w:val="nil"/>
            </w:tcBorders>
            <w:shd w:val="clear" w:color="auto" w:fill="auto"/>
            <w:vAlign w:val="bottom"/>
            <w:hideMark/>
          </w:tcPr>
          <w:p w14:paraId="7A46FA2A" w14:textId="77777777" w:rsidR="00D12377" w:rsidRPr="00D12377" w:rsidRDefault="00D12377" w:rsidP="00D12377">
            <w:pPr>
              <w:spacing w:after="0"/>
              <w:rPr>
                <w:rFonts w:ascii="Arial" w:hAnsi="Arial" w:cs="Arial"/>
                <w:b/>
                <w:bCs/>
                <w:color w:val="auto"/>
                <w:sz w:val="16"/>
                <w:szCs w:val="16"/>
              </w:rPr>
            </w:pPr>
            <w:r w:rsidRPr="00D12377">
              <w:rPr>
                <w:rFonts w:ascii="Arial" w:hAnsi="Arial" w:cs="Arial"/>
                <w:b/>
                <w:bCs/>
                <w:color w:val="auto"/>
                <w:sz w:val="16"/>
                <w:szCs w:val="16"/>
              </w:rPr>
              <w:t>Total comprehensive income (loss) attributable to the agency</w:t>
            </w:r>
          </w:p>
        </w:tc>
        <w:tc>
          <w:tcPr>
            <w:tcW w:w="920" w:type="dxa"/>
            <w:tcBorders>
              <w:top w:val="nil"/>
              <w:left w:val="nil"/>
              <w:bottom w:val="single" w:sz="4" w:space="0" w:color="auto"/>
              <w:right w:val="nil"/>
            </w:tcBorders>
            <w:shd w:val="clear" w:color="auto" w:fill="auto"/>
            <w:noWrap/>
            <w:vAlign w:val="bottom"/>
            <w:hideMark/>
          </w:tcPr>
          <w:p w14:paraId="0FF80CFB"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477</w:t>
            </w:r>
          </w:p>
        </w:tc>
        <w:tc>
          <w:tcPr>
            <w:tcW w:w="907" w:type="dxa"/>
            <w:tcBorders>
              <w:top w:val="nil"/>
              <w:left w:val="nil"/>
              <w:bottom w:val="single" w:sz="4" w:space="0" w:color="auto"/>
              <w:right w:val="nil"/>
            </w:tcBorders>
            <w:shd w:val="clear" w:color="000000" w:fill="D9D9D9"/>
            <w:noWrap/>
            <w:vAlign w:val="bottom"/>
            <w:hideMark/>
          </w:tcPr>
          <w:p w14:paraId="3A16A611"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(8,958)</w:t>
            </w:r>
          </w:p>
        </w:tc>
        <w:tc>
          <w:tcPr>
            <w:tcW w:w="907" w:type="dxa"/>
            <w:tcBorders>
              <w:top w:val="nil"/>
              <w:left w:val="nil"/>
              <w:bottom w:val="single" w:sz="4" w:space="0" w:color="auto"/>
              <w:right w:val="nil"/>
            </w:tcBorders>
            <w:shd w:val="clear" w:color="auto" w:fill="auto"/>
            <w:noWrap/>
            <w:vAlign w:val="bottom"/>
            <w:hideMark/>
          </w:tcPr>
          <w:p w14:paraId="11EDAC73"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(10,458)</w:t>
            </w:r>
          </w:p>
        </w:tc>
        <w:tc>
          <w:tcPr>
            <w:tcW w:w="907" w:type="dxa"/>
            <w:tcBorders>
              <w:top w:val="nil"/>
              <w:left w:val="nil"/>
              <w:bottom w:val="single" w:sz="4" w:space="0" w:color="auto"/>
              <w:right w:val="nil"/>
            </w:tcBorders>
            <w:shd w:val="clear" w:color="auto" w:fill="auto"/>
            <w:noWrap/>
            <w:vAlign w:val="bottom"/>
            <w:hideMark/>
          </w:tcPr>
          <w:p w14:paraId="65FD7C2F"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(8,958)</w:t>
            </w:r>
          </w:p>
        </w:tc>
        <w:tc>
          <w:tcPr>
            <w:tcW w:w="907" w:type="dxa"/>
            <w:tcBorders>
              <w:top w:val="nil"/>
              <w:left w:val="nil"/>
              <w:bottom w:val="single" w:sz="4" w:space="0" w:color="auto"/>
              <w:right w:val="nil"/>
            </w:tcBorders>
            <w:shd w:val="clear" w:color="auto" w:fill="auto"/>
            <w:noWrap/>
            <w:vAlign w:val="bottom"/>
            <w:hideMark/>
          </w:tcPr>
          <w:p w14:paraId="4892110F"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(8,958)</w:t>
            </w:r>
          </w:p>
        </w:tc>
      </w:tr>
    </w:tbl>
    <w:p w14:paraId="061DB3AB" w14:textId="118D9DAA" w:rsidR="00D12377" w:rsidRDefault="00D12377" w:rsidP="00D12377">
      <w:pPr>
        <w:pStyle w:val="FootnoteText"/>
        <w:spacing w:before="120"/>
        <w:rPr>
          <w:lang w:eastAsia="en-US"/>
        </w:rPr>
      </w:pPr>
      <w:proofErr w:type="spellStart"/>
      <w:r w:rsidRPr="00D12377">
        <w:rPr>
          <w:lang w:eastAsia="en-US"/>
        </w:rPr>
        <w:t>RoU</w:t>
      </w:r>
      <w:proofErr w:type="spellEnd"/>
      <w:r w:rsidRPr="00D12377">
        <w:rPr>
          <w:lang w:eastAsia="en-US"/>
        </w:rPr>
        <w:t xml:space="preserve"> = Right-of-Use asset</w:t>
      </w:r>
      <w:r>
        <w:rPr>
          <w:lang w:eastAsia="en-US"/>
        </w:rPr>
        <w:br w:type="page"/>
      </w:r>
    </w:p>
    <w:p w14:paraId="2C4C5F81" w14:textId="58A67D31" w:rsidR="00A80B87" w:rsidRPr="00A80B87" w:rsidRDefault="00A80B87" w:rsidP="00A80B87">
      <w:pPr>
        <w:rPr>
          <w:rFonts w:ascii="Arial" w:hAnsi="Arial" w:cs="Arial"/>
          <w:b/>
          <w:sz w:val="20"/>
          <w:szCs w:val="18"/>
          <w:lang w:eastAsia="en-US"/>
        </w:rPr>
      </w:pPr>
      <w:r w:rsidRPr="00A80B87">
        <w:rPr>
          <w:rFonts w:ascii="Arial" w:hAnsi="Arial" w:cs="Arial"/>
          <w:b/>
          <w:sz w:val="20"/>
          <w:szCs w:val="18"/>
          <w:lang w:eastAsia="en-US"/>
        </w:rPr>
        <w:lastRenderedPageBreak/>
        <w:t>Table 3.2: Budgeted departmental balance sheet (as at 30 June)</w:t>
      </w:r>
    </w:p>
    <w:tbl>
      <w:tblPr>
        <w:tblW w:w="7397" w:type="dxa"/>
        <w:jc w:val="center"/>
        <w:tblLayout w:type="fixed"/>
        <w:tblLook w:val="04A0" w:firstRow="1" w:lastRow="0" w:firstColumn="1" w:lastColumn="0" w:noHBand="0" w:noVBand="1"/>
      </w:tblPr>
      <w:tblGrid>
        <w:gridCol w:w="2910"/>
        <w:gridCol w:w="910"/>
        <w:gridCol w:w="895"/>
        <w:gridCol w:w="896"/>
        <w:gridCol w:w="896"/>
        <w:gridCol w:w="890"/>
      </w:tblGrid>
      <w:tr w:rsidR="00D12377" w:rsidRPr="00D12377" w14:paraId="7CE84064" w14:textId="77777777" w:rsidTr="00963710">
        <w:trPr>
          <w:trHeight w:val="765"/>
          <w:jc w:val="center"/>
        </w:trPr>
        <w:tc>
          <w:tcPr>
            <w:tcW w:w="2910" w:type="dxa"/>
            <w:tcBorders>
              <w:top w:val="single" w:sz="4" w:space="0" w:color="auto"/>
              <w:left w:val="nil"/>
              <w:bottom w:val="nil"/>
              <w:right w:val="nil"/>
            </w:tcBorders>
            <w:shd w:val="clear" w:color="auto" w:fill="auto"/>
            <w:hideMark/>
          </w:tcPr>
          <w:p w14:paraId="653F6F18" w14:textId="77777777" w:rsidR="00D12377" w:rsidRPr="00D12377" w:rsidRDefault="00D12377" w:rsidP="00D12377">
            <w:pPr>
              <w:spacing w:before="40" w:after="0"/>
              <w:jc w:val="right"/>
              <w:rPr>
                <w:rFonts w:ascii="Times New Roman" w:hAnsi="Times New Roman"/>
                <w:color w:val="auto"/>
                <w:sz w:val="20"/>
                <w:szCs w:val="24"/>
              </w:rPr>
            </w:pPr>
          </w:p>
        </w:tc>
        <w:tc>
          <w:tcPr>
            <w:tcW w:w="910" w:type="dxa"/>
            <w:tcBorders>
              <w:top w:val="single" w:sz="4" w:space="0" w:color="auto"/>
              <w:left w:val="nil"/>
              <w:bottom w:val="single" w:sz="4" w:space="0" w:color="auto"/>
              <w:right w:val="nil"/>
            </w:tcBorders>
            <w:shd w:val="clear" w:color="auto" w:fill="auto"/>
            <w:tcMar>
              <w:left w:w="0" w:type="dxa"/>
            </w:tcMar>
            <w:hideMark/>
          </w:tcPr>
          <w:p w14:paraId="4D95DF2F" w14:textId="77777777" w:rsidR="00D12377" w:rsidRPr="00D12377" w:rsidRDefault="00D12377" w:rsidP="00D12377">
            <w:pPr>
              <w:spacing w:before="40" w:after="0"/>
              <w:jc w:val="right"/>
              <w:rPr>
                <w:rFonts w:ascii="Arial" w:hAnsi="Arial" w:cs="Arial"/>
                <w:b/>
                <w:bCs/>
                <w:color w:val="auto"/>
                <w:sz w:val="16"/>
                <w:szCs w:val="16"/>
              </w:rPr>
            </w:pPr>
            <w:r w:rsidRPr="00D12377">
              <w:rPr>
                <w:rFonts w:ascii="Arial" w:hAnsi="Arial" w:cs="Arial"/>
                <w:b/>
                <w:bCs/>
                <w:color w:val="auto"/>
                <w:sz w:val="16"/>
                <w:szCs w:val="16"/>
              </w:rPr>
              <w:t>2021–22 Estimated actual</w:t>
            </w:r>
            <w:r w:rsidRPr="00D12377">
              <w:rPr>
                <w:rFonts w:ascii="Arial" w:hAnsi="Arial" w:cs="Arial"/>
                <w:b/>
                <w:bCs/>
                <w:color w:val="auto"/>
                <w:sz w:val="16"/>
                <w:szCs w:val="16"/>
              </w:rPr>
              <w:br/>
            </w:r>
            <w:r w:rsidRPr="00D12377">
              <w:rPr>
                <w:rFonts w:ascii="Arial" w:hAnsi="Arial" w:cs="Arial"/>
                <w:color w:val="auto"/>
                <w:sz w:val="16"/>
                <w:szCs w:val="16"/>
              </w:rPr>
              <w:t>$'000</w:t>
            </w:r>
          </w:p>
        </w:tc>
        <w:tc>
          <w:tcPr>
            <w:tcW w:w="895" w:type="dxa"/>
            <w:tcBorders>
              <w:top w:val="single" w:sz="4" w:space="0" w:color="auto"/>
              <w:left w:val="nil"/>
              <w:bottom w:val="single" w:sz="4" w:space="0" w:color="auto"/>
              <w:right w:val="nil"/>
            </w:tcBorders>
            <w:shd w:val="clear" w:color="000000" w:fill="D9D9D9"/>
            <w:hideMark/>
          </w:tcPr>
          <w:p w14:paraId="099FE465" w14:textId="77777777" w:rsidR="00D12377" w:rsidRPr="00D12377" w:rsidRDefault="00D12377" w:rsidP="00D12377">
            <w:pPr>
              <w:spacing w:before="40" w:after="0"/>
              <w:jc w:val="right"/>
              <w:rPr>
                <w:rFonts w:ascii="Arial" w:hAnsi="Arial" w:cs="Arial"/>
                <w:b/>
                <w:bCs/>
                <w:color w:val="auto"/>
                <w:sz w:val="16"/>
                <w:szCs w:val="16"/>
              </w:rPr>
            </w:pPr>
            <w:r w:rsidRPr="00D12377">
              <w:rPr>
                <w:rFonts w:ascii="Arial" w:hAnsi="Arial" w:cs="Arial"/>
                <w:b/>
                <w:bCs/>
                <w:color w:val="auto"/>
                <w:sz w:val="16"/>
                <w:szCs w:val="16"/>
              </w:rPr>
              <w:t>2022–23</w:t>
            </w:r>
            <w:r w:rsidRPr="00D12377">
              <w:rPr>
                <w:rFonts w:ascii="Arial" w:hAnsi="Arial" w:cs="Arial"/>
                <w:b/>
                <w:bCs/>
                <w:color w:val="auto"/>
                <w:sz w:val="16"/>
                <w:szCs w:val="16"/>
              </w:rPr>
              <w:br/>
              <w:t>Budget</w:t>
            </w:r>
            <w:r w:rsidRPr="00D12377">
              <w:rPr>
                <w:rFonts w:ascii="Arial" w:hAnsi="Arial" w:cs="Arial"/>
                <w:b/>
                <w:bCs/>
                <w:color w:val="auto"/>
                <w:sz w:val="16"/>
                <w:szCs w:val="16"/>
              </w:rPr>
              <w:br/>
            </w:r>
            <w:r w:rsidRPr="00D12377">
              <w:rPr>
                <w:rFonts w:ascii="Arial" w:hAnsi="Arial" w:cs="Arial"/>
                <w:b/>
                <w:bCs/>
                <w:color w:val="auto"/>
                <w:sz w:val="16"/>
                <w:szCs w:val="16"/>
              </w:rPr>
              <w:br/>
            </w:r>
            <w:r w:rsidRPr="00D12377">
              <w:rPr>
                <w:rFonts w:ascii="Arial" w:hAnsi="Arial" w:cs="Arial"/>
                <w:color w:val="auto"/>
                <w:sz w:val="16"/>
                <w:szCs w:val="16"/>
              </w:rPr>
              <w:t>$'000</w:t>
            </w:r>
          </w:p>
        </w:tc>
        <w:tc>
          <w:tcPr>
            <w:tcW w:w="896" w:type="dxa"/>
            <w:tcBorders>
              <w:top w:val="single" w:sz="4" w:space="0" w:color="auto"/>
              <w:left w:val="nil"/>
              <w:bottom w:val="single" w:sz="4" w:space="0" w:color="auto"/>
              <w:right w:val="nil"/>
            </w:tcBorders>
            <w:shd w:val="clear" w:color="auto" w:fill="auto"/>
            <w:hideMark/>
          </w:tcPr>
          <w:p w14:paraId="5609B3C2" w14:textId="77777777" w:rsidR="00D12377" w:rsidRPr="00D12377" w:rsidRDefault="00D12377" w:rsidP="00D12377">
            <w:pPr>
              <w:spacing w:before="40" w:after="0"/>
              <w:jc w:val="right"/>
              <w:rPr>
                <w:rFonts w:ascii="Arial" w:hAnsi="Arial" w:cs="Arial"/>
                <w:b/>
                <w:bCs/>
                <w:color w:val="auto"/>
                <w:sz w:val="16"/>
                <w:szCs w:val="16"/>
              </w:rPr>
            </w:pPr>
            <w:r w:rsidRPr="00D12377">
              <w:rPr>
                <w:rFonts w:ascii="Arial" w:hAnsi="Arial" w:cs="Arial"/>
                <w:b/>
                <w:bCs/>
                <w:color w:val="auto"/>
                <w:sz w:val="16"/>
                <w:szCs w:val="16"/>
              </w:rPr>
              <w:t>2023–24 Forward estimate</w:t>
            </w:r>
            <w:r w:rsidRPr="00D12377">
              <w:rPr>
                <w:rFonts w:ascii="Arial" w:hAnsi="Arial" w:cs="Arial"/>
                <w:b/>
                <w:bCs/>
                <w:color w:val="auto"/>
                <w:sz w:val="16"/>
                <w:szCs w:val="16"/>
              </w:rPr>
              <w:br/>
            </w:r>
            <w:r w:rsidRPr="00D12377">
              <w:rPr>
                <w:rFonts w:ascii="Arial" w:hAnsi="Arial" w:cs="Arial"/>
                <w:color w:val="auto"/>
                <w:sz w:val="16"/>
                <w:szCs w:val="16"/>
              </w:rPr>
              <w:t>$'000</w:t>
            </w:r>
          </w:p>
        </w:tc>
        <w:tc>
          <w:tcPr>
            <w:tcW w:w="896" w:type="dxa"/>
            <w:tcBorders>
              <w:top w:val="single" w:sz="4" w:space="0" w:color="auto"/>
              <w:left w:val="nil"/>
              <w:bottom w:val="single" w:sz="4" w:space="0" w:color="auto"/>
              <w:right w:val="nil"/>
            </w:tcBorders>
            <w:shd w:val="clear" w:color="auto" w:fill="auto"/>
            <w:hideMark/>
          </w:tcPr>
          <w:p w14:paraId="4D41F4BD" w14:textId="77777777" w:rsidR="00D12377" w:rsidRPr="00D12377" w:rsidRDefault="00D12377" w:rsidP="00D12377">
            <w:pPr>
              <w:spacing w:before="40" w:after="0"/>
              <w:jc w:val="right"/>
              <w:rPr>
                <w:rFonts w:ascii="Arial" w:hAnsi="Arial" w:cs="Arial"/>
                <w:b/>
                <w:bCs/>
                <w:color w:val="auto"/>
                <w:sz w:val="16"/>
                <w:szCs w:val="16"/>
              </w:rPr>
            </w:pPr>
            <w:r w:rsidRPr="00D12377">
              <w:rPr>
                <w:rFonts w:ascii="Arial" w:hAnsi="Arial" w:cs="Arial"/>
                <w:b/>
                <w:bCs/>
                <w:color w:val="auto"/>
                <w:sz w:val="16"/>
                <w:szCs w:val="16"/>
              </w:rPr>
              <w:t>2024–25</w:t>
            </w:r>
            <w:r w:rsidRPr="00D12377">
              <w:rPr>
                <w:rFonts w:ascii="Arial" w:hAnsi="Arial" w:cs="Arial"/>
                <w:b/>
                <w:bCs/>
                <w:color w:val="auto"/>
                <w:sz w:val="16"/>
                <w:szCs w:val="16"/>
              </w:rPr>
              <w:br/>
              <w:t>Forward estimate</w:t>
            </w:r>
            <w:r w:rsidRPr="00D12377">
              <w:rPr>
                <w:rFonts w:ascii="Arial" w:hAnsi="Arial" w:cs="Arial"/>
                <w:b/>
                <w:bCs/>
                <w:color w:val="auto"/>
                <w:sz w:val="16"/>
                <w:szCs w:val="16"/>
              </w:rPr>
              <w:br/>
            </w:r>
            <w:r w:rsidRPr="00D12377">
              <w:rPr>
                <w:rFonts w:ascii="Arial" w:hAnsi="Arial" w:cs="Arial"/>
                <w:color w:val="auto"/>
                <w:sz w:val="16"/>
                <w:szCs w:val="16"/>
              </w:rPr>
              <w:t>$'000</w:t>
            </w:r>
          </w:p>
        </w:tc>
        <w:tc>
          <w:tcPr>
            <w:tcW w:w="890" w:type="dxa"/>
            <w:tcBorders>
              <w:top w:val="single" w:sz="4" w:space="0" w:color="auto"/>
              <w:left w:val="nil"/>
              <w:bottom w:val="single" w:sz="4" w:space="0" w:color="auto"/>
              <w:right w:val="nil"/>
            </w:tcBorders>
            <w:shd w:val="clear" w:color="auto" w:fill="auto"/>
            <w:hideMark/>
          </w:tcPr>
          <w:p w14:paraId="7656D9A3" w14:textId="77777777" w:rsidR="00D12377" w:rsidRPr="00D12377" w:rsidRDefault="00D12377" w:rsidP="00D12377">
            <w:pPr>
              <w:spacing w:before="40" w:after="0"/>
              <w:jc w:val="right"/>
              <w:rPr>
                <w:rFonts w:ascii="Arial" w:hAnsi="Arial" w:cs="Arial"/>
                <w:b/>
                <w:bCs/>
                <w:color w:val="auto"/>
                <w:sz w:val="16"/>
                <w:szCs w:val="16"/>
              </w:rPr>
            </w:pPr>
            <w:r w:rsidRPr="00D12377">
              <w:rPr>
                <w:rFonts w:ascii="Arial" w:hAnsi="Arial" w:cs="Arial"/>
                <w:b/>
                <w:bCs/>
                <w:color w:val="auto"/>
                <w:sz w:val="16"/>
                <w:szCs w:val="16"/>
              </w:rPr>
              <w:t>2025–26 Forward estimate</w:t>
            </w:r>
            <w:r w:rsidRPr="00D12377">
              <w:rPr>
                <w:rFonts w:ascii="Arial" w:hAnsi="Arial" w:cs="Arial"/>
                <w:b/>
                <w:bCs/>
                <w:color w:val="auto"/>
                <w:sz w:val="16"/>
                <w:szCs w:val="16"/>
              </w:rPr>
              <w:br/>
            </w:r>
            <w:r w:rsidRPr="00D12377">
              <w:rPr>
                <w:rFonts w:ascii="Arial" w:hAnsi="Arial" w:cs="Arial"/>
                <w:color w:val="auto"/>
                <w:sz w:val="16"/>
                <w:szCs w:val="16"/>
              </w:rPr>
              <w:t>$'000</w:t>
            </w:r>
          </w:p>
        </w:tc>
      </w:tr>
      <w:tr w:rsidR="00D12377" w:rsidRPr="00D12377" w14:paraId="025C828A" w14:textId="77777777" w:rsidTr="00D12377">
        <w:trPr>
          <w:trHeight w:val="227"/>
          <w:jc w:val="center"/>
        </w:trPr>
        <w:tc>
          <w:tcPr>
            <w:tcW w:w="2910" w:type="dxa"/>
            <w:tcBorders>
              <w:top w:val="nil"/>
              <w:left w:val="nil"/>
              <w:bottom w:val="nil"/>
              <w:right w:val="nil"/>
            </w:tcBorders>
            <w:shd w:val="clear" w:color="auto" w:fill="auto"/>
            <w:noWrap/>
            <w:vAlign w:val="bottom"/>
            <w:hideMark/>
          </w:tcPr>
          <w:p w14:paraId="74FB3808" w14:textId="77777777" w:rsidR="00D12377" w:rsidRPr="00D12377" w:rsidRDefault="00D12377" w:rsidP="00D12377">
            <w:pPr>
              <w:spacing w:after="0"/>
              <w:rPr>
                <w:rFonts w:ascii="Arial" w:hAnsi="Arial" w:cs="Arial"/>
                <w:b/>
                <w:bCs/>
                <w:sz w:val="16"/>
                <w:szCs w:val="16"/>
              </w:rPr>
            </w:pPr>
            <w:r w:rsidRPr="00D12377">
              <w:rPr>
                <w:rFonts w:ascii="Arial" w:hAnsi="Arial" w:cs="Arial"/>
                <w:b/>
                <w:bCs/>
                <w:sz w:val="16"/>
                <w:szCs w:val="16"/>
              </w:rPr>
              <w:t>ASSETS</w:t>
            </w:r>
          </w:p>
        </w:tc>
        <w:tc>
          <w:tcPr>
            <w:tcW w:w="910" w:type="dxa"/>
            <w:tcBorders>
              <w:top w:val="nil"/>
              <w:left w:val="nil"/>
              <w:bottom w:val="nil"/>
              <w:right w:val="nil"/>
            </w:tcBorders>
            <w:shd w:val="clear" w:color="auto" w:fill="auto"/>
            <w:noWrap/>
            <w:vAlign w:val="bottom"/>
            <w:hideMark/>
          </w:tcPr>
          <w:p w14:paraId="64A186E9" w14:textId="77777777" w:rsidR="00D12377" w:rsidRPr="00D12377" w:rsidRDefault="00D12377" w:rsidP="00D12377">
            <w:pPr>
              <w:spacing w:after="0"/>
              <w:rPr>
                <w:rFonts w:ascii="Arial" w:hAnsi="Arial" w:cs="Arial"/>
                <w:b/>
                <w:bCs/>
                <w:sz w:val="16"/>
                <w:szCs w:val="16"/>
              </w:rPr>
            </w:pPr>
          </w:p>
        </w:tc>
        <w:tc>
          <w:tcPr>
            <w:tcW w:w="895" w:type="dxa"/>
            <w:tcBorders>
              <w:top w:val="nil"/>
              <w:left w:val="nil"/>
              <w:bottom w:val="nil"/>
              <w:right w:val="nil"/>
            </w:tcBorders>
            <w:shd w:val="clear" w:color="000000" w:fill="D9D9D9"/>
            <w:noWrap/>
            <w:vAlign w:val="bottom"/>
            <w:hideMark/>
          </w:tcPr>
          <w:p w14:paraId="23C18A2A" w14:textId="77777777" w:rsidR="00D12377" w:rsidRPr="00D12377" w:rsidRDefault="00D12377" w:rsidP="00D12377">
            <w:pPr>
              <w:spacing w:after="0"/>
              <w:jc w:val="right"/>
              <w:rPr>
                <w:rFonts w:ascii="Arial" w:hAnsi="Arial" w:cs="Arial"/>
                <w:sz w:val="16"/>
                <w:szCs w:val="16"/>
              </w:rPr>
            </w:pPr>
            <w:r w:rsidRPr="00D12377">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52DE27DA" w14:textId="77777777" w:rsidR="00D12377" w:rsidRPr="00D12377" w:rsidRDefault="00D12377" w:rsidP="00D12377">
            <w:pPr>
              <w:spacing w:after="0"/>
              <w:jc w:val="right"/>
              <w:rPr>
                <w:rFonts w:ascii="Arial" w:hAnsi="Arial" w:cs="Arial"/>
                <w:sz w:val="16"/>
                <w:szCs w:val="16"/>
              </w:rPr>
            </w:pPr>
          </w:p>
        </w:tc>
        <w:tc>
          <w:tcPr>
            <w:tcW w:w="896" w:type="dxa"/>
            <w:tcBorders>
              <w:top w:val="nil"/>
              <w:left w:val="nil"/>
              <w:bottom w:val="nil"/>
              <w:right w:val="nil"/>
            </w:tcBorders>
            <w:shd w:val="clear" w:color="auto" w:fill="auto"/>
            <w:noWrap/>
            <w:vAlign w:val="bottom"/>
            <w:hideMark/>
          </w:tcPr>
          <w:p w14:paraId="2FABB1AF" w14:textId="77777777" w:rsidR="00D12377" w:rsidRPr="00D12377" w:rsidRDefault="00D12377" w:rsidP="00D12377">
            <w:pPr>
              <w:spacing w:after="0"/>
              <w:jc w:val="right"/>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68CC5818" w14:textId="77777777" w:rsidR="00D12377" w:rsidRPr="00D12377" w:rsidRDefault="00D12377" w:rsidP="00D12377">
            <w:pPr>
              <w:spacing w:after="0"/>
              <w:jc w:val="right"/>
              <w:rPr>
                <w:rFonts w:ascii="Times New Roman" w:hAnsi="Times New Roman"/>
                <w:color w:val="auto"/>
                <w:sz w:val="20"/>
              </w:rPr>
            </w:pPr>
          </w:p>
        </w:tc>
      </w:tr>
      <w:tr w:rsidR="00D12377" w:rsidRPr="00D12377" w14:paraId="056179D1"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3208983D" w14:textId="77777777" w:rsidR="00D12377" w:rsidRPr="00D12377" w:rsidRDefault="00D12377" w:rsidP="00D12377">
            <w:pPr>
              <w:spacing w:after="0"/>
              <w:ind w:leftChars="75" w:left="143"/>
              <w:rPr>
                <w:rFonts w:ascii="Arial" w:hAnsi="Arial" w:cs="Arial"/>
                <w:b/>
                <w:bCs/>
                <w:sz w:val="16"/>
                <w:szCs w:val="16"/>
              </w:rPr>
            </w:pPr>
            <w:r w:rsidRPr="00D12377">
              <w:rPr>
                <w:rFonts w:ascii="Arial" w:hAnsi="Arial" w:cs="Arial"/>
                <w:b/>
                <w:bCs/>
                <w:sz w:val="16"/>
                <w:szCs w:val="16"/>
              </w:rPr>
              <w:t>Financial assets</w:t>
            </w:r>
          </w:p>
        </w:tc>
        <w:tc>
          <w:tcPr>
            <w:tcW w:w="910" w:type="dxa"/>
            <w:tcBorders>
              <w:top w:val="nil"/>
              <w:left w:val="nil"/>
              <w:bottom w:val="nil"/>
              <w:right w:val="nil"/>
            </w:tcBorders>
            <w:shd w:val="clear" w:color="auto" w:fill="auto"/>
            <w:noWrap/>
            <w:vAlign w:val="bottom"/>
            <w:hideMark/>
          </w:tcPr>
          <w:p w14:paraId="0EC5272B" w14:textId="77777777" w:rsidR="00D12377" w:rsidRPr="00D12377" w:rsidRDefault="00D12377" w:rsidP="00D12377">
            <w:pPr>
              <w:spacing w:after="0"/>
              <w:ind w:firstLineChars="100" w:firstLine="160"/>
              <w:rPr>
                <w:rFonts w:ascii="Arial" w:hAnsi="Arial" w:cs="Arial"/>
                <w:b/>
                <w:bCs/>
                <w:sz w:val="16"/>
                <w:szCs w:val="16"/>
              </w:rPr>
            </w:pPr>
          </w:p>
        </w:tc>
        <w:tc>
          <w:tcPr>
            <w:tcW w:w="895" w:type="dxa"/>
            <w:tcBorders>
              <w:top w:val="nil"/>
              <w:left w:val="nil"/>
              <w:bottom w:val="nil"/>
              <w:right w:val="nil"/>
            </w:tcBorders>
            <w:shd w:val="clear" w:color="000000" w:fill="D9D9D9"/>
            <w:noWrap/>
            <w:vAlign w:val="bottom"/>
            <w:hideMark/>
          </w:tcPr>
          <w:p w14:paraId="3C7C6048" w14:textId="77777777" w:rsidR="00D12377" w:rsidRPr="00D12377" w:rsidRDefault="00D12377" w:rsidP="00D12377">
            <w:pPr>
              <w:spacing w:after="0"/>
              <w:jc w:val="right"/>
              <w:rPr>
                <w:rFonts w:ascii="Arial" w:hAnsi="Arial" w:cs="Arial"/>
                <w:sz w:val="16"/>
                <w:szCs w:val="16"/>
              </w:rPr>
            </w:pPr>
            <w:r w:rsidRPr="00D12377">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0A8684D3" w14:textId="77777777" w:rsidR="00D12377" w:rsidRPr="00D12377" w:rsidRDefault="00D12377" w:rsidP="00D12377">
            <w:pPr>
              <w:spacing w:after="0"/>
              <w:jc w:val="right"/>
              <w:rPr>
                <w:rFonts w:ascii="Arial" w:hAnsi="Arial" w:cs="Arial"/>
                <w:sz w:val="16"/>
                <w:szCs w:val="16"/>
              </w:rPr>
            </w:pPr>
          </w:p>
        </w:tc>
        <w:tc>
          <w:tcPr>
            <w:tcW w:w="896" w:type="dxa"/>
            <w:tcBorders>
              <w:top w:val="nil"/>
              <w:left w:val="nil"/>
              <w:bottom w:val="nil"/>
              <w:right w:val="nil"/>
            </w:tcBorders>
            <w:shd w:val="clear" w:color="auto" w:fill="auto"/>
            <w:noWrap/>
            <w:vAlign w:val="bottom"/>
            <w:hideMark/>
          </w:tcPr>
          <w:p w14:paraId="65A23DE2" w14:textId="77777777" w:rsidR="00D12377" w:rsidRPr="00D12377" w:rsidRDefault="00D12377" w:rsidP="00D12377">
            <w:pPr>
              <w:spacing w:after="0"/>
              <w:jc w:val="right"/>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1C2CFFE3" w14:textId="77777777" w:rsidR="00D12377" w:rsidRPr="00D12377" w:rsidRDefault="00D12377" w:rsidP="00D12377">
            <w:pPr>
              <w:spacing w:after="0"/>
              <w:jc w:val="right"/>
              <w:rPr>
                <w:rFonts w:ascii="Times New Roman" w:hAnsi="Times New Roman"/>
                <w:color w:val="auto"/>
                <w:sz w:val="20"/>
              </w:rPr>
            </w:pPr>
          </w:p>
        </w:tc>
      </w:tr>
      <w:tr w:rsidR="00D12377" w:rsidRPr="00D12377" w14:paraId="34B74E7F"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078AEBF2" w14:textId="77777777" w:rsidR="00D12377" w:rsidRPr="00D12377" w:rsidRDefault="00D12377" w:rsidP="00D12377">
            <w:pPr>
              <w:spacing w:after="0"/>
              <w:ind w:firstLineChars="200" w:firstLine="320"/>
              <w:rPr>
                <w:rFonts w:ascii="Arial" w:hAnsi="Arial" w:cs="Arial"/>
                <w:sz w:val="16"/>
                <w:szCs w:val="16"/>
              </w:rPr>
            </w:pPr>
            <w:r w:rsidRPr="00D12377">
              <w:rPr>
                <w:rFonts w:ascii="Arial" w:hAnsi="Arial" w:cs="Arial"/>
                <w:sz w:val="16"/>
                <w:szCs w:val="16"/>
              </w:rPr>
              <w:t>Cash and cash equivalents</w:t>
            </w:r>
          </w:p>
        </w:tc>
        <w:tc>
          <w:tcPr>
            <w:tcW w:w="910" w:type="dxa"/>
            <w:tcBorders>
              <w:top w:val="nil"/>
              <w:left w:val="nil"/>
              <w:bottom w:val="nil"/>
              <w:right w:val="nil"/>
            </w:tcBorders>
            <w:shd w:val="clear" w:color="auto" w:fill="auto"/>
            <w:noWrap/>
            <w:vAlign w:val="bottom"/>
            <w:hideMark/>
          </w:tcPr>
          <w:p w14:paraId="778A4C0C"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44,636</w:t>
            </w:r>
          </w:p>
        </w:tc>
        <w:tc>
          <w:tcPr>
            <w:tcW w:w="895" w:type="dxa"/>
            <w:tcBorders>
              <w:top w:val="nil"/>
              <w:left w:val="nil"/>
              <w:bottom w:val="nil"/>
              <w:right w:val="nil"/>
            </w:tcBorders>
            <w:shd w:val="clear" w:color="000000" w:fill="D9D9D9"/>
            <w:noWrap/>
            <w:vAlign w:val="bottom"/>
            <w:hideMark/>
          </w:tcPr>
          <w:p w14:paraId="0F945DDA"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45,458</w:t>
            </w:r>
          </w:p>
        </w:tc>
        <w:tc>
          <w:tcPr>
            <w:tcW w:w="896" w:type="dxa"/>
            <w:tcBorders>
              <w:top w:val="nil"/>
              <w:left w:val="nil"/>
              <w:bottom w:val="nil"/>
              <w:right w:val="nil"/>
            </w:tcBorders>
            <w:shd w:val="clear" w:color="auto" w:fill="auto"/>
            <w:noWrap/>
            <w:vAlign w:val="bottom"/>
            <w:hideMark/>
          </w:tcPr>
          <w:p w14:paraId="49E1207A"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46,280</w:t>
            </w:r>
          </w:p>
        </w:tc>
        <w:tc>
          <w:tcPr>
            <w:tcW w:w="896" w:type="dxa"/>
            <w:tcBorders>
              <w:top w:val="nil"/>
              <w:left w:val="nil"/>
              <w:bottom w:val="nil"/>
              <w:right w:val="nil"/>
            </w:tcBorders>
            <w:shd w:val="clear" w:color="auto" w:fill="auto"/>
            <w:noWrap/>
            <w:vAlign w:val="bottom"/>
            <w:hideMark/>
          </w:tcPr>
          <w:p w14:paraId="5CA7CF92"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47,102</w:t>
            </w:r>
          </w:p>
        </w:tc>
        <w:tc>
          <w:tcPr>
            <w:tcW w:w="890" w:type="dxa"/>
            <w:tcBorders>
              <w:top w:val="nil"/>
              <w:left w:val="nil"/>
              <w:bottom w:val="nil"/>
              <w:right w:val="nil"/>
            </w:tcBorders>
            <w:shd w:val="clear" w:color="auto" w:fill="auto"/>
            <w:noWrap/>
            <w:vAlign w:val="bottom"/>
            <w:hideMark/>
          </w:tcPr>
          <w:p w14:paraId="2CD2F96B"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45,294</w:t>
            </w:r>
          </w:p>
        </w:tc>
      </w:tr>
      <w:tr w:rsidR="00D12377" w:rsidRPr="00D12377" w14:paraId="3EC52288"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774B22B1" w14:textId="77777777" w:rsidR="00D12377" w:rsidRPr="00D12377" w:rsidRDefault="00D12377" w:rsidP="00D12377">
            <w:pPr>
              <w:spacing w:after="0"/>
              <w:ind w:firstLineChars="200" w:firstLine="320"/>
              <w:rPr>
                <w:rFonts w:ascii="Arial" w:hAnsi="Arial" w:cs="Arial"/>
                <w:sz w:val="16"/>
                <w:szCs w:val="16"/>
              </w:rPr>
            </w:pPr>
            <w:r w:rsidRPr="00D12377">
              <w:rPr>
                <w:rFonts w:ascii="Arial" w:hAnsi="Arial" w:cs="Arial"/>
                <w:sz w:val="16"/>
                <w:szCs w:val="16"/>
              </w:rPr>
              <w:t>Trade and other receivables</w:t>
            </w:r>
          </w:p>
        </w:tc>
        <w:tc>
          <w:tcPr>
            <w:tcW w:w="910" w:type="dxa"/>
            <w:tcBorders>
              <w:top w:val="nil"/>
              <w:left w:val="nil"/>
              <w:bottom w:val="nil"/>
              <w:right w:val="nil"/>
            </w:tcBorders>
            <w:shd w:val="clear" w:color="auto" w:fill="auto"/>
            <w:noWrap/>
            <w:vAlign w:val="bottom"/>
            <w:hideMark/>
          </w:tcPr>
          <w:p w14:paraId="187EE839"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9,593</w:t>
            </w:r>
          </w:p>
        </w:tc>
        <w:tc>
          <w:tcPr>
            <w:tcW w:w="895" w:type="dxa"/>
            <w:tcBorders>
              <w:top w:val="nil"/>
              <w:left w:val="nil"/>
              <w:bottom w:val="nil"/>
              <w:right w:val="nil"/>
            </w:tcBorders>
            <w:shd w:val="clear" w:color="000000" w:fill="D9D9D9"/>
            <w:noWrap/>
            <w:vAlign w:val="bottom"/>
            <w:hideMark/>
          </w:tcPr>
          <w:p w14:paraId="579F995D"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9,688</w:t>
            </w:r>
          </w:p>
        </w:tc>
        <w:tc>
          <w:tcPr>
            <w:tcW w:w="896" w:type="dxa"/>
            <w:tcBorders>
              <w:top w:val="nil"/>
              <w:left w:val="nil"/>
              <w:bottom w:val="nil"/>
              <w:right w:val="nil"/>
            </w:tcBorders>
            <w:shd w:val="clear" w:color="auto" w:fill="auto"/>
            <w:noWrap/>
            <w:vAlign w:val="bottom"/>
            <w:hideMark/>
          </w:tcPr>
          <w:p w14:paraId="20CB69A4"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9,688</w:t>
            </w:r>
          </w:p>
        </w:tc>
        <w:tc>
          <w:tcPr>
            <w:tcW w:w="896" w:type="dxa"/>
            <w:tcBorders>
              <w:top w:val="nil"/>
              <w:left w:val="nil"/>
              <w:bottom w:val="nil"/>
              <w:right w:val="nil"/>
            </w:tcBorders>
            <w:shd w:val="clear" w:color="auto" w:fill="auto"/>
            <w:noWrap/>
            <w:vAlign w:val="bottom"/>
            <w:hideMark/>
          </w:tcPr>
          <w:p w14:paraId="36A07EC9"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9,688</w:t>
            </w:r>
          </w:p>
        </w:tc>
        <w:tc>
          <w:tcPr>
            <w:tcW w:w="890" w:type="dxa"/>
            <w:tcBorders>
              <w:top w:val="nil"/>
              <w:left w:val="nil"/>
              <w:bottom w:val="nil"/>
              <w:right w:val="nil"/>
            </w:tcBorders>
            <w:shd w:val="clear" w:color="auto" w:fill="auto"/>
            <w:noWrap/>
            <w:vAlign w:val="bottom"/>
            <w:hideMark/>
          </w:tcPr>
          <w:p w14:paraId="462CC66D"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9,688</w:t>
            </w:r>
          </w:p>
        </w:tc>
      </w:tr>
      <w:tr w:rsidR="00D12377" w:rsidRPr="00D12377" w14:paraId="5AA18041"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2BCA9A91" w14:textId="77777777" w:rsidR="00D12377" w:rsidRPr="00D12377" w:rsidRDefault="00D12377" w:rsidP="00D12377">
            <w:pPr>
              <w:spacing w:after="0"/>
              <w:ind w:firstLineChars="200" w:firstLine="320"/>
              <w:rPr>
                <w:rFonts w:ascii="Arial" w:hAnsi="Arial" w:cs="Arial"/>
                <w:sz w:val="16"/>
                <w:szCs w:val="16"/>
              </w:rPr>
            </w:pPr>
            <w:r w:rsidRPr="00D12377">
              <w:rPr>
                <w:rFonts w:ascii="Arial" w:hAnsi="Arial" w:cs="Arial"/>
                <w:sz w:val="16"/>
                <w:szCs w:val="16"/>
              </w:rPr>
              <w:t>Investments</w:t>
            </w:r>
          </w:p>
        </w:tc>
        <w:tc>
          <w:tcPr>
            <w:tcW w:w="910" w:type="dxa"/>
            <w:tcBorders>
              <w:top w:val="nil"/>
              <w:left w:val="nil"/>
              <w:bottom w:val="nil"/>
              <w:right w:val="nil"/>
            </w:tcBorders>
            <w:shd w:val="clear" w:color="auto" w:fill="auto"/>
            <w:noWrap/>
            <w:vAlign w:val="bottom"/>
            <w:hideMark/>
          </w:tcPr>
          <w:p w14:paraId="16987A61"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80,000</w:t>
            </w:r>
          </w:p>
        </w:tc>
        <w:tc>
          <w:tcPr>
            <w:tcW w:w="895" w:type="dxa"/>
            <w:tcBorders>
              <w:top w:val="nil"/>
              <w:left w:val="nil"/>
              <w:bottom w:val="nil"/>
              <w:right w:val="nil"/>
            </w:tcBorders>
            <w:shd w:val="clear" w:color="000000" w:fill="D9D9D9"/>
            <w:noWrap/>
            <w:vAlign w:val="bottom"/>
            <w:hideMark/>
          </w:tcPr>
          <w:p w14:paraId="729B9C93"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73,924</w:t>
            </w:r>
          </w:p>
        </w:tc>
        <w:tc>
          <w:tcPr>
            <w:tcW w:w="896" w:type="dxa"/>
            <w:tcBorders>
              <w:top w:val="nil"/>
              <w:left w:val="nil"/>
              <w:bottom w:val="nil"/>
              <w:right w:val="nil"/>
            </w:tcBorders>
            <w:shd w:val="clear" w:color="auto" w:fill="auto"/>
            <w:noWrap/>
            <w:vAlign w:val="bottom"/>
            <w:hideMark/>
          </w:tcPr>
          <w:p w14:paraId="56D29C3A"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30,637</w:t>
            </w:r>
          </w:p>
        </w:tc>
        <w:tc>
          <w:tcPr>
            <w:tcW w:w="896" w:type="dxa"/>
            <w:tcBorders>
              <w:top w:val="nil"/>
              <w:left w:val="nil"/>
              <w:bottom w:val="nil"/>
              <w:right w:val="nil"/>
            </w:tcBorders>
            <w:shd w:val="clear" w:color="auto" w:fill="auto"/>
            <w:noWrap/>
            <w:vAlign w:val="bottom"/>
            <w:hideMark/>
          </w:tcPr>
          <w:p w14:paraId="68C03B67"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10,417</w:t>
            </w:r>
          </w:p>
        </w:tc>
        <w:tc>
          <w:tcPr>
            <w:tcW w:w="890" w:type="dxa"/>
            <w:tcBorders>
              <w:top w:val="nil"/>
              <w:left w:val="nil"/>
              <w:bottom w:val="nil"/>
              <w:right w:val="nil"/>
            </w:tcBorders>
            <w:shd w:val="clear" w:color="auto" w:fill="auto"/>
            <w:noWrap/>
            <w:vAlign w:val="bottom"/>
            <w:hideMark/>
          </w:tcPr>
          <w:p w14:paraId="31B3D28F"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w:t>
            </w:r>
          </w:p>
        </w:tc>
      </w:tr>
      <w:tr w:rsidR="00D12377" w:rsidRPr="00D12377" w14:paraId="27861EEF"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00C22252" w14:textId="77777777" w:rsidR="00D12377" w:rsidRPr="00D12377" w:rsidRDefault="00D12377" w:rsidP="00D12377">
            <w:pPr>
              <w:spacing w:after="0"/>
              <w:ind w:firstLineChars="200" w:firstLine="320"/>
              <w:rPr>
                <w:rFonts w:ascii="Arial" w:hAnsi="Arial" w:cs="Arial"/>
                <w:b/>
                <w:bCs/>
                <w:sz w:val="16"/>
                <w:szCs w:val="16"/>
              </w:rPr>
            </w:pPr>
            <w:r w:rsidRPr="00D12377">
              <w:rPr>
                <w:rFonts w:ascii="Arial" w:hAnsi="Arial" w:cs="Arial"/>
                <w:b/>
                <w:bCs/>
                <w:sz w:val="16"/>
                <w:szCs w:val="16"/>
              </w:rPr>
              <w:t>Total financial assets</w:t>
            </w:r>
          </w:p>
        </w:tc>
        <w:tc>
          <w:tcPr>
            <w:tcW w:w="910" w:type="dxa"/>
            <w:tcBorders>
              <w:top w:val="nil"/>
              <w:left w:val="nil"/>
              <w:bottom w:val="single" w:sz="4" w:space="0" w:color="auto"/>
              <w:right w:val="nil"/>
            </w:tcBorders>
            <w:shd w:val="clear" w:color="auto" w:fill="auto"/>
            <w:noWrap/>
            <w:vAlign w:val="bottom"/>
            <w:hideMark/>
          </w:tcPr>
          <w:p w14:paraId="32AB5C10"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134,229</w:t>
            </w:r>
          </w:p>
        </w:tc>
        <w:tc>
          <w:tcPr>
            <w:tcW w:w="895" w:type="dxa"/>
            <w:tcBorders>
              <w:top w:val="nil"/>
              <w:left w:val="nil"/>
              <w:bottom w:val="single" w:sz="4" w:space="0" w:color="auto"/>
              <w:right w:val="nil"/>
            </w:tcBorders>
            <w:shd w:val="clear" w:color="000000" w:fill="D9D9D9"/>
            <w:noWrap/>
            <w:vAlign w:val="bottom"/>
            <w:hideMark/>
          </w:tcPr>
          <w:p w14:paraId="72F79519"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129,070</w:t>
            </w:r>
          </w:p>
        </w:tc>
        <w:tc>
          <w:tcPr>
            <w:tcW w:w="896" w:type="dxa"/>
            <w:tcBorders>
              <w:top w:val="nil"/>
              <w:left w:val="nil"/>
              <w:bottom w:val="single" w:sz="4" w:space="0" w:color="auto"/>
              <w:right w:val="nil"/>
            </w:tcBorders>
            <w:shd w:val="clear" w:color="auto" w:fill="auto"/>
            <w:noWrap/>
            <w:vAlign w:val="bottom"/>
            <w:hideMark/>
          </w:tcPr>
          <w:p w14:paraId="1F1FC9C5"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86,605</w:t>
            </w:r>
          </w:p>
        </w:tc>
        <w:tc>
          <w:tcPr>
            <w:tcW w:w="896" w:type="dxa"/>
            <w:tcBorders>
              <w:top w:val="nil"/>
              <w:left w:val="nil"/>
              <w:bottom w:val="single" w:sz="4" w:space="0" w:color="auto"/>
              <w:right w:val="nil"/>
            </w:tcBorders>
            <w:shd w:val="clear" w:color="auto" w:fill="auto"/>
            <w:noWrap/>
            <w:vAlign w:val="bottom"/>
            <w:hideMark/>
          </w:tcPr>
          <w:p w14:paraId="218C592B"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67,207</w:t>
            </w:r>
          </w:p>
        </w:tc>
        <w:tc>
          <w:tcPr>
            <w:tcW w:w="890" w:type="dxa"/>
            <w:tcBorders>
              <w:top w:val="nil"/>
              <w:left w:val="nil"/>
              <w:bottom w:val="single" w:sz="4" w:space="0" w:color="auto"/>
              <w:right w:val="nil"/>
            </w:tcBorders>
            <w:shd w:val="clear" w:color="auto" w:fill="auto"/>
            <w:noWrap/>
            <w:vAlign w:val="bottom"/>
            <w:hideMark/>
          </w:tcPr>
          <w:p w14:paraId="20458EDB"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54,982</w:t>
            </w:r>
          </w:p>
        </w:tc>
      </w:tr>
      <w:tr w:rsidR="00D12377" w:rsidRPr="00D12377" w14:paraId="2EFD0BE3" w14:textId="77777777" w:rsidTr="00D12377">
        <w:trPr>
          <w:trHeight w:val="283"/>
          <w:jc w:val="center"/>
        </w:trPr>
        <w:tc>
          <w:tcPr>
            <w:tcW w:w="2910" w:type="dxa"/>
            <w:tcBorders>
              <w:top w:val="nil"/>
              <w:left w:val="nil"/>
              <w:bottom w:val="nil"/>
              <w:right w:val="nil"/>
            </w:tcBorders>
            <w:shd w:val="clear" w:color="auto" w:fill="auto"/>
            <w:noWrap/>
            <w:vAlign w:val="bottom"/>
            <w:hideMark/>
          </w:tcPr>
          <w:p w14:paraId="5F5D7337" w14:textId="77777777" w:rsidR="00D12377" w:rsidRPr="00D12377" w:rsidRDefault="00D12377" w:rsidP="00D12377">
            <w:pPr>
              <w:spacing w:after="0"/>
              <w:ind w:leftChars="75" w:left="143"/>
              <w:rPr>
                <w:rFonts w:ascii="Arial" w:hAnsi="Arial" w:cs="Arial"/>
                <w:b/>
                <w:bCs/>
                <w:sz w:val="16"/>
                <w:szCs w:val="16"/>
              </w:rPr>
            </w:pPr>
            <w:r w:rsidRPr="00D12377">
              <w:rPr>
                <w:rFonts w:ascii="Arial" w:hAnsi="Arial" w:cs="Arial"/>
                <w:b/>
                <w:bCs/>
                <w:sz w:val="16"/>
                <w:szCs w:val="16"/>
              </w:rPr>
              <w:t>Non-financial assets</w:t>
            </w:r>
          </w:p>
        </w:tc>
        <w:tc>
          <w:tcPr>
            <w:tcW w:w="910" w:type="dxa"/>
            <w:tcBorders>
              <w:top w:val="nil"/>
              <w:left w:val="nil"/>
              <w:bottom w:val="nil"/>
              <w:right w:val="nil"/>
            </w:tcBorders>
            <w:shd w:val="clear" w:color="auto" w:fill="auto"/>
            <w:noWrap/>
            <w:vAlign w:val="bottom"/>
            <w:hideMark/>
          </w:tcPr>
          <w:p w14:paraId="1F19EE42" w14:textId="77777777" w:rsidR="00D12377" w:rsidRPr="00D12377" w:rsidRDefault="00D12377" w:rsidP="00D12377">
            <w:pPr>
              <w:spacing w:after="0"/>
              <w:ind w:firstLineChars="100" w:firstLine="160"/>
              <w:rPr>
                <w:rFonts w:ascii="Arial" w:hAnsi="Arial" w:cs="Arial"/>
                <w:b/>
                <w:bCs/>
                <w:sz w:val="16"/>
                <w:szCs w:val="16"/>
              </w:rPr>
            </w:pPr>
          </w:p>
        </w:tc>
        <w:tc>
          <w:tcPr>
            <w:tcW w:w="895" w:type="dxa"/>
            <w:tcBorders>
              <w:top w:val="nil"/>
              <w:left w:val="nil"/>
              <w:bottom w:val="nil"/>
              <w:right w:val="nil"/>
            </w:tcBorders>
            <w:shd w:val="clear" w:color="000000" w:fill="D9D9D9"/>
            <w:noWrap/>
            <w:vAlign w:val="bottom"/>
            <w:hideMark/>
          </w:tcPr>
          <w:p w14:paraId="40D61552" w14:textId="77777777" w:rsidR="00D12377" w:rsidRPr="00D12377" w:rsidRDefault="00D12377" w:rsidP="00D12377">
            <w:pPr>
              <w:spacing w:after="0"/>
              <w:jc w:val="right"/>
              <w:rPr>
                <w:rFonts w:ascii="Arial" w:hAnsi="Arial" w:cs="Arial"/>
                <w:sz w:val="16"/>
                <w:szCs w:val="16"/>
              </w:rPr>
            </w:pPr>
            <w:r w:rsidRPr="00D12377">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6FFCBF3B" w14:textId="77777777" w:rsidR="00D12377" w:rsidRPr="00D12377" w:rsidRDefault="00D12377" w:rsidP="00D12377">
            <w:pPr>
              <w:spacing w:after="0"/>
              <w:jc w:val="right"/>
              <w:rPr>
                <w:rFonts w:ascii="Arial" w:hAnsi="Arial" w:cs="Arial"/>
                <w:sz w:val="16"/>
                <w:szCs w:val="16"/>
              </w:rPr>
            </w:pPr>
          </w:p>
        </w:tc>
        <w:tc>
          <w:tcPr>
            <w:tcW w:w="896" w:type="dxa"/>
            <w:tcBorders>
              <w:top w:val="nil"/>
              <w:left w:val="nil"/>
              <w:bottom w:val="nil"/>
              <w:right w:val="nil"/>
            </w:tcBorders>
            <w:shd w:val="clear" w:color="auto" w:fill="auto"/>
            <w:noWrap/>
            <w:vAlign w:val="bottom"/>
            <w:hideMark/>
          </w:tcPr>
          <w:p w14:paraId="4E412F79" w14:textId="77777777" w:rsidR="00D12377" w:rsidRPr="00D12377" w:rsidRDefault="00D12377" w:rsidP="00D12377">
            <w:pPr>
              <w:spacing w:after="0"/>
              <w:jc w:val="right"/>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35C7044F" w14:textId="77777777" w:rsidR="00D12377" w:rsidRPr="00D12377" w:rsidRDefault="00D12377" w:rsidP="00D12377">
            <w:pPr>
              <w:spacing w:after="0"/>
              <w:jc w:val="right"/>
              <w:rPr>
                <w:rFonts w:ascii="Times New Roman" w:hAnsi="Times New Roman"/>
                <w:color w:val="auto"/>
                <w:sz w:val="20"/>
              </w:rPr>
            </w:pPr>
          </w:p>
        </w:tc>
      </w:tr>
      <w:tr w:rsidR="00D12377" w:rsidRPr="00D12377" w14:paraId="3AD58707"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3CBDDE5A" w14:textId="77777777" w:rsidR="00D12377" w:rsidRPr="00D12377" w:rsidRDefault="00D12377" w:rsidP="00D12377">
            <w:pPr>
              <w:spacing w:after="0"/>
              <w:ind w:firstLineChars="200" w:firstLine="320"/>
              <w:rPr>
                <w:rFonts w:ascii="Arial" w:hAnsi="Arial" w:cs="Arial"/>
                <w:sz w:val="16"/>
                <w:szCs w:val="16"/>
              </w:rPr>
            </w:pPr>
            <w:r w:rsidRPr="00D12377">
              <w:rPr>
                <w:rFonts w:ascii="Arial" w:hAnsi="Arial" w:cs="Arial"/>
                <w:sz w:val="16"/>
                <w:szCs w:val="16"/>
              </w:rPr>
              <w:t>Land and buildings</w:t>
            </w:r>
          </w:p>
        </w:tc>
        <w:tc>
          <w:tcPr>
            <w:tcW w:w="910" w:type="dxa"/>
            <w:tcBorders>
              <w:top w:val="nil"/>
              <w:left w:val="nil"/>
              <w:bottom w:val="nil"/>
              <w:right w:val="nil"/>
            </w:tcBorders>
            <w:shd w:val="clear" w:color="auto" w:fill="auto"/>
            <w:noWrap/>
            <w:vAlign w:val="bottom"/>
            <w:hideMark/>
          </w:tcPr>
          <w:p w14:paraId="5B080932"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202,043</w:t>
            </w:r>
          </w:p>
        </w:tc>
        <w:tc>
          <w:tcPr>
            <w:tcW w:w="895" w:type="dxa"/>
            <w:tcBorders>
              <w:top w:val="nil"/>
              <w:left w:val="nil"/>
              <w:bottom w:val="nil"/>
              <w:right w:val="nil"/>
            </w:tcBorders>
            <w:shd w:val="clear" w:color="000000" w:fill="D9D9D9"/>
            <w:noWrap/>
            <w:vAlign w:val="bottom"/>
            <w:hideMark/>
          </w:tcPr>
          <w:p w14:paraId="5E55AF95"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204,370</w:t>
            </w:r>
          </w:p>
        </w:tc>
        <w:tc>
          <w:tcPr>
            <w:tcW w:w="896" w:type="dxa"/>
            <w:tcBorders>
              <w:top w:val="nil"/>
              <w:left w:val="nil"/>
              <w:bottom w:val="nil"/>
              <w:right w:val="nil"/>
            </w:tcBorders>
            <w:shd w:val="clear" w:color="auto" w:fill="auto"/>
            <w:noWrap/>
            <w:vAlign w:val="bottom"/>
            <w:hideMark/>
          </w:tcPr>
          <w:p w14:paraId="183DE0F7"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231,563</w:t>
            </w:r>
          </w:p>
        </w:tc>
        <w:tc>
          <w:tcPr>
            <w:tcW w:w="896" w:type="dxa"/>
            <w:tcBorders>
              <w:top w:val="nil"/>
              <w:left w:val="nil"/>
              <w:bottom w:val="nil"/>
              <w:right w:val="nil"/>
            </w:tcBorders>
            <w:shd w:val="clear" w:color="auto" w:fill="auto"/>
            <w:noWrap/>
            <w:vAlign w:val="bottom"/>
            <w:hideMark/>
          </w:tcPr>
          <w:p w14:paraId="18EC248C"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239,842</w:t>
            </w:r>
          </w:p>
        </w:tc>
        <w:tc>
          <w:tcPr>
            <w:tcW w:w="890" w:type="dxa"/>
            <w:tcBorders>
              <w:top w:val="nil"/>
              <w:left w:val="nil"/>
              <w:bottom w:val="nil"/>
              <w:right w:val="nil"/>
            </w:tcBorders>
            <w:shd w:val="clear" w:color="auto" w:fill="auto"/>
            <w:noWrap/>
            <w:vAlign w:val="bottom"/>
            <w:hideMark/>
          </w:tcPr>
          <w:p w14:paraId="3642C6E8"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239,035</w:t>
            </w:r>
          </w:p>
        </w:tc>
      </w:tr>
      <w:tr w:rsidR="00D12377" w:rsidRPr="00D12377" w14:paraId="2A084E2E"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2CA9DBBB" w14:textId="77777777" w:rsidR="00D12377" w:rsidRPr="00D12377" w:rsidRDefault="00D12377" w:rsidP="00D12377">
            <w:pPr>
              <w:spacing w:after="0"/>
              <w:ind w:firstLineChars="200" w:firstLine="320"/>
              <w:rPr>
                <w:rFonts w:ascii="Arial" w:hAnsi="Arial" w:cs="Arial"/>
                <w:sz w:val="16"/>
                <w:szCs w:val="16"/>
              </w:rPr>
            </w:pPr>
            <w:r w:rsidRPr="00D12377">
              <w:rPr>
                <w:rFonts w:ascii="Arial" w:hAnsi="Arial" w:cs="Arial"/>
                <w:sz w:val="16"/>
                <w:szCs w:val="16"/>
              </w:rPr>
              <w:t>Property, plant and equipment</w:t>
            </w:r>
          </w:p>
        </w:tc>
        <w:tc>
          <w:tcPr>
            <w:tcW w:w="910" w:type="dxa"/>
            <w:tcBorders>
              <w:top w:val="nil"/>
              <w:left w:val="nil"/>
              <w:bottom w:val="nil"/>
              <w:right w:val="nil"/>
            </w:tcBorders>
            <w:shd w:val="clear" w:color="auto" w:fill="auto"/>
            <w:noWrap/>
            <w:vAlign w:val="bottom"/>
            <w:hideMark/>
          </w:tcPr>
          <w:p w14:paraId="0B5F53A7"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9,382</w:t>
            </w:r>
          </w:p>
        </w:tc>
        <w:tc>
          <w:tcPr>
            <w:tcW w:w="895" w:type="dxa"/>
            <w:tcBorders>
              <w:top w:val="nil"/>
              <w:left w:val="nil"/>
              <w:bottom w:val="nil"/>
              <w:right w:val="nil"/>
            </w:tcBorders>
            <w:shd w:val="clear" w:color="000000" w:fill="D9D9D9"/>
            <w:noWrap/>
            <w:vAlign w:val="bottom"/>
            <w:hideMark/>
          </w:tcPr>
          <w:p w14:paraId="6318E26A"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9,219</w:t>
            </w:r>
          </w:p>
        </w:tc>
        <w:tc>
          <w:tcPr>
            <w:tcW w:w="896" w:type="dxa"/>
            <w:tcBorders>
              <w:top w:val="nil"/>
              <w:left w:val="nil"/>
              <w:bottom w:val="nil"/>
              <w:right w:val="nil"/>
            </w:tcBorders>
            <w:shd w:val="clear" w:color="auto" w:fill="auto"/>
            <w:noWrap/>
            <w:vAlign w:val="bottom"/>
            <w:hideMark/>
          </w:tcPr>
          <w:p w14:paraId="4CB2F7EA"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12,327</w:t>
            </w:r>
          </w:p>
        </w:tc>
        <w:tc>
          <w:tcPr>
            <w:tcW w:w="896" w:type="dxa"/>
            <w:tcBorders>
              <w:top w:val="nil"/>
              <w:left w:val="nil"/>
              <w:bottom w:val="nil"/>
              <w:right w:val="nil"/>
            </w:tcBorders>
            <w:shd w:val="clear" w:color="auto" w:fill="auto"/>
            <w:noWrap/>
            <w:vAlign w:val="bottom"/>
            <w:hideMark/>
          </w:tcPr>
          <w:p w14:paraId="08DDAC12"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14,579</w:t>
            </w:r>
          </w:p>
        </w:tc>
        <w:tc>
          <w:tcPr>
            <w:tcW w:w="890" w:type="dxa"/>
            <w:tcBorders>
              <w:top w:val="nil"/>
              <w:left w:val="nil"/>
              <w:bottom w:val="nil"/>
              <w:right w:val="nil"/>
            </w:tcBorders>
            <w:shd w:val="clear" w:color="auto" w:fill="auto"/>
            <w:noWrap/>
            <w:vAlign w:val="bottom"/>
            <w:hideMark/>
          </w:tcPr>
          <w:p w14:paraId="3B1EDCC5"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16,830</w:t>
            </w:r>
          </w:p>
        </w:tc>
      </w:tr>
      <w:tr w:rsidR="00D12377" w:rsidRPr="00D12377" w14:paraId="1127733F"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1BAC01AC" w14:textId="77777777" w:rsidR="00D12377" w:rsidRPr="00D12377" w:rsidRDefault="00D12377" w:rsidP="00D12377">
            <w:pPr>
              <w:spacing w:after="0"/>
              <w:ind w:firstLineChars="200" w:firstLine="320"/>
              <w:rPr>
                <w:rFonts w:ascii="Arial" w:hAnsi="Arial" w:cs="Arial"/>
                <w:sz w:val="16"/>
                <w:szCs w:val="16"/>
              </w:rPr>
            </w:pPr>
            <w:r w:rsidRPr="00D12377">
              <w:rPr>
                <w:rFonts w:ascii="Arial" w:hAnsi="Arial" w:cs="Arial"/>
                <w:sz w:val="16"/>
                <w:szCs w:val="16"/>
              </w:rPr>
              <w:t>Intangibles</w:t>
            </w:r>
          </w:p>
        </w:tc>
        <w:tc>
          <w:tcPr>
            <w:tcW w:w="910" w:type="dxa"/>
            <w:tcBorders>
              <w:top w:val="nil"/>
              <w:left w:val="nil"/>
              <w:bottom w:val="nil"/>
              <w:right w:val="nil"/>
            </w:tcBorders>
            <w:shd w:val="clear" w:color="auto" w:fill="auto"/>
            <w:noWrap/>
            <w:vAlign w:val="bottom"/>
            <w:hideMark/>
          </w:tcPr>
          <w:p w14:paraId="30C8D77C"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1,476</w:t>
            </w:r>
          </w:p>
        </w:tc>
        <w:tc>
          <w:tcPr>
            <w:tcW w:w="895" w:type="dxa"/>
            <w:tcBorders>
              <w:top w:val="nil"/>
              <w:left w:val="nil"/>
              <w:bottom w:val="nil"/>
              <w:right w:val="nil"/>
            </w:tcBorders>
            <w:shd w:val="clear" w:color="000000" w:fill="D9D9D9"/>
            <w:noWrap/>
            <w:vAlign w:val="bottom"/>
            <w:hideMark/>
          </w:tcPr>
          <w:p w14:paraId="23FF8C23"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5,890</w:t>
            </w:r>
          </w:p>
        </w:tc>
        <w:tc>
          <w:tcPr>
            <w:tcW w:w="896" w:type="dxa"/>
            <w:tcBorders>
              <w:top w:val="nil"/>
              <w:left w:val="nil"/>
              <w:bottom w:val="nil"/>
              <w:right w:val="nil"/>
            </w:tcBorders>
            <w:shd w:val="clear" w:color="auto" w:fill="auto"/>
            <w:noWrap/>
            <w:vAlign w:val="bottom"/>
            <w:hideMark/>
          </w:tcPr>
          <w:p w14:paraId="1DAFD742"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6,757</w:t>
            </w:r>
          </w:p>
        </w:tc>
        <w:tc>
          <w:tcPr>
            <w:tcW w:w="896" w:type="dxa"/>
            <w:tcBorders>
              <w:top w:val="nil"/>
              <w:left w:val="nil"/>
              <w:bottom w:val="nil"/>
              <w:right w:val="nil"/>
            </w:tcBorders>
            <w:shd w:val="clear" w:color="auto" w:fill="auto"/>
            <w:noWrap/>
            <w:vAlign w:val="bottom"/>
            <w:hideMark/>
          </w:tcPr>
          <w:p w14:paraId="7DE1CFD2"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5,593</w:t>
            </w:r>
          </w:p>
        </w:tc>
        <w:tc>
          <w:tcPr>
            <w:tcW w:w="890" w:type="dxa"/>
            <w:tcBorders>
              <w:top w:val="nil"/>
              <w:left w:val="nil"/>
              <w:bottom w:val="nil"/>
              <w:right w:val="nil"/>
            </w:tcBorders>
            <w:shd w:val="clear" w:color="auto" w:fill="auto"/>
            <w:noWrap/>
            <w:vAlign w:val="bottom"/>
            <w:hideMark/>
          </w:tcPr>
          <w:p w14:paraId="5AEEAB1E"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7,003</w:t>
            </w:r>
          </w:p>
        </w:tc>
      </w:tr>
      <w:tr w:rsidR="00D12377" w:rsidRPr="00D12377" w14:paraId="7BF3E286" w14:textId="77777777" w:rsidTr="00D12377">
        <w:trPr>
          <w:trHeight w:val="225"/>
          <w:jc w:val="center"/>
        </w:trPr>
        <w:tc>
          <w:tcPr>
            <w:tcW w:w="2910" w:type="dxa"/>
            <w:tcBorders>
              <w:top w:val="nil"/>
              <w:left w:val="nil"/>
              <w:bottom w:val="nil"/>
              <w:right w:val="nil"/>
            </w:tcBorders>
            <w:shd w:val="clear" w:color="auto" w:fill="auto"/>
            <w:noWrap/>
            <w:vAlign w:val="center"/>
            <w:hideMark/>
          </w:tcPr>
          <w:p w14:paraId="317CE718" w14:textId="77777777" w:rsidR="00D12377" w:rsidRPr="00D12377" w:rsidRDefault="00D12377" w:rsidP="00D12377">
            <w:pPr>
              <w:spacing w:after="0"/>
              <w:ind w:firstLineChars="200" w:firstLine="320"/>
              <w:rPr>
                <w:rFonts w:ascii="Arial" w:hAnsi="Arial" w:cs="Arial"/>
                <w:sz w:val="16"/>
                <w:szCs w:val="16"/>
              </w:rPr>
            </w:pPr>
            <w:r w:rsidRPr="00D12377">
              <w:rPr>
                <w:rFonts w:ascii="Arial" w:hAnsi="Arial" w:cs="Arial"/>
                <w:sz w:val="16"/>
                <w:szCs w:val="16"/>
              </w:rPr>
              <w:t>Inventories</w:t>
            </w:r>
          </w:p>
        </w:tc>
        <w:tc>
          <w:tcPr>
            <w:tcW w:w="910" w:type="dxa"/>
            <w:tcBorders>
              <w:top w:val="nil"/>
              <w:left w:val="nil"/>
              <w:bottom w:val="nil"/>
              <w:right w:val="nil"/>
            </w:tcBorders>
            <w:shd w:val="clear" w:color="auto" w:fill="auto"/>
            <w:noWrap/>
            <w:vAlign w:val="bottom"/>
            <w:hideMark/>
          </w:tcPr>
          <w:p w14:paraId="1FBA47D5"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398</w:t>
            </w:r>
          </w:p>
        </w:tc>
        <w:tc>
          <w:tcPr>
            <w:tcW w:w="895" w:type="dxa"/>
            <w:tcBorders>
              <w:top w:val="nil"/>
              <w:left w:val="nil"/>
              <w:bottom w:val="nil"/>
              <w:right w:val="nil"/>
            </w:tcBorders>
            <w:shd w:val="clear" w:color="000000" w:fill="D9D9D9"/>
            <w:noWrap/>
            <w:vAlign w:val="bottom"/>
            <w:hideMark/>
          </w:tcPr>
          <w:p w14:paraId="48626E20"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398</w:t>
            </w:r>
          </w:p>
        </w:tc>
        <w:tc>
          <w:tcPr>
            <w:tcW w:w="896" w:type="dxa"/>
            <w:tcBorders>
              <w:top w:val="nil"/>
              <w:left w:val="nil"/>
              <w:bottom w:val="nil"/>
              <w:right w:val="nil"/>
            </w:tcBorders>
            <w:shd w:val="clear" w:color="auto" w:fill="auto"/>
            <w:noWrap/>
            <w:vAlign w:val="bottom"/>
            <w:hideMark/>
          </w:tcPr>
          <w:p w14:paraId="0327A0DD"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398</w:t>
            </w:r>
          </w:p>
        </w:tc>
        <w:tc>
          <w:tcPr>
            <w:tcW w:w="896" w:type="dxa"/>
            <w:tcBorders>
              <w:top w:val="nil"/>
              <w:left w:val="nil"/>
              <w:bottom w:val="nil"/>
              <w:right w:val="nil"/>
            </w:tcBorders>
            <w:shd w:val="clear" w:color="auto" w:fill="auto"/>
            <w:noWrap/>
            <w:vAlign w:val="bottom"/>
            <w:hideMark/>
          </w:tcPr>
          <w:p w14:paraId="2252EC98"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398</w:t>
            </w:r>
          </w:p>
        </w:tc>
        <w:tc>
          <w:tcPr>
            <w:tcW w:w="890" w:type="dxa"/>
            <w:tcBorders>
              <w:top w:val="nil"/>
              <w:left w:val="nil"/>
              <w:bottom w:val="nil"/>
              <w:right w:val="nil"/>
            </w:tcBorders>
            <w:shd w:val="clear" w:color="auto" w:fill="auto"/>
            <w:noWrap/>
            <w:vAlign w:val="bottom"/>
            <w:hideMark/>
          </w:tcPr>
          <w:p w14:paraId="624B4070"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398</w:t>
            </w:r>
          </w:p>
        </w:tc>
      </w:tr>
      <w:tr w:rsidR="00D12377" w:rsidRPr="00D12377" w14:paraId="3B25F15E"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564626B7" w14:textId="77777777" w:rsidR="00D12377" w:rsidRPr="00D12377" w:rsidRDefault="00D12377" w:rsidP="00D12377">
            <w:pPr>
              <w:spacing w:after="0"/>
              <w:ind w:firstLineChars="200" w:firstLine="320"/>
              <w:rPr>
                <w:rFonts w:ascii="Arial" w:hAnsi="Arial" w:cs="Arial"/>
                <w:sz w:val="16"/>
                <w:szCs w:val="16"/>
              </w:rPr>
            </w:pPr>
            <w:r w:rsidRPr="00D12377">
              <w:rPr>
                <w:rFonts w:ascii="Arial" w:hAnsi="Arial" w:cs="Arial"/>
                <w:sz w:val="16"/>
                <w:szCs w:val="16"/>
              </w:rPr>
              <w:t>Other non-financial assets</w:t>
            </w:r>
          </w:p>
        </w:tc>
        <w:tc>
          <w:tcPr>
            <w:tcW w:w="910" w:type="dxa"/>
            <w:tcBorders>
              <w:top w:val="nil"/>
              <w:left w:val="nil"/>
              <w:bottom w:val="nil"/>
              <w:right w:val="nil"/>
            </w:tcBorders>
            <w:shd w:val="clear" w:color="auto" w:fill="auto"/>
            <w:noWrap/>
            <w:vAlign w:val="bottom"/>
            <w:hideMark/>
          </w:tcPr>
          <w:p w14:paraId="5C481405"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2,569</w:t>
            </w:r>
          </w:p>
        </w:tc>
        <w:tc>
          <w:tcPr>
            <w:tcW w:w="895" w:type="dxa"/>
            <w:tcBorders>
              <w:top w:val="nil"/>
              <w:left w:val="nil"/>
              <w:bottom w:val="nil"/>
              <w:right w:val="nil"/>
            </w:tcBorders>
            <w:shd w:val="clear" w:color="000000" w:fill="D9D9D9"/>
            <w:noWrap/>
            <w:vAlign w:val="bottom"/>
            <w:hideMark/>
          </w:tcPr>
          <w:p w14:paraId="5434DFFA"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2,569</w:t>
            </w:r>
          </w:p>
        </w:tc>
        <w:tc>
          <w:tcPr>
            <w:tcW w:w="896" w:type="dxa"/>
            <w:tcBorders>
              <w:top w:val="nil"/>
              <w:left w:val="nil"/>
              <w:bottom w:val="nil"/>
              <w:right w:val="nil"/>
            </w:tcBorders>
            <w:shd w:val="clear" w:color="auto" w:fill="auto"/>
            <w:noWrap/>
            <w:vAlign w:val="bottom"/>
            <w:hideMark/>
          </w:tcPr>
          <w:p w14:paraId="0B8163B3"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2,569</w:t>
            </w:r>
          </w:p>
        </w:tc>
        <w:tc>
          <w:tcPr>
            <w:tcW w:w="896" w:type="dxa"/>
            <w:tcBorders>
              <w:top w:val="nil"/>
              <w:left w:val="nil"/>
              <w:bottom w:val="nil"/>
              <w:right w:val="nil"/>
            </w:tcBorders>
            <w:shd w:val="clear" w:color="auto" w:fill="auto"/>
            <w:noWrap/>
            <w:vAlign w:val="bottom"/>
            <w:hideMark/>
          </w:tcPr>
          <w:p w14:paraId="7DDA7063"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2,569</w:t>
            </w:r>
          </w:p>
        </w:tc>
        <w:tc>
          <w:tcPr>
            <w:tcW w:w="890" w:type="dxa"/>
            <w:tcBorders>
              <w:top w:val="nil"/>
              <w:left w:val="nil"/>
              <w:bottom w:val="nil"/>
              <w:right w:val="nil"/>
            </w:tcBorders>
            <w:shd w:val="clear" w:color="auto" w:fill="auto"/>
            <w:noWrap/>
            <w:vAlign w:val="bottom"/>
            <w:hideMark/>
          </w:tcPr>
          <w:p w14:paraId="4016862B"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2,569</w:t>
            </w:r>
          </w:p>
        </w:tc>
      </w:tr>
      <w:tr w:rsidR="00D12377" w:rsidRPr="00D12377" w14:paraId="626C1A77"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39A98382" w14:textId="77777777" w:rsidR="00D12377" w:rsidRPr="00D12377" w:rsidRDefault="00D12377" w:rsidP="00D12377">
            <w:pPr>
              <w:spacing w:after="0"/>
              <w:ind w:firstLineChars="200" w:firstLine="320"/>
              <w:rPr>
                <w:rFonts w:ascii="Arial" w:hAnsi="Arial" w:cs="Arial"/>
                <w:b/>
                <w:bCs/>
                <w:sz w:val="16"/>
                <w:szCs w:val="16"/>
              </w:rPr>
            </w:pPr>
            <w:r w:rsidRPr="00D12377">
              <w:rPr>
                <w:rFonts w:ascii="Arial" w:hAnsi="Arial" w:cs="Arial"/>
                <w:b/>
                <w:bCs/>
                <w:sz w:val="16"/>
                <w:szCs w:val="16"/>
              </w:rPr>
              <w:t>Total non-financial assets</w:t>
            </w:r>
          </w:p>
        </w:tc>
        <w:tc>
          <w:tcPr>
            <w:tcW w:w="910" w:type="dxa"/>
            <w:tcBorders>
              <w:top w:val="nil"/>
              <w:left w:val="nil"/>
              <w:bottom w:val="single" w:sz="4" w:space="0" w:color="auto"/>
              <w:right w:val="nil"/>
            </w:tcBorders>
            <w:shd w:val="clear" w:color="auto" w:fill="auto"/>
            <w:noWrap/>
            <w:vAlign w:val="bottom"/>
            <w:hideMark/>
          </w:tcPr>
          <w:p w14:paraId="3726DC55"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215,868</w:t>
            </w:r>
          </w:p>
        </w:tc>
        <w:tc>
          <w:tcPr>
            <w:tcW w:w="895" w:type="dxa"/>
            <w:tcBorders>
              <w:top w:val="nil"/>
              <w:left w:val="nil"/>
              <w:bottom w:val="single" w:sz="4" w:space="0" w:color="auto"/>
              <w:right w:val="nil"/>
            </w:tcBorders>
            <w:shd w:val="clear" w:color="000000" w:fill="D9D9D9"/>
            <w:noWrap/>
            <w:vAlign w:val="bottom"/>
            <w:hideMark/>
          </w:tcPr>
          <w:p w14:paraId="68DF7501"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222,446</w:t>
            </w:r>
          </w:p>
        </w:tc>
        <w:tc>
          <w:tcPr>
            <w:tcW w:w="896" w:type="dxa"/>
            <w:tcBorders>
              <w:top w:val="nil"/>
              <w:left w:val="nil"/>
              <w:bottom w:val="single" w:sz="4" w:space="0" w:color="auto"/>
              <w:right w:val="nil"/>
            </w:tcBorders>
            <w:shd w:val="clear" w:color="auto" w:fill="auto"/>
            <w:noWrap/>
            <w:vAlign w:val="bottom"/>
            <w:hideMark/>
          </w:tcPr>
          <w:p w14:paraId="5F98962E"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253,614</w:t>
            </w:r>
          </w:p>
        </w:tc>
        <w:tc>
          <w:tcPr>
            <w:tcW w:w="896" w:type="dxa"/>
            <w:tcBorders>
              <w:top w:val="nil"/>
              <w:left w:val="nil"/>
              <w:bottom w:val="single" w:sz="4" w:space="0" w:color="auto"/>
              <w:right w:val="nil"/>
            </w:tcBorders>
            <w:shd w:val="clear" w:color="auto" w:fill="auto"/>
            <w:noWrap/>
            <w:vAlign w:val="bottom"/>
            <w:hideMark/>
          </w:tcPr>
          <w:p w14:paraId="7BC65559"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262,981</w:t>
            </w:r>
          </w:p>
        </w:tc>
        <w:tc>
          <w:tcPr>
            <w:tcW w:w="890" w:type="dxa"/>
            <w:tcBorders>
              <w:top w:val="nil"/>
              <w:left w:val="nil"/>
              <w:bottom w:val="single" w:sz="4" w:space="0" w:color="auto"/>
              <w:right w:val="nil"/>
            </w:tcBorders>
            <w:shd w:val="clear" w:color="auto" w:fill="auto"/>
            <w:noWrap/>
            <w:vAlign w:val="bottom"/>
            <w:hideMark/>
          </w:tcPr>
          <w:p w14:paraId="02C53417"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265,835</w:t>
            </w:r>
          </w:p>
        </w:tc>
      </w:tr>
      <w:tr w:rsidR="00D12377" w:rsidRPr="00D12377" w14:paraId="38DC384A"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68402557" w14:textId="77777777" w:rsidR="00D12377" w:rsidRPr="00D12377" w:rsidRDefault="00D12377" w:rsidP="00D12377">
            <w:pPr>
              <w:spacing w:after="0"/>
              <w:ind w:leftChars="75" w:left="143"/>
              <w:rPr>
                <w:rFonts w:ascii="Arial" w:hAnsi="Arial" w:cs="Arial"/>
                <w:b/>
                <w:bCs/>
                <w:sz w:val="16"/>
                <w:szCs w:val="16"/>
              </w:rPr>
            </w:pPr>
            <w:r w:rsidRPr="00D12377">
              <w:rPr>
                <w:rFonts w:ascii="Arial" w:hAnsi="Arial" w:cs="Arial"/>
                <w:b/>
                <w:bCs/>
                <w:sz w:val="16"/>
                <w:szCs w:val="16"/>
              </w:rPr>
              <w:t>Total assets</w:t>
            </w:r>
          </w:p>
        </w:tc>
        <w:tc>
          <w:tcPr>
            <w:tcW w:w="910" w:type="dxa"/>
            <w:tcBorders>
              <w:top w:val="nil"/>
              <w:left w:val="nil"/>
              <w:bottom w:val="single" w:sz="4" w:space="0" w:color="auto"/>
              <w:right w:val="nil"/>
            </w:tcBorders>
            <w:shd w:val="clear" w:color="auto" w:fill="auto"/>
            <w:noWrap/>
            <w:vAlign w:val="bottom"/>
            <w:hideMark/>
          </w:tcPr>
          <w:p w14:paraId="7FE570D7"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350,097</w:t>
            </w:r>
          </w:p>
        </w:tc>
        <w:tc>
          <w:tcPr>
            <w:tcW w:w="895" w:type="dxa"/>
            <w:tcBorders>
              <w:top w:val="nil"/>
              <w:left w:val="nil"/>
              <w:bottom w:val="single" w:sz="4" w:space="0" w:color="auto"/>
              <w:right w:val="nil"/>
            </w:tcBorders>
            <w:shd w:val="clear" w:color="000000" w:fill="D9D9D9"/>
            <w:noWrap/>
            <w:vAlign w:val="bottom"/>
            <w:hideMark/>
          </w:tcPr>
          <w:p w14:paraId="2026DA13"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351,516</w:t>
            </w:r>
          </w:p>
        </w:tc>
        <w:tc>
          <w:tcPr>
            <w:tcW w:w="896" w:type="dxa"/>
            <w:tcBorders>
              <w:top w:val="nil"/>
              <w:left w:val="nil"/>
              <w:bottom w:val="single" w:sz="4" w:space="0" w:color="auto"/>
              <w:right w:val="nil"/>
            </w:tcBorders>
            <w:shd w:val="clear" w:color="auto" w:fill="auto"/>
            <w:noWrap/>
            <w:vAlign w:val="bottom"/>
            <w:hideMark/>
          </w:tcPr>
          <w:p w14:paraId="0D88C905"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340,219</w:t>
            </w:r>
          </w:p>
        </w:tc>
        <w:tc>
          <w:tcPr>
            <w:tcW w:w="896" w:type="dxa"/>
            <w:tcBorders>
              <w:top w:val="nil"/>
              <w:left w:val="nil"/>
              <w:bottom w:val="single" w:sz="4" w:space="0" w:color="auto"/>
              <w:right w:val="nil"/>
            </w:tcBorders>
            <w:shd w:val="clear" w:color="auto" w:fill="auto"/>
            <w:noWrap/>
            <w:vAlign w:val="bottom"/>
            <w:hideMark/>
          </w:tcPr>
          <w:p w14:paraId="53948E8C"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330,188</w:t>
            </w:r>
          </w:p>
        </w:tc>
        <w:tc>
          <w:tcPr>
            <w:tcW w:w="890" w:type="dxa"/>
            <w:tcBorders>
              <w:top w:val="nil"/>
              <w:left w:val="nil"/>
              <w:bottom w:val="single" w:sz="4" w:space="0" w:color="auto"/>
              <w:right w:val="nil"/>
            </w:tcBorders>
            <w:shd w:val="clear" w:color="auto" w:fill="auto"/>
            <w:noWrap/>
            <w:vAlign w:val="bottom"/>
            <w:hideMark/>
          </w:tcPr>
          <w:p w14:paraId="052D6083"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320,817</w:t>
            </w:r>
          </w:p>
        </w:tc>
      </w:tr>
      <w:tr w:rsidR="00D12377" w:rsidRPr="00D12377" w14:paraId="74BB50AC" w14:textId="77777777" w:rsidTr="00D12377">
        <w:trPr>
          <w:trHeight w:val="283"/>
          <w:jc w:val="center"/>
        </w:trPr>
        <w:tc>
          <w:tcPr>
            <w:tcW w:w="2910" w:type="dxa"/>
            <w:tcBorders>
              <w:top w:val="nil"/>
              <w:left w:val="nil"/>
              <w:bottom w:val="nil"/>
              <w:right w:val="nil"/>
            </w:tcBorders>
            <w:shd w:val="clear" w:color="auto" w:fill="auto"/>
            <w:noWrap/>
            <w:vAlign w:val="bottom"/>
            <w:hideMark/>
          </w:tcPr>
          <w:p w14:paraId="73683949" w14:textId="77777777" w:rsidR="00D12377" w:rsidRPr="00D12377" w:rsidRDefault="00D12377" w:rsidP="00D12377">
            <w:pPr>
              <w:spacing w:after="0"/>
              <w:rPr>
                <w:rFonts w:ascii="Arial" w:hAnsi="Arial" w:cs="Arial"/>
                <w:b/>
                <w:bCs/>
                <w:sz w:val="16"/>
                <w:szCs w:val="16"/>
              </w:rPr>
            </w:pPr>
            <w:r w:rsidRPr="00D12377">
              <w:rPr>
                <w:rFonts w:ascii="Arial" w:hAnsi="Arial" w:cs="Arial"/>
                <w:b/>
                <w:bCs/>
                <w:sz w:val="16"/>
                <w:szCs w:val="16"/>
              </w:rPr>
              <w:t>LIABILITIES</w:t>
            </w:r>
          </w:p>
        </w:tc>
        <w:tc>
          <w:tcPr>
            <w:tcW w:w="910" w:type="dxa"/>
            <w:tcBorders>
              <w:top w:val="nil"/>
              <w:left w:val="nil"/>
              <w:bottom w:val="nil"/>
              <w:right w:val="nil"/>
            </w:tcBorders>
            <w:shd w:val="clear" w:color="auto" w:fill="auto"/>
            <w:noWrap/>
            <w:vAlign w:val="bottom"/>
            <w:hideMark/>
          </w:tcPr>
          <w:p w14:paraId="006A8D86" w14:textId="77777777" w:rsidR="00D12377" w:rsidRPr="00D12377" w:rsidRDefault="00D12377" w:rsidP="00D12377">
            <w:pPr>
              <w:spacing w:after="0"/>
              <w:rPr>
                <w:rFonts w:ascii="Arial" w:hAnsi="Arial" w:cs="Arial"/>
                <w:b/>
                <w:bCs/>
                <w:sz w:val="16"/>
                <w:szCs w:val="16"/>
              </w:rPr>
            </w:pPr>
          </w:p>
        </w:tc>
        <w:tc>
          <w:tcPr>
            <w:tcW w:w="895" w:type="dxa"/>
            <w:tcBorders>
              <w:top w:val="nil"/>
              <w:left w:val="nil"/>
              <w:bottom w:val="nil"/>
              <w:right w:val="nil"/>
            </w:tcBorders>
            <w:shd w:val="clear" w:color="000000" w:fill="D9D9D9"/>
            <w:noWrap/>
            <w:vAlign w:val="bottom"/>
            <w:hideMark/>
          </w:tcPr>
          <w:p w14:paraId="12C405A7" w14:textId="77777777" w:rsidR="00D12377" w:rsidRPr="00D12377" w:rsidRDefault="00D12377" w:rsidP="00D12377">
            <w:pPr>
              <w:spacing w:after="0"/>
              <w:jc w:val="right"/>
              <w:rPr>
                <w:rFonts w:ascii="Arial" w:hAnsi="Arial" w:cs="Arial"/>
                <w:sz w:val="16"/>
                <w:szCs w:val="16"/>
              </w:rPr>
            </w:pPr>
            <w:r w:rsidRPr="00D12377">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0519A573" w14:textId="77777777" w:rsidR="00D12377" w:rsidRPr="00D12377" w:rsidRDefault="00D12377" w:rsidP="00D12377">
            <w:pPr>
              <w:spacing w:after="0"/>
              <w:jc w:val="right"/>
              <w:rPr>
                <w:rFonts w:ascii="Arial" w:hAnsi="Arial" w:cs="Arial"/>
                <w:sz w:val="16"/>
                <w:szCs w:val="16"/>
              </w:rPr>
            </w:pPr>
          </w:p>
        </w:tc>
        <w:tc>
          <w:tcPr>
            <w:tcW w:w="896" w:type="dxa"/>
            <w:tcBorders>
              <w:top w:val="nil"/>
              <w:left w:val="nil"/>
              <w:bottom w:val="nil"/>
              <w:right w:val="nil"/>
            </w:tcBorders>
            <w:shd w:val="clear" w:color="auto" w:fill="auto"/>
            <w:noWrap/>
            <w:vAlign w:val="bottom"/>
            <w:hideMark/>
          </w:tcPr>
          <w:p w14:paraId="43ECDA39" w14:textId="77777777" w:rsidR="00D12377" w:rsidRPr="00D12377" w:rsidRDefault="00D12377" w:rsidP="00D12377">
            <w:pPr>
              <w:spacing w:after="0"/>
              <w:jc w:val="right"/>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707C89B1" w14:textId="77777777" w:rsidR="00D12377" w:rsidRPr="00D12377" w:rsidRDefault="00D12377" w:rsidP="00D12377">
            <w:pPr>
              <w:spacing w:after="0"/>
              <w:jc w:val="right"/>
              <w:rPr>
                <w:rFonts w:ascii="Times New Roman" w:hAnsi="Times New Roman"/>
                <w:color w:val="auto"/>
                <w:sz w:val="20"/>
              </w:rPr>
            </w:pPr>
          </w:p>
        </w:tc>
      </w:tr>
      <w:tr w:rsidR="00D12377" w:rsidRPr="00D12377" w14:paraId="26BA0C97"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5112BC9C" w14:textId="77777777" w:rsidR="00D12377" w:rsidRPr="00D12377" w:rsidRDefault="00D12377" w:rsidP="00D12377">
            <w:pPr>
              <w:spacing w:after="0"/>
              <w:ind w:leftChars="75" w:left="143"/>
              <w:rPr>
                <w:rFonts w:ascii="Arial" w:hAnsi="Arial" w:cs="Arial"/>
                <w:b/>
                <w:bCs/>
                <w:sz w:val="16"/>
                <w:szCs w:val="16"/>
              </w:rPr>
            </w:pPr>
            <w:r w:rsidRPr="00D12377">
              <w:rPr>
                <w:rFonts w:ascii="Arial" w:hAnsi="Arial" w:cs="Arial"/>
                <w:b/>
                <w:bCs/>
                <w:sz w:val="16"/>
                <w:szCs w:val="16"/>
              </w:rPr>
              <w:t>Payables</w:t>
            </w:r>
          </w:p>
        </w:tc>
        <w:tc>
          <w:tcPr>
            <w:tcW w:w="910" w:type="dxa"/>
            <w:tcBorders>
              <w:top w:val="nil"/>
              <w:left w:val="nil"/>
              <w:bottom w:val="nil"/>
              <w:right w:val="nil"/>
            </w:tcBorders>
            <w:shd w:val="clear" w:color="auto" w:fill="auto"/>
            <w:noWrap/>
            <w:vAlign w:val="bottom"/>
            <w:hideMark/>
          </w:tcPr>
          <w:p w14:paraId="56DA9CB0" w14:textId="77777777" w:rsidR="00D12377" w:rsidRPr="00D12377" w:rsidRDefault="00D12377" w:rsidP="00D12377">
            <w:pPr>
              <w:spacing w:after="0"/>
              <w:ind w:firstLineChars="100" w:firstLine="160"/>
              <w:rPr>
                <w:rFonts w:ascii="Arial" w:hAnsi="Arial" w:cs="Arial"/>
                <w:b/>
                <w:bCs/>
                <w:sz w:val="16"/>
                <w:szCs w:val="16"/>
              </w:rPr>
            </w:pPr>
          </w:p>
        </w:tc>
        <w:tc>
          <w:tcPr>
            <w:tcW w:w="895" w:type="dxa"/>
            <w:tcBorders>
              <w:top w:val="nil"/>
              <w:left w:val="nil"/>
              <w:bottom w:val="nil"/>
              <w:right w:val="nil"/>
            </w:tcBorders>
            <w:shd w:val="clear" w:color="000000" w:fill="D9D9D9"/>
            <w:noWrap/>
            <w:vAlign w:val="bottom"/>
            <w:hideMark/>
          </w:tcPr>
          <w:p w14:paraId="1BB9FAFC" w14:textId="77777777" w:rsidR="00D12377" w:rsidRPr="00D12377" w:rsidRDefault="00D12377" w:rsidP="00D12377">
            <w:pPr>
              <w:spacing w:after="0"/>
              <w:jc w:val="right"/>
              <w:rPr>
                <w:rFonts w:ascii="Arial" w:hAnsi="Arial" w:cs="Arial"/>
                <w:sz w:val="16"/>
                <w:szCs w:val="16"/>
              </w:rPr>
            </w:pPr>
            <w:r w:rsidRPr="00D12377">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48DE505E" w14:textId="77777777" w:rsidR="00D12377" w:rsidRPr="00D12377" w:rsidRDefault="00D12377" w:rsidP="00D12377">
            <w:pPr>
              <w:spacing w:after="0"/>
              <w:jc w:val="right"/>
              <w:rPr>
                <w:rFonts w:ascii="Arial" w:hAnsi="Arial" w:cs="Arial"/>
                <w:sz w:val="16"/>
                <w:szCs w:val="16"/>
              </w:rPr>
            </w:pPr>
          </w:p>
        </w:tc>
        <w:tc>
          <w:tcPr>
            <w:tcW w:w="896" w:type="dxa"/>
            <w:tcBorders>
              <w:top w:val="nil"/>
              <w:left w:val="nil"/>
              <w:bottom w:val="nil"/>
              <w:right w:val="nil"/>
            </w:tcBorders>
            <w:shd w:val="clear" w:color="auto" w:fill="auto"/>
            <w:noWrap/>
            <w:vAlign w:val="bottom"/>
            <w:hideMark/>
          </w:tcPr>
          <w:p w14:paraId="13BDF02E" w14:textId="77777777" w:rsidR="00D12377" w:rsidRPr="00D12377" w:rsidRDefault="00D12377" w:rsidP="00D12377">
            <w:pPr>
              <w:spacing w:after="0"/>
              <w:jc w:val="right"/>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78B3D9DE" w14:textId="77777777" w:rsidR="00D12377" w:rsidRPr="00D12377" w:rsidRDefault="00D12377" w:rsidP="00D12377">
            <w:pPr>
              <w:spacing w:after="0"/>
              <w:jc w:val="right"/>
              <w:rPr>
                <w:rFonts w:ascii="Times New Roman" w:hAnsi="Times New Roman"/>
                <w:color w:val="auto"/>
                <w:sz w:val="20"/>
              </w:rPr>
            </w:pPr>
          </w:p>
        </w:tc>
      </w:tr>
      <w:tr w:rsidR="00D12377" w:rsidRPr="00D12377" w14:paraId="5FCDD369"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4A81C8E8" w14:textId="77777777" w:rsidR="00D12377" w:rsidRPr="00D12377" w:rsidRDefault="00D12377" w:rsidP="00D12377">
            <w:pPr>
              <w:spacing w:after="0"/>
              <w:ind w:firstLineChars="200" w:firstLine="320"/>
              <w:rPr>
                <w:rFonts w:ascii="Arial" w:hAnsi="Arial" w:cs="Arial"/>
                <w:sz w:val="16"/>
                <w:szCs w:val="16"/>
              </w:rPr>
            </w:pPr>
            <w:r w:rsidRPr="00D12377">
              <w:rPr>
                <w:rFonts w:ascii="Arial" w:hAnsi="Arial" w:cs="Arial"/>
                <w:sz w:val="16"/>
                <w:szCs w:val="16"/>
              </w:rPr>
              <w:t>Suppliers</w:t>
            </w:r>
          </w:p>
        </w:tc>
        <w:tc>
          <w:tcPr>
            <w:tcW w:w="910" w:type="dxa"/>
            <w:tcBorders>
              <w:top w:val="nil"/>
              <w:left w:val="nil"/>
              <w:bottom w:val="nil"/>
              <w:right w:val="nil"/>
            </w:tcBorders>
            <w:shd w:val="clear" w:color="auto" w:fill="auto"/>
            <w:noWrap/>
            <w:vAlign w:val="bottom"/>
            <w:hideMark/>
          </w:tcPr>
          <w:p w14:paraId="70055421"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3,758</w:t>
            </w:r>
          </w:p>
        </w:tc>
        <w:tc>
          <w:tcPr>
            <w:tcW w:w="895" w:type="dxa"/>
            <w:tcBorders>
              <w:top w:val="nil"/>
              <w:left w:val="nil"/>
              <w:bottom w:val="nil"/>
              <w:right w:val="nil"/>
            </w:tcBorders>
            <w:shd w:val="clear" w:color="000000" w:fill="D9D9D9"/>
            <w:noWrap/>
            <w:vAlign w:val="bottom"/>
            <w:hideMark/>
          </w:tcPr>
          <w:p w14:paraId="17796CC1"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3,465</w:t>
            </w:r>
          </w:p>
        </w:tc>
        <w:tc>
          <w:tcPr>
            <w:tcW w:w="896" w:type="dxa"/>
            <w:tcBorders>
              <w:top w:val="nil"/>
              <w:left w:val="nil"/>
              <w:bottom w:val="nil"/>
              <w:right w:val="nil"/>
            </w:tcBorders>
            <w:shd w:val="clear" w:color="auto" w:fill="auto"/>
            <w:noWrap/>
            <w:vAlign w:val="bottom"/>
            <w:hideMark/>
          </w:tcPr>
          <w:p w14:paraId="284DD7D8"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2,941</w:t>
            </w:r>
          </w:p>
        </w:tc>
        <w:tc>
          <w:tcPr>
            <w:tcW w:w="896" w:type="dxa"/>
            <w:tcBorders>
              <w:top w:val="nil"/>
              <w:left w:val="nil"/>
              <w:bottom w:val="nil"/>
              <w:right w:val="nil"/>
            </w:tcBorders>
            <w:shd w:val="clear" w:color="auto" w:fill="auto"/>
            <w:noWrap/>
            <w:vAlign w:val="bottom"/>
            <w:hideMark/>
          </w:tcPr>
          <w:p w14:paraId="4D5E47FE"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2,140</w:t>
            </w:r>
          </w:p>
        </w:tc>
        <w:tc>
          <w:tcPr>
            <w:tcW w:w="890" w:type="dxa"/>
            <w:tcBorders>
              <w:top w:val="nil"/>
              <w:left w:val="nil"/>
              <w:bottom w:val="nil"/>
              <w:right w:val="nil"/>
            </w:tcBorders>
            <w:shd w:val="clear" w:color="auto" w:fill="auto"/>
            <w:noWrap/>
            <w:vAlign w:val="bottom"/>
            <w:hideMark/>
          </w:tcPr>
          <w:p w14:paraId="34FCC2E6"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1,984</w:t>
            </w:r>
          </w:p>
        </w:tc>
      </w:tr>
      <w:tr w:rsidR="00D12377" w:rsidRPr="00D12377" w14:paraId="76A359ED"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76344586" w14:textId="77777777" w:rsidR="00D12377" w:rsidRPr="00D12377" w:rsidRDefault="00D12377" w:rsidP="00D12377">
            <w:pPr>
              <w:spacing w:after="0"/>
              <w:ind w:firstLineChars="200" w:firstLine="320"/>
              <w:rPr>
                <w:rFonts w:ascii="Arial" w:hAnsi="Arial" w:cs="Arial"/>
                <w:sz w:val="16"/>
                <w:szCs w:val="16"/>
              </w:rPr>
            </w:pPr>
            <w:r w:rsidRPr="00D12377">
              <w:rPr>
                <w:rFonts w:ascii="Arial" w:hAnsi="Arial" w:cs="Arial"/>
                <w:sz w:val="16"/>
                <w:szCs w:val="16"/>
              </w:rPr>
              <w:t>Other payables</w:t>
            </w:r>
          </w:p>
        </w:tc>
        <w:tc>
          <w:tcPr>
            <w:tcW w:w="910" w:type="dxa"/>
            <w:tcBorders>
              <w:top w:val="nil"/>
              <w:left w:val="nil"/>
              <w:bottom w:val="nil"/>
              <w:right w:val="nil"/>
            </w:tcBorders>
            <w:shd w:val="clear" w:color="auto" w:fill="auto"/>
            <w:noWrap/>
            <w:vAlign w:val="bottom"/>
            <w:hideMark/>
          </w:tcPr>
          <w:p w14:paraId="4E5C127A"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5,655</w:t>
            </w:r>
          </w:p>
        </w:tc>
        <w:tc>
          <w:tcPr>
            <w:tcW w:w="895" w:type="dxa"/>
            <w:tcBorders>
              <w:top w:val="nil"/>
              <w:left w:val="nil"/>
              <w:bottom w:val="nil"/>
              <w:right w:val="nil"/>
            </w:tcBorders>
            <w:shd w:val="clear" w:color="000000" w:fill="D9D9D9"/>
            <w:noWrap/>
            <w:vAlign w:val="bottom"/>
            <w:hideMark/>
          </w:tcPr>
          <w:p w14:paraId="3D3DA245"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6,042</w:t>
            </w:r>
          </w:p>
        </w:tc>
        <w:tc>
          <w:tcPr>
            <w:tcW w:w="896" w:type="dxa"/>
            <w:tcBorders>
              <w:top w:val="nil"/>
              <w:left w:val="nil"/>
              <w:bottom w:val="nil"/>
              <w:right w:val="nil"/>
            </w:tcBorders>
            <w:shd w:val="clear" w:color="auto" w:fill="auto"/>
            <w:noWrap/>
            <w:vAlign w:val="bottom"/>
            <w:hideMark/>
          </w:tcPr>
          <w:p w14:paraId="008703A4"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6,042</w:t>
            </w:r>
          </w:p>
        </w:tc>
        <w:tc>
          <w:tcPr>
            <w:tcW w:w="896" w:type="dxa"/>
            <w:tcBorders>
              <w:top w:val="nil"/>
              <w:left w:val="nil"/>
              <w:bottom w:val="nil"/>
              <w:right w:val="nil"/>
            </w:tcBorders>
            <w:shd w:val="clear" w:color="auto" w:fill="auto"/>
            <w:noWrap/>
            <w:vAlign w:val="bottom"/>
            <w:hideMark/>
          </w:tcPr>
          <w:p w14:paraId="56A3647F"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6,042</w:t>
            </w:r>
          </w:p>
        </w:tc>
        <w:tc>
          <w:tcPr>
            <w:tcW w:w="890" w:type="dxa"/>
            <w:tcBorders>
              <w:top w:val="nil"/>
              <w:left w:val="nil"/>
              <w:bottom w:val="nil"/>
              <w:right w:val="nil"/>
            </w:tcBorders>
            <w:shd w:val="clear" w:color="auto" w:fill="auto"/>
            <w:noWrap/>
            <w:vAlign w:val="bottom"/>
            <w:hideMark/>
          </w:tcPr>
          <w:p w14:paraId="555345A3"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6,042</w:t>
            </w:r>
          </w:p>
        </w:tc>
      </w:tr>
      <w:tr w:rsidR="00D12377" w:rsidRPr="00D12377" w14:paraId="6611B5E8"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73BDBF86" w14:textId="77777777" w:rsidR="00D12377" w:rsidRPr="00D12377" w:rsidRDefault="00D12377" w:rsidP="00D12377">
            <w:pPr>
              <w:spacing w:after="0"/>
              <w:ind w:firstLineChars="200" w:firstLine="320"/>
              <w:rPr>
                <w:rFonts w:ascii="Arial" w:hAnsi="Arial" w:cs="Arial"/>
                <w:b/>
                <w:bCs/>
                <w:sz w:val="16"/>
                <w:szCs w:val="16"/>
              </w:rPr>
            </w:pPr>
            <w:r w:rsidRPr="00D12377">
              <w:rPr>
                <w:rFonts w:ascii="Arial" w:hAnsi="Arial" w:cs="Arial"/>
                <w:b/>
                <w:bCs/>
                <w:sz w:val="16"/>
                <w:szCs w:val="16"/>
              </w:rPr>
              <w:t>Total payables</w:t>
            </w:r>
          </w:p>
        </w:tc>
        <w:tc>
          <w:tcPr>
            <w:tcW w:w="910" w:type="dxa"/>
            <w:tcBorders>
              <w:top w:val="nil"/>
              <w:left w:val="nil"/>
              <w:bottom w:val="single" w:sz="4" w:space="0" w:color="auto"/>
              <w:right w:val="nil"/>
            </w:tcBorders>
            <w:shd w:val="clear" w:color="auto" w:fill="auto"/>
            <w:noWrap/>
            <w:vAlign w:val="bottom"/>
            <w:hideMark/>
          </w:tcPr>
          <w:p w14:paraId="51695D35"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9,413</w:t>
            </w:r>
          </w:p>
        </w:tc>
        <w:tc>
          <w:tcPr>
            <w:tcW w:w="895" w:type="dxa"/>
            <w:tcBorders>
              <w:top w:val="nil"/>
              <w:left w:val="nil"/>
              <w:bottom w:val="single" w:sz="4" w:space="0" w:color="auto"/>
              <w:right w:val="nil"/>
            </w:tcBorders>
            <w:shd w:val="clear" w:color="000000" w:fill="D9D9D9"/>
            <w:noWrap/>
            <w:vAlign w:val="bottom"/>
            <w:hideMark/>
          </w:tcPr>
          <w:p w14:paraId="522998E3"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9,507</w:t>
            </w:r>
          </w:p>
        </w:tc>
        <w:tc>
          <w:tcPr>
            <w:tcW w:w="896" w:type="dxa"/>
            <w:tcBorders>
              <w:top w:val="nil"/>
              <w:left w:val="nil"/>
              <w:bottom w:val="single" w:sz="4" w:space="0" w:color="auto"/>
              <w:right w:val="nil"/>
            </w:tcBorders>
            <w:shd w:val="clear" w:color="auto" w:fill="auto"/>
            <w:noWrap/>
            <w:vAlign w:val="bottom"/>
            <w:hideMark/>
          </w:tcPr>
          <w:p w14:paraId="20DB261E"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8,983</w:t>
            </w:r>
          </w:p>
        </w:tc>
        <w:tc>
          <w:tcPr>
            <w:tcW w:w="896" w:type="dxa"/>
            <w:tcBorders>
              <w:top w:val="nil"/>
              <w:left w:val="nil"/>
              <w:bottom w:val="single" w:sz="4" w:space="0" w:color="auto"/>
              <w:right w:val="nil"/>
            </w:tcBorders>
            <w:shd w:val="clear" w:color="auto" w:fill="auto"/>
            <w:noWrap/>
            <w:vAlign w:val="bottom"/>
            <w:hideMark/>
          </w:tcPr>
          <w:p w14:paraId="125204B9"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8,182</w:t>
            </w:r>
          </w:p>
        </w:tc>
        <w:tc>
          <w:tcPr>
            <w:tcW w:w="890" w:type="dxa"/>
            <w:tcBorders>
              <w:top w:val="nil"/>
              <w:left w:val="nil"/>
              <w:bottom w:val="single" w:sz="4" w:space="0" w:color="auto"/>
              <w:right w:val="nil"/>
            </w:tcBorders>
            <w:shd w:val="clear" w:color="auto" w:fill="auto"/>
            <w:noWrap/>
            <w:vAlign w:val="bottom"/>
            <w:hideMark/>
          </w:tcPr>
          <w:p w14:paraId="6F8BED0B"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8,026</w:t>
            </w:r>
          </w:p>
        </w:tc>
      </w:tr>
      <w:tr w:rsidR="00D12377" w:rsidRPr="00D12377" w14:paraId="1AD50F94" w14:textId="77777777" w:rsidTr="00D12377">
        <w:trPr>
          <w:trHeight w:val="283"/>
          <w:jc w:val="center"/>
        </w:trPr>
        <w:tc>
          <w:tcPr>
            <w:tcW w:w="2910" w:type="dxa"/>
            <w:tcBorders>
              <w:top w:val="nil"/>
              <w:left w:val="nil"/>
              <w:bottom w:val="nil"/>
              <w:right w:val="nil"/>
            </w:tcBorders>
            <w:shd w:val="clear" w:color="auto" w:fill="auto"/>
            <w:noWrap/>
            <w:vAlign w:val="bottom"/>
            <w:hideMark/>
          </w:tcPr>
          <w:p w14:paraId="507C694F" w14:textId="77777777" w:rsidR="00D12377" w:rsidRPr="00D12377" w:rsidRDefault="00D12377" w:rsidP="00D12377">
            <w:pPr>
              <w:spacing w:after="0"/>
              <w:ind w:leftChars="75" w:left="143"/>
              <w:rPr>
                <w:rFonts w:ascii="Arial" w:hAnsi="Arial" w:cs="Arial"/>
                <w:b/>
                <w:bCs/>
                <w:sz w:val="16"/>
                <w:szCs w:val="16"/>
              </w:rPr>
            </w:pPr>
            <w:r w:rsidRPr="00D12377">
              <w:rPr>
                <w:rFonts w:ascii="Arial" w:hAnsi="Arial" w:cs="Arial"/>
                <w:b/>
                <w:bCs/>
                <w:sz w:val="16"/>
                <w:szCs w:val="16"/>
              </w:rPr>
              <w:t>Interest bearing liabilities</w:t>
            </w:r>
          </w:p>
        </w:tc>
        <w:tc>
          <w:tcPr>
            <w:tcW w:w="910" w:type="dxa"/>
            <w:tcBorders>
              <w:top w:val="nil"/>
              <w:left w:val="nil"/>
              <w:bottom w:val="nil"/>
              <w:right w:val="nil"/>
            </w:tcBorders>
            <w:shd w:val="clear" w:color="auto" w:fill="auto"/>
            <w:noWrap/>
            <w:vAlign w:val="bottom"/>
            <w:hideMark/>
          </w:tcPr>
          <w:p w14:paraId="4FE0E858" w14:textId="77777777" w:rsidR="00D12377" w:rsidRPr="00D12377" w:rsidRDefault="00D12377" w:rsidP="00D12377">
            <w:pPr>
              <w:spacing w:after="0"/>
              <w:ind w:firstLineChars="100" w:firstLine="160"/>
              <w:rPr>
                <w:rFonts w:ascii="Arial" w:hAnsi="Arial" w:cs="Arial"/>
                <w:b/>
                <w:bCs/>
                <w:sz w:val="16"/>
                <w:szCs w:val="16"/>
              </w:rPr>
            </w:pPr>
          </w:p>
        </w:tc>
        <w:tc>
          <w:tcPr>
            <w:tcW w:w="895" w:type="dxa"/>
            <w:tcBorders>
              <w:top w:val="nil"/>
              <w:left w:val="nil"/>
              <w:bottom w:val="nil"/>
              <w:right w:val="nil"/>
            </w:tcBorders>
            <w:shd w:val="clear" w:color="000000" w:fill="D9D9D9"/>
            <w:noWrap/>
            <w:vAlign w:val="bottom"/>
            <w:hideMark/>
          </w:tcPr>
          <w:p w14:paraId="023E6059" w14:textId="77777777" w:rsidR="00D12377" w:rsidRPr="00D12377" w:rsidRDefault="00D12377" w:rsidP="00D12377">
            <w:pPr>
              <w:spacing w:after="0"/>
              <w:jc w:val="right"/>
              <w:rPr>
                <w:rFonts w:ascii="Arial" w:hAnsi="Arial" w:cs="Arial"/>
                <w:color w:val="31869B"/>
                <w:sz w:val="16"/>
                <w:szCs w:val="16"/>
              </w:rPr>
            </w:pPr>
            <w:r w:rsidRPr="00D12377">
              <w:rPr>
                <w:rFonts w:ascii="Arial" w:hAnsi="Arial" w:cs="Arial"/>
                <w:color w:val="31869B"/>
                <w:sz w:val="16"/>
                <w:szCs w:val="16"/>
              </w:rPr>
              <w:t> </w:t>
            </w:r>
          </w:p>
        </w:tc>
        <w:tc>
          <w:tcPr>
            <w:tcW w:w="896" w:type="dxa"/>
            <w:tcBorders>
              <w:top w:val="nil"/>
              <w:left w:val="nil"/>
              <w:bottom w:val="nil"/>
              <w:right w:val="nil"/>
            </w:tcBorders>
            <w:shd w:val="clear" w:color="auto" w:fill="auto"/>
            <w:noWrap/>
            <w:vAlign w:val="bottom"/>
            <w:hideMark/>
          </w:tcPr>
          <w:p w14:paraId="2E02EAC9" w14:textId="77777777" w:rsidR="00D12377" w:rsidRPr="00D12377" w:rsidRDefault="00D12377" w:rsidP="00D12377">
            <w:pPr>
              <w:spacing w:after="0"/>
              <w:jc w:val="right"/>
              <w:rPr>
                <w:rFonts w:ascii="Arial" w:hAnsi="Arial" w:cs="Arial"/>
                <w:color w:val="31869B"/>
                <w:sz w:val="16"/>
                <w:szCs w:val="16"/>
              </w:rPr>
            </w:pPr>
          </w:p>
        </w:tc>
        <w:tc>
          <w:tcPr>
            <w:tcW w:w="896" w:type="dxa"/>
            <w:tcBorders>
              <w:top w:val="nil"/>
              <w:left w:val="nil"/>
              <w:bottom w:val="nil"/>
              <w:right w:val="nil"/>
            </w:tcBorders>
            <w:shd w:val="clear" w:color="auto" w:fill="auto"/>
            <w:noWrap/>
            <w:vAlign w:val="bottom"/>
            <w:hideMark/>
          </w:tcPr>
          <w:p w14:paraId="40F5DA31" w14:textId="77777777" w:rsidR="00D12377" w:rsidRPr="00D12377" w:rsidRDefault="00D12377" w:rsidP="00D12377">
            <w:pPr>
              <w:spacing w:after="0"/>
              <w:jc w:val="right"/>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32C06AFC" w14:textId="77777777" w:rsidR="00D12377" w:rsidRPr="00D12377" w:rsidRDefault="00D12377" w:rsidP="00D12377">
            <w:pPr>
              <w:spacing w:after="0"/>
              <w:jc w:val="right"/>
              <w:rPr>
                <w:rFonts w:ascii="Times New Roman" w:hAnsi="Times New Roman"/>
                <w:color w:val="auto"/>
                <w:sz w:val="20"/>
              </w:rPr>
            </w:pPr>
          </w:p>
        </w:tc>
      </w:tr>
      <w:tr w:rsidR="00D12377" w:rsidRPr="00D12377" w14:paraId="0DF1757E"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7AC365EC" w14:textId="77777777" w:rsidR="00D12377" w:rsidRPr="00D12377" w:rsidRDefault="00D12377" w:rsidP="00D12377">
            <w:pPr>
              <w:spacing w:after="0"/>
              <w:ind w:firstLineChars="200" w:firstLine="320"/>
              <w:rPr>
                <w:rFonts w:ascii="Arial" w:hAnsi="Arial" w:cs="Arial"/>
                <w:sz w:val="16"/>
                <w:szCs w:val="16"/>
              </w:rPr>
            </w:pPr>
            <w:r w:rsidRPr="00D12377">
              <w:rPr>
                <w:rFonts w:ascii="Arial" w:hAnsi="Arial" w:cs="Arial"/>
                <w:sz w:val="16"/>
                <w:szCs w:val="16"/>
              </w:rPr>
              <w:t>Leases</w:t>
            </w:r>
          </w:p>
        </w:tc>
        <w:tc>
          <w:tcPr>
            <w:tcW w:w="910" w:type="dxa"/>
            <w:tcBorders>
              <w:top w:val="nil"/>
              <w:left w:val="nil"/>
              <w:bottom w:val="nil"/>
              <w:right w:val="nil"/>
            </w:tcBorders>
            <w:shd w:val="clear" w:color="auto" w:fill="auto"/>
            <w:noWrap/>
            <w:vAlign w:val="bottom"/>
            <w:hideMark/>
          </w:tcPr>
          <w:p w14:paraId="352A01AD"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6,201</w:t>
            </w:r>
          </w:p>
        </w:tc>
        <w:tc>
          <w:tcPr>
            <w:tcW w:w="895" w:type="dxa"/>
            <w:tcBorders>
              <w:top w:val="nil"/>
              <w:left w:val="nil"/>
              <w:bottom w:val="nil"/>
              <w:right w:val="nil"/>
            </w:tcBorders>
            <w:shd w:val="clear" w:color="000000" w:fill="D9D9D9"/>
            <w:noWrap/>
            <w:vAlign w:val="bottom"/>
            <w:hideMark/>
          </w:tcPr>
          <w:p w14:paraId="278F15E7"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5,426</w:t>
            </w:r>
          </w:p>
        </w:tc>
        <w:tc>
          <w:tcPr>
            <w:tcW w:w="896" w:type="dxa"/>
            <w:tcBorders>
              <w:top w:val="nil"/>
              <w:left w:val="nil"/>
              <w:bottom w:val="nil"/>
              <w:right w:val="nil"/>
            </w:tcBorders>
            <w:shd w:val="clear" w:color="auto" w:fill="auto"/>
            <w:noWrap/>
            <w:vAlign w:val="bottom"/>
            <w:hideMark/>
          </w:tcPr>
          <w:p w14:paraId="37480068"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4,645</w:t>
            </w:r>
          </w:p>
        </w:tc>
        <w:tc>
          <w:tcPr>
            <w:tcW w:w="896" w:type="dxa"/>
            <w:tcBorders>
              <w:top w:val="nil"/>
              <w:left w:val="nil"/>
              <w:bottom w:val="nil"/>
              <w:right w:val="nil"/>
            </w:tcBorders>
            <w:shd w:val="clear" w:color="auto" w:fill="auto"/>
            <w:noWrap/>
            <w:vAlign w:val="bottom"/>
            <w:hideMark/>
          </w:tcPr>
          <w:p w14:paraId="6044662D"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3,878</w:t>
            </w:r>
          </w:p>
        </w:tc>
        <w:tc>
          <w:tcPr>
            <w:tcW w:w="890" w:type="dxa"/>
            <w:tcBorders>
              <w:top w:val="nil"/>
              <w:left w:val="nil"/>
              <w:bottom w:val="nil"/>
              <w:right w:val="nil"/>
            </w:tcBorders>
            <w:shd w:val="clear" w:color="auto" w:fill="auto"/>
            <w:noWrap/>
            <w:vAlign w:val="bottom"/>
            <w:hideMark/>
          </w:tcPr>
          <w:p w14:paraId="3B10C8BB"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3,238</w:t>
            </w:r>
          </w:p>
        </w:tc>
      </w:tr>
      <w:tr w:rsidR="00D12377" w:rsidRPr="00D12377" w14:paraId="0A39C7AA"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03352829" w14:textId="77777777" w:rsidR="00D12377" w:rsidRPr="00D12377" w:rsidRDefault="00D12377" w:rsidP="00D12377">
            <w:pPr>
              <w:spacing w:after="0"/>
              <w:ind w:firstLineChars="200" w:firstLine="320"/>
              <w:rPr>
                <w:rFonts w:ascii="Arial" w:hAnsi="Arial" w:cs="Arial"/>
                <w:b/>
                <w:bCs/>
                <w:sz w:val="16"/>
                <w:szCs w:val="16"/>
              </w:rPr>
            </w:pPr>
            <w:r w:rsidRPr="00D12377">
              <w:rPr>
                <w:rFonts w:ascii="Arial" w:hAnsi="Arial" w:cs="Arial"/>
                <w:b/>
                <w:bCs/>
                <w:sz w:val="16"/>
                <w:szCs w:val="16"/>
              </w:rPr>
              <w:t>Total interest bearing liabilities</w:t>
            </w:r>
          </w:p>
        </w:tc>
        <w:tc>
          <w:tcPr>
            <w:tcW w:w="910" w:type="dxa"/>
            <w:tcBorders>
              <w:top w:val="nil"/>
              <w:left w:val="nil"/>
              <w:bottom w:val="single" w:sz="4" w:space="0" w:color="auto"/>
              <w:right w:val="nil"/>
            </w:tcBorders>
            <w:shd w:val="clear" w:color="auto" w:fill="auto"/>
            <w:noWrap/>
            <w:vAlign w:val="bottom"/>
            <w:hideMark/>
          </w:tcPr>
          <w:p w14:paraId="29526804"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6,201</w:t>
            </w:r>
          </w:p>
        </w:tc>
        <w:tc>
          <w:tcPr>
            <w:tcW w:w="895" w:type="dxa"/>
            <w:tcBorders>
              <w:top w:val="nil"/>
              <w:left w:val="nil"/>
              <w:bottom w:val="single" w:sz="4" w:space="0" w:color="auto"/>
              <w:right w:val="nil"/>
            </w:tcBorders>
            <w:shd w:val="clear" w:color="000000" w:fill="D9D9D9"/>
            <w:noWrap/>
            <w:vAlign w:val="bottom"/>
            <w:hideMark/>
          </w:tcPr>
          <w:p w14:paraId="596D20FE"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5,426</w:t>
            </w:r>
          </w:p>
        </w:tc>
        <w:tc>
          <w:tcPr>
            <w:tcW w:w="896" w:type="dxa"/>
            <w:tcBorders>
              <w:top w:val="nil"/>
              <w:left w:val="nil"/>
              <w:bottom w:val="single" w:sz="4" w:space="0" w:color="auto"/>
              <w:right w:val="nil"/>
            </w:tcBorders>
            <w:shd w:val="clear" w:color="auto" w:fill="auto"/>
            <w:noWrap/>
            <w:vAlign w:val="bottom"/>
            <w:hideMark/>
          </w:tcPr>
          <w:p w14:paraId="4A97A250"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4,645</w:t>
            </w:r>
          </w:p>
        </w:tc>
        <w:tc>
          <w:tcPr>
            <w:tcW w:w="896" w:type="dxa"/>
            <w:tcBorders>
              <w:top w:val="nil"/>
              <w:left w:val="nil"/>
              <w:bottom w:val="single" w:sz="4" w:space="0" w:color="auto"/>
              <w:right w:val="nil"/>
            </w:tcBorders>
            <w:shd w:val="clear" w:color="auto" w:fill="auto"/>
            <w:noWrap/>
            <w:vAlign w:val="bottom"/>
            <w:hideMark/>
          </w:tcPr>
          <w:p w14:paraId="363AC270"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3,878</w:t>
            </w:r>
          </w:p>
        </w:tc>
        <w:tc>
          <w:tcPr>
            <w:tcW w:w="890" w:type="dxa"/>
            <w:tcBorders>
              <w:top w:val="nil"/>
              <w:left w:val="nil"/>
              <w:bottom w:val="single" w:sz="4" w:space="0" w:color="auto"/>
              <w:right w:val="nil"/>
            </w:tcBorders>
            <w:shd w:val="clear" w:color="auto" w:fill="auto"/>
            <w:noWrap/>
            <w:vAlign w:val="bottom"/>
            <w:hideMark/>
          </w:tcPr>
          <w:p w14:paraId="07420155" w14:textId="77777777" w:rsidR="00D12377" w:rsidRPr="00D12377" w:rsidRDefault="00D12377" w:rsidP="00D12377">
            <w:pPr>
              <w:spacing w:after="0"/>
              <w:jc w:val="right"/>
              <w:rPr>
                <w:rFonts w:ascii="Arial" w:hAnsi="Arial" w:cs="Arial"/>
                <w:b/>
                <w:bCs/>
                <w:color w:val="auto"/>
                <w:sz w:val="16"/>
                <w:szCs w:val="16"/>
              </w:rPr>
            </w:pPr>
            <w:r w:rsidRPr="00D12377">
              <w:rPr>
                <w:rFonts w:ascii="Arial" w:hAnsi="Arial" w:cs="Arial"/>
                <w:b/>
                <w:bCs/>
                <w:color w:val="auto"/>
                <w:sz w:val="16"/>
                <w:szCs w:val="16"/>
              </w:rPr>
              <w:t>3,238</w:t>
            </w:r>
          </w:p>
        </w:tc>
      </w:tr>
      <w:tr w:rsidR="00D12377" w:rsidRPr="00D12377" w14:paraId="7EE5C4C9" w14:textId="77777777" w:rsidTr="00D12377">
        <w:trPr>
          <w:trHeight w:val="283"/>
          <w:jc w:val="center"/>
        </w:trPr>
        <w:tc>
          <w:tcPr>
            <w:tcW w:w="2910" w:type="dxa"/>
            <w:tcBorders>
              <w:top w:val="nil"/>
              <w:left w:val="nil"/>
              <w:bottom w:val="nil"/>
              <w:right w:val="nil"/>
            </w:tcBorders>
            <w:shd w:val="clear" w:color="auto" w:fill="auto"/>
            <w:noWrap/>
            <w:vAlign w:val="bottom"/>
            <w:hideMark/>
          </w:tcPr>
          <w:p w14:paraId="65AD778F" w14:textId="77777777" w:rsidR="00D12377" w:rsidRPr="00D12377" w:rsidRDefault="00D12377" w:rsidP="00D12377">
            <w:pPr>
              <w:spacing w:after="0"/>
              <w:ind w:leftChars="75" w:left="143"/>
              <w:rPr>
                <w:rFonts w:ascii="Arial" w:hAnsi="Arial" w:cs="Arial"/>
                <w:b/>
                <w:bCs/>
                <w:sz w:val="16"/>
                <w:szCs w:val="16"/>
              </w:rPr>
            </w:pPr>
            <w:r w:rsidRPr="00D12377">
              <w:rPr>
                <w:rFonts w:ascii="Arial" w:hAnsi="Arial" w:cs="Arial"/>
                <w:b/>
                <w:bCs/>
                <w:sz w:val="16"/>
                <w:szCs w:val="16"/>
              </w:rPr>
              <w:t>Provisions</w:t>
            </w:r>
          </w:p>
        </w:tc>
        <w:tc>
          <w:tcPr>
            <w:tcW w:w="910" w:type="dxa"/>
            <w:tcBorders>
              <w:top w:val="nil"/>
              <w:left w:val="nil"/>
              <w:bottom w:val="nil"/>
              <w:right w:val="nil"/>
            </w:tcBorders>
            <w:shd w:val="clear" w:color="auto" w:fill="auto"/>
            <w:noWrap/>
            <w:vAlign w:val="bottom"/>
            <w:hideMark/>
          </w:tcPr>
          <w:p w14:paraId="4AD088A2" w14:textId="77777777" w:rsidR="00D12377" w:rsidRPr="00D12377" w:rsidRDefault="00D12377" w:rsidP="00D12377">
            <w:pPr>
              <w:spacing w:after="0"/>
              <w:ind w:firstLineChars="100" w:firstLine="160"/>
              <w:rPr>
                <w:rFonts w:ascii="Arial" w:hAnsi="Arial" w:cs="Arial"/>
                <w:b/>
                <w:bCs/>
                <w:sz w:val="16"/>
                <w:szCs w:val="16"/>
              </w:rPr>
            </w:pPr>
          </w:p>
        </w:tc>
        <w:tc>
          <w:tcPr>
            <w:tcW w:w="895" w:type="dxa"/>
            <w:tcBorders>
              <w:top w:val="nil"/>
              <w:left w:val="nil"/>
              <w:bottom w:val="nil"/>
              <w:right w:val="nil"/>
            </w:tcBorders>
            <w:shd w:val="clear" w:color="000000" w:fill="D9D9D9"/>
            <w:noWrap/>
            <w:vAlign w:val="bottom"/>
            <w:hideMark/>
          </w:tcPr>
          <w:p w14:paraId="3D1686F8" w14:textId="77777777" w:rsidR="00D12377" w:rsidRPr="00D12377" w:rsidRDefault="00D12377" w:rsidP="00D12377">
            <w:pPr>
              <w:spacing w:after="0"/>
              <w:jc w:val="right"/>
              <w:rPr>
                <w:rFonts w:ascii="Arial" w:hAnsi="Arial" w:cs="Arial"/>
                <w:sz w:val="16"/>
                <w:szCs w:val="16"/>
              </w:rPr>
            </w:pPr>
            <w:r w:rsidRPr="00D12377">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2444A2F3" w14:textId="77777777" w:rsidR="00D12377" w:rsidRPr="00D12377" w:rsidRDefault="00D12377" w:rsidP="00D12377">
            <w:pPr>
              <w:spacing w:after="0"/>
              <w:jc w:val="right"/>
              <w:rPr>
                <w:rFonts w:ascii="Arial" w:hAnsi="Arial" w:cs="Arial"/>
                <w:sz w:val="16"/>
                <w:szCs w:val="16"/>
              </w:rPr>
            </w:pPr>
          </w:p>
        </w:tc>
        <w:tc>
          <w:tcPr>
            <w:tcW w:w="896" w:type="dxa"/>
            <w:tcBorders>
              <w:top w:val="nil"/>
              <w:left w:val="nil"/>
              <w:bottom w:val="nil"/>
              <w:right w:val="nil"/>
            </w:tcBorders>
            <w:shd w:val="clear" w:color="auto" w:fill="auto"/>
            <w:noWrap/>
            <w:vAlign w:val="bottom"/>
            <w:hideMark/>
          </w:tcPr>
          <w:p w14:paraId="782C095C" w14:textId="77777777" w:rsidR="00D12377" w:rsidRPr="00D12377" w:rsidRDefault="00D12377" w:rsidP="00D12377">
            <w:pPr>
              <w:spacing w:after="0"/>
              <w:jc w:val="right"/>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4C6FFA65" w14:textId="77777777" w:rsidR="00D12377" w:rsidRPr="00D12377" w:rsidRDefault="00D12377" w:rsidP="00D12377">
            <w:pPr>
              <w:spacing w:after="0"/>
              <w:jc w:val="right"/>
              <w:rPr>
                <w:rFonts w:ascii="Times New Roman" w:hAnsi="Times New Roman"/>
                <w:color w:val="auto"/>
                <w:sz w:val="20"/>
              </w:rPr>
            </w:pPr>
          </w:p>
        </w:tc>
      </w:tr>
      <w:tr w:rsidR="00D12377" w:rsidRPr="00D12377" w14:paraId="1B904690"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4FBB59E4" w14:textId="77777777" w:rsidR="00D12377" w:rsidRPr="00D12377" w:rsidRDefault="00D12377" w:rsidP="00D12377">
            <w:pPr>
              <w:spacing w:after="0"/>
              <w:ind w:firstLineChars="200" w:firstLine="320"/>
              <w:rPr>
                <w:rFonts w:ascii="Arial" w:hAnsi="Arial" w:cs="Arial"/>
                <w:sz w:val="16"/>
                <w:szCs w:val="16"/>
              </w:rPr>
            </w:pPr>
            <w:r w:rsidRPr="00D12377">
              <w:rPr>
                <w:rFonts w:ascii="Arial" w:hAnsi="Arial" w:cs="Arial"/>
                <w:sz w:val="16"/>
                <w:szCs w:val="16"/>
              </w:rPr>
              <w:t>Employees</w:t>
            </w:r>
          </w:p>
        </w:tc>
        <w:tc>
          <w:tcPr>
            <w:tcW w:w="910" w:type="dxa"/>
            <w:tcBorders>
              <w:top w:val="nil"/>
              <w:left w:val="nil"/>
              <w:bottom w:val="nil"/>
              <w:right w:val="nil"/>
            </w:tcBorders>
            <w:shd w:val="clear" w:color="auto" w:fill="auto"/>
            <w:noWrap/>
            <w:vAlign w:val="bottom"/>
            <w:hideMark/>
          </w:tcPr>
          <w:p w14:paraId="617457DE"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13,166</w:t>
            </w:r>
          </w:p>
        </w:tc>
        <w:tc>
          <w:tcPr>
            <w:tcW w:w="895" w:type="dxa"/>
            <w:tcBorders>
              <w:top w:val="nil"/>
              <w:left w:val="nil"/>
              <w:bottom w:val="nil"/>
              <w:right w:val="nil"/>
            </w:tcBorders>
            <w:shd w:val="clear" w:color="000000" w:fill="D9D9D9"/>
            <w:noWrap/>
            <w:vAlign w:val="bottom"/>
            <w:hideMark/>
          </w:tcPr>
          <w:p w14:paraId="475BC9E6"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13,845</w:t>
            </w:r>
          </w:p>
        </w:tc>
        <w:tc>
          <w:tcPr>
            <w:tcW w:w="896" w:type="dxa"/>
            <w:tcBorders>
              <w:top w:val="nil"/>
              <w:left w:val="nil"/>
              <w:bottom w:val="nil"/>
              <w:right w:val="nil"/>
            </w:tcBorders>
            <w:shd w:val="clear" w:color="auto" w:fill="auto"/>
            <w:noWrap/>
            <w:vAlign w:val="bottom"/>
            <w:hideMark/>
          </w:tcPr>
          <w:p w14:paraId="275D45C3"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14,260</w:t>
            </w:r>
          </w:p>
        </w:tc>
        <w:tc>
          <w:tcPr>
            <w:tcW w:w="896" w:type="dxa"/>
            <w:tcBorders>
              <w:top w:val="nil"/>
              <w:left w:val="nil"/>
              <w:bottom w:val="nil"/>
              <w:right w:val="nil"/>
            </w:tcBorders>
            <w:shd w:val="clear" w:color="auto" w:fill="auto"/>
            <w:noWrap/>
            <w:vAlign w:val="bottom"/>
            <w:hideMark/>
          </w:tcPr>
          <w:p w14:paraId="404A0F13"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14,688</w:t>
            </w:r>
          </w:p>
        </w:tc>
        <w:tc>
          <w:tcPr>
            <w:tcW w:w="890" w:type="dxa"/>
            <w:tcBorders>
              <w:top w:val="nil"/>
              <w:left w:val="nil"/>
              <w:bottom w:val="nil"/>
              <w:right w:val="nil"/>
            </w:tcBorders>
            <w:shd w:val="clear" w:color="auto" w:fill="auto"/>
            <w:noWrap/>
            <w:vAlign w:val="bottom"/>
            <w:hideMark/>
          </w:tcPr>
          <w:p w14:paraId="74311F72"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15,006</w:t>
            </w:r>
          </w:p>
        </w:tc>
      </w:tr>
      <w:tr w:rsidR="00D12377" w:rsidRPr="00D12377" w14:paraId="14D43A6A"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08EFB664" w14:textId="77777777" w:rsidR="00D12377" w:rsidRPr="00D12377" w:rsidRDefault="00D12377" w:rsidP="00D12377">
            <w:pPr>
              <w:spacing w:after="0"/>
              <w:ind w:firstLineChars="200" w:firstLine="320"/>
              <w:rPr>
                <w:rFonts w:ascii="Arial" w:hAnsi="Arial" w:cs="Arial"/>
                <w:sz w:val="16"/>
                <w:szCs w:val="16"/>
              </w:rPr>
            </w:pPr>
            <w:r w:rsidRPr="00D12377">
              <w:rPr>
                <w:rFonts w:ascii="Arial" w:hAnsi="Arial" w:cs="Arial"/>
                <w:sz w:val="16"/>
                <w:szCs w:val="16"/>
              </w:rPr>
              <w:t>Other provisions</w:t>
            </w:r>
          </w:p>
        </w:tc>
        <w:tc>
          <w:tcPr>
            <w:tcW w:w="910" w:type="dxa"/>
            <w:tcBorders>
              <w:top w:val="nil"/>
              <w:left w:val="nil"/>
              <w:bottom w:val="nil"/>
              <w:right w:val="nil"/>
            </w:tcBorders>
            <w:shd w:val="clear" w:color="auto" w:fill="auto"/>
            <w:noWrap/>
            <w:vAlign w:val="bottom"/>
            <w:hideMark/>
          </w:tcPr>
          <w:p w14:paraId="6F34D704"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89</w:t>
            </w:r>
          </w:p>
        </w:tc>
        <w:tc>
          <w:tcPr>
            <w:tcW w:w="895" w:type="dxa"/>
            <w:tcBorders>
              <w:top w:val="nil"/>
              <w:left w:val="nil"/>
              <w:bottom w:val="nil"/>
              <w:right w:val="nil"/>
            </w:tcBorders>
            <w:shd w:val="clear" w:color="000000" w:fill="D9D9D9"/>
            <w:noWrap/>
            <w:vAlign w:val="bottom"/>
            <w:hideMark/>
          </w:tcPr>
          <w:p w14:paraId="5929B999"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89</w:t>
            </w:r>
          </w:p>
        </w:tc>
        <w:tc>
          <w:tcPr>
            <w:tcW w:w="896" w:type="dxa"/>
            <w:tcBorders>
              <w:top w:val="nil"/>
              <w:left w:val="nil"/>
              <w:bottom w:val="nil"/>
              <w:right w:val="nil"/>
            </w:tcBorders>
            <w:shd w:val="clear" w:color="auto" w:fill="auto"/>
            <w:noWrap/>
            <w:vAlign w:val="bottom"/>
            <w:hideMark/>
          </w:tcPr>
          <w:p w14:paraId="30C21A3E"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89</w:t>
            </w:r>
          </w:p>
        </w:tc>
        <w:tc>
          <w:tcPr>
            <w:tcW w:w="896" w:type="dxa"/>
            <w:tcBorders>
              <w:top w:val="nil"/>
              <w:left w:val="nil"/>
              <w:bottom w:val="nil"/>
              <w:right w:val="nil"/>
            </w:tcBorders>
            <w:shd w:val="clear" w:color="auto" w:fill="auto"/>
            <w:noWrap/>
            <w:vAlign w:val="bottom"/>
            <w:hideMark/>
          </w:tcPr>
          <w:p w14:paraId="21759970"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89</w:t>
            </w:r>
          </w:p>
        </w:tc>
        <w:tc>
          <w:tcPr>
            <w:tcW w:w="890" w:type="dxa"/>
            <w:tcBorders>
              <w:top w:val="nil"/>
              <w:left w:val="nil"/>
              <w:bottom w:val="nil"/>
              <w:right w:val="nil"/>
            </w:tcBorders>
            <w:shd w:val="clear" w:color="auto" w:fill="auto"/>
            <w:noWrap/>
            <w:vAlign w:val="bottom"/>
            <w:hideMark/>
          </w:tcPr>
          <w:p w14:paraId="378C1A28"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89</w:t>
            </w:r>
          </w:p>
        </w:tc>
      </w:tr>
      <w:tr w:rsidR="00D12377" w:rsidRPr="00D12377" w14:paraId="4333B416"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2CD1ABBB" w14:textId="77777777" w:rsidR="00D12377" w:rsidRPr="00D12377" w:rsidRDefault="00D12377" w:rsidP="00D12377">
            <w:pPr>
              <w:spacing w:after="0"/>
              <w:ind w:firstLineChars="200" w:firstLine="320"/>
              <w:rPr>
                <w:rFonts w:ascii="Arial" w:hAnsi="Arial" w:cs="Arial"/>
                <w:b/>
                <w:bCs/>
                <w:sz w:val="16"/>
                <w:szCs w:val="16"/>
              </w:rPr>
            </w:pPr>
            <w:r w:rsidRPr="00D12377">
              <w:rPr>
                <w:rFonts w:ascii="Arial" w:hAnsi="Arial" w:cs="Arial"/>
                <w:b/>
                <w:bCs/>
                <w:sz w:val="16"/>
                <w:szCs w:val="16"/>
              </w:rPr>
              <w:t>Total provisions</w:t>
            </w:r>
          </w:p>
        </w:tc>
        <w:tc>
          <w:tcPr>
            <w:tcW w:w="910" w:type="dxa"/>
            <w:tcBorders>
              <w:top w:val="nil"/>
              <w:left w:val="nil"/>
              <w:bottom w:val="single" w:sz="4" w:space="0" w:color="auto"/>
              <w:right w:val="nil"/>
            </w:tcBorders>
            <w:shd w:val="clear" w:color="auto" w:fill="auto"/>
            <w:noWrap/>
            <w:vAlign w:val="bottom"/>
            <w:hideMark/>
          </w:tcPr>
          <w:p w14:paraId="02B5F9C2"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13,255</w:t>
            </w:r>
          </w:p>
        </w:tc>
        <w:tc>
          <w:tcPr>
            <w:tcW w:w="895" w:type="dxa"/>
            <w:tcBorders>
              <w:top w:val="nil"/>
              <w:left w:val="nil"/>
              <w:bottom w:val="single" w:sz="4" w:space="0" w:color="auto"/>
              <w:right w:val="nil"/>
            </w:tcBorders>
            <w:shd w:val="clear" w:color="000000" w:fill="D9D9D9"/>
            <w:noWrap/>
            <w:vAlign w:val="bottom"/>
            <w:hideMark/>
          </w:tcPr>
          <w:p w14:paraId="1A3B2C45"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13,934</w:t>
            </w:r>
          </w:p>
        </w:tc>
        <w:tc>
          <w:tcPr>
            <w:tcW w:w="896" w:type="dxa"/>
            <w:tcBorders>
              <w:top w:val="nil"/>
              <w:left w:val="nil"/>
              <w:bottom w:val="single" w:sz="4" w:space="0" w:color="auto"/>
              <w:right w:val="nil"/>
            </w:tcBorders>
            <w:shd w:val="clear" w:color="auto" w:fill="auto"/>
            <w:noWrap/>
            <w:vAlign w:val="bottom"/>
            <w:hideMark/>
          </w:tcPr>
          <w:p w14:paraId="6B1E0DA9"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14,349</w:t>
            </w:r>
          </w:p>
        </w:tc>
        <w:tc>
          <w:tcPr>
            <w:tcW w:w="896" w:type="dxa"/>
            <w:tcBorders>
              <w:top w:val="nil"/>
              <w:left w:val="nil"/>
              <w:bottom w:val="single" w:sz="4" w:space="0" w:color="auto"/>
              <w:right w:val="nil"/>
            </w:tcBorders>
            <w:shd w:val="clear" w:color="auto" w:fill="auto"/>
            <w:noWrap/>
            <w:vAlign w:val="bottom"/>
            <w:hideMark/>
          </w:tcPr>
          <w:p w14:paraId="7AFEFEE2"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14,777</w:t>
            </w:r>
          </w:p>
        </w:tc>
        <w:tc>
          <w:tcPr>
            <w:tcW w:w="890" w:type="dxa"/>
            <w:tcBorders>
              <w:top w:val="nil"/>
              <w:left w:val="nil"/>
              <w:bottom w:val="single" w:sz="4" w:space="0" w:color="auto"/>
              <w:right w:val="nil"/>
            </w:tcBorders>
            <w:shd w:val="clear" w:color="auto" w:fill="auto"/>
            <w:noWrap/>
            <w:vAlign w:val="bottom"/>
            <w:hideMark/>
          </w:tcPr>
          <w:p w14:paraId="238512EC"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15,095</w:t>
            </w:r>
          </w:p>
        </w:tc>
      </w:tr>
      <w:tr w:rsidR="00D12377" w:rsidRPr="00D12377" w14:paraId="636B950C"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31908D5B" w14:textId="77777777" w:rsidR="00D12377" w:rsidRPr="00D12377" w:rsidRDefault="00D12377" w:rsidP="00D12377">
            <w:pPr>
              <w:spacing w:after="0"/>
              <w:ind w:leftChars="75" w:left="143"/>
              <w:rPr>
                <w:rFonts w:ascii="Arial" w:hAnsi="Arial" w:cs="Arial"/>
                <w:b/>
                <w:bCs/>
                <w:sz w:val="16"/>
                <w:szCs w:val="16"/>
              </w:rPr>
            </w:pPr>
            <w:r w:rsidRPr="00D12377">
              <w:rPr>
                <w:rFonts w:ascii="Arial" w:hAnsi="Arial" w:cs="Arial"/>
                <w:b/>
                <w:bCs/>
                <w:sz w:val="16"/>
                <w:szCs w:val="16"/>
              </w:rPr>
              <w:t>Total liabilities</w:t>
            </w:r>
          </w:p>
        </w:tc>
        <w:tc>
          <w:tcPr>
            <w:tcW w:w="910" w:type="dxa"/>
            <w:tcBorders>
              <w:top w:val="nil"/>
              <w:left w:val="nil"/>
              <w:bottom w:val="single" w:sz="4" w:space="0" w:color="auto"/>
              <w:right w:val="nil"/>
            </w:tcBorders>
            <w:shd w:val="clear" w:color="auto" w:fill="auto"/>
            <w:noWrap/>
            <w:vAlign w:val="bottom"/>
            <w:hideMark/>
          </w:tcPr>
          <w:p w14:paraId="118B9BFA"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28,869</w:t>
            </w:r>
          </w:p>
        </w:tc>
        <w:tc>
          <w:tcPr>
            <w:tcW w:w="895" w:type="dxa"/>
            <w:tcBorders>
              <w:top w:val="nil"/>
              <w:left w:val="nil"/>
              <w:bottom w:val="single" w:sz="4" w:space="0" w:color="auto"/>
              <w:right w:val="nil"/>
            </w:tcBorders>
            <w:shd w:val="clear" w:color="000000" w:fill="D9D9D9"/>
            <w:noWrap/>
            <w:vAlign w:val="bottom"/>
            <w:hideMark/>
          </w:tcPr>
          <w:p w14:paraId="33EB76F9"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28,867</w:t>
            </w:r>
          </w:p>
        </w:tc>
        <w:tc>
          <w:tcPr>
            <w:tcW w:w="896" w:type="dxa"/>
            <w:tcBorders>
              <w:top w:val="nil"/>
              <w:left w:val="nil"/>
              <w:bottom w:val="single" w:sz="4" w:space="0" w:color="auto"/>
              <w:right w:val="nil"/>
            </w:tcBorders>
            <w:shd w:val="clear" w:color="auto" w:fill="auto"/>
            <w:noWrap/>
            <w:vAlign w:val="bottom"/>
            <w:hideMark/>
          </w:tcPr>
          <w:p w14:paraId="6B400E4A"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27,977</w:t>
            </w:r>
          </w:p>
        </w:tc>
        <w:tc>
          <w:tcPr>
            <w:tcW w:w="896" w:type="dxa"/>
            <w:tcBorders>
              <w:top w:val="nil"/>
              <w:left w:val="nil"/>
              <w:bottom w:val="single" w:sz="4" w:space="0" w:color="auto"/>
              <w:right w:val="nil"/>
            </w:tcBorders>
            <w:shd w:val="clear" w:color="auto" w:fill="auto"/>
            <w:noWrap/>
            <w:vAlign w:val="bottom"/>
            <w:hideMark/>
          </w:tcPr>
          <w:p w14:paraId="137112F0"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26,837</w:t>
            </w:r>
          </w:p>
        </w:tc>
        <w:tc>
          <w:tcPr>
            <w:tcW w:w="890" w:type="dxa"/>
            <w:tcBorders>
              <w:top w:val="nil"/>
              <w:left w:val="nil"/>
              <w:bottom w:val="single" w:sz="4" w:space="0" w:color="auto"/>
              <w:right w:val="nil"/>
            </w:tcBorders>
            <w:shd w:val="clear" w:color="auto" w:fill="auto"/>
            <w:noWrap/>
            <w:vAlign w:val="bottom"/>
            <w:hideMark/>
          </w:tcPr>
          <w:p w14:paraId="73F043F2"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26,359</w:t>
            </w:r>
          </w:p>
        </w:tc>
      </w:tr>
      <w:tr w:rsidR="00D12377" w:rsidRPr="00D12377" w14:paraId="49D5F267" w14:textId="77777777" w:rsidTr="00D12377">
        <w:trPr>
          <w:trHeight w:val="227"/>
          <w:jc w:val="center"/>
        </w:trPr>
        <w:tc>
          <w:tcPr>
            <w:tcW w:w="2910" w:type="dxa"/>
            <w:tcBorders>
              <w:top w:val="nil"/>
              <w:left w:val="nil"/>
              <w:bottom w:val="nil"/>
              <w:right w:val="nil"/>
            </w:tcBorders>
            <w:shd w:val="clear" w:color="auto" w:fill="auto"/>
            <w:noWrap/>
            <w:vAlign w:val="bottom"/>
            <w:hideMark/>
          </w:tcPr>
          <w:p w14:paraId="3141CA32" w14:textId="77777777" w:rsidR="00D12377" w:rsidRPr="00D12377" w:rsidRDefault="00D12377" w:rsidP="00D12377">
            <w:pPr>
              <w:spacing w:after="0"/>
              <w:rPr>
                <w:rFonts w:ascii="Arial" w:hAnsi="Arial" w:cs="Arial"/>
                <w:b/>
                <w:bCs/>
                <w:sz w:val="16"/>
                <w:szCs w:val="16"/>
              </w:rPr>
            </w:pPr>
            <w:r w:rsidRPr="00D12377">
              <w:rPr>
                <w:rFonts w:ascii="Arial" w:hAnsi="Arial" w:cs="Arial"/>
                <w:b/>
                <w:bCs/>
                <w:sz w:val="16"/>
                <w:szCs w:val="16"/>
              </w:rPr>
              <w:t>Net assets</w:t>
            </w:r>
          </w:p>
        </w:tc>
        <w:tc>
          <w:tcPr>
            <w:tcW w:w="910" w:type="dxa"/>
            <w:tcBorders>
              <w:top w:val="nil"/>
              <w:left w:val="nil"/>
              <w:bottom w:val="single" w:sz="4" w:space="0" w:color="auto"/>
              <w:right w:val="nil"/>
            </w:tcBorders>
            <w:shd w:val="clear" w:color="auto" w:fill="auto"/>
            <w:noWrap/>
            <w:vAlign w:val="bottom"/>
            <w:hideMark/>
          </w:tcPr>
          <w:p w14:paraId="43F6BC07"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321,228</w:t>
            </w:r>
          </w:p>
        </w:tc>
        <w:tc>
          <w:tcPr>
            <w:tcW w:w="895" w:type="dxa"/>
            <w:tcBorders>
              <w:top w:val="nil"/>
              <w:left w:val="nil"/>
              <w:bottom w:val="single" w:sz="4" w:space="0" w:color="auto"/>
              <w:right w:val="nil"/>
            </w:tcBorders>
            <w:shd w:val="clear" w:color="000000" w:fill="D9D9D9"/>
            <w:noWrap/>
            <w:vAlign w:val="bottom"/>
            <w:hideMark/>
          </w:tcPr>
          <w:p w14:paraId="6B98268A"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322,649</w:t>
            </w:r>
          </w:p>
        </w:tc>
        <w:tc>
          <w:tcPr>
            <w:tcW w:w="896" w:type="dxa"/>
            <w:tcBorders>
              <w:top w:val="nil"/>
              <w:left w:val="nil"/>
              <w:bottom w:val="single" w:sz="4" w:space="0" w:color="auto"/>
              <w:right w:val="nil"/>
            </w:tcBorders>
            <w:shd w:val="clear" w:color="auto" w:fill="auto"/>
            <w:noWrap/>
            <w:vAlign w:val="bottom"/>
            <w:hideMark/>
          </w:tcPr>
          <w:p w14:paraId="470B7FB5"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312,242</w:t>
            </w:r>
          </w:p>
        </w:tc>
        <w:tc>
          <w:tcPr>
            <w:tcW w:w="896" w:type="dxa"/>
            <w:tcBorders>
              <w:top w:val="nil"/>
              <w:left w:val="nil"/>
              <w:bottom w:val="single" w:sz="4" w:space="0" w:color="auto"/>
              <w:right w:val="nil"/>
            </w:tcBorders>
            <w:shd w:val="clear" w:color="auto" w:fill="auto"/>
            <w:noWrap/>
            <w:vAlign w:val="bottom"/>
            <w:hideMark/>
          </w:tcPr>
          <w:p w14:paraId="1F2F1B19"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303,351</w:t>
            </w:r>
          </w:p>
        </w:tc>
        <w:tc>
          <w:tcPr>
            <w:tcW w:w="890" w:type="dxa"/>
            <w:tcBorders>
              <w:top w:val="nil"/>
              <w:left w:val="nil"/>
              <w:bottom w:val="single" w:sz="4" w:space="0" w:color="auto"/>
              <w:right w:val="nil"/>
            </w:tcBorders>
            <w:shd w:val="clear" w:color="auto" w:fill="auto"/>
            <w:noWrap/>
            <w:vAlign w:val="bottom"/>
            <w:hideMark/>
          </w:tcPr>
          <w:p w14:paraId="6D2F477A"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294,458</w:t>
            </w:r>
          </w:p>
        </w:tc>
      </w:tr>
      <w:tr w:rsidR="00D12377" w:rsidRPr="00D12377" w14:paraId="138A518B" w14:textId="77777777" w:rsidTr="00D12377">
        <w:trPr>
          <w:trHeight w:val="283"/>
          <w:jc w:val="center"/>
        </w:trPr>
        <w:tc>
          <w:tcPr>
            <w:tcW w:w="2910" w:type="dxa"/>
            <w:tcBorders>
              <w:top w:val="nil"/>
              <w:left w:val="nil"/>
              <w:bottom w:val="nil"/>
              <w:right w:val="nil"/>
            </w:tcBorders>
            <w:shd w:val="clear" w:color="auto" w:fill="auto"/>
            <w:noWrap/>
            <w:vAlign w:val="bottom"/>
            <w:hideMark/>
          </w:tcPr>
          <w:p w14:paraId="2FC14697" w14:textId="77777777" w:rsidR="00D12377" w:rsidRPr="00D12377" w:rsidRDefault="00D12377" w:rsidP="00D12377">
            <w:pPr>
              <w:spacing w:after="0"/>
              <w:rPr>
                <w:rFonts w:ascii="Arial" w:hAnsi="Arial" w:cs="Arial"/>
                <w:b/>
                <w:bCs/>
                <w:sz w:val="16"/>
                <w:szCs w:val="16"/>
              </w:rPr>
            </w:pPr>
            <w:r w:rsidRPr="00D12377">
              <w:rPr>
                <w:rFonts w:ascii="Arial" w:hAnsi="Arial" w:cs="Arial"/>
                <w:b/>
                <w:bCs/>
                <w:sz w:val="16"/>
                <w:szCs w:val="16"/>
              </w:rPr>
              <w:t>EQUITY</w:t>
            </w:r>
          </w:p>
        </w:tc>
        <w:tc>
          <w:tcPr>
            <w:tcW w:w="910" w:type="dxa"/>
            <w:tcBorders>
              <w:top w:val="nil"/>
              <w:left w:val="nil"/>
              <w:bottom w:val="nil"/>
              <w:right w:val="nil"/>
            </w:tcBorders>
            <w:shd w:val="clear" w:color="auto" w:fill="auto"/>
            <w:noWrap/>
            <w:vAlign w:val="bottom"/>
            <w:hideMark/>
          </w:tcPr>
          <w:p w14:paraId="24BDDB49" w14:textId="77777777" w:rsidR="00D12377" w:rsidRPr="00D12377" w:rsidRDefault="00D12377" w:rsidP="00D12377">
            <w:pPr>
              <w:spacing w:after="0"/>
              <w:rPr>
                <w:rFonts w:ascii="Arial" w:hAnsi="Arial" w:cs="Arial"/>
                <w:b/>
                <w:bCs/>
                <w:sz w:val="16"/>
                <w:szCs w:val="16"/>
              </w:rPr>
            </w:pPr>
          </w:p>
        </w:tc>
        <w:tc>
          <w:tcPr>
            <w:tcW w:w="895" w:type="dxa"/>
            <w:tcBorders>
              <w:top w:val="nil"/>
              <w:left w:val="nil"/>
              <w:bottom w:val="nil"/>
              <w:right w:val="nil"/>
            </w:tcBorders>
            <w:shd w:val="clear" w:color="000000" w:fill="D9D9D9"/>
            <w:noWrap/>
            <w:vAlign w:val="bottom"/>
            <w:hideMark/>
          </w:tcPr>
          <w:p w14:paraId="22923D7D" w14:textId="77777777" w:rsidR="00D12377" w:rsidRPr="00D12377" w:rsidRDefault="00D12377" w:rsidP="00D12377">
            <w:pPr>
              <w:spacing w:after="0"/>
              <w:jc w:val="right"/>
              <w:rPr>
                <w:rFonts w:ascii="Arial" w:hAnsi="Arial" w:cs="Arial"/>
                <w:sz w:val="16"/>
                <w:szCs w:val="16"/>
              </w:rPr>
            </w:pPr>
            <w:r w:rsidRPr="00D12377">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5F4DA034" w14:textId="77777777" w:rsidR="00D12377" w:rsidRPr="00D12377" w:rsidRDefault="00D12377" w:rsidP="00D12377">
            <w:pPr>
              <w:spacing w:after="0"/>
              <w:jc w:val="right"/>
              <w:rPr>
                <w:rFonts w:ascii="Arial" w:hAnsi="Arial" w:cs="Arial"/>
                <w:sz w:val="16"/>
                <w:szCs w:val="16"/>
              </w:rPr>
            </w:pPr>
          </w:p>
        </w:tc>
        <w:tc>
          <w:tcPr>
            <w:tcW w:w="896" w:type="dxa"/>
            <w:tcBorders>
              <w:top w:val="nil"/>
              <w:left w:val="nil"/>
              <w:bottom w:val="nil"/>
              <w:right w:val="nil"/>
            </w:tcBorders>
            <w:shd w:val="clear" w:color="auto" w:fill="auto"/>
            <w:noWrap/>
            <w:vAlign w:val="bottom"/>
            <w:hideMark/>
          </w:tcPr>
          <w:p w14:paraId="4007C2C8" w14:textId="77777777" w:rsidR="00D12377" w:rsidRPr="00D12377" w:rsidRDefault="00D12377" w:rsidP="00D12377">
            <w:pPr>
              <w:spacing w:after="0"/>
              <w:jc w:val="right"/>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04C84EF9" w14:textId="77777777" w:rsidR="00D12377" w:rsidRPr="00D12377" w:rsidRDefault="00D12377" w:rsidP="00D12377">
            <w:pPr>
              <w:spacing w:after="0"/>
              <w:jc w:val="right"/>
              <w:rPr>
                <w:rFonts w:ascii="Times New Roman" w:hAnsi="Times New Roman"/>
                <w:color w:val="auto"/>
                <w:sz w:val="20"/>
              </w:rPr>
            </w:pPr>
          </w:p>
        </w:tc>
      </w:tr>
      <w:tr w:rsidR="00D12377" w:rsidRPr="00D12377" w14:paraId="0DB4675E"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3C6705FB" w14:textId="77777777" w:rsidR="00D12377" w:rsidRPr="00D12377" w:rsidRDefault="00D12377" w:rsidP="00D12377">
            <w:pPr>
              <w:spacing w:after="0"/>
              <w:ind w:leftChars="75" w:left="143"/>
              <w:rPr>
                <w:rFonts w:ascii="Arial" w:hAnsi="Arial" w:cs="Arial"/>
                <w:sz w:val="16"/>
                <w:szCs w:val="16"/>
              </w:rPr>
            </w:pPr>
            <w:r w:rsidRPr="00D12377">
              <w:rPr>
                <w:rFonts w:ascii="Arial" w:hAnsi="Arial" w:cs="Arial"/>
                <w:sz w:val="16"/>
                <w:szCs w:val="16"/>
              </w:rPr>
              <w:t>Contributed equity</w:t>
            </w:r>
          </w:p>
        </w:tc>
        <w:tc>
          <w:tcPr>
            <w:tcW w:w="910" w:type="dxa"/>
            <w:tcBorders>
              <w:top w:val="nil"/>
              <w:left w:val="nil"/>
              <w:bottom w:val="nil"/>
              <w:right w:val="nil"/>
            </w:tcBorders>
            <w:shd w:val="clear" w:color="auto" w:fill="auto"/>
            <w:noWrap/>
            <w:vAlign w:val="bottom"/>
            <w:hideMark/>
          </w:tcPr>
          <w:p w14:paraId="575D48C5"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152,488</w:t>
            </w:r>
          </w:p>
        </w:tc>
        <w:tc>
          <w:tcPr>
            <w:tcW w:w="895" w:type="dxa"/>
            <w:tcBorders>
              <w:top w:val="nil"/>
              <w:left w:val="nil"/>
              <w:bottom w:val="nil"/>
              <w:right w:val="nil"/>
            </w:tcBorders>
            <w:shd w:val="clear" w:color="000000" w:fill="D9D9D9"/>
            <w:noWrap/>
            <w:vAlign w:val="bottom"/>
            <w:hideMark/>
          </w:tcPr>
          <w:p w14:paraId="30BD9E8F"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162,822</w:t>
            </w:r>
          </w:p>
        </w:tc>
        <w:tc>
          <w:tcPr>
            <w:tcW w:w="896" w:type="dxa"/>
            <w:tcBorders>
              <w:top w:val="nil"/>
              <w:left w:val="nil"/>
              <w:bottom w:val="nil"/>
              <w:right w:val="nil"/>
            </w:tcBorders>
            <w:shd w:val="clear" w:color="auto" w:fill="auto"/>
            <w:noWrap/>
            <w:vAlign w:val="bottom"/>
            <w:hideMark/>
          </w:tcPr>
          <w:p w14:paraId="7578AA7D"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162,822</w:t>
            </w:r>
          </w:p>
        </w:tc>
        <w:tc>
          <w:tcPr>
            <w:tcW w:w="896" w:type="dxa"/>
            <w:tcBorders>
              <w:top w:val="nil"/>
              <w:left w:val="nil"/>
              <w:bottom w:val="nil"/>
              <w:right w:val="nil"/>
            </w:tcBorders>
            <w:shd w:val="clear" w:color="auto" w:fill="auto"/>
            <w:noWrap/>
            <w:vAlign w:val="bottom"/>
            <w:hideMark/>
          </w:tcPr>
          <w:p w14:paraId="313175BF"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162,822</w:t>
            </w:r>
          </w:p>
        </w:tc>
        <w:tc>
          <w:tcPr>
            <w:tcW w:w="890" w:type="dxa"/>
            <w:tcBorders>
              <w:top w:val="nil"/>
              <w:left w:val="nil"/>
              <w:bottom w:val="nil"/>
              <w:right w:val="nil"/>
            </w:tcBorders>
            <w:shd w:val="clear" w:color="auto" w:fill="auto"/>
            <w:noWrap/>
            <w:vAlign w:val="bottom"/>
            <w:hideMark/>
          </w:tcPr>
          <w:p w14:paraId="517EEF6F"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162,822</w:t>
            </w:r>
          </w:p>
        </w:tc>
      </w:tr>
      <w:tr w:rsidR="00D12377" w:rsidRPr="00D12377" w14:paraId="21EFD004" w14:textId="77777777" w:rsidTr="00D12377">
        <w:trPr>
          <w:trHeight w:val="225"/>
          <w:jc w:val="center"/>
        </w:trPr>
        <w:tc>
          <w:tcPr>
            <w:tcW w:w="2910" w:type="dxa"/>
            <w:tcBorders>
              <w:top w:val="nil"/>
              <w:left w:val="nil"/>
              <w:bottom w:val="nil"/>
              <w:right w:val="nil"/>
            </w:tcBorders>
            <w:shd w:val="clear" w:color="auto" w:fill="auto"/>
            <w:noWrap/>
            <w:vAlign w:val="bottom"/>
            <w:hideMark/>
          </w:tcPr>
          <w:p w14:paraId="5CEE4628" w14:textId="77777777" w:rsidR="00D12377" w:rsidRPr="00D12377" w:rsidRDefault="00D12377" w:rsidP="00D12377">
            <w:pPr>
              <w:spacing w:after="0"/>
              <w:ind w:leftChars="75" w:left="143"/>
              <w:rPr>
                <w:rFonts w:ascii="Arial" w:hAnsi="Arial" w:cs="Arial"/>
                <w:sz w:val="16"/>
                <w:szCs w:val="16"/>
              </w:rPr>
            </w:pPr>
            <w:r w:rsidRPr="00D12377">
              <w:rPr>
                <w:rFonts w:ascii="Arial" w:hAnsi="Arial" w:cs="Arial"/>
                <w:sz w:val="16"/>
                <w:szCs w:val="16"/>
              </w:rPr>
              <w:t>Reserves</w:t>
            </w:r>
          </w:p>
        </w:tc>
        <w:tc>
          <w:tcPr>
            <w:tcW w:w="910" w:type="dxa"/>
            <w:tcBorders>
              <w:top w:val="nil"/>
              <w:left w:val="nil"/>
              <w:bottom w:val="nil"/>
              <w:right w:val="nil"/>
            </w:tcBorders>
            <w:shd w:val="clear" w:color="auto" w:fill="auto"/>
            <w:noWrap/>
            <w:vAlign w:val="bottom"/>
            <w:hideMark/>
          </w:tcPr>
          <w:p w14:paraId="3C065189"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233,479</w:t>
            </w:r>
          </w:p>
        </w:tc>
        <w:tc>
          <w:tcPr>
            <w:tcW w:w="895" w:type="dxa"/>
            <w:tcBorders>
              <w:top w:val="nil"/>
              <w:left w:val="nil"/>
              <w:bottom w:val="nil"/>
              <w:right w:val="nil"/>
            </w:tcBorders>
            <w:shd w:val="clear" w:color="000000" w:fill="D9D9D9"/>
            <w:noWrap/>
            <w:vAlign w:val="bottom"/>
            <w:hideMark/>
          </w:tcPr>
          <w:p w14:paraId="5972C8EA"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233,479</w:t>
            </w:r>
          </w:p>
        </w:tc>
        <w:tc>
          <w:tcPr>
            <w:tcW w:w="896" w:type="dxa"/>
            <w:tcBorders>
              <w:top w:val="nil"/>
              <w:left w:val="nil"/>
              <w:bottom w:val="nil"/>
              <w:right w:val="nil"/>
            </w:tcBorders>
            <w:shd w:val="clear" w:color="auto" w:fill="auto"/>
            <w:noWrap/>
            <w:vAlign w:val="bottom"/>
            <w:hideMark/>
          </w:tcPr>
          <w:p w14:paraId="2392922D"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233,479</w:t>
            </w:r>
          </w:p>
        </w:tc>
        <w:tc>
          <w:tcPr>
            <w:tcW w:w="896" w:type="dxa"/>
            <w:tcBorders>
              <w:top w:val="nil"/>
              <w:left w:val="nil"/>
              <w:bottom w:val="nil"/>
              <w:right w:val="nil"/>
            </w:tcBorders>
            <w:shd w:val="clear" w:color="auto" w:fill="auto"/>
            <w:noWrap/>
            <w:vAlign w:val="bottom"/>
            <w:hideMark/>
          </w:tcPr>
          <w:p w14:paraId="48FE81AB"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233,479</w:t>
            </w:r>
          </w:p>
        </w:tc>
        <w:tc>
          <w:tcPr>
            <w:tcW w:w="890" w:type="dxa"/>
            <w:tcBorders>
              <w:top w:val="nil"/>
              <w:left w:val="nil"/>
              <w:bottom w:val="nil"/>
              <w:right w:val="nil"/>
            </w:tcBorders>
            <w:shd w:val="clear" w:color="auto" w:fill="auto"/>
            <w:noWrap/>
            <w:vAlign w:val="bottom"/>
            <w:hideMark/>
          </w:tcPr>
          <w:p w14:paraId="66C1553C"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233,479</w:t>
            </w:r>
          </w:p>
        </w:tc>
      </w:tr>
      <w:tr w:rsidR="00D12377" w:rsidRPr="00D12377" w14:paraId="042F5FDD" w14:textId="77777777" w:rsidTr="00D12377">
        <w:trPr>
          <w:trHeight w:val="408"/>
          <w:jc w:val="center"/>
        </w:trPr>
        <w:tc>
          <w:tcPr>
            <w:tcW w:w="2910" w:type="dxa"/>
            <w:tcBorders>
              <w:top w:val="nil"/>
              <w:left w:val="nil"/>
              <w:bottom w:val="nil"/>
              <w:right w:val="nil"/>
            </w:tcBorders>
            <w:shd w:val="clear" w:color="auto" w:fill="auto"/>
            <w:vAlign w:val="bottom"/>
            <w:hideMark/>
          </w:tcPr>
          <w:p w14:paraId="080BEE8A" w14:textId="77777777" w:rsidR="00D12377" w:rsidRPr="00D12377" w:rsidRDefault="00D12377" w:rsidP="00D12377">
            <w:pPr>
              <w:spacing w:after="0"/>
              <w:ind w:leftChars="75" w:left="143"/>
              <w:rPr>
                <w:rFonts w:ascii="Arial" w:hAnsi="Arial" w:cs="Arial"/>
                <w:sz w:val="16"/>
                <w:szCs w:val="16"/>
              </w:rPr>
            </w:pPr>
            <w:r w:rsidRPr="00D12377">
              <w:rPr>
                <w:rFonts w:ascii="Arial" w:hAnsi="Arial" w:cs="Arial"/>
                <w:sz w:val="16"/>
                <w:szCs w:val="16"/>
              </w:rPr>
              <w:t>Retained surpluses (accumulated deficits)</w:t>
            </w:r>
          </w:p>
        </w:tc>
        <w:tc>
          <w:tcPr>
            <w:tcW w:w="910" w:type="dxa"/>
            <w:tcBorders>
              <w:top w:val="nil"/>
              <w:left w:val="nil"/>
              <w:bottom w:val="nil"/>
              <w:right w:val="nil"/>
            </w:tcBorders>
            <w:shd w:val="clear" w:color="auto" w:fill="auto"/>
            <w:noWrap/>
            <w:vAlign w:val="bottom"/>
            <w:hideMark/>
          </w:tcPr>
          <w:p w14:paraId="4CCAE9BE"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(64,739)</w:t>
            </w:r>
          </w:p>
        </w:tc>
        <w:tc>
          <w:tcPr>
            <w:tcW w:w="895" w:type="dxa"/>
            <w:tcBorders>
              <w:top w:val="nil"/>
              <w:left w:val="nil"/>
              <w:bottom w:val="nil"/>
              <w:right w:val="nil"/>
            </w:tcBorders>
            <w:shd w:val="clear" w:color="000000" w:fill="D9D9D9"/>
            <w:noWrap/>
            <w:vAlign w:val="bottom"/>
            <w:hideMark/>
          </w:tcPr>
          <w:p w14:paraId="1F75EE0D"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(73,652)</w:t>
            </w:r>
          </w:p>
        </w:tc>
        <w:tc>
          <w:tcPr>
            <w:tcW w:w="896" w:type="dxa"/>
            <w:tcBorders>
              <w:top w:val="nil"/>
              <w:left w:val="nil"/>
              <w:bottom w:val="nil"/>
              <w:right w:val="nil"/>
            </w:tcBorders>
            <w:shd w:val="clear" w:color="auto" w:fill="auto"/>
            <w:noWrap/>
            <w:vAlign w:val="bottom"/>
            <w:hideMark/>
          </w:tcPr>
          <w:p w14:paraId="0A3A1BE7"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(84,059)</w:t>
            </w:r>
          </w:p>
        </w:tc>
        <w:tc>
          <w:tcPr>
            <w:tcW w:w="896" w:type="dxa"/>
            <w:tcBorders>
              <w:top w:val="nil"/>
              <w:left w:val="nil"/>
              <w:bottom w:val="nil"/>
              <w:right w:val="nil"/>
            </w:tcBorders>
            <w:shd w:val="clear" w:color="auto" w:fill="auto"/>
            <w:noWrap/>
            <w:vAlign w:val="bottom"/>
            <w:hideMark/>
          </w:tcPr>
          <w:p w14:paraId="724D22B7"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(92,950)</w:t>
            </w:r>
          </w:p>
        </w:tc>
        <w:tc>
          <w:tcPr>
            <w:tcW w:w="890" w:type="dxa"/>
            <w:tcBorders>
              <w:top w:val="nil"/>
              <w:left w:val="nil"/>
              <w:bottom w:val="nil"/>
              <w:right w:val="nil"/>
            </w:tcBorders>
            <w:shd w:val="clear" w:color="auto" w:fill="auto"/>
            <w:noWrap/>
            <w:tcMar>
              <w:left w:w="0" w:type="dxa"/>
            </w:tcMar>
            <w:vAlign w:val="bottom"/>
            <w:hideMark/>
          </w:tcPr>
          <w:p w14:paraId="1439B05B" w14:textId="77777777" w:rsidR="00D12377" w:rsidRPr="00D12377" w:rsidRDefault="00D12377" w:rsidP="00D12377">
            <w:pPr>
              <w:spacing w:after="0"/>
              <w:jc w:val="right"/>
              <w:rPr>
                <w:rFonts w:ascii="Arial" w:hAnsi="Arial" w:cs="Arial"/>
                <w:color w:val="auto"/>
                <w:sz w:val="16"/>
                <w:szCs w:val="16"/>
              </w:rPr>
            </w:pPr>
            <w:r w:rsidRPr="00D12377">
              <w:rPr>
                <w:rFonts w:ascii="Arial" w:hAnsi="Arial" w:cs="Arial"/>
                <w:color w:val="auto"/>
                <w:sz w:val="16"/>
                <w:szCs w:val="16"/>
              </w:rPr>
              <w:t>(101,843)</w:t>
            </w:r>
          </w:p>
        </w:tc>
      </w:tr>
      <w:tr w:rsidR="00D12377" w:rsidRPr="00D12377" w14:paraId="1F602E10" w14:textId="77777777" w:rsidTr="00D12377">
        <w:trPr>
          <w:trHeight w:val="225"/>
          <w:jc w:val="center"/>
        </w:trPr>
        <w:tc>
          <w:tcPr>
            <w:tcW w:w="2910" w:type="dxa"/>
            <w:tcBorders>
              <w:top w:val="nil"/>
              <w:left w:val="nil"/>
              <w:bottom w:val="single" w:sz="4" w:space="0" w:color="auto"/>
              <w:right w:val="nil"/>
            </w:tcBorders>
            <w:shd w:val="clear" w:color="auto" w:fill="auto"/>
            <w:noWrap/>
            <w:vAlign w:val="bottom"/>
            <w:hideMark/>
          </w:tcPr>
          <w:p w14:paraId="287D5BBB" w14:textId="77777777" w:rsidR="00D12377" w:rsidRPr="00D12377" w:rsidRDefault="00D12377" w:rsidP="00D12377">
            <w:pPr>
              <w:spacing w:after="0"/>
              <w:ind w:leftChars="75" w:left="143"/>
              <w:rPr>
                <w:rFonts w:ascii="Arial" w:hAnsi="Arial" w:cs="Arial"/>
                <w:b/>
                <w:bCs/>
                <w:sz w:val="16"/>
                <w:szCs w:val="16"/>
              </w:rPr>
            </w:pPr>
            <w:r w:rsidRPr="00D12377">
              <w:rPr>
                <w:rFonts w:ascii="Arial" w:hAnsi="Arial" w:cs="Arial"/>
                <w:b/>
                <w:bCs/>
                <w:sz w:val="16"/>
                <w:szCs w:val="16"/>
              </w:rPr>
              <w:t>Total equity</w:t>
            </w:r>
          </w:p>
        </w:tc>
        <w:tc>
          <w:tcPr>
            <w:tcW w:w="910" w:type="dxa"/>
            <w:tcBorders>
              <w:top w:val="nil"/>
              <w:left w:val="nil"/>
              <w:bottom w:val="single" w:sz="4" w:space="0" w:color="auto"/>
              <w:right w:val="nil"/>
            </w:tcBorders>
            <w:shd w:val="clear" w:color="auto" w:fill="auto"/>
            <w:noWrap/>
            <w:vAlign w:val="bottom"/>
            <w:hideMark/>
          </w:tcPr>
          <w:p w14:paraId="6C34E27B"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321,228</w:t>
            </w:r>
          </w:p>
        </w:tc>
        <w:tc>
          <w:tcPr>
            <w:tcW w:w="895" w:type="dxa"/>
            <w:tcBorders>
              <w:top w:val="nil"/>
              <w:left w:val="nil"/>
              <w:bottom w:val="single" w:sz="4" w:space="0" w:color="auto"/>
              <w:right w:val="nil"/>
            </w:tcBorders>
            <w:shd w:val="clear" w:color="000000" w:fill="D9D9D9"/>
            <w:noWrap/>
            <w:vAlign w:val="bottom"/>
            <w:hideMark/>
          </w:tcPr>
          <w:p w14:paraId="43E188D0"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322,649</w:t>
            </w:r>
          </w:p>
        </w:tc>
        <w:tc>
          <w:tcPr>
            <w:tcW w:w="896" w:type="dxa"/>
            <w:tcBorders>
              <w:top w:val="nil"/>
              <w:left w:val="nil"/>
              <w:bottom w:val="single" w:sz="4" w:space="0" w:color="auto"/>
              <w:right w:val="nil"/>
            </w:tcBorders>
            <w:shd w:val="clear" w:color="auto" w:fill="auto"/>
            <w:noWrap/>
            <w:vAlign w:val="bottom"/>
            <w:hideMark/>
          </w:tcPr>
          <w:p w14:paraId="3E4A5E6B"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312,242</w:t>
            </w:r>
          </w:p>
        </w:tc>
        <w:tc>
          <w:tcPr>
            <w:tcW w:w="896" w:type="dxa"/>
            <w:tcBorders>
              <w:top w:val="nil"/>
              <w:left w:val="nil"/>
              <w:bottom w:val="single" w:sz="4" w:space="0" w:color="auto"/>
              <w:right w:val="nil"/>
            </w:tcBorders>
            <w:shd w:val="clear" w:color="auto" w:fill="auto"/>
            <w:noWrap/>
            <w:vAlign w:val="bottom"/>
            <w:hideMark/>
          </w:tcPr>
          <w:p w14:paraId="4614F3F4"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303,351</w:t>
            </w:r>
          </w:p>
        </w:tc>
        <w:tc>
          <w:tcPr>
            <w:tcW w:w="890" w:type="dxa"/>
            <w:tcBorders>
              <w:top w:val="nil"/>
              <w:left w:val="nil"/>
              <w:bottom w:val="single" w:sz="4" w:space="0" w:color="auto"/>
              <w:right w:val="nil"/>
            </w:tcBorders>
            <w:shd w:val="clear" w:color="auto" w:fill="auto"/>
            <w:noWrap/>
            <w:vAlign w:val="bottom"/>
            <w:hideMark/>
          </w:tcPr>
          <w:p w14:paraId="2CDFC39D"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294,458</w:t>
            </w:r>
          </w:p>
        </w:tc>
      </w:tr>
    </w:tbl>
    <w:p w14:paraId="0848D281" w14:textId="44A09AE6" w:rsidR="00D12377" w:rsidRPr="00177622" w:rsidRDefault="00D12377" w:rsidP="00177622">
      <w:pPr>
        <w:spacing w:after="160" w:line="259" w:lineRule="auto"/>
        <w:rPr>
          <w:rFonts w:ascii="Arial" w:hAnsi="Arial"/>
          <w:b/>
          <w:color w:val="auto"/>
          <w:sz w:val="20"/>
        </w:rPr>
      </w:pPr>
      <w:r>
        <w:rPr>
          <w:rFonts w:ascii="Arial" w:hAnsi="Arial"/>
          <w:b/>
          <w:color w:val="auto"/>
          <w:sz w:val="20"/>
        </w:rPr>
        <w:br w:type="page"/>
      </w:r>
      <w:r w:rsidR="00A80B87" w:rsidRPr="00A80B87">
        <w:rPr>
          <w:rFonts w:ascii="Arial" w:hAnsi="Arial"/>
          <w:b/>
          <w:color w:val="auto"/>
          <w:sz w:val="20"/>
        </w:rPr>
        <w:lastRenderedPageBreak/>
        <w:t>Table 3.3: Departmental statement of changes in equity — summary of movement (Budget year 2022–23)</w:t>
      </w:r>
      <w:r w:rsidR="00177622" w:rsidRPr="00A80B87">
        <w:rPr>
          <w:rFonts w:ascii="Arial" w:hAnsi="Arial" w:cs="Arial"/>
          <w:b/>
          <w:sz w:val="20"/>
          <w:szCs w:val="18"/>
          <w:lang w:eastAsia="en-US"/>
        </w:rPr>
        <w:t xml:space="preserve"> </w:t>
      </w:r>
    </w:p>
    <w:tbl>
      <w:tblPr>
        <w:tblW w:w="7372" w:type="dxa"/>
        <w:jc w:val="center"/>
        <w:tblLayout w:type="fixed"/>
        <w:tblLook w:val="04A0" w:firstRow="1" w:lastRow="0" w:firstColumn="1" w:lastColumn="0" w:noHBand="0" w:noVBand="1"/>
      </w:tblPr>
      <w:tblGrid>
        <w:gridCol w:w="2920"/>
        <w:gridCol w:w="1240"/>
        <w:gridCol w:w="1080"/>
        <w:gridCol w:w="1066"/>
        <w:gridCol w:w="1066"/>
      </w:tblGrid>
      <w:tr w:rsidR="00D12377" w:rsidRPr="00D12377" w14:paraId="5519D306" w14:textId="77777777" w:rsidTr="00963710">
        <w:trPr>
          <w:trHeight w:val="765"/>
          <w:jc w:val="center"/>
        </w:trPr>
        <w:tc>
          <w:tcPr>
            <w:tcW w:w="2920" w:type="dxa"/>
            <w:tcBorders>
              <w:top w:val="single" w:sz="4" w:space="0" w:color="auto"/>
              <w:left w:val="nil"/>
              <w:bottom w:val="nil"/>
              <w:right w:val="nil"/>
            </w:tcBorders>
            <w:shd w:val="clear" w:color="auto" w:fill="auto"/>
            <w:vAlign w:val="bottom"/>
            <w:hideMark/>
          </w:tcPr>
          <w:p w14:paraId="6CC0612C" w14:textId="77777777" w:rsidR="00D12377" w:rsidRPr="00D12377" w:rsidRDefault="00D12377" w:rsidP="00D12377">
            <w:pPr>
              <w:spacing w:before="40" w:after="0"/>
              <w:rPr>
                <w:rFonts w:ascii="Times New Roman" w:hAnsi="Times New Roman"/>
                <w:color w:val="auto"/>
                <w:sz w:val="20"/>
                <w:szCs w:val="24"/>
              </w:rPr>
            </w:pPr>
          </w:p>
        </w:tc>
        <w:tc>
          <w:tcPr>
            <w:tcW w:w="1240" w:type="dxa"/>
            <w:tcBorders>
              <w:top w:val="single" w:sz="4" w:space="0" w:color="auto"/>
              <w:left w:val="nil"/>
              <w:bottom w:val="single" w:sz="4" w:space="0" w:color="auto"/>
              <w:right w:val="nil"/>
            </w:tcBorders>
            <w:shd w:val="clear" w:color="auto" w:fill="auto"/>
            <w:tcMar>
              <w:left w:w="0" w:type="dxa"/>
            </w:tcMar>
            <w:vAlign w:val="bottom"/>
            <w:hideMark/>
          </w:tcPr>
          <w:p w14:paraId="2B5CCBAC" w14:textId="77777777" w:rsidR="00D12377" w:rsidRPr="00D12377" w:rsidRDefault="00D12377" w:rsidP="00D12377">
            <w:pPr>
              <w:spacing w:before="40" w:after="0"/>
              <w:jc w:val="right"/>
              <w:rPr>
                <w:rFonts w:ascii="Arial" w:hAnsi="Arial" w:cs="Arial"/>
                <w:sz w:val="16"/>
                <w:szCs w:val="16"/>
              </w:rPr>
            </w:pPr>
            <w:r w:rsidRPr="00D12377">
              <w:rPr>
                <w:rFonts w:ascii="Arial" w:hAnsi="Arial" w:cs="Arial"/>
                <w:b/>
                <w:bCs/>
                <w:sz w:val="16"/>
                <w:szCs w:val="16"/>
              </w:rPr>
              <w:t xml:space="preserve">Retained earnings </w:t>
            </w:r>
            <w:r w:rsidRPr="00D12377">
              <w:rPr>
                <w:rFonts w:ascii="Arial" w:hAnsi="Arial" w:cs="Arial"/>
                <w:b/>
                <w:bCs/>
                <w:sz w:val="16"/>
                <w:szCs w:val="16"/>
              </w:rPr>
              <w:br/>
              <w:t>(accumulated deficit)</w:t>
            </w:r>
            <w:r w:rsidRPr="00D12377">
              <w:rPr>
                <w:rFonts w:ascii="Arial" w:hAnsi="Arial" w:cs="Arial"/>
                <w:b/>
                <w:bCs/>
                <w:sz w:val="16"/>
                <w:szCs w:val="16"/>
              </w:rPr>
              <w:br/>
            </w:r>
            <w:r w:rsidRPr="00D12377">
              <w:rPr>
                <w:rFonts w:ascii="Arial" w:hAnsi="Arial" w:cs="Arial"/>
                <w:sz w:val="16"/>
                <w:szCs w:val="16"/>
              </w:rPr>
              <w:t>$'000</w:t>
            </w:r>
          </w:p>
        </w:tc>
        <w:tc>
          <w:tcPr>
            <w:tcW w:w="1080" w:type="dxa"/>
            <w:tcBorders>
              <w:top w:val="single" w:sz="4" w:space="0" w:color="auto"/>
              <w:left w:val="nil"/>
              <w:bottom w:val="single" w:sz="4" w:space="0" w:color="auto"/>
              <w:right w:val="nil"/>
            </w:tcBorders>
            <w:shd w:val="clear" w:color="auto" w:fill="auto"/>
            <w:vAlign w:val="bottom"/>
            <w:hideMark/>
          </w:tcPr>
          <w:p w14:paraId="21FE5489" w14:textId="77777777" w:rsidR="00D12377" w:rsidRPr="00D12377" w:rsidRDefault="00D12377" w:rsidP="00D12377">
            <w:pPr>
              <w:spacing w:before="40" w:after="0"/>
              <w:jc w:val="right"/>
              <w:rPr>
                <w:rFonts w:ascii="Arial" w:hAnsi="Arial" w:cs="Arial"/>
                <w:sz w:val="16"/>
                <w:szCs w:val="16"/>
              </w:rPr>
            </w:pPr>
            <w:r w:rsidRPr="00D12377">
              <w:rPr>
                <w:rFonts w:ascii="Arial" w:hAnsi="Arial" w:cs="Arial"/>
                <w:b/>
                <w:bCs/>
                <w:sz w:val="16"/>
                <w:szCs w:val="16"/>
              </w:rPr>
              <w:t xml:space="preserve">Asset revaluation reserve </w:t>
            </w:r>
            <w:r w:rsidRPr="00D12377">
              <w:rPr>
                <w:rFonts w:ascii="Arial" w:hAnsi="Arial" w:cs="Arial"/>
                <w:sz w:val="16"/>
                <w:szCs w:val="16"/>
              </w:rPr>
              <w:br/>
              <w:t xml:space="preserve">                                     $'000</w:t>
            </w:r>
          </w:p>
        </w:tc>
        <w:tc>
          <w:tcPr>
            <w:tcW w:w="1066" w:type="dxa"/>
            <w:tcBorders>
              <w:top w:val="single" w:sz="4" w:space="0" w:color="auto"/>
              <w:left w:val="nil"/>
              <w:bottom w:val="single" w:sz="4" w:space="0" w:color="auto"/>
              <w:right w:val="nil"/>
            </w:tcBorders>
            <w:shd w:val="clear" w:color="auto" w:fill="auto"/>
            <w:tcMar>
              <w:left w:w="0" w:type="dxa"/>
            </w:tcMar>
            <w:vAlign w:val="bottom"/>
            <w:hideMark/>
          </w:tcPr>
          <w:p w14:paraId="34FDD773" w14:textId="77777777" w:rsidR="00D12377" w:rsidRPr="00D12377" w:rsidRDefault="00D12377" w:rsidP="00D12377">
            <w:pPr>
              <w:spacing w:before="40" w:after="0"/>
              <w:jc w:val="right"/>
              <w:rPr>
                <w:rFonts w:ascii="Arial" w:hAnsi="Arial" w:cs="Arial"/>
                <w:sz w:val="16"/>
                <w:szCs w:val="16"/>
              </w:rPr>
            </w:pPr>
            <w:r w:rsidRPr="00D12377">
              <w:rPr>
                <w:rFonts w:ascii="Arial" w:hAnsi="Arial" w:cs="Arial"/>
                <w:b/>
                <w:bCs/>
                <w:sz w:val="16"/>
                <w:szCs w:val="16"/>
              </w:rPr>
              <w:t>Contributed equity/</w:t>
            </w:r>
            <w:r w:rsidRPr="00D12377">
              <w:rPr>
                <w:rFonts w:ascii="Arial" w:hAnsi="Arial" w:cs="Arial"/>
                <w:b/>
                <w:bCs/>
                <w:sz w:val="16"/>
                <w:szCs w:val="16"/>
              </w:rPr>
              <w:br/>
              <w:t xml:space="preserve">capital </w:t>
            </w:r>
            <w:r w:rsidRPr="00D12377">
              <w:rPr>
                <w:rFonts w:ascii="Arial" w:hAnsi="Arial" w:cs="Arial"/>
                <w:sz w:val="16"/>
                <w:szCs w:val="16"/>
              </w:rPr>
              <w:br/>
              <w:t xml:space="preserve">                                              $'000</w:t>
            </w:r>
          </w:p>
        </w:tc>
        <w:tc>
          <w:tcPr>
            <w:tcW w:w="1066" w:type="dxa"/>
            <w:tcBorders>
              <w:top w:val="single" w:sz="4" w:space="0" w:color="auto"/>
              <w:left w:val="nil"/>
              <w:bottom w:val="single" w:sz="4" w:space="0" w:color="auto"/>
              <w:right w:val="nil"/>
            </w:tcBorders>
            <w:shd w:val="clear" w:color="auto" w:fill="auto"/>
            <w:vAlign w:val="bottom"/>
            <w:hideMark/>
          </w:tcPr>
          <w:p w14:paraId="093F1BCA" w14:textId="77777777" w:rsidR="00D12377" w:rsidRPr="00D12377" w:rsidRDefault="00D12377" w:rsidP="00D12377">
            <w:pPr>
              <w:spacing w:before="40" w:after="0"/>
              <w:jc w:val="right"/>
              <w:rPr>
                <w:rFonts w:ascii="Arial" w:hAnsi="Arial" w:cs="Arial"/>
                <w:sz w:val="16"/>
                <w:szCs w:val="16"/>
              </w:rPr>
            </w:pPr>
            <w:r w:rsidRPr="00D12377">
              <w:rPr>
                <w:rFonts w:ascii="Arial" w:hAnsi="Arial" w:cs="Arial"/>
                <w:b/>
                <w:bCs/>
                <w:sz w:val="16"/>
                <w:szCs w:val="16"/>
              </w:rPr>
              <w:t xml:space="preserve">Total </w:t>
            </w:r>
            <w:r w:rsidRPr="00D12377">
              <w:rPr>
                <w:rFonts w:ascii="Arial" w:hAnsi="Arial" w:cs="Arial"/>
                <w:b/>
                <w:bCs/>
                <w:sz w:val="16"/>
                <w:szCs w:val="16"/>
              </w:rPr>
              <w:br/>
              <w:t xml:space="preserve">equity </w:t>
            </w:r>
            <w:r w:rsidRPr="00D12377">
              <w:rPr>
                <w:rFonts w:ascii="Arial" w:hAnsi="Arial" w:cs="Arial"/>
                <w:sz w:val="16"/>
                <w:szCs w:val="16"/>
              </w:rPr>
              <w:br/>
            </w:r>
            <w:r w:rsidRPr="00D12377">
              <w:rPr>
                <w:rFonts w:ascii="Arial" w:hAnsi="Arial" w:cs="Arial"/>
                <w:sz w:val="16"/>
                <w:szCs w:val="16"/>
              </w:rPr>
              <w:br/>
              <w:t xml:space="preserve">                                     $'000</w:t>
            </w:r>
          </w:p>
        </w:tc>
      </w:tr>
      <w:tr w:rsidR="00D12377" w:rsidRPr="00D12377" w14:paraId="361A23BF" w14:textId="77777777" w:rsidTr="00177622">
        <w:trPr>
          <w:trHeight w:val="240"/>
          <w:jc w:val="center"/>
        </w:trPr>
        <w:tc>
          <w:tcPr>
            <w:tcW w:w="2920" w:type="dxa"/>
            <w:tcBorders>
              <w:top w:val="nil"/>
              <w:left w:val="nil"/>
              <w:bottom w:val="nil"/>
              <w:right w:val="nil"/>
            </w:tcBorders>
            <w:shd w:val="clear" w:color="auto" w:fill="auto"/>
            <w:noWrap/>
            <w:vAlign w:val="bottom"/>
            <w:hideMark/>
          </w:tcPr>
          <w:p w14:paraId="5AC16153" w14:textId="77777777" w:rsidR="00D12377" w:rsidRPr="00D12377" w:rsidRDefault="00D12377" w:rsidP="00D12377">
            <w:pPr>
              <w:spacing w:after="0"/>
              <w:rPr>
                <w:rFonts w:ascii="Arial" w:hAnsi="Arial" w:cs="Arial"/>
                <w:b/>
                <w:bCs/>
                <w:sz w:val="16"/>
                <w:szCs w:val="16"/>
              </w:rPr>
            </w:pPr>
            <w:r w:rsidRPr="00D12377">
              <w:rPr>
                <w:rFonts w:ascii="Arial" w:hAnsi="Arial" w:cs="Arial"/>
                <w:b/>
                <w:bCs/>
                <w:sz w:val="16"/>
                <w:szCs w:val="16"/>
              </w:rPr>
              <w:t>Opening balance as at 1 July 2022</w:t>
            </w:r>
          </w:p>
        </w:tc>
        <w:tc>
          <w:tcPr>
            <w:tcW w:w="1240" w:type="dxa"/>
            <w:tcBorders>
              <w:top w:val="nil"/>
              <w:left w:val="nil"/>
              <w:bottom w:val="nil"/>
              <w:right w:val="nil"/>
            </w:tcBorders>
            <w:shd w:val="clear" w:color="auto" w:fill="auto"/>
            <w:noWrap/>
            <w:vAlign w:val="bottom"/>
            <w:hideMark/>
          </w:tcPr>
          <w:p w14:paraId="47BF8651" w14:textId="77777777" w:rsidR="00D12377" w:rsidRPr="00D12377" w:rsidRDefault="00D12377" w:rsidP="00D12377">
            <w:pPr>
              <w:spacing w:after="0"/>
              <w:rPr>
                <w:rFonts w:ascii="Arial" w:hAnsi="Arial" w:cs="Arial"/>
                <w:b/>
                <w:bCs/>
                <w:sz w:val="16"/>
                <w:szCs w:val="16"/>
              </w:rPr>
            </w:pPr>
          </w:p>
        </w:tc>
        <w:tc>
          <w:tcPr>
            <w:tcW w:w="1080" w:type="dxa"/>
            <w:tcBorders>
              <w:top w:val="nil"/>
              <w:left w:val="nil"/>
              <w:bottom w:val="nil"/>
              <w:right w:val="nil"/>
            </w:tcBorders>
            <w:shd w:val="clear" w:color="auto" w:fill="auto"/>
            <w:noWrap/>
            <w:vAlign w:val="bottom"/>
            <w:hideMark/>
          </w:tcPr>
          <w:p w14:paraId="1990B11D" w14:textId="77777777" w:rsidR="00D12377" w:rsidRPr="00D12377" w:rsidRDefault="00D12377" w:rsidP="00D12377">
            <w:pPr>
              <w:spacing w:after="0"/>
              <w:jc w:val="right"/>
              <w:rPr>
                <w:rFonts w:ascii="Times New Roman" w:hAnsi="Times New Roman"/>
                <w:color w:val="auto"/>
                <w:sz w:val="20"/>
              </w:rPr>
            </w:pPr>
          </w:p>
        </w:tc>
        <w:tc>
          <w:tcPr>
            <w:tcW w:w="1066" w:type="dxa"/>
            <w:tcBorders>
              <w:top w:val="nil"/>
              <w:left w:val="nil"/>
              <w:bottom w:val="nil"/>
              <w:right w:val="nil"/>
            </w:tcBorders>
            <w:shd w:val="clear" w:color="auto" w:fill="auto"/>
            <w:noWrap/>
            <w:vAlign w:val="bottom"/>
            <w:hideMark/>
          </w:tcPr>
          <w:p w14:paraId="5EE75749" w14:textId="77777777" w:rsidR="00D12377" w:rsidRPr="00D12377" w:rsidRDefault="00D12377" w:rsidP="00D12377">
            <w:pPr>
              <w:spacing w:after="0"/>
              <w:jc w:val="right"/>
              <w:rPr>
                <w:rFonts w:ascii="Times New Roman" w:hAnsi="Times New Roman"/>
                <w:color w:val="auto"/>
                <w:sz w:val="20"/>
              </w:rPr>
            </w:pPr>
          </w:p>
        </w:tc>
        <w:tc>
          <w:tcPr>
            <w:tcW w:w="1066" w:type="dxa"/>
            <w:tcBorders>
              <w:top w:val="nil"/>
              <w:left w:val="nil"/>
              <w:bottom w:val="nil"/>
              <w:right w:val="nil"/>
            </w:tcBorders>
            <w:shd w:val="clear" w:color="auto" w:fill="auto"/>
            <w:noWrap/>
            <w:vAlign w:val="bottom"/>
            <w:hideMark/>
          </w:tcPr>
          <w:p w14:paraId="6C0C7CBC" w14:textId="77777777" w:rsidR="00D12377" w:rsidRPr="00D12377" w:rsidRDefault="00D12377" w:rsidP="00D12377">
            <w:pPr>
              <w:spacing w:after="0"/>
              <w:jc w:val="right"/>
              <w:rPr>
                <w:rFonts w:ascii="Times New Roman" w:hAnsi="Times New Roman"/>
                <w:color w:val="auto"/>
                <w:sz w:val="20"/>
              </w:rPr>
            </w:pPr>
          </w:p>
        </w:tc>
      </w:tr>
      <w:tr w:rsidR="00D12377" w:rsidRPr="00D12377" w14:paraId="01DAF3FE" w14:textId="77777777" w:rsidTr="00177622">
        <w:trPr>
          <w:trHeight w:val="454"/>
          <w:jc w:val="center"/>
        </w:trPr>
        <w:tc>
          <w:tcPr>
            <w:tcW w:w="2920" w:type="dxa"/>
            <w:tcBorders>
              <w:top w:val="nil"/>
              <w:left w:val="nil"/>
              <w:bottom w:val="nil"/>
              <w:right w:val="nil"/>
            </w:tcBorders>
            <w:shd w:val="clear" w:color="auto" w:fill="auto"/>
            <w:vAlign w:val="bottom"/>
            <w:hideMark/>
          </w:tcPr>
          <w:p w14:paraId="23DA1C26" w14:textId="77777777" w:rsidR="00D12377" w:rsidRPr="00D12377" w:rsidRDefault="00D12377" w:rsidP="00177622">
            <w:pPr>
              <w:spacing w:after="0"/>
              <w:ind w:leftChars="75" w:left="143"/>
              <w:rPr>
                <w:rFonts w:ascii="Arial" w:hAnsi="Arial" w:cs="Arial"/>
                <w:sz w:val="16"/>
                <w:szCs w:val="16"/>
              </w:rPr>
            </w:pPr>
            <w:r w:rsidRPr="00D12377">
              <w:rPr>
                <w:rFonts w:ascii="Arial" w:hAnsi="Arial" w:cs="Arial"/>
                <w:sz w:val="16"/>
                <w:szCs w:val="16"/>
              </w:rPr>
              <w:t>Balance carried forward from previous period</w:t>
            </w:r>
          </w:p>
        </w:tc>
        <w:tc>
          <w:tcPr>
            <w:tcW w:w="1240" w:type="dxa"/>
            <w:tcBorders>
              <w:top w:val="nil"/>
              <w:left w:val="nil"/>
              <w:bottom w:val="nil"/>
              <w:right w:val="nil"/>
            </w:tcBorders>
            <w:shd w:val="clear" w:color="auto" w:fill="auto"/>
            <w:noWrap/>
            <w:vAlign w:val="bottom"/>
            <w:hideMark/>
          </w:tcPr>
          <w:p w14:paraId="01769568" w14:textId="77777777" w:rsidR="00D12377" w:rsidRPr="00D12377" w:rsidRDefault="00D12377" w:rsidP="00D12377">
            <w:pPr>
              <w:spacing w:after="0"/>
              <w:jc w:val="right"/>
              <w:rPr>
                <w:rFonts w:ascii="Arial" w:hAnsi="Arial" w:cs="Arial"/>
                <w:sz w:val="16"/>
                <w:szCs w:val="16"/>
              </w:rPr>
            </w:pPr>
            <w:r w:rsidRPr="00D12377">
              <w:rPr>
                <w:rFonts w:ascii="Arial" w:hAnsi="Arial" w:cs="Arial"/>
                <w:sz w:val="16"/>
                <w:szCs w:val="16"/>
              </w:rPr>
              <w:t>(64,739)</w:t>
            </w:r>
          </w:p>
        </w:tc>
        <w:tc>
          <w:tcPr>
            <w:tcW w:w="1080" w:type="dxa"/>
            <w:tcBorders>
              <w:top w:val="nil"/>
              <w:left w:val="nil"/>
              <w:bottom w:val="nil"/>
              <w:right w:val="nil"/>
            </w:tcBorders>
            <w:shd w:val="clear" w:color="auto" w:fill="auto"/>
            <w:noWrap/>
            <w:vAlign w:val="bottom"/>
            <w:hideMark/>
          </w:tcPr>
          <w:p w14:paraId="3D4E61B7" w14:textId="77777777" w:rsidR="00D12377" w:rsidRPr="00D12377" w:rsidRDefault="00D12377" w:rsidP="00D12377">
            <w:pPr>
              <w:spacing w:after="0"/>
              <w:jc w:val="right"/>
              <w:rPr>
                <w:rFonts w:ascii="Arial" w:hAnsi="Arial" w:cs="Arial"/>
                <w:sz w:val="16"/>
                <w:szCs w:val="16"/>
              </w:rPr>
            </w:pPr>
            <w:r w:rsidRPr="00D12377">
              <w:rPr>
                <w:rFonts w:ascii="Arial" w:hAnsi="Arial" w:cs="Arial"/>
                <w:sz w:val="16"/>
                <w:szCs w:val="16"/>
              </w:rPr>
              <w:t>233,479</w:t>
            </w:r>
          </w:p>
        </w:tc>
        <w:tc>
          <w:tcPr>
            <w:tcW w:w="1066" w:type="dxa"/>
            <w:tcBorders>
              <w:top w:val="nil"/>
              <w:left w:val="nil"/>
              <w:bottom w:val="nil"/>
              <w:right w:val="nil"/>
            </w:tcBorders>
            <w:shd w:val="clear" w:color="auto" w:fill="auto"/>
            <w:noWrap/>
            <w:vAlign w:val="bottom"/>
            <w:hideMark/>
          </w:tcPr>
          <w:p w14:paraId="03078666" w14:textId="77777777" w:rsidR="00D12377" w:rsidRPr="00D12377" w:rsidRDefault="00D12377" w:rsidP="00D12377">
            <w:pPr>
              <w:spacing w:after="0"/>
              <w:jc w:val="right"/>
              <w:rPr>
                <w:rFonts w:ascii="Arial" w:hAnsi="Arial" w:cs="Arial"/>
                <w:sz w:val="16"/>
                <w:szCs w:val="16"/>
              </w:rPr>
            </w:pPr>
            <w:r w:rsidRPr="00D12377">
              <w:rPr>
                <w:rFonts w:ascii="Arial" w:hAnsi="Arial" w:cs="Arial"/>
                <w:sz w:val="16"/>
                <w:szCs w:val="16"/>
              </w:rPr>
              <w:t>152,488</w:t>
            </w:r>
          </w:p>
        </w:tc>
        <w:tc>
          <w:tcPr>
            <w:tcW w:w="1066" w:type="dxa"/>
            <w:tcBorders>
              <w:top w:val="nil"/>
              <w:left w:val="nil"/>
              <w:bottom w:val="nil"/>
              <w:right w:val="nil"/>
            </w:tcBorders>
            <w:shd w:val="clear" w:color="auto" w:fill="auto"/>
            <w:noWrap/>
            <w:vAlign w:val="bottom"/>
            <w:hideMark/>
          </w:tcPr>
          <w:p w14:paraId="52BB989F"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321,228</w:t>
            </w:r>
          </w:p>
        </w:tc>
      </w:tr>
      <w:tr w:rsidR="00D12377" w:rsidRPr="00D12377" w14:paraId="2905F040" w14:textId="77777777" w:rsidTr="00177622">
        <w:trPr>
          <w:trHeight w:val="227"/>
          <w:jc w:val="center"/>
        </w:trPr>
        <w:tc>
          <w:tcPr>
            <w:tcW w:w="2920" w:type="dxa"/>
            <w:tcBorders>
              <w:top w:val="nil"/>
              <w:left w:val="nil"/>
              <w:bottom w:val="nil"/>
              <w:right w:val="nil"/>
            </w:tcBorders>
            <w:shd w:val="clear" w:color="auto" w:fill="auto"/>
            <w:noWrap/>
            <w:vAlign w:val="bottom"/>
            <w:hideMark/>
          </w:tcPr>
          <w:p w14:paraId="47CF14CA" w14:textId="77777777" w:rsidR="00D12377" w:rsidRPr="00D12377" w:rsidRDefault="00D12377" w:rsidP="00177622">
            <w:pPr>
              <w:spacing w:after="0"/>
              <w:ind w:leftChars="75" w:left="143"/>
              <w:rPr>
                <w:rFonts w:ascii="Arial" w:hAnsi="Arial" w:cs="Arial"/>
                <w:color w:val="auto"/>
                <w:sz w:val="16"/>
                <w:szCs w:val="16"/>
              </w:rPr>
            </w:pPr>
            <w:r w:rsidRPr="00D12377">
              <w:rPr>
                <w:rFonts w:ascii="Arial" w:hAnsi="Arial" w:cs="Arial"/>
                <w:color w:val="auto"/>
                <w:sz w:val="16"/>
                <w:szCs w:val="16"/>
              </w:rPr>
              <w:t>Surplus (deficit) for the period</w:t>
            </w:r>
          </w:p>
        </w:tc>
        <w:tc>
          <w:tcPr>
            <w:tcW w:w="1240" w:type="dxa"/>
            <w:tcBorders>
              <w:top w:val="nil"/>
              <w:left w:val="nil"/>
              <w:bottom w:val="nil"/>
              <w:right w:val="nil"/>
            </w:tcBorders>
            <w:shd w:val="clear" w:color="auto" w:fill="auto"/>
            <w:noWrap/>
            <w:vAlign w:val="bottom"/>
            <w:hideMark/>
          </w:tcPr>
          <w:p w14:paraId="6E5D6818" w14:textId="77777777" w:rsidR="00D12377" w:rsidRPr="00D12377" w:rsidRDefault="00D12377" w:rsidP="00D12377">
            <w:pPr>
              <w:spacing w:after="0"/>
              <w:jc w:val="right"/>
              <w:rPr>
                <w:rFonts w:ascii="Arial" w:hAnsi="Arial" w:cs="Arial"/>
                <w:sz w:val="16"/>
                <w:szCs w:val="16"/>
              </w:rPr>
            </w:pPr>
            <w:r w:rsidRPr="00D12377">
              <w:rPr>
                <w:rFonts w:ascii="Arial" w:hAnsi="Arial" w:cs="Arial"/>
                <w:sz w:val="16"/>
                <w:szCs w:val="16"/>
              </w:rPr>
              <w:t>(8,913)</w:t>
            </w:r>
          </w:p>
        </w:tc>
        <w:tc>
          <w:tcPr>
            <w:tcW w:w="1080" w:type="dxa"/>
            <w:tcBorders>
              <w:top w:val="nil"/>
              <w:left w:val="nil"/>
              <w:bottom w:val="nil"/>
              <w:right w:val="nil"/>
            </w:tcBorders>
            <w:shd w:val="clear" w:color="auto" w:fill="auto"/>
            <w:noWrap/>
            <w:vAlign w:val="bottom"/>
            <w:hideMark/>
          </w:tcPr>
          <w:p w14:paraId="106F41FB" w14:textId="77777777" w:rsidR="00D12377" w:rsidRPr="00D12377" w:rsidRDefault="00D12377" w:rsidP="00D12377">
            <w:pPr>
              <w:spacing w:after="0"/>
              <w:jc w:val="right"/>
              <w:rPr>
                <w:rFonts w:ascii="Arial" w:hAnsi="Arial" w:cs="Arial"/>
                <w:sz w:val="16"/>
                <w:szCs w:val="16"/>
              </w:rPr>
            </w:pPr>
            <w:r w:rsidRPr="00D12377">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1742E4F8" w14:textId="77777777" w:rsidR="00D12377" w:rsidRPr="00D12377" w:rsidRDefault="00D12377" w:rsidP="00D12377">
            <w:pPr>
              <w:spacing w:after="0"/>
              <w:jc w:val="right"/>
              <w:rPr>
                <w:rFonts w:ascii="Arial" w:hAnsi="Arial" w:cs="Arial"/>
                <w:sz w:val="16"/>
                <w:szCs w:val="16"/>
              </w:rPr>
            </w:pPr>
            <w:r w:rsidRPr="00D12377">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7C56CD11"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(8,913)</w:t>
            </w:r>
          </w:p>
        </w:tc>
      </w:tr>
      <w:tr w:rsidR="00D12377" w:rsidRPr="00D12377" w14:paraId="4AFE5FF5" w14:textId="77777777" w:rsidTr="00177622">
        <w:trPr>
          <w:trHeight w:val="227"/>
          <w:jc w:val="center"/>
        </w:trPr>
        <w:tc>
          <w:tcPr>
            <w:tcW w:w="2920" w:type="dxa"/>
            <w:tcBorders>
              <w:top w:val="nil"/>
              <w:left w:val="nil"/>
              <w:bottom w:val="nil"/>
              <w:right w:val="nil"/>
            </w:tcBorders>
            <w:shd w:val="clear" w:color="auto" w:fill="auto"/>
            <w:noWrap/>
            <w:vAlign w:val="bottom"/>
            <w:hideMark/>
          </w:tcPr>
          <w:p w14:paraId="63DE9074" w14:textId="77777777" w:rsidR="00D12377" w:rsidRPr="00D12377" w:rsidRDefault="00D12377" w:rsidP="00177622">
            <w:pPr>
              <w:spacing w:after="0"/>
              <w:ind w:leftChars="75" w:left="143"/>
              <w:rPr>
                <w:rFonts w:ascii="Arial" w:hAnsi="Arial" w:cs="Arial"/>
                <w:color w:val="auto"/>
                <w:sz w:val="16"/>
                <w:szCs w:val="16"/>
              </w:rPr>
            </w:pPr>
            <w:r w:rsidRPr="00D12377">
              <w:rPr>
                <w:rFonts w:ascii="Arial" w:hAnsi="Arial" w:cs="Arial"/>
                <w:color w:val="auto"/>
                <w:sz w:val="16"/>
                <w:szCs w:val="16"/>
              </w:rPr>
              <w:t>Appropriation (equity injection)</w:t>
            </w:r>
          </w:p>
        </w:tc>
        <w:tc>
          <w:tcPr>
            <w:tcW w:w="1240" w:type="dxa"/>
            <w:tcBorders>
              <w:top w:val="nil"/>
              <w:left w:val="nil"/>
              <w:bottom w:val="nil"/>
              <w:right w:val="nil"/>
            </w:tcBorders>
            <w:shd w:val="clear" w:color="auto" w:fill="auto"/>
            <w:noWrap/>
            <w:vAlign w:val="bottom"/>
            <w:hideMark/>
          </w:tcPr>
          <w:p w14:paraId="6C589DBC" w14:textId="77777777" w:rsidR="00D12377" w:rsidRPr="00D12377" w:rsidRDefault="00D12377" w:rsidP="00D12377">
            <w:pPr>
              <w:spacing w:after="0"/>
              <w:jc w:val="right"/>
              <w:rPr>
                <w:rFonts w:ascii="Arial" w:hAnsi="Arial" w:cs="Arial"/>
                <w:sz w:val="16"/>
                <w:szCs w:val="16"/>
              </w:rPr>
            </w:pPr>
            <w:r w:rsidRPr="00D12377">
              <w:rPr>
                <w:rFonts w:ascii="Arial" w:hAnsi="Arial" w:cs="Arial"/>
                <w:sz w:val="16"/>
                <w:szCs w:val="16"/>
              </w:rPr>
              <w:t>-</w:t>
            </w:r>
          </w:p>
        </w:tc>
        <w:tc>
          <w:tcPr>
            <w:tcW w:w="1080" w:type="dxa"/>
            <w:tcBorders>
              <w:top w:val="nil"/>
              <w:left w:val="nil"/>
              <w:bottom w:val="nil"/>
              <w:right w:val="nil"/>
            </w:tcBorders>
            <w:shd w:val="clear" w:color="auto" w:fill="auto"/>
            <w:noWrap/>
            <w:vAlign w:val="bottom"/>
            <w:hideMark/>
          </w:tcPr>
          <w:p w14:paraId="1EA82F35" w14:textId="77777777" w:rsidR="00D12377" w:rsidRPr="00D12377" w:rsidRDefault="00D12377" w:rsidP="00D12377">
            <w:pPr>
              <w:spacing w:after="0"/>
              <w:jc w:val="right"/>
              <w:rPr>
                <w:rFonts w:ascii="Arial" w:hAnsi="Arial" w:cs="Arial"/>
                <w:sz w:val="16"/>
                <w:szCs w:val="16"/>
              </w:rPr>
            </w:pPr>
            <w:r w:rsidRPr="00D12377">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3527CC1C" w14:textId="77777777" w:rsidR="00D12377" w:rsidRPr="00D12377" w:rsidRDefault="00D12377" w:rsidP="00D12377">
            <w:pPr>
              <w:spacing w:after="0"/>
              <w:jc w:val="right"/>
              <w:rPr>
                <w:rFonts w:ascii="Arial" w:hAnsi="Arial" w:cs="Arial"/>
                <w:sz w:val="16"/>
                <w:szCs w:val="16"/>
              </w:rPr>
            </w:pPr>
            <w:r w:rsidRPr="00D12377">
              <w:rPr>
                <w:rFonts w:ascii="Arial" w:hAnsi="Arial" w:cs="Arial"/>
                <w:sz w:val="16"/>
                <w:szCs w:val="16"/>
              </w:rPr>
              <w:t>10,334</w:t>
            </w:r>
          </w:p>
        </w:tc>
        <w:tc>
          <w:tcPr>
            <w:tcW w:w="1066" w:type="dxa"/>
            <w:tcBorders>
              <w:top w:val="nil"/>
              <w:left w:val="nil"/>
              <w:bottom w:val="nil"/>
              <w:right w:val="nil"/>
            </w:tcBorders>
            <w:shd w:val="clear" w:color="auto" w:fill="auto"/>
            <w:noWrap/>
            <w:vAlign w:val="bottom"/>
            <w:hideMark/>
          </w:tcPr>
          <w:p w14:paraId="52CE2F6E"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10,334</w:t>
            </w:r>
          </w:p>
        </w:tc>
      </w:tr>
      <w:tr w:rsidR="00D12377" w:rsidRPr="00D12377" w14:paraId="46C2420A" w14:textId="77777777" w:rsidTr="00177622">
        <w:trPr>
          <w:trHeight w:val="454"/>
          <w:jc w:val="center"/>
        </w:trPr>
        <w:tc>
          <w:tcPr>
            <w:tcW w:w="2920" w:type="dxa"/>
            <w:tcBorders>
              <w:top w:val="nil"/>
              <w:left w:val="nil"/>
              <w:bottom w:val="single" w:sz="4" w:space="0" w:color="auto"/>
              <w:right w:val="nil"/>
            </w:tcBorders>
            <w:shd w:val="clear" w:color="auto" w:fill="auto"/>
            <w:vAlign w:val="bottom"/>
            <w:hideMark/>
          </w:tcPr>
          <w:p w14:paraId="1BB42168" w14:textId="2C13B626" w:rsidR="00D12377" w:rsidRPr="00D12377" w:rsidRDefault="00D12377" w:rsidP="009321B3">
            <w:pPr>
              <w:spacing w:after="0"/>
              <w:rPr>
                <w:rFonts w:ascii="Arial" w:hAnsi="Arial" w:cs="Arial"/>
                <w:b/>
                <w:bCs/>
                <w:sz w:val="16"/>
                <w:szCs w:val="16"/>
              </w:rPr>
            </w:pPr>
            <w:r w:rsidRPr="00D12377">
              <w:rPr>
                <w:rFonts w:ascii="Arial" w:hAnsi="Arial" w:cs="Arial"/>
                <w:b/>
                <w:bCs/>
                <w:sz w:val="16"/>
                <w:szCs w:val="16"/>
              </w:rPr>
              <w:t>Estimated closing balance as at 30</w:t>
            </w:r>
            <w:r w:rsidR="009321B3">
              <w:rPr>
                <w:rFonts w:ascii="Arial" w:hAnsi="Arial" w:cs="Arial"/>
                <w:b/>
                <w:bCs/>
                <w:sz w:val="16"/>
                <w:szCs w:val="16"/>
              </w:rPr>
              <w:t> </w:t>
            </w:r>
            <w:r w:rsidRPr="00D12377">
              <w:rPr>
                <w:rFonts w:ascii="Arial" w:hAnsi="Arial" w:cs="Arial"/>
                <w:b/>
                <w:bCs/>
                <w:sz w:val="16"/>
                <w:szCs w:val="16"/>
              </w:rPr>
              <w:t>June 2023</w:t>
            </w:r>
          </w:p>
        </w:tc>
        <w:tc>
          <w:tcPr>
            <w:tcW w:w="1240" w:type="dxa"/>
            <w:tcBorders>
              <w:top w:val="nil"/>
              <w:left w:val="nil"/>
              <w:bottom w:val="single" w:sz="4" w:space="0" w:color="auto"/>
              <w:right w:val="nil"/>
            </w:tcBorders>
            <w:shd w:val="clear" w:color="auto" w:fill="auto"/>
            <w:noWrap/>
            <w:vAlign w:val="bottom"/>
            <w:hideMark/>
          </w:tcPr>
          <w:p w14:paraId="68725FBB"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(73,652)</w:t>
            </w:r>
          </w:p>
        </w:tc>
        <w:tc>
          <w:tcPr>
            <w:tcW w:w="1080" w:type="dxa"/>
            <w:tcBorders>
              <w:top w:val="nil"/>
              <w:left w:val="nil"/>
              <w:bottom w:val="single" w:sz="4" w:space="0" w:color="auto"/>
              <w:right w:val="nil"/>
            </w:tcBorders>
            <w:shd w:val="clear" w:color="auto" w:fill="auto"/>
            <w:noWrap/>
            <w:vAlign w:val="bottom"/>
            <w:hideMark/>
          </w:tcPr>
          <w:p w14:paraId="06CF77AE"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233,479</w:t>
            </w:r>
          </w:p>
        </w:tc>
        <w:tc>
          <w:tcPr>
            <w:tcW w:w="1066" w:type="dxa"/>
            <w:tcBorders>
              <w:top w:val="nil"/>
              <w:left w:val="nil"/>
              <w:bottom w:val="single" w:sz="4" w:space="0" w:color="auto"/>
              <w:right w:val="nil"/>
            </w:tcBorders>
            <w:shd w:val="clear" w:color="auto" w:fill="auto"/>
            <w:noWrap/>
            <w:vAlign w:val="bottom"/>
            <w:hideMark/>
          </w:tcPr>
          <w:p w14:paraId="602F1385"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162,822</w:t>
            </w:r>
          </w:p>
        </w:tc>
        <w:tc>
          <w:tcPr>
            <w:tcW w:w="1066" w:type="dxa"/>
            <w:tcBorders>
              <w:top w:val="nil"/>
              <w:left w:val="nil"/>
              <w:bottom w:val="single" w:sz="4" w:space="0" w:color="auto"/>
              <w:right w:val="nil"/>
            </w:tcBorders>
            <w:shd w:val="clear" w:color="auto" w:fill="auto"/>
            <w:noWrap/>
            <w:vAlign w:val="bottom"/>
            <w:hideMark/>
          </w:tcPr>
          <w:p w14:paraId="090CAFD5" w14:textId="77777777" w:rsidR="00D12377" w:rsidRPr="00D12377" w:rsidRDefault="00D12377" w:rsidP="00D12377">
            <w:pPr>
              <w:spacing w:after="0"/>
              <w:jc w:val="right"/>
              <w:rPr>
                <w:rFonts w:ascii="Arial" w:hAnsi="Arial" w:cs="Arial"/>
                <w:b/>
                <w:bCs/>
                <w:sz w:val="16"/>
                <w:szCs w:val="16"/>
              </w:rPr>
            </w:pPr>
            <w:r w:rsidRPr="00D12377">
              <w:rPr>
                <w:rFonts w:ascii="Arial" w:hAnsi="Arial" w:cs="Arial"/>
                <w:b/>
                <w:bCs/>
                <w:sz w:val="16"/>
                <w:szCs w:val="16"/>
              </w:rPr>
              <w:t>322,649</w:t>
            </w:r>
          </w:p>
        </w:tc>
      </w:tr>
    </w:tbl>
    <w:p w14:paraId="4B9A8BF7" w14:textId="77777777" w:rsidR="00731ECF" w:rsidRDefault="00731ECF">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4DE666AD" w14:textId="32E66417" w:rsidR="00A80B87" w:rsidRPr="00A80B87" w:rsidRDefault="00A80B87" w:rsidP="00A74FED">
      <w:pPr>
        <w:spacing w:before="120"/>
        <w:rPr>
          <w:rFonts w:ascii="Arial" w:hAnsi="Arial" w:cs="Arial"/>
          <w:b/>
          <w:sz w:val="20"/>
          <w:szCs w:val="18"/>
          <w:lang w:eastAsia="en-US"/>
        </w:rPr>
      </w:pPr>
      <w:r w:rsidRPr="00A80B87">
        <w:rPr>
          <w:rFonts w:ascii="Arial" w:hAnsi="Arial" w:cs="Arial"/>
          <w:b/>
          <w:sz w:val="20"/>
          <w:szCs w:val="18"/>
          <w:lang w:eastAsia="en-US"/>
        </w:rPr>
        <w:lastRenderedPageBreak/>
        <w:t>Table 3.4: Budgeted departmental statement of cash flows (for the period ended 30 June)</w:t>
      </w:r>
    </w:p>
    <w:tbl>
      <w:tblPr>
        <w:tblW w:w="7373" w:type="dxa"/>
        <w:jc w:val="center"/>
        <w:tblLayout w:type="fixed"/>
        <w:tblLook w:val="04A0" w:firstRow="1" w:lastRow="0" w:firstColumn="1" w:lastColumn="0" w:noHBand="0" w:noVBand="1"/>
      </w:tblPr>
      <w:tblGrid>
        <w:gridCol w:w="2891"/>
        <w:gridCol w:w="981"/>
        <w:gridCol w:w="873"/>
        <w:gridCol w:w="873"/>
        <w:gridCol w:w="9"/>
        <w:gridCol w:w="864"/>
        <w:gridCol w:w="9"/>
        <w:gridCol w:w="864"/>
        <w:gridCol w:w="9"/>
      </w:tblGrid>
      <w:tr w:rsidR="00177622" w:rsidRPr="00177622" w14:paraId="440C34C2" w14:textId="77777777" w:rsidTr="009321B3">
        <w:trPr>
          <w:gridAfter w:val="1"/>
          <w:wAfter w:w="9" w:type="dxa"/>
          <w:trHeight w:val="765"/>
          <w:jc w:val="center"/>
        </w:trPr>
        <w:tc>
          <w:tcPr>
            <w:tcW w:w="2891" w:type="dxa"/>
            <w:tcBorders>
              <w:top w:val="single" w:sz="4" w:space="0" w:color="auto"/>
              <w:left w:val="nil"/>
              <w:bottom w:val="nil"/>
              <w:right w:val="nil"/>
            </w:tcBorders>
            <w:shd w:val="clear" w:color="auto" w:fill="auto"/>
            <w:hideMark/>
          </w:tcPr>
          <w:p w14:paraId="1CC61EB0" w14:textId="77777777" w:rsidR="00177622" w:rsidRPr="00177622" w:rsidRDefault="00177622" w:rsidP="00177622">
            <w:pPr>
              <w:spacing w:before="40" w:after="0"/>
              <w:jc w:val="right"/>
              <w:rPr>
                <w:rFonts w:ascii="Times New Roman" w:hAnsi="Times New Roman"/>
                <w:color w:val="auto"/>
                <w:sz w:val="20"/>
                <w:szCs w:val="24"/>
              </w:rPr>
            </w:pPr>
          </w:p>
        </w:tc>
        <w:tc>
          <w:tcPr>
            <w:tcW w:w="981" w:type="dxa"/>
            <w:tcBorders>
              <w:top w:val="single" w:sz="4" w:space="0" w:color="auto"/>
              <w:left w:val="nil"/>
              <w:bottom w:val="single" w:sz="4" w:space="0" w:color="auto"/>
              <w:right w:val="nil"/>
            </w:tcBorders>
            <w:shd w:val="clear" w:color="auto" w:fill="auto"/>
            <w:hideMark/>
          </w:tcPr>
          <w:p w14:paraId="779416B5" w14:textId="77777777" w:rsidR="00177622" w:rsidRPr="00177622" w:rsidRDefault="00177622" w:rsidP="00177622">
            <w:pPr>
              <w:spacing w:before="40" w:after="0"/>
              <w:jc w:val="right"/>
              <w:rPr>
                <w:rFonts w:ascii="Arial" w:hAnsi="Arial" w:cs="Arial"/>
                <w:b/>
                <w:bCs/>
                <w:color w:val="auto"/>
                <w:sz w:val="16"/>
                <w:szCs w:val="16"/>
              </w:rPr>
            </w:pPr>
            <w:r w:rsidRPr="00177622">
              <w:rPr>
                <w:rFonts w:ascii="Arial" w:hAnsi="Arial" w:cs="Arial"/>
                <w:b/>
                <w:bCs/>
                <w:color w:val="auto"/>
                <w:sz w:val="16"/>
                <w:szCs w:val="16"/>
              </w:rPr>
              <w:t>2021–22 Estimated actual</w:t>
            </w:r>
            <w:r w:rsidRPr="00177622">
              <w:rPr>
                <w:rFonts w:ascii="Arial" w:hAnsi="Arial" w:cs="Arial"/>
                <w:b/>
                <w:bCs/>
                <w:color w:val="auto"/>
                <w:sz w:val="16"/>
                <w:szCs w:val="16"/>
              </w:rPr>
              <w:br/>
            </w:r>
            <w:r w:rsidRPr="00177622">
              <w:rPr>
                <w:rFonts w:ascii="Arial" w:hAnsi="Arial" w:cs="Arial"/>
                <w:color w:val="auto"/>
                <w:sz w:val="16"/>
                <w:szCs w:val="16"/>
              </w:rPr>
              <w:t>$'000</w:t>
            </w:r>
          </w:p>
        </w:tc>
        <w:tc>
          <w:tcPr>
            <w:tcW w:w="873" w:type="dxa"/>
            <w:tcBorders>
              <w:top w:val="single" w:sz="4" w:space="0" w:color="auto"/>
              <w:left w:val="nil"/>
              <w:bottom w:val="single" w:sz="4" w:space="0" w:color="auto"/>
              <w:right w:val="nil"/>
            </w:tcBorders>
            <w:shd w:val="clear" w:color="000000" w:fill="D9D9D9"/>
            <w:hideMark/>
          </w:tcPr>
          <w:p w14:paraId="0738169E" w14:textId="77777777" w:rsidR="00177622" w:rsidRPr="00177622" w:rsidRDefault="00177622" w:rsidP="00177622">
            <w:pPr>
              <w:spacing w:before="40" w:after="0"/>
              <w:jc w:val="right"/>
              <w:rPr>
                <w:rFonts w:ascii="Arial" w:hAnsi="Arial" w:cs="Arial"/>
                <w:b/>
                <w:bCs/>
                <w:color w:val="auto"/>
                <w:sz w:val="16"/>
                <w:szCs w:val="16"/>
              </w:rPr>
            </w:pPr>
            <w:r w:rsidRPr="00177622">
              <w:rPr>
                <w:rFonts w:ascii="Arial" w:hAnsi="Arial" w:cs="Arial"/>
                <w:b/>
                <w:bCs/>
                <w:color w:val="auto"/>
                <w:sz w:val="16"/>
                <w:szCs w:val="16"/>
              </w:rPr>
              <w:t>2022–23</w:t>
            </w:r>
            <w:r w:rsidRPr="00177622">
              <w:rPr>
                <w:rFonts w:ascii="Arial" w:hAnsi="Arial" w:cs="Arial"/>
                <w:b/>
                <w:bCs/>
                <w:color w:val="auto"/>
                <w:sz w:val="16"/>
                <w:szCs w:val="16"/>
              </w:rPr>
              <w:br/>
              <w:t>Budget</w:t>
            </w:r>
            <w:r w:rsidRPr="00177622">
              <w:rPr>
                <w:rFonts w:ascii="Arial" w:hAnsi="Arial" w:cs="Arial"/>
                <w:b/>
                <w:bCs/>
                <w:color w:val="auto"/>
                <w:sz w:val="16"/>
                <w:szCs w:val="16"/>
              </w:rPr>
              <w:br/>
            </w:r>
            <w:r w:rsidRPr="00177622">
              <w:rPr>
                <w:rFonts w:ascii="Arial" w:hAnsi="Arial" w:cs="Arial"/>
                <w:b/>
                <w:bCs/>
                <w:color w:val="auto"/>
                <w:sz w:val="16"/>
                <w:szCs w:val="16"/>
              </w:rPr>
              <w:br/>
            </w:r>
            <w:r w:rsidRPr="00177622">
              <w:rPr>
                <w:rFonts w:ascii="Arial" w:hAnsi="Arial" w:cs="Arial"/>
                <w:color w:val="auto"/>
                <w:sz w:val="16"/>
                <w:szCs w:val="16"/>
              </w:rPr>
              <w:t>$'000</w:t>
            </w:r>
          </w:p>
        </w:tc>
        <w:tc>
          <w:tcPr>
            <w:tcW w:w="873" w:type="dxa"/>
            <w:tcBorders>
              <w:top w:val="single" w:sz="4" w:space="0" w:color="auto"/>
              <w:left w:val="nil"/>
              <w:bottom w:val="single" w:sz="4" w:space="0" w:color="auto"/>
              <w:right w:val="nil"/>
            </w:tcBorders>
            <w:shd w:val="clear" w:color="auto" w:fill="auto"/>
            <w:hideMark/>
          </w:tcPr>
          <w:p w14:paraId="0DC85E6E" w14:textId="77777777" w:rsidR="00177622" w:rsidRPr="00177622" w:rsidRDefault="00177622" w:rsidP="00177622">
            <w:pPr>
              <w:spacing w:before="40" w:after="0"/>
              <w:jc w:val="right"/>
              <w:rPr>
                <w:rFonts w:ascii="Arial" w:hAnsi="Arial" w:cs="Arial"/>
                <w:b/>
                <w:bCs/>
                <w:color w:val="auto"/>
                <w:sz w:val="16"/>
                <w:szCs w:val="16"/>
              </w:rPr>
            </w:pPr>
            <w:r w:rsidRPr="00177622">
              <w:rPr>
                <w:rFonts w:ascii="Arial" w:hAnsi="Arial" w:cs="Arial"/>
                <w:b/>
                <w:bCs/>
                <w:color w:val="auto"/>
                <w:sz w:val="16"/>
                <w:szCs w:val="16"/>
              </w:rPr>
              <w:t>2023–24 Forward estimate</w:t>
            </w:r>
            <w:r w:rsidRPr="00177622">
              <w:rPr>
                <w:rFonts w:ascii="Arial" w:hAnsi="Arial" w:cs="Arial"/>
                <w:b/>
                <w:bCs/>
                <w:color w:val="auto"/>
                <w:sz w:val="16"/>
                <w:szCs w:val="16"/>
              </w:rPr>
              <w:br/>
            </w:r>
            <w:r w:rsidRPr="00177622">
              <w:rPr>
                <w:rFonts w:ascii="Arial" w:hAnsi="Arial" w:cs="Arial"/>
                <w:color w:val="auto"/>
                <w:sz w:val="16"/>
                <w:szCs w:val="16"/>
              </w:rPr>
              <w:t>$'000</w:t>
            </w:r>
          </w:p>
        </w:tc>
        <w:tc>
          <w:tcPr>
            <w:tcW w:w="873" w:type="dxa"/>
            <w:gridSpan w:val="2"/>
            <w:tcBorders>
              <w:top w:val="single" w:sz="4" w:space="0" w:color="auto"/>
              <w:left w:val="nil"/>
              <w:bottom w:val="single" w:sz="4" w:space="0" w:color="auto"/>
              <w:right w:val="nil"/>
            </w:tcBorders>
            <w:shd w:val="clear" w:color="auto" w:fill="auto"/>
            <w:hideMark/>
          </w:tcPr>
          <w:p w14:paraId="5ADB49D2" w14:textId="77777777" w:rsidR="00177622" w:rsidRPr="00177622" w:rsidRDefault="00177622" w:rsidP="00177622">
            <w:pPr>
              <w:spacing w:before="40" w:after="0"/>
              <w:jc w:val="right"/>
              <w:rPr>
                <w:rFonts w:ascii="Arial" w:hAnsi="Arial" w:cs="Arial"/>
                <w:b/>
                <w:bCs/>
                <w:color w:val="auto"/>
                <w:sz w:val="16"/>
                <w:szCs w:val="16"/>
              </w:rPr>
            </w:pPr>
            <w:r w:rsidRPr="00177622">
              <w:rPr>
                <w:rFonts w:ascii="Arial" w:hAnsi="Arial" w:cs="Arial"/>
                <w:b/>
                <w:bCs/>
                <w:color w:val="auto"/>
                <w:sz w:val="16"/>
                <w:szCs w:val="16"/>
              </w:rPr>
              <w:t>2024–25</w:t>
            </w:r>
            <w:r w:rsidRPr="00177622">
              <w:rPr>
                <w:rFonts w:ascii="Arial" w:hAnsi="Arial" w:cs="Arial"/>
                <w:b/>
                <w:bCs/>
                <w:color w:val="auto"/>
                <w:sz w:val="16"/>
                <w:szCs w:val="16"/>
              </w:rPr>
              <w:br/>
              <w:t>Forward estimate</w:t>
            </w:r>
            <w:r w:rsidRPr="00177622">
              <w:rPr>
                <w:rFonts w:ascii="Arial" w:hAnsi="Arial" w:cs="Arial"/>
                <w:b/>
                <w:bCs/>
                <w:color w:val="auto"/>
                <w:sz w:val="16"/>
                <w:szCs w:val="16"/>
              </w:rPr>
              <w:br/>
            </w:r>
            <w:r w:rsidRPr="00177622">
              <w:rPr>
                <w:rFonts w:ascii="Arial" w:hAnsi="Arial" w:cs="Arial"/>
                <w:color w:val="auto"/>
                <w:sz w:val="16"/>
                <w:szCs w:val="16"/>
              </w:rPr>
              <w:t>$'000</w:t>
            </w:r>
          </w:p>
        </w:tc>
        <w:tc>
          <w:tcPr>
            <w:tcW w:w="873" w:type="dxa"/>
            <w:gridSpan w:val="2"/>
            <w:tcBorders>
              <w:top w:val="single" w:sz="4" w:space="0" w:color="auto"/>
              <w:left w:val="nil"/>
              <w:bottom w:val="single" w:sz="4" w:space="0" w:color="auto"/>
              <w:right w:val="nil"/>
            </w:tcBorders>
            <w:shd w:val="clear" w:color="auto" w:fill="auto"/>
            <w:hideMark/>
          </w:tcPr>
          <w:p w14:paraId="29ABEF68" w14:textId="77777777" w:rsidR="00177622" w:rsidRPr="00177622" w:rsidRDefault="00177622" w:rsidP="00177622">
            <w:pPr>
              <w:spacing w:before="40" w:after="0"/>
              <w:jc w:val="right"/>
              <w:rPr>
                <w:rFonts w:ascii="Arial" w:hAnsi="Arial" w:cs="Arial"/>
                <w:b/>
                <w:bCs/>
                <w:color w:val="auto"/>
                <w:sz w:val="16"/>
                <w:szCs w:val="16"/>
              </w:rPr>
            </w:pPr>
            <w:r w:rsidRPr="00177622">
              <w:rPr>
                <w:rFonts w:ascii="Arial" w:hAnsi="Arial" w:cs="Arial"/>
                <w:b/>
                <w:bCs/>
                <w:color w:val="auto"/>
                <w:sz w:val="16"/>
                <w:szCs w:val="16"/>
              </w:rPr>
              <w:t>2025–26 Forward estimate</w:t>
            </w:r>
            <w:r w:rsidRPr="00177622">
              <w:rPr>
                <w:rFonts w:ascii="Arial" w:hAnsi="Arial" w:cs="Arial"/>
                <w:b/>
                <w:bCs/>
                <w:color w:val="auto"/>
                <w:sz w:val="16"/>
                <w:szCs w:val="16"/>
              </w:rPr>
              <w:br/>
            </w:r>
            <w:r w:rsidRPr="00177622">
              <w:rPr>
                <w:rFonts w:ascii="Arial" w:hAnsi="Arial" w:cs="Arial"/>
                <w:color w:val="auto"/>
                <w:sz w:val="16"/>
                <w:szCs w:val="16"/>
              </w:rPr>
              <w:t>$'000</w:t>
            </w:r>
          </w:p>
        </w:tc>
      </w:tr>
      <w:tr w:rsidR="00177622" w:rsidRPr="00177622" w14:paraId="42F90EE1" w14:textId="77777777" w:rsidTr="00731ECF">
        <w:trPr>
          <w:gridAfter w:val="1"/>
          <w:wAfter w:w="9" w:type="dxa"/>
          <w:trHeight w:val="227"/>
          <w:jc w:val="center"/>
        </w:trPr>
        <w:tc>
          <w:tcPr>
            <w:tcW w:w="2891" w:type="dxa"/>
            <w:tcBorders>
              <w:top w:val="nil"/>
              <w:left w:val="nil"/>
              <w:bottom w:val="nil"/>
              <w:right w:val="nil"/>
            </w:tcBorders>
            <w:shd w:val="clear" w:color="auto" w:fill="auto"/>
            <w:noWrap/>
            <w:vAlign w:val="bottom"/>
            <w:hideMark/>
          </w:tcPr>
          <w:p w14:paraId="2350D75C" w14:textId="77777777" w:rsidR="00177622" w:rsidRPr="00177622" w:rsidRDefault="00177622" w:rsidP="00177622">
            <w:pPr>
              <w:spacing w:after="0"/>
              <w:rPr>
                <w:rFonts w:ascii="Arial" w:hAnsi="Arial" w:cs="Arial"/>
                <w:b/>
                <w:bCs/>
                <w:sz w:val="16"/>
                <w:szCs w:val="16"/>
              </w:rPr>
            </w:pPr>
            <w:r w:rsidRPr="00177622">
              <w:rPr>
                <w:rFonts w:ascii="Arial" w:hAnsi="Arial" w:cs="Arial"/>
                <w:b/>
                <w:bCs/>
                <w:sz w:val="16"/>
                <w:szCs w:val="16"/>
              </w:rPr>
              <w:t>OPERATING ACTIVITIES</w:t>
            </w:r>
          </w:p>
        </w:tc>
        <w:tc>
          <w:tcPr>
            <w:tcW w:w="981" w:type="dxa"/>
            <w:tcBorders>
              <w:top w:val="nil"/>
              <w:left w:val="nil"/>
              <w:bottom w:val="nil"/>
              <w:right w:val="nil"/>
            </w:tcBorders>
            <w:shd w:val="clear" w:color="auto" w:fill="auto"/>
            <w:noWrap/>
            <w:vAlign w:val="bottom"/>
            <w:hideMark/>
          </w:tcPr>
          <w:p w14:paraId="6F62B8F0" w14:textId="77777777" w:rsidR="00177622" w:rsidRPr="00177622" w:rsidRDefault="00177622" w:rsidP="00177622">
            <w:pPr>
              <w:spacing w:after="0"/>
              <w:rPr>
                <w:rFonts w:ascii="Arial" w:hAnsi="Arial" w:cs="Arial"/>
                <w:b/>
                <w:bCs/>
                <w:sz w:val="16"/>
                <w:szCs w:val="16"/>
              </w:rPr>
            </w:pPr>
          </w:p>
        </w:tc>
        <w:tc>
          <w:tcPr>
            <w:tcW w:w="873" w:type="dxa"/>
            <w:tcBorders>
              <w:top w:val="nil"/>
              <w:left w:val="nil"/>
              <w:bottom w:val="nil"/>
              <w:right w:val="nil"/>
            </w:tcBorders>
            <w:shd w:val="clear" w:color="000000" w:fill="D9D9D9"/>
            <w:noWrap/>
            <w:vAlign w:val="center"/>
            <w:hideMark/>
          </w:tcPr>
          <w:p w14:paraId="395DCB32"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 </w:t>
            </w:r>
          </w:p>
        </w:tc>
        <w:tc>
          <w:tcPr>
            <w:tcW w:w="873" w:type="dxa"/>
            <w:tcBorders>
              <w:top w:val="nil"/>
              <w:left w:val="nil"/>
              <w:bottom w:val="nil"/>
              <w:right w:val="nil"/>
            </w:tcBorders>
            <w:shd w:val="clear" w:color="auto" w:fill="auto"/>
            <w:noWrap/>
            <w:vAlign w:val="center"/>
            <w:hideMark/>
          </w:tcPr>
          <w:p w14:paraId="5E490851" w14:textId="77777777" w:rsidR="00177622" w:rsidRPr="00177622" w:rsidRDefault="00177622" w:rsidP="00177622">
            <w:pPr>
              <w:spacing w:after="0"/>
              <w:jc w:val="right"/>
              <w:rPr>
                <w:rFonts w:ascii="Arial" w:hAnsi="Arial" w:cs="Arial"/>
                <w:sz w:val="16"/>
                <w:szCs w:val="16"/>
              </w:rPr>
            </w:pPr>
          </w:p>
        </w:tc>
        <w:tc>
          <w:tcPr>
            <w:tcW w:w="873" w:type="dxa"/>
            <w:gridSpan w:val="2"/>
            <w:tcBorders>
              <w:top w:val="nil"/>
              <w:left w:val="nil"/>
              <w:bottom w:val="nil"/>
              <w:right w:val="nil"/>
            </w:tcBorders>
            <w:shd w:val="clear" w:color="auto" w:fill="auto"/>
            <w:noWrap/>
            <w:vAlign w:val="center"/>
            <w:hideMark/>
          </w:tcPr>
          <w:p w14:paraId="32D0EC62" w14:textId="77777777" w:rsidR="00177622" w:rsidRPr="00177622" w:rsidRDefault="00177622" w:rsidP="00177622">
            <w:pPr>
              <w:spacing w:after="0"/>
              <w:jc w:val="right"/>
              <w:rPr>
                <w:rFonts w:ascii="Times New Roman" w:hAnsi="Times New Roman"/>
                <w:color w:val="auto"/>
                <w:sz w:val="20"/>
              </w:rPr>
            </w:pPr>
          </w:p>
        </w:tc>
        <w:tc>
          <w:tcPr>
            <w:tcW w:w="873" w:type="dxa"/>
            <w:gridSpan w:val="2"/>
            <w:tcBorders>
              <w:top w:val="nil"/>
              <w:left w:val="nil"/>
              <w:bottom w:val="nil"/>
              <w:right w:val="nil"/>
            </w:tcBorders>
            <w:shd w:val="clear" w:color="auto" w:fill="auto"/>
            <w:noWrap/>
            <w:vAlign w:val="center"/>
            <w:hideMark/>
          </w:tcPr>
          <w:p w14:paraId="14094718" w14:textId="77777777" w:rsidR="00177622" w:rsidRPr="00177622" w:rsidRDefault="00177622" w:rsidP="00177622">
            <w:pPr>
              <w:spacing w:after="0"/>
              <w:jc w:val="right"/>
              <w:rPr>
                <w:rFonts w:ascii="Times New Roman" w:hAnsi="Times New Roman"/>
                <w:color w:val="auto"/>
                <w:sz w:val="20"/>
              </w:rPr>
            </w:pPr>
          </w:p>
        </w:tc>
      </w:tr>
      <w:tr w:rsidR="00177622" w:rsidRPr="00177622" w14:paraId="45BB880B" w14:textId="77777777" w:rsidTr="00731ECF">
        <w:trPr>
          <w:gridAfter w:val="1"/>
          <w:wAfter w:w="9" w:type="dxa"/>
          <w:trHeight w:val="225"/>
          <w:jc w:val="center"/>
        </w:trPr>
        <w:tc>
          <w:tcPr>
            <w:tcW w:w="2891" w:type="dxa"/>
            <w:tcBorders>
              <w:top w:val="nil"/>
              <w:left w:val="nil"/>
              <w:bottom w:val="nil"/>
              <w:right w:val="nil"/>
            </w:tcBorders>
            <w:shd w:val="clear" w:color="auto" w:fill="auto"/>
            <w:noWrap/>
            <w:vAlign w:val="bottom"/>
            <w:hideMark/>
          </w:tcPr>
          <w:p w14:paraId="67BC9930" w14:textId="77777777" w:rsidR="00177622" w:rsidRPr="00177622" w:rsidRDefault="00177622" w:rsidP="00177622">
            <w:pPr>
              <w:spacing w:after="0"/>
              <w:ind w:leftChars="75" w:left="143"/>
              <w:rPr>
                <w:rFonts w:ascii="Arial" w:hAnsi="Arial" w:cs="Arial"/>
                <w:b/>
                <w:bCs/>
                <w:sz w:val="16"/>
                <w:szCs w:val="16"/>
              </w:rPr>
            </w:pPr>
            <w:r w:rsidRPr="00177622">
              <w:rPr>
                <w:rFonts w:ascii="Arial" w:hAnsi="Arial" w:cs="Arial"/>
                <w:b/>
                <w:bCs/>
                <w:sz w:val="16"/>
                <w:szCs w:val="16"/>
              </w:rPr>
              <w:t>Cash received</w:t>
            </w:r>
          </w:p>
        </w:tc>
        <w:tc>
          <w:tcPr>
            <w:tcW w:w="981" w:type="dxa"/>
            <w:tcBorders>
              <w:top w:val="nil"/>
              <w:left w:val="nil"/>
              <w:bottom w:val="nil"/>
              <w:right w:val="nil"/>
            </w:tcBorders>
            <w:shd w:val="clear" w:color="auto" w:fill="auto"/>
            <w:noWrap/>
            <w:vAlign w:val="bottom"/>
            <w:hideMark/>
          </w:tcPr>
          <w:p w14:paraId="494DC345" w14:textId="77777777" w:rsidR="00177622" w:rsidRPr="00177622" w:rsidRDefault="00177622" w:rsidP="00177622">
            <w:pPr>
              <w:spacing w:after="0"/>
              <w:ind w:firstLineChars="100" w:firstLine="16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4748F912"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 </w:t>
            </w:r>
          </w:p>
        </w:tc>
        <w:tc>
          <w:tcPr>
            <w:tcW w:w="873" w:type="dxa"/>
            <w:tcBorders>
              <w:top w:val="nil"/>
              <w:left w:val="nil"/>
              <w:bottom w:val="nil"/>
              <w:right w:val="nil"/>
            </w:tcBorders>
            <w:shd w:val="clear" w:color="auto" w:fill="auto"/>
            <w:noWrap/>
            <w:vAlign w:val="bottom"/>
            <w:hideMark/>
          </w:tcPr>
          <w:p w14:paraId="5587FA8F" w14:textId="77777777" w:rsidR="00177622" w:rsidRPr="00177622" w:rsidRDefault="00177622" w:rsidP="00177622">
            <w:pPr>
              <w:spacing w:after="0"/>
              <w:jc w:val="right"/>
              <w:rPr>
                <w:rFonts w:ascii="Arial" w:hAnsi="Arial" w:cs="Arial"/>
                <w:sz w:val="16"/>
                <w:szCs w:val="16"/>
              </w:rPr>
            </w:pPr>
          </w:p>
        </w:tc>
        <w:tc>
          <w:tcPr>
            <w:tcW w:w="873" w:type="dxa"/>
            <w:gridSpan w:val="2"/>
            <w:tcBorders>
              <w:top w:val="nil"/>
              <w:left w:val="nil"/>
              <w:bottom w:val="nil"/>
              <w:right w:val="nil"/>
            </w:tcBorders>
            <w:shd w:val="clear" w:color="auto" w:fill="auto"/>
            <w:noWrap/>
            <w:vAlign w:val="bottom"/>
            <w:hideMark/>
          </w:tcPr>
          <w:p w14:paraId="5CA423AD" w14:textId="77777777" w:rsidR="00177622" w:rsidRPr="00177622" w:rsidRDefault="00177622" w:rsidP="00177622">
            <w:pPr>
              <w:spacing w:after="0"/>
              <w:jc w:val="right"/>
              <w:rPr>
                <w:rFonts w:ascii="Times New Roman" w:hAnsi="Times New Roman"/>
                <w:color w:val="auto"/>
                <w:sz w:val="20"/>
              </w:rPr>
            </w:pPr>
          </w:p>
        </w:tc>
        <w:tc>
          <w:tcPr>
            <w:tcW w:w="873" w:type="dxa"/>
            <w:gridSpan w:val="2"/>
            <w:tcBorders>
              <w:top w:val="nil"/>
              <w:left w:val="nil"/>
              <w:bottom w:val="nil"/>
              <w:right w:val="nil"/>
            </w:tcBorders>
            <w:shd w:val="clear" w:color="auto" w:fill="auto"/>
            <w:noWrap/>
            <w:vAlign w:val="bottom"/>
            <w:hideMark/>
          </w:tcPr>
          <w:p w14:paraId="1FF99AFC" w14:textId="77777777" w:rsidR="00177622" w:rsidRPr="00177622" w:rsidRDefault="00177622" w:rsidP="00177622">
            <w:pPr>
              <w:spacing w:after="0"/>
              <w:jc w:val="right"/>
              <w:rPr>
                <w:rFonts w:ascii="Times New Roman" w:hAnsi="Times New Roman"/>
                <w:color w:val="auto"/>
                <w:sz w:val="20"/>
              </w:rPr>
            </w:pPr>
          </w:p>
        </w:tc>
      </w:tr>
      <w:tr w:rsidR="00177622" w:rsidRPr="00177622" w14:paraId="44124B10" w14:textId="77777777" w:rsidTr="00731ECF">
        <w:trPr>
          <w:gridAfter w:val="1"/>
          <w:wAfter w:w="9" w:type="dxa"/>
          <w:trHeight w:val="225"/>
          <w:jc w:val="center"/>
        </w:trPr>
        <w:tc>
          <w:tcPr>
            <w:tcW w:w="2891" w:type="dxa"/>
            <w:tcBorders>
              <w:top w:val="nil"/>
              <w:left w:val="nil"/>
              <w:bottom w:val="nil"/>
              <w:right w:val="nil"/>
            </w:tcBorders>
            <w:shd w:val="clear" w:color="auto" w:fill="auto"/>
            <w:noWrap/>
            <w:vAlign w:val="bottom"/>
            <w:hideMark/>
          </w:tcPr>
          <w:p w14:paraId="465EE750" w14:textId="77777777" w:rsidR="00177622" w:rsidRPr="00177622" w:rsidRDefault="00177622" w:rsidP="00177622">
            <w:pPr>
              <w:spacing w:after="0"/>
              <w:ind w:leftChars="150" w:left="285"/>
              <w:rPr>
                <w:rFonts w:ascii="Arial" w:hAnsi="Arial" w:cs="Arial"/>
                <w:sz w:val="16"/>
                <w:szCs w:val="16"/>
              </w:rPr>
            </w:pPr>
            <w:r w:rsidRPr="00177622">
              <w:rPr>
                <w:rFonts w:ascii="Arial" w:hAnsi="Arial" w:cs="Arial"/>
                <w:sz w:val="16"/>
                <w:szCs w:val="16"/>
              </w:rPr>
              <w:t>Receipts from Government</w:t>
            </w:r>
          </w:p>
        </w:tc>
        <w:tc>
          <w:tcPr>
            <w:tcW w:w="981" w:type="dxa"/>
            <w:tcBorders>
              <w:top w:val="nil"/>
              <w:left w:val="nil"/>
              <w:bottom w:val="nil"/>
              <w:right w:val="nil"/>
            </w:tcBorders>
            <w:shd w:val="clear" w:color="auto" w:fill="auto"/>
            <w:noWrap/>
            <w:vAlign w:val="bottom"/>
            <w:hideMark/>
          </w:tcPr>
          <w:p w14:paraId="41DCAF52"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323,530</w:t>
            </w:r>
          </w:p>
        </w:tc>
        <w:tc>
          <w:tcPr>
            <w:tcW w:w="873" w:type="dxa"/>
            <w:tcBorders>
              <w:top w:val="nil"/>
              <w:left w:val="nil"/>
              <w:bottom w:val="nil"/>
              <w:right w:val="nil"/>
            </w:tcBorders>
            <w:shd w:val="clear" w:color="000000" w:fill="D9D9D9"/>
            <w:noWrap/>
            <w:vAlign w:val="bottom"/>
            <w:hideMark/>
          </w:tcPr>
          <w:p w14:paraId="4A3EACAA"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337,870</w:t>
            </w:r>
          </w:p>
        </w:tc>
        <w:tc>
          <w:tcPr>
            <w:tcW w:w="873" w:type="dxa"/>
            <w:tcBorders>
              <w:top w:val="nil"/>
              <w:left w:val="nil"/>
              <w:bottom w:val="nil"/>
              <w:right w:val="nil"/>
            </w:tcBorders>
            <w:shd w:val="clear" w:color="auto" w:fill="auto"/>
            <w:noWrap/>
            <w:vAlign w:val="bottom"/>
            <w:hideMark/>
          </w:tcPr>
          <w:p w14:paraId="6172C15C"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343,601</w:t>
            </w:r>
          </w:p>
        </w:tc>
        <w:tc>
          <w:tcPr>
            <w:tcW w:w="873" w:type="dxa"/>
            <w:gridSpan w:val="2"/>
            <w:tcBorders>
              <w:top w:val="nil"/>
              <w:left w:val="nil"/>
              <w:bottom w:val="nil"/>
              <w:right w:val="nil"/>
            </w:tcBorders>
            <w:shd w:val="clear" w:color="auto" w:fill="auto"/>
            <w:noWrap/>
            <w:vAlign w:val="bottom"/>
            <w:hideMark/>
          </w:tcPr>
          <w:p w14:paraId="0A70CAD4"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266,668</w:t>
            </w:r>
          </w:p>
        </w:tc>
        <w:tc>
          <w:tcPr>
            <w:tcW w:w="873" w:type="dxa"/>
            <w:gridSpan w:val="2"/>
            <w:tcBorders>
              <w:top w:val="nil"/>
              <w:left w:val="nil"/>
              <w:bottom w:val="nil"/>
              <w:right w:val="nil"/>
            </w:tcBorders>
            <w:shd w:val="clear" w:color="auto" w:fill="auto"/>
            <w:noWrap/>
            <w:vAlign w:val="bottom"/>
            <w:hideMark/>
          </w:tcPr>
          <w:p w14:paraId="2421E9C7"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241,799</w:t>
            </w:r>
          </w:p>
        </w:tc>
      </w:tr>
      <w:tr w:rsidR="00177622" w:rsidRPr="00177622" w14:paraId="59849C6C" w14:textId="77777777" w:rsidTr="00731ECF">
        <w:trPr>
          <w:gridAfter w:val="1"/>
          <w:wAfter w:w="9" w:type="dxa"/>
          <w:trHeight w:val="450"/>
          <w:jc w:val="center"/>
        </w:trPr>
        <w:tc>
          <w:tcPr>
            <w:tcW w:w="2891" w:type="dxa"/>
            <w:tcBorders>
              <w:top w:val="nil"/>
              <w:left w:val="nil"/>
              <w:bottom w:val="nil"/>
              <w:right w:val="nil"/>
            </w:tcBorders>
            <w:shd w:val="clear" w:color="auto" w:fill="auto"/>
            <w:vAlign w:val="bottom"/>
            <w:hideMark/>
          </w:tcPr>
          <w:p w14:paraId="0CD68181" w14:textId="77777777" w:rsidR="00177622" w:rsidRPr="00177622" w:rsidRDefault="00177622" w:rsidP="00177622">
            <w:pPr>
              <w:spacing w:after="0"/>
              <w:ind w:leftChars="150" w:left="285"/>
              <w:rPr>
                <w:rFonts w:ascii="Arial" w:hAnsi="Arial" w:cs="Arial"/>
                <w:sz w:val="16"/>
                <w:szCs w:val="16"/>
              </w:rPr>
            </w:pPr>
            <w:r w:rsidRPr="00177622">
              <w:rPr>
                <w:rFonts w:ascii="Arial" w:hAnsi="Arial" w:cs="Arial"/>
                <w:sz w:val="16"/>
                <w:szCs w:val="16"/>
              </w:rPr>
              <w:t>Contribution from Government entities</w:t>
            </w:r>
          </w:p>
        </w:tc>
        <w:tc>
          <w:tcPr>
            <w:tcW w:w="981" w:type="dxa"/>
            <w:tcBorders>
              <w:top w:val="nil"/>
              <w:left w:val="nil"/>
              <w:bottom w:val="nil"/>
              <w:right w:val="nil"/>
            </w:tcBorders>
            <w:shd w:val="clear" w:color="auto" w:fill="auto"/>
            <w:noWrap/>
            <w:vAlign w:val="bottom"/>
            <w:hideMark/>
          </w:tcPr>
          <w:p w14:paraId="1C32D96E"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13,413</w:t>
            </w:r>
          </w:p>
        </w:tc>
        <w:tc>
          <w:tcPr>
            <w:tcW w:w="873" w:type="dxa"/>
            <w:tcBorders>
              <w:top w:val="nil"/>
              <w:left w:val="nil"/>
              <w:bottom w:val="nil"/>
              <w:right w:val="nil"/>
            </w:tcBorders>
            <w:shd w:val="clear" w:color="000000" w:fill="D9D9D9"/>
            <w:noWrap/>
            <w:vAlign w:val="bottom"/>
            <w:hideMark/>
          </w:tcPr>
          <w:p w14:paraId="65CC00D7"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7,518</w:t>
            </w:r>
          </w:p>
        </w:tc>
        <w:tc>
          <w:tcPr>
            <w:tcW w:w="873" w:type="dxa"/>
            <w:tcBorders>
              <w:top w:val="nil"/>
              <w:left w:val="nil"/>
              <w:bottom w:val="nil"/>
              <w:right w:val="nil"/>
            </w:tcBorders>
            <w:shd w:val="clear" w:color="auto" w:fill="auto"/>
            <w:noWrap/>
            <w:vAlign w:val="bottom"/>
            <w:hideMark/>
          </w:tcPr>
          <w:p w14:paraId="5E491491"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1,293</w:t>
            </w:r>
          </w:p>
        </w:tc>
        <w:tc>
          <w:tcPr>
            <w:tcW w:w="873" w:type="dxa"/>
            <w:gridSpan w:val="2"/>
            <w:tcBorders>
              <w:top w:val="nil"/>
              <w:left w:val="nil"/>
              <w:bottom w:val="nil"/>
              <w:right w:val="nil"/>
            </w:tcBorders>
            <w:shd w:val="clear" w:color="auto" w:fill="auto"/>
            <w:noWrap/>
            <w:vAlign w:val="bottom"/>
            <w:hideMark/>
          </w:tcPr>
          <w:p w14:paraId="34A6DE0F"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443</w:t>
            </w:r>
          </w:p>
        </w:tc>
        <w:tc>
          <w:tcPr>
            <w:tcW w:w="873" w:type="dxa"/>
            <w:gridSpan w:val="2"/>
            <w:tcBorders>
              <w:top w:val="nil"/>
              <w:left w:val="nil"/>
              <w:bottom w:val="nil"/>
              <w:right w:val="nil"/>
            </w:tcBorders>
            <w:shd w:val="clear" w:color="auto" w:fill="auto"/>
            <w:noWrap/>
            <w:vAlign w:val="bottom"/>
            <w:hideMark/>
          </w:tcPr>
          <w:p w14:paraId="00A1C80F"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443</w:t>
            </w:r>
          </w:p>
        </w:tc>
      </w:tr>
      <w:tr w:rsidR="00177622" w:rsidRPr="00177622" w14:paraId="2B7784FF" w14:textId="77777777" w:rsidTr="00731ECF">
        <w:trPr>
          <w:gridAfter w:val="1"/>
          <w:wAfter w:w="9" w:type="dxa"/>
          <w:trHeight w:val="225"/>
          <w:jc w:val="center"/>
        </w:trPr>
        <w:tc>
          <w:tcPr>
            <w:tcW w:w="2891" w:type="dxa"/>
            <w:tcBorders>
              <w:top w:val="nil"/>
              <w:left w:val="nil"/>
              <w:bottom w:val="nil"/>
              <w:right w:val="nil"/>
            </w:tcBorders>
            <w:shd w:val="clear" w:color="auto" w:fill="auto"/>
            <w:noWrap/>
            <w:vAlign w:val="bottom"/>
            <w:hideMark/>
          </w:tcPr>
          <w:p w14:paraId="4F71C52F" w14:textId="77777777" w:rsidR="00177622" w:rsidRPr="00177622" w:rsidRDefault="00177622" w:rsidP="00177622">
            <w:pPr>
              <w:spacing w:after="0"/>
              <w:ind w:leftChars="150" w:left="285"/>
              <w:rPr>
                <w:rFonts w:ascii="Arial" w:hAnsi="Arial" w:cs="Arial"/>
                <w:sz w:val="16"/>
                <w:szCs w:val="16"/>
              </w:rPr>
            </w:pPr>
            <w:r w:rsidRPr="00177622">
              <w:rPr>
                <w:rFonts w:ascii="Arial" w:hAnsi="Arial" w:cs="Arial"/>
                <w:sz w:val="16"/>
                <w:szCs w:val="16"/>
              </w:rPr>
              <w:t>Goods and services</w:t>
            </w:r>
          </w:p>
        </w:tc>
        <w:tc>
          <w:tcPr>
            <w:tcW w:w="981" w:type="dxa"/>
            <w:tcBorders>
              <w:top w:val="nil"/>
              <w:left w:val="nil"/>
              <w:bottom w:val="nil"/>
              <w:right w:val="nil"/>
            </w:tcBorders>
            <w:shd w:val="clear" w:color="auto" w:fill="auto"/>
            <w:noWrap/>
            <w:vAlign w:val="bottom"/>
            <w:hideMark/>
          </w:tcPr>
          <w:p w14:paraId="5AA67B3B"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13,695</w:t>
            </w:r>
          </w:p>
        </w:tc>
        <w:tc>
          <w:tcPr>
            <w:tcW w:w="873" w:type="dxa"/>
            <w:tcBorders>
              <w:top w:val="nil"/>
              <w:left w:val="nil"/>
              <w:bottom w:val="nil"/>
              <w:right w:val="nil"/>
            </w:tcBorders>
            <w:shd w:val="clear" w:color="000000" w:fill="D9D9D9"/>
            <w:noWrap/>
            <w:vAlign w:val="bottom"/>
            <w:hideMark/>
          </w:tcPr>
          <w:p w14:paraId="3FD27A7F"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15,571</w:t>
            </w:r>
          </w:p>
        </w:tc>
        <w:tc>
          <w:tcPr>
            <w:tcW w:w="873" w:type="dxa"/>
            <w:tcBorders>
              <w:top w:val="nil"/>
              <w:left w:val="nil"/>
              <w:bottom w:val="nil"/>
              <w:right w:val="nil"/>
            </w:tcBorders>
            <w:shd w:val="clear" w:color="auto" w:fill="auto"/>
            <w:noWrap/>
            <w:vAlign w:val="bottom"/>
            <w:hideMark/>
          </w:tcPr>
          <w:p w14:paraId="08B241D7"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16,481</w:t>
            </w:r>
          </w:p>
        </w:tc>
        <w:tc>
          <w:tcPr>
            <w:tcW w:w="873" w:type="dxa"/>
            <w:gridSpan w:val="2"/>
            <w:tcBorders>
              <w:top w:val="nil"/>
              <w:left w:val="nil"/>
              <w:bottom w:val="nil"/>
              <w:right w:val="nil"/>
            </w:tcBorders>
            <w:shd w:val="clear" w:color="auto" w:fill="auto"/>
            <w:noWrap/>
            <w:vAlign w:val="bottom"/>
            <w:hideMark/>
          </w:tcPr>
          <w:p w14:paraId="39949791"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16,288</w:t>
            </w:r>
          </w:p>
        </w:tc>
        <w:tc>
          <w:tcPr>
            <w:tcW w:w="873" w:type="dxa"/>
            <w:gridSpan w:val="2"/>
            <w:tcBorders>
              <w:top w:val="nil"/>
              <w:left w:val="nil"/>
              <w:bottom w:val="nil"/>
              <w:right w:val="nil"/>
            </w:tcBorders>
            <w:shd w:val="clear" w:color="auto" w:fill="auto"/>
            <w:noWrap/>
            <w:vAlign w:val="bottom"/>
            <w:hideMark/>
          </w:tcPr>
          <w:p w14:paraId="148773F0"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16,094</w:t>
            </w:r>
          </w:p>
        </w:tc>
      </w:tr>
      <w:tr w:rsidR="00177622" w:rsidRPr="00177622" w14:paraId="69E2A666" w14:textId="77777777" w:rsidTr="00731ECF">
        <w:trPr>
          <w:gridAfter w:val="1"/>
          <w:wAfter w:w="9" w:type="dxa"/>
          <w:trHeight w:val="225"/>
          <w:jc w:val="center"/>
        </w:trPr>
        <w:tc>
          <w:tcPr>
            <w:tcW w:w="2891" w:type="dxa"/>
            <w:tcBorders>
              <w:top w:val="nil"/>
              <w:left w:val="nil"/>
              <w:bottom w:val="nil"/>
              <w:right w:val="nil"/>
            </w:tcBorders>
            <w:shd w:val="clear" w:color="auto" w:fill="auto"/>
            <w:noWrap/>
            <w:vAlign w:val="bottom"/>
            <w:hideMark/>
          </w:tcPr>
          <w:p w14:paraId="2335F711" w14:textId="77777777" w:rsidR="00177622" w:rsidRPr="00177622" w:rsidRDefault="00177622" w:rsidP="00177622">
            <w:pPr>
              <w:spacing w:after="0"/>
              <w:ind w:leftChars="150" w:left="285"/>
              <w:rPr>
                <w:rFonts w:ascii="Arial" w:hAnsi="Arial" w:cs="Arial"/>
                <w:sz w:val="16"/>
                <w:szCs w:val="16"/>
              </w:rPr>
            </w:pPr>
            <w:r w:rsidRPr="00177622">
              <w:rPr>
                <w:rFonts w:ascii="Arial" w:hAnsi="Arial" w:cs="Arial"/>
                <w:sz w:val="16"/>
                <w:szCs w:val="16"/>
              </w:rPr>
              <w:t>Net GST received</w:t>
            </w:r>
          </w:p>
        </w:tc>
        <w:tc>
          <w:tcPr>
            <w:tcW w:w="981" w:type="dxa"/>
            <w:tcBorders>
              <w:top w:val="nil"/>
              <w:left w:val="nil"/>
              <w:bottom w:val="nil"/>
              <w:right w:val="nil"/>
            </w:tcBorders>
            <w:shd w:val="clear" w:color="auto" w:fill="auto"/>
            <w:noWrap/>
            <w:vAlign w:val="bottom"/>
            <w:hideMark/>
          </w:tcPr>
          <w:p w14:paraId="68540524"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21,406</w:t>
            </w:r>
          </w:p>
        </w:tc>
        <w:tc>
          <w:tcPr>
            <w:tcW w:w="873" w:type="dxa"/>
            <w:tcBorders>
              <w:top w:val="nil"/>
              <w:left w:val="nil"/>
              <w:bottom w:val="nil"/>
              <w:right w:val="nil"/>
            </w:tcBorders>
            <w:shd w:val="clear" w:color="000000" w:fill="D9D9D9"/>
            <w:noWrap/>
            <w:vAlign w:val="bottom"/>
            <w:hideMark/>
          </w:tcPr>
          <w:p w14:paraId="7A56183B"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26,824</w:t>
            </w:r>
          </w:p>
        </w:tc>
        <w:tc>
          <w:tcPr>
            <w:tcW w:w="873" w:type="dxa"/>
            <w:tcBorders>
              <w:top w:val="nil"/>
              <w:left w:val="nil"/>
              <w:bottom w:val="nil"/>
              <w:right w:val="nil"/>
            </w:tcBorders>
            <w:shd w:val="clear" w:color="auto" w:fill="auto"/>
            <w:noWrap/>
            <w:vAlign w:val="bottom"/>
            <w:hideMark/>
          </w:tcPr>
          <w:p w14:paraId="53EC8DB0"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24,104</w:t>
            </w:r>
          </w:p>
        </w:tc>
        <w:tc>
          <w:tcPr>
            <w:tcW w:w="873" w:type="dxa"/>
            <w:gridSpan w:val="2"/>
            <w:tcBorders>
              <w:top w:val="nil"/>
              <w:left w:val="nil"/>
              <w:bottom w:val="nil"/>
              <w:right w:val="nil"/>
            </w:tcBorders>
            <w:shd w:val="clear" w:color="auto" w:fill="auto"/>
            <w:noWrap/>
            <w:vAlign w:val="bottom"/>
            <w:hideMark/>
          </w:tcPr>
          <w:p w14:paraId="35047553"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18,559</w:t>
            </w:r>
          </w:p>
        </w:tc>
        <w:tc>
          <w:tcPr>
            <w:tcW w:w="873" w:type="dxa"/>
            <w:gridSpan w:val="2"/>
            <w:tcBorders>
              <w:top w:val="nil"/>
              <w:left w:val="nil"/>
              <w:bottom w:val="nil"/>
              <w:right w:val="nil"/>
            </w:tcBorders>
            <w:shd w:val="clear" w:color="auto" w:fill="auto"/>
            <w:noWrap/>
            <w:vAlign w:val="bottom"/>
            <w:hideMark/>
          </w:tcPr>
          <w:p w14:paraId="0715C992"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18,744</w:t>
            </w:r>
          </w:p>
        </w:tc>
      </w:tr>
      <w:tr w:rsidR="00177622" w:rsidRPr="00177622" w14:paraId="4B6EB002" w14:textId="77777777" w:rsidTr="00731ECF">
        <w:trPr>
          <w:gridAfter w:val="1"/>
          <w:wAfter w:w="9" w:type="dxa"/>
          <w:trHeight w:val="225"/>
          <w:jc w:val="center"/>
        </w:trPr>
        <w:tc>
          <w:tcPr>
            <w:tcW w:w="2891" w:type="dxa"/>
            <w:tcBorders>
              <w:top w:val="nil"/>
              <w:left w:val="nil"/>
              <w:bottom w:val="nil"/>
              <w:right w:val="nil"/>
            </w:tcBorders>
            <w:shd w:val="clear" w:color="auto" w:fill="auto"/>
            <w:noWrap/>
            <w:vAlign w:val="bottom"/>
            <w:hideMark/>
          </w:tcPr>
          <w:p w14:paraId="37169862" w14:textId="77777777" w:rsidR="00177622" w:rsidRPr="00177622" w:rsidRDefault="00177622" w:rsidP="00177622">
            <w:pPr>
              <w:spacing w:after="0"/>
              <w:ind w:leftChars="150" w:left="285"/>
              <w:rPr>
                <w:rFonts w:ascii="Arial" w:hAnsi="Arial" w:cs="Arial"/>
                <w:sz w:val="16"/>
                <w:szCs w:val="16"/>
              </w:rPr>
            </w:pPr>
            <w:r w:rsidRPr="00177622">
              <w:rPr>
                <w:rFonts w:ascii="Arial" w:hAnsi="Arial" w:cs="Arial"/>
                <w:sz w:val="16"/>
                <w:szCs w:val="16"/>
              </w:rPr>
              <w:t>Interest</w:t>
            </w:r>
          </w:p>
        </w:tc>
        <w:tc>
          <w:tcPr>
            <w:tcW w:w="981" w:type="dxa"/>
            <w:tcBorders>
              <w:top w:val="nil"/>
              <w:left w:val="nil"/>
              <w:bottom w:val="nil"/>
              <w:right w:val="nil"/>
            </w:tcBorders>
            <w:shd w:val="clear" w:color="auto" w:fill="auto"/>
            <w:noWrap/>
            <w:vAlign w:val="bottom"/>
            <w:hideMark/>
          </w:tcPr>
          <w:p w14:paraId="78E0AEB5"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549</w:t>
            </w:r>
          </w:p>
        </w:tc>
        <w:tc>
          <w:tcPr>
            <w:tcW w:w="873" w:type="dxa"/>
            <w:tcBorders>
              <w:top w:val="nil"/>
              <w:left w:val="nil"/>
              <w:bottom w:val="nil"/>
              <w:right w:val="nil"/>
            </w:tcBorders>
            <w:shd w:val="clear" w:color="000000" w:fill="D9D9D9"/>
            <w:noWrap/>
            <w:vAlign w:val="bottom"/>
            <w:hideMark/>
          </w:tcPr>
          <w:p w14:paraId="5E9B3E0D"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2,316</w:t>
            </w:r>
          </w:p>
        </w:tc>
        <w:tc>
          <w:tcPr>
            <w:tcW w:w="873" w:type="dxa"/>
            <w:tcBorders>
              <w:top w:val="nil"/>
              <w:left w:val="nil"/>
              <w:bottom w:val="nil"/>
              <w:right w:val="nil"/>
            </w:tcBorders>
            <w:shd w:val="clear" w:color="auto" w:fill="auto"/>
            <w:noWrap/>
            <w:vAlign w:val="bottom"/>
            <w:hideMark/>
          </w:tcPr>
          <w:p w14:paraId="04A872EF"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1,206</w:t>
            </w:r>
          </w:p>
        </w:tc>
        <w:tc>
          <w:tcPr>
            <w:tcW w:w="873" w:type="dxa"/>
            <w:gridSpan w:val="2"/>
            <w:tcBorders>
              <w:top w:val="nil"/>
              <w:left w:val="nil"/>
              <w:bottom w:val="nil"/>
              <w:right w:val="nil"/>
            </w:tcBorders>
            <w:shd w:val="clear" w:color="auto" w:fill="auto"/>
            <w:noWrap/>
            <w:vAlign w:val="bottom"/>
            <w:hideMark/>
          </w:tcPr>
          <w:p w14:paraId="4D4DF81D"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609</w:t>
            </w:r>
          </w:p>
        </w:tc>
        <w:tc>
          <w:tcPr>
            <w:tcW w:w="873" w:type="dxa"/>
            <w:gridSpan w:val="2"/>
            <w:tcBorders>
              <w:top w:val="nil"/>
              <w:left w:val="nil"/>
              <w:bottom w:val="nil"/>
              <w:right w:val="nil"/>
            </w:tcBorders>
            <w:shd w:val="clear" w:color="auto" w:fill="auto"/>
            <w:noWrap/>
            <w:vAlign w:val="bottom"/>
            <w:hideMark/>
          </w:tcPr>
          <w:p w14:paraId="433460B4"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50</w:t>
            </w:r>
          </w:p>
        </w:tc>
      </w:tr>
      <w:tr w:rsidR="00177622" w:rsidRPr="00177622" w14:paraId="3573B94B" w14:textId="77777777" w:rsidTr="00731ECF">
        <w:trPr>
          <w:gridAfter w:val="1"/>
          <w:wAfter w:w="9" w:type="dxa"/>
          <w:trHeight w:val="225"/>
          <w:jc w:val="center"/>
        </w:trPr>
        <w:tc>
          <w:tcPr>
            <w:tcW w:w="2891" w:type="dxa"/>
            <w:tcBorders>
              <w:top w:val="nil"/>
              <w:left w:val="nil"/>
              <w:bottom w:val="nil"/>
              <w:right w:val="nil"/>
            </w:tcBorders>
            <w:shd w:val="clear" w:color="auto" w:fill="auto"/>
            <w:noWrap/>
            <w:vAlign w:val="bottom"/>
            <w:hideMark/>
          </w:tcPr>
          <w:p w14:paraId="706315AA" w14:textId="77777777" w:rsidR="00177622" w:rsidRPr="00177622" w:rsidRDefault="00177622" w:rsidP="00177622">
            <w:pPr>
              <w:spacing w:after="0"/>
              <w:ind w:leftChars="150" w:left="285"/>
              <w:rPr>
                <w:rFonts w:ascii="Arial" w:hAnsi="Arial" w:cs="Arial"/>
                <w:b/>
                <w:bCs/>
                <w:sz w:val="16"/>
                <w:szCs w:val="16"/>
              </w:rPr>
            </w:pPr>
            <w:r w:rsidRPr="00177622">
              <w:rPr>
                <w:rFonts w:ascii="Arial" w:hAnsi="Arial" w:cs="Arial"/>
                <w:b/>
                <w:bCs/>
                <w:sz w:val="16"/>
                <w:szCs w:val="16"/>
              </w:rPr>
              <w:t>Total cash received</w:t>
            </w:r>
          </w:p>
        </w:tc>
        <w:tc>
          <w:tcPr>
            <w:tcW w:w="981" w:type="dxa"/>
            <w:tcBorders>
              <w:top w:val="nil"/>
              <w:left w:val="nil"/>
              <w:bottom w:val="single" w:sz="4" w:space="0" w:color="auto"/>
              <w:right w:val="nil"/>
            </w:tcBorders>
            <w:shd w:val="clear" w:color="auto" w:fill="auto"/>
            <w:noWrap/>
            <w:vAlign w:val="bottom"/>
            <w:hideMark/>
          </w:tcPr>
          <w:p w14:paraId="24430BE7"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372,593</w:t>
            </w:r>
          </w:p>
        </w:tc>
        <w:tc>
          <w:tcPr>
            <w:tcW w:w="873" w:type="dxa"/>
            <w:tcBorders>
              <w:top w:val="nil"/>
              <w:left w:val="nil"/>
              <w:bottom w:val="single" w:sz="4" w:space="0" w:color="auto"/>
              <w:right w:val="nil"/>
            </w:tcBorders>
            <w:shd w:val="clear" w:color="000000" w:fill="D9D9D9"/>
            <w:noWrap/>
            <w:vAlign w:val="bottom"/>
            <w:hideMark/>
          </w:tcPr>
          <w:p w14:paraId="3B2C5B2F"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390,099</w:t>
            </w:r>
          </w:p>
        </w:tc>
        <w:tc>
          <w:tcPr>
            <w:tcW w:w="873" w:type="dxa"/>
            <w:tcBorders>
              <w:top w:val="nil"/>
              <w:left w:val="nil"/>
              <w:bottom w:val="single" w:sz="4" w:space="0" w:color="auto"/>
              <w:right w:val="nil"/>
            </w:tcBorders>
            <w:shd w:val="clear" w:color="auto" w:fill="auto"/>
            <w:noWrap/>
            <w:vAlign w:val="bottom"/>
            <w:hideMark/>
          </w:tcPr>
          <w:p w14:paraId="2FB2F1BE"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386,685</w:t>
            </w:r>
          </w:p>
        </w:tc>
        <w:tc>
          <w:tcPr>
            <w:tcW w:w="873" w:type="dxa"/>
            <w:gridSpan w:val="2"/>
            <w:tcBorders>
              <w:top w:val="nil"/>
              <w:left w:val="nil"/>
              <w:bottom w:val="single" w:sz="4" w:space="0" w:color="auto"/>
              <w:right w:val="nil"/>
            </w:tcBorders>
            <w:shd w:val="clear" w:color="auto" w:fill="auto"/>
            <w:noWrap/>
            <w:vAlign w:val="bottom"/>
            <w:hideMark/>
          </w:tcPr>
          <w:p w14:paraId="7EF0CD6D"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302,567</w:t>
            </w:r>
          </w:p>
        </w:tc>
        <w:tc>
          <w:tcPr>
            <w:tcW w:w="873" w:type="dxa"/>
            <w:gridSpan w:val="2"/>
            <w:tcBorders>
              <w:top w:val="nil"/>
              <w:left w:val="nil"/>
              <w:bottom w:val="single" w:sz="4" w:space="0" w:color="auto"/>
              <w:right w:val="nil"/>
            </w:tcBorders>
            <w:shd w:val="clear" w:color="auto" w:fill="auto"/>
            <w:noWrap/>
            <w:vAlign w:val="bottom"/>
            <w:hideMark/>
          </w:tcPr>
          <w:p w14:paraId="7705D2C5"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277,130</w:t>
            </w:r>
          </w:p>
        </w:tc>
      </w:tr>
      <w:tr w:rsidR="00177622" w:rsidRPr="00177622" w14:paraId="71106EFD" w14:textId="77777777" w:rsidTr="00731ECF">
        <w:trPr>
          <w:gridAfter w:val="1"/>
          <w:wAfter w:w="9" w:type="dxa"/>
          <w:trHeight w:val="283"/>
          <w:jc w:val="center"/>
        </w:trPr>
        <w:tc>
          <w:tcPr>
            <w:tcW w:w="2891" w:type="dxa"/>
            <w:tcBorders>
              <w:top w:val="nil"/>
              <w:left w:val="nil"/>
              <w:bottom w:val="nil"/>
              <w:right w:val="nil"/>
            </w:tcBorders>
            <w:shd w:val="clear" w:color="auto" w:fill="auto"/>
            <w:noWrap/>
            <w:vAlign w:val="bottom"/>
            <w:hideMark/>
          </w:tcPr>
          <w:p w14:paraId="3398311D" w14:textId="77777777" w:rsidR="00177622" w:rsidRPr="00177622" w:rsidRDefault="00177622" w:rsidP="00177622">
            <w:pPr>
              <w:spacing w:after="0"/>
              <w:ind w:leftChars="75" w:left="143"/>
              <w:rPr>
                <w:rFonts w:ascii="Arial" w:hAnsi="Arial" w:cs="Arial"/>
                <w:b/>
                <w:bCs/>
                <w:sz w:val="16"/>
                <w:szCs w:val="16"/>
              </w:rPr>
            </w:pPr>
            <w:r w:rsidRPr="00177622">
              <w:rPr>
                <w:rFonts w:ascii="Arial" w:hAnsi="Arial" w:cs="Arial"/>
                <w:b/>
                <w:bCs/>
                <w:sz w:val="16"/>
                <w:szCs w:val="16"/>
              </w:rPr>
              <w:t>Cash used</w:t>
            </w:r>
          </w:p>
        </w:tc>
        <w:tc>
          <w:tcPr>
            <w:tcW w:w="981" w:type="dxa"/>
            <w:tcBorders>
              <w:top w:val="nil"/>
              <w:left w:val="nil"/>
              <w:bottom w:val="nil"/>
              <w:right w:val="nil"/>
            </w:tcBorders>
            <w:shd w:val="clear" w:color="auto" w:fill="auto"/>
            <w:noWrap/>
            <w:vAlign w:val="bottom"/>
            <w:hideMark/>
          </w:tcPr>
          <w:p w14:paraId="70A0E838" w14:textId="77777777" w:rsidR="00177622" w:rsidRPr="00177622" w:rsidRDefault="00177622" w:rsidP="00177622">
            <w:pPr>
              <w:spacing w:after="0"/>
              <w:ind w:firstLineChars="100" w:firstLine="16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67F99F82"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 </w:t>
            </w:r>
          </w:p>
        </w:tc>
        <w:tc>
          <w:tcPr>
            <w:tcW w:w="873" w:type="dxa"/>
            <w:tcBorders>
              <w:top w:val="nil"/>
              <w:left w:val="nil"/>
              <w:bottom w:val="nil"/>
              <w:right w:val="nil"/>
            </w:tcBorders>
            <w:shd w:val="clear" w:color="auto" w:fill="auto"/>
            <w:noWrap/>
            <w:vAlign w:val="bottom"/>
            <w:hideMark/>
          </w:tcPr>
          <w:p w14:paraId="6E691F1B" w14:textId="77777777" w:rsidR="00177622" w:rsidRPr="00177622" w:rsidRDefault="00177622" w:rsidP="00177622">
            <w:pPr>
              <w:spacing w:after="0"/>
              <w:jc w:val="right"/>
              <w:rPr>
                <w:rFonts w:ascii="Arial" w:hAnsi="Arial" w:cs="Arial"/>
                <w:sz w:val="16"/>
                <w:szCs w:val="16"/>
              </w:rPr>
            </w:pPr>
          </w:p>
        </w:tc>
        <w:tc>
          <w:tcPr>
            <w:tcW w:w="873" w:type="dxa"/>
            <w:gridSpan w:val="2"/>
            <w:tcBorders>
              <w:top w:val="nil"/>
              <w:left w:val="nil"/>
              <w:bottom w:val="nil"/>
              <w:right w:val="nil"/>
            </w:tcBorders>
            <w:shd w:val="clear" w:color="auto" w:fill="auto"/>
            <w:noWrap/>
            <w:vAlign w:val="bottom"/>
            <w:hideMark/>
          </w:tcPr>
          <w:p w14:paraId="51DB49B1" w14:textId="77777777" w:rsidR="00177622" w:rsidRPr="00177622" w:rsidRDefault="00177622" w:rsidP="00177622">
            <w:pPr>
              <w:spacing w:after="0"/>
              <w:jc w:val="right"/>
              <w:rPr>
                <w:rFonts w:ascii="Times New Roman" w:hAnsi="Times New Roman"/>
                <w:color w:val="auto"/>
                <w:sz w:val="20"/>
              </w:rPr>
            </w:pPr>
          </w:p>
        </w:tc>
        <w:tc>
          <w:tcPr>
            <w:tcW w:w="873" w:type="dxa"/>
            <w:gridSpan w:val="2"/>
            <w:tcBorders>
              <w:top w:val="nil"/>
              <w:left w:val="nil"/>
              <w:bottom w:val="nil"/>
              <w:right w:val="nil"/>
            </w:tcBorders>
            <w:shd w:val="clear" w:color="auto" w:fill="auto"/>
            <w:noWrap/>
            <w:vAlign w:val="bottom"/>
            <w:hideMark/>
          </w:tcPr>
          <w:p w14:paraId="64A6E0F1" w14:textId="77777777" w:rsidR="00177622" w:rsidRPr="00177622" w:rsidRDefault="00177622" w:rsidP="00177622">
            <w:pPr>
              <w:spacing w:after="0"/>
              <w:jc w:val="right"/>
              <w:rPr>
                <w:rFonts w:ascii="Times New Roman" w:hAnsi="Times New Roman"/>
                <w:color w:val="auto"/>
                <w:sz w:val="20"/>
              </w:rPr>
            </w:pPr>
          </w:p>
        </w:tc>
      </w:tr>
      <w:tr w:rsidR="00177622" w:rsidRPr="00177622" w14:paraId="05EF3E5F" w14:textId="77777777" w:rsidTr="00731ECF">
        <w:trPr>
          <w:gridAfter w:val="1"/>
          <w:wAfter w:w="9" w:type="dxa"/>
          <w:trHeight w:val="225"/>
          <w:jc w:val="center"/>
        </w:trPr>
        <w:tc>
          <w:tcPr>
            <w:tcW w:w="2891" w:type="dxa"/>
            <w:tcBorders>
              <w:top w:val="nil"/>
              <w:left w:val="nil"/>
              <w:bottom w:val="nil"/>
              <w:right w:val="nil"/>
            </w:tcBorders>
            <w:shd w:val="clear" w:color="auto" w:fill="auto"/>
            <w:noWrap/>
            <w:vAlign w:val="bottom"/>
            <w:hideMark/>
          </w:tcPr>
          <w:p w14:paraId="1E7EE044" w14:textId="77777777" w:rsidR="00177622" w:rsidRPr="00177622" w:rsidRDefault="00177622" w:rsidP="00177622">
            <w:pPr>
              <w:spacing w:after="0"/>
              <w:ind w:leftChars="150" w:left="285"/>
              <w:rPr>
                <w:rFonts w:ascii="Arial" w:hAnsi="Arial" w:cs="Arial"/>
                <w:sz w:val="16"/>
                <w:szCs w:val="16"/>
              </w:rPr>
            </w:pPr>
            <w:r w:rsidRPr="00177622">
              <w:rPr>
                <w:rFonts w:ascii="Arial" w:hAnsi="Arial" w:cs="Arial"/>
                <w:sz w:val="16"/>
                <w:szCs w:val="16"/>
              </w:rPr>
              <w:t>Employees</w:t>
            </w:r>
          </w:p>
        </w:tc>
        <w:tc>
          <w:tcPr>
            <w:tcW w:w="981" w:type="dxa"/>
            <w:tcBorders>
              <w:top w:val="nil"/>
              <w:left w:val="nil"/>
              <w:bottom w:val="nil"/>
              <w:right w:val="nil"/>
            </w:tcBorders>
            <w:shd w:val="clear" w:color="auto" w:fill="auto"/>
            <w:noWrap/>
            <w:vAlign w:val="bottom"/>
            <w:hideMark/>
          </w:tcPr>
          <w:p w14:paraId="046E4A07"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59,051</w:t>
            </w:r>
          </w:p>
        </w:tc>
        <w:tc>
          <w:tcPr>
            <w:tcW w:w="873" w:type="dxa"/>
            <w:tcBorders>
              <w:top w:val="nil"/>
              <w:left w:val="nil"/>
              <w:bottom w:val="nil"/>
              <w:right w:val="nil"/>
            </w:tcBorders>
            <w:shd w:val="clear" w:color="000000" w:fill="D9D9D9"/>
            <w:noWrap/>
            <w:vAlign w:val="bottom"/>
            <w:hideMark/>
          </w:tcPr>
          <w:p w14:paraId="161AA04C"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61,608</w:t>
            </w:r>
          </w:p>
        </w:tc>
        <w:tc>
          <w:tcPr>
            <w:tcW w:w="873" w:type="dxa"/>
            <w:tcBorders>
              <w:top w:val="nil"/>
              <w:left w:val="nil"/>
              <w:bottom w:val="nil"/>
              <w:right w:val="nil"/>
            </w:tcBorders>
            <w:shd w:val="clear" w:color="auto" w:fill="auto"/>
            <w:noWrap/>
            <w:vAlign w:val="bottom"/>
            <w:hideMark/>
          </w:tcPr>
          <w:p w14:paraId="16844E77"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64,265</w:t>
            </w:r>
          </w:p>
        </w:tc>
        <w:tc>
          <w:tcPr>
            <w:tcW w:w="873" w:type="dxa"/>
            <w:gridSpan w:val="2"/>
            <w:tcBorders>
              <w:top w:val="nil"/>
              <w:left w:val="nil"/>
              <w:bottom w:val="nil"/>
              <w:right w:val="nil"/>
            </w:tcBorders>
            <w:shd w:val="clear" w:color="auto" w:fill="auto"/>
            <w:noWrap/>
            <w:vAlign w:val="bottom"/>
            <w:hideMark/>
          </w:tcPr>
          <w:p w14:paraId="6CC2F050"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66,453</w:t>
            </w:r>
          </w:p>
        </w:tc>
        <w:tc>
          <w:tcPr>
            <w:tcW w:w="873" w:type="dxa"/>
            <w:gridSpan w:val="2"/>
            <w:tcBorders>
              <w:top w:val="nil"/>
              <w:left w:val="nil"/>
              <w:bottom w:val="nil"/>
              <w:right w:val="nil"/>
            </w:tcBorders>
            <w:shd w:val="clear" w:color="auto" w:fill="auto"/>
            <w:noWrap/>
            <w:vAlign w:val="bottom"/>
            <w:hideMark/>
          </w:tcPr>
          <w:p w14:paraId="0D8A190A"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67,350</w:t>
            </w:r>
          </w:p>
        </w:tc>
      </w:tr>
      <w:tr w:rsidR="00177622" w:rsidRPr="00177622" w14:paraId="6E319DD7" w14:textId="77777777" w:rsidTr="00731ECF">
        <w:trPr>
          <w:gridAfter w:val="1"/>
          <w:wAfter w:w="9" w:type="dxa"/>
          <w:trHeight w:val="225"/>
          <w:jc w:val="center"/>
        </w:trPr>
        <w:tc>
          <w:tcPr>
            <w:tcW w:w="2891" w:type="dxa"/>
            <w:tcBorders>
              <w:top w:val="nil"/>
              <w:left w:val="nil"/>
              <w:bottom w:val="nil"/>
              <w:right w:val="nil"/>
            </w:tcBorders>
            <w:shd w:val="clear" w:color="auto" w:fill="auto"/>
            <w:noWrap/>
            <w:vAlign w:val="bottom"/>
            <w:hideMark/>
          </w:tcPr>
          <w:p w14:paraId="46387CA8" w14:textId="77777777" w:rsidR="00177622" w:rsidRPr="00177622" w:rsidRDefault="00177622" w:rsidP="00177622">
            <w:pPr>
              <w:spacing w:after="0"/>
              <w:ind w:leftChars="150" w:left="285"/>
              <w:rPr>
                <w:rFonts w:ascii="Arial" w:hAnsi="Arial" w:cs="Arial"/>
                <w:sz w:val="16"/>
                <w:szCs w:val="16"/>
              </w:rPr>
            </w:pPr>
            <w:r w:rsidRPr="00177622">
              <w:rPr>
                <w:rFonts w:ascii="Arial" w:hAnsi="Arial" w:cs="Arial"/>
                <w:sz w:val="16"/>
                <w:szCs w:val="16"/>
              </w:rPr>
              <w:t>Suppliers</w:t>
            </w:r>
          </w:p>
        </w:tc>
        <w:tc>
          <w:tcPr>
            <w:tcW w:w="981" w:type="dxa"/>
            <w:tcBorders>
              <w:top w:val="nil"/>
              <w:left w:val="nil"/>
              <w:bottom w:val="nil"/>
              <w:right w:val="nil"/>
            </w:tcBorders>
            <w:shd w:val="clear" w:color="auto" w:fill="auto"/>
            <w:noWrap/>
            <w:vAlign w:val="bottom"/>
            <w:hideMark/>
          </w:tcPr>
          <w:p w14:paraId="00131114"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45,533</w:t>
            </w:r>
          </w:p>
        </w:tc>
        <w:tc>
          <w:tcPr>
            <w:tcW w:w="873" w:type="dxa"/>
            <w:tcBorders>
              <w:top w:val="nil"/>
              <w:left w:val="nil"/>
              <w:bottom w:val="nil"/>
              <w:right w:val="nil"/>
            </w:tcBorders>
            <w:shd w:val="clear" w:color="000000" w:fill="D9D9D9"/>
            <w:noWrap/>
            <w:vAlign w:val="bottom"/>
            <w:hideMark/>
          </w:tcPr>
          <w:p w14:paraId="7682C9C9"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48,534</w:t>
            </w:r>
          </w:p>
        </w:tc>
        <w:tc>
          <w:tcPr>
            <w:tcW w:w="873" w:type="dxa"/>
            <w:tcBorders>
              <w:top w:val="nil"/>
              <w:left w:val="nil"/>
              <w:bottom w:val="nil"/>
              <w:right w:val="nil"/>
            </w:tcBorders>
            <w:shd w:val="clear" w:color="auto" w:fill="auto"/>
            <w:noWrap/>
            <w:vAlign w:val="bottom"/>
            <w:hideMark/>
          </w:tcPr>
          <w:p w14:paraId="12841398"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49,190</w:t>
            </w:r>
          </w:p>
        </w:tc>
        <w:tc>
          <w:tcPr>
            <w:tcW w:w="873" w:type="dxa"/>
            <w:gridSpan w:val="2"/>
            <w:tcBorders>
              <w:top w:val="nil"/>
              <w:left w:val="nil"/>
              <w:bottom w:val="nil"/>
              <w:right w:val="nil"/>
            </w:tcBorders>
            <w:shd w:val="clear" w:color="auto" w:fill="auto"/>
            <w:noWrap/>
            <w:vAlign w:val="bottom"/>
            <w:hideMark/>
          </w:tcPr>
          <w:p w14:paraId="6FF05ACC"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37,988</w:t>
            </w:r>
          </w:p>
        </w:tc>
        <w:tc>
          <w:tcPr>
            <w:tcW w:w="873" w:type="dxa"/>
            <w:gridSpan w:val="2"/>
            <w:tcBorders>
              <w:top w:val="nil"/>
              <w:left w:val="nil"/>
              <w:bottom w:val="nil"/>
              <w:right w:val="nil"/>
            </w:tcBorders>
            <w:shd w:val="clear" w:color="auto" w:fill="auto"/>
            <w:noWrap/>
            <w:vAlign w:val="bottom"/>
            <w:hideMark/>
          </w:tcPr>
          <w:p w14:paraId="72D8473B"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35,693</w:t>
            </w:r>
          </w:p>
        </w:tc>
      </w:tr>
      <w:tr w:rsidR="00177622" w:rsidRPr="00177622" w14:paraId="1D2AD8FD" w14:textId="77777777" w:rsidTr="00731ECF">
        <w:trPr>
          <w:gridAfter w:val="1"/>
          <w:wAfter w:w="9" w:type="dxa"/>
          <w:trHeight w:val="225"/>
          <w:jc w:val="center"/>
        </w:trPr>
        <w:tc>
          <w:tcPr>
            <w:tcW w:w="2891" w:type="dxa"/>
            <w:tcBorders>
              <w:top w:val="nil"/>
              <w:left w:val="nil"/>
              <w:bottom w:val="nil"/>
              <w:right w:val="nil"/>
            </w:tcBorders>
            <w:shd w:val="clear" w:color="auto" w:fill="auto"/>
            <w:noWrap/>
            <w:vAlign w:val="bottom"/>
            <w:hideMark/>
          </w:tcPr>
          <w:p w14:paraId="0081213E" w14:textId="77777777" w:rsidR="00177622" w:rsidRPr="00177622" w:rsidRDefault="00177622" w:rsidP="00177622">
            <w:pPr>
              <w:spacing w:after="0"/>
              <w:ind w:leftChars="150" w:left="285"/>
              <w:rPr>
                <w:rFonts w:ascii="Arial" w:hAnsi="Arial" w:cs="Arial"/>
                <w:sz w:val="16"/>
                <w:szCs w:val="16"/>
              </w:rPr>
            </w:pPr>
            <w:r w:rsidRPr="00177622">
              <w:rPr>
                <w:rFonts w:ascii="Arial" w:hAnsi="Arial" w:cs="Arial"/>
                <w:sz w:val="16"/>
                <w:szCs w:val="16"/>
              </w:rPr>
              <w:t>Grants</w:t>
            </w:r>
          </w:p>
        </w:tc>
        <w:tc>
          <w:tcPr>
            <w:tcW w:w="981" w:type="dxa"/>
            <w:tcBorders>
              <w:top w:val="nil"/>
              <w:left w:val="nil"/>
              <w:bottom w:val="nil"/>
              <w:right w:val="nil"/>
            </w:tcBorders>
            <w:shd w:val="clear" w:color="auto" w:fill="auto"/>
            <w:noWrap/>
            <w:vAlign w:val="bottom"/>
            <w:hideMark/>
          </w:tcPr>
          <w:p w14:paraId="74E4FCCB"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244,761</w:t>
            </w:r>
          </w:p>
        </w:tc>
        <w:tc>
          <w:tcPr>
            <w:tcW w:w="873" w:type="dxa"/>
            <w:tcBorders>
              <w:top w:val="nil"/>
              <w:left w:val="nil"/>
              <w:bottom w:val="nil"/>
              <w:right w:val="nil"/>
            </w:tcBorders>
            <w:shd w:val="clear" w:color="000000" w:fill="D9D9D9"/>
            <w:noWrap/>
            <w:vAlign w:val="bottom"/>
            <w:hideMark/>
          </w:tcPr>
          <w:p w14:paraId="0FC2FD93"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260,605</w:t>
            </w:r>
          </w:p>
        </w:tc>
        <w:tc>
          <w:tcPr>
            <w:tcW w:w="873" w:type="dxa"/>
            <w:tcBorders>
              <w:top w:val="nil"/>
              <w:left w:val="nil"/>
              <w:bottom w:val="nil"/>
              <w:right w:val="nil"/>
            </w:tcBorders>
            <w:shd w:val="clear" w:color="auto" w:fill="auto"/>
            <w:noWrap/>
            <w:vAlign w:val="bottom"/>
            <w:hideMark/>
          </w:tcPr>
          <w:p w14:paraId="468698CA"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256,167</w:t>
            </w:r>
          </w:p>
        </w:tc>
        <w:tc>
          <w:tcPr>
            <w:tcW w:w="873" w:type="dxa"/>
            <w:gridSpan w:val="2"/>
            <w:tcBorders>
              <w:top w:val="nil"/>
              <w:left w:val="nil"/>
              <w:bottom w:val="nil"/>
              <w:right w:val="nil"/>
            </w:tcBorders>
            <w:shd w:val="clear" w:color="auto" w:fill="auto"/>
            <w:noWrap/>
            <w:vAlign w:val="bottom"/>
            <w:hideMark/>
          </w:tcPr>
          <w:p w14:paraId="34A0538D"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179,849</w:t>
            </w:r>
          </w:p>
        </w:tc>
        <w:tc>
          <w:tcPr>
            <w:tcW w:w="873" w:type="dxa"/>
            <w:gridSpan w:val="2"/>
            <w:tcBorders>
              <w:top w:val="nil"/>
              <w:left w:val="nil"/>
              <w:bottom w:val="nil"/>
              <w:right w:val="nil"/>
            </w:tcBorders>
            <w:shd w:val="clear" w:color="auto" w:fill="auto"/>
            <w:noWrap/>
            <w:vAlign w:val="bottom"/>
            <w:hideMark/>
          </w:tcPr>
          <w:p w14:paraId="05B21DB8"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156,215</w:t>
            </w:r>
          </w:p>
        </w:tc>
      </w:tr>
      <w:tr w:rsidR="00177622" w:rsidRPr="00177622" w14:paraId="1253A037" w14:textId="77777777" w:rsidTr="00731ECF">
        <w:trPr>
          <w:gridAfter w:val="1"/>
          <w:wAfter w:w="9" w:type="dxa"/>
          <w:trHeight w:val="225"/>
          <w:jc w:val="center"/>
        </w:trPr>
        <w:tc>
          <w:tcPr>
            <w:tcW w:w="2891" w:type="dxa"/>
            <w:tcBorders>
              <w:top w:val="nil"/>
              <w:left w:val="nil"/>
              <w:bottom w:val="nil"/>
              <w:right w:val="nil"/>
            </w:tcBorders>
            <w:shd w:val="clear" w:color="auto" w:fill="auto"/>
            <w:noWrap/>
            <w:vAlign w:val="bottom"/>
            <w:hideMark/>
          </w:tcPr>
          <w:p w14:paraId="0FD31DC8" w14:textId="77777777" w:rsidR="00177622" w:rsidRPr="00177622" w:rsidRDefault="00177622" w:rsidP="00177622">
            <w:pPr>
              <w:spacing w:after="0"/>
              <w:ind w:leftChars="150" w:left="285"/>
              <w:rPr>
                <w:rFonts w:ascii="Arial" w:hAnsi="Arial" w:cs="Arial"/>
                <w:sz w:val="16"/>
                <w:szCs w:val="16"/>
              </w:rPr>
            </w:pPr>
            <w:r w:rsidRPr="00177622">
              <w:rPr>
                <w:rFonts w:ascii="Arial" w:hAnsi="Arial" w:cs="Arial"/>
                <w:sz w:val="16"/>
                <w:szCs w:val="16"/>
              </w:rPr>
              <w:t>Interest payments on lease liability</w:t>
            </w:r>
          </w:p>
        </w:tc>
        <w:tc>
          <w:tcPr>
            <w:tcW w:w="981" w:type="dxa"/>
            <w:tcBorders>
              <w:top w:val="nil"/>
              <w:left w:val="nil"/>
              <w:bottom w:val="nil"/>
              <w:right w:val="nil"/>
            </w:tcBorders>
            <w:shd w:val="clear" w:color="auto" w:fill="auto"/>
            <w:noWrap/>
            <w:vAlign w:val="bottom"/>
            <w:hideMark/>
          </w:tcPr>
          <w:p w14:paraId="312A3A27"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16</w:t>
            </w:r>
          </w:p>
        </w:tc>
        <w:tc>
          <w:tcPr>
            <w:tcW w:w="873" w:type="dxa"/>
            <w:tcBorders>
              <w:top w:val="nil"/>
              <w:left w:val="nil"/>
              <w:bottom w:val="nil"/>
              <w:right w:val="nil"/>
            </w:tcBorders>
            <w:shd w:val="clear" w:color="000000" w:fill="D9D9D9"/>
            <w:noWrap/>
            <w:vAlign w:val="bottom"/>
            <w:hideMark/>
          </w:tcPr>
          <w:p w14:paraId="3C05C25C"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54</w:t>
            </w:r>
          </w:p>
        </w:tc>
        <w:tc>
          <w:tcPr>
            <w:tcW w:w="873" w:type="dxa"/>
            <w:tcBorders>
              <w:top w:val="nil"/>
              <w:left w:val="nil"/>
              <w:bottom w:val="nil"/>
              <w:right w:val="nil"/>
            </w:tcBorders>
            <w:shd w:val="clear" w:color="auto" w:fill="auto"/>
            <w:noWrap/>
            <w:vAlign w:val="bottom"/>
            <w:hideMark/>
          </w:tcPr>
          <w:p w14:paraId="43FE153E"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46</w:t>
            </w:r>
          </w:p>
        </w:tc>
        <w:tc>
          <w:tcPr>
            <w:tcW w:w="873" w:type="dxa"/>
            <w:gridSpan w:val="2"/>
            <w:tcBorders>
              <w:top w:val="nil"/>
              <w:left w:val="nil"/>
              <w:bottom w:val="nil"/>
              <w:right w:val="nil"/>
            </w:tcBorders>
            <w:shd w:val="clear" w:color="auto" w:fill="auto"/>
            <w:noWrap/>
            <w:vAlign w:val="bottom"/>
            <w:hideMark/>
          </w:tcPr>
          <w:p w14:paraId="0581D2DA"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39</w:t>
            </w:r>
          </w:p>
        </w:tc>
        <w:tc>
          <w:tcPr>
            <w:tcW w:w="873" w:type="dxa"/>
            <w:gridSpan w:val="2"/>
            <w:tcBorders>
              <w:top w:val="nil"/>
              <w:left w:val="nil"/>
              <w:bottom w:val="nil"/>
              <w:right w:val="nil"/>
            </w:tcBorders>
            <w:shd w:val="clear" w:color="auto" w:fill="auto"/>
            <w:noWrap/>
            <w:vAlign w:val="bottom"/>
            <w:hideMark/>
          </w:tcPr>
          <w:p w14:paraId="6082BB2D"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48</w:t>
            </w:r>
          </w:p>
        </w:tc>
      </w:tr>
      <w:tr w:rsidR="00177622" w:rsidRPr="00177622" w14:paraId="463C1A8D" w14:textId="77777777" w:rsidTr="00731ECF">
        <w:trPr>
          <w:gridAfter w:val="1"/>
          <w:wAfter w:w="9" w:type="dxa"/>
          <w:trHeight w:val="225"/>
          <w:jc w:val="center"/>
        </w:trPr>
        <w:tc>
          <w:tcPr>
            <w:tcW w:w="2891" w:type="dxa"/>
            <w:tcBorders>
              <w:top w:val="nil"/>
              <w:left w:val="nil"/>
              <w:bottom w:val="nil"/>
              <w:right w:val="nil"/>
            </w:tcBorders>
            <w:shd w:val="clear" w:color="auto" w:fill="auto"/>
            <w:noWrap/>
            <w:vAlign w:val="bottom"/>
            <w:hideMark/>
          </w:tcPr>
          <w:p w14:paraId="2D3622EA" w14:textId="77777777" w:rsidR="00177622" w:rsidRPr="00177622" w:rsidRDefault="00177622" w:rsidP="00177622">
            <w:pPr>
              <w:spacing w:after="0"/>
              <w:ind w:leftChars="150" w:left="285"/>
              <w:rPr>
                <w:rFonts w:ascii="Arial" w:hAnsi="Arial" w:cs="Arial"/>
                <w:sz w:val="16"/>
                <w:szCs w:val="16"/>
              </w:rPr>
            </w:pPr>
            <w:r w:rsidRPr="00177622">
              <w:rPr>
                <w:rFonts w:ascii="Arial" w:hAnsi="Arial" w:cs="Arial"/>
                <w:sz w:val="16"/>
                <w:szCs w:val="16"/>
              </w:rPr>
              <w:t>Net GST Paid</w:t>
            </w:r>
          </w:p>
        </w:tc>
        <w:tc>
          <w:tcPr>
            <w:tcW w:w="981" w:type="dxa"/>
            <w:tcBorders>
              <w:top w:val="nil"/>
              <w:left w:val="nil"/>
              <w:bottom w:val="nil"/>
              <w:right w:val="nil"/>
            </w:tcBorders>
            <w:shd w:val="clear" w:color="auto" w:fill="auto"/>
            <w:noWrap/>
            <w:vAlign w:val="bottom"/>
            <w:hideMark/>
          </w:tcPr>
          <w:p w14:paraId="10E6490C"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758</w:t>
            </w:r>
          </w:p>
        </w:tc>
        <w:tc>
          <w:tcPr>
            <w:tcW w:w="873" w:type="dxa"/>
            <w:tcBorders>
              <w:top w:val="nil"/>
              <w:left w:val="nil"/>
              <w:bottom w:val="nil"/>
              <w:right w:val="nil"/>
            </w:tcBorders>
            <w:shd w:val="clear" w:color="000000" w:fill="D9D9D9"/>
            <w:noWrap/>
            <w:vAlign w:val="bottom"/>
            <w:hideMark/>
          </w:tcPr>
          <w:p w14:paraId="6D8D0342"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1,869</w:t>
            </w:r>
          </w:p>
        </w:tc>
        <w:tc>
          <w:tcPr>
            <w:tcW w:w="873" w:type="dxa"/>
            <w:tcBorders>
              <w:top w:val="nil"/>
              <w:left w:val="nil"/>
              <w:bottom w:val="nil"/>
              <w:right w:val="nil"/>
            </w:tcBorders>
            <w:shd w:val="clear" w:color="auto" w:fill="auto"/>
            <w:noWrap/>
            <w:vAlign w:val="bottom"/>
            <w:hideMark/>
          </w:tcPr>
          <w:p w14:paraId="55C2FA21"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1,869</w:t>
            </w:r>
          </w:p>
        </w:tc>
        <w:tc>
          <w:tcPr>
            <w:tcW w:w="873" w:type="dxa"/>
            <w:gridSpan w:val="2"/>
            <w:tcBorders>
              <w:top w:val="nil"/>
              <w:left w:val="nil"/>
              <w:bottom w:val="nil"/>
              <w:right w:val="nil"/>
            </w:tcBorders>
            <w:shd w:val="clear" w:color="auto" w:fill="auto"/>
            <w:noWrap/>
            <w:vAlign w:val="bottom"/>
            <w:hideMark/>
          </w:tcPr>
          <w:p w14:paraId="3402A745"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1,869</w:t>
            </w:r>
          </w:p>
        </w:tc>
        <w:tc>
          <w:tcPr>
            <w:tcW w:w="873" w:type="dxa"/>
            <w:gridSpan w:val="2"/>
            <w:tcBorders>
              <w:top w:val="nil"/>
              <w:left w:val="nil"/>
              <w:bottom w:val="nil"/>
              <w:right w:val="nil"/>
            </w:tcBorders>
            <w:shd w:val="clear" w:color="auto" w:fill="auto"/>
            <w:noWrap/>
            <w:vAlign w:val="bottom"/>
            <w:hideMark/>
          </w:tcPr>
          <w:p w14:paraId="64D7CF64"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1,869</w:t>
            </w:r>
          </w:p>
        </w:tc>
      </w:tr>
      <w:tr w:rsidR="00177622" w:rsidRPr="00177622" w14:paraId="2265E918" w14:textId="77777777" w:rsidTr="00731ECF">
        <w:trPr>
          <w:gridAfter w:val="1"/>
          <w:wAfter w:w="9" w:type="dxa"/>
          <w:trHeight w:val="225"/>
          <w:jc w:val="center"/>
        </w:trPr>
        <w:tc>
          <w:tcPr>
            <w:tcW w:w="2891" w:type="dxa"/>
            <w:tcBorders>
              <w:top w:val="nil"/>
              <w:left w:val="nil"/>
              <w:bottom w:val="nil"/>
              <w:right w:val="nil"/>
            </w:tcBorders>
            <w:shd w:val="clear" w:color="auto" w:fill="auto"/>
            <w:noWrap/>
            <w:vAlign w:val="bottom"/>
            <w:hideMark/>
          </w:tcPr>
          <w:p w14:paraId="0AD36A4B" w14:textId="77777777" w:rsidR="00177622" w:rsidRPr="00177622" w:rsidRDefault="00177622" w:rsidP="00177622">
            <w:pPr>
              <w:spacing w:after="0"/>
              <w:ind w:leftChars="150" w:left="285"/>
              <w:rPr>
                <w:rFonts w:ascii="Arial" w:hAnsi="Arial" w:cs="Arial"/>
                <w:b/>
                <w:bCs/>
                <w:sz w:val="16"/>
                <w:szCs w:val="16"/>
              </w:rPr>
            </w:pPr>
            <w:r w:rsidRPr="00177622">
              <w:rPr>
                <w:rFonts w:ascii="Arial" w:hAnsi="Arial" w:cs="Arial"/>
                <w:b/>
                <w:bCs/>
                <w:sz w:val="16"/>
                <w:szCs w:val="16"/>
              </w:rPr>
              <w:t>Total cash used</w:t>
            </w:r>
          </w:p>
        </w:tc>
        <w:tc>
          <w:tcPr>
            <w:tcW w:w="981" w:type="dxa"/>
            <w:tcBorders>
              <w:top w:val="nil"/>
              <w:left w:val="nil"/>
              <w:bottom w:val="single" w:sz="4" w:space="0" w:color="auto"/>
              <w:right w:val="nil"/>
            </w:tcBorders>
            <w:shd w:val="clear" w:color="auto" w:fill="auto"/>
            <w:noWrap/>
            <w:vAlign w:val="bottom"/>
            <w:hideMark/>
          </w:tcPr>
          <w:p w14:paraId="6BA17544"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350,119</w:t>
            </w:r>
          </w:p>
        </w:tc>
        <w:tc>
          <w:tcPr>
            <w:tcW w:w="873" w:type="dxa"/>
            <w:tcBorders>
              <w:top w:val="nil"/>
              <w:left w:val="nil"/>
              <w:bottom w:val="single" w:sz="4" w:space="0" w:color="auto"/>
              <w:right w:val="nil"/>
            </w:tcBorders>
            <w:shd w:val="clear" w:color="000000" w:fill="D9D9D9"/>
            <w:noWrap/>
            <w:vAlign w:val="bottom"/>
            <w:hideMark/>
          </w:tcPr>
          <w:p w14:paraId="2C1CB07C"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372,670</w:t>
            </w:r>
          </w:p>
        </w:tc>
        <w:tc>
          <w:tcPr>
            <w:tcW w:w="873" w:type="dxa"/>
            <w:tcBorders>
              <w:top w:val="nil"/>
              <w:left w:val="nil"/>
              <w:bottom w:val="single" w:sz="4" w:space="0" w:color="auto"/>
              <w:right w:val="nil"/>
            </w:tcBorders>
            <w:shd w:val="clear" w:color="auto" w:fill="auto"/>
            <w:noWrap/>
            <w:vAlign w:val="bottom"/>
            <w:hideMark/>
          </w:tcPr>
          <w:p w14:paraId="63AB4569"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371,537</w:t>
            </w:r>
          </w:p>
        </w:tc>
        <w:tc>
          <w:tcPr>
            <w:tcW w:w="873" w:type="dxa"/>
            <w:gridSpan w:val="2"/>
            <w:tcBorders>
              <w:top w:val="nil"/>
              <w:left w:val="nil"/>
              <w:bottom w:val="single" w:sz="4" w:space="0" w:color="auto"/>
              <w:right w:val="nil"/>
            </w:tcBorders>
            <w:shd w:val="clear" w:color="auto" w:fill="auto"/>
            <w:noWrap/>
            <w:vAlign w:val="bottom"/>
            <w:hideMark/>
          </w:tcPr>
          <w:p w14:paraId="3C92A81C"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286,198</w:t>
            </w:r>
          </w:p>
        </w:tc>
        <w:tc>
          <w:tcPr>
            <w:tcW w:w="873" w:type="dxa"/>
            <w:gridSpan w:val="2"/>
            <w:tcBorders>
              <w:top w:val="nil"/>
              <w:left w:val="nil"/>
              <w:bottom w:val="single" w:sz="4" w:space="0" w:color="auto"/>
              <w:right w:val="nil"/>
            </w:tcBorders>
            <w:shd w:val="clear" w:color="auto" w:fill="auto"/>
            <w:noWrap/>
            <w:vAlign w:val="bottom"/>
            <w:hideMark/>
          </w:tcPr>
          <w:p w14:paraId="61480147"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261,175</w:t>
            </w:r>
          </w:p>
        </w:tc>
      </w:tr>
      <w:tr w:rsidR="00177622" w:rsidRPr="00177622" w14:paraId="77E0C90E" w14:textId="77777777" w:rsidTr="00731ECF">
        <w:trPr>
          <w:gridAfter w:val="1"/>
          <w:wAfter w:w="9" w:type="dxa"/>
          <w:trHeight w:val="408"/>
          <w:jc w:val="center"/>
        </w:trPr>
        <w:tc>
          <w:tcPr>
            <w:tcW w:w="2891" w:type="dxa"/>
            <w:tcBorders>
              <w:top w:val="nil"/>
              <w:left w:val="nil"/>
              <w:bottom w:val="nil"/>
              <w:right w:val="nil"/>
            </w:tcBorders>
            <w:shd w:val="clear" w:color="auto" w:fill="auto"/>
            <w:vAlign w:val="bottom"/>
            <w:hideMark/>
          </w:tcPr>
          <w:p w14:paraId="3AAC1190" w14:textId="77777777" w:rsidR="00177622" w:rsidRPr="00177622" w:rsidRDefault="00177622" w:rsidP="00177622">
            <w:pPr>
              <w:spacing w:after="0"/>
              <w:ind w:leftChars="75" w:left="143"/>
              <w:rPr>
                <w:rFonts w:ascii="Arial" w:hAnsi="Arial" w:cs="Arial"/>
                <w:b/>
                <w:bCs/>
                <w:sz w:val="16"/>
                <w:szCs w:val="16"/>
              </w:rPr>
            </w:pPr>
            <w:r w:rsidRPr="00177622">
              <w:rPr>
                <w:rFonts w:ascii="Arial" w:hAnsi="Arial" w:cs="Arial"/>
                <w:b/>
                <w:bCs/>
                <w:sz w:val="16"/>
                <w:szCs w:val="16"/>
              </w:rPr>
              <w:t>Net cash from (or used by) operating activities</w:t>
            </w:r>
          </w:p>
        </w:tc>
        <w:tc>
          <w:tcPr>
            <w:tcW w:w="981" w:type="dxa"/>
            <w:tcBorders>
              <w:top w:val="nil"/>
              <w:left w:val="nil"/>
              <w:bottom w:val="single" w:sz="4" w:space="0" w:color="auto"/>
              <w:right w:val="nil"/>
            </w:tcBorders>
            <w:shd w:val="clear" w:color="auto" w:fill="auto"/>
            <w:noWrap/>
            <w:vAlign w:val="bottom"/>
            <w:hideMark/>
          </w:tcPr>
          <w:p w14:paraId="762AA4F7"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22,474</w:t>
            </w:r>
          </w:p>
        </w:tc>
        <w:tc>
          <w:tcPr>
            <w:tcW w:w="873" w:type="dxa"/>
            <w:tcBorders>
              <w:top w:val="nil"/>
              <w:left w:val="nil"/>
              <w:bottom w:val="single" w:sz="4" w:space="0" w:color="auto"/>
              <w:right w:val="nil"/>
            </w:tcBorders>
            <w:shd w:val="clear" w:color="000000" w:fill="D9D9D9"/>
            <w:noWrap/>
            <w:vAlign w:val="bottom"/>
            <w:hideMark/>
          </w:tcPr>
          <w:p w14:paraId="5D0787E6"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17,429</w:t>
            </w:r>
          </w:p>
        </w:tc>
        <w:tc>
          <w:tcPr>
            <w:tcW w:w="873" w:type="dxa"/>
            <w:tcBorders>
              <w:top w:val="nil"/>
              <w:left w:val="nil"/>
              <w:bottom w:val="single" w:sz="4" w:space="0" w:color="auto"/>
              <w:right w:val="nil"/>
            </w:tcBorders>
            <w:shd w:val="clear" w:color="auto" w:fill="auto"/>
            <w:noWrap/>
            <w:vAlign w:val="bottom"/>
            <w:hideMark/>
          </w:tcPr>
          <w:p w14:paraId="04F55940"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15,148</w:t>
            </w:r>
          </w:p>
        </w:tc>
        <w:tc>
          <w:tcPr>
            <w:tcW w:w="873" w:type="dxa"/>
            <w:gridSpan w:val="2"/>
            <w:tcBorders>
              <w:top w:val="nil"/>
              <w:left w:val="nil"/>
              <w:bottom w:val="single" w:sz="4" w:space="0" w:color="auto"/>
              <w:right w:val="nil"/>
            </w:tcBorders>
            <w:shd w:val="clear" w:color="auto" w:fill="auto"/>
            <w:noWrap/>
            <w:vAlign w:val="bottom"/>
            <w:hideMark/>
          </w:tcPr>
          <w:p w14:paraId="536DA5CB"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16,369</w:t>
            </w:r>
          </w:p>
        </w:tc>
        <w:tc>
          <w:tcPr>
            <w:tcW w:w="873" w:type="dxa"/>
            <w:gridSpan w:val="2"/>
            <w:tcBorders>
              <w:top w:val="nil"/>
              <w:left w:val="nil"/>
              <w:bottom w:val="single" w:sz="4" w:space="0" w:color="auto"/>
              <w:right w:val="nil"/>
            </w:tcBorders>
            <w:shd w:val="clear" w:color="auto" w:fill="auto"/>
            <w:noWrap/>
            <w:vAlign w:val="bottom"/>
            <w:hideMark/>
          </w:tcPr>
          <w:p w14:paraId="307E49C5"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15,955</w:t>
            </w:r>
          </w:p>
        </w:tc>
      </w:tr>
      <w:tr w:rsidR="00177622" w:rsidRPr="00177622" w14:paraId="34F177BA" w14:textId="77777777" w:rsidTr="00731ECF">
        <w:trPr>
          <w:gridAfter w:val="1"/>
          <w:wAfter w:w="9" w:type="dxa"/>
          <w:trHeight w:val="283"/>
          <w:jc w:val="center"/>
        </w:trPr>
        <w:tc>
          <w:tcPr>
            <w:tcW w:w="2891" w:type="dxa"/>
            <w:tcBorders>
              <w:top w:val="nil"/>
              <w:left w:val="nil"/>
              <w:bottom w:val="nil"/>
              <w:right w:val="nil"/>
            </w:tcBorders>
            <w:shd w:val="clear" w:color="auto" w:fill="auto"/>
            <w:noWrap/>
            <w:vAlign w:val="bottom"/>
            <w:hideMark/>
          </w:tcPr>
          <w:p w14:paraId="058E0AA9" w14:textId="77777777" w:rsidR="00177622" w:rsidRPr="00177622" w:rsidRDefault="00177622" w:rsidP="00177622">
            <w:pPr>
              <w:spacing w:after="0"/>
              <w:rPr>
                <w:rFonts w:ascii="Arial" w:hAnsi="Arial" w:cs="Arial"/>
                <w:b/>
                <w:bCs/>
                <w:sz w:val="16"/>
                <w:szCs w:val="16"/>
              </w:rPr>
            </w:pPr>
            <w:r w:rsidRPr="00177622">
              <w:rPr>
                <w:rFonts w:ascii="Arial" w:hAnsi="Arial" w:cs="Arial"/>
                <w:b/>
                <w:bCs/>
                <w:sz w:val="16"/>
                <w:szCs w:val="16"/>
              </w:rPr>
              <w:t>INVESTING ACTIVITIES</w:t>
            </w:r>
          </w:p>
        </w:tc>
        <w:tc>
          <w:tcPr>
            <w:tcW w:w="981" w:type="dxa"/>
            <w:tcBorders>
              <w:top w:val="nil"/>
              <w:left w:val="nil"/>
              <w:bottom w:val="nil"/>
              <w:right w:val="nil"/>
            </w:tcBorders>
            <w:shd w:val="clear" w:color="auto" w:fill="auto"/>
            <w:noWrap/>
            <w:vAlign w:val="bottom"/>
            <w:hideMark/>
          </w:tcPr>
          <w:p w14:paraId="353BB084" w14:textId="77777777" w:rsidR="00177622" w:rsidRPr="00177622" w:rsidRDefault="00177622" w:rsidP="00177622">
            <w:pPr>
              <w:spacing w:after="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4DEF777E"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 </w:t>
            </w:r>
          </w:p>
        </w:tc>
        <w:tc>
          <w:tcPr>
            <w:tcW w:w="873" w:type="dxa"/>
            <w:tcBorders>
              <w:top w:val="nil"/>
              <w:left w:val="nil"/>
              <w:bottom w:val="nil"/>
              <w:right w:val="nil"/>
            </w:tcBorders>
            <w:shd w:val="clear" w:color="auto" w:fill="auto"/>
            <w:noWrap/>
            <w:vAlign w:val="bottom"/>
            <w:hideMark/>
          </w:tcPr>
          <w:p w14:paraId="76C7F7CF" w14:textId="77777777" w:rsidR="00177622" w:rsidRPr="00177622" w:rsidRDefault="00177622" w:rsidP="00177622">
            <w:pPr>
              <w:spacing w:after="0"/>
              <w:jc w:val="right"/>
              <w:rPr>
                <w:rFonts w:ascii="Arial" w:hAnsi="Arial" w:cs="Arial"/>
                <w:sz w:val="16"/>
                <w:szCs w:val="16"/>
              </w:rPr>
            </w:pPr>
          </w:p>
        </w:tc>
        <w:tc>
          <w:tcPr>
            <w:tcW w:w="873" w:type="dxa"/>
            <w:gridSpan w:val="2"/>
            <w:tcBorders>
              <w:top w:val="nil"/>
              <w:left w:val="nil"/>
              <w:bottom w:val="nil"/>
              <w:right w:val="nil"/>
            </w:tcBorders>
            <w:shd w:val="clear" w:color="auto" w:fill="auto"/>
            <w:noWrap/>
            <w:vAlign w:val="bottom"/>
            <w:hideMark/>
          </w:tcPr>
          <w:p w14:paraId="707AB4A3" w14:textId="77777777" w:rsidR="00177622" w:rsidRPr="00177622" w:rsidRDefault="00177622" w:rsidP="00177622">
            <w:pPr>
              <w:spacing w:after="0"/>
              <w:jc w:val="right"/>
              <w:rPr>
                <w:rFonts w:ascii="Times New Roman" w:hAnsi="Times New Roman"/>
                <w:color w:val="auto"/>
                <w:sz w:val="20"/>
              </w:rPr>
            </w:pPr>
          </w:p>
        </w:tc>
        <w:tc>
          <w:tcPr>
            <w:tcW w:w="873" w:type="dxa"/>
            <w:gridSpan w:val="2"/>
            <w:tcBorders>
              <w:top w:val="nil"/>
              <w:left w:val="nil"/>
              <w:bottom w:val="nil"/>
              <w:right w:val="nil"/>
            </w:tcBorders>
            <w:shd w:val="clear" w:color="auto" w:fill="auto"/>
            <w:noWrap/>
            <w:vAlign w:val="bottom"/>
            <w:hideMark/>
          </w:tcPr>
          <w:p w14:paraId="2E70B58C" w14:textId="77777777" w:rsidR="00177622" w:rsidRPr="00177622" w:rsidRDefault="00177622" w:rsidP="00177622">
            <w:pPr>
              <w:spacing w:after="0"/>
              <w:jc w:val="right"/>
              <w:rPr>
                <w:rFonts w:ascii="Times New Roman" w:hAnsi="Times New Roman"/>
                <w:color w:val="auto"/>
                <w:sz w:val="20"/>
              </w:rPr>
            </w:pPr>
          </w:p>
        </w:tc>
      </w:tr>
      <w:tr w:rsidR="00177622" w:rsidRPr="00177622" w14:paraId="7AF580D8" w14:textId="77777777" w:rsidTr="00731ECF">
        <w:trPr>
          <w:gridAfter w:val="1"/>
          <w:wAfter w:w="9" w:type="dxa"/>
          <w:trHeight w:val="225"/>
          <w:jc w:val="center"/>
        </w:trPr>
        <w:tc>
          <w:tcPr>
            <w:tcW w:w="2891" w:type="dxa"/>
            <w:tcBorders>
              <w:top w:val="nil"/>
              <w:left w:val="nil"/>
              <w:bottom w:val="nil"/>
              <w:right w:val="nil"/>
            </w:tcBorders>
            <w:shd w:val="clear" w:color="auto" w:fill="auto"/>
            <w:noWrap/>
            <w:vAlign w:val="bottom"/>
            <w:hideMark/>
          </w:tcPr>
          <w:p w14:paraId="2E8AF96E" w14:textId="77777777" w:rsidR="00177622" w:rsidRPr="00177622" w:rsidRDefault="00177622" w:rsidP="00177622">
            <w:pPr>
              <w:spacing w:after="0"/>
              <w:ind w:leftChars="75" w:left="143"/>
              <w:rPr>
                <w:rFonts w:ascii="Arial" w:hAnsi="Arial" w:cs="Arial"/>
                <w:b/>
                <w:bCs/>
                <w:sz w:val="16"/>
                <w:szCs w:val="16"/>
              </w:rPr>
            </w:pPr>
            <w:r w:rsidRPr="00177622">
              <w:rPr>
                <w:rFonts w:ascii="Arial" w:hAnsi="Arial" w:cs="Arial"/>
                <w:b/>
                <w:bCs/>
                <w:sz w:val="16"/>
                <w:szCs w:val="16"/>
              </w:rPr>
              <w:t>Cash received</w:t>
            </w:r>
          </w:p>
        </w:tc>
        <w:tc>
          <w:tcPr>
            <w:tcW w:w="981" w:type="dxa"/>
            <w:tcBorders>
              <w:top w:val="nil"/>
              <w:left w:val="nil"/>
              <w:bottom w:val="nil"/>
              <w:right w:val="nil"/>
            </w:tcBorders>
            <w:shd w:val="clear" w:color="auto" w:fill="auto"/>
            <w:noWrap/>
            <w:vAlign w:val="bottom"/>
            <w:hideMark/>
          </w:tcPr>
          <w:p w14:paraId="248FC927" w14:textId="77777777" w:rsidR="00177622" w:rsidRPr="00177622" w:rsidRDefault="00177622" w:rsidP="00177622">
            <w:pPr>
              <w:spacing w:after="0"/>
              <w:ind w:firstLineChars="100" w:firstLine="16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3B24AEFE"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 </w:t>
            </w:r>
          </w:p>
        </w:tc>
        <w:tc>
          <w:tcPr>
            <w:tcW w:w="873" w:type="dxa"/>
            <w:tcBorders>
              <w:top w:val="nil"/>
              <w:left w:val="nil"/>
              <w:bottom w:val="nil"/>
              <w:right w:val="nil"/>
            </w:tcBorders>
            <w:shd w:val="clear" w:color="auto" w:fill="auto"/>
            <w:noWrap/>
            <w:vAlign w:val="bottom"/>
            <w:hideMark/>
          </w:tcPr>
          <w:p w14:paraId="095A073D" w14:textId="77777777" w:rsidR="00177622" w:rsidRPr="00177622" w:rsidRDefault="00177622" w:rsidP="00177622">
            <w:pPr>
              <w:spacing w:after="0"/>
              <w:jc w:val="right"/>
              <w:rPr>
                <w:rFonts w:ascii="Arial" w:hAnsi="Arial" w:cs="Arial"/>
                <w:sz w:val="16"/>
                <w:szCs w:val="16"/>
              </w:rPr>
            </w:pPr>
          </w:p>
        </w:tc>
        <w:tc>
          <w:tcPr>
            <w:tcW w:w="873" w:type="dxa"/>
            <w:gridSpan w:val="2"/>
            <w:tcBorders>
              <w:top w:val="nil"/>
              <w:left w:val="nil"/>
              <w:bottom w:val="nil"/>
              <w:right w:val="nil"/>
            </w:tcBorders>
            <w:shd w:val="clear" w:color="auto" w:fill="auto"/>
            <w:noWrap/>
            <w:vAlign w:val="bottom"/>
            <w:hideMark/>
          </w:tcPr>
          <w:p w14:paraId="5DD47524" w14:textId="77777777" w:rsidR="00177622" w:rsidRPr="00177622" w:rsidRDefault="00177622" w:rsidP="00177622">
            <w:pPr>
              <w:spacing w:after="0"/>
              <w:jc w:val="right"/>
              <w:rPr>
                <w:rFonts w:ascii="Times New Roman" w:hAnsi="Times New Roman"/>
                <w:color w:val="auto"/>
                <w:sz w:val="20"/>
              </w:rPr>
            </w:pPr>
          </w:p>
        </w:tc>
        <w:tc>
          <w:tcPr>
            <w:tcW w:w="873" w:type="dxa"/>
            <w:gridSpan w:val="2"/>
            <w:tcBorders>
              <w:top w:val="nil"/>
              <w:left w:val="nil"/>
              <w:bottom w:val="nil"/>
              <w:right w:val="nil"/>
            </w:tcBorders>
            <w:shd w:val="clear" w:color="auto" w:fill="auto"/>
            <w:noWrap/>
            <w:vAlign w:val="bottom"/>
            <w:hideMark/>
          </w:tcPr>
          <w:p w14:paraId="3A9ED8F2" w14:textId="77777777" w:rsidR="00177622" w:rsidRPr="00177622" w:rsidRDefault="00177622" w:rsidP="00177622">
            <w:pPr>
              <w:spacing w:after="0"/>
              <w:jc w:val="right"/>
              <w:rPr>
                <w:rFonts w:ascii="Times New Roman" w:hAnsi="Times New Roman"/>
                <w:color w:val="auto"/>
                <w:sz w:val="20"/>
              </w:rPr>
            </w:pPr>
          </w:p>
        </w:tc>
      </w:tr>
      <w:tr w:rsidR="00177622" w:rsidRPr="00177622" w14:paraId="41BEEFCD" w14:textId="77777777" w:rsidTr="00731ECF">
        <w:trPr>
          <w:gridAfter w:val="1"/>
          <w:wAfter w:w="9" w:type="dxa"/>
          <w:trHeight w:val="225"/>
          <w:jc w:val="center"/>
        </w:trPr>
        <w:tc>
          <w:tcPr>
            <w:tcW w:w="2891" w:type="dxa"/>
            <w:tcBorders>
              <w:top w:val="nil"/>
              <w:left w:val="nil"/>
              <w:bottom w:val="nil"/>
              <w:right w:val="nil"/>
            </w:tcBorders>
            <w:shd w:val="clear" w:color="auto" w:fill="auto"/>
            <w:noWrap/>
            <w:vAlign w:val="bottom"/>
            <w:hideMark/>
          </w:tcPr>
          <w:p w14:paraId="375CE2DE" w14:textId="77777777" w:rsidR="00177622" w:rsidRPr="00177622" w:rsidRDefault="00177622" w:rsidP="00177622">
            <w:pPr>
              <w:spacing w:after="0"/>
              <w:ind w:leftChars="150" w:left="285"/>
              <w:rPr>
                <w:rFonts w:ascii="Arial" w:hAnsi="Arial" w:cs="Arial"/>
                <w:sz w:val="16"/>
                <w:szCs w:val="16"/>
              </w:rPr>
            </w:pPr>
            <w:r w:rsidRPr="00177622">
              <w:rPr>
                <w:rFonts w:ascii="Arial" w:hAnsi="Arial" w:cs="Arial"/>
                <w:sz w:val="16"/>
                <w:szCs w:val="16"/>
              </w:rPr>
              <w:t>Sales of non-financial assets</w:t>
            </w:r>
          </w:p>
        </w:tc>
        <w:tc>
          <w:tcPr>
            <w:tcW w:w="981" w:type="dxa"/>
            <w:tcBorders>
              <w:top w:val="nil"/>
              <w:left w:val="nil"/>
              <w:bottom w:val="nil"/>
              <w:right w:val="nil"/>
            </w:tcBorders>
            <w:shd w:val="clear" w:color="auto" w:fill="auto"/>
            <w:noWrap/>
            <w:vAlign w:val="bottom"/>
            <w:hideMark/>
          </w:tcPr>
          <w:p w14:paraId="017836FE"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129</w:t>
            </w:r>
          </w:p>
        </w:tc>
        <w:tc>
          <w:tcPr>
            <w:tcW w:w="873" w:type="dxa"/>
            <w:tcBorders>
              <w:top w:val="nil"/>
              <w:left w:val="nil"/>
              <w:bottom w:val="nil"/>
              <w:right w:val="nil"/>
            </w:tcBorders>
            <w:shd w:val="clear" w:color="000000" w:fill="D9D9D9"/>
            <w:noWrap/>
            <w:vAlign w:val="bottom"/>
            <w:hideMark/>
          </w:tcPr>
          <w:p w14:paraId="7BE267AA"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w:t>
            </w:r>
          </w:p>
        </w:tc>
        <w:tc>
          <w:tcPr>
            <w:tcW w:w="873" w:type="dxa"/>
            <w:tcBorders>
              <w:top w:val="nil"/>
              <w:left w:val="nil"/>
              <w:bottom w:val="nil"/>
              <w:right w:val="nil"/>
            </w:tcBorders>
            <w:shd w:val="clear" w:color="auto" w:fill="auto"/>
            <w:noWrap/>
            <w:vAlign w:val="bottom"/>
            <w:hideMark/>
          </w:tcPr>
          <w:p w14:paraId="37AFEA35"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w:t>
            </w:r>
          </w:p>
        </w:tc>
        <w:tc>
          <w:tcPr>
            <w:tcW w:w="873" w:type="dxa"/>
            <w:gridSpan w:val="2"/>
            <w:tcBorders>
              <w:top w:val="nil"/>
              <w:left w:val="nil"/>
              <w:bottom w:val="nil"/>
              <w:right w:val="nil"/>
            </w:tcBorders>
            <w:shd w:val="clear" w:color="auto" w:fill="auto"/>
            <w:noWrap/>
            <w:vAlign w:val="bottom"/>
            <w:hideMark/>
          </w:tcPr>
          <w:p w14:paraId="72B8C599"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w:t>
            </w:r>
          </w:p>
        </w:tc>
        <w:tc>
          <w:tcPr>
            <w:tcW w:w="873" w:type="dxa"/>
            <w:gridSpan w:val="2"/>
            <w:tcBorders>
              <w:top w:val="nil"/>
              <w:left w:val="nil"/>
              <w:bottom w:val="nil"/>
              <w:right w:val="nil"/>
            </w:tcBorders>
            <w:shd w:val="clear" w:color="auto" w:fill="auto"/>
            <w:noWrap/>
            <w:vAlign w:val="bottom"/>
            <w:hideMark/>
          </w:tcPr>
          <w:p w14:paraId="35817053"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w:t>
            </w:r>
          </w:p>
        </w:tc>
      </w:tr>
      <w:tr w:rsidR="00177622" w:rsidRPr="00177622" w14:paraId="7A6C33C5" w14:textId="77777777" w:rsidTr="00731ECF">
        <w:trPr>
          <w:gridAfter w:val="1"/>
          <w:wAfter w:w="9" w:type="dxa"/>
          <w:trHeight w:val="225"/>
          <w:jc w:val="center"/>
        </w:trPr>
        <w:tc>
          <w:tcPr>
            <w:tcW w:w="2891" w:type="dxa"/>
            <w:tcBorders>
              <w:top w:val="nil"/>
              <w:left w:val="nil"/>
              <w:bottom w:val="nil"/>
              <w:right w:val="nil"/>
            </w:tcBorders>
            <w:shd w:val="clear" w:color="auto" w:fill="auto"/>
            <w:noWrap/>
            <w:vAlign w:val="bottom"/>
            <w:hideMark/>
          </w:tcPr>
          <w:p w14:paraId="55026888" w14:textId="77777777" w:rsidR="00177622" w:rsidRPr="00177622" w:rsidRDefault="00177622" w:rsidP="00177622">
            <w:pPr>
              <w:spacing w:after="0"/>
              <w:ind w:leftChars="150" w:left="285"/>
              <w:rPr>
                <w:rFonts w:ascii="Arial" w:hAnsi="Arial" w:cs="Arial"/>
                <w:b/>
                <w:bCs/>
                <w:sz w:val="16"/>
                <w:szCs w:val="16"/>
              </w:rPr>
            </w:pPr>
            <w:r w:rsidRPr="00177622">
              <w:rPr>
                <w:rFonts w:ascii="Arial" w:hAnsi="Arial" w:cs="Arial"/>
                <w:b/>
                <w:bCs/>
                <w:sz w:val="16"/>
                <w:szCs w:val="16"/>
              </w:rPr>
              <w:t>Total cash received</w:t>
            </w:r>
          </w:p>
        </w:tc>
        <w:tc>
          <w:tcPr>
            <w:tcW w:w="981" w:type="dxa"/>
            <w:tcBorders>
              <w:top w:val="nil"/>
              <w:left w:val="nil"/>
              <w:bottom w:val="single" w:sz="4" w:space="0" w:color="auto"/>
              <w:right w:val="nil"/>
            </w:tcBorders>
            <w:shd w:val="clear" w:color="auto" w:fill="auto"/>
            <w:noWrap/>
            <w:vAlign w:val="bottom"/>
            <w:hideMark/>
          </w:tcPr>
          <w:p w14:paraId="58711A2C"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129</w:t>
            </w:r>
          </w:p>
        </w:tc>
        <w:tc>
          <w:tcPr>
            <w:tcW w:w="873" w:type="dxa"/>
            <w:tcBorders>
              <w:top w:val="nil"/>
              <w:left w:val="nil"/>
              <w:bottom w:val="single" w:sz="4" w:space="0" w:color="auto"/>
              <w:right w:val="nil"/>
            </w:tcBorders>
            <w:shd w:val="clear" w:color="000000" w:fill="D9D9D9"/>
            <w:noWrap/>
            <w:vAlign w:val="bottom"/>
            <w:hideMark/>
          </w:tcPr>
          <w:p w14:paraId="0605F1FD"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c>
          <w:tcPr>
            <w:tcW w:w="873" w:type="dxa"/>
            <w:tcBorders>
              <w:top w:val="nil"/>
              <w:left w:val="nil"/>
              <w:bottom w:val="single" w:sz="4" w:space="0" w:color="auto"/>
              <w:right w:val="nil"/>
            </w:tcBorders>
            <w:shd w:val="clear" w:color="auto" w:fill="auto"/>
            <w:noWrap/>
            <w:vAlign w:val="bottom"/>
            <w:hideMark/>
          </w:tcPr>
          <w:p w14:paraId="2D212EE2"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c>
          <w:tcPr>
            <w:tcW w:w="873" w:type="dxa"/>
            <w:gridSpan w:val="2"/>
            <w:tcBorders>
              <w:top w:val="nil"/>
              <w:left w:val="nil"/>
              <w:bottom w:val="single" w:sz="4" w:space="0" w:color="auto"/>
              <w:right w:val="nil"/>
            </w:tcBorders>
            <w:shd w:val="clear" w:color="auto" w:fill="auto"/>
            <w:noWrap/>
            <w:vAlign w:val="bottom"/>
            <w:hideMark/>
          </w:tcPr>
          <w:p w14:paraId="6D1061E0"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c>
          <w:tcPr>
            <w:tcW w:w="873" w:type="dxa"/>
            <w:gridSpan w:val="2"/>
            <w:tcBorders>
              <w:top w:val="nil"/>
              <w:left w:val="nil"/>
              <w:bottom w:val="single" w:sz="4" w:space="0" w:color="auto"/>
              <w:right w:val="nil"/>
            </w:tcBorders>
            <w:shd w:val="clear" w:color="auto" w:fill="auto"/>
            <w:noWrap/>
            <w:vAlign w:val="bottom"/>
            <w:hideMark/>
          </w:tcPr>
          <w:p w14:paraId="2887BD0C"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r>
      <w:tr w:rsidR="00177622" w:rsidRPr="00177622" w14:paraId="455A2FBC" w14:textId="77777777" w:rsidTr="00731ECF">
        <w:trPr>
          <w:gridAfter w:val="1"/>
          <w:wAfter w:w="9" w:type="dxa"/>
          <w:trHeight w:val="283"/>
          <w:jc w:val="center"/>
        </w:trPr>
        <w:tc>
          <w:tcPr>
            <w:tcW w:w="2891" w:type="dxa"/>
            <w:tcBorders>
              <w:top w:val="nil"/>
              <w:left w:val="nil"/>
              <w:bottom w:val="nil"/>
              <w:right w:val="nil"/>
            </w:tcBorders>
            <w:shd w:val="clear" w:color="auto" w:fill="auto"/>
            <w:noWrap/>
            <w:vAlign w:val="bottom"/>
            <w:hideMark/>
          </w:tcPr>
          <w:p w14:paraId="240B1889" w14:textId="77777777" w:rsidR="00177622" w:rsidRPr="00177622" w:rsidRDefault="00177622" w:rsidP="00177622">
            <w:pPr>
              <w:spacing w:after="0"/>
              <w:ind w:leftChars="75" w:left="143"/>
              <w:rPr>
                <w:rFonts w:ascii="Arial" w:hAnsi="Arial" w:cs="Arial"/>
                <w:b/>
                <w:bCs/>
                <w:sz w:val="16"/>
                <w:szCs w:val="16"/>
              </w:rPr>
            </w:pPr>
            <w:r w:rsidRPr="00177622">
              <w:rPr>
                <w:rFonts w:ascii="Arial" w:hAnsi="Arial" w:cs="Arial"/>
                <w:b/>
                <w:bCs/>
                <w:sz w:val="16"/>
                <w:szCs w:val="16"/>
              </w:rPr>
              <w:t>Cash used</w:t>
            </w:r>
          </w:p>
        </w:tc>
        <w:tc>
          <w:tcPr>
            <w:tcW w:w="981" w:type="dxa"/>
            <w:tcBorders>
              <w:top w:val="nil"/>
              <w:left w:val="nil"/>
              <w:bottom w:val="nil"/>
              <w:right w:val="nil"/>
            </w:tcBorders>
            <w:shd w:val="clear" w:color="auto" w:fill="auto"/>
            <w:noWrap/>
            <w:vAlign w:val="bottom"/>
            <w:hideMark/>
          </w:tcPr>
          <w:p w14:paraId="58B8FEEF" w14:textId="77777777" w:rsidR="00177622" w:rsidRPr="00177622" w:rsidRDefault="00177622" w:rsidP="00177622">
            <w:pPr>
              <w:spacing w:after="0"/>
              <w:ind w:firstLineChars="100" w:firstLine="16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4C18F562"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 </w:t>
            </w:r>
          </w:p>
        </w:tc>
        <w:tc>
          <w:tcPr>
            <w:tcW w:w="873" w:type="dxa"/>
            <w:tcBorders>
              <w:top w:val="nil"/>
              <w:left w:val="nil"/>
              <w:bottom w:val="nil"/>
              <w:right w:val="nil"/>
            </w:tcBorders>
            <w:shd w:val="clear" w:color="auto" w:fill="auto"/>
            <w:noWrap/>
            <w:vAlign w:val="bottom"/>
            <w:hideMark/>
          </w:tcPr>
          <w:p w14:paraId="748A9347" w14:textId="77777777" w:rsidR="00177622" w:rsidRPr="00177622" w:rsidRDefault="00177622" w:rsidP="00177622">
            <w:pPr>
              <w:spacing w:after="0"/>
              <w:jc w:val="right"/>
              <w:rPr>
                <w:rFonts w:ascii="Arial" w:hAnsi="Arial" w:cs="Arial"/>
                <w:sz w:val="16"/>
                <w:szCs w:val="16"/>
              </w:rPr>
            </w:pPr>
          </w:p>
        </w:tc>
        <w:tc>
          <w:tcPr>
            <w:tcW w:w="873" w:type="dxa"/>
            <w:gridSpan w:val="2"/>
            <w:tcBorders>
              <w:top w:val="nil"/>
              <w:left w:val="nil"/>
              <w:bottom w:val="nil"/>
              <w:right w:val="nil"/>
            </w:tcBorders>
            <w:shd w:val="clear" w:color="auto" w:fill="auto"/>
            <w:noWrap/>
            <w:vAlign w:val="bottom"/>
            <w:hideMark/>
          </w:tcPr>
          <w:p w14:paraId="03411377" w14:textId="77777777" w:rsidR="00177622" w:rsidRPr="00177622" w:rsidRDefault="00177622" w:rsidP="00177622">
            <w:pPr>
              <w:spacing w:after="0"/>
              <w:jc w:val="right"/>
              <w:rPr>
                <w:rFonts w:ascii="Times New Roman" w:hAnsi="Times New Roman"/>
                <w:color w:val="auto"/>
                <w:sz w:val="20"/>
              </w:rPr>
            </w:pPr>
          </w:p>
        </w:tc>
        <w:tc>
          <w:tcPr>
            <w:tcW w:w="873" w:type="dxa"/>
            <w:gridSpan w:val="2"/>
            <w:tcBorders>
              <w:top w:val="nil"/>
              <w:left w:val="nil"/>
              <w:bottom w:val="nil"/>
              <w:right w:val="nil"/>
            </w:tcBorders>
            <w:shd w:val="clear" w:color="auto" w:fill="auto"/>
            <w:noWrap/>
            <w:vAlign w:val="bottom"/>
            <w:hideMark/>
          </w:tcPr>
          <w:p w14:paraId="72947BB1" w14:textId="77777777" w:rsidR="00177622" w:rsidRPr="00177622" w:rsidRDefault="00177622" w:rsidP="00177622">
            <w:pPr>
              <w:spacing w:after="0"/>
              <w:jc w:val="right"/>
              <w:rPr>
                <w:rFonts w:ascii="Times New Roman" w:hAnsi="Times New Roman"/>
                <w:color w:val="auto"/>
                <w:sz w:val="20"/>
              </w:rPr>
            </w:pPr>
          </w:p>
        </w:tc>
      </w:tr>
      <w:tr w:rsidR="00177622" w:rsidRPr="00177622" w14:paraId="28266044" w14:textId="77777777" w:rsidTr="00731ECF">
        <w:trPr>
          <w:gridAfter w:val="1"/>
          <w:wAfter w:w="9" w:type="dxa"/>
          <w:trHeight w:val="450"/>
          <w:jc w:val="center"/>
        </w:trPr>
        <w:tc>
          <w:tcPr>
            <w:tcW w:w="2891" w:type="dxa"/>
            <w:tcBorders>
              <w:top w:val="nil"/>
              <w:left w:val="nil"/>
              <w:bottom w:val="nil"/>
              <w:right w:val="nil"/>
            </w:tcBorders>
            <w:shd w:val="clear" w:color="auto" w:fill="auto"/>
            <w:vAlign w:val="bottom"/>
            <w:hideMark/>
          </w:tcPr>
          <w:p w14:paraId="2FE62893" w14:textId="77777777" w:rsidR="00177622" w:rsidRPr="00177622" w:rsidRDefault="00177622" w:rsidP="00177622">
            <w:pPr>
              <w:spacing w:after="0"/>
              <w:ind w:leftChars="150" w:left="285"/>
              <w:rPr>
                <w:rFonts w:ascii="Arial" w:hAnsi="Arial" w:cs="Arial"/>
                <w:sz w:val="16"/>
                <w:szCs w:val="16"/>
              </w:rPr>
            </w:pPr>
            <w:r w:rsidRPr="00177622">
              <w:rPr>
                <w:rFonts w:ascii="Arial" w:hAnsi="Arial" w:cs="Arial"/>
                <w:sz w:val="16"/>
                <w:szCs w:val="16"/>
              </w:rPr>
              <w:t>Purchase of property, plant and equipment and intangibles</w:t>
            </w:r>
          </w:p>
        </w:tc>
        <w:tc>
          <w:tcPr>
            <w:tcW w:w="981" w:type="dxa"/>
            <w:tcBorders>
              <w:top w:val="nil"/>
              <w:left w:val="nil"/>
              <w:bottom w:val="nil"/>
              <w:right w:val="nil"/>
            </w:tcBorders>
            <w:shd w:val="clear" w:color="auto" w:fill="auto"/>
            <w:noWrap/>
            <w:vAlign w:val="bottom"/>
            <w:hideMark/>
          </w:tcPr>
          <w:p w14:paraId="2BAF4ABF"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6,240</w:t>
            </w:r>
          </w:p>
        </w:tc>
        <w:tc>
          <w:tcPr>
            <w:tcW w:w="873" w:type="dxa"/>
            <w:tcBorders>
              <w:top w:val="nil"/>
              <w:left w:val="nil"/>
              <w:bottom w:val="nil"/>
              <w:right w:val="nil"/>
            </w:tcBorders>
            <w:shd w:val="clear" w:color="000000" w:fill="D9D9D9"/>
            <w:noWrap/>
            <w:vAlign w:val="bottom"/>
            <w:hideMark/>
          </w:tcPr>
          <w:p w14:paraId="7ED355D4"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32,242</w:t>
            </w:r>
          </w:p>
        </w:tc>
        <w:tc>
          <w:tcPr>
            <w:tcW w:w="873" w:type="dxa"/>
            <w:tcBorders>
              <w:top w:val="nil"/>
              <w:left w:val="nil"/>
              <w:bottom w:val="nil"/>
              <w:right w:val="nil"/>
            </w:tcBorders>
            <w:shd w:val="clear" w:color="auto" w:fill="auto"/>
            <w:noWrap/>
            <w:vAlign w:val="bottom"/>
            <w:hideMark/>
          </w:tcPr>
          <w:p w14:paraId="0C909B0F"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56,832</w:t>
            </w:r>
          </w:p>
        </w:tc>
        <w:tc>
          <w:tcPr>
            <w:tcW w:w="873" w:type="dxa"/>
            <w:gridSpan w:val="2"/>
            <w:tcBorders>
              <w:top w:val="nil"/>
              <w:left w:val="nil"/>
              <w:bottom w:val="nil"/>
              <w:right w:val="nil"/>
            </w:tcBorders>
            <w:shd w:val="clear" w:color="auto" w:fill="auto"/>
            <w:noWrap/>
            <w:vAlign w:val="bottom"/>
            <w:hideMark/>
          </w:tcPr>
          <w:p w14:paraId="22993770"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35,000</w:t>
            </w:r>
          </w:p>
        </w:tc>
        <w:tc>
          <w:tcPr>
            <w:tcW w:w="873" w:type="dxa"/>
            <w:gridSpan w:val="2"/>
            <w:tcBorders>
              <w:top w:val="nil"/>
              <w:left w:val="nil"/>
              <w:bottom w:val="nil"/>
              <w:right w:val="nil"/>
            </w:tcBorders>
            <w:shd w:val="clear" w:color="auto" w:fill="auto"/>
            <w:noWrap/>
            <w:vAlign w:val="bottom"/>
            <w:hideMark/>
          </w:tcPr>
          <w:p w14:paraId="6AF084DF"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27,540</w:t>
            </w:r>
          </w:p>
        </w:tc>
      </w:tr>
      <w:tr w:rsidR="00177622" w:rsidRPr="00177622" w14:paraId="7CE82AFE" w14:textId="77777777" w:rsidTr="00731ECF">
        <w:trPr>
          <w:gridAfter w:val="1"/>
          <w:wAfter w:w="9" w:type="dxa"/>
          <w:trHeight w:val="225"/>
          <w:jc w:val="center"/>
        </w:trPr>
        <w:tc>
          <w:tcPr>
            <w:tcW w:w="2891" w:type="dxa"/>
            <w:tcBorders>
              <w:top w:val="nil"/>
              <w:left w:val="nil"/>
              <w:bottom w:val="nil"/>
              <w:right w:val="nil"/>
            </w:tcBorders>
            <w:shd w:val="clear" w:color="auto" w:fill="auto"/>
            <w:noWrap/>
            <w:vAlign w:val="bottom"/>
            <w:hideMark/>
          </w:tcPr>
          <w:p w14:paraId="6347D0EA" w14:textId="77777777" w:rsidR="00177622" w:rsidRPr="00177622" w:rsidRDefault="00177622" w:rsidP="00177622">
            <w:pPr>
              <w:spacing w:after="0"/>
              <w:ind w:leftChars="150" w:left="285"/>
              <w:rPr>
                <w:rFonts w:ascii="Arial" w:hAnsi="Arial" w:cs="Arial"/>
                <w:b/>
                <w:bCs/>
                <w:sz w:val="16"/>
                <w:szCs w:val="16"/>
              </w:rPr>
            </w:pPr>
            <w:r w:rsidRPr="00177622">
              <w:rPr>
                <w:rFonts w:ascii="Arial" w:hAnsi="Arial" w:cs="Arial"/>
                <w:b/>
                <w:bCs/>
                <w:sz w:val="16"/>
                <w:szCs w:val="16"/>
              </w:rPr>
              <w:t>Total cash used</w:t>
            </w:r>
          </w:p>
        </w:tc>
        <w:tc>
          <w:tcPr>
            <w:tcW w:w="981" w:type="dxa"/>
            <w:tcBorders>
              <w:top w:val="nil"/>
              <w:left w:val="nil"/>
              <w:bottom w:val="single" w:sz="4" w:space="0" w:color="auto"/>
              <w:right w:val="nil"/>
            </w:tcBorders>
            <w:shd w:val="clear" w:color="auto" w:fill="auto"/>
            <w:noWrap/>
            <w:vAlign w:val="bottom"/>
            <w:hideMark/>
          </w:tcPr>
          <w:p w14:paraId="55269465"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6,240</w:t>
            </w:r>
          </w:p>
        </w:tc>
        <w:tc>
          <w:tcPr>
            <w:tcW w:w="873" w:type="dxa"/>
            <w:tcBorders>
              <w:top w:val="nil"/>
              <w:left w:val="nil"/>
              <w:bottom w:val="single" w:sz="4" w:space="0" w:color="auto"/>
              <w:right w:val="nil"/>
            </w:tcBorders>
            <w:shd w:val="clear" w:color="000000" w:fill="D9D9D9"/>
            <w:noWrap/>
            <w:vAlign w:val="bottom"/>
            <w:hideMark/>
          </w:tcPr>
          <w:p w14:paraId="4417DC67"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32,242</w:t>
            </w:r>
          </w:p>
        </w:tc>
        <w:tc>
          <w:tcPr>
            <w:tcW w:w="873" w:type="dxa"/>
            <w:tcBorders>
              <w:top w:val="nil"/>
              <w:left w:val="nil"/>
              <w:bottom w:val="single" w:sz="4" w:space="0" w:color="auto"/>
              <w:right w:val="nil"/>
            </w:tcBorders>
            <w:shd w:val="clear" w:color="auto" w:fill="auto"/>
            <w:noWrap/>
            <w:vAlign w:val="bottom"/>
            <w:hideMark/>
          </w:tcPr>
          <w:p w14:paraId="626F42F8"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56,832</w:t>
            </w:r>
          </w:p>
        </w:tc>
        <w:tc>
          <w:tcPr>
            <w:tcW w:w="873" w:type="dxa"/>
            <w:gridSpan w:val="2"/>
            <w:tcBorders>
              <w:top w:val="nil"/>
              <w:left w:val="nil"/>
              <w:bottom w:val="single" w:sz="4" w:space="0" w:color="auto"/>
              <w:right w:val="nil"/>
            </w:tcBorders>
            <w:shd w:val="clear" w:color="auto" w:fill="auto"/>
            <w:noWrap/>
            <w:vAlign w:val="bottom"/>
            <w:hideMark/>
          </w:tcPr>
          <w:p w14:paraId="6168FEFB"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35,000</w:t>
            </w:r>
          </w:p>
        </w:tc>
        <w:tc>
          <w:tcPr>
            <w:tcW w:w="873" w:type="dxa"/>
            <w:gridSpan w:val="2"/>
            <w:tcBorders>
              <w:top w:val="nil"/>
              <w:left w:val="nil"/>
              <w:bottom w:val="single" w:sz="4" w:space="0" w:color="auto"/>
              <w:right w:val="nil"/>
            </w:tcBorders>
            <w:shd w:val="clear" w:color="auto" w:fill="auto"/>
            <w:noWrap/>
            <w:vAlign w:val="bottom"/>
            <w:hideMark/>
          </w:tcPr>
          <w:p w14:paraId="140AC9B0"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27,540</w:t>
            </w:r>
          </w:p>
        </w:tc>
      </w:tr>
      <w:tr w:rsidR="00177622" w:rsidRPr="00177622" w14:paraId="3622A616" w14:textId="77777777" w:rsidTr="00731ECF">
        <w:trPr>
          <w:gridAfter w:val="1"/>
          <w:wAfter w:w="9" w:type="dxa"/>
          <w:trHeight w:val="408"/>
          <w:jc w:val="center"/>
        </w:trPr>
        <w:tc>
          <w:tcPr>
            <w:tcW w:w="2891" w:type="dxa"/>
            <w:tcBorders>
              <w:top w:val="nil"/>
              <w:left w:val="nil"/>
              <w:right w:val="nil"/>
            </w:tcBorders>
            <w:shd w:val="clear" w:color="auto" w:fill="auto"/>
            <w:vAlign w:val="bottom"/>
            <w:hideMark/>
          </w:tcPr>
          <w:p w14:paraId="71C64C1B" w14:textId="77777777" w:rsidR="00177622" w:rsidRPr="00177622" w:rsidRDefault="00177622" w:rsidP="00177622">
            <w:pPr>
              <w:spacing w:after="0"/>
              <w:ind w:leftChars="75" w:left="143"/>
              <w:rPr>
                <w:rFonts w:ascii="Arial" w:hAnsi="Arial" w:cs="Arial"/>
                <w:b/>
                <w:bCs/>
                <w:sz w:val="16"/>
                <w:szCs w:val="16"/>
              </w:rPr>
            </w:pPr>
            <w:r w:rsidRPr="00177622">
              <w:rPr>
                <w:rFonts w:ascii="Arial" w:hAnsi="Arial" w:cs="Arial"/>
                <w:b/>
                <w:bCs/>
                <w:sz w:val="16"/>
                <w:szCs w:val="16"/>
              </w:rPr>
              <w:t>Net cash from (or used by)  investing activities</w:t>
            </w:r>
          </w:p>
        </w:tc>
        <w:tc>
          <w:tcPr>
            <w:tcW w:w="981" w:type="dxa"/>
            <w:tcBorders>
              <w:top w:val="nil"/>
              <w:left w:val="nil"/>
              <w:bottom w:val="single" w:sz="4" w:space="0" w:color="auto"/>
              <w:right w:val="nil"/>
            </w:tcBorders>
            <w:shd w:val="clear" w:color="auto" w:fill="auto"/>
            <w:noWrap/>
            <w:vAlign w:val="bottom"/>
            <w:hideMark/>
          </w:tcPr>
          <w:p w14:paraId="5F628F22"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(6,111)</w:t>
            </w:r>
          </w:p>
        </w:tc>
        <w:tc>
          <w:tcPr>
            <w:tcW w:w="873" w:type="dxa"/>
            <w:tcBorders>
              <w:top w:val="nil"/>
              <w:left w:val="nil"/>
              <w:bottom w:val="single" w:sz="4" w:space="0" w:color="auto"/>
              <w:right w:val="nil"/>
            </w:tcBorders>
            <w:shd w:val="clear" w:color="000000" w:fill="D9D9D9"/>
            <w:noWrap/>
            <w:vAlign w:val="bottom"/>
            <w:hideMark/>
          </w:tcPr>
          <w:p w14:paraId="6319F7C5"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(32,242)</w:t>
            </w:r>
          </w:p>
        </w:tc>
        <w:tc>
          <w:tcPr>
            <w:tcW w:w="873" w:type="dxa"/>
            <w:tcBorders>
              <w:top w:val="nil"/>
              <w:left w:val="nil"/>
              <w:bottom w:val="single" w:sz="4" w:space="0" w:color="auto"/>
              <w:right w:val="nil"/>
            </w:tcBorders>
            <w:shd w:val="clear" w:color="auto" w:fill="auto"/>
            <w:noWrap/>
            <w:vAlign w:val="bottom"/>
            <w:hideMark/>
          </w:tcPr>
          <w:p w14:paraId="76433A66"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(56,832)</w:t>
            </w:r>
          </w:p>
        </w:tc>
        <w:tc>
          <w:tcPr>
            <w:tcW w:w="873" w:type="dxa"/>
            <w:gridSpan w:val="2"/>
            <w:tcBorders>
              <w:top w:val="nil"/>
              <w:left w:val="nil"/>
              <w:bottom w:val="single" w:sz="4" w:space="0" w:color="auto"/>
              <w:right w:val="nil"/>
            </w:tcBorders>
            <w:shd w:val="clear" w:color="auto" w:fill="auto"/>
            <w:noWrap/>
            <w:vAlign w:val="bottom"/>
            <w:hideMark/>
          </w:tcPr>
          <w:p w14:paraId="0C24423C"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(35,000)</w:t>
            </w:r>
          </w:p>
        </w:tc>
        <w:tc>
          <w:tcPr>
            <w:tcW w:w="873" w:type="dxa"/>
            <w:gridSpan w:val="2"/>
            <w:tcBorders>
              <w:top w:val="nil"/>
              <w:left w:val="nil"/>
              <w:bottom w:val="single" w:sz="4" w:space="0" w:color="auto"/>
              <w:right w:val="nil"/>
            </w:tcBorders>
            <w:shd w:val="clear" w:color="auto" w:fill="auto"/>
            <w:noWrap/>
            <w:vAlign w:val="bottom"/>
            <w:hideMark/>
          </w:tcPr>
          <w:p w14:paraId="660DAFEB"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(27,540)</w:t>
            </w:r>
          </w:p>
        </w:tc>
      </w:tr>
      <w:tr w:rsidR="00177622" w:rsidRPr="00177622" w14:paraId="10FC32EB" w14:textId="77777777" w:rsidTr="00731ECF">
        <w:trPr>
          <w:trHeight w:val="227"/>
          <w:jc w:val="center"/>
        </w:trPr>
        <w:tc>
          <w:tcPr>
            <w:tcW w:w="2891" w:type="dxa"/>
            <w:tcBorders>
              <w:left w:val="nil"/>
              <w:bottom w:val="nil"/>
              <w:right w:val="nil"/>
            </w:tcBorders>
            <w:shd w:val="clear" w:color="auto" w:fill="auto"/>
            <w:noWrap/>
            <w:vAlign w:val="bottom"/>
            <w:hideMark/>
          </w:tcPr>
          <w:p w14:paraId="6A4A5A0E" w14:textId="31C7F71E" w:rsidR="00177622" w:rsidRPr="00177622" w:rsidRDefault="00177622" w:rsidP="00177622">
            <w:pPr>
              <w:spacing w:after="0"/>
              <w:rPr>
                <w:rFonts w:ascii="Arial" w:hAnsi="Arial" w:cs="Arial"/>
                <w:b/>
                <w:bCs/>
                <w:sz w:val="16"/>
                <w:szCs w:val="16"/>
              </w:rPr>
            </w:pPr>
            <w:r w:rsidRPr="00177622">
              <w:rPr>
                <w:rFonts w:ascii="Arial" w:hAnsi="Arial" w:cs="Arial"/>
                <w:b/>
                <w:bCs/>
                <w:sz w:val="16"/>
                <w:szCs w:val="16"/>
              </w:rPr>
              <w:t>FINANCING ACTIVITIES</w:t>
            </w:r>
          </w:p>
        </w:tc>
        <w:tc>
          <w:tcPr>
            <w:tcW w:w="981" w:type="dxa"/>
            <w:tcBorders>
              <w:top w:val="single" w:sz="4" w:space="0" w:color="auto"/>
              <w:left w:val="nil"/>
              <w:bottom w:val="nil"/>
              <w:right w:val="nil"/>
            </w:tcBorders>
            <w:shd w:val="clear" w:color="auto" w:fill="auto"/>
            <w:noWrap/>
            <w:vAlign w:val="bottom"/>
            <w:hideMark/>
          </w:tcPr>
          <w:p w14:paraId="416DB08A" w14:textId="77777777" w:rsidR="00177622" w:rsidRPr="00177622" w:rsidRDefault="00177622" w:rsidP="00177622">
            <w:pPr>
              <w:spacing w:after="0"/>
              <w:rPr>
                <w:rFonts w:ascii="Arial" w:hAnsi="Arial" w:cs="Arial"/>
                <w:b/>
                <w:bCs/>
                <w:sz w:val="16"/>
                <w:szCs w:val="16"/>
              </w:rPr>
            </w:pPr>
          </w:p>
        </w:tc>
        <w:tc>
          <w:tcPr>
            <w:tcW w:w="873" w:type="dxa"/>
            <w:tcBorders>
              <w:top w:val="single" w:sz="4" w:space="0" w:color="auto"/>
              <w:left w:val="nil"/>
              <w:bottom w:val="nil"/>
              <w:right w:val="nil"/>
            </w:tcBorders>
            <w:shd w:val="clear" w:color="000000" w:fill="D9D9D9"/>
            <w:noWrap/>
            <w:vAlign w:val="bottom"/>
            <w:hideMark/>
          </w:tcPr>
          <w:p w14:paraId="281A75BA"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 </w:t>
            </w:r>
          </w:p>
        </w:tc>
        <w:tc>
          <w:tcPr>
            <w:tcW w:w="882" w:type="dxa"/>
            <w:gridSpan w:val="2"/>
            <w:tcBorders>
              <w:top w:val="single" w:sz="4" w:space="0" w:color="auto"/>
              <w:left w:val="nil"/>
              <w:bottom w:val="nil"/>
              <w:right w:val="nil"/>
            </w:tcBorders>
            <w:shd w:val="clear" w:color="auto" w:fill="auto"/>
            <w:noWrap/>
            <w:vAlign w:val="bottom"/>
            <w:hideMark/>
          </w:tcPr>
          <w:p w14:paraId="1A232103" w14:textId="77777777" w:rsidR="00177622" w:rsidRPr="00177622" w:rsidRDefault="00177622" w:rsidP="00177622">
            <w:pPr>
              <w:spacing w:after="0"/>
              <w:jc w:val="right"/>
              <w:rPr>
                <w:rFonts w:ascii="Arial" w:hAnsi="Arial" w:cs="Arial"/>
                <w:sz w:val="16"/>
                <w:szCs w:val="16"/>
              </w:rPr>
            </w:pPr>
          </w:p>
        </w:tc>
        <w:tc>
          <w:tcPr>
            <w:tcW w:w="873" w:type="dxa"/>
            <w:gridSpan w:val="2"/>
            <w:tcBorders>
              <w:top w:val="single" w:sz="4" w:space="0" w:color="auto"/>
              <w:left w:val="nil"/>
              <w:bottom w:val="nil"/>
              <w:right w:val="nil"/>
            </w:tcBorders>
            <w:shd w:val="clear" w:color="auto" w:fill="auto"/>
            <w:noWrap/>
            <w:vAlign w:val="bottom"/>
            <w:hideMark/>
          </w:tcPr>
          <w:p w14:paraId="50B62BA8" w14:textId="77777777" w:rsidR="00177622" w:rsidRPr="00177622" w:rsidRDefault="00177622" w:rsidP="00177622">
            <w:pPr>
              <w:spacing w:after="0"/>
              <w:jc w:val="right"/>
              <w:rPr>
                <w:rFonts w:ascii="Times New Roman" w:hAnsi="Times New Roman"/>
                <w:color w:val="auto"/>
                <w:sz w:val="20"/>
              </w:rPr>
            </w:pPr>
          </w:p>
        </w:tc>
        <w:tc>
          <w:tcPr>
            <w:tcW w:w="873" w:type="dxa"/>
            <w:gridSpan w:val="2"/>
            <w:tcBorders>
              <w:top w:val="single" w:sz="4" w:space="0" w:color="auto"/>
              <w:left w:val="nil"/>
              <w:bottom w:val="nil"/>
              <w:right w:val="nil"/>
            </w:tcBorders>
            <w:shd w:val="clear" w:color="auto" w:fill="auto"/>
            <w:noWrap/>
            <w:vAlign w:val="bottom"/>
            <w:hideMark/>
          </w:tcPr>
          <w:p w14:paraId="77B5B561" w14:textId="77777777" w:rsidR="00177622" w:rsidRPr="00177622" w:rsidRDefault="00177622" w:rsidP="00177622">
            <w:pPr>
              <w:spacing w:after="0"/>
              <w:jc w:val="right"/>
              <w:rPr>
                <w:rFonts w:ascii="Times New Roman" w:hAnsi="Times New Roman"/>
                <w:color w:val="auto"/>
                <w:sz w:val="20"/>
              </w:rPr>
            </w:pPr>
          </w:p>
        </w:tc>
      </w:tr>
      <w:tr w:rsidR="00177622" w:rsidRPr="00177622" w14:paraId="584229A4" w14:textId="77777777" w:rsidTr="00731ECF">
        <w:trPr>
          <w:trHeight w:val="225"/>
          <w:jc w:val="center"/>
        </w:trPr>
        <w:tc>
          <w:tcPr>
            <w:tcW w:w="2891" w:type="dxa"/>
            <w:tcBorders>
              <w:top w:val="nil"/>
              <w:left w:val="nil"/>
              <w:bottom w:val="nil"/>
              <w:right w:val="nil"/>
            </w:tcBorders>
            <w:shd w:val="clear" w:color="auto" w:fill="auto"/>
            <w:noWrap/>
            <w:vAlign w:val="bottom"/>
            <w:hideMark/>
          </w:tcPr>
          <w:p w14:paraId="363A0B68" w14:textId="77777777" w:rsidR="00177622" w:rsidRPr="00177622" w:rsidRDefault="00177622" w:rsidP="00177622">
            <w:pPr>
              <w:spacing w:after="0"/>
              <w:ind w:leftChars="75" w:left="143"/>
              <w:rPr>
                <w:rFonts w:ascii="Arial" w:hAnsi="Arial" w:cs="Arial"/>
                <w:b/>
                <w:bCs/>
                <w:sz w:val="16"/>
                <w:szCs w:val="16"/>
              </w:rPr>
            </w:pPr>
            <w:r w:rsidRPr="00177622">
              <w:rPr>
                <w:rFonts w:ascii="Arial" w:hAnsi="Arial" w:cs="Arial"/>
                <w:b/>
                <w:bCs/>
                <w:sz w:val="16"/>
                <w:szCs w:val="16"/>
              </w:rPr>
              <w:t>Cash received</w:t>
            </w:r>
          </w:p>
        </w:tc>
        <w:tc>
          <w:tcPr>
            <w:tcW w:w="981" w:type="dxa"/>
            <w:tcBorders>
              <w:top w:val="nil"/>
              <w:left w:val="nil"/>
              <w:bottom w:val="nil"/>
              <w:right w:val="nil"/>
            </w:tcBorders>
            <w:shd w:val="clear" w:color="auto" w:fill="auto"/>
            <w:noWrap/>
            <w:vAlign w:val="bottom"/>
            <w:hideMark/>
          </w:tcPr>
          <w:p w14:paraId="6BD46ACC" w14:textId="77777777" w:rsidR="00177622" w:rsidRPr="00177622" w:rsidRDefault="00177622" w:rsidP="00177622">
            <w:pPr>
              <w:spacing w:after="0"/>
              <w:ind w:firstLineChars="100" w:firstLine="16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4F120207"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 </w:t>
            </w:r>
          </w:p>
        </w:tc>
        <w:tc>
          <w:tcPr>
            <w:tcW w:w="882" w:type="dxa"/>
            <w:gridSpan w:val="2"/>
            <w:tcBorders>
              <w:top w:val="nil"/>
              <w:left w:val="nil"/>
              <w:bottom w:val="nil"/>
              <w:right w:val="nil"/>
            </w:tcBorders>
            <w:shd w:val="clear" w:color="auto" w:fill="auto"/>
            <w:noWrap/>
            <w:vAlign w:val="bottom"/>
            <w:hideMark/>
          </w:tcPr>
          <w:p w14:paraId="00E4B25E" w14:textId="77777777" w:rsidR="00177622" w:rsidRPr="00177622" w:rsidRDefault="00177622" w:rsidP="00177622">
            <w:pPr>
              <w:spacing w:after="0"/>
              <w:jc w:val="right"/>
              <w:rPr>
                <w:rFonts w:ascii="Arial" w:hAnsi="Arial" w:cs="Arial"/>
                <w:sz w:val="16"/>
                <w:szCs w:val="16"/>
              </w:rPr>
            </w:pPr>
          </w:p>
        </w:tc>
        <w:tc>
          <w:tcPr>
            <w:tcW w:w="873" w:type="dxa"/>
            <w:gridSpan w:val="2"/>
            <w:tcBorders>
              <w:top w:val="nil"/>
              <w:left w:val="nil"/>
              <w:bottom w:val="nil"/>
              <w:right w:val="nil"/>
            </w:tcBorders>
            <w:shd w:val="clear" w:color="auto" w:fill="auto"/>
            <w:noWrap/>
            <w:vAlign w:val="bottom"/>
            <w:hideMark/>
          </w:tcPr>
          <w:p w14:paraId="609B823C" w14:textId="77777777" w:rsidR="00177622" w:rsidRPr="00177622" w:rsidRDefault="00177622" w:rsidP="00177622">
            <w:pPr>
              <w:spacing w:after="0"/>
              <w:jc w:val="right"/>
              <w:rPr>
                <w:rFonts w:ascii="Times New Roman" w:hAnsi="Times New Roman"/>
                <w:color w:val="auto"/>
                <w:sz w:val="20"/>
              </w:rPr>
            </w:pPr>
          </w:p>
        </w:tc>
        <w:tc>
          <w:tcPr>
            <w:tcW w:w="873" w:type="dxa"/>
            <w:gridSpan w:val="2"/>
            <w:tcBorders>
              <w:top w:val="nil"/>
              <w:left w:val="nil"/>
              <w:bottom w:val="nil"/>
              <w:right w:val="nil"/>
            </w:tcBorders>
            <w:shd w:val="clear" w:color="auto" w:fill="auto"/>
            <w:noWrap/>
            <w:vAlign w:val="bottom"/>
            <w:hideMark/>
          </w:tcPr>
          <w:p w14:paraId="48E01994" w14:textId="77777777" w:rsidR="00177622" w:rsidRPr="00177622" w:rsidRDefault="00177622" w:rsidP="00177622">
            <w:pPr>
              <w:spacing w:after="0"/>
              <w:jc w:val="right"/>
              <w:rPr>
                <w:rFonts w:ascii="Times New Roman" w:hAnsi="Times New Roman"/>
                <w:color w:val="auto"/>
                <w:sz w:val="20"/>
              </w:rPr>
            </w:pPr>
          </w:p>
        </w:tc>
      </w:tr>
      <w:tr w:rsidR="00177622" w:rsidRPr="00177622" w14:paraId="29F8BB1C" w14:textId="77777777" w:rsidTr="00731ECF">
        <w:trPr>
          <w:trHeight w:val="225"/>
          <w:jc w:val="center"/>
        </w:trPr>
        <w:tc>
          <w:tcPr>
            <w:tcW w:w="2891" w:type="dxa"/>
            <w:tcBorders>
              <w:top w:val="nil"/>
              <w:left w:val="nil"/>
              <w:bottom w:val="nil"/>
              <w:right w:val="nil"/>
            </w:tcBorders>
            <w:shd w:val="clear" w:color="auto" w:fill="auto"/>
            <w:noWrap/>
            <w:vAlign w:val="bottom"/>
            <w:hideMark/>
          </w:tcPr>
          <w:p w14:paraId="7D446179" w14:textId="77777777" w:rsidR="00177622" w:rsidRPr="00177622" w:rsidRDefault="00177622" w:rsidP="00177622">
            <w:pPr>
              <w:spacing w:after="0"/>
              <w:ind w:firstLineChars="200" w:firstLine="320"/>
              <w:rPr>
                <w:rFonts w:ascii="Arial" w:hAnsi="Arial" w:cs="Arial"/>
                <w:sz w:val="16"/>
                <w:szCs w:val="16"/>
              </w:rPr>
            </w:pPr>
            <w:r w:rsidRPr="00177622">
              <w:rPr>
                <w:rFonts w:ascii="Arial" w:hAnsi="Arial" w:cs="Arial"/>
                <w:sz w:val="16"/>
                <w:szCs w:val="16"/>
              </w:rPr>
              <w:t>Contributed equity</w:t>
            </w:r>
          </w:p>
        </w:tc>
        <w:tc>
          <w:tcPr>
            <w:tcW w:w="981" w:type="dxa"/>
            <w:tcBorders>
              <w:top w:val="nil"/>
              <w:left w:val="nil"/>
              <w:bottom w:val="nil"/>
              <w:right w:val="nil"/>
            </w:tcBorders>
            <w:shd w:val="clear" w:color="auto" w:fill="auto"/>
            <w:noWrap/>
            <w:vAlign w:val="bottom"/>
            <w:hideMark/>
          </w:tcPr>
          <w:p w14:paraId="435C6A8C"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w:t>
            </w:r>
          </w:p>
        </w:tc>
        <w:tc>
          <w:tcPr>
            <w:tcW w:w="873" w:type="dxa"/>
            <w:tcBorders>
              <w:top w:val="nil"/>
              <w:left w:val="nil"/>
              <w:bottom w:val="nil"/>
              <w:right w:val="nil"/>
            </w:tcBorders>
            <w:shd w:val="clear" w:color="000000" w:fill="D9D9D9"/>
            <w:noWrap/>
            <w:vAlign w:val="bottom"/>
            <w:hideMark/>
          </w:tcPr>
          <w:p w14:paraId="4B7065FC"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10,334</w:t>
            </w:r>
          </w:p>
        </w:tc>
        <w:tc>
          <w:tcPr>
            <w:tcW w:w="882" w:type="dxa"/>
            <w:gridSpan w:val="2"/>
            <w:tcBorders>
              <w:top w:val="nil"/>
              <w:left w:val="nil"/>
              <w:bottom w:val="nil"/>
              <w:right w:val="nil"/>
            </w:tcBorders>
            <w:shd w:val="clear" w:color="auto" w:fill="auto"/>
            <w:noWrap/>
            <w:vAlign w:val="bottom"/>
            <w:hideMark/>
          </w:tcPr>
          <w:p w14:paraId="32054851"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w:t>
            </w:r>
          </w:p>
        </w:tc>
        <w:tc>
          <w:tcPr>
            <w:tcW w:w="873" w:type="dxa"/>
            <w:gridSpan w:val="2"/>
            <w:tcBorders>
              <w:top w:val="nil"/>
              <w:left w:val="nil"/>
              <w:bottom w:val="nil"/>
              <w:right w:val="nil"/>
            </w:tcBorders>
            <w:shd w:val="clear" w:color="auto" w:fill="auto"/>
            <w:noWrap/>
            <w:vAlign w:val="bottom"/>
            <w:hideMark/>
          </w:tcPr>
          <w:p w14:paraId="0FB4281E"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w:t>
            </w:r>
          </w:p>
        </w:tc>
        <w:tc>
          <w:tcPr>
            <w:tcW w:w="873" w:type="dxa"/>
            <w:gridSpan w:val="2"/>
            <w:tcBorders>
              <w:top w:val="nil"/>
              <w:left w:val="nil"/>
              <w:bottom w:val="nil"/>
              <w:right w:val="nil"/>
            </w:tcBorders>
            <w:shd w:val="clear" w:color="auto" w:fill="auto"/>
            <w:noWrap/>
            <w:vAlign w:val="bottom"/>
            <w:hideMark/>
          </w:tcPr>
          <w:p w14:paraId="0D73AE77"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w:t>
            </w:r>
          </w:p>
        </w:tc>
      </w:tr>
      <w:tr w:rsidR="00177622" w:rsidRPr="00177622" w14:paraId="52C140F2" w14:textId="77777777" w:rsidTr="00731ECF">
        <w:trPr>
          <w:trHeight w:val="225"/>
          <w:jc w:val="center"/>
        </w:trPr>
        <w:tc>
          <w:tcPr>
            <w:tcW w:w="2891" w:type="dxa"/>
            <w:tcBorders>
              <w:top w:val="nil"/>
              <w:left w:val="nil"/>
              <w:bottom w:val="nil"/>
              <w:right w:val="nil"/>
            </w:tcBorders>
            <w:shd w:val="clear" w:color="auto" w:fill="auto"/>
            <w:noWrap/>
            <w:vAlign w:val="bottom"/>
            <w:hideMark/>
          </w:tcPr>
          <w:p w14:paraId="462EFDA2" w14:textId="77777777" w:rsidR="00177622" w:rsidRPr="00177622" w:rsidRDefault="00177622" w:rsidP="00177622">
            <w:pPr>
              <w:spacing w:after="0"/>
              <w:ind w:firstLineChars="200" w:firstLine="320"/>
              <w:rPr>
                <w:rFonts w:ascii="Arial" w:hAnsi="Arial" w:cs="Arial"/>
                <w:b/>
                <w:bCs/>
                <w:sz w:val="16"/>
                <w:szCs w:val="16"/>
              </w:rPr>
            </w:pPr>
            <w:r w:rsidRPr="00177622">
              <w:rPr>
                <w:rFonts w:ascii="Arial" w:hAnsi="Arial" w:cs="Arial"/>
                <w:b/>
                <w:bCs/>
                <w:sz w:val="16"/>
                <w:szCs w:val="16"/>
              </w:rPr>
              <w:t>Total cash received</w:t>
            </w:r>
          </w:p>
        </w:tc>
        <w:tc>
          <w:tcPr>
            <w:tcW w:w="981" w:type="dxa"/>
            <w:tcBorders>
              <w:top w:val="nil"/>
              <w:left w:val="nil"/>
              <w:bottom w:val="single" w:sz="4" w:space="0" w:color="auto"/>
              <w:right w:val="nil"/>
            </w:tcBorders>
            <w:shd w:val="clear" w:color="auto" w:fill="auto"/>
            <w:noWrap/>
            <w:vAlign w:val="bottom"/>
            <w:hideMark/>
          </w:tcPr>
          <w:p w14:paraId="13C50F3D"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c>
          <w:tcPr>
            <w:tcW w:w="873" w:type="dxa"/>
            <w:tcBorders>
              <w:top w:val="nil"/>
              <w:left w:val="nil"/>
              <w:bottom w:val="single" w:sz="4" w:space="0" w:color="auto"/>
              <w:right w:val="nil"/>
            </w:tcBorders>
            <w:shd w:val="clear" w:color="000000" w:fill="D9D9D9"/>
            <w:noWrap/>
            <w:vAlign w:val="bottom"/>
            <w:hideMark/>
          </w:tcPr>
          <w:p w14:paraId="09E65368"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10,334</w:t>
            </w:r>
          </w:p>
        </w:tc>
        <w:tc>
          <w:tcPr>
            <w:tcW w:w="882" w:type="dxa"/>
            <w:gridSpan w:val="2"/>
            <w:tcBorders>
              <w:top w:val="nil"/>
              <w:left w:val="nil"/>
              <w:bottom w:val="single" w:sz="4" w:space="0" w:color="auto"/>
              <w:right w:val="nil"/>
            </w:tcBorders>
            <w:shd w:val="clear" w:color="auto" w:fill="auto"/>
            <w:noWrap/>
            <w:vAlign w:val="bottom"/>
            <w:hideMark/>
          </w:tcPr>
          <w:p w14:paraId="641A71C1"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c>
          <w:tcPr>
            <w:tcW w:w="873" w:type="dxa"/>
            <w:gridSpan w:val="2"/>
            <w:tcBorders>
              <w:top w:val="nil"/>
              <w:left w:val="nil"/>
              <w:bottom w:val="single" w:sz="4" w:space="0" w:color="auto"/>
              <w:right w:val="nil"/>
            </w:tcBorders>
            <w:shd w:val="clear" w:color="auto" w:fill="auto"/>
            <w:noWrap/>
            <w:vAlign w:val="bottom"/>
            <w:hideMark/>
          </w:tcPr>
          <w:p w14:paraId="658AE30F"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c>
          <w:tcPr>
            <w:tcW w:w="873" w:type="dxa"/>
            <w:gridSpan w:val="2"/>
            <w:tcBorders>
              <w:top w:val="nil"/>
              <w:left w:val="nil"/>
              <w:bottom w:val="single" w:sz="4" w:space="0" w:color="auto"/>
              <w:right w:val="nil"/>
            </w:tcBorders>
            <w:shd w:val="clear" w:color="auto" w:fill="auto"/>
            <w:noWrap/>
            <w:vAlign w:val="bottom"/>
            <w:hideMark/>
          </w:tcPr>
          <w:p w14:paraId="1C35B083"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r>
      <w:tr w:rsidR="00177622" w:rsidRPr="00177622" w14:paraId="693CF007" w14:textId="77777777" w:rsidTr="00731ECF">
        <w:trPr>
          <w:trHeight w:val="283"/>
          <w:jc w:val="center"/>
        </w:trPr>
        <w:tc>
          <w:tcPr>
            <w:tcW w:w="2891" w:type="dxa"/>
            <w:tcBorders>
              <w:top w:val="nil"/>
              <w:left w:val="nil"/>
              <w:bottom w:val="nil"/>
              <w:right w:val="nil"/>
            </w:tcBorders>
            <w:shd w:val="clear" w:color="auto" w:fill="auto"/>
            <w:noWrap/>
            <w:vAlign w:val="bottom"/>
            <w:hideMark/>
          </w:tcPr>
          <w:p w14:paraId="5AE555F6" w14:textId="77777777" w:rsidR="00177622" w:rsidRPr="00177622" w:rsidRDefault="00177622" w:rsidP="00177622">
            <w:pPr>
              <w:spacing w:after="0"/>
              <w:ind w:leftChars="75" w:left="143"/>
              <w:rPr>
                <w:rFonts w:ascii="Arial" w:hAnsi="Arial" w:cs="Arial"/>
                <w:b/>
                <w:bCs/>
                <w:sz w:val="16"/>
                <w:szCs w:val="16"/>
              </w:rPr>
            </w:pPr>
            <w:r w:rsidRPr="00177622">
              <w:rPr>
                <w:rFonts w:ascii="Arial" w:hAnsi="Arial" w:cs="Arial"/>
                <w:b/>
                <w:bCs/>
                <w:sz w:val="16"/>
                <w:szCs w:val="16"/>
              </w:rPr>
              <w:t>Cash used</w:t>
            </w:r>
          </w:p>
        </w:tc>
        <w:tc>
          <w:tcPr>
            <w:tcW w:w="981" w:type="dxa"/>
            <w:tcBorders>
              <w:top w:val="nil"/>
              <w:left w:val="nil"/>
              <w:bottom w:val="nil"/>
              <w:right w:val="nil"/>
            </w:tcBorders>
            <w:shd w:val="clear" w:color="auto" w:fill="auto"/>
            <w:noWrap/>
            <w:vAlign w:val="bottom"/>
            <w:hideMark/>
          </w:tcPr>
          <w:p w14:paraId="2B1F943D" w14:textId="77777777" w:rsidR="00177622" w:rsidRPr="00177622" w:rsidRDefault="00177622" w:rsidP="00177622">
            <w:pPr>
              <w:spacing w:after="0"/>
              <w:ind w:firstLineChars="100" w:firstLine="16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7586A1C7"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 </w:t>
            </w:r>
          </w:p>
        </w:tc>
        <w:tc>
          <w:tcPr>
            <w:tcW w:w="882" w:type="dxa"/>
            <w:gridSpan w:val="2"/>
            <w:tcBorders>
              <w:top w:val="nil"/>
              <w:left w:val="nil"/>
              <w:bottom w:val="nil"/>
              <w:right w:val="nil"/>
            </w:tcBorders>
            <w:shd w:val="clear" w:color="auto" w:fill="auto"/>
            <w:noWrap/>
            <w:vAlign w:val="bottom"/>
            <w:hideMark/>
          </w:tcPr>
          <w:p w14:paraId="48F94348" w14:textId="77777777" w:rsidR="00177622" w:rsidRPr="00177622" w:rsidRDefault="00177622" w:rsidP="00177622">
            <w:pPr>
              <w:spacing w:after="0"/>
              <w:jc w:val="right"/>
              <w:rPr>
                <w:rFonts w:ascii="Arial" w:hAnsi="Arial" w:cs="Arial"/>
                <w:color w:val="auto"/>
                <w:sz w:val="16"/>
                <w:szCs w:val="16"/>
              </w:rPr>
            </w:pPr>
          </w:p>
        </w:tc>
        <w:tc>
          <w:tcPr>
            <w:tcW w:w="873" w:type="dxa"/>
            <w:gridSpan w:val="2"/>
            <w:tcBorders>
              <w:top w:val="nil"/>
              <w:left w:val="nil"/>
              <w:bottom w:val="nil"/>
              <w:right w:val="nil"/>
            </w:tcBorders>
            <w:shd w:val="clear" w:color="auto" w:fill="auto"/>
            <w:noWrap/>
            <w:vAlign w:val="bottom"/>
            <w:hideMark/>
          </w:tcPr>
          <w:p w14:paraId="1D9701E4" w14:textId="77777777" w:rsidR="00177622" w:rsidRPr="00177622" w:rsidRDefault="00177622" w:rsidP="00177622">
            <w:pPr>
              <w:spacing w:after="0"/>
              <w:jc w:val="right"/>
              <w:rPr>
                <w:rFonts w:ascii="Times New Roman" w:hAnsi="Times New Roman"/>
                <w:color w:val="auto"/>
                <w:sz w:val="20"/>
              </w:rPr>
            </w:pPr>
          </w:p>
        </w:tc>
        <w:tc>
          <w:tcPr>
            <w:tcW w:w="873" w:type="dxa"/>
            <w:gridSpan w:val="2"/>
            <w:tcBorders>
              <w:top w:val="nil"/>
              <w:left w:val="nil"/>
              <w:bottom w:val="nil"/>
              <w:right w:val="nil"/>
            </w:tcBorders>
            <w:shd w:val="clear" w:color="auto" w:fill="auto"/>
            <w:noWrap/>
            <w:vAlign w:val="bottom"/>
            <w:hideMark/>
          </w:tcPr>
          <w:p w14:paraId="45304E69" w14:textId="77777777" w:rsidR="00177622" w:rsidRPr="00177622" w:rsidRDefault="00177622" w:rsidP="00177622">
            <w:pPr>
              <w:spacing w:after="0"/>
              <w:jc w:val="right"/>
              <w:rPr>
                <w:rFonts w:ascii="Times New Roman" w:hAnsi="Times New Roman"/>
                <w:color w:val="auto"/>
                <w:sz w:val="20"/>
              </w:rPr>
            </w:pPr>
          </w:p>
        </w:tc>
      </w:tr>
      <w:tr w:rsidR="00177622" w:rsidRPr="00177622" w14:paraId="665730D0" w14:textId="77777777" w:rsidTr="00731ECF">
        <w:trPr>
          <w:trHeight w:val="225"/>
          <w:jc w:val="center"/>
        </w:trPr>
        <w:tc>
          <w:tcPr>
            <w:tcW w:w="2891" w:type="dxa"/>
            <w:tcBorders>
              <w:top w:val="nil"/>
              <w:left w:val="nil"/>
              <w:bottom w:val="nil"/>
              <w:right w:val="nil"/>
            </w:tcBorders>
            <w:shd w:val="clear" w:color="auto" w:fill="auto"/>
            <w:noWrap/>
            <w:vAlign w:val="bottom"/>
            <w:hideMark/>
          </w:tcPr>
          <w:p w14:paraId="61D12D3C" w14:textId="77777777" w:rsidR="00177622" w:rsidRPr="00177622" w:rsidRDefault="00177622" w:rsidP="00177622">
            <w:pPr>
              <w:spacing w:after="0"/>
              <w:ind w:firstLineChars="200" w:firstLine="320"/>
              <w:rPr>
                <w:rFonts w:ascii="Arial" w:hAnsi="Arial" w:cs="Arial"/>
                <w:color w:val="auto"/>
                <w:sz w:val="16"/>
                <w:szCs w:val="16"/>
              </w:rPr>
            </w:pPr>
            <w:r w:rsidRPr="00177622">
              <w:rPr>
                <w:rFonts w:ascii="Arial" w:hAnsi="Arial" w:cs="Arial"/>
                <w:color w:val="auto"/>
                <w:sz w:val="16"/>
                <w:szCs w:val="16"/>
              </w:rPr>
              <w:t>Lease principal repayments</w:t>
            </w:r>
          </w:p>
        </w:tc>
        <w:tc>
          <w:tcPr>
            <w:tcW w:w="981" w:type="dxa"/>
            <w:tcBorders>
              <w:top w:val="nil"/>
              <w:left w:val="nil"/>
              <w:bottom w:val="nil"/>
              <w:right w:val="nil"/>
            </w:tcBorders>
            <w:shd w:val="clear" w:color="auto" w:fill="auto"/>
            <w:noWrap/>
            <w:vAlign w:val="bottom"/>
            <w:hideMark/>
          </w:tcPr>
          <w:p w14:paraId="30C137D5"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329</w:t>
            </w:r>
          </w:p>
        </w:tc>
        <w:tc>
          <w:tcPr>
            <w:tcW w:w="873" w:type="dxa"/>
            <w:tcBorders>
              <w:top w:val="nil"/>
              <w:left w:val="nil"/>
              <w:bottom w:val="nil"/>
              <w:right w:val="nil"/>
            </w:tcBorders>
            <w:shd w:val="clear" w:color="000000" w:fill="D9D9D9"/>
            <w:noWrap/>
            <w:vAlign w:val="bottom"/>
            <w:hideMark/>
          </w:tcPr>
          <w:p w14:paraId="7F87A278"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775</w:t>
            </w:r>
          </w:p>
        </w:tc>
        <w:tc>
          <w:tcPr>
            <w:tcW w:w="882" w:type="dxa"/>
            <w:gridSpan w:val="2"/>
            <w:tcBorders>
              <w:top w:val="nil"/>
              <w:left w:val="nil"/>
              <w:bottom w:val="nil"/>
              <w:right w:val="nil"/>
            </w:tcBorders>
            <w:shd w:val="clear" w:color="auto" w:fill="auto"/>
            <w:noWrap/>
            <w:vAlign w:val="bottom"/>
            <w:hideMark/>
          </w:tcPr>
          <w:p w14:paraId="1170C95C"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781</w:t>
            </w:r>
          </w:p>
        </w:tc>
        <w:tc>
          <w:tcPr>
            <w:tcW w:w="873" w:type="dxa"/>
            <w:gridSpan w:val="2"/>
            <w:tcBorders>
              <w:top w:val="nil"/>
              <w:left w:val="nil"/>
              <w:bottom w:val="nil"/>
              <w:right w:val="nil"/>
            </w:tcBorders>
            <w:shd w:val="clear" w:color="auto" w:fill="auto"/>
            <w:noWrap/>
            <w:vAlign w:val="bottom"/>
            <w:hideMark/>
          </w:tcPr>
          <w:p w14:paraId="2EE99A53"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767</w:t>
            </w:r>
          </w:p>
        </w:tc>
        <w:tc>
          <w:tcPr>
            <w:tcW w:w="873" w:type="dxa"/>
            <w:gridSpan w:val="2"/>
            <w:tcBorders>
              <w:top w:val="nil"/>
              <w:left w:val="nil"/>
              <w:bottom w:val="nil"/>
              <w:right w:val="nil"/>
            </w:tcBorders>
            <w:shd w:val="clear" w:color="auto" w:fill="auto"/>
            <w:noWrap/>
            <w:vAlign w:val="bottom"/>
            <w:hideMark/>
          </w:tcPr>
          <w:p w14:paraId="52D23C11"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640</w:t>
            </w:r>
          </w:p>
        </w:tc>
      </w:tr>
      <w:tr w:rsidR="00177622" w:rsidRPr="00177622" w14:paraId="1C9174B5" w14:textId="77777777" w:rsidTr="00731ECF">
        <w:trPr>
          <w:trHeight w:val="225"/>
          <w:jc w:val="center"/>
        </w:trPr>
        <w:tc>
          <w:tcPr>
            <w:tcW w:w="2891" w:type="dxa"/>
            <w:tcBorders>
              <w:top w:val="nil"/>
              <w:left w:val="nil"/>
              <w:bottom w:val="nil"/>
              <w:right w:val="nil"/>
            </w:tcBorders>
            <w:shd w:val="clear" w:color="auto" w:fill="auto"/>
            <w:noWrap/>
            <w:vAlign w:val="bottom"/>
            <w:hideMark/>
          </w:tcPr>
          <w:p w14:paraId="39F89732" w14:textId="77777777" w:rsidR="00177622" w:rsidRPr="00177622" w:rsidRDefault="00177622" w:rsidP="00177622">
            <w:pPr>
              <w:spacing w:after="0"/>
              <w:ind w:firstLineChars="200" w:firstLine="320"/>
              <w:rPr>
                <w:rFonts w:ascii="Arial" w:hAnsi="Arial" w:cs="Arial"/>
                <w:b/>
                <w:bCs/>
                <w:sz w:val="16"/>
                <w:szCs w:val="16"/>
              </w:rPr>
            </w:pPr>
            <w:r w:rsidRPr="00177622">
              <w:rPr>
                <w:rFonts w:ascii="Arial" w:hAnsi="Arial" w:cs="Arial"/>
                <w:b/>
                <w:bCs/>
                <w:sz w:val="16"/>
                <w:szCs w:val="16"/>
              </w:rPr>
              <w:t>Total cash used</w:t>
            </w:r>
          </w:p>
        </w:tc>
        <w:tc>
          <w:tcPr>
            <w:tcW w:w="981" w:type="dxa"/>
            <w:tcBorders>
              <w:top w:val="nil"/>
              <w:left w:val="nil"/>
              <w:bottom w:val="single" w:sz="4" w:space="0" w:color="auto"/>
              <w:right w:val="nil"/>
            </w:tcBorders>
            <w:shd w:val="clear" w:color="auto" w:fill="auto"/>
            <w:noWrap/>
            <w:vAlign w:val="bottom"/>
            <w:hideMark/>
          </w:tcPr>
          <w:p w14:paraId="10CD27C4" w14:textId="77777777" w:rsidR="00177622" w:rsidRPr="00177622" w:rsidRDefault="00177622" w:rsidP="00177622">
            <w:pPr>
              <w:spacing w:after="0"/>
              <w:jc w:val="right"/>
              <w:rPr>
                <w:rFonts w:ascii="Arial" w:hAnsi="Arial" w:cs="Arial"/>
                <w:b/>
                <w:bCs/>
                <w:color w:val="auto"/>
                <w:sz w:val="16"/>
                <w:szCs w:val="16"/>
              </w:rPr>
            </w:pPr>
            <w:r w:rsidRPr="00177622">
              <w:rPr>
                <w:rFonts w:ascii="Arial" w:hAnsi="Arial" w:cs="Arial"/>
                <w:b/>
                <w:bCs/>
                <w:color w:val="auto"/>
                <w:sz w:val="16"/>
                <w:szCs w:val="16"/>
              </w:rPr>
              <w:t>329</w:t>
            </w:r>
          </w:p>
        </w:tc>
        <w:tc>
          <w:tcPr>
            <w:tcW w:w="873" w:type="dxa"/>
            <w:tcBorders>
              <w:top w:val="nil"/>
              <w:left w:val="nil"/>
              <w:bottom w:val="single" w:sz="4" w:space="0" w:color="auto"/>
              <w:right w:val="nil"/>
            </w:tcBorders>
            <w:shd w:val="clear" w:color="000000" w:fill="D9D9D9"/>
            <w:noWrap/>
            <w:vAlign w:val="bottom"/>
            <w:hideMark/>
          </w:tcPr>
          <w:p w14:paraId="297B5270" w14:textId="77777777" w:rsidR="00177622" w:rsidRPr="00177622" w:rsidRDefault="00177622" w:rsidP="00177622">
            <w:pPr>
              <w:spacing w:after="0"/>
              <w:jc w:val="right"/>
              <w:rPr>
                <w:rFonts w:ascii="Arial" w:hAnsi="Arial" w:cs="Arial"/>
                <w:b/>
                <w:bCs/>
                <w:color w:val="auto"/>
                <w:sz w:val="16"/>
                <w:szCs w:val="16"/>
              </w:rPr>
            </w:pPr>
            <w:r w:rsidRPr="00177622">
              <w:rPr>
                <w:rFonts w:ascii="Arial" w:hAnsi="Arial" w:cs="Arial"/>
                <w:b/>
                <w:bCs/>
                <w:color w:val="auto"/>
                <w:sz w:val="16"/>
                <w:szCs w:val="16"/>
              </w:rPr>
              <w:t>775</w:t>
            </w:r>
          </w:p>
        </w:tc>
        <w:tc>
          <w:tcPr>
            <w:tcW w:w="882" w:type="dxa"/>
            <w:gridSpan w:val="2"/>
            <w:tcBorders>
              <w:top w:val="nil"/>
              <w:left w:val="nil"/>
              <w:bottom w:val="single" w:sz="4" w:space="0" w:color="auto"/>
              <w:right w:val="nil"/>
            </w:tcBorders>
            <w:shd w:val="clear" w:color="auto" w:fill="auto"/>
            <w:noWrap/>
            <w:vAlign w:val="bottom"/>
            <w:hideMark/>
          </w:tcPr>
          <w:p w14:paraId="7B164A0E" w14:textId="77777777" w:rsidR="00177622" w:rsidRPr="00177622" w:rsidRDefault="00177622" w:rsidP="00177622">
            <w:pPr>
              <w:spacing w:after="0"/>
              <w:jc w:val="right"/>
              <w:rPr>
                <w:rFonts w:ascii="Arial" w:hAnsi="Arial" w:cs="Arial"/>
                <w:b/>
                <w:bCs/>
                <w:color w:val="auto"/>
                <w:sz w:val="16"/>
                <w:szCs w:val="16"/>
              </w:rPr>
            </w:pPr>
            <w:r w:rsidRPr="00177622">
              <w:rPr>
                <w:rFonts w:ascii="Arial" w:hAnsi="Arial" w:cs="Arial"/>
                <w:b/>
                <w:bCs/>
                <w:color w:val="auto"/>
                <w:sz w:val="16"/>
                <w:szCs w:val="16"/>
              </w:rPr>
              <w:t>781</w:t>
            </w:r>
          </w:p>
        </w:tc>
        <w:tc>
          <w:tcPr>
            <w:tcW w:w="873" w:type="dxa"/>
            <w:gridSpan w:val="2"/>
            <w:tcBorders>
              <w:top w:val="nil"/>
              <w:left w:val="nil"/>
              <w:bottom w:val="single" w:sz="4" w:space="0" w:color="auto"/>
              <w:right w:val="nil"/>
            </w:tcBorders>
            <w:shd w:val="clear" w:color="auto" w:fill="auto"/>
            <w:noWrap/>
            <w:vAlign w:val="bottom"/>
            <w:hideMark/>
          </w:tcPr>
          <w:p w14:paraId="21240435" w14:textId="77777777" w:rsidR="00177622" w:rsidRPr="00177622" w:rsidRDefault="00177622" w:rsidP="00177622">
            <w:pPr>
              <w:spacing w:after="0"/>
              <w:jc w:val="right"/>
              <w:rPr>
                <w:rFonts w:ascii="Arial" w:hAnsi="Arial" w:cs="Arial"/>
                <w:b/>
                <w:bCs/>
                <w:color w:val="auto"/>
                <w:sz w:val="16"/>
                <w:szCs w:val="16"/>
              </w:rPr>
            </w:pPr>
            <w:r w:rsidRPr="00177622">
              <w:rPr>
                <w:rFonts w:ascii="Arial" w:hAnsi="Arial" w:cs="Arial"/>
                <w:b/>
                <w:bCs/>
                <w:color w:val="auto"/>
                <w:sz w:val="16"/>
                <w:szCs w:val="16"/>
              </w:rPr>
              <w:t>767</w:t>
            </w:r>
          </w:p>
        </w:tc>
        <w:tc>
          <w:tcPr>
            <w:tcW w:w="873" w:type="dxa"/>
            <w:gridSpan w:val="2"/>
            <w:tcBorders>
              <w:top w:val="nil"/>
              <w:left w:val="nil"/>
              <w:bottom w:val="single" w:sz="4" w:space="0" w:color="auto"/>
              <w:right w:val="nil"/>
            </w:tcBorders>
            <w:shd w:val="clear" w:color="auto" w:fill="auto"/>
            <w:noWrap/>
            <w:vAlign w:val="bottom"/>
            <w:hideMark/>
          </w:tcPr>
          <w:p w14:paraId="7DC22850" w14:textId="77777777" w:rsidR="00177622" w:rsidRPr="00177622" w:rsidRDefault="00177622" w:rsidP="00177622">
            <w:pPr>
              <w:spacing w:after="0"/>
              <w:jc w:val="right"/>
              <w:rPr>
                <w:rFonts w:ascii="Arial" w:hAnsi="Arial" w:cs="Arial"/>
                <w:b/>
                <w:bCs/>
                <w:color w:val="auto"/>
                <w:sz w:val="16"/>
                <w:szCs w:val="16"/>
              </w:rPr>
            </w:pPr>
            <w:r w:rsidRPr="00177622">
              <w:rPr>
                <w:rFonts w:ascii="Arial" w:hAnsi="Arial" w:cs="Arial"/>
                <w:b/>
                <w:bCs/>
                <w:color w:val="auto"/>
                <w:sz w:val="16"/>
                <w:szCs w:val="16"/>
              </w:rPr>
              <w:t>640</w:t>
            </w:r>
          </w:p>
        </w:tc>
      </w:tr>
      <w:tr w:rsidR="00177622" w:rsidRPr="00177622" w14:paraId="49A43028" w14:textId="77777777" w:rsidTr="00731ECF">
        <w:trPr>
          <w:trHeight w:val="408"/>
          <w:jc w:val="center"/>
        </w:trPr>
        <w:tc>
          <w:tcPr>
            <w:tcW w:w="2891" w:type="dxa"/>
            <w:tcBorders>
              <w:top w:val="nil"/>
              <w:left w:val="nil"/>
              <w:bottom w:val="nil"/>
              <w:right w:val="nil"/>
            </w:tcBorders>
            <w:shd w:val="clear" w:color="auto" w:fill="auto"/>
            <w:vAlign w:val="bottom"/>
            <w:hideMark/>
          </w:tcPr>
          <w:p w14:paraId="1337101C" w14:textId="77777777" w:rsidR="00177622" w:rsidRPr="00177622" w:rsidRDefault="00177622" w:rsidP="00177622">
            <w:pPr>
              <w:spacing w:after="0"/>
              <w:ind w:leftChars="75" w:left="143"/>
              <w:rPr>
                <w:rFonts w:ascii="Arial" w:hAnsi="Arial" w:cs="Arial"/>
                <w:b/>
                <w:bCs/>
                <w:sz w:val="16"/>
                <w:szCs w:val="16"/>
              </w:rPr>
            </w:pPr>
            <w:r w:rsidRPr="00177622">
              <w:rPr>
                <w:rFonts w:ascii="Arial" w:hAnsi="Arial" w:cs="Arial"/>
                <w:b/>
                <w:bCs/>
                <w:sz w:val="16"/>
                <w:szCs w:val="16"/>
              </w:rPr>
              <w:t>Net cash from (or used by) financing activities</w:t>
            </w:r>
          </w:p>
        </w:tc>
        <w:tc>
          <w:tcPr>
            <w:tcW w:w="981" w:type="dxa"/>
            <w:tcBorders>
              <w:top w:val="nil"/>
              <w:left w:val="nil"/>
              <w:bottom w:val="single" w:sz="4" w:space="0" w:color="auto"/>
              <w:right w:val="nil"/>
            </w:tcBorders>
            <w:shd w:val="clear" w:color="auto" w:fill="auto"/>
            <w:noWrap/>
            <w:vAlign w:val="bottom"/>
            <w:hideMark/>
          </w:tcPr>
          <w:p w14:paraId="4271B92B"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(329)</w:t>
            </w:r>
          </w:p>
        </w:tc>
        <w:tc>
          <w:tcPr>
            <w:tcW w:w="873" w:type="dxa"/>
            <w:tcBorders>
              <w:top w:val="nil"/>
              <w:left w:val="nil"/>
              <w:bottom w:val="single" w:sz="4" w:space="0" w:color="auto"/>
              <w:right w:val="nil"/>
            </w:tcBorders>
            <w:shd w:val="clear" w:color="000000" w:fill="D9D9D9"/>
            <w:noWrap/>
            <w:vAlign w:val="bottom"/>
            <w:hideMark/>
          </w:tcPr>
          <w:p w14:paraId="1FD98CE7" w14:textId="77777777" w:rsidR="00177622" w:rsidRPr="00177622" w:rsidRDefault="00177622" w:rsidP="00177622">
            <w:pPr>
              <w:spacing w:after="0"/>
              <w:jc w:val="right"/>
              <w:rPr>
                <w:rFonts w:ascii="Arial" w:hAnsi="Arial" w:cs="Arial"/>
                <w:b/>
                <w:bCs/>
                <w:color w:val="auto"/>
                <w:sz w:val="16"/>
                <w:szCs w:val="16"/>
              </w:rPr>
            </w:pPr>
            <w:r w:rsidRPr="00177622">
              <w:rPr>
                <w:rFonts w:ascii="Arial" w:hAnsi="Arial" w:cs="Arial"/>
                <w:b/>
                <w:bCs/>
                <w:color w:val="auto"/>
                <w:sz w:val="16"/>
                <w:szCs w:val="16"/>
              </w:rPr>
              <w:t>9,559</w:t>
            </w:r>
          </w:p>
        </w:tc>
        <w:tc>
          <w:tcPr>
            <w:tcW w:w="882" w:type="dxa"/>
            <w:gridSpan w:val="2"/>
            <w:tcBorders>
              <w:top w:val="nil"/>
              <w:left w:val="nil"/>
              <w:bottom w:val="single" w:sz="4" w:space="0" w:color="auto"/>
              <w:right w:val="nil"/>
            </w:tcBorders>
            <w:shd w:val="clear" w:color="auto" w:fill="auto"/>
            <w:noWrap/>
            <w:vAlign w:val="bottom"/>
            <w:hideMark/>
          </w:tcPr>
          <w:p w14:paraId="77FF2B11"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(781)</w:t>
            </w:r>
          </w:p>
        </w:tc>
        <w:tc>
          <w:tcPr>
            <w:tcW w:w="873" w:type="dxa"/>
            <w:gridSpan w:val="2"/>
            <w:tcBorders>
              <w:top w:val="nil"/>
              <w:left w:val="nil"/>
              <w:bottom w:val="single" w:sz="4" w:space="0" w:color="auto"/>
              <w:right w:val="nil"/>
            </w:tcBorders>
            <w:shd w:val="clear" w:color="auto" w:fill="auto"/>
            <w:noWrap/>
            <w:vAlign w:val="bottom"/>
            <w:hideMark/>
          </w:tcPr>
          <w:p w14:paraId="13243160"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(767)</w:t>
            </w:r>
          </w:p>
        </w:tc>
        <w:tc>
          <w:tcPr>
            <w:tcW w:w="873" w:type="dxa"/>
            <w:gridSpan w:val="2"/>
            <w:tcBorders>
              <w:top w:val="nil"/>
              <w:left w:val="nil"/>
              <w:bottom w:val="single" w:sz="4" w:space="0" w:color="auto"/>
              <w:right w:val="nil"/>
            </w:tcBorders>
            <w:shd w:val="clear" w:color="auto" w:fill="auto"/>
            <w:noWrap/>
            <w:vAlign w:val="bottom"/>
            <w:hideMark/>
          </w:tcPr>
          <w:p w14:paraId="6E86EFA3"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(640)</w:t>
            </w:r>
          </w:p>
        </w:tc>
      </w:tr>
      <w:tr w:rsidR="00177622" w:rsidRPr="00177622" w14:paraId="42AA672E" w14:textId="77777777" w:rsidTr="00731ECF">
        <w:trPr>
          <w:trHeight w:val="454"/>
          <w:jc w:val="center"/>
        </w:trPr>
        <w:tc>
          <w:tcPr>
            <w:tcW w:w="2891" w:type="dxa"/>
            <w:tcBorders>
              <w:top w:val="nil"/>
              <w:left w:val="nil"/>
              <w:bottom w:val="nil"/>
              <w:right w:val="nil"/>
            </w:tcBorders>
            <w:shd w:val="clear" w:color="auto" w:fill="auto"/>
            <w:vAlign w:val="bottom"/>
            <w:hideMark/>
          </w:tcPr>
          <w:p w14:paraId="3AD856C2" w14:textId="77777777" w:rsidR="00177622" w:rsidRPr="00177622" w:rsidRDefault="00177622" w:rsidP="00177622">
            <w:pPr>
              <w:spacing w:after="0"/>
              <w:rPr>
                <w:rFonts w:ascii="Arial" w:hAnsi="Arial" w:cs="Arial"/>
                <w:b/>
                <w:bCs/>
                <w:sz w:val="16"/>
                <w:szCs w:val="16"/>
              </w:rPr>
            </w:pPr>
            <w:r w:rsidRPr="00177622">
              <w:rPr>
                <w:rFonts w:ascii="Arial" w:hAnsi="Arial" w:cs="Arial"/>
                <w:b/>
                <w:bCs/>
                <w:sz w:val="16"/>
                <w:szCs w:val="16"/>
              </w:rPr>
              <w:t>Net increase (or decrease) in cash held</w:t>
            </w:r>
          </w:p>
        </w:tc>
        <w:tc>
          <w:tcPr>
            <w:tcW w:w="981" w:type="dxa"/>
            <w:tcBorders>
              <w:top w:val="nil"/>
              <w:left w:val="nil"/>
              <w:bottom w:val="single" w:sz="4" w:space="0" w:color="auto"/>
              <w:right w:val="nil"/>
            </w:tcBorders>
            <w:shd w:val="clear" w:color="auto" w:fill="auto"/>
            <w:noWrap/>
            <w:vAlign w:val="bottom"/>
            <w:hideMark/>
          </w:tcPr>
          <w:p w14:paraId="18851D5B"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16,034</w:t>
            </w:r>
          </w:p>
        </w:tc>
        <w:tc>
          <w:tcPr>
            <w:tcW w:w="873" w:type="dxa"/>
            <w:tcBorders>
              <w:top w:val="nil"/>
              <w:left w:val="nil"/>
              <w:bottom w:val="single" w:sz="4" w:space="0" w:color="auto"/>
              <w:right w:val="nil"/>
            </w:tcBorders>
            <w:shd w:val="clear" w:color="000000" w:fill="D9D9D9"/>
            <w:noWrap/>
            <w:vAlign w:val="bottom"/>
            <w:hideMark/>
          </w:tcPr>
          <w:p w14:paraId="45C3ED79"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(5,254)</w:t>
            </w:r>
          </w:p>
        </w:tc>
        <w:tc>
          <w:tcPr>
            <w:tcW w:w="882" w:type="dxa"/>
            <w:gridSpan w:val="2"/>
            <w:tcBorders>
              <w:top w:val="nil"/>
              <w:left w:val="nil"/>
              <w:bottom w:val="single" w:sz="4" w:space="0" w:color="auto"/>
              <w:right w:val="nil"/>
            </w:tcBorders>
            <w:shd w:val="clear" w:color="auto" w:fill="auto"/>
            <w:noWrap/>
            <w:vAlign w:val="bottom"/>
            <w:hideMark/>
          </w:tcPr>
          <w:p w14:paraId="087A0464"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(42,465)</w:t>
            </w:r>
          </w:p>
        </w:tc>
        <w:tc>
          <w:tcPr>
            <w:tcW w:w="873" w:type="dxa"/>
            <w:gridSpan w:val="2"/>
            <w:tcBorders>
              <w:top w:val="nil"/>
              <w:left w:val="nil"/>
              <w:bottom w:val="single" w:sz="4" w:space="0" w:color="auto"/>
              <w:right w:val="nil"/>
            </w:tcBorders>
            <w:shd w:val="clear" w:color="auto" w:fill="auto"/>
            <w:noWrap/>
            <w:vAlign w:val="bottom"/>
            <w:hideMark/>
          </w:tcPr>
          <w:p w14:paraId="4C07241A"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(19,398)</w:t>
            </w:r>
          </w:p>
        </w:tc>
        <w:tc>
          <w:tcPr>
            <w:tcW w:w="873" w:type="dxa"/>
            <w:gridSpan w:val="2"/>
            <w:tcBorders>
              <w:top w:val="nil"/>
              <w:left w:val="nil"/>
              <w:bottom w:val="single" w:sz="4" w:space="0" w:color="auto"/>
              <w:right w:val="nil"/>
            </w:tcBorders>
            <w:shd w:val="clear" w:color="auto" w:fill="auto"/>
            <w:noWrap/>
            <w:vAlign w:val="bottom"/>
            <w:hideMark/>
          </w:tcPr>
          <w:p w14:paraId="4900E6FE"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(12,225)</w:t>
            </w:r>
          </w:p>
        </w:tc>
      </w:tr>
      <w:tr w:rsidR="00177622" w:rsidRPr="00177622" w14:paraId="5CA65229" w14:textId="77777777" w:rsidTr="00731ECF">
        <w:trPr>
          <w:trHeight w:val="408"/>
          <w:jc w:val="center"/>
        </w:trPr>
        <w:tc>
          <w:tcPr>
            <w:tcW w:w="2891" w:type="dxa"/>
            <w:tcBorders>
              <w:top w:val="nil"/>
              <w:left w:val="nil"/>
              <w:bottom w:val="nil"/>
              <w:right w:val="nil"/>
            </w:tcBorders>
            <w:shd w:val="clear" w:color="auto" w:fill="auto"/>
            <w:vAlign w:val="bottom"/>
            <w:hideMark/>
          </w:tcPr>
          <w:p w14:paraId="1E451F70" w14:textId="77777777" w:rsidR="00177622" w:rsidRPr="00177622" w:rsidRDefault="00177622" w:rsidP="00177622">
            <w:pPr>
              <w:spacing w:after="0"/>
              <w:ind w:leftChars="75" w:left="143"/>
              <w:rPr>
                <w:rFonts w:ascii="Arial" w:hAnsi="Arial" w:cs="Arial"/>
                <w:sz w:val="16"/>
                <w:szCs w:val="16"/>
              </w:rPr>
            </w:pPr>
            <w:r w:rsidRPr="00177622">
              <w:rPr>
                <w:rFonts w:ascii="Arial" w:hAnsi="Arial" w:cs="Arial"/>
                <w:sz w:val="16"/>
                <w:szCs w:val="16"/>
              </w:rPr>
              <w:t>Cash and cash equivalents at the beginning of the reporting period</w:t>
            </w:r>
          </w:p>
        </w:tc>
        <w:tc>
          <w:tcPr>
            <w:tcW w:w="981" w:type="dxa"/>
            <w:tcBorders>
              <w:top w:val="nil"/>
              <w:left w:val="nil"/>
              <w:bottom w:val="nil"/>
              <w:right w:val="nil"/>
            </w:tcBorders>
            <w:shd w:val="clear" w:color="auto" w:fill="auto"/>
            <w:noWrap/>
            <w:vAlign w:val="bottom"/>
            <w:hideMark/>
          </w:tcPr>
          <w:p w14:paraId="5CD3C95A"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108,602</w:t>
            </w:r>
          </w:p>
        </w:tc>
        <w:tc>
          <w:tcPr>
            <w:tcW w:w="873" w:type="dxa"/>
            <w:tcBorders>
              <w:top w:val="nil"/>
              <w:left w:val="nil"/>
              <w:bottom w:val="nil"/>
              <w:right w:val="nil"/>
            </w:tcBorders>
            <w:shd w:val="clear" w:color="000000" w:fill="D9D9D9"/>
            <w:noWrap/>
            <w:vAlign w:val="bottom"/>
            <w:hideMark/>
          </w:tcPr>
          <w:p w14:paraId="43E06E57"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124,636</w:t>
            </w:r>
          </w:p>
        </w:tc>
        <w:tc>
          <w:tcPr>
            <w:tcW w:w="882" w:type="dxa"/>
            <w:gridSpan w:val="2"/>
            <w:tcBorders>
              <w:top w:val="nil"/>
              <w:left w:val="nil"/>
              <w:bottom w:val="nil"/>
              <w:right w:val="nil"/>
            </w:tcBorders>
            <w:shd w:val="clear" w:color="auto" w:fill="auto"/>
            <w:noWrap/>
            <w:vAlign w:val="bottom"/>
            <w:hideMark/>
          </w:tcPr>
          <w:p w14:paraId="13F5E7FC"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119,382</w:t>
            </w:r>
          </w:p>
        </w:tc>
        <w:tc>
          <w:tcPr>
            <w:tcW w:w="873" w:type="dxa"/>
            <w:gridSpan w:val="2"/>
            <w:tcBorders>
              <w:top w:val="nil"/>
              <w:left w:val="nil"/>
              <w:bottom w:val="nil"/>
              <w:right w:val="nil"/>
            </w:tcBorders>
            <w:shd w:val="clear" w:color="auto" w:fill="auto"/>
            <w:noWrap/>
            <w:vAlign w:val="bottom"/>
            <w:hideMark/>
          </w:tcPr>
          <w:p w14:paraId="5BD162FF"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76,917</w:t>
            </w:r>
          </w:p>
        </w:tc>
        <w:tc>
          <w:tcPr>
            <w:tcW w:w="873" w:type="dxa"/>
            <w:gridSpan w:val="2"/>
            <w:tcBorders>
              <w:top w:val="nil"/>
              <w:left w:val="nil"/>
              <w:bottom w:val="nil"/>
              <w:right w:val="nil"/>
            </w:tcBorders>
            <w:shd w:val="clear" w:color="auto" w:fill="auto"/>
            <w:noWrap/>
            <w:vAlign w:val="bottom"/>
            <w:hideMark/>
          </w:tcPr>
          <w:p w14:paraId="0ACFB02D" w14:textId="77777777" w:rsidR="00177622" w:rsidRPr="00177622" w:rsidRDefault="00177622" w:rsidP="00177622">
            <w:pPr>
              <w:spacing w:after="0"/>
              <w:jc w:val="right"/>
              <w:rPr>
                <w:rFonts w:ascii="Arial" w:hAnsi="Arial" w:cs="Arial"/>
                <w:color w:val="auto"/>
                <w:sz w:val="16"/>
                <w:szCs w:val="16"/>
              </w:rPr>
            </w:pPr>
            <w:r w:rsidRPr="00177622">
              <w:rPr>
                <w:rFonts w:ascii="Arial" w:hAnsi="Arial" w:cs="Arial"/>
                <w:color w:val="auto"/>
                <w:sz w:val="16"/>
                <w:szCs w:val="16"/>
              </w:rPr>
              <w:t>57,519</w:t>
            </w:r>
          </w:p>
        </w:tc>
      </w:tr>
      <w:tr w:rsidR="00177622" w:rsidRPr="00177622" w14:paraId="2A0CDDE2" w14:textId="77777777" w:rsidTr="00731ECF">
        <w:trPr>
          <w:trHeight w:val="454"/>
          <w:jc w:val="center"/>
        </w:trPr>
        <w:tc>
          <w:tcPr>
            <w:tcW w:w="2891" w:type="dxa"/>
            <w:tcBorders>
              <w:top w:val="nil"/>
              <w:left w:val="nil"/>
              <w:bottom w:val="single" w:sz="4" w:space="0" w:color="auto"/>
              <w:right w:val="nil"/>
            </w:tcBorders>
            <w:shd w:val="clear" w:color="auto" w:fill="auto"/>
            <w:vAlign w:val="bottom"/>
            <w:hideMark/>
          </w:tcPr>
          <w:p w14:paraId="73AAE85A" w14:textId="77777777" w:rsidR="00177622" w:rsidRPr="00177622" w:rsidRDefault="00177622" w:rsidP="00177622">
            <w:pPr>
              <w:spacing w:after="0"/>
              <w:rPr>
                <w:rFonts w:ascii="Arial" w:hAnsi="Arial" w:cs="Arial"/>
                <w:b/>
                <w:bCs/>
                <w:sz w:val="16"/>
                <w:szCs w:val="16"/>
              </w:rPr>
            </w:pPr>
            <w:r w:rsidRPr="00177622">
              <w:rPr>
                <w:rFonts w:ascii="Arial" w:hAnsi="Arial" w:cs="Arial"/>
                <w:b/>
                <w:bCs/>
                <w:sz w:val="16"/>
                <w:szCs w:val="16"/>
              </w:rPr>
              <w:t>Cash and cash equivalents at the end of the reporting period</w:t>
            </w:r>
          </w:p>
        </w:tc>
        <w:tc>
          <w:tcPr>
            <w:tcW w:w="981" w:type="dxa"/>
            <w:tcBorders>
              <w:top w:val="nil"/>
              <w:left w:val="nil"/>
              <w:bottom w:val="single" w:sz="4" w:space="0" w:color="auto"/>
              <w:right w:val="nil"/>
            </w:tcBorders>
            <w:shd w:val="clear" w:color="auto" w:fill="auto"/>
            <w:noWrap/>
            <w:vAlign w:val="bottom"/>
            <w:hideMark/>
          </w:tcPr>
          <w:p w14:paraId="7EA0AF64"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124,636</w:t>
            </w:r>
          </w:p>
        </w:tc>
        <w:tc>
          <w:tcPr>
            <w:tcW w:w="873" w:type="dxa"/>
            <w:tcBorders>
              <w:top w:val="nil"/>
              <w:left w:val="nil"/>
              <w:bottom w:val="single" w:sz="4" w:space="0" w:color="auto"/>
              <w:right w:val="nil"/>
            </w:tcBorders>
            <w:shd w:val="clear" w:color="000000" w:fill="D9D9D9"/>
            <w:noWrap/>
            <w:vAlign w:val="bottom"/>
            <w:hideMark/>
          </w:tcPr>
          <w:p w14:paraId="75758257"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119,382</w:t>
            </w:r>
          </w:p>
        </w:tc>
        <w:tc>
          <w:tcPr>
            <w:tcW w:w="882" w:type="dxa"/>
            <w:gridSpan w:val="2"/>
            <w:tcBorders>
              <w:top w:val="nil"/>
              <w:left w:val="nil"/>
              <w:bottom w:val="single" w:sz="4" w:space="0" w:color="auto"/>
              <w:right w:val="nil"/>
            </w:tcBorders>
            <w:shd w:val="clear" w:color="auto" w:fill="auto"/>
            <w:noWrap/>
            <w:vAlign w:val="bottom"/>
            <w:hideMark/>
          </w:tcPr>
          <w:p w14:paraId="38163CEA"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76,917</w:t>
            </w:r>
          </w:p>
        </w:tc>
        <w:tc>
          <w:tcPr>
            <w:tcW w:w="873" w:type="dxa"/>
            <w:gridSpan w:val="2"/>
            <w:tcBorders>
              <w:top w:val="nil"/>
              <w:left w:val="nil"/>
              <w:bottom w:val="single" w:sz="4" w:space="0" w:color="auto"/>
              <w:right w:val="nil"/>
            </w:tcBorders>
            <w:shd w:val="clear" w:color="auto" w:fill="auto"/>
            <w:noWrap/>
            <w:vAlign w:val="bottom"/>
            <w:hideMark/>
          </w:tcPr>
          <w:p w14:paraId="482BB9D8"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57,519</w:t>
            </w:r>
          </w:p>
        </w:tc>
        <w:tc>
          <w:tcPr>
            <w:tcW w:w="873" w:type="dxa"/>
            <w:gridSpan w:val="2"/>
            <w:tcBorders>
              <w:top w:val="nil"/>
              <w:left w:val="nil"/>
              <w:bottom w:val="single" w:sz="4" w:space="0" w:color="auto"/>
              <w:right w:val="nil"/>
            </w:tcBorders>
            <w:shd w:val="clear" w:color="auto" w:fill="auto"/>
            <w:noWrap/>
            <w:vAlign w:val="bottom"/>
            <w:hideMark/>
          </w:tcPr>
          <w:p w14:paraId="50856F55"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45,294</w:t>
            </w:r>
          </w:p>
        </w:tc>
      </w:tr>
    </w:tbl>
    <w:p w14:paraId="6FE67186" w14:textId="77777777" w:rsidR="00731ECF" w:rsidRDefault="00731ECF">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196777FF" w14:textId="26B103AB" w:rsidR="00A80B87" w:rsidRPr="00A80B87" w:rsidRDefault="00A80B87" w:rsidP="00A74FED">
      <w:pPr>
        <w:spacing w:before="120"/>
        <w:rPr>
          <w:rFonts w:ascii="Arial" w:hAnsi="Arial" w:cs="Arial"/>
          <w:b/>
          <w:sz w:val="20"/>
          <w:szCs w:val="18"/>
          <w:lang w:eastAsia="en-US"/>
        </w:rPr>
      </w:pPr>
      <w:r w:rsidRPr="00A80B87">
        <w:rPr>
          <w:rFonts w:ascii="Arial" w:hAnsi="Arial" w:cs="Arial"/>
          <w:b/>
          <w:sz w:val="20"/>
          <w:szCs w:val="18"/>
          <w:lang w:eastAsia="en-US"/>
        </w:rPr>
        <w:lastRenderedPageBreak/>
        <w:t>Table 3.5: Departmental capital budget statement (for the period ended</w:t>
      </w:r>
      <w:r w:rsidRPr="00A80B87">
        <w:rPr>
          <w:rFonts w:ascii="Arial" w:hAnsi="Arial" w:cs="Arial"/>
          <w:b/>
          <w:sz w:val="20"/>
          <w:szCs w:val="18"/>
          <w:lang w:eastAsia="en-US"/>
        </w:rPr>
        <w:br/>
        <w:t>30 June)</w:t>
      </w:r>
    </w:p>
    <w:tbl>
      <w:tblPr>
        <w:tblW w:w="7379" w:type="dxa"/>
        <w:jc w:val="center"/>
        <w:tblLayout w:type="fixed"/>
        <w:tblLook w:val="04A0" w:firstRow="1" w:lastRow="0" w:firstColumn="1" w:lastColumn="0" w:noHBand="0" w:noVBand="1"/>
      </w:tblPr>
      <w:tblGrid>
        <w:gridCol w:w="2818"/>
        <w:gridCol w:w="920"/>
        <w:gridCol w:w="920"/>
        <w:gridCol w:w="907"/>
        <w:gridCol w:w="907"/>
        <w:gridCol w:w="907"/>
      </w:tblGrid>
      <w:tr w:rsidR="00177622" w:rsidRPr="00177622" w14:paraId="722D67F1" w14:textId="77777777" w:rsidTr="00963710">
        <w:trPr>
          <w:trHeight w:val="765"/>
          <w:jc w:val="center"/>
        </w:trPr>
        <w:tc>
          <w:tcPr>
            <w:tcW w:w="2818" w:type="dxa"/>
            <w:tcBorders>
              <w:top w:val="single" w:sz="4" w:space="0" w:color="auto"/>
              <w:left w:val="nil"/>
              <w:bottom w:val="nil"/>
              <w:right w:val="nil"/>
            </w:tcBorders>
            <w:shd w:val="clear" w:color="000000" w:fill="FFFFFF"/>
            <w:hideMark/>
          </w:tcPr>
          <w:p w14:paraId="6E3EE549" w14:textId="77777777" w:rsidR="00177622" w:rsidRPr="00177622" w:rsidRDefault="00177622" w:rsidP="00177622">
            <w:pPr>
              <w:spacing w:before="40" w:after="0"/>
              <w:jc w:val="right"/>
              <w:rPr>
                <w:rFonts w:ascii="Arial" w:hAnsi="Arial" w:cs="Arial"/>
                <w:color w:val="auto"/>
                <w:sz w:val="16"/>
                <w:szCs w:val="16"/>
              </w:rPr>
            </w:pPr>
            <w:r w:rsidRPr="00177622">
              <w:rPr>
                <w:rFonts w:ascii="Arial" w:hAnsi="Arial" w:cs="Arial"/>
                <w:color w:val="auto"/>
                <w:sz w:val="16"/>
                <w:szCs w:val="16"/>
              </w:rPr>
              <w:t> </w:t>
            </w:r>
          </w:p>
        </w:tc>
        <w:tc>
          <w:tcPr>
            <w:tcW w:w="920" w:type="dxa"/>
            <w:tcBorders>
              <w:top w:val="single" w:sz="4" w:space="0" w:color="auto"/>
              <w:left w:val="nil"/>
              <w:bottom w:val="single" w:sz="4" w:space="0" w:color="auto"/>
              <w:right w:val="nil"/>
            </w:tcBorders>
            <w:shd w:val="clear" w:color="auto" w:fill="auto"/>
            <w:tcMar>
              <w:left w:w="0" w:type="dxa"/>
            </w:tcMar>
            <w:hideMark/>
          </w:tcPr>
          <w:p w14:paraId="7DEF258A" w14:textId="77777777" w:rsidR="00177622" w:rsidRPr="00177622" w:rsidRDefault="00177622" w:rsidP="00177622">
            <w:pPr>
              <w:spacing w:before="40" w:after="0"/>
              <w:jc w:val="right"/>
              <w:rPr>
                <w:rFonts w:ascii="Arial" w:hAnsi="Arial" w:cs="Arial"/>
                <w:b/>
                <w:bCs/>
                <w:color w:val="auto"/>
                <w:sz w:val="16"/>
                <w:szCs w:val="16"/>
              </w:rPr>
            </w:pPr>
            <w:r w:rsidRPr="00177622">
              <w:rPr>
                <w:rFonts w:ascii="Arial" w:hAnsi="Arial" w:cs="Arial"/>
                <w:b/>
                <w:bCs/>
                <w:color w:val="auto"/>
                <w:sz w:val="16"/>
                <w:szCs w:val="16"/>
              </w:rPr>
              <w:t>2021–22 Estimated actual</w:t>
            </w:r>
            <w:r w:rsidRPr="00177622">
              <w:rPr>
                <w:rFonts w:ascii="Arial" w:hAnsi="Arial" w:cs="Arial"/>
                <w:b/>
                <w:bCs/>
                <w:color w:val="auto"/>
                <w:sz w:val="16"/>
                <w:szCs w:val="16"/>
              </w:rPr>
              <w:br/>
            </w:r>
            <w:r w:rsidRPr="00177622">
              <w:rPr>
                <w:rFonts w:ascii="Arial" w:hAnsi="Arial" w:cs="Arial"/>
                <w:color w:val="auto"/>
                <w:sz w:val="16"/>
                <w:szCs w:val="16"/>
              </w:rPr>
              <w:t>$'000</w:t>
            </w:r>
          </w:p>
        </w:tc>
        <w:tc>
          <w:tcPr>
            <w:tcW w:w="920" w:type="dxa"/>
            <w:tcBorders>
              <w:top w:val="single" w:sz="4" w:space="0" w:color="auto"/>
              <w:left w:val="nil"/>
              <w:bottom w:val="single" w:sz="4" w:space="0" w:color="auto"/>
              <w:right w:val="nil"/>
            </w:tcBorders>
            <w:shd w:val="clear" w:color="000000" w:fill="D9D9D9"/>
            <w:hideMark/>
          </w:tcPr>
          <w:p w14:paraId="5A80216F" w14:textId="77777777" w:rsidR="00177622" w:rsidRPr="00177622" w:rsidRDefault="00177622" w:rsidP="00177622">
            <w:pPr>
              <w:spacing w:before="40" w:after="0"/>
              <w:jc w:val="right"/>
              <w:rPr>
                <w:rFonts w:ascii="Arial" w:hAnsi="Arial" w:cs="Arial"/>
                <w:b/>
                <w:bCs/>
                <w:color w:val="auto"/>
                <w:sz w:val="16"/>
                <w:szCs w:val="16"/>
              </w:rPr>
            </w:pPr>
            <w:r w:rsidRPr="00177622">
              <w:rPr>
                <w:rFonts w:ascii="Arial" w:hAnsi="Arial" w:cs="Arial"/>
                <w:b/>
                <w:bCs/>
                <w:color w:val="auto"/>
                <w:sz w:val="16"/>
                <w:szCs w:val="16"/>
              </w:rPr>
              <w:t>2022–23</w:t>
            </w:r>
            <w:r w:rsidRPr="00177622">
              <w:rPr>
                <w:rFonts w:ascii="Arial" w:hAnsi="Arial" w:cs="Arial"/>
                <w:b/>
                <w:bCs/>
                <w:color w:val="auto"/>
                <w:sz w:val="16"/>
                <w:szCs w:val="16"/>
              </w:rPr>
              <w:br/>
              <w:t>Budget</w:t>
            </w:r>
            <w:r w:rsidRPr="00177622">
              <w:rPr>
                <w:rFonts w:ascii="Arial" w:hAnsi="Arial" w:cs="Arial"/>
                <w:b/>
                <w:bCs/>
                <w:color w:val="auto"/>
                <w:sz w:val="16"/>
                <w:szCs w:val="16"/>
              </w:rPr>
              <w:br/>
            </w:r>
            <w:r w:rsidRPr="00177622">
              <w:rPr>
                <w:rFonts w:ascii="Arial" w:hAnsi="Arial" w:cs="Arial"/>
                <w:b/>
                <w:bCs/>
                <w:color w:val="auto"/>
                <w:sz w:val="16"/>
                <w:szCs w:val="16"/>
              </w:rPr>
              <w:br/>
            </w:r>
            <w:r w:rsidRPr="00177622">
              <w:rPr>
                <w:rFonts w:ascii="Arial" w:hAnsi="Arial" w:cs="Arial"/>
                <w:color w:val="auto"/>
                <w:sz w:val="16"/>
                <w:szCs w:val="16"/>
              </w:rPr>
              <w:t>$'000</w:t>
            </w:r>
          </w:p>
        </w:tc>
        <w:tc>
          <w:tcPr>
            <w:tcW w:w="907" w:type="dxa"/>
            <w:tcBorders>
              <w:top w:val="single" w:sz="4" w:space="0" w:color="auto"/>
              <w:left w:val="nil"/>
              <w:bottom w:val="single" w:sz="4" w:space="0" w:color="auto"/>
              <w:right w:val="nil"/>
            </w:tcBorders>
            <w:shd w:val="clear" w:color="auto" w:fill="auto"/>
            <w:hideMark/>
          </w:tcPr>
          <w:p w14:paraId="008F745F" w14:textId="77777777" w:rsidR="00177622" w:rsidRPr="00177622" w:rsidRDefault="00177622" w:rsidP="00177622">
            <w:pPr>
              <w:spacing w:before="40" w:after="0"/>
              <w:jc w:val="right"/>
              <w:rPr>
                <w:rFonts w:ascii="Arial" w:hAnsi="Arial" w:cs="Arial"/>
                <w:b/>
                <w:bCs/>
                <w:color w:val="auto"/>
                <w:sz w:val="16"/>
                <w:szCs w:val="16"/>
              </w:rPr>
            </w:pPr>
            <w:r w:rsidRPr="00177622">
              <w:rPr>
                <w:rFonts w:ascii="Arial" w:hAnsi="Arial" w:cs="Arial"/>
                <w:b/>
                <w:bCs/>
                <w:color w:val="auto"/>
                <w:sz w:val="16"/>
                <w:szCs w:val="16"/>
              </w:rPr>
              <w:t>2023–24 Forward estimate</w:t>
            </w:r>
            <w:r w:rsidRPr="00177622">
              <w:rPr>
                <w:rFonts w:ascii="Arial" w:hAnsi="Arial" w:cs="Arial"/>
                <w:b/>
                <w:bCs/>
                <w:color w:val="auto"/>
                <w:sz w:val="16"/>
                <w:szCs w:val="16"/>
              </w:rPr>
              <w:br/>
            </w:r>
            <w:r w:rsidRPr="00177622">
              <w:rPr>
                <w:rFonts w:ascii="Arial" w:hAnsi="Arial" w:cs="Arial"/>
                <w:color w:val="auto"/>
                <w:sz w:val="16"/>
                <w:szCs w:val="16"/>
              </w:rPr>
              <w:t>$'000</w:t>
            </w:r>
          </w:p>
        </w:tc>
        <w:tc>
          <w:tcPr>
            <w:tcW w:w="907" w:type="dxa"/>
            <w:tcBorders>
              <w:top w:val="single" w:sz="4" w:space="0" w:color="auto"/>
              <w:left w:val="nil"/>
              <w:bottom w:val="single" w:sz="4" w:space="0" w:color="auto"/>
              <w:right w:val="nil"/>
            </w:tcBorders>
            <w:shd w:val="clear" w:color="auto" w:fill="auto"/>
            <w:hideMark/>
          </w:tcPr>
          <w:p w14:paraId="1A701A36" w14:textId="77777777" w:rsidR="00177622" w:rsidRPr="00177622" w:rsidRDefault="00177622" w:rsidP="00177622">
            <w:pPr>
              <w:spacing w:before="40" w:after="0"/>
              <w:jc w:val="right"/>
              <w:rPr>
                <w:rFonts w:ascii="Arial" w:hAnsi="Arial" w:cs="Arial"/>
                <w:b/>
                <w:bCs/>
                <w:color w:val="auto"/>
                <w:sz w:val="16"/>
                <w:szCs w:val="16"/>
              </w:rPr>
            </w:pPr>
            <w:r w:rsidRPr="00177622">
              <w:rPr>
                <w:rFonts w:ascii="Arial" w:hAnsi="Arial" w:cs="Arial"/>
                <w:b/>
                <w:bCs/>
                <w:color w:val="auto"/>
                <w:sz w:val="16"/>
                <w:szCs w:val="16"/>
              </w:rPr>
              <w:t>2024–25</w:t>
            </w:r>
            <w:r w:rsidRPr="00177622">
              <w:rPr>
                <w:rFonts w:ascii="Arial" w:hAnsi="Arial" w:cs="Arial"/>
                <w:b/>
                <w:bCs/>
                <w:color w:val="auto"/>
                <w:sz w:val="16"/>
                <w:szCs w:val="16"/>
              </w:rPr>
              <w:br/>
              <w:t>Forward estimate</w:t>
            </w:r>
            <w:r w:rsidRPr="00177622">
              <w:rPr>
                <w:rFonts w:ascii="Arial" w:hAnsi="Arial" w:cs="Arial"/>
                <w:b/>
                <w:bCs/>
                <w:color w:val="auto"/>
                <w:sz w:val="16"/>
                <w:szCs w:val="16"/>
              </w:rPr>
              <w:br/>
            </w:r>
            <w:r w:rsidRPr="00177622">
              <w:rPr>
                <w:rFonts w:ascii="Arial" w:hAnsi="Arial" w:cs="Arial"/>
                <w:color w:val="auto"/>
                <w:sz w:val="16"/>
                <w:szCs w:val="16"/>
              </w:rPr>
              <w:t>$'000</w:t>
            </w:r>
          </w:p>
        </w:tc>
        <w:tc>
          <w:tcPr>
            <w:tcW w:w="907" w:type="dxa"/>
            <w:tcBorders>
              <w:top w:val="single" w:sz="4" w:space="0" w:color="auto"/>
              <w:left w:val="nil"/>
              <w:bottom w:val="single" w:sz="4" w:space="0" w:color="auto"/>
              <w:right w:val="nil"/>
            </w:tcBorders>
            <w:shd w:val="clear" w:color="auto" w:fill="auto"/>
            <w:hideMark/>
          </w:tcPr>
          <w:p w14:paraId="59AA37D9" w14:textId="77777777" w:rsidR="00177622" w:rsidRPr="00177622" w:rsidRDefault="00177622" w:rsidP="00177622">
            <w:pPr>
              <w:spacing w:before="40" w:after="0"/>
              <w:jc w:val="right"/>
              <w:rPr>
                <w:rFonts w:ascii="Arial" w:hAnsi="Arial" w:cs="Arial"/>
                <w:b/>
                <w:bCs/>
                <w:color w:val="auto"/>
                <w:sz w:val="16"/>
                <w:szCs w:val="16"/>
              </w:rPr>
            </w:pPr>
            <w:r w:rsidRPr="00177622">
              <w:rPr>
                <w:rFonts w:ascii="Arial" w:hAnsi="Arial" w:cs="Arial"/>
                <w:b/>
                <w:bCs/>
                <w:color w:val="auto"/>
                <w:sz w:val="16"/>
                <w:szCs w:val="16"/>
              </w:rPr>
              <w:t>2025–26 Forward estimate</w:t>
            </w:r>
            <w:r w:rsidRPr="00177622">
              <w:rPr>
                <w:rFonts w:ascii="Arial" w:hAnsi="Arial" w:cs="Arial"/>
                <w:b/>
                <w:bCs/>
                <w:color w:val="auto"/>
                <w:sz w:val="16"/>
                <w:szCs w:val="16"/>
              </w:rPr>
              <w:br/>
            </w:r>
            <w:r w:rsidRPr="00177622">
              <w:rPr>
                <w:rFonts w:ascii="Arial" w:hAnsi="Arial" w:cs="Arial"/>
                <w:color w:val="auto"/>
                <w:sz w:val="16"/>
                <w:szCs w:val="16"/>
              </w:rPr>
              <w:t>$'000</w:t>
            </w:r>
          </w:p>
        </w:tc>
      </w:tr>
      <w:tr w:rsidR="00177622" w:rsidRPr="00177622" w14:paraId="750759FD" w14:textId="77777777" w:rsidTr="00177622">
        <w:trPr>
          <w:trHeight w:val="225"/>
          <w:jc w:val="center"/>
        </w:trPr>
        <w:tc>
          <w:tcPr>
            <w:tcW w:w="2818" w:type="dxa"/>
            <w:tcBorders>
              <w:top w:val="nil"/>
              <w:left w:val="nil"/>
              <w:bottom w:val="nil"/>
              <w:right w:val="nil"/>
            </w:tcBorders>
            <w:shd w:val="clear" w:color="000000" w:fill="FFFFFF"/>
            <w:noWrap/>
            <w:vAlign w:val="bottom"/>
            <w:hideMark/>
          </w:tcPr>
          <w:p w14:paraId="52F9847B" w14:textId="77777777" w:rsidR="00177622" w:rsidRPr="00177622" w:rsidRDefault="00177622" w:rsidP="00177622">
            <w:pPr>
              <w:spacing w:after="0"/>
              <w:rPr>
                <w:rFonts w:ascii="Arial" w:hAnsi="Arial" w:cs="Arial"/>
                <w:b/>
                <w:bCs/>
                <w:color w:val="auto"/>
                <w:sz w:val="16"/>
                <w:szCs w:val="16"/>
              </w:rPr>
            </w:pPr>
            <w:r w:rsidRPr="00177622">
              <w:rPr>
                <w:rFonts w:ascii="Arial" w:hAnsi="Arial" w:cs="Arial"/>
                <w:b/>
                <w:bCs/>
                <w:color w:val="auto"/>
                <w:sz w:val="16"/>
                <w:szCs w:val="16"/>
              </w:rPr>
              <w:t>CAPITAL APPROPRIATIONS</w:t>
            </w:r>
          </w:p>
        </w:tc>
        <w:tc>
          <w:tcPr>
            <w:tcW w:w="920" w:type="dxa"/>
            <w:tcBorders>
              <w:top w:val="nil"/>
              <w:left w:val="nil"/>
              <w:bottom w:val="nil"/>
              <w:right w:val="nil"/>
            </w:tcBorders>
            <w:shd w:val="clear" w:color="auto" w:fill="auto"/>
            <w:noWrap/>
            <w:vAlign w:val="bottom"/>
            <w:hideMark/>
          </w:tcPr>
          <w:p w14:paraId="495C4D4E" w14:textId="77777777" w:rsidR="00177622" w:rsidRPr="00177622" w:rsidRDefault="00177622" w:rsidP="00177622">
            <w:pPr>
              <w:spacing w:after="0"/>
              <w:rPr>
                <w:rFonts w:ascii="Arial" w:hAnsi="Arial" w:cs="Arial"/>
                <w:b/>
                <w:bCs/>
                <w:color w:val="auto"/>
                <w:sz w:val="16"/>
                <w:szCs w:val="16"/>
              </w:rPr>
            </w:pPr>
          </w:p>
        </w:tc>
        <w:tc>
          <w:tcPr>
            <w:tcW w:w="920" w:type="dxa"/>
            <w:tcBorders>
              <w:top w:val="nil"/>
              <w:left w:val="nil"/>
              <w:bottom w:val="nil"/>
              <w:right w:val="nil"/>
            </w:tcBorders>
            <w:shd w:val="clear" w:color="000000" w:fill="D9D9D9"/>
            <w:noWrap/>
            <w:vAlign w:val="bottom"/>
            <w:hideMark/>
          </w:tcPr>
          <w:p w14:paraId="750E9561"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 </w:t>
            </w:r>
          </w:p>
        </w:tc>
        <w:tc>
          <w:tcPr>
            <w:tcW w:w="907" w:type="dxa"/>
            <w:tcBorders>
              <w:top w:val="nil"/>
              <w:left w:val="nil"/>
              <w:bottom w:val="nil"/>
              <w:right w:val="nil"/>
            </w:tcBorders>
            <w:shd w:val="clear" w:color="auto" w:fill="auto"/>
            <w:noWrap/>
            <w:vAlign w:val="bottom"/>
            <w:hideMark/>
          </w:tcPr>
          <w:p w14:paraId="4B85A798" w14:textId="77777777" w:rsidR="00177622" w:rsidRPr="00177622" w:rsidRDefault="00177622" w:rsidP="00177622">
            <w:pPr>
              <w:spacing w:after="0"/>
              <w:jc w:val="right"/>
              <w:rPr>
                <w:rFonts w:ascii="Arial" w:hAnsi="Arial" w:cs="Arial"/>
                <w:sz w:val="16"/>
                <w:szCs w:val="16"/>
              </w:rPr>
            </w:pPr>
          </w:p>
        </w:tc>
        <w:tc>
          <w:tcPr>
            <w:tcW w:w="907" w:type="dxa"/>
            <w:tcBorders>
              <w:top w:val="nil"/>
              <w:left w:val="nil"/>
              <w:bottom w:val="nil"/>
              <w:right w:val="nil"/>
            </w:tcBorders>
            <w:shd w:val="clear" w:color="auto" w:fill="auto"/>
            <w:noWrap/>
            <w:vAlign w:val="bottom"/>
            <w:hideMark/>
          </w:tcPr>
          <w:p w14:paraId="617B47B6" w14:textId="77777777" w:rsidR="00177622" w:rsidRPr="00177622" w:rsidRDefault="00177622" w:rsidP="00177622">
            <w:pPr>
              <w:spacing w:after="0"/>
              <w:jc w:val="right"/>
              <w:rPr>
                <w:rFonts w:ascii="Times New Roman" w:hAnsi="Times New Roman"/>
                <w:color w:val="auto"/>
                <w:sz w:val="20"/>
              </w:rPr>
            </w:pPr>
          </w:p>
        </w:tc>
        <w:tc>
          <w:tcPr>
            <w:tcW w:w="907" w:type="dxa"/>
            <w:tcBorders>
              <w:top w:val="nil"/>
              <w:left w:val="nil"/>
              <w:bottom w:val="nil"/>
              <w:right w:val="nil"/>
            </w:tcBorders>
            <w:shd w:val="clear" w:color="auto" w:fill="auto"/>
            <w:noWrap/>
            <w:vAlign w:val="bottom"/>
            <w:hideMark/>
          </w:tcPr>
          <w:p w14:paraId="517AF49F" w14:textId="77777777" w:rsidR="00177622" w:rsidRPr="00177622" w:rsidRDefault="00177622" w:rsidP="00177622">
            <w:pPr>
              <w:spacing w:after="0"/>
              <w:jc w:val="right"/>
              <w:rPr>
                <w:rFonts w:ascii="Times New Roman" w:hAnsi="Times New Roman"/>
                <w:color w:val="auto"/>
                <w:sz w:val="20"/>
              </w:rPr>
            </w:pPr>
          </w:p>
        </w:tc>
      </w:tr>
      <w:tr w:rsidR="00177622" w:rsidRPr="00177622" w14:paraId="1460923E" w14:textId="77777777" w:rsidTr="00177622">
        <w:trPr>
          <w:trHeight w:val="225"/>
          <w:jc w:val="center"/>
        </w:trPr>
        <w:tc>
          <w:tcPr>
            <w:tcW w:w="2818" w:type="dxa"/>
            <w:tcBorders>
              <w:top w:val="nil"/>
              <w:left w:val="nil"/>
              <w:bottom w:val="nil"/>
              <w:right w:val="nil"/>
            </w:tcBorders>
            <w:shd w:val="clear" w:color="000000" w:fill="FFFFFF"/>
            <w:noWrap/>
            <w:vAlign w:val="bottom"/>
            <w:hideMark/>
          </w:tcPr>
          <w:p w14:paraId="36144422" w14:textId="77777777" w:rsidR="00177622" w:rsidRPr="00177622" w:rsidRDefault="00177622" w:rsidP="00177622">
            <w:pPr>
              <w:spacing w:after="0"/>
              <w:ind w:leftChars="75" w:left="143"/>
              <w:rPr>
                <w:rFonts w:ascii="Arial" w:hAnsi="Arial" w:cs="Arial"/>
                <w:color w:val="auto"/>
                <w:sz w:val="16"/>
                <w:szCs w:val="16"/>
              </w:rPr>
            </w:pPr>
            <w:r w:rsidRPr="00177622">
              <w:rPr>
                <w:rFonts w:ascii="Arial" w:hAnsi="Arial" w:cs="Arial"/>
                <w:color w:val="auto"/>
                <w:sz w:val="16"/>
                <w:szCs w:val="16"/>
              </w:rPr>
              <w:t>Equity injections - Bill 2</w:t>
            </w:r>
          </w:p>
        </w:tc>
        <w:tc>
          <w:tcPr>
            <w:tcW w:w="920" w:type="dxa"/>
            <w:tcBorders>
              <w:top w:val="nil"/>
              <w:left w:val="nil"/>
              <w:bottom w:val="nil"/>
              <w:right w:val="nil"/>
            </w:tcBorders>
            <w:shd w:val="clear" w:color="auto" w:fill="auto"/>
            <w:noWrap/>
            <w:vAlign w:val="bottom"/>
            <w:hideMark/>
          </w:tcPr>
          <w:p w14:paraId="4286A4B1"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20" w:type="dxa"/>
            <w:tcBorders>
              <w:top w:val="nil"/>
              <w:left w:val="nil"/>
              <w:bottom w:val="nil"/>
              <w:right w:val="nil"/>
            </w:tcBorders>
            <w:shd w:val="clear" w:color="000000" w:fill="D9D9D9"/>
            <w:noWrap/>
            <w:vAlign w:val="bottom"/>
            <w:hideMark/>
          </w:tcPr>
          <w:p w14:paraId="4268FA0F"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10,334</w:t>
            </w:r>
          </w:p>
        </w:tc>
        <w:tc>
          <w:tcPr>
            <w:tcW w:w="907" w:type="dxa"/>
            <w:tcBorders>
              <w:top w:val="nil"/>
              <w:left w:val="nil"/>
              <w:bottom w:val="nil"/>
              <w:right w:val="nil"/>
            </w:tcBorders>
            <w:shd w:val="clear" w:color="auto" w:fill="auto"/>
            <w:noWrap/>
            <w:vAlign w:val="bottom"/>
            <w:hideMark/>
          </w:tcPr>
          <w:p w14:paraId="504DF088"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07" w:type="dxa"/>
            <w:tcBorders>
              <w:top w:val="nil"/>
              <w:left w:val="nil"/>
              <w:bottom w:val="nil"/>
              <w:right w:val="nil"/>
            </w:tcBorders>
            <w:shd w:val="clear" w:color="auto" w:fill="auto"/>
            <w:noWrap/>
            <w:vAlign w:val="bottom"/>
            <w:hideMark/>
          </w:tcPr>
          <w:p w14:paraId="59117E80"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07" w:type="dxa"/>
            <w:tcBorders>
              <w:top w:val="nil"/>
              <w:left w:val="nil"/>
              <w:bottom w:val="nil"/>
              <w:right w:val="nil"/>
            </w:tcBorders>
            <w:shd w:val="clear" w:color="auto" w:fill="auto"/>
            <w:noWrap/>
            <w:vAlign w:val="bottom"/>
            <w:hideMark/>
          </w:tcPr>
          <w:p w14:paraId="0F2EE053"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r>
      <w:tr w:rsidR="00177622" w:rsidRPr="00177622" w14:paraId="1836BC53" w14:textId="77777777" w:rsidTr="00177622">
        <w:trPr>
          <w:trHeight w:val="225"/>
          <w:jc w:val="center"/>
        </w:trPr>
        <w:tc>
          <w:tcPr>
            <w:tcW w:w="2818" w:type="dxa"/>
            <w:tcBorders>
              <w:top w:val="nil"/>
              <w:left w:val="nil"/>
              <w:bottom w:val="nil"/>
              <w:right w:val="nil"/>
            </w:tcBorders>
            <w:shd w:val="clear" w:color="000000" w:fill="FFFFFF"/>
            <w:noWrap/>
            <w:vAlign w:val="bottom"/>
            <w:hideMark/>
          </w:tcPr>
          <w:p w14:paraId="57D70FF1" w14:textId="77777777" w:rsidR="00177622" w:rsidRPr="00177622" w:rsidRDefault="00177622" w:rsidP="00177622">
            <w:pPr>
              <w:spacing w:after="0"/>
              <w:ind w:leftChars="75" w:left="143"/>
              <w:rPr>
                <w:rFonts w:ascii="Arial" w:hAnsi="Arial" w:cs="Arial"/>
                <w:b/>
                <w:bCs/>
                <w:color w:val="auto"/>
                <w:sz w:val="16"/>
                <w:szCs w:val="16"/>
              </w:rPr>
            </w:pPr>
            <w:r w:rsidRPr="00177622">
              <w:rPr>
                <w:rFonts w:ascii="Arial" w:hAnsi="Arial" w:cs="Arial"/>
                <w:b/>
                <w:bCs/>
                <w:color w:val="auto"/>
                <w:sz w:val="16"/>
                <w:szCs w:val="16"/>
              </w:rPr>
              <w:t>Total capital appropriations</w:t>
            </w:r>
          </w:p>
        </w:tc>
        <w:tc>
          <w:tcPr>
            <w:tcW w:w="920" w:type="dxa"/>
            <w:tcBorders>
              <w:top w:val="nil"/>
              <w:left w:val="nil"/>
              <w:bottom w:val="single" w:sz="4" w:space="0" w:color="auto"/>
              <w:right w:val="nil"/>
            </w:tcBorders>
            <w:shd w:val="clear" w:color="auto" w:fill="auto"/>
            <w:noWrap/>
            <w:vAlign w:val="bottom"/>
            <w:hideMark/>
          </w:tcPr>
          <w:p w14:paraId="708B6BF6"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c>
          <w:tcPr>
            <w:tcW w:w="920" w:type="dxa"/>
            <w:tcBorders>
              <w:top w:val="nil"/>
              <w:left w:val="nil"/>
              <w:bottom w:val="single" w:sz="4" w:space="0" w:color="auto"/>
              <w:right w:val="nil"/>
            </w:tcBorders>
            <w:shd w:val="clear" w:color="000000" w:fill="D9D9D9"/>
            <w:noWrap/>
            <w:vAlign w:val="bottom"/>
            <w:hideMark/>
          </w:tcPr>
          <w:p w14:paraId="2FB9AD49"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10,334</w:t>
            </w:r>
          </w:p>
        </w:tc>
        <w:tc>
          <w:tcPr>
            <w:tcW w:w="907" w:type="dxa"/>
            <w:tcBorders>
              <w:top w:val="nil"/>
              <w:left w:val="nil"/>
              <w:bottom w:val="single" w:sz="4" w:space="0" w:color="auto"/>
              <w:right w:val="nil"/>
            </w:tcBorders>
            <w:shd w:val="clear" w:color="auto" w:fill="auto"/>
            <w:noWrap/>
            <w:vAlign w:val="bottom"/>
            <w:hideMark/>
          </w:tcPr>
          <w:p w14:paraId="0139992C"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c>
          <w:tcPr>
            <w:tcW w:w="907" w:type="dxa"/>
            <w:tcBorders>
              <w:top w:val="nil"/>
              <w:left w:val="nil"/>
              <w:bottom w:val="single" w:sz="4" w:space="0" w:color="auto"/>
              <w:right w:val="nil"/>
            </w:tcBorders>
            <w:shd w:val="clear" w:color="auto" w:fill="auto"/>
            <w:noWrap/>
            <w:vAlign w:val="bottom"/>
            <w:hideMark/>
          </w:tcPr>
          <w:p w14:paraId="19B5E3AF"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c>
          <w:tcPr>
            <w:tcW w:w="907" w:type="dxa"/>
            <w:tcBorders>
              <w:top w:val="nil"/>
              <w:left w:val="nil"/>
              <w:bottom w:val="single" w:sz="4" w:space="0" w:color="auto"/>
              <w:right w:val="nil"/>
            </w:tcBorders>
            <w:shd w:val="clear" w:color="auto" w:fill="auto"/>
            <w:noWrap/>
            <w:vAlign w:val="bottom"/>
            <w:hideMark/>
          </w:tcPr>
          <w:p w14:paraId="71EC7AFA"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r>
      <w:tr w:rsidR="00177622" w:rsidRPr="00177622" w14:paraId="0220FD84" w14:textId="77777777" w:rsidTr="00177622">
        <w:trPr>
          <w:trHeight w:val="425"/>
          <w:jc w:val="center"/>
        </w:trPr>
        <w:tc>
          <w:tcPr>
            <w:tcW w:w="2818" w:type="dxa"/>
            <w:tcBorders>
              <w:top w:val="nil"/>
              <w:left w:val="nil"/>
              <w:bottom w:val="nil"/>
              <w:right w:val="nil"/>
            </w:tcBorders>
            <w:shd w:val="clear" w:color="000000" w:fill="FFFFFF"/>
            <w:vAlign w:val="bottom"/>
            <w:hideMark/>
          </w:tcPr>
          <w:p w14:paraId="06E382D0" w14:textId="77777777" w:rsidR="00177622" w:rsidRPr="00177622" w:rsidRDefault="00177622" w:rsidP="00177622">
            <w:pPr>
              <w:spacing w:after="0"/>
              <w:rPr>
                <w:rFonts w:ascii="Arial" w:hAnsi="Arial" w:cs="Arial"/>
                <w:b/>
                <w:bCs/>
                <w:color w:val="auto"/>
                <w:sz w:val="16"/>
                <w:szCs w:val="16"/>
              </w:rPr>
            </w:pPr>
            <w:r w:rsidRPr="00177622">
              <w:rPr>
                <w:rFonts w:ascii="Arial" w:hAnsi="Arial" w:cs="Arial"/>
                <w:b/>
                <w:bCs/>
                <w:color w:val="auto"/>
                <w:sz w:val="16"/>
                <w:szCs w:val="16"/>
              </w:rPr>
              <w:t>Total new capital appropriations represented by:</w:t>
            </w:r>
          </w:p>
        </w:tc>
        <w:tc>
          <w:tcPr>
            <w:tcW w:w="920" w:type="dxa"/>
            <w:tcBorders>
              <w:top w:val="nil"/>
              <w:left w:val="nil"/>
              <w:bottom w:val="nil"/>
              <w:right w:val="nil"/>
            </w:tcBorders>
            <w:shd w:val="clear" w:color="auto" w:fill="auto"/>
            <w:noWrap/>
            <w:vAlign w:val="bottom"/>
            <w:hideMark/>
          </w:tcPr>
          <w:p w14:paraId="611E240D" w14:textId="77777777" w:rsidR="00177622" w:rsidRPr="00177622" w:rsidRDefault="00177622" w:rsidP="00177622">
            <w:pPr>
              <w:spacing w:after="0"/>
              <w:rPr>
                <w:rFonts w:ascii="Arial" w:hAnsi="Arial" w:cs="Arial"/>
                <w:b/>
                <w:bCs/>
                <w:color w:val="auto"/>
                <w:sz w:val="16"/>
                <w:szCs w:val="16"/>
              </w:rPr>
            </w:pPr>
          </w:p>
        </w:tc>
        <w:tc>
          <w:tcPr>
            <w:tcW w:w="920" w:type="dxa"/>
            <w:tcBorders>
              <w:top w:val="nil"/>
              <w:left w:val="nil"/>
              <w:bottom w:val="nil"/>
              <w:right w:val="nil"/>
            </w:tcBorders>
            <w:shd w:val="clear" w:color="000000" w:fill="D9D9D9"/>
            <w:noWrap/>
            <w:vAlign w:val="bottom"/>
            <w:hideMark/>
          </w:tcPr>
          <w:p w14:paraId="5C59F34B"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 </w:t>
            </w:r>
          </w:p>
        </w:tc>
        <w:tc>
          <w:tcPr>
            <w:tcW w:w="907" w:type="dxa"/>
            <w:tcBorders>
              <w:top w:val="nil"/>
              <w:left w:val="nil"/>
              <w:bottom w:val="nil"/>
              <w:right w:val="nil"/>
            </w:tcBorders>
            <w:shd w:val="clear" w:color="auto" w:fill="auto"/>
            <w:noWrap/>
            <w:vAlign w:val="bottom"/>
            <w:hideMark/>
          </w:tcPr>
          <w:p w14:paraId="01D765A8" w14:textId="77777777" w:rsidR="00177622" w:rsidRPr="00177622" w:rsidRDefault="00177622" w:rsidP="00177622">
            <w:pPr>
              <w:spacing w:after="0"/>
              <w:jc w:val="right"/>
              <w:rPr>
                <w:rFonts w:ascii="Arial" w:hAnsi="Arial" w:cs="Arial"/>
                <w:sz w:val="16"/>
                <w:szCs w:val="16"/>
              </w:rPr>
            </w:pPr>
          </w:p>
        </w:tc>
        <w:tc>
          <w:tcPr>
            <w:tcW w:w="907" w:type="dxa"/>
            <w:tcBorders>
              <w:top w:val="nil"/>
              <w:left w:val="nil"/>
              <w:bottom w:val="nil"/>
              <w:right w:val="nil"/>
            </w:tcBorders>
            <w:shd w:val="clear" w:color="auto" w:fill="auto"/>
            <w:noWrap/>
            <w:vAlign w:val="bottom"/>
            <w:hideMark/>
          </w:tcPr>
          <w:p w14:paraId="3F63969A" w14:textId="77777777" w:rsidR="00177622" w:rsidRPr="00177622" w:rsidRDefault="00177622" w:rsidP="00177622">
            <w:pPr>
              <w:spacing w:after="0"/>
              <w:jc w:val="right"/>
              <w:rPr>
                <w:rFonts w:ascii="Times New Roman" w:hAnsi="Times New Roman"/>
                <w:color w:val="auto"/>
                <w:sz w:val="20"/>
              </w:rPr>
            </w:pPr>
          </w:p>
        </w:tc>
        <w:tc>
          <w:tcPr>
            <w:tcW w:w="907" w:type="dxa"/>
            <w:tcBorders>
              <w:top w:val="nil"/>
              <w:left w:val="nil"/>
              <w:bottom w:val="nil"/>
              <w:right w:val="nil"/>
            </w:tcBorders>
            <w:shd w:val="clear" w:color="auto" w:fill="auto"/>
            <w:noWrap/>
            <w:vAlign w:val="bottom"/>
            <w:hideMark/>
          </w:tcPr>
          <w:p w14:paraId="6A95711B" w14:textId="77777777" w:rsidR="00177622" w:rsidRPr="00177622" w:rsidRDefault="00177622" w:rsidP="00177622">
            <w:pPr>
              <w:spacing w:after="0"/>
              <w:jc w:val="right"/>
              <w:rPr>
                <w:rFonts w:ascii="Times New Roman" w:hAnsi="Times New Roman"/>
                <w:color w:val="auto"/>
                <w:sz w:val="20"/>
              </w:rPr>
            </w:pPr>
          </w:p>
        </w:tc>
      </w:tr>
      <w:tr w:rsidR="00177622" w:rsidRPr="00177622" w14:paraId="11488728" w14:textId="77777777" w:rsidTr="00177622">
        <w:trPr>
          <w:trHeight w:val="225"/>
          <w:jc w:val="center"/>
        </w:trPr>
        <w:tc>
          <w:tcPr>
            <w:tcW w:w="2818" w:type="dxa"/>
            <w:tcBorders>
              <w:top w:val="nil"/>
              <w:left w:val="nil"/>
              <w:bottom w:val="nil"/>
              <w:right w:val="nil"/>
            </w:tcBorders>
            <w:shd w:val="clear" w:color="000000" w:fill="FFFFFF"/>
            <w:noWrap/>
            <w:vAlign w:val="bottom"/>
            <w:hideMark/>
          </w:tcPr>
          <w:p w14:paraId="46AA6939" w14:textId="77777777" w:rsidR="00177622" w:rsidRPr="00177622" w:rsidRDefault="00177622" w:rsidP="00177622">
            <w:pPr>
              <w:spacing w:after="0"/>
              <w:ind w:leftChars="75" w:left="143"/>
              <w:rPr>
                <w:rFonts w:ascii="Arial" w:hAnsi="Arial" w:cs="Arial"/>
                <w:color w:val="auto"/>
                <w:sz w:val="16"/>
                <w:szCs w:val="16"/>
              </w:rPr>
            </w:pPr>
            <w:r w:rsidRPr="00177622">
              <w:rPr>
                <w:rFonts w:ascii="Arial" w:hAnsi="Arial" w:cs="Arial"/>
                <w:color w:val="auto"/>
                <w:sz w:val="16"/>
                <w:szCs w:val="16"/>
              </w:rPr>
              <w:t>Purchase of non-financial assets</w:t>
            </w:r>
          </w:p>
        </w:tc>
        <w:tc>
          <w:tcPr>
            <w:tcW w:w="920" w:type="dxa"/>
            <w:tcBorders>
              <w:top w:val="nil"/>
              <w:left w:val="nil"/>
              <w:bottom w:val="nil"/>
              <w:right w:val="nil"/>
            </w:tcBorders>
            <w:shd w:val="clear" w:color="auto" w:fill="auto"/>
            <w:noWrap/>
            <w:vAlign w:val="bottom"/>
            <w:hideMark/>
          </w:tcPr>
          <w:p w14:paraId="1293995D"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20" w:type="dxa"/>
            <w:tcBorders>
              <w:top w:val="nil"/>
              <w:left w:val="nil"/>
              <w:bottom w:val="nil"/>
              <w:right w:val="nil"/>
            </w:tcBorders>
            <w:shd w:val="clear" w:color="000000" w:fill="D9D9D9"/>
            <w:noWrap/>
            <w:vAlign w:val="bottom"/>
            <w:hideMark/>
          </w:tcPr>
          <w:p w14:paraId="436F2D3F"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10,334</w:t>
            </w:r>
          </w:p>
        </w:tc>
        <w:tc>
          <w:tcPr>
            <w:tcW w:w="907" w:type="dxa"/>
            <w:tcBorders>
              <w:top w:val="nil"/>
              <w:left w:val="nil"/>
              <w:bottom w:val="nil"/>
              <w:right w:val="nil"/>
            </w:tcBorders>
            <w:shd w:val="clear" w:color="auto" w:fill="auto"/>
            <w:noWrap/>
            <w:vAlign w:val="bottom"/>
            <w:hideMark/>
          </w:tcPr>
          <w:p w14:paraId="1B27A706"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07" w:type="dxa"/>
            <w:tcBorders>
              <w:top w:val="nil"/>
              <w:left w:val="nil"/>
              <w:bottom w:val="nil"/>
              <w:right w:val="nil"/>
            </w:tcBorders>
            <w:shd w:val="clear" w:color="auto" w:fill="auto"/>
            <w:noWrap/>
            <w:vAlign w:val="bottom"/>
            <w:hideMark/>
          </w:tcPr>
          <w:p w14:paraId="5B3F628D"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07" w:type="dxa"/>
            <w:tcBorders>
              <w:top w:val="nil"/>
              <w:left w:val="nil"/>
              <w:bottom w:val="nil"/>
              <w:right w:val="nil"/>
            </w:tcBorders>
            <w:shd w:val="clear" w:color="auto" w:fill="auto"/>
            <w:noWrap/>
            <w:vAlign w:val="bottom"/>
            <w:hideMark/>
          </w:tcPr>
          <w:p w14:paraId="29B49F1B"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r>
      <w:tr w:rsidR="00177622" w:rsidRPr="00177622" w14:paraId="09924C66" w14:textId="77777777" w:rsidTr="00177622">
        <w:trPr>
          <w:trHeight w:val="225"/>
          <w:jc w:val="center"/>
        </w:trPr>
        <w:tc>
          <w:tcPr>
            <w:tcW w:w="2818" w:type="dxa"/>
            <w:tcBorders>
              <w:top w:val="nil"/>
              <w:left w:val="nil"/>
              <w:bottom w:val="nil"/>
              <w:right w:val="nil"/>
            </w:tcBorders>
            <w:shd w:val="clear" w:color="000000" w:fill="FFFFFF"/>
            <w:noWrap/>
            <w:vAlign w:val="bottom"/>
            <w:hideMark/>
          </w:tcPr>
          <w:p w14:paraId="2675D3C9" w14:textId="77777777" w:rsidR="00177622" w:rsidRPr="00177622" w:rsidRDefault="00177622" w:rsidP="00177622">
            <w:pPr>
              <w:spacing w:after="0"/>
              <w:ind w:leftChars="75" w:left="143"/>
              <w:rPr>
                <w:rFonts w:ascii="Arial" w:hAnsi="Arial" w:cs="Arial"/>
                <w:b/>
                <w:bCs/>
                <w:color w:val="auto"/>
                <w:sz w:val="16"/>
                <w:szCs w:val="16"/>
              </w:rPr>
            </w:pPr>
            <w:r w:rsidRPr="00177622">
              <w:rPr>
                <w:rFonts w:ascii="Arial" w:hAnsi="Arial" w:cs="Arial"/>
                <w:b/>
                <w:bCs/>
                <w:color w:val="auto"/>
                <w:sz w:val="16"/>
                <w:szCs w:val="16"/>
              </w:rPr>
              <w:t>Total items</w:t>
            </w:r>
          </w:p>
        </w:tc>
        <w:tc>
          <w:tcPr>
            <w:tcW w:w="920" w:type="dxa"/>
            <w:tcBorders>
              <w:top w:val="nil"/>
              <w:left w:val="nil"/>
              <w:bottom w:val="single" w:sz="4" w:space="0" w:color="auto"/>
              <w:right w:val="nil"/>
            </w:tcBorders>
            <w:shd w:val="clear" w:color="auto" w:fill="auto"/>
            <w:noWrap/>
            <w:vAlign w:val="bottom"/>
            <w:hideMark/>
          </w:tcPr>
          <w:p w14:paraId="114AA016"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c>
          <w:tcPr>
            <w:tcW w:w="920" w:type="dxa"/>
            <w:tcBorders>
              <w:top w:val="nil"/>
              <w:left w:val="nil"/>
              <w:bottom w:val="single" w:sz="4" w:space="0" w:color="auto"/>
              <w:right w:val="nil"/>
            </w:tcBorders>
            <w:shd w:val="clear" w:color="000000" w:fill="D9D9D9"/>
            <w:noWrap/>
            <w:vAlign w:val="bottom"/>
            <w:hideMark/>
          </w:tcPr>
          <w:p w14:paraId="76EC2C34"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10,334</w:t>
            </w:r>
          </w:p>
        </w:tc>
        <w:tc>
          <w:tcPr>
            <w:tcW w:w="907" w:type="dxa"/>
            <w:tcBorders>
              <w:top w:val="nil"/>
              <w:left w:val="nil"/>
              <w:bottom w:val="single" w:sz="4" w:space="0" w:color="auto"/>
              <w:right w:val="nil"/>
            </w:tcBorders>
            <w:shd w:val="clear" w:color="auto" w:fill="auto"/>
            <w:noWrap/>
            <w:vAlign w:val="bottom"/>
            <w:hideMark/>
          </w:tcPr>
          <w:p w14:paraId="5D68BA47"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c>
          <w:tcPr>
            <w:tcW w:w="907" w:type="dxa"/>
            <w:tcBorders>
              <w:top w:val="nil"/>
              <w:left w:val="nil"/>
              <w:bottom w:val="single" w:sz="4" w:space="0" w:color="auto"/>
              <w:right w:val="nil"/>
            </w:tcBorders>
            <w:shd w:val="clear" w:color="auto" w:fill="auto"/>
            <w:noWrap/>
            <w:vAlign w:val="bottom"/>
            <w:hideMark/>
          </w:tcPr>
          <w:p w14:paraId="15BF2B82"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c>
          <w:tcPr>
            <w:tcW w:w="907" w:type="dxa"/>
            <w:tcBorders>
              <w:top w:val="nil"/>
              <w:left w:val="nil"/>
              <w:bottom w:val="single" w:sz="4" w:space="0" w:color="auto"/>
              <w:right w:val="nil"/>
            </w:tcBorders>
            <w:shd w:val="clear" w:color="auto" w:fill="auto"/>
            <w:noWrap/>
            <w:vAlign w:val="bottom"/>
            <w:hideMark/>
          </w:tcPr>
          <w:p w14:paraId="61F4DB6A"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r>
      <w:tr w:rsidR="00177622" w:rsidRPr="00177622" w14:paraId="508C47B4" w14:textId="77777777" w:rsidTr="00177622">
        <w:trPr>
          <w:trHeight w:val="454"/>
          <w:jc w:val="center"/>
        </w:trPr>
        <w:tc>
          <w:tcPr>
            <w:tcW w:w="2818" w:type="dxa"/>
            <w:tcBorders>
              <w:top w:val="nil"/>
              <w:left w:val="nil"/>
              <w:bottom w:val="nil"/>
              <w:right w:val="nil"/>
            </w:tcBorders>
            <w:shd w:val="clear" w:color="000000" w:fill="FFFFFF"/>
            <w:vAlign w:val="bottom"/>
            <w:hideMark/>
          </w:tcPr>
          <w:p w14:paraId="4C89A531" w14:textId="77777777" w:rsidR="00177622" w:rsidRPr="00177622" w:rsidRDefault="00177622" w:rsidP="00177622">
            <w:pPr>
              <w:spacing w:after="0"/>
              <w:rPr>
                <w:rFonts w:ascii="Arial" w:hAnsi="Arial" w:cs="Arial"/>
                <w:b/>
                <w:bCs/>
                <w:color w:val="auto"/>
                <w:sz w:val="16"/>
                <w:szCs w:val="16"/>
              </w:rPr>
            </w:pPr>
            <w:r w:rsidRPr="00177622">
              <w:rPr>
                <w:rFonts w:ascii="Arial" w:hAnsi="Arial" w:cs="Arial"/>
                <w:b/>
                <w:bCs/>
                <w:color w:val="auto"/>
                <w:sz w:val="16"/>
                <w:szCs w:val="16"/>
              </w:rPr>
              <w:t>PURCHASE OF NON-FINANCIAL ASSETS</w:t>
            </w:r>
          </w:p>
        </w:tc>
        <w:tc>
          <w:tcPr>
            <w:tcW w:w="920" w:type="dxa"/>
            <w:tcBorders>
              <w:top w:val="nil"/>
              <w:left w:val="nil"/>
              <w:bottom w:val="nil"/>
              <w:right w:val="nil"/>
            </w:tcBorders>
            <w:shd w:val="clear" w:color="auto" w:fill="auto"/>
            <w:noWrap/>
            <w:vAlign w:val="bottom"/>
            <w:hideMark/>
          </w:tcPr>
          <w:p w14:paraId="57933539" w14:textId="77777777" w:rsidR="00177622" w:rsidRPr="00177622" w:rsidRDefault="00177622" w:rsidP="00177622">
            <w:pPr>
              <w:spacing w:after="0"/>
              <w:rPr>
                <w:rFonts w:ascii="Arial" w:hAnsi="Arial" w:cs="Arial"/>
                <w:b/>
                <w:bCs/>
                <w:color w:val="auto"/>
                <w:sz w:val="16"/>
                <w:szCs w:val="16"/>
              </w:rPr>
            </w:pPr>
          </w:p>
        </w:tc>
        <w:tc>
          <w:tcPr>
            <w:tcW w:w="920" w:type="dxa"/>
            <w:tcBorders>
              <w:top w:val="nil"/>
              <w:left w:val="nil"/>
              <w:bottom w:val="nil"/>
              <w:right w:val="nil"/>
            </w:tcBorders>
            <w:shd w:val="clear" w:color="000000" w:fill="D9D9D9"/>
            <w:noWrap/>
            <w:vAlign w:val="bottom"/>
            <w:hideMark/>
          </w:tcPr>
          <w:p w14:paraId="456D9F2D"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 </w:t>
            </w:r>
          </w:p>
        </w:tc>
        <w:tc>
          <w:tcPr>
            <w:tcW w:w="907" w:type="dxa"/>
            <w:tcBorders>
              <w:top w:val="nil"/>
              <w:left w:val="nil"/>
              <w:bottom w:val="nil"/>
              <w:right w:val="nil"/>
            </w:tcBorders>
            <w:shd w:val="clear" w:color="auto" w:fill="auto"/>
            <w:noWrap/>
            <w:vAlign w:val="bottom"/>
            <w:hideMark/>
          </w:tcPr>
          <w:p w14:paraId="19806887" w14:textId="77777777" w:rsidR="00177622" w:rsidRPr="00177622" w:rsidRDefault="00177622" w:rsidP="00177622">
            <w:pPr>
              <w:spacing w:after="0"/>
              <w:jc w:val="right"/>
              <w:rPr>
                <w:rFonts w:ascii="Arial" w:hAnsi="Arial" w:cs="Arial"/>
                <w:sz w:val="16"/>
                <w:szCs w:val="16"/>
              </w:rPr>
            </w:pPr>
          </w:p>
        </w:tc>
        <w:tc>
          <w:tcPr>
            <w:tcW w:w="907" w:type="dxa"/>
            <w:tcBorders>
              <w:top w:val="nil"/>
              <w:left w:val="nil"/>
              <w:bottom w:val="nil"/>
              <w:right w:val="nil"/>
            </w:tcBorders>
            <w:shd w:val="clear" w:color="auto" w:fill="auto"/>
            <w:noWrap/>
            <w:vAlign w:val="bottom"/>
            <w:hideMark/>
          </w:tcPr>
          <w:p w14:paraId="6E36BB16" w14:textId="77777777" w:rsidR="00177622" w:rsidRPr="00177622" w:rsidRDefault="00177622" w:rsidP="00177622">
            <w:pPr>
              <w:spacing w:after="0"/>
              <w:jc w:val="right"/>
              <w:rPr>
                <w:rFonts w:ascii="Times New Roman" w:hAnsi="Times New Roman"/>
                <w:color w:val="auto"/>
                <w:sz w:val="20"/>
              </w:rPr>
            </w:pPr>
          </w:p>
        </w:tc>
        <w:tc>
          <w:tcPr>
            <w:tcW w:w="907" w:type="dxa"/>
            <w:tcBorders>
              <w:top w:val="nil"/>
              <w:left w:val="nil"/>
              <w:bottom w:val="nil"/>
              <w:right w:val="nil"/>
            </w:tcBorders>
            <w:shd w:val="clear" w:color="auto" w:fill="auto"/>
            <w:noWrap/>
            <w:vAlign w:val="bottom"/>
            <w:hideMark/>
          </w:tcPr>
          <w:p w14:paraId="44B43619" w14:textId="77777777" w:rsidR="00177622" w:rsidRPr="00177622" w:rsidRDefault="00177622" w:rsidP="00177622">
            <w:pPr>
              <w:spacing w:after="0"/>
              <w:jc w:val="right"/>
              <w:rPr>
                <w:rFonts w:ascii="Times New Roman" w:hAnsi="Times New Roman"/>
                <w:color w:val="auto"/>
                <w:sz w:val="20"/>
              </w:rPr>
            </w:pPr>
          </w:p>
        </w:tc>
      </w:tr>
      <w:tr w:rsidR="00177622" w:rsidRPr="00177622" w14:paraId="2A1AD18B" w14:textId="77777777" w:rsidTr="00177622">
        <w:trPr>
          <w:trHeight w:val="432"/>
          <w:jc w:val="center"/>
        </w:trPr>
        <w:tc>
          <w:tcPr>
            <w:tcW w:w="2818" w:type="dxa"/>
            <w:tcBorders>
              <w:top w:val="nil"/>
              <w:left w:val="nil"/>
              <w:bottom w:val="nil"/>
              <w:right w:val="nil"/>
            </w:tcBorders>
            <w:shd w:val="clear" w:color="000000" w:fill="FFFFFF"/>
            <w:vAlign w:val="bottom"/>
            <w:hideMark/>
          </w:tcPr>
          <w:p w14:paraId="30A7B070" w14:textId="77777777" w:rsidR="00177622" w:rsidRPr="00177622" w:rsidRDefault="00177622" w:rsidP="00177622">
            <w:pPr>
              <w:spacing w:after="0"/>
              <w:ind w:leftChars="75" w:left="143"/>
              <w:rPr>
                <w:rFonts w:ascii="Arial" w:hAnsi="Arial" w:cs="Arial"/>
                <w:color w:val="auto"/>
                <w:sz w:val="16"/>
                <w:szCs w:val="16"/>
              </w:rPr>
            </w:pPr>
            <w:r w:rsidRPr="00177622">
              <w:rPr>
                <w:rFonts w:ascii="Arial" w:hAnsi="Arial" w:cs="Arial"/>
                <w:color w:val="auto"/>
                <w:sz w:val="16"/>
                <w:szCs w:val="16"/>
              </w:rPr>
              <w:t>Funded by capital appropriations - equity injection</w:t>
            </w:r>
            <w:r w:rsidRPr="00177622">
              <w:rPr>
                <w:rFonts w:ascii="Arial" w:hAnsi="Arial" w:cs="Arial"/>
                <w:color w:val="auto"/>
                <w:sz w:val="16"/>
                <w:szCs w:val="16"/>
                <w:vertAlign w:val="superscript"/>
              </w:rPr>
              <w:t xml:space="preserve"> (a)</w:t>
            </w:r>
          </w:p>
        </w:tc>
        <w:tc>
          <w:tcPr>
            <w:tcW w:w="920" w:type="dxa"/>
            <w:tcBorders>
              <w:top w:val="nil"/>
              <w:left w:val="nil"/>
              <w:bottom w:val="nil"/>
              <w:right w:val="nil"/>
            </w:tcBorders>
            <w:shd w:val="clear" w:color="auto" w:fill="auto"/>
            <w:noWrap/>
            <w:vAlign w:val="bottom"/>
            <w:hideMark/>
          </w:tcPr>
          <w:p w14:paraId="2C288FAE"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20" w:type="dxa"/>
            <w:tcBorders>
              <w:top w:val="nil"/>
              <w:left w:val="nil"/>
              <w:bottom w:val="nil"/>
              <w:right w:val="nil"/>
            </w:tcBorders>
            <w:shd w:val="clear" w:color="000000" w:fill="D9D9D9"/>
            <w:noWrap/>
            <w:vAlign w:val="bottom"/>
            <w:hideMark/>
          </w:tcPr>
          <w:p w14:paraId="2B1CDBA1"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10,334</w:t>
            </w:r>
          </w:p>
        </w:tc>
        <w:tc>
          <w:tcPr>
            <w:tcW w:w="907" w:type="dxa"/>
            <w:tcBorders>
              <w:top w:val="nil"/>
              <w:left w:val="nil"/>
              <w:bottom w:val="nil"/>
              <w:right w:val="nil"/>
            </w:tcBorders>
            <w:shd w:val="clear" w:color="auto" w:fill="auto"/>
            <w:noWrap/>
            <w:vAlign w:val="bottom"/>
            <w:hideMark/>
          </w:tcPr>
          <w:p w14:paraId="0D228C07"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07" w:type="dxa"/>
            <w:tcBorders>
              <w:top w:val="nil"/>
              <w:left w:val="nil"/>
              <w:bottom w:val="nil"/>
              <w:right w:val="nil"/>
            </w:tcBorders>
            <w:shd w:val="clear" w:color="auto" w:fill="auto"/>
            <w:noWrap/>
            <w:vAlign w:val="bottom"/>
            <w:hideMark/>
          </w:tcPr>
          <w:p w14:paraId="0162A889"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07" w:type="dxa"/>
            <w:tcBorders>
              <w:top w:val="nil"/>
              <w:left w:val="nil"/>
              <w:bottom w:val="nil"/>
              <w:right w:val="nil"/>
            </w:tcBorders>
            <w:shd w:val="clear" w:color="auto" w:fill="auto"/>
            <w:noWrap/>
            <w:vAlign w:val="bottom"/>
            <w:hideMark/>
          </w:tcPr>
          <w:p w14:paraId="40E847E4"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r>
      <w:tr w:rsidR="00177622" w:rsidRPr="00177622" w14:paraId="30A7B625" w14:textId="77777777" w:rsidTr="00177622">
        <w:trPr>
          <w:trHeight w:val="444"/>
          <w:jc w:val="center"/>
        </w:trPr>
        <w:tc>
          <w:tcPr>
            <w:tcW w:w="2818" w:type="dxa"/>
            <w:tcBorders>
              <w:top w:val="nil"/>
              <w:left w:val="nil"/>
              <w:bottom w:val="nil"/>
              <w:right w:val="nil"/>
            </w:tcBorders>
            <w:shd w:val="clear" w:color="000000" w:fill="FFFFFF"/>
            <w:vAlign w:val="bottom"/>
            <w:hideMark/>
          </w:tcPr>
          <w:p w14:paraId="61E58D06" w14:textId="77777777" w:rsidR="00177622" w:rsidRPr="00177622" w:rsidRDefault="00177622" w:rsidP="00177622">
            <w:pPr>
              <w:spacing w:after="0"/>
              <w:ind w:leftChars="75" w:left="143"/>
              <w:rPr>
                <w:rFonts w:ascii="Arial" w:hAnsi="Arial" w:cs="Arial"/>
                <w:color w:val="auto"/>
                <w:sz w:val="16"/>
                <w:szCs w:val="16"/>
              </w:rPr>
            </w:pPr>
            <w:r w:rsidRPr="00177622">
              <w:rPr>
                <w:rFonts w:ascii="Arial" w:hAnsi="Arial" w:cs="Arial"/>
                <w:color w:val="auto"/>
                <w:sz w:val="16"/>
                <w:szCs w:val="16"/>
              </w:rPr>
              <w:t>Funded internally from departmental resources</w:t>
            </w:r>
          </w:p>
        </w:tc>
        <w:tc>
          <w:tcPr>
            <w:tcW w:w="920" w:type="dxa"/>
            <w:tcBorders>
              <w:top w:val="nil"/>
              <w:left w:val="nil"/>
              <w:bottom w:val="nil"/>
              <w:right w:val="nil"/>
            </w:tcBorders>
            <w:shd w:val="clear" w:color="auto" w:fill="auto"/>
            <w:noWrap/>
            <w:vAlign w:val="bottom"/>
            <w:hideMark/>
          </w:tcPr>
          <w:p w14:paraId="3E5FFC9E"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17,465</w:t>
            </w:r>
          </w:p>
        </w:tc>
        <w:tc>
          <w:tcPr>
            <w:tcW w:w="920" w:type="dxa"/>
            <w:tcBorders>
              <w:top w:val="nil"/>
              <w:left w:val="nil"/>
              <w:bottom w:val="nil"/>
              <w:right w:val="nil"/>
            </w:tcBorders>
            <w:shd w:val="clear" w:color="000000" w:fill="D9D9D9"/>
            <w:noWrap/>
            <w:vAlign w:val="bottom"/>
            <w:hideMark/>
          </w:tcPr>
          <w:p w14:paraId="036B0049"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21,908</w:t>
            </w:r>
          </w:p>
        </w:tc>
        <w:tc>
          <w:tcPr>
            <w:tcW w:w="907" w:type="dxa"/>
            <w:tcBorders>
              <w:top w:val="nil"/>
              <w:left w:val="nil"/>
              <w:bottom w:val="nil"/>
              <w:right w:val="nil"/>
            </w:tcBorders>
            <w:shd w:val="clear" w:color="auto" w:fill="auto"/>
            <w:noWrap/>
            <w:vAlign w:val="bottom"/>
            <w:hideMark/>
          </w:tcPr>
          <w:p w14:paraId="3AF69D8D"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56,832</w:t>
            </w:r>
          </w:p>
        </w:tc>
        <w:tc>
          <w:tcPr>
            <w:tcW w:w="907" w:type="dxa"/>
            <w:tcBorders>
              <w:top w:val="nil"/>
              <w:left w:val="nil"/>
              <w:bottom w:val="nil"/>
              <w:right w:val="nil"/>
            </w:tcBorders>
            <w:shd w:val="clear" w:color="auto" w:fill="auto"/>
            <w:noWrap/>
            <w:vAlign w:val="bottom"/>
            <w:hideMark/>
          </w:tcPr>
          <w:p w14:paraId="22070A6F"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35,000</w:t>
            </w:r>
          </w:p>
        </w:tc>
        <w:tc>
          <w:tcPr>
            <w:tcW w:w="907" w:type="dxa"/>
            <w:tcBorders>
              <w:top w:val="nil"/>
              <w:left w:val="nil"/>
              <w:bottom w:val="nil"/>
              <w:right w:val="nil"/>
            </w:tcBorders>
            <w:shd w:val="clear" w:color="auto" w:fill="auto"/>
            <w:noWrap/>
            <w:vAlign w:val="bottom"/>
            <w:hideMark/>
          </w:tcPr>
          <w:p w14:paraId="0328007F"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27,540</w:t>
            </w:r>
          </w:p>
        </w:tc>
      </w:tr>
      <w:tr w:rsidR="00177622" w:rsidRPr="00177622" w14:paraId="7FDA9194" w14:textId="77777777" w:rsidTr="00177622">
        <w:trPr>
          <w:trHeight w:val="408"/>
          <w:jc w:val="center"/>
        </w:trPr>
        <w:tc>
          <w:tcPr>
            <w:tcW w:w="2818" w:type="dxa"/>
            <w:tcBorders>
              <w:top w:val="nil"/>
              <w:left w:val="nil"/>
              <w:bottom w:val="nil"/>
              <w:right w:val="nil"/>
            </w:tcBorders>
            <w:shd w:val="clear" w:color="000000" w:fill="FFFFFF"/>
            <w:vAlign w:val="bottom"/>
            <w:hideMark/>
          </w:tcPr>
          <w:p w14:paraId="2D037127" w14:textId="77777777" w:rsidR="00177622" w:rsidRPr="00177622" w:rsidRDefault="00177622" w:rsidP="00177622">
            <w:pPr>
              <w:spacing w:after="0"/>
              <w:ind w:leftChars="75" w:left="143"/>
              <w:rPr>
                <w:rFonts w:ascii="Arial" w:hAnsi="Arial" w:cs="Arial"/>
                <w:b/>
                <w:bCs/>
                <w:color w:val="auto"/>
                <w:sz w:val="16"/>
                <w:szCs w:val="16"/>
              </w:rPr>
            </w:pPr>
            <w:r w:rsidRPr="00177622">
              <w:rPr>
                <w:rFonts w:ascii="Arial" w:hAnsi="Arial" w:cs="Arial"/>
                <w:b/>
                <w:bCs/>
                <w:color w:val="auto"/>
                <w:sz w:val="16"/>
                <w:szCs w:val="16"/>
              </w:rPr>
              <w:t>Total acquisitions of non-financial assets</w:t>
            </w:r>
          </w:p>
        </w:tc>
        <w:tc>
          <w:tcPr>
            <w:tcW w:w="920" w:type="dxa"/>
            <w:tcBorders>
              <w:top w:val="nil"/>
              <w:left w:val="nil"/>
              <w:bottom w:val="single" w:sz="4" w:space="0" w:color="auto"/>
              <w:right w:val="nil"/>
            </w:tcBorders>
            <w:shd w:val="clear" w:color="auto" w:fill="auto"/>
            <w:noWrap/>
            <w:vAlign w:val="bottom"/>
            <w:hideMark/>
          </w:tcPr>
          <w:p w14:paraId="7818A920"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17,465</w:t>
            </w:r>
          </w:p>
        </w:tc>
        <w:tc>
          <w:tcPr>
            <w:tcW w:w="920" w:type="dxa"/>
            <w:tcBorders>
              <w:top w:val="nil"/>
              <w:left w:val="nil"/>
              <w:bottom w:val="single" w:sz="4" w:space="0" w:color="auto"/>
              <w:right w:val="nil"/>
            </w:tcBorders>
            <w:shd w:val="clear" w:color="000000" w:fill="D9D9D9"/>
            <w:noWrap/>
            <w:vAlign w:val="bottom"/>
            <w:hideMark/>
          </w:tcPr>
          <w:p w14:paraId="651D2729"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32,242</w:t>
            </w:r>
          </w:p>
        </w:tc>
        <w:tc>
          <w:tcPr>
            <w:tcW w:w="907" w:type="dxa"/>
            <w:tcBorders>
              <w:top w:val="nil"/>
              <w:left w:val="nil"/>
              <w:bottom w:val="single" w:sz="4" w:space="0" w:color="auto"/>
              <w:right w:val="nil"/>
            </w:tcBorders>
            <w:shd w:val="clear" w:color="auto" w:fill="auto"/>
            <w:noWrap/>
            <w:vAlign w:val="bottom"/>
            <w:hideMark/>
          </w:tcPr>
          <w:p w14:paraId="2A743786"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56,832</w:t>
            </w:r>
          </w:p>
        </w:tc>
        <w:tc>
          <w:tcPr>
            <w:tcW w:w="907" w:type="dxa"/>
            <w:tcBorders>
              <w:top w:val="nil"/>
              <w:left w:val="nil"/>
              <w:bottom w:val="single" w:sz="4" w:space="0" w:color="auto"/>
              <w:right w:val="nil"/>
            </w:tcBorders>
            <w:shd w:val="clear" w:color="auto" w:fill="auto"/>
            <w:noWrap/>
            <w:vAlign w:val="bottom"/>
            <w:hideMark/>
          </w:tcPr>
          <w:p w14:paraId="4782CB2C"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35,000</w:t>
            </w:r>
          </w:p>
        </w:tc>
        <w:tc>
          <w:tcPr>
            <w:tcW w:w="907" w:type="dxa"/>
            <w:tcBorders>
              <w:top w:val="nil"/>
              <w:left w:val="nil"/>
              <w:bottom w:val="single" w:sz="4" w:space="0" w:color="auto"/>
              <w:right w:val="nil"/>
            </w:tcBorders>
            <w:shd w:val="clear" w:color="auto" w:fill="auto"/>
            <w:noWrap/>
            <w:vAlign w:val="bottom"/>
            <w:hideMark/>
          </w:tcPr>
          <w:p w14:paraId="7FB9395D"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27,540</w:t>
            </w:r>
          </w:p>
        </w:tc>
      </w:tr>
      <w:tr w:rsidR="00177622" w:rsidRPr="00177622" w14:paraId="3174F05A" w14:textId="77777777" w:rsidTr="00177622">
        <w:trPr>
          <w:trHeight w:val="624"/>
          <w:jc w:val="center"/>
        </w:trPr>
        <w:tc>
          <w:tcPr>
            <w:tcW w:w="2818" w:type="dxa"/>
            <w:tcBorders>
              <w:top w:val="nil"/>
              <w:left w:val="nil"/>
              <w:bottom w:val="nil"/>
              <w:right w:val="nil"/>
            </w:tcBorders>
            <w:shd w:val="clear" w:color="000000" w:fill="FFFFFF"/>
            <w:vAlign w:val="bottom"/>
            <w:hideMark/>
          </w:tcPr>
          <w:p w14:paraId="7F0FD113" w14:textId="77777777" w:rsidR="00177622" w:rsidRPr="00177622" w:rsidRDefault="00177622" w:rsidP="00177622">
            <w:pPr>
              <w:spacing w:after="0"/>
              <w:rPr>
                <w:rFonts w:ascii="Arial" w:hAnsi="Arial" w:cs="Arial"/>
                <w:b/>
                <w:bCs/>
                <w:color w:val="auto"/>
                <w:sz w:val="16"/>
                <w:szCs w:val="16"/>
              </w:rPr>
            </w:pPr>
            <w:r w:rsidRPr="00177622">
              <w:rPr>
                <w:rFonts w:ascii="Arial" w:hAnsi="Arial" w:cs="Arial"/>
                <w:b/>
                <w:bCs/>
                <w:color w:val="auto"/>
                <w:sz w:val="16"/>
                <w:szCs w:val="16"/>
              </w:rPr>
              <w:t>RECONCILIATION OF CASH USED TO ACQUIRE ASSETS TO ASSET MOVEMENT TABLE</w:t>
            </w:r>
          </w:p>
        </w:tc>
        <w:tc>
          <w:tcPr>
            <w:tcW w:w="920" w:type="dxa"/>
            <w:tcBorders>
              <w:top w:val="nil"/>
              <w:left w:val="nil"/>
              <w:bottom w:val="nil"/>
              <w:right w:val="nil"/>
            </w:tcBorders>
            <w:shd w:val="clear" w:color="auto" w:fill="auto"/>
            <w:noWrap/>
            <w:vAlign w:val="bottom"/>
            <w:hideMark/>
          </w:tcPr>
          <w:p w14:paraId="1CD4BEEA" w14:textId="77777777" w:rsidR="00177622" w:rsidRPr="00177622" w:rsidRDefault="00177622" w:rsidP="00177622">
            <w:pPr>
              <w:spacing w:after="0"/>
              <w:rPr>
                <w:rFonts w:ascii="Arial" w:hAnsi="Arial" w:cs="Arial"/>
                <w:b/>
                <w:bCs/>
                <w:color w:val="auto"/>
                <w:sz w:val="16"/>
                <w:szCs w:val="16"/>
              </w:rPr>
            </w:pPr>
          </w:p>
        </w:tc>
        <w:tc>
          <w:tcPr>
            <w:tcW w:w="920" w:type="dxa"/>
            <w:tcBorders>
              <w:top w:val="nil"/>
              <w:left w:val="nil"/>
              <w:bottom w:val="nil"/>
              <w:right w:val="nil"/>
            </w:tcBorders>
            <w:shd w:val="clear" w:color="000000" w:fill="D9D9D9"/>
            <w:noWrap/>
            <w:vAlign w:val="bottom"/>
            <w:hideMark/>
          </w:tcPr>
          <w:p w14:paraId="28ACD7F9"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 </w:t>
            </w:r>
          </w:p>
        </w:tc>
        <w:tc>
          <w:tcPr>
            <w:tcW w:w="907" w:type="dxa"/>
            <w:tcBorders>
              <w:top w:val="nil"/>
              <w:left w:val="nil"/>
              <w:bottom w:val="nil"/>
              <w:right w:val="nil"/>
            </w:tcBorders>
            <w:shd w:val="clear" w:color="auto" w:fill="auto"/>
            <w:noWrap/>
            <w:vAlign w:val="bottom"/>
            <w:hideMark/>
          </w:tcPr>
          <w:p w14:paraId="09E63172" w14:textId="77777777" w:rsidR="00177622" w:rsidRPr="00177622" w:rsidRDefault="00177622" w:rsidP="00177622">
            <w:pPr>
              <w:spacing w:after="0"/>
              <w:jc w:val="right"/>
              <w:rPr>
                <w:rFonts w:ascii="Arial" w:hAnsi="Arial" w:cs="Arial"/>
                <w:sz w:val="16"/>
                <w:szCs w:val="16"/>
              </w:rPr>
            </w:pPr>
          </w:p>
        </w:tc>
        <w:tc>
          <w:tcPr>
            <w:tcW w:w="907" w:type="dxa"/>
            <w:tcBorders>
              <w:top w:val="nil"/>
              <w:left w:val="nil"/>
              <w:bottom w:val="nil"/>
              <w:right w:val="nil"/>
            </w:tcBorders>
            <w:shd w:val="clear" w:color="auto" w:fill="auto"/>
            <w:noWrap/>
            <w:vAlign w:val="bottom"/>
            <w:hideMark/>
          </w:tcPr>
          <w:p w14:paraId="5F03888D" w14:textId="77777777" w:rsidR="00177622" w:rsidRPr="00177622" w:rsidRDefault="00177622" w:rsidP="00177622">
            <w:pPr>
              <w:spacing w:after="0"/>
              <w:jc w:val="right"/>
              <w:rPr>
                <w:rFonts w:ascii="Times New Roman" w:hAnsi="Times New Roman"/>
                <w:color w:val="auto"/>
                <w:sz w:val="20"/>
              </w:rPr>
            </w:pPr>
          </w:p>
        </w:tc>
        <w:tc>
          <w:tcPr>
            <w:tcW w:w="907" w:type="dxa"/>
            <w:tcBorders>
              <w:top w:val="nil"/>
              <w:left w:val="nil"/>
              <w:bottom w:val="nil"/>
              <w:right w:val="nil"/>
            </w:tcBorders>
            <w:shd w:val="clear" w:color="auto" w:fill="auto"/>
            <w:noWrap/>
            <w:vAlign w:val="bottom"/>
            <w:hideMark/>
          </w:tcPr>
          <w:p w14:paraId="259A7486" w14:textId="77777777" w:rsidR="00177622" w:rsidRPr="00177622" w:rsidRDefault="00177622" w:rsidP="00177622">
            <w:pPr>
              <w:spacing w:after="0"/>
              <w:jc w:val="right"/>
              <w:rPr>
                <w:rFonts w:ascii="Times New Roman" w:hAnsi="Times New Roman"/>
                <w:color w:val="auto"/>
                <w:sz w:val="20"/>
              </w:rPr>
            </w:pPr>
          </w:p>
        </w:tc>
      </w:tr>
      <w:tr w:rsidR="00177622" w:rsidRPr="00177622" w14:paraId="6B768FE6" w14:textId="77777777" w:rsidTr="00177622">
        <w:trPr>
          <w:trHeight w:val="225"/>
          <w:jc w:val="center"/>
        </w:trPr>
        <w:tc>
          <w:tcPr>
            <w:tcW w:w="2818" w:type="dxa"/>
            <w:tcBorders>
              <w:top w:val="nil"/>
              <w:left w:val="nil"/>
              <w:bottom w:val="nil"/>
              <w:right w:val="nil"/>
            </w:tcBorders>
            <w:shd w:val="clear" w:color="000000" w:fill="FFFFFF"/>
            <w:noWrap/>
            <w:vAlign w:val="bottom"/>
            <w:hideMark/>
          </w:tcPr>
          <w:p w14:paraId="6E3584F5" w14:textId="77777777" w:rsidR="00177622" w:rsidRPr="00177622" w:rsidRDefault="00177622" w:rsidP="00177622">
            <w:pPr>
              <w:spacing w:after="0"/>
              <w:ind w:leftChars="75" w:left="143"/>
              <w:rPr>
                <w:rFonts w:ascii="Arial" w:hAnsi="Arial" w:cs="Arial"/>
                <w:color w:val="auto"/>
                <w:sz w:val="16"/>
                <w:szCs w:val="16"/>
              </w:rPr>
            </w:pPr>
            <w:r w:rsidRPr="00177622">
              <w:rPr>
                <w:rFonts w:ascii="Arial" w:hAnsi="Arial" w:cs="Arial"/>
                <w:color w:val="auto"/>
                <w:sz w:val="16"/>
                <w:szCs w:val="16"/>
              </w:rPr>
              <w:t>Total purchases</w:t>
            </w:r>
          </w:p>
        </w:tc>
        <w:tc>
          <w:tcPr>
            <w:tcW w:w="920" w:type="dxa"/>
            <w:tcBorders>
              <w:top w:val="nil"/>
              <w:left w:val="nil"/>
              <w:bottom w:val="single" w:sz="4" w:space="0" w:color="auto"/>
              <w:right w:val="nil"/>
            </w:tcBorders>
            <w:shd w:val="clear" w:color="auto" w:fill="auto"/>
            <w:noWrap/>
            <w:vAlign w:val="bottom"/>
            <w:hideMark/>
          </w:tcPr>
          <w:p w14:paraId="163AAA29"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6,240</w:t>
            </w:r>
          </w:p>
        </w:tc>
        <w:tc>
          <w:tcPr>
            <w:tcW w:w="920" w:type="dxa"/>
            <w:tcBorders>
              <w:top w:val="nil"/>
              <w:left w:val="nil"/>
              <w:bottom w:val="single" w:sz="4" w:space="0" w:color="auto"/>
              <w:right w:val="nil"/>
            </w:tcBorders>
            <w:shd w:val="clear" w:color="000000" w:fill="D9D9D9"/>
            <w:noWrap/>
            <w:vAlign w:val="bottom"/>
            <w:hideMark/>
          </w:tcPr>
          <w:p w14:paraId="639EA3CF"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32,242</w:t>
            </w:r>
          </w:p>
        </w:tc>
        <w:tc>
          <w:tcPr>
            <w:tcW w:w="907" w:type="dxa"/>
            <w:tcBorders>
              <w:top w:val="nil"/>
              <w:left w:val="nil"/>
              <w:bottom w:val="single" w:sz="4" w:space="0" w:color="auto"/>
              <w:right w:val="nil"/>
            </w:tcBorders>
            <w:shd w:val="clear" w:color="auto" w:fill="auto"/>
            <w:noWrap/>
            <w:vAlign w:val="bottom"/>
            <w:hideMark/>
          </w:tcPr>
          <w:p w14:paraId="57FF2FE3"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56,832</w:t>
            </w:r>
          </w:p>
        </w:tc>
        <w:tc>
          <w:tcPr>
            <w:tcW w:w="907" w:type="dxa"/>
            <w:tcBorders>
              <w:top w:val="nil"/>
              <w:left w:val="nil"/>
              <w:bottom w:val="single" w:sz="4" w:space="0" w:color="auto"/>
              <w:right w:val="nil"/>
            </w:tcBorders>
            <w:shd w:val="clear" w:color="auto" w:fill="auto"/>
            <w:noWrap/>
            <w:vAlign w:val="bottom"/>
            <w:hideMark/>
          </w:tcPr>
          <w:p w14:paraId="73DD02AF"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35,000</w:t>
            </w:r>
          </w:p>
        </w:tc>
        <w:tc>
          <w:tcPr>
            <w:tcW w:w="907" w:type="dxa"/>
            <w:tcBorders>
              <w:top w:val="nil"/>
              <w:left w:val="nil"/>
              <w:bottom w:val="single" w:sz="4" w:space="0" w:color="auto"/>
              <w:right w:val="nil"/>
            </w:tcBorders>
            <w:shd w:val="clear" w:color="auto" w:fill="auto"/>
            <w:noWrap/>
            <w:vAlign w:val="bottom"/>
            <w:hideMark/>
          </w:tcPr>
          <w:p w14:paraId="00BCF102"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27,540</w:t>
            </w:r>
          </w:p>
        </w:tc>
      </w:tr>
      <w:tr w:rsidR="00177622" w:rsidRPr="00177622" w14:paraId="49F55F7F" w14:textId="77777777" w:rsidTr="00177622">
        <w:trPr>
          <w:trHeight w:val="227"/>
          <w:jc w:val="center"/>
        </w:trPr>
        <w:tc>
          <w:tcPr>
            <w:tcW w:w="2818" w:type="dxa"/>
            <w:tcBorders>
              <w:top w:val="nil"/>
              <w:left w:val="nil"/>
              <w:bottom w:val="single" w:sz="4" w:space="0" w:color="auto"/>
              <w:right w:val="nil"/>
            </w:tcBorders>
            <w:shd w:val="clear" w:color="000000" w:fill="FFFFFF"/>
            <w:vAlign w:val="bottom"/>
            <w:hideMark/>
          </w:tcPr>
          <w:p w14:paraId="3E7B50E9" w14:textId="77777777" w:rsidR="00177622" w:rsidRPr="00177622" w:rsidRDefault="00177622" w:rsidP="00AE5547">
            <w:pPr>
              <w:spacing w:before="60" w:after="0"/>
              <w:ind w:leftChars="75" w:left="143"/>
              <w:rPr>
                <w:rFonts w:ascii="Arial" w:hAnsi="Arial" w:cs="Arial"/>
                <w:b/>
                <w:bCs/>
                <w:color w:val="auto"/>
                <w:sz w:val="16"/>
                <w:szCs w:val="16"/>
              </w:rPr>
            </w:pPr>
            <w:r w:rsidRPr="00177622">
              <w:rPr>
                <w:rFonts w:ascii="Arial" w:hAnsi="Arial" w:cs="Arial"/>
                <w:b/>
                <w:bCs/>
                <w:color w:val="auto"/>
                <w:sz w:val="16"/>
                <w:szCs w:val="16"/>
              </w:rPr>
              <w:t>Total cash used to acquire assets</w:t>
            </w:r>
          </w:p>
        </w:tc>
        <w:tc>
          <w:tcPr>
            <w:tcW w:w="920" w:type="dxa"/>
            <w:tcBorders>
              <w:top w:val="nil"/>
              <w:left w:val="nil"/>
              <w:bottom w:val="single" w:sz="4" w:space="0" w:color="auto"/>
              <w:right w:val="nil"/>
            </w:tcBorders>
            <w:shd w:val="clear" w:color="auto" w:fill="auto"/>
            <w:noWrap/>
            <w:vAlign w:val="bottom"/>
            <w:hideMark/>
          </w:tcPr>
          <w:p w14:paraId="1BDBBE4F" w14:textId="77777777" w:rsidR="00177622" w:rsidRPr="00177622" w:rsidRDefault="00177622" w:rsidP="00177622">
            <w:pPr>
              <w:spacing w:after="0"/>
              <w:jc w:val="right"/>
              <w:rPr>
                <w:rFonts w:ascii="Arial" w:hAnsi="Arial" w:cs="Arial"/>
                <w:b/>
                <w:bCs/>
                <w:color w:val="auto"/>
                <w:sz w:val="16"/>
                <w:szCs w:val="16"/>
              </w:rPr>
            </w:pPr>
            <w:r w:rsidRPr="00177622">
              <w:rPr>
                <w:rFonts w:ascii="Arial" w:hAnsi="Arial" w:cs="Arial"/>
                <w:b/>
                <w:bCs/>
                <w:color w:val="auto"/>
                <w:sz w:val="16"/>
                <w:szCs w:val="16"/>
              </w:rPr>
              <w:t>6,240</w:t>
            </w:r>
          </w:p>
        </w:tc>
        <w:tc>
          <w:tcPr>
            <w:tcW w:w="920" w:type="dxa"/>
            <w:tcBorders>
              <w:top w:val="nil"/>
              <w:left w:val="nil"/>
              <w:bottom w:val="single" w:sz="4" w:space="0" w:color="auto"/>
              <w:right w:val="nil"/>
            </w:tcBorders>
            <w:shd w:val="clear" w:color="000000" w:fill="D9D9D9"/>
            <w:noWrap/>
            <w:vAlign w:val="bottom"/>
            <w:hideMark/>
          </w:tcPr>
          <w:p w14:paraId="582090FF"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32,242</w:t>
            </w:r>
          </w:p>
        </w:tc>
        <w:tc>
          <w:tcPr>
            <w:tcW w:w="907" w:type="dxa"/>
            <w:tcBorders>
              <w:top w:val="nil"/>
              <w:left w:val="nil"/>
              <w:bottom w:val="single" w:sz="4" w:space="0" w:color="auto"/>
              <w:right w:val="nil"/>
            </w:tcBorders>
            <w:shd w:val="clear" w:color="auto" w:fill="auto"/>
            <w:noWrap/>
            <w:vAlign w:val="bottom"/>
            <w:hideMark/>
          </w:tcPr>
          <w:p w14:paraId="74677E98"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56,832</w:t>
            </w:r>
          </w:p>
        </w:tc>
        <w:tc>
          <w:tcPr>
            <w:tcW w:w="907" w:type="dxa"/>
            <w:tcBorders>
              <w:top w:val="nil"/>
              <w:left w:val="nil"/>
              <w:bottom w:val="single" w:sz="4" w:space="0" w:color="auto"/>
              <w:right w:val="nil"/>
            </w:tcBorders>
            <w:shd w:val="clear" w:color="auto" w:fill="auto"/>
            <w:noWrap/>
            <w:vAlign w:val="bottom"/>
            <w:hideMark/>
          </w:tcPr>
          <w:p w14:paraId="41708601" w14:textId="77777777" w:rsidR="00177622" w:rsidRPr="00177622" w:rsidRDefault="00177622" w:rsidP="00177622">
            <w:pPr>
              <w:spacing w:after="0"/>
              <w:jc w:val="right"/>
              <w:rPr>
                <w:rFonts w:ascii="Arial" w:hAnsi="Arial" w:cs="Arial"/>
                <w:b/>
                <w:bCs/>
                <w:color w:val="auto"/>
                <w:sz w:val="16"/>
                <w:szCs w:val="16"/>
              </w:rPr>
            </w:pPr>
            <w:r w:rsidRPr="00177622">
              <w:rPr>
                <w:rFonts w:ascii="Arial" w:hAnsi="Arial" w:cs="Arial"/>
                <w:b/>
                <w:bCs/>
                <w:color w:val="auto"/>
                <w:sz w:val="16"/>
                <w:szCs w:val="16"/>
              </w:rPr>
              <w:t>35,000</w:t>
            </w:r>
          </w:p>
        </w:tc>
        <w:tc>
          <w:tcPr>
            <w:tcW w:w="907" w:type="dxa"/>
            <w:tcBorders>
              <w:top w:val="nil"/>
              <w:left w:val="nil"/>
              <w:bottom w:val="single" w:sz="4" w:space="0" w:color="auto"/>
              <w:right w:val="nil"/>
            </w:tcBorders>
            <w:shd w:val="clear" w:color="auto" w:fill="auto"/>
            <w:noWrap/>
            <w:vAlign w:val="bottom"/>
            <w:hideMark/>
          </w:tcPr>
          <w:p w14:paraId="14D1A6B6" w14:textId="77777777" w:rsidR="00177622" w:rsidRPr="00177622" w:rsidRDefault="00177622" w:rsidP="00177622">
            <w:pPr>
              <w:spacing w:after="0"/>
              <w:jc w:val="right"/>
              <w:rPr>
                <w:rFonts w:ascii="Arial" w:hAnsi="Arial" w:cs="Arial"/>
                <w:b/>
                <w:bCs/>
                <w:color w:val="auto"/>
                <w:sz w:val="16"/>
                <w:szCs w:val="16"/>
              </w:rPr>
            </w:pPr>
            <w:r w:rsidRPr="00177622">
              <w:rPr>
                <w:rFonts w:ascii="Arial" w:hAnsi="Arial" w:cs="Arial"/>
                <w:b/>
                <w:bCs/>
                <w:color w:val="auto"/>
                <w:sz w:val="16"/>
                <w:szCs w:val="16"/>
              </w:rPr>
              <w:t>27,540</w:t>
            </w:r>
          </w:p>
        </w:tc>
      </w:tr>
    </w:tbl>
    <w:p w14:paraId="21ADB7B5" w14:textId="151B6FBB" w:rsidR="00177622" w:rsidRDefault="00177622" w:rsidP="00177622">
      <w:pPr>
        <w:pStyle w:val="FootnoteText"/>
        <w:spacing w:before="120"/>
      </w:pPr>
      <w:r w:rsidRPr="00177622">
        <w:rPr>
          <w:vertAlign w:val="superscript"/>
        </w:rPr>
        <w:t>(a)</w:t>
      </w:r>
      <w:r>
        <w:tab/>
      </w:r>
      <w:r w:rsidRPr="00177622">
        <w:t>Includes both current Bill 2 and prior Act 2, 4, 6 appropriations.</w:t>
      </w:r>
    </w:p>
    <w:p w14:paraId="1CE0594A" w14:textId="77777777" w:rsidR="00177622" w:rsidRDefault="00177622">
      <w:pPr>
        <w:spacing w:after="160" w:line="259" w:lineRule="auto"/>
        <w:rPr>
          <w:rFonts w:ascii="Arial" w:hAnsi="Arial"/>
          <w:b/>
          <w:color w:val="auto"/>
          <w:sz w:val="20"/>
        </w:rPr>
      </w:pPr>
      <w:r>
        <w:rPr>
          <w:rFonts w:ascii="Arial" w:hAnsi="Arial"/>
          <w:b/>
          <w:color w:val="auto"/>
          <w:sz w:val="20"/>
        </w:rPr>
        <w:br w:type="page"/>
      </w:r>
    </w:p>
    <w:p w14:paraId="2B9FA179" w14:textId="4FD738AE" w:rsidR="00A80B87" w:rsidRPr="00A80B87" w:rsidRDefault="00A80B87" w:rsidP="00A74FED">
      <w:pPr>
        <w:keepNext/>
        <w:spacing w:before="120"/>
        <w:rPr>
          <w:rFonts w:ascii="Arial" w:hAnsi="Arial"/>
          <w:b/>
          <w:color w:val="auto"/>
          <w:sz w:val="20"/>
        </w:rPr>
      </w:pPr>
      <w:r w:rsidRPr="00A80B87">
        <w:rPr>
          <w:rFonts w:ascii="Arial" w:hAnsi="Arial"/>
          <w:b/>
          <w:color w:val="auto"/>
          <w:sz w:val="20"/>
        </w:rPr>
        <w:lastRenderedPageBreak/>
        <w:t xml:space="preserve">Table 3.6: Statement of departmental asset </w:t>
      </w:r>
      <w:proofErr w:type="gramStart"/>
      <w:r w:rsidRPr="00A80B87">
        <w:rPr>
          <w:rFonts w:ascii="Arial" w:hAnsi="Arial"/>
          <w:b/>
          <w:color w:val="auto"/>
          <w:sz w:val="20"/>
        </w:rPr>
        <w:t>movements</w:t>
      </w:r>
      <w:proofErr w:type="gramEnd"/>
      <w:r w:rsidRPr="00A80B87">
        <w:rPr>
          <w:rFonts w:ascii="Arial" w:hAnsi="Arial"/>
          <w:b/>
          <w:color w:val="auto"/>
          <w:sz w:val="20"/>
        </w:rPr>
        <w:br/>
        <w:t>(Budget year 2022–23)</w:t>
      </w:r>
    </w:p>
    <w:tbl>
      <w:tblPr>
        <w:tblW w:w="7375" w:type="dxa"/>
        <w:jc w:val="center"/>
        <w:tblLayout w:type="fixed"/>
        <w:tblLook w:val="04A0" w:firstRow="1" w:lastRow="0" w:firstColumn="1" w:lastColumn="0" w:noHBand="0" w:noVBand="1"/>
      </w:tblPr>
      <w:tblGrid>
        <w:gridCol w:w="2878"/>
        <w:gridCol w:w="652"/>
        <w:gridCol w:w="920"/>
        <w:gridCol w:w="1066"/>
        <w:gridCol w:w="1009"/>
        <w:gridCol w:w="850"/>
      </w:tblGrid>
      <w:tr w:rsidR="00177622" w:rsidRPr="00177622" w14:paraId="4997D10D" w14:textId="77777777" w:rsidTr="00963710">
        <w:trPr>
          <w:trHeight w:val="765"/>
          <w:jc w:val="center"/>
        </w:trPr>
        <w:tc>
          <w:tcPr>
            <w:tcW w:w="2878" w:type="dxa"/>
            <w:tcBorders>
              <w:top w:val="single" w:sz="4" w:space="0" w:color="auto"/>
              <w:left w:val="nil"/>
              <w:bottom w:val="nil"/>
              <w:right w:val="nil"/>
            </w:tcBorders>
            <w:shd w:val="clear" w:color="auto" w:fill="auto"/>
            <w:hideMark/>
          </w:tcPr>
          <w:p w14:paraId="7C3D3635" w14:textId="77777777" w:rsidR="00177622" w:rsidRPr="00177622" w:rsidRDefault="00177622" w:rsidP="0091389E">
            <w:pPr>
              <w:spacing w:before="40" w:after="0"/>
              <w:jc w:val="right"/>
              <w:rPr>
                <w:rFonts w:ascii="Times New Roman" w:hAnsi="Times New Roman"/>
                <w:color w:val="auto"/>
                <w:sz w:val="20"/>
                <w:szCs w:val="24"/>
              </w:rPr>
            </w:pPr>
          </w:p>
        </w:tc>
        <w:tc>
          <w:tcPr>
            <w:tcW w:w="652" w:type="dxa"/>
            <w:tcBorders>
              <w:top w:val="single" w:sz="4" w:space="0" w:color="auto"/>
              <w:left w:val="nil"/>
              <w:bottom w:val="single" w:sz="4" w:space="0" w:color="auto"/>
              <w:right w:val="nil"/>
            </w:tcBorders>
            <w:shd w:val="clear" w:color="auto" w:fill="auto"/>
            <w:hideMark/>
          </w:tcPr>
          <w:p w14:paraId="53557ADA" w14:textId="77777777" w:rsidR="00177622" w:rsidRPr="00177622" w:rsidRDefault="00177622" w:rsidP="0091389E">
            <w:pPr>
              <w:spacing w:before="40" w:after="0"/>
              <w:jc w:val="right"/>
              <w:rPr>
                <w:rFonts w:ascii="Arial" w:hAnsi="Arial" w:cs="Arial"/>
                <w:b/>
                <w:bCs/>
                <w:color w:val="auto"/>
                <w:sz w:val="16"/>
                <w:szCs w:val="16"/>
              </w:rPr>
            </w:pPr>
            <w:r w:rsidRPr="00177622">
              <w:rPr>
                <w:rFonts w:ascii="Arial" w:hAnsi="Arial" w:cs="Arial"/>
                <w:b/>
                <w:bCs/>
                <w:color w:val="auto"/>
                <w:sz w:val="16"/>
                <w:szCs w:val="16"/>
              </w:rPr>
              <w:t>Land</w:t>
            </w:r>
            <w:r w:rsidRPr="00177622">
              <w:rPr>
                <w:rFonts w:ascii="Arial" w:hAnsi="Arial" w:cs="Arial"/>
                <w:color w:val="auto"/>
                <w:sz w:val="16"/>
                <w:szCs w:val="16"/>
              </w:rPr>
              <w:t xml:space="preserve"> </w:t>
            </w:r>
            <w:r w:rsidRPr="00177622">
              <w:rPr>
                <w:rFonts w:ascii="Arial" w:hAnsi="Arial" w:cs="Arial"/>
                <w:color w:val="auto"/>
                <w:sz w:val="16"/>
                <w:szCs w:val="16"/>
              </w:rPr>
              <w:br/>
            </w:r>
            <w:r w:rsidRPr="00177622">
              <w:rPr>
                <w:rFonts w:ascii="Arial" w:hAnsi="Arial" w:cs="Arial"/>
                <w:color w:val="auto"/>
                <w:sz w:val="16"/>
                <w:szCs w:val="16"/>
              </w:rPr>
              <w:br/>
            </w:r>
            <w:r w:rsidRPr="00177622">
              <w:rPr>
                <w:rFonts w:ascii="Arial" w:hAnsi="Arial" w:cs="Arial"/>
                <w:color w:val="auto"/>
                <w:sz w:val="16"/>
                <w:szCs w:val="16"/>
              </w:rPr>
              <w:br/>
              <w:t>$'000</w:t>
            </w:r>
          </w:p>
        </w:tc>
        <w:tc>
          <w:tcPr>
            <w:tcW w:w="920" w:type="dxa"/>
            <w:tcBorders>
              <w:top w:val="single" w:sz="4" w:space="0" w:color="auto"/>
              <w:left w:val="nil"/>
              <w:bottom w:val="single" w:sz="4" w:space="0" w:color="auto"/>
              <w:right w:val="nil"/>
            </w:tcBorders>
            <w:shd w:val="clear" w:color="auto" w:fill="auto"/>
            <w:tcMar>
              <w:left w:w="0" w:type="dxa"/>
            </w:tcMar>
            <w:hideMark/>
          </w:tcPr>
          <w:p w14:paraId="1156D0BE" w14:textId="77777777" w:rsidR="00177622" w:rsidRPr="00177622" w:rsidRDefault="00177622" w:rsidP="0091389E">
            <w:pPr>
              <w:spacing w:before="40" w:after="0"/>
              <w:jc w:val="right"/>
              <w:rPr>
                <w:rFonts w:ascii="Arial" w:hAnsi="Arial" w:cs="Arial"/>
                <w:color w:val="auto"/>
                <w:sz w:val="16"/>
                <w:szCs w:val="16"/>
              </w:rPr>
            </w:pPr>
            <w:r w:rsidRPr="00177622">
              <w:rPr>
                <w:rFonts w:ascii="Arial" w:hAnsi="Arial" w:cs="Arial"/>
                <w:b/>
                <w:bCs/>
                <w:color w:val="auto"/>
                <w:sz w:val="16"/>
                <w:szCs w:val="16"/>
              </w:rPr>
              <w:t xml:space="preserve">Buildings </w:t>
            </w:r>
            <w:r w:rsidRPr="00177622">
              <w:rPr>
                <w:rFonts w:ascii="Arial" w:hAnsi="Arial" w:cs="Arial"/>
                <w:color w:val="auto"/>
                <w:sz w:val="16"/>
                <w:szCs w:val="16"/>
              </w:rPr>
              <w:br/>
            </w:r>
            <w:r w:rsidRPr="00177622">
              <w:rPr>
                <w:rFonts w:ascii="Arial" w:hAnsi="Arial" w:cs="Arial"/>
                <w:color w:val="auto"/>
                <w:sz w:val="16"/>
                <w:szCs w:val="16"/>
              </w:rPr>
              <w:br/>
            </w:r>
            <w:r w:rsidRPr="00177622">
              <w:rPr>
                <w:rFonts w:ascii="Arial" w:hAnsi="Arial" w:cs="Arial"/>
                <w:color w:val="auto"/>
                <w:sz w:val="16"/>
                <w:szCs w:val="16"/>
              </w:rPr>
              <w:br/>
              <w:t>$'000</w:t>
            </w:r>
          </w:p>
        </w:tc>
        <w:tc>
          <w:tcPr>
            <w:tcW w:w="1066" w:type="dxa"/>
            <w:tcBorders>
              <w:top w:val="single" w:sz="4" w:space="0" w:color="auto"/>
              <w:left w:val="nil"/>
              <w:bottom w:val="single" w:sz="4" w:space="0" w:color="auto"/>
              <w:right w:val="nil"/>
            </w:tcBorders>
            <w:shd w:val="clear" w:color="auto" w:fill="auto"/>
            <w:hideMark/>
          </w:tcPr>
          <w:p w14:paraId="4A92D0CE" w14:textId="77777777" w:rsidR="00177622" w:rsidRPr="00177622" w:rsidRDefault="00177622" w:rsidP="0091389E">
            <w:pPr>
              <w:spacing w:before="40" w:after="0"/>
              <w:jc w:val="right"/>
              <w:rPr>
                <w:rFonts w:ascii="Arial" w:hAnsi="Arial" w:cs="Arial"/>
                <w:color w:val="auto"/>
                <w:sz w:val="16"/>
                <w:szCs w:val="16"/>
              </w:rPr>
            </w:pPr>
            <w:r w:rsidRPr="00177622">
              <w:rPr>
                <w:rFonts w:ascii="Arial" w:hAnsi="Arial" w:cs="Arial"/>
                <w:b/>
                <w:bCs/>
                <w:color w:val="auto"/>
                <w:sz w:val="16"/>
                <w:szCs w:val="16"/>
              </w:rPr>
              <w:t xml:space="preserve">Property, </w:t>
            </w:r>
            <w:r w:rsidRPr="00177622">
              <w:rPr>
                <w:rFonts w:ascii="Arial" w:hAnsi="Arial" w:cs="Arial"/>
                <w:b/>
                <w:bCs/>
                <w:color w:val="auto"/>
                <w:sz w:val="16"/>
                <w:szCs w:val="16"/>
              </w:rPr>
              <w:br/>
              <w:t xml:space="preserve">plant and equipment </w:t>
            </w:r>
            <w:r w:rsidRPr="00177622">
              <w:rPr>
                <w:rFonts w:ascii="Arial" w:hAnsi="Arial" w:cs="Arial"/>
                <w:b/>
                <w:bCs/>
                <w:color w:val="auto"/>
                <w:sz w:val="16"/>
                <w:szCs w:val="16"/>
              </w:rPr>
              <w:br/>
            </w:r>
            <w:r w:rsidRPr="00177622">
              <w:rPr>
                <w:rFonts w:ascii="Arial" w:hAnsi="Arial" w:cs="Arial"/>
                <w:color w:val="auto"/>
                <w:sz w:val="16"/>
                <w:szCs w:val="16"/>
              </w:rPr>
              <w:t>$'000</w:t>
            </w:r>
          </w:p>
        </w:tc>
        <w:tc>
          <w:tcPr>
            <w:tcW w:w="1009" w:type="dxa"/>
            <w:tcBorders>
              <w:top w:val="single" w:sz="4" w:space="0" w:color="auto"/>
              <w:left w:val="nil"/>
              <w:bottom w:val="single" w:sz="4" w:space="0" w:color="auto"/>
              <w:right w:val="nil"/>
            </w:tcBorders>
            <w:shd w:val="clear" w:color="auto" w:fill="auto"/>
            <w:tcMar>
              <w:left w:w="0" w:type="dxa"/>
            </w:tcMar>
            <w:hideMark/>
          </w:tcPr>
          <w:p w14:paraId="7D61491F" w14:textId="77777777" w:rsidR="00177622" w:rsidRPr="00177622" w:rsidRDefault="00177622" w:rsidP="0091389E">
            <w:pPr>
              <w:spacing w:before="40" w:after="0"/>
              <w:jc w:val="right"/>
              <w:rPr>
                <w:rFonts w:ascii="Arial" w:hAnsi="Arial" w:cs="Arial"/>
                <w:color w:val="auto"/>
                <w:sz w:val="16"/>
                <w:szCs w:val="16"/>
              </w:rPr>
            </w:pPr>
            <w:r w:rsidRPr="00177622">
              <w:rPr>
                <w:rFonts w:ascii="Arial" w:hAnsi="Arial" w:cs="Arial"/>
                <w:b/>
                <w:bCs/>
                <w:color w:val="auto"/>
                <w:sz w:val="16"/>
                <w:szCs w:val="16"/>
              </w:rPr>
              <w:t xml:space="preserve">Intangibles </w:t>
            </w:r>
            <w:r w:rsidRPr="00177622">
              <w:rPr>
                <w:rFonts w:ascii="Arial" w:hAnsi="Arial" w:cs="Arial"/>
                <w:color w:val="auto"/>
                <w:sz w:val="16"/>
                <w:szCs w:val="16"/>
              </w:rPr>
              <w:br/>
            </w:r>
            <w:r w:rsidRPr="00177622">
              <w:rPr>
                <w:rFonts w:ascii="Arial" w:hAnsi="Arial" w:cs="Arial"/>
                <w:color w:val="auto"/>
                <w:sz w:val="16"/>
                <w:szCs w:val="16"/>
              </w:rPr>
              <w:br/>
            </w:r>
            <w:r w:rsidRPr="00177622">
              <w:rPr>
                <w:rFonts w:ascii="Arial" w:hAnsi="Arial" w:cs="Arial"/>
                <w:color w:val="auto"/>
                <w:sz w:val="16"/>
                <w:szCs w:val="16"/>
              </w:rPr>
              <w:br/>
              <w:t>$'000</w:t>
            </w:r>
          </w:p>
        </w:tc>
        <w:tc>
          <w:tcPr>
            <w:tcW w:w="850" w:type="dxa"/>
            <w:tcBorders>
              <w:top w:val="single" w:sz="4" w:space="0" w:color="auto"/>
              <w:left w:val="nil"/>
              <w:bottom w:val="single" w:sz="4" w:space="0" w:color="auto"/>
              <w:right w:val="nil"/>
            </w:tcBorders>
            <w:shd w:val="clear" w:color="auto" w:fill="auto"/>
            <w:hideMark/>
          </w:tcPr>
          <w:p w14:paraId="183F25BF" w14:textId="77777777" w:rsidR="00177622" w:rsidRPr="00177622" w:rsidRDefault="00177622" w:rsidP="0091389E">
            <w:pPr>
              <w:spacing w:before="40" w:after="0"/>
              <w:jc w:val="right"/>
              <w:rPr>
                <w:rFonts w:ascii="Arial" w:hAnsi="Arial" w:cs="Arial"/>
                <w:color w:val="auto"/>
                <w:sz w:val="16"/>
                <w:szCs w:val="16"/>
              </w:rPr>
            </w:pPr>
            <w:r w:rsidRPr="00177622">
              <w:rPr>
                <w:rFonts w:ascii="Arial" w:hAnsi="Arial" w:cs="Arial"/>
                <w:b/>
                <w:bCs/>
                <w:color w:val="auto"/>
                <w:sz w:val="16"/>
                <w:szCs w:val="16"/>
              </w:rPr>
              <w:t xml:space="preserve">Total </w:t>
            </w:r>
            <w:r w:rsidRPr="00177622">
              <w:rPr>
                <w:rFonts w:ascii="Arial" w:hAnsi="Arial" w:cs="Arial"/>
                <w:color w:val="auto"/>
                <w:sz w:val="16"/>
                <w:szCs w:val="16"/>
              </w:rPr>
              <w:br/>
            </w:r>
            <w:r w:rsidRPr="00177622">
              <w:rPr>
                <w:rFonts w:ascii="Arial" w:hAnsi="Arial" w:cs="Arial"/>
                <w:color w:val="auto"/>
                <w:sz w:val="16"/>
                <w:szCs w:val="16"/>
              </w:rPr>
              <w:br/>
            </w:r>
            <w:r w:rsidRPr="00177622">
              <w:rPr>
                <w:rFonts w:ascii="Arial" w:hAnsi="Arial" w:cs="Arial"/>
                <w:color w:val="auto"/>
                <w:sz w:val="16"/>
                <w:szCs w:val="16"/>
              </w:rPr>
              <w:br/>
              <w:t>$'000</w:t>
            </w:r>
          </w:p>
        </w:tc>
      </w:tr>
      <w:tr w:rsidR="00177622" w:rsidRPr="00177622" w14:paraId="272113D2" w14:textId="77777777" w:rsidTr="0091389E">
        <w:trPr>
          <w:trHeight w:val="225"/>
          <w:jc w:val="center"/>
        </w:trPr>
        <w:tc>
          <w:tcPr>
            <w:tcW w:w="2878" w:type="dxa"/>
            <w:tcBorders>
              <w:top w:val="nil"/>
              <w:left w:val="nil"/>
              <w:bottom w:val="nil"/>
              <w:right w:val="nil"/>
            </w:tcBorders>
            <w:shd w:val="clear" w:color="auto" w:fill="auto"/>
            <w:noWrap/>
            <w:vAlign w:val="bottom"/>
            <w:hideMark/>
          </w:tcPr>
          <w:p w14:paraId="603BB032" w14:textId="77777777" w:rsidR="00177622" w:rsidRPr="00177622" w:rsidRDefault="00177622" w:rsidP="00177622">
            <w:pPr>
              <w:spacing w:after="0"/>
              <w:rPr>
                <w:rFonts w:ascii="Arial" w:hAnsi="Arial" w:cs="Arial"/>
                <w:b/>
                <w:bCs/>
                <w:color w:val="auto"/>
                <w:sz w:val="16"/>
                <w:szCs w:val="16"/>
              </w:rPr>
            </w:pPr>
            <w:r w:rsidRPr="00177622">
              <w:rPr>
                <w:rFonts w:ascii="Arial" w:hAnsi="Arial" w:cs="Arial"/>
                <w:b/>
                <w:bCs/>
                <w:color w:val="auto"/>
                <w:sz w:val="16"/>
                <w:szCs w:val="16"/>
              </w:rPr>
              <w:t>As at 1 July 2022</w:t>
            </w:r>
          </w:p>
        </w:tc>
        <w:tc>
          <w:tcPr>
            <w:tcW w:w="652" w:type="dxa"/>
            <w:tcBorders>
              <w:top w:val="nil"/>
              <w:left w:val="nil"/>
              <w:bottom w:val="nil"/>
              <w:right w:val="nil"/>
            </w:tcBorders>
            <w:shd w:val="clear" w:color="auto" w:fill="auto"/>
            <w:noWrap/>
            <w:vAlign w:val="bottom"/>
            <w:hideMark/>
          </w:tcPr>
          <w:p w14:paraId="6CE34B26" w14:textId="77777777" w:rsidR="00177622" w:rsidRPr="00177622" w:rsidRDefault="00177622" w:rsidP="00177622">
            <w:pPr>
              <w:spacing w:after="0"/>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66C6DA9A" w14:textId="77777777" w:rsidR="00177622" w:rsidRPr="00177622" w:rsidRDefault="00177622" w:rsidP="00177622">
            <w:pPr>
              <w:spacing w:after="0"/>
              <w:jc w:val="right"/>
              <w:rPr>
                <w:rFonts w:ascii="Times New Roman" w:hAnsi="Times New Roman"/>
                <w:color w:val="auto"/>
                <w:sz w:val="20"/>
              </w:rPr>
            </w:pPr>
          </w:p>
        </w:tc>
        <w:tc>
          <w:tcPr>
            <w:tcW w:w="1066" w:type="dxa"/>
            <w:tcBorders>
              <w:top w:val="nil"/>
              <w:left w:val="nil"/>
              <w:bottom w:val="nil"/>
              <w:right w:val="nil"/>
            </w:tcBorders>
            <w:shd w:val="clear" w:color="auto" w:fill="auto"/>
            <w:noWrap/>
            <w:vAlign w:val="bottom"/>
            <w:hideMark/>
          </w:tcPr>
          <w:p w14:paraId="75BD3210" w14:textId="77777777" w:rsidR="00177622" w:rsidRPr="00177622" w:rsidRDefault="00177622" w:rsidP="00177622">
            <w:pPr>
              <w:spacing w:after="0"/>
              <w:jc w:val="right"/>
              <w:rPr>
                <w:rFonts w:ascii="Times New Roman" w:hAnsi="Times New Roman"/>
                <w:color w:val="auto"/>
                <w:sz w:val="20"/>
              </w:rPr>
            </w:pPr>
          </w:p>
        </w:tc>
        <w:tc>
          <w:tcPr>
            <w:tcW w:w="1009" w:type="dxa"/>
            <w:tcBorders>
              <w:top w:val="nil"/>
              <w:left w:val="nil"/>
              <w:bottom w:val="nil"/>
              <w:right w:val="nil"/>
            </w:tcBorders>
            <w:shd w:val="clear" w:color="auto" w:fill="auto"/>
            <w:noWrap/>
            <w:vAlign w:val="bottom"/>
            <w:hideMark/>
          </w:tcPr>
          <w:p w14:paraId="76369422" w14:textId="77777777" w:rsidR="00177622" w:rsidRPr="00177622" w:rsidRDefault="00177622" w:rsidP="00177622">
            <w:pPr>
              <w:spacing w:after="0"/>
              <w:jc w:val="right"/>
              <w:rPr>
                <w:rFonts w:ascii="Times New Roman" w:hAnsi="Times New Roman"/>
                <w:color w:val="auto"/>
                <w:sz w:val="20"/>
              </w:rPr>
            </w:pPr>
          </w:p>
        </w:tc>
        <w:tc>
          <w:tcPr>
            <w:tcW w:w="850" w:type="dxa"/>
            <w:tcBorders>
              <w:top w:val="nil"/>
              <w:left w:val="nil"/>
              <w:bottom w:val="nil"/>
              <w:right w:val="nil"/>
            </w:tcBorders>
            <w:shd w:val="clear" w:color="auto" w:fill="auto"/>
            <w:noWrap/>
            <w:vAlign w:val="bottom"/>
            <w:hideMark/>
          </w:tcPr>
          <w:p w14:paraId="26DDD42A" w14:textId="77777777" w:rsidR="00177622" w:rsidRPr="00177622" w:rsidRDefault="00177622" w:rsidP="00177622">
            <w:pPr>
              <w:spacing w:after="0"/>
              <w:jc w:val="right"/>
              <w:rPr>
                <w:rFonts w:ascii="Times New Roman" w:hAnsi="Times New Roman"/>
                <w:color w:val="auto"/>
                <w:sz w:val="20"/>
              </w:rPr>
            </w:pPr>
          </w:p>
        </w:tc>
      </w:tr>
      <w:tr w:rsidR="00177622" w:rsidRPr="00177622" w14:paraId="13736D4C" w14:textId="77777777" w:rsidTr="0091389E">
        <w:trPr>
          <w:trHeight w:val="225"/>
          <w:jc w:val="center"/>
        </w:trPr>
        <w:tc>
          <w:tcPr>
            <w:tcW w:w="2878" w:type="dxa"/>
            <w:tcBorders>
              <w:top w:val="nil"/>
              <w:left w:val="nil"/>
              <w:bottom w:val="nil"/>
              <w:right w:val="nil"/>
            </w:tcBorders>
            <w:shd w:val="clear" w:color="auto" w:fill="auto"/>
            <w:noWrap/>
            <w:vAlign w:val="bottom"/>
            <w:hideMark/>
          </w:tcPr>
          <w:p w14:paraId="3B021A7C" w14:textId="77777777" w:rsidR="00177622" w:rsidRPr="00177622" w:rsidRDefault="00177622" w:rsidP="0091389E">
            <w:pPr>
              <w:spacing w:after="0"/>
              <w:ind w:leftChars="75" w:left="143"/>
              <w:rPr>
                <w:rFonts w:ascii="Arial" w:hAnsi="Arial" w:cs="Arial"/>
                <w:color w:val="auto"/>
                <w:sz w:val="16"/>
                <w:szCs w:val="16"/>
              </w:rPr>
            </w:pPr>
            <w:r w:rsidRPr="00177622">
              <w:rPr>
                <w:rFonts w:ascii="Arial" w:hAnsi="Arial" w:cs="Arial"/>
                <w:color w:val="auto"/>
                <w:sz w:val="16"/>
                <w:szCs w:val="16"/>
              </w:rPr>
              <w:t xml:space="preserve">Gross book value </w:t>
            </w:r>
          </w:p>
        </w:tc>
        <w:tc>
          <w:tcPr>
            <w:tcW w:w="652" w:type="dxa"/>
            <w:tcBorders>
              <w:top w:val="nil"/>
              <w:left w:val="nil"/>
              <w:bottom w:val="nil"/>
              <w:right w:val="nil"/>
            </w:tcBorders>
            <w:shd w:val="clear" w:color="auto" w:fill="auto"/>
            <w:noWrap/>
            <w:tcMar>
              <w:left w:w="0" w:type="dxa"/>
            </w:tcMar>
            <w:vAlign w:val="bottom"/>
            <w:hideMark/>
          </w:tcPr>
          <w:p w14:paraId="5ABECD8E"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14,520</w:t>
            </w:r>
          </w:p>
        </w:tc>
        <w:tc>
          <w:tcPr>
            <w:tcW w:w="920" w:type="dxa"/>
            <w:tcBorders>
              <w:top w:val="nil"/>
              <w:left w:val="nil"/>
              <w:bottom w:val="nil"/>
              <w:right w:val="nil"/>
            </w:tcBorders>
            <w:shd w:val="clear" w:color="auto" w:fill="auto"/>
            <w:noWrap/>
            <w:vAlign w:val="bottom"/>
            <w:hideMark/>
          </w:tcPr>
          <w:p w14:paraId="64E09780"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644,044</w:t>
            </w:r>
          </w:p>
        </w:tc>
        <w:tc>
          <w:tcPr>
            <w:tcW w:w="1066" w:type="dxa"/>
            <w:tcBorders>
              <w:top w:val="nil"/>
              <w:left w:val="nil"/>
              <w:bottom w:val="nil"/>
              <w:right w:val="nil"/>
            </w:tcBorders>
            <w:shd w:val="clear" w:color="auto" w:fill="auto"/>
            <w:noWrap/>
            <w:vAlign w:val="bottom"/>
            <w:hideMark/>
          </w:tcPr>
          <w:p w14:paraId="1720FE51"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29,195</w:t>
            </w:r>
          </w:p>
        </w:tc>
        <w:tc>
          <w:tcPr>
            <w:tcW w:w="1009" w:type="dxa"/>
            <w:tcBorders>
              <w:top w:val="nil"/>
              <w:left w:val="nil"/>
              <w:bottom w:val="nil"/>
              <w:right w:val="nil"/>
            </w:tcBorders>
            <w:shd w:val="clear" w:color="auto" w:fill="auto"/>
            <w:noWrap/>
            <w:vAlign w:val="bottom"/>
            <w:hideMark/>
          </w:tcPr>
          <w:p w14:paraId="67C923B8"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11,817</w:t>
            </w:r>
          </w:p>
        </w:tc>
        <w:tc>
          <w:tcPr>
            <w:tcW w:w="850" w:type="dxa"/>
            <w:tcBorders>
              <w:top w:val="nil"/>
              <w:left w:val="nil"/>
              <w:bottom w:val="nil"/>
              <w:right w:val="nil"/>
            </w:tcBorders>
            <w:shd w:val="clear" w:color="auto" w:fill="auto"/>
            <w:noWrap/>
            <w:vAlign w:val="bottom"/>
            <w:hideMark/>
          </w:tcPr>
          <w:p w14:paraId="2A6C2FD3"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699,576</w:t>
            </w:r>
          </w:p>
        </w:tc>
      </w:tr>
      <w:tr w:rsidR="00177622" w:rsidRPr="00177622" w14:paraId="5DC948BB" w14:textId="77777777" w:rsidTr="0091389E">
        <w:trPr>
          <w:trHeight w:val="228"/>
          <w:jc w:val="center"/>
        </w:trPr>
        <w:tc>
          <w:tcPr>
            <w:tcW w:w="2878" w:type="dxa"/>
            <w:tcBorders>
              <w:top w:val="nil"/>
              <w:left w:val="nil"/>
              <w:bottom w:val="nil"/>
              <w:right w:val="nil"/>
            </w:tcBorders>
            <w:shd w:val="clear" w:color="auto" w:fill="auto"/>
            <w:vAlign w:val="bottom"/>
            <w:hideMark/>
          </w:tcPr>
          <w:p w14:paraId="4E34C690" w14:textId="77777777" w:rsidR="00177622" w:rsidRPr="00177622" w:rsidRDefault="00177622" w:rsidP="0091389E">
            <w:pPr>
              <w:spacing w:after="0"/>
              <w:ind w:leftChars="75" w:left="143"/>
              <w:rPr>
                <w:rFonts w:ascii="Arial" w:hAnsi="Arial" w:cs="Arial"/>
                <w:color w:val="auto"/>
                <w:sz w:val="16"/>
                <w:szCs w:val="16"/>
              </w:rPr>
            </w:pPr>
            <w:r w:rsidRPr="00177622">
              <w:rPr>
                <w:rFonts w:ascii="Arial" w:hAnsi="Arial" w:cs="Arial"/>
                <w:color w:val="auto"/>
                <w:sz w:val="16"/>
                <w:szCs w:val="16"/>
              </w:rPr>
              <w:t xml:space="preserve">Gross book value - </w:t>
            </w:r>
            <w:proofErr w:type="spellStart"/>
            <w:r w:rsidRPr="00177622">
              <w:rPr>
                <w:rFonts w:ascii="Arial" w:hAnsi="Arial" w:cs="Arial"/>
                <w:color w:val="auto"/>
                <w:sz w:val="16"/>
                <w:szCs w:val="16"/>
              </w:rPr>
              <w:t>RoU</w:t>
            </w:r>
            <w:proofErr w:type="spellEnd"/>
          </w:p>
        </w:tc>
        <w:tc>
          <w:tcPr>
            <w:tcW w:w="652" w:type="dxa"/>
            <w:tcBorders>
              <w:top w:val="nil"/>
              <w:left w:val="nil"/>
              <w:bottom w:val="nil"/>
              <w:right w:val="nil"/>
            </w:tcBorders>
            <w:shd w:val="clear" w:color="auto" w:fill="auto"/>
            <w:noWrap/>
            <w:vAlign w:val="bottom"/>
            <w:hideMark/>
          </w:tcPr>
          <w:p w14:paraId="59B266DD"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2C212359"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6,986</w:t>
            </w:r>
          </w:p>
        </w:tc>
        <w:tc>
          <w:tcPr>
            <w:tcW w:w="1066" w:type="dxa"/>
            <w:tcBorders>
              <w:top w:val="nil"/>
              <w:left w:val="nil"/>
              <w:bottom w:val="nil"/>
              <w:right w:val="nil"/>
            </w:tcBorders>
            <w:shd w:val="clear" w:color="auto" w:fill="auto"/>
            <w:noWrap/>
            <w:vAlign w:val="bottom"/>
            <w:hideMark/>
          </w:tcPr>
          <w:p w14:paraId="0E55D8DD"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96</w:t>
            </w:r>
          </w:p>
        </w:tc>
        <w:tc>
          <w:tcPr>
            <w:tcW w:w="1009" w:type="dxa"/>
            <w:tcBorders>
              <w:top w:val="nil"/>
              <w:left w:val="nil"/>
              <w:bottom w:val="nil"/>
              <w:right w:val="nil"/>
            </w:tcBorders>
            <w:shd w:val="clear" w:color="auto" w:fill="auto"/>
            <w:noWrap/>
            <w:vAlign w:val="bottom"/>
            <w:hideMark/>
          </w:tcPr>
          <w:p w14:paraId="0E6D4D5C"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123D894F"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7,082</w:t>
            </w:r>
          </w:p>
        </w:tc>
      </w:tr>
      <w:tr w:rsidR="00177622" w:rsidRPr="00177622" w14:paraId="73EDE2CA" w14:textId="77777777" w:rsidTr="0091389E">
        <w:trPr>
          <w:trHeight w:val="408"/>
          <w:jc w:val="center"/>
        </w:trPr>
        <w:tc>
          <w:tcPr>
            <w:tcW w:w="2878" w:type="dxa"/>
            <w:tcBorders>
              <w:top w:val="nil"/>
              <w:left w:val="nil"/>
              <w:bottom w:val="nil"/>
              <w:right w:val="nil"/>
            </w:tcBorders>
            <w:shd w:val="clear" w:color="auto" w:fill="auto"/>
            <w:vAlign w:val="bottom"/>
            <w:hideMark/>
          </w:tcPr>
          <w:p w14:paraId="0DF80E25" w14:textId="77777777" w:rsidR="00177622" w:rsidRPr="00177622" w:rsidRDefault="00177622" w:rsidP="0091389E">
            <w:pPr>
              <w:spacing w:after="0"/>
              <w:ind w:leftChars="75" w:left="143"/>
              <w:rPr>
                <w:rFonts w:ascii="Arial" w:hAnsi="Arial" w:cs="Arial"/>
                <w:color w:val="auto"/>
                <w:sz w:val="16"/>
                <w:szCs w:val="16"/>
              </w:rPr>
            </w:pPr>
            <w:r w:rsidRPr="00177622">
              <w:rPr>
                <w:rFonts w:ascii="Arial" w:hAnsi="Arial" w:cs="Arial"/>
                <w:color w:val="auto"/>
                <w:sz w:val="16"/>
                <w:szCs w:val="16"/>
              </w:rPr>
              <w:t>Accumulated depreciation/ amortisation and impairment</w:t>
            </w:r>
          </w:p>
        </w:tc>
        <w:tc>
          <w:tcPr>
            <w:tcW w:w="652" w:type="dxa"/>
            <w:tcBorders>
              <w:top w:val="nil"/>
              <w:left w:val="nil"/>
              <w:bottom w:val="nil"/>
              <w:right w:val="nil"/>
            </w:tcBorders>
            <w:shd w:val="clear" w:color="auto" w:fill="auto"/>
            <w:noWrap/>
            <w:vAlign w:val="bottom"/>
            <w:hideMark/>
          </w:tcPr>
          <w:p w14:paraId="00435D9D"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336AFE0B"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(462,014)</w:t>
            </w:r>
          </w:p>
        </w:tc>
        <w:tc>
          <w:tcPr>
            <w:tcW w:w="1066" w:type="dxa"/>
            <w:tcBorders>
              <w:top w:val="nil"/>
              <w:left w:val="nil"/>
              <w:bottom w:val="nil"/>
              <w:right w:val="nil"/>
            </w:tcBorders>
            <w:shd w:val="clear" w:color="auto" w:fill="auto"/>
            <w:noWrap/>
            <w:vAlign w:val="bottom"/>
            <w:hideMark/>
          </w:tcPr>
          <w:p w14:paraId="2AA0B3B5"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(19,904)</w:t>
            </w:r>
          </w:p>
        </w:tc>
        <w:tc>
          <w:tcPr>
            <w:tcW w:w="1009" w:type="dxa"/>
            <w:tcBorders>
              <w:top w:val="nil"/>
              <w:left w:val="nil"/>
              <w:bottom w:val="nil"/>
              <w:right w:val="nil"/>
            </w:tcBorders>
            <w:shd w:val="clear" w:color="auto" w:fill="auto"/>
            <w:noWrap/>
            <w:vAlign w:val="bottom"/>
            <w:hideMark/>
          </w:tcPr>
          <w:p w14:paraId="721AE218"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(10,341)</w:t>
            </w:r>
          </w:p>
        </w:tc>
        <w:tc>
          <w:tcPr>
            <w:tcW w:w="850" w:type="dxa"/>
            <w:tcBorders>
              <w:top w:val="nil"/>
              <w:left w:val="nil"/>
              <w:bottom w:val="nil"/>
              <w:right w:val="nil"/>
            </w:tcBorders>
            <w:shd w:val="clear" w:color="auto" w:fill="auto"/>
            <w:noWrap/>
            <w:tcMar>
              <w:left w:w="0" w:type="dxa"/>
            </w:tcMar>
            <w:vAlign w:val="bottom"/>
            <w:hideMark/>
          </w:tcPr>
          <w:p w14:paraId="0C60AD88"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(492,259)</w:t>
            </w:r>
          </w:p>
        </w:tc>
      </w:tr>
      <w:tr w:rsidR="00177622" w:rsidRPr="00177622" w14:paraId="1799FC24" w14:textId="77777777" w:rsidTr="0091389E">
        <w:trPr>
          <w:trHeight w:val="408"/>
          <w:jc w:val="center"/>
        </w:trPr>
        <w:tc>
          <w:tcPr>
            <w:tcW w:w="2878" w:type="dxa"/>
            <w:tcBorders>
              <w:top w:val="nil"/>
              <w:left w:val="nil"/>
              <w:bottom w:val="nil"/>
              <w:right w:val="nil"/>
            </w:tcBorders>
            <w:shd w:val="clear" w:color="auto" w:fill="auto"/>
            <w:vAlign w:val="bottom"/>
            <w:hideMark/>
          </w:tcPr>
          <w:p w14:paraId="08225BEB" w14:textId="77777777" w:rsidR="00177622" w:rsidRPr="00177622" w:rsidRDefault="00177622" w:rsidP="0091389E">
            <w:pPr>
              <w:spacing w:after="0"/>
              <w:ind w:leftChars="75" w:left="143"/>
              <w:rPr>
                <w:rFonts w:ascii="Arial" w:hAnsi="Arial" w:cs="Arial"/>
                <w:color w:val="auto"/>
                <w:sz w:val="16"/>
                <w:szCs w:val="16"/>
              </w:rPr>
            </w:pPr>
            <w:r w:rsidRPr="00177622">
              <w:rPr>
                <w:rFonts w:ascii="Arial" w:hAnsi="Arial" w:cs="Arial"/>
                <w:color w:val="auto"/>
                <w:sz w:val="16"/>
                <w:szCs w:val="16"/>
              </w:rPr>
              <w:t xml:space="preserve">Accumulated depreciation/ amortisation and impairment - </w:t>
            </w:r>
            <w:proofErr w:type="spellStart"/>
            <w:r w:rsidRPr="00177622">
              <w:rPr>
                <w:rFonts w:ascii="Arial" w:hAnsi="Arial" w:cs="Arial"/>
                <w:color w:val="auto"/>
                <w:sz w:val="16"/>
                <w:szCs w:val="16"/>
              </w:rPr>
              <w:t>RoU</w:t>
            </w:r>
            <w:proofErr w:type="spellEnd"/>
          </w:p>
        </w:tc>
        <w:tc>
          <w:tcPr>
            <w:tcW w:w="652" w:type="dxa"/>
            <w:tcBorders>
              <w:top w:val="nil"/>
              <w:left w:val="nil"/>
              <w:bottom w:val="nil"/>
              <w:right w:val="nil"/>
            </w:tcBorders>
            <w:shd w:val="clear" w:color="auto" w:fill="auto"/>
            <w:noWrap/>
            <w:vAlign w:val="bottom"/>
            <w:hideMark/>
          </w:tcPr>
          <w:p w14:paraId="292CF5A7"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3CD8D2BF"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(1,493)</w:t>
            </w:r>
          </w:p>
        </w:tc>
        <w:tc>
          <w:tcPr>
            <w:tcW w:w="1066" w:type="dxa"/>
            <w:tcBorders>
              <w:top w:val="nil"/>
              <w:left w:val="nil"/>
              <w:bottom w:val="nil"/>
              <w:right w:val="nil"/>
            </w:tcBorders>
            <w:shd w:val="clear" w:color="auto" w:fill="auto"/>
            <w:noWrap/>
            <w:vAlign w:val="bottom"/>
            <w:hideMark/>
          </w:tcPr>
          <w:p w14:paraId="6519C360"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(5)</w:t>
            </w:r>
          </w:p>
        </w:tc>
        <w:tc>
          <w:tcPr>
            <w:tcW w:w="1009" w:type="dxa"/>
            <w:tcBorders>
              <w:top w:val="nil"/>
              <w:left w:val="nil"/>
              <w:bottom w:val="nil"/>
              <w:right w:val="nil"/>
            </w:tcBorders>
            <w:shd w:val="clear" w:color="auto" w:fill="auto"/>
            <w:noWrap/>
            <w:vAlign w:val="bottom"/>
            <w:hideMark/>
          </w:tcPr>
          <w:p w14:paraId="2869197C"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63037B31"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(1,498)</w:t>
            </w:r>
          </w:p>
        </w:tc>
      </w:tr>
      <w:tr w:rsidR="00177622" w:rsidRPr="00177622" w14:paraId="775B1DA3" w14:textId="77777777" w:rsidTr="0091389E">
        <w:trPr>
          <w:trHeight w:val="225"/>
          <w:jc w:val="center"/>
        </w:trPr>
        <w:tc>
          <w:tcPr>
            <w:tcW w:w="2878" w:type="dxa"/>
            <w:tcBorders>
              <w:top w:val="nil"/>
              <w:left w:val="nil"/>
              <w:bottom w:val="nil"/>
              <w:right w:val="nil"/>
            </w:tcBorders>
            <w:shd w:val="clear" w:color="auto" w:fill="auto"/>
            <w:noWrap/>
            <w:vAlign w:val="bottom"/>
            <w:hideMark/>
          </w:tcPr>
          <w:p w14:paraId="096AB5CB" w14:textId="77777777" w:rsidR="00177622" w:rsidRPr="00177622" w:rsidRDefault="00177622" w:rsidP="0091389E">
            <w:pPr>
              <w:spacing w:after="0"/>
              <w:ind w:leftChars="75" w:left="143"/>
              <w:rPr>
                <w:rFonts w:ascii="Arial" w:hAnsi="Arial" w:cs="Arial"/>
                <w:b/>
                <w:bCs/>
                <w:color w:val="auto"/>
                <w:sz w:val="16"/>
                <w:szCs w:val="16"/>
              </w:rPr>
            </w:pPr>
            <w:r w:rsidRPr="00177622">
              <w:rPr>
                <w:rFonts w:ascii="Arial" w:hAnsi="Arial" w:cs="Arial"/>
                <w:b/>
                <w:bCs/>
                <w:color w:val="auto"/>
                <w:sz w:val="16"/>
                <w:szCs w:val="16"/>
              </w:rPr>
              <w:t>Opening net book balance</w:t>
            </w:r>
          </w:p>
        </w:tc>
        <w:tc>
          <w:tcPr>
            <w:tcW w:w="652" w:type="dxa"/>
            <w:tcBorders>
              <w:top w:val="single" w:sz="4" w:space="0" w:color="auto"/>
              <w:left w:val="nil"/>
              <w:bottom w:val="single" w:sz="4" w:space="0" w:color="auto"/>
              <w:right w:val="nil"/>
            </w:tcBorders>
            <w:shd w:val="clear" w:color="auto" w:fill="auto"/>
            <w:noWrap/>
            <w:tcMar>
              <w:left w:w="0" w:type="dxa"/>
            </w:tcMar>
            <w:vAlign w:val="bottom"/>
            <w:hideMark/>
          </w:tcPr>
          <w:p w14:paraId="5DCCCF83"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14,520</w:t>
            </w:r>
          </w:p>
        </w:tc>
        <w:tc>
          <w:tcPr>
            <w:tcW w:w="920" w:type="dxa"/>
            <w:tcBorders>
              <w:top w:val="single" w:sz="4" w:space="0" w:color="auto"/>
              <w:left w:val="nil"/>
              <w:bottom w:val="single" w:sz="4" w:space="0" w:color="auto"/>
              <w:right w:val="nil"/>
            </w:tcBorders>
            <w:shd w:val="clear" w:color="auto" w:fill="auto"/>
            <w:noWrap/>
            <w:vAlign w:val="bottom"/>
            <w:hideMark/>
          </w:tcPr>
          <w:p w14:paraId="1541B939"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187,523</w:t>
            </w:r>
          </w:p>
        </w:tc>
        <w:tc>
          <w:tcPr>
            <w:tcW w:w="1066" w:type="dxa"/>
            <w:tcBorders>
              <w:top w:val="single" w:sz="4" w:space="0" w:color="auto"/>
              <w:left w:val="nil"/>
              <w:bottom w:val="single" w:sz="4" w:space="0" w:color="auto"/>
              <w:right w:val="nil"/>
            </w:tcBorders>
            <w:shd w:val="clear" w:color="auto" w:fill="auto"/>
            <w:noWrap/>
            <w:vAlign w:val="bottom"/>
            <w:hideMark/>
          </w:tcPr>
          <w:p w14:paraId="156B7103"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9,382</w:t>
            </w:r>
          </w:p>
        </w:tc>
        <w:tc>
          <w:tcPr>
            <w:tcW w:w="1009" w:type="dxa"/>
            <w:tcBorders>
              <w:top w:val="single" w:sz="4" w:space="0" w:color="auto"/>
              <w:left w:val="nil"/>
              <w:bottom w:val="single" w:sz="4" w:space="0" w:color="auto"/>
              <w:right w:val="nil"/>
            </w:tcBorders>
            <w:shd w:val="clear" w:color="auto" w:fill="auto"/>
            <w:noWrap/>
            <w:vAlign w:val="bottom"/>
            <w:hideMark/>
          </w:tcPr>
          <w:p w14:paraId="55DB477F"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1,476</w:t>
            </w:r>
          </w:p>
        </w:tc>
        <w:tc>
          <w:tcPr>
            <w:tcW w:w="850" w:type="dxa"/>
            <w:tcBorders>
              <w:top w:val="single" w:sz="4" w:space="0" w:color="auto"/>
              <w:left w:val="nil"/>
              <w:bottom w:val="single" w:sz="4" w:space="0" w:color="auto"/>
              <w:right w:val="nil"/>
            </w:tcBorders>
            <w:shd w:val="clear" w:color="auto" w:fill="auto"/>
            <w:noWrap/>
            <w:vAlign w:val="bottom"/>
            <w:hideMark/>
          </w:tcPr>
          <w:p w14:paraId="5852B0F2"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212,901</w:t>
            </w:r>
          </w:p>
        </w:tc>
      </w:tr>
      <w:tr w:rsidR="00177622" w:rsidRPr="00177622" w14:paraId="241C420D" w14:textId="77777777" w:rsidTr="0091389E">
        <w:trPr>
          <w:trHeight w:val="283"/>
          <w:jc w:val="center"/>
        </w:trPr>
        <w:tc>
          <w:tcPr>
            <w:tcW w:w="2878" w:type="dxa"/>
            <w:tcBorders>
              <w:top w:val="nil"/>
              <w:left w:val="nil"/>
              <w:bottom w:val="nil"/>
              <w:right w:val="nil"/>
            </w:tcBorders>
            <w:shd w:val="clear" w:color="auto" w:fill="auto"/>
            <w:noWrap/>
            <w:vAlign w:val="bottom"/>
            <w:hideMark/>
          </w:tcPr>
          <w:p w14:paraId="7D8CDB5D" w14:textId="77777777" w:rsidR="00177622" w:rsidRPr="00177622" w:rsidRDefault="00177622" w:rsidP="00177622">
            <w:pPr>
              <w:spacing w:after="0"/>
              <w:rPr>
                <w:rFonts w:ascii="Arial" w:hAnsi="Arial" w:cs="Arial"/>
                <w:b/>
                <w:bCs/>
                <w:color w:val="auto"/>
                <w:sz w:val="16"/>
                <w:szCs w:val="16"/>
              </w:rPr>
            </w:pPr>
            <w:r w:rsidRPr="00177622">
              <w:rPr>
                <w:rFonts w:ascii="Arial" w:hAnsi="Arial" w:cs="Arial"/>
                <w:b/>
                <w:bCs/>
                <w:color w:val="auto"/>
                <w:sz w:val="16"/>
                <w:szCs w:val="16"/>
              </w:rPr>
              <w:t>CAPITAL ASSET ADDITIONS</w:t>
            </w:r>
          </w:p>
        </w:tc>
        <w:tc>
          <w:tcPr>
            <w:tcW w:w="652" w:type="dxa"/>
            <w:tcBorders>
              <w:top w:val="nil"/>
              <w:left w:val="nil"/>
              <w:bottom w:val="nil"/>
              <w:right w:val="nil"/>
            </w:tcBorders>
            <w:shd w:val="clear" w:color="auto" w:fill="auto"/>
            <w:noWrap/>
            <w:vAlign w:val="bottom"/>
            <w:hideMark/>
          </w:tcPr>
          <w:p w14:paraId="1FC88762" w14:textId="77777777" w:rsidR="00177622" w:rsidRPr="00177622" w:rsidRDefault="00177622" w:rsidP="00177622">
            <w:pPr>
              <w:spacing w:after="0"/>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6AFE732C" w14:textId="77777777" w:rsidR="00177622" w:rsidRPr="00177622" w:rsidRDefault="00177622" w:rsidP="00177622">
            <w:pPr>
              <w:spacing w:after="0"/>
              <w:jc w:val="right"/>
              <w:rPr>
                <w:rFonts w:ascii="Times New Roman" w:hAnsi="Times New Roman"/>
                <w:color w:val="auto"/>
                <w:sz w:val="20"/>
              </w:rPr>
            </w:pPr>
          </w:p>
        </w:tc>
        <w:tc>
          <w:tcPr>
            <w:tcW w:w="1066" w:type="dxa"/>
            <w:tcBorders>
              <w:top w:val="nil"/>
              <w:left w:val="nil"/>
              <w:bottom w:val="nil"/>
              <w:right w:val="nil"/>
            </w:tcBorders>
            <w:shd w:val="clear" w:color="auto" w:fill="auto"/>
            <w:noWrap/>
            <w:vAlign w:val="bottom"/>
            <w:hideMark/>
          </w:tcPr>
          <w:p w14:paraId="3E953E25" w14:textId="77777777" w:rsidR="00177622" w:rsidRPr="00177622" w:rsidRDefault="00177622" w:rsidP="00177622">
            <w:pPr>
              <w:spacing w:after="0"/>
              <w:jc w:val="right"/>
              <w:rPr>
                <w:rFonts w:ascii="Times New Roman" w:hAnsi="Times New Roman"/>
                <w:color w:val="auto"/>
                <w:sz w:val="20"/>
              </w:rPr>
            </w:pPr>
          </w:p>
        </w:tc>
        <w:tc>
          <w:tcPr>
            <w:tcW w:w="1009" w:type="dxa"/>
            <w:tcBorders>
              <w:top w:val="nil"/>
              <w:left w:val="nil"/>
              <w:bottom w:val="nil"/>
              <w:right w:val="nil"/>
            </w:tcBorders>
            <w:shd w:val="clear" w:color="auto" w:fill="auto"/>
            <w:noWrap/>
            <w:vAlign w:val="bottom"/>
            <w:hideMark/>
          </w:tcPr>
          <w:p w14:paraId="7E7DDF4A" w14:textId="77777777" w:rsidR="00177622" w:rsidRPr="00177622" w:rsidRDefault="00177622" w:rsidP="00177622">
            <w:pPr>
              <w:spacing w:after="0"/>
              <w:jc w:val="right"/>
              <w:rPr>
                <w:rFonts w:ascii="Times New Roman" w:hAnsi="Times New Roman"/>
                <w:color w:val="auto"/>
                <w:sz w:val="20"/>
              </w:rPr>
            </w:pPr>
          </w:p>
        </w:tc>
        <w:tc>
          <w:tcPr>
            <w:tcW w:w="850" w:type="dxa"/>
            <w:tcBorders>
              <w:top w:val="nil"/>
              <w:left w:val="nil"/>
              <w:bottom w:val="nil"/>
              <w:right w:val="nil"/>
            </w:tcBorders>
            <w:shd w:val="clear" w:color="auto" w:fill="auto"/>
            <w:noWrap/>
            <w:vAlign w:val="bottom"/>
            <w:hideMark/>
          </w:tcPr>
          <w:p w14:paraId="3DEC0F85" w14:textId="77777777" w:rsidR="00177622" w:rsidRPr="00177622" w:rsidRDefault="00177622" w:rsidP="00177622">
            <w:pPr>
              <w:spacing w:after="0"/>
              <w:jc w:val="right"/>
              <w:rPr>
                <w:rFonts w:ascii="Times New Roman" w:hAnsi="Times New Roman"/>
                <w:color w:val="auto"/>
                <w:sz w:val="20"/>
              </w:rPr>
            </w:pPr>
          </w:p>
        </w:tc>
      </w:tr>
      <w:tr w:rsidR="00177622" w:rsidRPr="00177622" w14:paraId="02C55BFC" w14:textId="77777777" w:rsidTr="0091389E">
        <w:trPr>
          <w:trHeight w:val="408"/>
          <w:jc w:val="center"/>
        </w:trPr>
        <w:tc>
          <w:tcPr>
            <w:tcW w:w="2878" w:type="dxa"/>
            <w:tcBorders>
              <w:top w:val="nil"/>
              <w:left w:val="nil"/>
              <w:bottom w:val="nil"/>
              <w:right w:val="nil"/>
            </w:tcBorders>
            <w:shd w:val="clear" w:color="auto" w:fill="auto"/>
            <w:vAlign w:val="bottom"/>
            <w:hideMark/>
          </w:tcPr>
          <w:p w14:paraId="6B1EB34E" w14:textId="77777777" w:rsidR="00177622" w:rsidRPr="00177622" w:rsidRDefault="00177622" w:rsidP="0091389E">
            <w:pPr>
              <w:spacing w:after="0"/>
              <w:ind w:leftChars="75" w:left="143"/>
              <w:rPr>
                <w:rFonts w:ascii="Arial" w:hAnsi="Arial" w:cs="Arial"/>
                <w:b/>
                <w:bCs/>
                <w:color w:val="auto"/>
                <w:sz w:val="16"/>
                <w:szCs w:val="16"/>
              </w:rPr>
            </w:pPr>
            <w:r w:rsidRPr="00177622">
              <w:rPr>
                <w:rFonts w:ascii="Arial" w:hAnsi="Arial" w:cs="Arial"/>
                <w:b/>
                <w:bCs/>
                <w:color w:val="auto"/>
                <w:sz w:val="16"/>
                <w:szCs w:val="16"/>
              </w:rPr>
              <w:t>Estimated expenditure on new or replacement assets</w:t>
            </w:r>
          </w:p>
        </w:tc>
        <w:tc>
          <w:tcPr>
            <w:tcW w:w="652" w:type="dxa"/>
            <w:tcBorders>
              <w:top w:val="nil"/>
              <w:left w:val="nil"/>
              <w:bottom w:val="nil"/>
              <w:right w:val="nil"/>
            </w:tcBorders>
            <w:shd w:val="clear" w:color="auto" w:fill="auto"/>
            <w:noWrap/>
            <w:vAlign w:val="bottom"/>
            <w:hideMark/>
          </w:tcPr>
          <w:p w14:paraId="13D19539" w14:textId="77777777" w:rsidR="00177622" w:rsidRPr="00177622" w:rsidRDefault="00177622" w:rsidP="00177622">
            <w:pPr>
              <w:spacing w:after="0"/>
              <w:ind w:firstLineChars="100" w:firstLine="160"/>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6A56761C" w14:textId="77777777" w:rsidR="00177622" w:rsidRPr="00177622" w:rsidRDefault="00177622" w:rsidP="00177622">
            <w:pPr>
              <w:spacing w:after="0"/>
              <w:jc w:val="right"/>
              <w:rPr>
                <w:rFonts w:ascii="Times New Roman" w:hAnsi="Times New Roman"/>
                <w:color w:val="auto"/>
                <w:sz w:val="20"/>
              </w:rPr>
            </w:pPr>
          </w:p>
        </w:tc>
        <w:tc>
          <w:tcPr>
            <w:tcW w:w="1066" w:type="dxa"/>
            <w:tcBorders>
              <w:top w:val="nil"/>
              <w:left w:val="nil"/>
              <w:bottom w:val="nil"/>
              <w:right w:val="nil"/>
            </w:tcBorders>
            <w:shd w:val="clear" w:color="auto" w:fill="auto"/>
            <w:noWrap/>
            <w:vAlign w:val="bottom"/>
            <w:hideMark/>
          </w:tcPr>
          <w:p w14:paraId="11FDF82D" w14:textId="77777777" w:rsidR="00177622" w:rsidRPr="00177622" w:rsidRDefault="00177622" w:rsidP="00177622">
            <w:pPr>
              <w:spacing w:after="0"/>
              <w:jc w:val="right"/>
              <w:rPr>
                <w:rFonts w:ascii="Times New Roman" w:hAnsi="Times New Roman"/>
                <w:color w:val="auto"/>
                <w:sz w:val="20"/>
              </w:rPr>
            </w:pPr>
          </w:p>
        </w:tc>
        <w:tc>
          <w:tcPr>
            <w:tcW w:w="1009" w:type="dxa"/>
            <w:tcBorders>
              <w:top w:val="nil"/>
              <w:left w:val="nil"/>
              <w:bottom w:val="nil"/>
              <w:right w:val="nil"/>
            </w:tcBorders>
            <w:shd w:val="clear" w:color="auto" w:fill="auto"/>
            <w:noWrap/>
            <w:vAlign w:val="bottom"/>
            <w:hideMark/>
          </w:tcPr>
          <w:p w14:paraId="57268E51" w14:textId="77777777" w:rsidR="00177622" w:rsidRPr="00177622" w:rsidRDefault="00177622" w:rsidP="00177622">
            <w:pPr>
              <w:spacing w:after="0"/>
              <w:jc w:val="right"/>
              <w:rPr>
                <w:rFonts w:ascii="Times New Roman" w:hAnsi="Times New Roman"/>
                <w:color w:val="auto"/>
                <w:sz w:val="20"/>
              </w:rPr>
            </w:pPr>
          </w:p>
        </w:tc>
        <w:tc>
          <w:tcPr>
            <w:tcW w:w="850" w:type="dxa"/>
            <w:tcBorders>
              <w:top w:val="nil"/>
              <w:left w:val="nil"/>
              <w:bottom w:val="nil"/>
              <w:right w:val="nil"/>
            </w:tcBorders>
            <w:shd w:val="clear" w:color="auto" w:fill="auto"/>
            <w:noWrap/>
            <w:vAlign w:val="bottom"/>
            <w:hideMark/>
          </w:tcPr>
          <w:p w14:paraId="7D2EAD90" w14:textId="77777777" w:rsidR="00177622" w:rsidRPr="00177622" w:rsidRDefault="00177622" w:rsidP="00177622">
            <w:pPr>
              <w:spacing w:after="0"/>
              <w:jc w:val="right"/>
              <w:rPr>
                <w:rFonts w:ascii="Times New Roman" w:hAnsi="Times New Roman"/>
                <w:color w:val="auto"/>
                <w:sz w:val="20"/>
              </w:rPr>
            </w:pPr>
          </w:p>
        </w:tc>
      </w:tr>
      <w:tr w:rsidR="00177622" w:rsidRPr="00177622" w14:paraId="26D7458E" w14:textId="77777777" w:rsidTr="0091389E">
        <w:trPr>
          <w:trHeight w:val="225"/>
          <w:jc w:val="center"/>
        </w:trPr>
        <w:tc>
          <w:tcPr>
            <w:tcW w:w="2878" w:type="dxa"/>
            <w:tcBorders>
              <w:top w:val="nil"/>
              <w:left w:val="nil"/>
              <w:bottom w:val="nil"/>
              <w:right w:val="nil"/>
            </w:tcBorders>
            <w:shd w:val="clear" w:color="auto" w:fill="auto"/>
            <w:noWrap/>
            <w:vAlign w:val="bottom"/>
            <w:hideMark/>
          </w:tcPr>
          <w:p w14:paraId="686690F6" w14:textId="77777777" w:rsidR="00177622" w:rsidRPr="00177622" w:rsidRDefault="00177622" w:rsidP="0091389E">
            <w:pPr>
              <w:spacing w:after="0"/>
              <w:ind w:leftChars="75" w:left="143"/>
              <w:rPr>
                <w:rFonts w:ascii="Arial" w:hAnsi="Arial" w:cs="Arial"/>
                <w:color w:val="auto"/>
                <w:sz w:val="16"/>
                <w:szCs w:val="16"/>
              </w:rPr>
            </w:pPr>
            <w:r w:rsidRPr="00177622">
              <w:rPr>
                <w:rFonts w:ascii="Arial" w:hAnsi="Arial" w:cs="Arial"/>
                <w:color w:val="auto"/>
                <w:sz w:val="16"/>
                <w:szCs w:val="16"/>
              </w:rPr>
              <w:t>By purchase - appropriation equity</w:t>
            </w:r>
          </w:p>
        </w:tc>
        <w:tc>
          <w:tcPr>
            <w:tcW w:w="652" w:type="dxa"/>
            <w:tcBorders>
              <w:top w:val="nil"/>
              <w:left w:val="nil"/>
              <w:bottom w:val="nil"/>
              <w:right w:val="nil"/>
            </w:tcBorders>
            <w:shd w:val="clear" w:color="auto" w:fill="auto"/>
            <w:noWrap/>
            <w:vAlign w:val="bottom"/>
            <w:hideMark/>
          </w:tcPr>
          <w:p w14:paraId="41D412F9"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7FE8B09F"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7,868</w:t>
            </w:r>
          </w:p>
        </w:tc>
        <w:tc>
          <w:tcPr>
            <w:tcW w:w="1066" w:type="dxa"/>
            <w:tcBorders>
              <w:top w:val="nil"/>
              <w:left w:val="nil"/>
              <w:bottom w:val="nil"/>
              <w:right w:val="nil"/>
            </w:tcBorders>
            <w:shd w:val="clear" w:color="auto" w:fill="auto"/>
            <w:noWrap/>
            <w:vAlign w:val="bottom"/>
            <w:hideMark/>
          </w:tcPr>
          <w:p w14:paraId="1CCCBF9F"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1009" w:type="dxa"/>
            <w:tcBorders>
              <w:top w:val="nil"/>
              <w:left w:val="nil"/>
              <w:bottom w:val="nil"/>
              <w:right w:val="nil"/>
            </w:tcBorders>
            <w:shd w:val="clear" w:color="auto" w:fill="auto"/>
            <w:noWrap/>
            <w:vAlign w:val="bottom"/>
            <w:hideMark/>
          </w:tcPr>
          <w:p w14:paraId="75DFF3FA"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2,466</w:t>
            </w:r>
          </w:p>
        </w:tc>
        <w:tc>
          <w:tcPr>
            <w:tcW w:w="850" w:type="dxa"/>
            <w:tcBorders>
              <w:top w:val="nil"/>
              <w:left w:val="nil"/>
              <w:bottom w:val="nil"/>
              <w:right w:val="nil"/>
            </w:tcBorders>
            <w:shd w:val="clear" w:color="auto" w:fill="auto"/>
            <w:noWrap/>
            <w:vAlign w:val="bottom"/>
            <w:hideMark/>
          </w:tcPr>
          <w:p w14:paraId="2B9FA705"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10,334</w:t>
            </w:r>
          </w:p>
        </w:tc>
      </w:tr>
      <w:tr w:rsidR="00177622" w:rsidRPr="00177622" w14:paraId="388A8202" w14:textId="77777777" w:rsidTr="0091389E">
        <w:trPr>
          <w:trHeight w:val="225"/>
          <w:jc w:val="center"/>
        </w:trPr>
        <w:tc>
          <w:tcPr>
            <w:tcW w:w="2878" w:type="dxa"/>
            <w:tcBorders>
              <w:top w:val="nil"/>
              <w:left w:val="nil"/>
              <w:bottom w:val="nil"/>
              <w:right w:val="nil"/>
            </w:tcBorders>
            <w:shd w:val="clear" w:color="auto" w:fill="auto"/>
            <w:noWrap/>
            <w:vAlign w:val="bottom"/>
            <w:hideMark/>
          </w:tcPr>
          <w:p w14:paraId="2B943127" w14:textId="77777777" w:rsidR="00177622" w:rsidRPr="00177622" w:rsidRDefault="00177622" w:rsidP="0091389E">
            <w:pPr>
              <w:spacing w:after="0"/>
              <w:ind w:leftChars="75" w:left="143"/>
              <w:rPr>
                <w:rFonts w:ascii="Arial" w:hAnsi="Arial" w:cs="Arial"/>
                <w:color w:val="auto"/>
                <w:sz w:val="16"/>
                <w:szCs w:val="16"/>
              </w:rPr>
            </w:pPr>
            <w:r w:rsidRPr="00177622">
              <w:rPr>
                <w:rFonts w:ascii="Arial" w:hAnsi="Arial" w:cs="Arial"/>
                <w:color w:val="auto"/>
                <w:sz w:val="16"/>
                <w:szCs w:val="16"/>
              </w:rPr>
              <w:t>By purchase - internal resources</w:t>
            </w:r>
          </w:p>
        </w:tc>
        <w:tc>
          <w:tcPr>
            <w:tcW w:w="652" w:type="dxa"/>
            <w:tcBorders>
              <w:top w:val="nil"/>
              <w:left w:val="nil"/>
              <w:bottom w:val="nil"/>
              <w:right w:val="nil"/>
            </w:tcBorders>
            <w:shd w:val="clear" w:color="auto" w:fill="auto"/>
            <w:noWrap/>
            <w:vAlign w:val="bottom"/>
            <w:hideMark/>
          </w:tcPr>
          <w:p w14:paraId="6F2E7377"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64109550"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13,250</w:t>
            </w:r>
          </w:p>
        </w:tc>
        <w:tc>
          <w:tcPr>
            <w:tcW w:w="1066" w:type="dxa"/>
            <w:tcBorders>
              <w:top w:val="nil"/>
              <w:left w:val="nil"/>
              <w:bottom w:val="nil"/>
              <w:right w:val="nil"/>
            </w:tcBorders>
            <w:shd w:val="clear" w:color="auto" w:fill="auto"/>
            <w:noWrap/>
            <w:vAlign w:val="bottom"/>
            <w:hideMark/>
          </w:tcPr>
          <w:p w14:paraId="6B3D0C48"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3,517</w:t>
            </w:r>
          </w:p>
        </w:tc>
        <w:tc>
          <w:tcPr>
            <w:tcW w:w="1009" w:type="dxa"/>
            <w:tcBorders>
              <w:top w:val="nil"/>
              <w:left w:val="nil"/>
              <w:bottom w:val="nil"/>
              <w:right w:val="nil"/>
            </w:tcBorders>
            <w:shd w:val="clear" w:color="auto" w:fill="auto"/>
            <w:noWrap/>
            <w:vAlign w:val="bottom"/>
            <w:hideMark/>
          </w:tcPr>
          <w:p w14:paraId="200D076A"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5,141</w:t>
            </w:r>
          </w:p>
        </w:tc>
        <w:tc>
          <w:tcPr>
            <w:tcW w:w="850" w:type="dxa"/>
            <w:tcBorders>
              <w:top w:val="nil"/>
              <w:left w:val="nil"/>
              <w:bottom w:val="nil"/>
              <w:right w:val="nil"/>
            </w:tcBorders>
            <w:shd w:val="clear" w:color="auto" w:fill="auto"/>
            <w:noWrap/>
            <w:vAlign w:val="bottom"/>
            <w:hideMark/>
          </w:tcPr>
          <w:p w14:paraId="2EE23EA8"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21,908</w:t>
            </w:r>
          </w:p>
        </w:tc>
      </w:tr>
      <w:tr w:rsidR="00177622" w:rsidRPr="00177622" w14:paraId="61659AD9" w14:textId="77777777" w:rsidTr="0091389E">
        <w:trPr>
          <w:trHeight w:val="225"/>
          <w:jc w:val="center"/>
        </w:trPr>
        <w:tc>
          <w:tcPr>
            <w:tcW w:w="2878" w:type="dxa"/>
            <w:tcBorders>
              <w:top w:val="nil"/>
              <w:left w:val="nil"/>
              <w:bottom w:val="nil"/>
              <w:right w:val="nil"/>
            </w:tcBorders>
            <w:shd w:val="clear" w:color="auto" w:fill="auto"/>
            <w:noWrap/>
            <w:vAlign w:val="bottom"/>
            <w:hideMark/>
          </w:tcPr>
          <w:p w14:paraId="34AA4B70" w14:textId="77777777" w:rsidR="00177622" w:rsidRPr="00177622" w:rsidRDefault="00177622" w:rsidP="0091389E">
            <w:pPr>
              <w:spacing w:after="0"/>
              <w:ind w:leftChars="75" w:left="143"/>
              <w:rPr>
                <w:rFonts w:ascii="Arial" w:hAnsi="Arial" w:cs="Arial"/>
                <w:color w:val="auto"/>
                <w:sz w:val="16"/>
                <w:szCs w:val="16"/>
              </w:rPr>
            </w:pPr>
            <w:r w:rsidRPr="00177622">
              <w:rPr>
                <w:rFonts w:ascii="Arial" w:hAnsi="Arial" w:cs="Arial"/>
                <w:color w:val="auto"/>
                <w:sz w:val="16"/>
                <w:szCs w:val="16"/>
              </w:rPr>
              <w:t xml:space="preserve">By purchase - </w:t>
            </w:r>
            <w:proofErr w:type="spellStart"/>
            <w:r w:rsidRPr="00177622">
              <w:rPr>
                <w:rFonts w:ascii="Arial" w:hAnsi="Arial" w:cs="Arial"/>
                <w:color w:val="auto"/>
                <w:sz w:val="16"/>
                <w:szCs w:val="16"/>
              </w:rPr>
              <w:t>RoU</w:t>
            </w:r>
            <w:proofErr w:type="spellEnd"/>
          </w:p>
        </w:tc>
        <w:tc>
          <w:tcPr>
            <w:tcW w:w="652" w:type="dxa"/>
            <w:tcBorders>
              <w:top w:val="nil"/>
              <w:left w:val="nil"/>
              <w:bottom w:val="nil"/>
              <w:right w:val="nil"/>
            </w:tcBorders>
            <w:shd w:val="clear" w:color="auto" w:fill="auto"/>
            <w:noWrap/>
            <w:vAlign w:val="bottom"/>
            <w:hideMark/>
          </w:tcPr>
          <w:p w14:paraId="041CD0D2"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6083C68E"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3A650D41"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1009" w:type="dxa"/>
            <w:tcBorders>
              <w:top w:val="nil"/>
              <w:left w:val="nil"/>
              <w:bottom w:val="nil"/>
              <w:right w:val="nil"/>
            </w:tcBorders>
            <w:shd w:val="clear" w:color="auto" w:fill="auto"/>
            <w:noWrap/>
            <w:vAlign w:val="bottom"/>
            <w:hideMark/>
          </w:tcPr>
          <w:p w14:paraId="51BA3E05"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70EA23A0"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r>
      <w:tr w:rsidR="00177622" w:rsidRPr="00177622" w14:paraId="5BB6D786" w14:textId="77777777" w:rsidTr="0091389E">
        <w:trPr>
          <w:trHeight w:val="225"/>
          <w:jc w:val="center"/>
        </w:trPr>
        <w:tc>
          <w:tcPr>
            <w:tcW w:w="2878" w:type="dxa"/>
            <w:tcBorders>
              <w:top w:val="nil"/>
              <w:left w:val="nil"/>
              <w:bottom w:val="nil"/>
              <w:right w:val="nil"/>
            </w:tcBorders>
            <w:shd w:val="clear" w:color="auto" w:fill="auto"/>
            <w:noWrap/>
            <w:vAlign w:val="bottom"/>
            <w:hideMark/>
          </w:tcPr>
          <w:p w14:paraId="11F25C10" w14:textId="77777777" w:rsidR="00177622" w:rsidRPr="00177622" w:rsidRDefault="00177622" w:rsidP="0091389E">
            <w:pPr>
              <w:spacing w:after="0"/>
              <w:ind w:leftChars="75" w:left="143"/>
              <w:rPr>
                <w:rFonts w:ascii="Arial" w:hAnsi="Arial" w:cs="Arial"/>
                <w:b/>
                <w:bCs/>
                <w:sz w:val="16"/>
                <w:szCs w:val="16"/>
              </w:rPr>
            </w:pPr>
            <w:r w:rsidRPr="00177622">
              <w:rPr>
                <w:rFonts w:ascii="Arial" w:hAnsi="Arial" w:cs="Arial"/>
                <w:b/>
                <w:bCs/>
                <w:sz w:val="16"/>
                <w:szCs w:val="16"/>
              </w:rPr>
              <w:t>Total additions</w:t>
            </w:r>
          </w:p>
        </w:tc>
        <w:tc>
          <w:tcPr>
            <w:tcW w:w="652" w:type="dxa"/>
            <w:tcBorders>
              <w:top w:val="single" w:sz="4" w:space="0" w:color="auto"/>
              <w:left w:val="nil"/>
              <w:bottom w:val="single" w:sz="4" w:space="0" w:color="auto"/>
              <w:right w:val="nil"/>
            </w:tcBorders>
            <w:shd w:val="clear" w:color="auto" w:fill="auto"/>
            <w:noWrap/>
            <w:vAlign w:val="bottom"/>
            <w:hideMark/>
          </w:tcPr>
          <w:p w14:paraId="19C29480"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c>
          <w:tcPr>
            <w:tcW w:w="920" w:type="dxa"/>
            <w:tcBorders>
              <w:top w:val="single" w:sz="4" w:space="0" w:color="auto"/>
              <w:left w:val="nil"/>
              <w:bottom w:val="single" w:sz="4" w:space="0" w:color="auto"/>
              <w:right w:val="nil"/>
            </w:tcBorders>
            <w:shd w:val="clear" w:color="auto" w:fill="auto"/>
            <w:noWrap/>
            <w:vAlign w:val="bottom"/>
            <w:hideMark/>
          </w:tcPr>
          <w:p w14:paraId="58C7BF4D"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21,118</w:t>
            </w:r>
          </w:p>
        </w:tc>
        <w:tc>
          <w:tcPr>
            <w:tcW w:w="1066" w:type="dxa"/>
            <w:tcBorders>
              <w:top w:val="single" w:sz="4" w:space="0" w:color="auto"/>
              <w:left w:val="nil"/>
              <w:bottom w:val="single" w:sz="4" w:space="0" w:color="auto"/>
              <w:right w:val="nil"/>
            </w:tcBorders>
            <w:shd w:val="clear" w:color="auto" w:fill="auto"/>
            <w:noWrap/>
            <w:vAlign w:val="bottom"/>
            <w:hideMark/>
          </w:tcPr>
          <w:p w14:paraId="0202CDC9"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3,517</w:t>
            </w:r>
          </w:p>
        </w:tc>
        <w:tc>
          <w:tcPr>
            <w:tcW w:w="1009" w:type="dxa"/>
            <w:tcBorders>
              <w:top w:val="single" w:sz="4" w:space="0" w:color="auto"/>
              <w:left w:val="nil"/>
              <w:bottom w:val="single" w:sz="4" w:space="0" w:color="auto"/>
              <w:right w:val="nil"/>
            </w:tcBorders>
            <w:shd w:val="clear" w:color="auto" w:fill="auto"/>
            <w:noWrap/>
            <w:vAlign w:val="bottom"/>
            <w:hideMark/>
          </w:tcPr>
          <w:p w14:paraId="409D3F35"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7,607</w:t>
            </w:r>
          </w:p>
        </w:tc>
        <w:tc>
          <w:tcPr>
            <w:tcW w:w="850" w:type="dxa"/>
            <w:tcBorders>
              <w:top w:val="single" w:sz="4" w:space="0" w:color="auto"/>
              <w:left w:val="nil"/>
              <w:bottom w:val="single" w:sz="4" w:space="0" w:color="auto"/>
              <w:right w:val="nil"/>
            </w:tcBorders>
            <w:shd w:val="clear" w:color="auto" w:fill="auto"/>
            <w:noWrap/>
            <w:vAlign w:val="bottom"/>
            <w:hideMark/>
          </w:tcPr>
          <w:p w14:paraId="6B8EAE05"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32,242</w:t>
            </w:r>
          </w:p>
        </w:tc>
      </w:tr>
      <w:tr w:rsidR="00177622" w:rsidRPr="00177622" w14:paraId="4F71FB1D" w14:textId="77777777" w:rsidTr="0091389E">
        <w:trPr>
          <w:trHeight w:val="283"/>
          <w:jc w:val="center"/>
        </w:trPr>
        <w:tc>
          <w:tcPr>
            <w:tcW w:w="2878" w:type="dxa"/>
            <w:tcBorders>
              <w:top w:val="nil"/>
              <w:left w:val="nil"/>
              <w:bottom w:val="nil"/>
              <w:right w:val="nil"/>
            </w:tcBorders>
            <w:shd w:val="clear" w:color="auto" w:fill="auto"/>
            <w:noWrap/>
            <w:vAlign w:val="bottom"/>
            <w:hideMark/>
          </w:tcPr>
          <w:p w14:paraId="10770421" w14:textId="77777777" w:rsidR="00177622" w:rsidRPr="00177622" w:rsidRDefault="00177622" w:rsidP="00177622">
            <w:pPr>
              <w:spacing w:after="0"/>
              <w:rPr>
                <w:rFonts w:ascii="Arial" w:hAnsi="Arial" w:cs="Arial"/>
                <w:b/>
                <w:bCs/>
                <w:color w:val="auto"/>
                <w:sz w:val="16"/>
                <w:szCs w:val="16"/>
              </w:rPr>
            </w:pPr>
            <w:r w:rsidRPr="00177622">
              <w:rPr>
                <w:rFonts w:ascii="Arial" w:hAnsi="Arial" w:cs="Arial"/>
                <w:b/>
                <w:bCs/>
                <w:color w:val="auto"/>
                <w:sz w:val="16"/>
                <w:szCs w:val="16"/>
              </w:rPr>
              <w:t>Other movements</w:t>
            </w:r>
          </w:p>
        </w:tc>
        <w:tc>
          <w:tcPr>
            <w:tcW w:w="652" w:type="dxa"/>
            <w:tcBorders>
              <w:top w:val="nil"/>
              <w:left w:val="nil"/>
              <w:bottom w:val="nil"/>
              <w:right w:val="nil"/>
            </w:tcBorders>
            <w:shd w:val="clear" w:color="auto" w:fill="auto"/>
            <w:noWrap/>
            <w:vAlign w:val="bottom"/>
            <w:hideMark/>
          </w:tcPr>
          <w:p w14:paraId="40E60E4D" w14:textId="77777777" w:rsidR="00177622" w:rsidRPr="00177622" w:rsidRDefault="00177622" w:rsidP="00177622">
            <w:pPr>
              <w:spacing w:after="0"/>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54BF6F2C" w14:textId="77777777" w:rsidR="00177622" w:rsidRPr="00177622" w:rsidRDefault="00177622" w:rsidP="00177622">
            <w:pPr>
              <w:spacing w:after="0"/>
              <w:jc w:val="right"/>
              <w:rPr>
                <w:rFonts w:ascii="Times New Roman" w:hAnsi="Times New Roman"/>
                <w:color w:val="auto"/>
                <w:sz w:val="20"/>
              </w:rPr>
            </w:pPr>
          </w:p>
        </w:tc>
        <w:tc>
          <w:tcPr>
            <w:tcW w:w="1066" w:type="dxa"/>
            <w:tcBorders>
              <w:top w:val="nil"/>
              <w:left w:val="nil"/>
              <w:bottom w:val="nil"/>
              <w:right w:val="nil"/>
            </w:tcBorders>
            <w:shd w:val="clear" w:color="auto" w:fill="auto"/>
            <w:noWrap/>
            <w:vAlign w:val="bottom"/>
            <w:hideMark/>
          </w:tcPr>
          <w:p w14:paraId="4F18C499" w14:textId="77777777" w:rsidR="00177622" w:rsidRPr="00177622" w:rsidRDefault="00177622" w:rsidP="00177622">
            <w:pPr>
              <w:spacing w:after="0"/>
              <w:jc w:val="right"/>
              <w:rPr>
                <w:rFonts w:ascii="Times New Roman" w:hAnsi="Times New Roman"/>
                <w:color w:val="auto"/>
                <w:sz w:val="20"/>
              </w:rPr>
            </w:pPr>
          </w:p>
        </w:tc>
        <w:tc>
          <w:tcPr>
            <w:tcW w:w="1009" w:type="dxa"/>
            <w:tcBorders>
              <w:top w:val="nil"/>
              <w:left w:val="nil"/>
              <w:bottom w:val="nil"/>
              <w:right w:val="nil"/>
            </w:tcBorders>
            <w:shd w:val="clear" w:color="auto" w:fill="auto"/>
            <w:noWrap/>
            <w:vAlign w:val="bottom"/>
            <w:hideMark/>
          </w:tcPr>
          <w:p w14:paraId="043B04B7" w14:textId="77777777" w:rsidR="00177622" w:rsidRPr="00177622" w:rsidRDefault="00177622" w:rsidP="00177622">
            <w:pPr>
              <w:spacing w:after="0"/>
              <w:jc w:val="right"/>
              <w:rPr>
                <w:rFonts w:ascii="Times New Roman" w:hAnsi="Times New Roman"/>
                <w:color w:val="auto"/>
                <w:sz w:val="20"/>
              </w:rPr>
            </w:pPr>
          </w:p>
        </w:tc>
        <w:tc>
          <w:tcPr>
            <w:tcW w:w="850" w:type="dxa"/>
            <w:tcBorders>
              <w:top w:val="nil"/>
              <w:left w:val="nil"/>
              <w:bottom w:val="nil"/>
              <w:right w:val="nil"/>
            </w:tcBorders>
            <w:shd w:val="clear" w:color="auto" w:fill="auto"/>
            <w:noWrap/>
            <w:vAlign w:val="bottom"/>
            <w:hideMark/>
          </w:tcPr>
          <w:p w14:paraId="67309FDE" w14:textId="77777777" w:rsidR="00177622" w:rsidRPr="00177622" w:rsidRDefault="00177622" w:rsidP="00177622">
            <w:pPr>
              <w:spacing w:after="0"/>
              <w:jc w:val="right"/>
              <w:rPr>
                <w:rFonts w:ascii="Times New Roman" w:hAnsi="Times New Roman"/>
                <w:color w:val="auto"/>
                <w:sz w:val="20"/>
              </w:rPr>
            </w:pPr>
          </w:p>
        </w:tc>
      </w:tr>
      <w:tr w:rsidR="00177622" w:rsidRPr="00177622" w14:paraId="7B94AD40" w14:textId="77777777" w:rsidTr="0091389E">
        <w:trPr>
          <w:trHeight w:val="225"/>
          <w:jc w:val="center"/>
        </w:trPr>
        <w:tc>
          <w:tcPr>
            <w:tcW w:w="2878" w:type="dxa"/>
            <w:tcBorders>
              <w:top w:val="nil"/>
              <w:left w:val="nil"/>
              <w:bottom w:val="nil"/>
              <w:right w:val="nil"/>
            </w:tcBorders>
            <w:shd w:val="clear" w:color="auto" w:fill="auto"/>
            <w:noWrap/>
            <w:vAlign w:val="bottom"/>
            <w:hideMark/>
          </w:tcPr>
          <w:p w14:paraId="62BB5DDA" w14:textId="77777777" w:rsidR="00177622" w:rsidRPr="00177622" w:rsidRDefault="00177622" w:rsidP="0091389E">
            <w:pPr>
              <w:spacing w:after="0"/>
              <w:ind w:leftChars="75" w:left="143"/>
              <w:rPr>
                <w:rFonts w:ascii="Arial" w:hAnsi="Arial" w:cs="Arial"/>
                <w:color w:val="auto"/>
                <w:sz w:val="16"/>
                <w:szCs w:val="16"/>
              </w:rPr>
            </w:pPr>
            <w:r w:rsidRPr="00177622">
              <w:rPr>
                <w:rFonts w:ascii="Arial" w:hAnsi="Arial" w:cs="Arial"/>
                <w:color w:val="auto"/>
                <w:sz w:val="16"/>
                <w:szCs w:val="16"/>
              </w:rPr>
              <w:t>Depreciation/amortisation expense</w:t>
            </w:r>
          </w:p>
        </w:tc>
        <w:tc>
          <w:tcPr>
            <w:tcW w:w="652" w:type="dxa"/>
            <w:tcBorders>
              <w:top w:val="nil"/>
              <w:left w:val="nil"/>
              <w:bottom w:val="nil"/>
              <w:right w:val="nil"/>
            </w:tcBorders>
            <w:shd w:val="clear" w:color="auto" w:fill="auto"/>
            <w:noWrap/>
            <w:vAlign w:val="bottom"/>
            <w:hideMark/>
          </w:tcPr>
          <w:p w14:paraId="490C57A0"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c>
          <w:tcPr>
            <w:tcW w:w="920" w:type="dxa"/>
            <w:tcBorders>
              <w:top w:val="nil"/>
              <w:left w:val="nil"/>
              <w:bottom w:val="nil"/>
              <w:right w:val="nil"/>
            </w:tcBorders>
            <w:shd w:val="clear" w:color="auto" w:fill="auto"/>
            <w:noWrap/>
            <w:vAlign w:val="bottom"/>
            <w:hideMark/>
          </w:tcPr>
          <w:p w14:paraId="798A7062"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(18,063)</w:t>
            </w:r>
          </w:p>
        </w:tc>
        <w:tc>
          <w:tcPr>
            <w:tcW w:w="1066" w:type="dxa"/>
            <w:tcBorders>
              <w:top w:val="nil"/>
              <w:left w:val="nil"/>
              <w:bottom w:val="nil"/>
              <w:right w:val="nil"/>
            </w:tcBorders>
            <w:shd w:val="clear" w:color="auto" w:fill="auto"/>
            <w:noWrap/>
            <w:vAlign w:val="bottom"/>
            <w:hideMark/>
          </w:tcPr>
          <w:p w14:paraId="4F0668F2"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(3,677)</w:t>
            </w:r>
          </w:p>
        </w:tc>
        <w:tc>
          <w:tcPr>
            <w:tcW w:w="1009" w:type="dxa"/>
            <w:tcBorders>
              <w:top w:val="nil"/>
              <w:left w:val="nil"/>
              <w:bottom w:val="nil"/>
              <w:right w:val="nil"/>
            </w:tcBorders>
            <w:shd w:val="clear" w:color="auto" w:fill="auto"/>
            <w:noWrap/>
            <w:vAlign w:val="bottom"/>
            <w:hideMark/>
          </w:tcPr>
          <w:p w14:paraId="43F4E3CE"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(3,193)</w:t>
            </w:r>
          </w:p>
        </w:tc>
        <w:tc>
          <w:tcPr>
            <w:tcW w:w="850" w:type="dxa"/>
            <w:tcBorders>
              <w:top w:val="nil"/>
              <w:left w:val="nil"/>
              <w:bottom w:val="nil"/>
              <w:right w:val="nil"/>
            </w:tcBorders>
            <w:shd w:val="clear" w:color="auto" w:fill="auto"/>
            <w:noWrap/>
            <w:vAlign w:val="bottom"/>
            <w:hideMark/>
          </w:tcPr>
          <w:p w14:paraId="24D43226"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(24,933)</w:t>
            </w:r>
          </w:p>
        </w:tc>
      </w:tr>
      <w:tr w:rsidR="00177622" w:rsidRPr="00177622" w14:paraId="48E84742" w14:textId="77777777" w:rsidTr="0091389E">
        <w:trPr>
          <w:trHeight w:val="450"/>
          <w:jc w:val="center"/>
        </w:trPr>
        <w:tc>
          <w:tcPr>
            <w:tcW w:w="2878" w:type="dxa"/>
            <w:tcBorders>
              <w:top w:val="nil"/>
              <w:left w:val="nil"/>
              <w:bottom w:val="nil"/>
              <w:right w:val="nil"/>
            </w:tcBorders>
            <w:shd w:val="clear" w:color="auto" w:fill="auto"/>
            <w:vAlign w:val="bottom"/>
            <w:hideMark/>
          </w:tcPr>
          <w:p w14:paraId="11C75B1A" w14:textId="77777777" w:rsidR="00177622" w:rsidRPr="00177622" w:rsidRDefault="00177622" w:rsidP="0091389E">
            <w:pPr>
              <w:spacing w:after="0"/>
              <w:ind w:leftChars="75" w:left="143"/>
              <w:rPr>
                <w:rFonts w:ascii="Arial" w:hAnsi="Arial" w:cs="Arial"/>
                <w:color w:val="auto"/>
                <w:sz w:val="16"/>
                <w:szCs w:val="16"/>
              </w:rPr>
            </w:pPr>
            <w:r w:rsidRPr="00177622">
              <w:rPr>
                <w:rFonts w:ascii="Arial" w:hAnsi="Arial" w:cs="Arial"/>
                <w:color w:val="auto"/>
                <w:sz w:val="16"/>
                <w:szCs w:val="16"/>
              </w:rPr>
              <w:t xml:space="preserve">Depreciation/amortisation expense - </w:t>
            </w:r>
            <w:proofErr w:type="spellStart"/>
            <w:r w:rsidRPr="00177622">
              <w:rPr>
                <w:rFonts w:ascii="Arial" w:hAnsi="Arial" w:cs="Arial"/>
                <w:color w:val="auto"/>
                <w:sz w:val="16"/>
                <w:szCs w:val="16"/>
              </w:rPr>
              <w:t>RoU</w:t>
            </w:r>
            <w:proofErr w:type="spellEnd"/>
          </w:p>
        </w:tc>
        <w:tc>
          <w:tcPr>
            <w:tcW w:w="652" w:type="dxa"/>
            <w:tcBorders>
              <w:top w:val="nil"/>
              <w:left w:val="nil"/>
              <w:bottom w:val="nil"/>
              <w:right w:val="nil"/>
            </w:tcBorders>
            <w:shd w:val="clear" w:color="auto" w:fill="auto"/>
            <w:noWrap/>
            <w:vAlign w:val="bottom"/>
            <w:hideMark/>
          </w:tcPr>
          <w:p w14:paraId="27FEA8D2"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c>
          <w:tcPr>
            <w:tcW w:w="920" w:type="dxa"/>
            <w:tcBorders>
              <w:top w:val="nil"/>
              <w:left w:val="nil"/>
              <w:bottom w:val="nil"/>
              <w:right w:val="nil"/>
            </w:tcBorders>
            <w:shd w:val="clear" w:color="auto" w:fill="auto"/>
            <w:noWrap/>
            <w:vAlign w:val="bottom"/>
            <w:hideMark/>
          </w:tcPr>
          <w:p w14:paraId="6F9F58DA"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(730)</w:t>
            </w:r>
          </w:p>
        </w:tc>
        <w:tc>
          <w:tcPr>
            <w:tcW w:w="1066" w:type="dxa"/>
            <w:tcBorders>
              <w:top w:val="nil"/>
              <w:left w:val="nil"/>
              <w:bottom w:val="nil"/>
              <w:right w:val="nil"/>
            </w:tcBorders>
            <w:shd w:val="clear" w:color="auto" w:fill="auto"/>
            <w:noWrap/>
            <w:vAlign w:val="bottom"/>
            <w:hideMark/>
          </w:tcPr>
          <w:p w14:paraId="4F2097DC"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1009" w:type="dxa"/>
            <w:tcBorders>
              <w:top w:val="nil"/>
              <w:left w:val="nil"/>
              <w:bottom w:val="nil"/>
              <w:right w:val="nil"/>
            </w:tcBorders>
            <w:shd w:val="clear" w:color="auto" w:fill="auto"/>
            <w:noWrap/>
            <w:vAlign w:val="bottom"/>
            <w:hideMark/>
          </w:tcPr>
          <w:p w14:paraId="306EA5B8"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1FD852AC"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(730)</w:t>
            </w:r>
          </w:p>
        </w:tc>
      </w:tr>
      <w:tr w:rsidR="00177622" w:rsidRPr="00177622" w14:paraId="49A86334" w14:textId="77777777" w:rsidTr="0091389E">
        <w:trPr>
          <w:trHeight w:val="225"/>
          <w:jc w:val="center"/>
        </w:trPr>
        <w:tc>
          <w:tcPr>
            <w:tcW w:w="2878" w:type="dxa"/>
            <w:tcBorders>
              <w:top w:val="nil"/>
              <w:left w:val="nil"/>
              <w:bottom w:val="nil"/>
              <w:right w:val="nil"/>
            </w:tcBorders>
            <w:shd w:val="clear" w:color="auto" w:fill="auto"/>
            <w:noWrap/>
            <w:vAlign w:val="bottom"/>
            <w:hideMark/>
          </w:tcPr>
          <w:p w14:paraId="1202805A" w14:textId="77777777" w:rsidR="00177622" w:rsidRPr="00177622" w:rsidRDefault="00177622" w:rsidP="0091389E">
            <w:pPr>
              <w:spacing w:after="0"/>
              <w:ind w:leftChars="75" w:left="143"/>
              <w:rPr>
                <w:rFonts w:ascii="Arial" w:hAnsi="Arial" w:cs="Arial"/>
                <w:b/>
                <w:bCs/>
                <w:sz w:val="16"/>
                <w:szCs w:val="16"/>
              </w:rPr>
            </w:pPr>
            <w:r w:rsidRPr="00177622">
              <w:rPr>
                <w:rFonts w:ascii="Arial" w:hAnsi="Arial" w:cs="Arial"/>
                <w:b/>
                <w:bCs/>
                <w:sz w:val="16"/>
                <w:szCs w:val="16"/>
              </w:rPr>
              <w:t>Total other movements</w:t>
            </w:r>
          </w:p>
        </w:tc>
        <w:tc>
          <w:tcPr>
            <w:tcW w:w="652" w:type="dxa"/>
            <w:tcBorders>
              <w:top w:val="single" w:sz="4" w:space="0" w:color="auto"/>
              <w:left w:val="nil"/>
              <w:bottom w:val="single" w:sz="4" w:space="0" w:color="auto"/>
              <w:right w:val="nil"/>
            </w:tcBorders>
            <w:shd w:val="clear" w:color="auto" w:fill="auto"/>
            <w:noWrap/>
            <w:vAlign w:val="bottom"/>
            <w:hideMark/>
          </w:tcPr>
          <w:p w14:paraId="0502BA37"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w:t>
            </w:r>
          </w:p>
        </w:tc>
        <w:tc>
          <w:tcPr>
            <w:tcW w:w="920" w:type="dxa"/>
            <w:tcBorders>
              <w:top w:val="single" w:sz="4" w:space="0" w:color="auto"/>
              <w:left w:val="nil"/>
              <w:bottom w:val="single" w:sz="4" w:space="0" w:color="auto"/>
              <w:right w:val="nil"/>
            </w:tcBorders>
            <w:shd w:val="clear" w:color="auto" w:fill="auto"/>
            <w:noWrap/>
            <w:vAlign w:val="bottom"/>
            <w:hideMark/>
          </w:tcPr>
          <w:p w14:paraId="54AE8853"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(18,793)</w:t>
            </w:r>
          </w:p>
        </w:tc>
        <w:tc>
          <w:tcPr>
            <w:tcW w:w="1066" w:type="dxa"/>
            <w:tcBorders>
              <w:top w:val="single" w:sz="4" w:space="0" w:color="auto"/>
              <w:left w:val="nil"/>
              <w:bottom w:val="single" w:sz="4" w:space="0" w:color="auto"/>
              <w:right w:val="nil"/>
            </w:tcBorders>
            <w:shd w:val="clear" w:color="auto" w:fill="auto"/>
            <w:noWrap/>
            <w:vAlign w:val="bottom"/>
            <w:hideMark/>
          </w:tcPr>
          <w:p w14:paraId="46B0C8C5"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(3,677)</w:t>
            </w:r>
          </w:p>
        </w:tc>
        <w:tc>
          <w:tcPr>
            <w:tcW w:w="1009" w:type="dxa"/>
            <w:tcBorders>
              <w:top w:val="single" w:sz="4" w:space="0" w:color="auto"/>
              <w:left w:val="nil"/>
              <w:bottom w:val="single" w:sz="4" w:space="0" w:color="auto"/>
              <w:right w:val="nil"/>
            </w:tcBorders>
            <w:shd w:val="clear" w:color="auto" w:fill="auto"/>
            <w:noWrap/>
            <w:vAlign w:val="bottom"/>
            <w:hideMark/>
          </w:tcPr>
          <w:p w14:paraId="071307A2"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(3,193)</w:t>
            </w:r>
          </w:p>
        </w:tc>
        <w:tc>
          <w:tcPr>
            <w:tcW w:w="850" w:type="dxa"/>
            <w:tcBorders>
              <w:top w:val="single" w:sz="4" w:space="0" w:color="auto"/>
              <w:left w:val="nil"/>
              <w:bottom w:val="single" w:sz="4" w:space="0" w:color="auto"/>
              <w:right w:val="nil"/>
            </w:tcBorders>
            <w:shd w:val="clear" w:color="auto" w:fill="auto"/>
            <w:noWrap/>
            <w:vAlign w:val="bottom"/>
            <w:hideMark/>
          </w:tcPr>
          <w:p w14:paraId="00189212"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(25,663)</w:t>
            </w:r>
          </w:p>
        </w:tc>
      </w:tr>
      <w:tr w:rsidR="00177622" w:rsidRPr="00177622" w14:paraId="5A8DA8DB" w14:textId="77777777" w:rsidTr="0091389E">
        <w:trPr>
          <w:trHeight w:val="283"/>
          <w:jc w:val="center"/>
        </w:trPr>
        <w:tc>
          <w:tcPr>
            <w:tcW w:w="2878" w:type="dxa"/>
            <w:tcBorders>
              <w:top w:val="nil"/>
              <w:left w:val="nil"/>
              <w:bottom w:val="nil"/>
              <w:right w:val="nil"/>
            </w:tcBorders>
            <w:shd w:val="clear" w:color="auto" w:fill="auto"/>
            <w:noWrap/>
            <w:vAlign w:val="bottom"/>
            <w:hideMark/>
          </w:tcPr>
          <w:p w14:paraId="5BF2913D" w14:textId="77777777" w:rsidR="00177622" w:rsidRPr="00177622" w:rsidRDefault="00177622" w:rsidP="00177622">
            <w:pPr>
              <w:spacing w:after="0"/>
              <w:rPr>
                <w:rFonts w:ascii="Arial" w:hAnsi="Arial" w:cs="Arial"/>
                <w:b/>
                <w:bCs/>
                <w:color w:val="auto"/>
                <w:sz w:val="16"/>
                <w:szCs w:val="16"/>
              </w:rPr>
            </w:pPr>
            <w:r w:rsidRPr="00177622">
              <w:rPr>
                <w:rFonts w:ascii="Arial" w:hAnsi="Arial" w:cs="Arial"/>
                <w:b/>
                <w:bCs/>
                <w:color w:val="auto"/>
                <w:sz w:val="16"/>
                <w:szCs w:val="16"/>
              </w:rPr>
              <w:t>As at 30 June 2023</w:t>
            </w:r>
          </w:p>
        </w:tc>
        <w:tc>
          <w:tcPr>
            <w:tcW w:w="652" w:type="dxa"/>
            <w:tcBorders>
              <w:top w:val="nil"/>
              <w:left w:val="nil"/>
              <w:bottom w:val="nil"/>
              <w:right w:val="nil"/>
            </w:tcBorders>
            <w:shd w:val="clear" w:color="auto" w:fill="auto"/>
            <w:noWrap/>
            <w:vAlign w:val="bottom"/>
            <w:hideMark/>
          </w:tcPr>
          <w:p w14:paraId="03BAC65A" w14:textId="77777777" w:rsidR="00177622" w:rsidRPr="00177622" w:rsidRDefault="00177622" w:rsidP="00177622">
            <w:pPr>
              <w:spacing w:after="0"/>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2F582178" w14:textId="77777777" w:rsidR="00177622" w:rsidRPr="00177622" w:rsidRDefault="00177622" w:rsidP="00177622">
            <w:pPr>
              <w:spacing w:after="0"/>
              <w:jc w:val="right"/>
              <w:rPr>
                <w:rFonts w:ascii="Times New Roman" w:hAnsi="Times New Roman"/>
                <w:color w:val="auto"/>
                <w:sz w:val="20"/>
              </w:rPr>
            </w:pPr>
          </w:p>
        </w:tc>
        <w:tc>
          <w:tcPr>
            <w:tcW w:w="1066" w:type="dxa"/>
            <w:tcBorders>
              <w:top w:val="nil"/>
              <w:left w:val="nil"/>
              <w:bottom w:val="nil"/>
              <w:right w:val="nil"/>
            </w:tcBorders>
            <w:shd w:val="clear" w:color="auto" w:fill="auto"/>
            <w:noWrap/>
            <w:vAlign w:val="bottom"/>
            <w:hideMark/>
          </w:tcPr>
          <w:p w14:paraId="6308C9F7" w14:textId="77777777" w:rsidR="00177622" w:rsidRPr="00177622" w:rsidRDefault="00177622" w:rsidP="00177622">
            <w:pPr>
              <w:spacing w:after="0"/>
              <w:jc w:val="right"/>
              <w:rPr>
                <w:rFonts w:ascii="Times New Roman" w:hAnsi="Times New Roman"/>
                <w:color w:val="auto"/>
                <w:sz w:val="20"/>
              </w:rPr>
            </w:pPr>
          </w:p>
        </w:tc>
        <w:tc>
          <w:tcPr>
            <w:tcW w:w="1009" w:type="dxa"/>
            <w:tcBorders>
              <w:top w:val="nil"/>
              <w:left w:val="nil"/>
              <w:bottom w:val="nil"/>
              <w:right w:val="nil"/>
            </w:tcBorders>
            <w:shd w:val="clear" w:color="auto" w:fill="auto"/>
            <w:noWrap/>
            <w:vAlign w:val="bottom"/>
            <w:hideMark/>
          </w:tcPr>
          <w:p w14:paraId="6338EC9C" w14:textId="77777777" w:rsidR="00177622" w:rsidRPr="00177622" w:rsidRDefault="00177622" w:rsidP="00177622">
            <w:pPr>
              <w:spacing w:after="0"/>
              <w:jc w:val="right"/>
              <w:rPr>
                <w:rFonts w:ascii="Times New Roman" w:hAnsi="Times New Roman"/>
                <w:color w:val="auto"/>
                <w:sz w:val="20"/>
              </w:rPr>
            </w:pPr>
          </w:p>
        </w:tc>
        <w:tc>
          <w:tcPr>
            <w:tcW w:w="850" w:type="dxa"/>
            <w:tcBorders>
              <w:top w:val="nil"/>
              <w:left w:val="nil"/>
              <w:bottom w:val="nil"/>
              <w:right w:val="nil"/>
            </w:tcBorders>
            <w:shd w:val="clear" w:color="auto" w:fill="auto"/>
            <w:noWrap/>
            <w:vAlign w:val="bottom"/>
            <w:hideMark/>
          </w:tcPr>
          <w:p w14:paraId="19D9FB62" w14:textId="77777777" w:rsidR="00177622" w:rsidRPr="00177622" w:rsidRDefault="00177622" w:rsidP="00177622">
            <w:pPr>
              <w:spacing w:after="0"/>
              <w:jc w:val="right"/>
              <w:rPr>
                <w:rFonts w:ascii="Times New Roman" w:hAnsi="Times New Roman"/>
                <w:color w:val="auto"/>
                <w:sz w:val="20"/>
              </w:rPr>
            </w:pPr>
          </w:p>
        </w:tc>
      </w:tr>
      <w:tr w:rsidR="00177622" w:rsidRPr="00177622" w14:paraId="46851790" w14:textId="77777777" w:rsidTr="0091389E">
        <w:trPr>
          <w:trHeight w:val="225"/>
          <w:jc w:val="center"/>
        </w:trPr>
        <w:tc>
          <w:tcPr>
            <w:tcW w:w="2878" w:type="dxa"/>
            <w:tcBorders>
              <w:top w:val="nil"/>
              <w:left w:val="nil"/>
              <w:bottom w:val="nil"/>
              <w:right w:val="nil"/>
            </w:tcBorders>
            <w:shd w:val="clear" w:color="auto" w:fill="auto"/>
            <w:noWrap/>
            <w:vAlign w:val="bottom"/>
            <w:hideMark/>
          </w:tcPr>
          <w:p w14:paraId="0793B3A0" w14:textId="77777777" w:rsidR="00177622" w:rsidRPr="00177622" w:rsidRDefault="00177622" w:rsidP="0091389E">
            <w:pPr>
              <w:spacing w:after="0"/>
              <w:ind w:leftChars="75" w:left="143"/>
              <w:rPr>
                <w:rFonts w:ascii="Arial" w:hAnsi="Arial" w:cs="Arial"/>
                <w:color w:val="auto"/>
                <w:sz w:val="16"/>
                <w:szCs w:val="16"/>
              </w:rPr>
            </w:pPr>
            <w:r w:rsidRPr="00177622">
              <w:rPr>
                <w:rFonts w:ascii="Arial" w:hAnsi="Arial" w:cs="Arial"/>
                <w:color w:val="auto"/>
                <w:sz w:val="16"/>
                <w:szCs w:val="16"/>
              </w:rPr>
              <w:t>Gross book value</w:t>
            </w:r>
          </w:p>
        </w:tc>
        <w:tc>
          <w:tcPr>
            <w:tcW w:w="652" w:type="dxa"/>
            <w:tcBorders>
              <w:top w:val="nil"/>
              <w:left w:val="nil"/>
              <w:bottom w:val="nil"/>
              <w:right w:val="nil"/>
            </w:tcBorders>
            <w:shd w:val="clear" w:color="auto" w:fill="auto"/>
            <w:noWrap/>
            <w:tcMar>
              <w:left w:w="0" w:type="dxa"/>
            </w:tcMar>
            <w:vAlign w:val="bottom"/>
            <w:hideMark/>
          </w:tcPr>
          <w:p w14:paraId="485EC157"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14,520</w:t>
            </w:r>
          </w:p>
        </w:tc>
        <w:tc>
          <w:tcPr>
            <w:tcW w:w="920" w:type="dxa"/>
            <w:tcBorders>
              <w:top w:val="nil"/>
              <w:left w:val="nil"/>
              <w:bottom w:val="nil"/>
              <w:right w:val="nil"/>
            </w:tcBorders>
            <w:shd w:val="clear" w:color="auto" w:fill="auto"/>
            <w:noWrap/>
            <w:vAlign w:val="bottom"/>
            <w:hideMark/>
          </w:tcPr>
          <w:p w14:paraId="762BF3A1"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665,162</w:t>
            </w:r>
          </w:p>
        </w:tc>
        <w:tc>
          <w:tcPr>
            <w:tcW w:w="1066" w:type="dxa"/>
            <w:tcBorders>
              <w:top w:val="nil"/>
              <w:left w:val="nil"/>
              <w:bottom w:val="nil"/>
              <w:right w:val="nil"/>
            </w:tcBorders>
            <w:shd w:val="clear" w:color="auto" w:fill="auto"/>
            <w:noWrap/>
            <w:vAlign w:val="bottom"/>
            <w:hideMark/>
          </w:tcPr>
          <w:p w14:paraId="0F2E5D34"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32,712</w:t>
            </w:r>
          </w:p>
        </w:tc>
        <w:tc>
          <w:tcPr>
            <w:tcW w:w="1009" w:type="dxa"/>
            <w:tcBorders>
              <w:top w:val="nil"/>
              <w:left w:val="nil"/>
              <w:bottom w:val="nil"/>
              <w:right w:val="nil"/>
            </w:tcBorders>
            <w:shd w:val="clear" w:color="auto" w:fill="auto"/>
            <w:noWrap/>
            <w:vAlign w:val="bottom"/>
            <w:hideMark/>
          </w:tcPr>
          <w:p w14:paraId="00BA5528"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19,424</w:t>
            </w:r>
          </w:p>
        </w:tc>
        <w:tc>
          <w:tcPr>
            <w:tcW w:w="850" w:type="dxa"/>
            <w:tcBorders>
              <w:top w:val="nil"/>
              <w:left w:val="nil"/>
              <w:bottom w:val="nil"/>
              <w:right w:val="nil"/>
            </w:tcBorders>
            <w:shd w:val="clear" w:color="auto" w:fill="auto"/>
            <w:noWrap/>
            <w:vAlign w:val="bottom"/>
            <w:hideMark/>
          </w:tcPr>
          <w:p w14:paraId="07619B07"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731,818</w:t>
            </w:r>
          </w:p>
        </w:tc>
      </w:tr>
      <w:tr w:rsidR="00177622" w:rsidRPr="00177622" w14:paraId="24F7BA0C" w14:textId="77777777" w:rsidTr="0091389E">
        <w:trPr>
          <w:trHeight w:val="225"/>
          <w:jc w:val="center"/>
        </w:trPr>
        <w:tc>
          <w:tcPr>
            <w:tcW w:w="2878" w:type="dxa"/>
            <w:tcBorders>
              <w:top w:val="nil"/>
              <w:left w:val="nil"/>
              <w:bottom w:val="nil"/>
              <w:right w:val="nil"/>
            </w:tcBorders>
            <w:shd w:val="clear" w:color="auto" w:fill="auto"/>
            <w:noWrap/>
            <w:vAlign w:val="bottom"/>
            <w:hideMark/>
          </w:tcPr>
          <w:p w14:paraId="7AE5C13E" w14:textId="77777777" w:rsidR="00177622" w:rsidRPr="00177622" w:rsidRDefault="00177622" w:rsidP="0091389E">
            <w:pPr>
              <w:spacing w:after="0"/>
              <w:ind w:leftChars="75" w:left="143"/>
              <w:rPr>
                <w:rFonts w:ascii="Arial" w:hAnsi="Arial" w:cs="Arial"/>
                <w:color w:val="auto"/>
                <w:sz w:val="16"/>
                <w:szCs w:val="16"/>
              </w:rPr>
            </w:pPr>
            <w:r w:rsidRPr="00177622">
              <w:rPr>
                <w:rFonts w:ascii="Arial" w:hAnsi="Arial" w:cs="Arial"/>
                <w:color w:val="auto"/>
                <w:sz w:val="16"/>
                <w:szCs w:val="16"/>
              </w:rPr>
              <w:t xml:space="preserve">Gross book value - </w:t>
            </w:r>
            <w:proofErr w:type="spellStart"/>
            <w:r w:rsidRPr="00177622">
              <w:rPr>
                <w:rFonts w:ascii="Arial" w:hAnsi="Arial" w:cs="Arial"/>
                <w:color w:val="auto"/>
                <w:sz w:val="16"/>
                <w:szCs w:val="16"/>
              </w:rPr>
              <w:t>RoU</w:t>
            </w:r>
            <w:proofErr w:type="spellEnd"/>
          </w:p>
        </w:tc>
        <w:tc>
          <w:tcPr>
            <w:tcW w:w="652" w:type="dxa"/>
            <w:tcBorders>
              <w:top w:val="nil"/>
              <w:left w:val="nil"/>
              <w:bottom w:val="nil"/>
              <w:right w:val="nil"/>
            </w:tcBorders>
            <w:shd w:val="clear" w:color="auto" w:fill="auto"/>
            <w:noWrap/>
            <w:vAlign w:val="bottom"/>
            <w:hideMark/>
          </w:tcPr>
          <w:p w14:paraId="5B336C72"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5ED4343E"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6,986</w:t>
            </w:r>
          </w:p>
        </w:tc>
        <w:tc>
          <w:tcPr>
            <w:tcW w:w="1066" w:type="dxa"/>
            <w:tcBorders>
              <w:top w:val="nil"/>
              <w:left w:val="nil"/>
              <w:bottom w:val="nil"/>
              <w:right w:val="nil"/>
            </w:tcBorders>
            <w:shd w:val="clear" w:color="auto" w:fill="auto"/>
            <w:noWrap/>
            <w:vAlign w:val="bottom"/>
            <w:hideMark/>
          </w:tcPr>
          <w:p w14:paraId="0DE51EC5"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96</w:t>
            </w:r>
          </w:p>
        </w:tc>
        <w:tc>
          <w:tcPr>
            <w:tcW w:w="1009" w:type="dxa"/>
            <w:tcBorders>
              <w:top w:val="nil"/>
              <w:left w:val="nil"/>
              <w:bottom w:val="nil"/>
              <w:right w:val="nil"/>
            </w:tcBorders>
            <w:shd w:val="clear" w:color="auto" w:fill="auto"/>
            <w:noWrap/>
            <w:vAlign w:val="bottom"/>
            <w:hideMark/>
          </w:tcPr>
          <w:p w14:paraId="29DA22CA"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30757434"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7,082</w:t>
            </w:r>
          </w:p>
        </w:tc>
      </w:tr>
      <w:tr w:rsidR="00177622" w:rsidRPr="00177622" w14:paraId="31B4F4D2" w14:textId="77777777" w:rsidTr="0091389E">
        <w:trPr>
          <w:trHeight w:val="408"/>
          <w:jc w:val="center"/>
        </w:trPr>
        <w:tc>
          <w:tcPr>
            <w:tcW w:w="2878" w:type="dxa"/>
            <w:tcBorders>
              <w:top w:val="nil"/>
              <w:left w:val="nil"/>
              <w:bottom w:val="nil"/>
              <w:right w:val="nil"/>
            </w:tcBorders>
            <w:shd w:val="clear" w:color="auto" w:fill="auto"/>
            <w:vAlign w:val="bottom"/>
            <w:hideMark/>
          </w:tcPr>
          <w:p w14:paraId="4EA918F4" w14:textId="77777777" w:rsidR="00177622" w:rsidRPr="00177622" w:rsidRDefault="00177622" w:rsidP="0091389E">
            <w:pPr>
              <w:spacing w:after="0"/>
              <w:ind w:leftChars="75" w:left="143"/>
              <w:rPr>
                <w:rFonts w:ascii="Arial" w:hAnsi="Arial" w:cs="Arial"/>
                <w:color w:val="auto"/>
                <w:sz w:val="16"/>
                <w:szCs w:val="16"/>
              </w:rPr>
            </w:pPr>
            <w:r w:rsidRPr="00177622">
              <w:rPr>
                <w:rFonts w:ascii="Arial" w:hAnsi="Arial" w:cs="Arial"/>
                <w:color w:val="auto"/>
                <w:sz w:val="16"/>
                <w:szCs w:val="16"/>
              </w:rPr>
              <w:t>Accumulated depreciation/ amortisation and impairment</w:t>
            </w:r>
          </w:p>
        </w:tc>
        <w:tc>
          <w:tcPr>
            <w:tcW w:w="652" w:type="dxa"/>
            <w:tcBorders>
              <w:top w:val="nil"/>
              <w:left w:val="nil"/>
              <w:bottom w:val="nil"/>
              <w:right w:val="nil"/>
            </w:tcBorders>
            <w:shd w:val="clear" w:color="auto" w:fill="auto"/>
            <w:noWrap/>
            <w:vAlign w:val="bottom"/>
            <w:hideMark/>
          </w:tcPr>
          <w:p w14:paraId="482F2421"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5389D782"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(480,075)</w:t>
            </w:r>
          </w:p>
        </w:tc>
        <w:tc>
          <w:tcPr>
            <w:tcW w:w="1066" w:type="dxa"/>
            <w:tcBorders>
              <w:top w:val="nil"/>
              <w:left w:val="nil"/>
              <w:bottom w:val="nil"/>
              <w:right w:val="nil"/>
            </w:tcBorders>
            <w:shd w:val="clear" w:color="auto" w:fill="auto"/>
            <w:noWrap/>
            <w:vAlign w:val="bottom"/>
            <w:hideMark/>
          </w:tcPr>
          <w:p w14:paraId="6A1D880A"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(23,584)</w:t>
            </w:r>
          </w:p>
        </w:tc>
        <w:tc>
          <w:tcPr>
            <w:tcW w:w="1009" w:type="dxa"/>
            <w:tcBorders>
              <w:top w:val="nil"/>
              <w:left w:val="nil"/>
              <w:bottom w:val="nil"/>
              <w:right w:val="nil"/>
            </w:tcBorders>
            <w:shd w:val="clear" w:color="auto" w:fill="auto"/>
            <w:noWrap/>
            <w:vAlign w:val="bottom"/>
            <w:hideMark/>
          </w:tcPr>
          <w:p w14:paraId="09F8E478"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(13,534)</w:t>
            </w:r>
          </w:p>
        </w:tc>
        <w:tc>
          <w:tcPr>
            <w:tcW w:w="850" w:type="dxa"/>
            <w:tcBorders>
              <w:top w:val="nil"/>
              <w:left w:val="nil"/>
              <w:bottom w:val="nil"/>
              <w:right w:val="nil"/>
            </w:tcBorders>
            <w:shd w:val="clear" w:color="auto" w:fill="auto"/>
            <w:noWrap/>
            <w:tcMar>
              <w:left w:w="0" w:type="dxa"/>
            </w:tcMar>
            <w:vAlign w:val="bottom"/>
            <w:hideMark/>
          </w:tcPr>
          <w:p w14:paraId="2C61743C"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(517,193)</w:t>
            </w:r>
          </w:p>
        </w:tc>
      </w:tr>
      <w:tr w:rsidR="00177622" w:rsidRPr="00177622" w14:paraId="055DA6EE" w14:textId="77777777" w:rsidTr="0091389E">
        <w:trPr>
          <w:trHeight w:val="408"/>
          <w:jc w:val="center"/>
        </w:trPr>
        <w:tc>
          <w:tcPr>
            <w:tcW w:w="2878" w:type="dxa"/>
            <w:tcBorders>
              <w:top w:val="nil"/>
              <w:left w:val="nil"/>
              <w:bottom w:val="nil"/>
              <w:right w:val="nil"/>
            </w:tcBorders>
            <w:shd w:val="clear" w:color="auto" w:fill="auto"/>
            <w:vAlign w:val="bottom"/>
            <w:hideMark/>
          </w:tcPr>
          <w:p w14:paraId="0620D9A9" w14:textId="77777777" w:rsidR="00177622" w:rsidRPr="00177622" w:rsidRDefault="00177622" w:rsidP="0091389E">
            <w:pPr>
              <w:spacing w:after="0"/>
              <w:ind w:leftChars="75" w:left="143"/>
              <w:rPr>
                <w:rFonts w:ascii="Arial" w:hAnsi="Arial" w:cs="Arial"/>
                <w:color w:val="auto"/>
                <w:sz w:val="16"/>
                <w:szCs w:val="16"/>
              </w:rPr>
            </w:pPr>
            <w:r w:rsidRPr="00177622">
              <w:rPr>
                <w:rFonts w:ascii="Arial" w:hAnsi="Arial" w:cs="Arial"/>
                <w:color w:val="auto"/>
                <w:sz w:val="16"/>
                <w:szCs w:val="16"/>
              </w:rPr>
              <w:t xml:space="preserve">Accumulated depreciation/ amortisation and impairment - </w:t>
            </w:r>
            <w:proofErr w:type="spellStart"/>
            <w:r w:rsidRPr="00177622">
              <w:rPr>
                <w:rFonts w:ascii="Arial" w:hAnsi="Arial" w:cs="Arial"/>
                <w:color w:val="auto"/>
                <w:sz w:val="16"/>
                <w:szCs w:val="16"/>
              </w:rPr>
              <w:t>RoU</w:t>
            </w:r>
            <w:proofErr w:type="spellEnd"/>
          </w:p>
        </w:tc>
        <w:tc>
          <w:tcPr>
            <w:tcW w:w="652" w:type="dxa"/>
            <w:tcBorders>
              <w:top w:val="nil"/>
              <w:left w:val="nil"/>
              <w:bottom w:val="nil"/>
              <w:right w:val="nil"/>
            </w:tcBorders>
            <w:shd w:val="clear" w:color="auto" w:fill="auto"/>
            <w:noWrap/>
            <w:vAlign w:val="bottom"/>
            <w:hideMark/>
          </w:tcPr>
          <w:p w14:paraId="354AD2CE"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1285FB56"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(2,223)</w:t>
            </w:r>
          </w:p>
        </w:tc>
        <w:tc>
          <w:tcPr>
            <w:tcW w:w="1066" w:type="dxa"/>
            <w:tcBorders>
              <w:top w:val="nil"/>
              <w:left w:val="nil"/>
              <w:bottom w:val="nil"/>
              <w:right w:val="nil"/>
            </w:tcBorders>
            <w:shd w:val="clear" w:color="auto" w:fill="auto"/>
            <w:noWrap/>
            <w:vAlign w:val="bottom"/>
            <w:hideMark/>
          </w:tcPr>
          <w:p w14:paraId="3907C532"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(5)</w:t>
            </w:r>
          </w:p>
        </w:tc>
        <w:tc>
          <w:tcPr>
            <w:tcW w:w="1009" w:type="dxa"/>
            <w:tcBorders>
              <w:top w:val="nil"/>
              <w:left w:val="nil"/>
              <w:bottom w:val="nil"/>
              <w:right w:val="nil"/>
            </w:tcBorders>
            <w:shd w:val="clear" w:color="auto" w:fill="auto"/>
            <w:noWrap/>
            <w:vAlign w:val="bottom"/>
            <w:hideMark/>
          </w:tcPr>
          <w:p w14:paraId="7A24D66B" w14:textId="77777777" w:rsidR="00177622" w:rsidRPr="00177622" w:rsidRDefault="00177622" w:rsidP="00177622">
            <w:pPr>
              <w:spacing w:after="0"/>
              <w:jc w:val="right"/>
              <w:rPr>
                <w:rFonts w:ascii="Arial" w:hAnsi="Arial" w:cs="Arial"/>
                <w:sz w:val="16"/>
                <w:szCs w:val="16"/>
              </w:rPr>
            </w:pPr>
            <w:r w:rsidRPr="00177622">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7242BD1B"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(2,228)</w:t>
            </w:r>
          </w:p>
        </w:tc>
      </w:tr>
      <w:tr w:rsidR="00177622" w:rsidRPr="00177622" w14:paraId="775C38C7" w14:textId="77777777" w:rsidTr="0091389E">
        <w:trPr>
          <w:trHeight w:val="225"/>
          <w:jc w:val="center"/>
        </w:trPr>
        <w:tc>
          <w:tcPr>
            <w:tcW w:w="2878" w:type="dxa"/>
            <w:tcBorders>
              <w:top w:val="nil"/>
              <w:left w:val="nil"/>
              <w:bottom w:val="single" w:sz="4" w:space="0" w:color="auto"/>
              <w:right w:val="nil"/>
            </w:tcBorders>
            <w:shd w:val="clear" w:color="auto" w:fill="auto"/>
            <w:noWrap/>
            <w:vAlign w:val="bottom"/>
            <w:hideMark/>
          </w:tcPr>
          <w:p w14:paraId="74D99E26" w14:textId="77777777" w:rsidR="00177622" w:rsidRPr="00177622" w:rsidRDefault="00177622" w:rsidP="0091389E">
            <w:pPr>
              <w:spacing w:after="0"/>
              <w:ind w:leftChars="75" w:left="143"/>
              <w:rPr>
                <w:rFonts w:ascii="Arial" w:hAnsi="Arial" w:cs="Arial"/>
                <w:b/>
                <w:bCs/>
                <w:color w:val="auto"/>
                <w:sz w:val="16"/>
                <w:szCs w:val="16"/>
              </w:rPr>
            </w:pPr>
            <w:r w:rsidRPr="00177622">
              <w:rPr>
                <w:rFonts w:ascii="Arial" w:hAnsi="Arial" w:cs="Arial"/>
                <w:b/>
                <w:bCs/>
                <w:color w:val="auto"/>
                <w:sz w:val="16"/>
                <w:szCs w:val="16"/>
              </w:rPr>
              <w:t>Closing net book balance</w:t>
            </w:r>
          </w:p>
        </w:tc>
        <w:tc>
          <w:tcPr>
            <w:tcW w:w="652" w:type="dxa"/>
            <w:tcBorders>
              <w:top w:val="single" w:sz="4" w:space="0" w:color="auto"/>
              <w:left w:val="nil"/>
              <w:bottom w:val="single" w:sz="4" w:space="0" w:color="auto"/>
              <w:right w:val="nil"/>
            </w:tcBorders>
            <w:shd w:val="clear" w:color="auto" w:fill="auto"/>
            <w:noWrap/>
            <w:tcMar>
              <w:left w:w="0" w:type="dxa"/>
            </w:tcMar>
            <w:vAlign w:val="bottom"/>
            <w:hideMark/>
          </w:tcPr>
          <w:p w14:paraId="5B94FFA7"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14,520</w:t>
            </w:r>
          </w:p>
        </w:tc>
        <w:tc>
          <w:tcPr>
            <w:tcW w:w="920" w:type="dxa"/>
            <w:tcBorders>
              <w:top w:val="single" w:sz="4" w:space="0" w:color="auto"/>
              <w:left w:val="nil"/>
              <w:bottom w:val="single" w:sz="4" w:space="0" w:color="auto"/>
              <w:right w:val="nil"/>
            </w:tcBorders>
            <w:shd w:val="clear" w:color="auto" w:fill="auto"/>
            <w:noWrap/>
            <w:vAlign w:val="bottom"/>
            <w:hideMark/>
          </w:tcPr>
          <w:p w14:paraId="7E20A093"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189,850</w:t>
            </w:r>
          </w:p>
        </w:tc>
        <w:tc>
          <w:tcPr>
            <w:tcW w:w="1066" w:type="dxa"/>
            <w:tcBorders>
              <w:top w:val="single" w:sz="4" w:space="0" w:color="auto"/>
              <w:left w:val="nil"/>
              <w:bottom w:val="single" w:sz="4" w:space="0" w:color="auto"/>
              <w:right w:val="nil"/>
            </w:tcBorders>
            <w:shd w:val="clear" w:color="auto" w:fill="auto"/>
            <w:noWrap/>
            <w:vAlign w:val="bottom"/>
            <w:hideMark/>
          </w:tcPr>
          <w:p w14:paraId="44BD31B8"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9,219</w:t>
            </w:r>
          </w:p>
        </w:tc>
        <w:tc>
          <w:tcPr>
            <w:tcW w:w="1009" w:type="dxa"/>
            <w:tcBorders>
              <w:top w:val="single" w:sz="4" w:space="0" w:color="auto"/>
              <w:left w:val="nil"/>
              <w:bottom w:val="single" w:sz="4" w:space="0" w:color="auto"/>
              <w:right w:val="nil"/>
            </w:tcBorders>
            <w:shd w:val="clear" w:color="auto" w:fill="auto"/>
            <w:noWrap/>
            <w:vAlign w:val="bottom"/>
            <w:hideMark/>
          </w:tcPr>
          <w:p w14:paraId="292945AC"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5,890</w:t>
            </w:r>
          </w:p>
        </w:tc>
        <w:tc>
          <w:tcPr>
            <w:tcW w:w="850" w:type="dxa"/>
            <w:tcBorders>
              <w:top w:val="single" w:sz="4" w:space="0" w:color="auto"/>
              <w:left w:val="nil"/>
              <w:bottom w:val="single" w:sz="4" w:space="0" w:color="auto"/>
              <w:right w:val="nil"/>
            </w:tcBorders>
            <w:shd w:val="clear" w:color="auto" w:fill="auto"/>
            <w:noWrap/>
            <w:vAlign w:val="bottom"/>
            <w:hideMark/>
          </w:tcPr>
          <w:p w14:paraId="2F62AB8E" w14:textId="77777777" w:rsidR="00177622" w:rsidRPr="00177622" w:rsidRDefault="00177622" w:rsidP="00177622">
            <w:pPr>
              <w:spacing w:after="0"/>
              <w:jc w:val="right"/>
              <w:rPr>
                <w:rFonts w:ascii="Arial" w:hAnsi="Arial" w:cs="Arial"/>
                <w:b/>
                <w:bCs/>
                <w:sz w:val="16"/>
                <w:szCs w:val="16"/>
              </w:rPr>
            </w:pPr>
            <w:r w:rsidRPr="00177622">
              <w:rPr>
                <w:rFonts w:ascii="Arial" w:hAnsi="Arial" w:cs="Arial"/>
                <w:b/>
                <w:bCs/>
                <w:sz w:val="16"/>
                <w:szCs w:val="16"/>
              </w:rPr>
              <w:t>219,479</w:t>
            </w:r>
          </w:p>
        </w:tc>
      </w:tr>
    </w:tbl>
    <w:p w14:paraId="136C53D2" w14:textId="3EEC7648" w:rsidR="0031188B" w:rsidRPr="0089004B" w:rsidRDefault="0091389E" w:rsidP="004700FF">
      <w:pPr>
        <w:pStyle w:val="FootnoteText"/>
        <w:spacing w:before="120"/>
        <w:rPr>
          <w:rFonts w:eastAsiaTheme="minorEastAsia"/>
          <w:lang w:eastAsia="en-US"/>
        </w:rPr>
      </w:pPr>
      <w:proofErr w:type="spellStart"/>
      <w:r>
        <w:t>RoU</w:t>
      </w:r>
      <w:proofErr w:type="spellEnd"/>
      <w:r>
        <w:t xml:space="preserve"> = Right-of-Use ass</w:t>
      </w:r>
      <w:r w:rsidR="00963710">
        <w:t>et</w:t>
      </w:r>
    </w:p>
    <w:sectPr w:rsidR="0031188B" w:rsidRPr="0089004B" w:rsidSect="00357948">
      <w:headerReference w:type="even" r:id="rId24"/>
      <w:headerReference w:type="default" r:id="rId25"/>
      <w:footerReference w:type="even" r:id="rId26"/>
      <w:footerReference w:type="default" r:id="rId27"/>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1C3F7" w14:textId="77777777" w:rsidR="002D482F" w:rsidRDefault="002D482F" w:rsidP="00913388">
      <w:pPr>
        <w:spacing w:after="0"/>
      </w:pPr>
      <w:r>
        <w:separator/>
      </w:r>
    </w:p>
  </w:endnote>
  <w:endnote w:type="continuationSeparator" w:id="0">
    <w:p w14:paraId="271A9412" w14:textId="77777777" w:rsidR="002D482F" w:rsidRDefault="002D482F"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72A08" w14:textId="5FA4E8CC" w:rsidR="002D482F" w:rsidRPr="00913388" w:rsidRDefault="002D482F" w:rsidP="009C3C64">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A4585C">
      <w:rPr>
        <w:rStyle w:val="PageNumber"/>
        <w:b/>
        <w:bCs/>
        <w:noProof/>
        <w:color w:val="000000"/>
      </w:rPr>
      <w:t>232</w:t>
    </w:r>
    <w:r w:rsidRPr="001C6402">
      <w:rPr>
        <w:rStyle w:val="PageNumber"/>
        <w:b/>
        <w:bCs/>
        <w:color w:val="000000"/>
      </w:rPr>
      <w:fldChar w:fldCharType="end"/>
    </w:r>
    <w:r w:rsidRPr="001C6402">
      <w:rPr>
        <w:rStyle w:val="PageNumber"/>
        <w:color w:val="000000"/>
      </w:rPr>
      <w:t xml:space="preserve">  </w:t>
    </w:r>
    <w:proofErr w:type="gramStart"/>
    <w:r w:rsidRPr="001C6402">
      <w:rPr>
        <w:rStyle w:val="PageNumber"/>
        <w:color w:val="000000"/>
      </w:rPr>
      <w:t xml:space="preserve">|  </w:t>
    </w:r>
    <w:proofErr w:type="gramEnd"/>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A4585C">
      <w:rPr>
        <w:rStyle w:val="PageNumber"/>
        <w:noProof/>
        <w:color w:val="000000"/>
      </w:rPr>
      <w:t>Australian Sports Commission</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BDBB1" w14:textId="511FF9F1" w:rsidR="002D482F" w:rsidRDefault="002D482F" w:rsidP="009C3C64">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A62109" w:rsidRPr="00A62109">
      <w:rPr>
        <w:rStyle w:val="PageNumber"/>
        <w:bCs/>
        <w:noProof/>
        <w:lang w:val="en-US"/>
      </w:rPr>
      <w:t>Australian Sports Commission</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A62109">
      <w:rPr>
        <w:rStyle w:val="PageNumber"/>
        <w:b/>
        <w:bCs/>
        <w:noProof/>
      </w:rPr>
      <w:t>223</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3E5A" w14:textId="77777777" w:rsidR="00A62109" w:rsidRDefault="00A621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01EB" w14:textId="660391C3" w:rsidR="002D482F" w:rsidRDefault="002D482F" w:rsidP="009C3C64">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A4585C" w:rsidRPr="00A4585C">
      <w:rPr>
        <w:rStyle w:val="PageNumber"/>
        <w:bCs/>
        <w:noProof/>
        <w:lang w:val="en-US"/>
      </w:rPr>
      <w:t>Australian Sports Commission</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A4585C">
      <w:rPr>
        <w:rStyle w:val="PageNumber"/>
        <w:b/>
        <w:bCs/>
        <w:noProof/>
      </w:rPr>
      <w:t>229</w:t>
    </w:r>
    <w:r w:rsidRPr="00B628E8">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CC25" w14:textId="4659F6EB" w:rsidR="002D482F" w:rsidRPr="00913388" w:rsidRDefault="002D482F" w:rsidP="004700FF">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A4585C">
      <w:rPr>
        <w:rStyle w:val="PageNumber"/>
        <w:b/>
        <w:bCs/>
        <w:noProof/>
        <w:color w:val="000000"/>
      </w:rPr>
      <w:t>240</w:t>
    </w:r>
    <w:r w:rsidRPr="001C6402">
      <w:rPr>
        <w:rStyle w:val="PageNumber"/>
        <w:b/>
        <w:bCs/>
        <w:color w:val="000000"/>
      </w:rPr>
      <w:fldChar w:fldCharType="end"/>
    </w:r>
    <w:r w:rsidRPr="001C6402">
      <w:rPr>
        <w:rStyle w:val="PageNumber"/>
        <w:color w:val="000000"/>
      </w:rPr>
      <w:t xml:space="preserve">  </w:t>
    </w:r>
    <w:proofErr w:type="gramStart"/>
    <w:r w:rsidRPr="001C6402">
      <w:rPr>
        <w:rStyle w:val="PageNumber"/>
        <w:color w:val="000000"/>
      </w:rPr>
      <w:t xml:space="preserve">|  </w:t>
    </w:r>
    <w:proofErr w:type="gramEnd"/>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A4585C">
      <w:rPr>
        <w:rStyle w:val="PageNumber"/>
        <w:noProof/>
        <w:color w:val="000000"/>
      </w:rPr>
      <w:t>Australian Sports Commission</w:t>
    </w:r>
    <w:r w:rsidRPr="001C6402">
      <w:rPr>
        <w:rStyle w:val="PageNumbe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2D66" w14:textId="0A80ADDB" w:rsidR="002D482F" w:rsidRPr="004700FF" w:rsidRDefault="002D482F" w:rsidP="004700FF">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A4585C" w:rsidRPr="00A4585C">
      <w:rPr>
        <w:rStyle w:val="PageNumber"/>
        <w:bCs/>
        <w:noProof/>
        <w:lang w:val="en-US"/>
      </w:rPr>
      <w:t>Australian Sports Commission</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A4585C">
      <w:rPr>
        <w:rStyle w:val="PageNumber"/>
        <w:b/>
        <w:bCs/>
        <w:noProof/>
      </w:rPr>
      <w:t>239</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4B05B" w14:textId="77777777" w:rsidR="002D482F" w:rsidRDefault="002D482F" w:rsidP="00913388">
      <w:pPr>
        <w:spacing w:after="0"/>
      </w:pPr>
      <w:r>
        <w:separator/>
      </w:r>
    </w:p>
  </w:footnote>
  <w:footnote w:type="continuationSeparator" w:id="0">
    <w:p w14:paraId="12BE749F" w14:textId="77777777" w:rsidR="002D482F" w:rsidRDefault="002D482F" w:rsidP="00913388">
      <w:pPr>
        <w:spacing w:after="0"/>
      </w:pPr>
      <w:r>
        <w:continuationSeparator/>
      </w:r>
    </w:p>
  </w:footnote>
  <w:footnote w:id="1">
    <w:p w14:paraId="587AF101" w14:textId="44AD9297" w:rsidR="002D482F" w:rsidRPr="007D7165" w:rsidRDefault="002D482F" w:rsidP="00371585">
      <w:pPr>
        <w:pStyle w:val="FootnoteText"/>
        <w:rPr>
          <w:color w:val="auto"/>
        </w:rPr>
      </w:pPr>
      <w:r>
        <w:rPr>
          <w:rStyle w:val="FootnoteReference"/>
        </w:rPr>
        <w:footnoteRef/>
      </w:r>
      <w:r>
        <w:tab/>
      </w:r>
      <w:r w:rsidRPr="00AE0682">
        <w:t xml:space="preserve">For more information about the strategic direction of the </w:t>
      </w:r>
      <w:r>
        <w:t>ASC</w:t>
      </w:r>
      <w:r w:rsidRPr="00AE0682">
        <w:t xml:space="preserve">, refer to the current Corporate Plan, available at: </w:t>
      </w:r>
      <w:r w:rsidRPr="00D46046">
        <w:rPr>
          <w:color w:val="auto"/>
        </w:rPr>
        <w:t>www.sportaus.gov.au/media_centre/publications</w:t>
      </w:r>
      <w:r>
        <w:t xml:space="preserve"> </w:t>
      </w:r>
    </w:p>
  </w:footnote>
  <w:footnote w:id="2">
    <w:p w14:paraId="7F17534C" w14:textId="77777777" w:rsidR="002D482F" w:rsidRDefault="002D482F" w:rsidP="008D0392">
      <w:pPr>
        <w:pStyle w:val="FootnoteText"/>
      </w:pPr>
      <w:r>
        <w:rPr>
          <w:rStyle w:val="FootnoteReference"/>
        </w:rPr>
        <w:footnoteRef/>
      </w:r>
      <w:r>
        <w:tab/>
        <w:t>Refer to the Sport Integrity Australia chapter in these Portfolio Budget Statements for further information on the work of this entity.</w:t>
      </w:r>
    </w:p>
  </w:footnote>
  <w:footnote w:id="3">
    <w:p w14:paraId="2070675C" w14:textId="5244458A" w:rsidR="002D482F" w:rsidRDefault="002D482F" w:rsidP="006D5D80">
      <w:pPr>
        <w:pStyle w:val="FootnoteText"/>
      </w:pPr>
      <w:r>
        <w:rPr>
          <w:rStyle w:val="FootnoteReference"/>
        </w:rPr>
        <w:footnoteRef/>
      </w:r>
      <w:r>
        <w:t xml:space="preserve"> </w:t>
      </w:r>
      <w:r>
        <w:tab/>
        <w:t>Performance outcomes are measured as agreed between the AIS and each funded National Sporting Organisation, and progression toward these is monitored annually.</w:t>
      </w:r>
    </w:p>
  </w:footnote>
  <w:footnote w:id="4">
    <w:p w14:paraId="7CC5C860" w14:textId="5AC97E95" w:rsidR="002D482F" w:rsidRPr="00F072DA" w:rsidRDefault="002D482F" w:rsidP="007E7E4E">
      <w:pPr>
        <w:pStyle w:val="FootnoteText"/>
        <w:rPr>
          <w:lang w:val="en-US"/>
        </w:rPr>
      </w:pPr>
      <w:r>
        <w:rPr>
          <w:rStyle w:val="FootnoteReference"/>
        </w:rPr>
        <w:footnoteRef/>
      </w:r>
      <w:r>
        <w:t xml:space="preserve"> </w:t>
      </w:r>
      <w:r>
        <w:tab/>
      </w:r>
      <w:r w:rsidRPr="000C4A6B">
        <w:rPr>
          <w:rFonts w:cs="Arial"/>
          <w:szCs w:val="15"/>
        </w:rPr>
        <w:t>Filtered by sport-related activities (as reported through AusPlay).</w:t>
      </w:r>
    </w:p>
  </w:footnote>
  <w:footnote w:id="5">
    <w:p w14:paraId="09DED88B" w14:textId="5E8AB8D3" w:rsidR="002D482F" w:rsidRPr="000C4A6B" w:rsidRDefault="002D482F" w:rsidP="00220F41">
      <w:pPr>
        <w:spacing w:after="0"/>
        <w:ind w:left="284" w:hanging="284"/>
        <w:rPr>
          <w:rFonts w:ascii="Arial" w:hAnsi="Arial" w:cs="Arial"/>
          <w:color w:val="auto"/>
          <w:sz w:val="15"/>
          <w:szCs w:val="15"/>
        </w:rPr>
      </w:pPr>
      <w:r w:rsidRPr="000C4A6B">
        <w:rPr>
          <w:rStyle w:val="FootnoteReference"/>
          <w:rFonts w:cs="Arial"/>
          <w:szCs w:val="15"/>
        </w:rPr>
        <w:footnoteRef/>
      </w:r>
      <w:r>
        <w:rPr>
          <w:rFonts w:ascii="Arial" w:hAnsi="Arial" w:cs="Arial"/>
          <w:sz w:val="15"/>
          <w:szCs w:val="15"/>
        </w:rPr>
        <w:t xml:space="preserve"> </w:t>
      </w:r>
      <w:r>
        <w:rPr>
          <w:rFonts w:ascii="Arial" w:hAnsi="Arial" w:cs="Arial"/>
          <w:sz w:val="15"/>
          <w:szCs w:val="15"/>
        </w:rPr>
        <w:tab/>
      </w:r>
      <w:r w:rsidRPr="00220F41">
        <w:rPr>
          <w:rFonts w:ascii="Arial" w:hAnsi="Arial"/>
          <w:sz w:val="15"/>
          <w:lang w:val="en-US"/>
        </w:rPr>
        <w:t>‘Involved’ means having participated/played and/or been involved in a non-playing role (such as coaching, officiating, volunteering, etc.) at least once in the last 12 months.</w:t>
      </w:r>
      <w:r w:rsidRPr="000C4A6B">
        <w:rPr>
          <w:rFonts w:ascii="Arial" w:hAnsi="Arial" w:cs="Arial"/>
          <w:sz w:val="15"/>
          <w:szCs w:val="15"/>
        </w:rPr>
        <w:t xml:space="preserve"> </w:t>
      </w:r>
    </w:p>
  </w:footnote>
  <w:footnote w:id="6">
    <w:p w14:paraId="452614F4" w14:textId="15245FF6" w:rsidR="002D482F" w:rsidRPr="000C4A6B" w:rsidRDefault="002D482F" w:rsidP="000C4A6B">
      <w:pPr>
        <w:pStyle w:val="FootnoteText"/>
        <w:rPr>
          <w:rFonts w:cs="Arial"/>
          <w:szCs w:val="15"/>
        </w:rPr>
      </w:pPr>
      <w:r w:rsidRPr="000C4A6B">
        <w:rPr>
          <w:rStyle w:val="FootnoteReference"/>
          <w:rFonts w:cs="Arial"/>
          <w:szCs w:val="15"/>
        </w:rPr>
        <w:footnoteRef/>
      </w:r>
      <w:r>
        <w:rPr>
          <w:rFonts w:cs="Arial"/>
          <w:szCs w:val="15"/>
        </w:rPr>
        <w:t xml:space="preserve"> </w:t>
      </w:r>
      <w:r>
        <w:rPr>
          <w:rFonts w:cs="Arial"/>
          <w:szCs w:val="15"/>
        </w:rPr>
        <w:tab/>
      </w:r>
      <w:r w:rsidRPr="000C4A6B">
        <w:rPr>
          <w:rFonts w:cs="Arial"/>
          <w:szCs w:val="15"/>
        </w:rPr>
        <w:t>Participated through an organisation or at a venue.</w:t>
      </w:r>
    </w:p>
  </w:footnote>
  <w:footnote w:id="7">
    <w:p w14:paraId="60FEA0EA" w14:textId="012CACEA" w:rsidR="002D482F" w:rsidRPr="000C4A6B" w:rsidRDefault="002D482F" w:rsidP="000C4A6B">
      <w:pPr>
        <w:pStyle w:val="FootnoteText"/>
        <w:rPr>
          <w:rFonts w:cs="Arial"/>
          <w:szCs w:val="15"/>
        </w:rPr>
      </w:pPr>
      <w:r w:rsidRPr="000C4A6B">
        <w:rPr>
          <w:rStyle w:val="FootnoteReference"/>
          <w:rFonts w:cs="Arial"/>
          <w:szCs w:val="15"/>
        </w:rPr>
        <w:footnoteRef/>
      </w:r>
      <w:r>
        <w:rPr>
          <w:rFonts w:cs="Arial"/>
          <w:szCs w:val="15"/>
        </w:rPr>
        <w:t xml:space="preserve"> </w:t>
      </w:r>
      <w:r>
        <w:rPr>
          <w:rFonts w:cs="Arial"/>
          <w:szCs w:val="15"/>
        </w:rPr>
        <w:tab/>
      </w:r>
      <w:r w:rsidRPr="000C4A6B">
        <w:rPr>
          <w:rFonts w:cs="Arial"/>
          <w:szCs w:val="15"/>
        </w:rPr>
        <w:t>Filtered by sport-related activities (as reported through AusPlay).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C4A12" w14:textId="77777777" w:rsidR="00A62109" w:rsidRDefault="00A6210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2C156" w14:textId="3C85E945" w:rsidR="002D482F" w:rsidRPr="009C3C64" w:rsidRDefault="002D482F" w:rsidP="009C3C64">
    <w:pPr>
      <w:tabs>
        <w:tab w:val="center" w:pos="4513"/>
        <w:tab w:val="right" w:pos="9026"/>
      </w:tabs>
      <w:spacing w:before="40" w:after="0"/>
    </w:pPr>
    <w:r w:rsidRPr="00B24417">
      <w:rPr>
        <w:rFonts w:ascii="Arial" w:hAnsi="Arial" w:cs="Arial"/>
        <w:noProof/>
        <w:position w:val="-6"/>
        <w:sz w:val="18"/>
        <w:szCs w:val="18"/>
      </w:rPr>
      <w:drawing>
        <wp:inline distT="0" distB="0" distL="0" distR="0" wp14:anchorId="3750B1C3" wp14:editId="6CDDB511">
          <wp:extent cx="1358265" cy="170815"/>
          <wp:effectExtent l="0" t="0" r="0" b="635"/>
          <wp:docPr id="1" name="Picture 1"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947E7" w14:textId="5A043E26" w:rsidR="002D482F" w:rsidRPr="00DC1CAA" w:rsidRDefault="002D482F" w:rsidP="00973213">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DC1CAA">
      <w:rPr>
        <w:rFonts w:ascii="Arial" w:hAnsi="Arial" w:cs="Arial"/>
        <w:b/>
        <w:color w:val="FFFFFF" w:themeColor="background1"/>
        <w:spacing w:val="10"/>
        <w:sz w:val="24"/>
      </w:rPr>
      <w:t>ASC</w:t>
    </w:r>
  </w:p>
  <w:p w14:paraId="1B18539E" w14:textId="121F15BF" w:rsidR="002D482F" w:rsidRDefault="002D482F" w:rsidP="003A1104">
    <w:pPr>
      <w:tabs>
        <w:tab w:val="center" w:pos="4150"/>
        <w:tab w:val="right" w:pos="8306"/>
      </w:tabs>
      <w:spacing w:after="0"/>
      <w:jc w:val="right"/>
    </w:pPr>
    <w:r w:rsidRPr="00DD5A4D">
      <w:rPr>
        <w:rFonts w:ascii="Arial" w:hAnsi="Arial" w:cs="Arial"/>
        <w:sz w:val="18"/>
        <w:szCs w:val="18"/>
      </w:rPr>
      <w:t xml:space="preserve">Portfolio Budget </w:t>
    </w:r>
    <w:proofErr w:type="gramStart"/>
    <w:r w:rsidRPr="00DD5A4D">
      <w:rPr>
        <w:rFonts w:ascii="Arial" w:hAnsi="Arial" w:cs="Arial"/>
        <w:sz w:val="18"/>
        <w:szCs w:val="18"/>
      </w:rPr>
      <w:t>Statements</w:t>
    </w:r>
    <w:r w:rsidRPr="00DD5A4D">
      <w:t xml:space="preserve">  |</w:t>
    </w:r>
    <w:proofErr w:type="gramEnd"/>
    <w:r w:rsidRPr="00DD5A4D">
      <w:t xml:space="preserve">  </w:t>
    </w:r>
    <w:bookmarkStart w:id="6" w:name="_GoBack"/>
    <w:r w:rsidRPr="00DD5A4D">
      <w:rPr>
        <w:noProof/>
        <w:position w:val="-6"/>
      </w:rPr>
      <w:drawing>
        <wp:inline distT="0" distB="0" distL="0" distR="0" wp14:anchorId="4586D06A" wp14:editId="1DC9D76C">
          <wp:extent cx="1358265" cy="170815"/>
          <wp:effectExtent l="0" t="0" r="0" b="635"/>
          <wp:docPr id="3" name="Picture 3"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6"/>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3517" w14:textId="3BC374AC" w:rsidR="002D482F" w:rsidRDefault="002D482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8A71" w14:textId="08778E01" w:rsidR="002D482F" w:rsidRPr="002C3404" w:rsidRDefault="002D482F" w:rsidP="004700FF">
    <w:pPr>
      <w:tabs>
        <w:tab w:val="center" w:pos="4513"/>
        <w:tab w:val="right" w:pos="9026"/>
      </w:tabs>
      <w:spacing w:before="40" w:after="0"/>
    </w:pPr>
    <w:r w:rsidRPr="00B24417">
      <w:rPr>
        <w:rFonts w:ascii="Arial" w:hAnsi="Arial" w:cs="Arial"/>
        <w:noProof/>
        <w:position w:val="-6"/>
        <w:sz w:val="18"/>
        <w:szCs w:val="18"/>
      </w:rPr>
      <w:drawing>
        <wp:inline distT="0" distB="0" distL="0" distR="0" wp14:anchorId="0CD5E594" wp14:editId="7AEBD182">
          <wp:extent cx="1358265" cy="170815"/>
          <wp:effectExtent l="0" t="0" r="0" b="635"/>
          <wp:docPr id="8" name="Picture 8"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8B9C" w14:textId="77777777" w:rsidR="002D482F" w:rsidRPr="00DC1CAA" w:rsidRDefault="002D482F" w:rsidP="00465218">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DC1CAA">
      <w:rPr>
        <w:rFonts w:ascii="Arial" w:hAnsi="Arial" w:cs="Arial"/>
        <w:b/>
        <w:color w:val="FFFFFF" w:themeColor="background1"/>
        <w:spacing w:val="10"/>
        <w:sz w:val="24"/>
      </w:rPr>
      <w:t>ASC</w:t>
    </w:r>
  </w:p>
  <w:p w14:paraId="4821A0EF" w14:textId="032269E7" w:rsidR="002D482F" w:rsidRDefault="002D482F" w:rsidP="004700FF">
    <w:pPr>
      <w:tabs>
        <w:tab w:val="center" w:pos="4150"/>
        <w:tab w:val="right" w:pos="8306"/>
      </w:tabs>
      <w:spacing w:after="0"/>
      <w:jc w:val="right"/>
    </w:pPr>
    <w:r w:rsidRPr="00DD5A4D">
      <w:rPr>
        <w:rFonts w:ascii="Arial" w:hAnsi="Arial" w:cs="Arial"/>
        <w:sz w:val="18"/>
        <w:szCs w:val="18"/>
      </w:rPr>
      <w:t xml:space="preserve">Portfolio Budget </w:t>
    </w:r>
    <w:proofErr w:type="gramStart"/>
    <w:r w:rsidRPr="00DD5A4D">
      <w:rPr>
        <w:rFonts w:ascii="Arial" w:hAnsi="Arial" w:cs="Arial"/>
        <w:sz w:val="18"/>
        <w:szCs w:val="18"/>
      </w:rPr>
      <w:t>Statements</w:t>
    </w:r>
    <w:r w:rsidRPr="00DD5A4D">
      <w:t xml:space="preserve">  |</w:t>
    </w:r>
    <w:proofErr w:type="gramEnd"/>
    <w:r w:rsidRPr="00DD5A4D">
      <w:t xml:space="preserve">  </w:t>
    </w:r>
    <w:r w:rsidRPr="00DD5A4D">
      <w:rPr>
        <w:noProof/>
        <w:position w:val="-6"/>
      </w:rPr>
      <w:drawing>
        <wp:inline distT="0" distB="0" distL="0" distR="0" wp14:anchorId="66ACF4C8" wp14:editId="38BA21B9">
          <wp:extent cx="1358265" cy="170815"/>
          <wp:effectExtent l="0" t="0" r="0" b="635"/>
          <wp:docPr id="7" name="Picture 7"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80468" w14:textId="730FB157" w:rsidR="002D482F" w:rsidRPr="00DC1CAA" w:rsidRDefault="002D482F" w:rsidP="00973213">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DC1CAA">
      <w:rPr>
        <w:rFonts w:ascii="Arial" w:hAnsi="Arial" w:cs="Arial"/>
        <w:b/>
        <w:color w:val="FFFFFF" w:themeColor="background1"/>
        <w:spacing w:val="10"/>
        <w:sz w:val="24"/>
      </w:rPr>
      <w:t>ASC</w:t>
    </w:r>
  </w:p>
  <w:p w14:paraId="4EBDE784" w14:textId="530F98EB" w:rsidR="002D482F" w:rsidRDefault="002D482F" w:rsidP="003D62F7">
    <w:pPr>
      <w:pStyle w:val="Header"/>
      <w:tabs>
        <w:tab w:val="clear" w:pos="4513"/>
        <w:tab w:val="clear" w:pos="9026"/>
        <w:tab w:val="left" w:pos="185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3065C" w14:textId="77777777" w:rsidR="00A62109" w:rsidRDefault="00A621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45AAE" w14:textId="434D6E58" w:rsidR="002D482F" w:rsidRDefault="002D48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71F80" w14:textId="35EF5BF0" w:rsidR="002D482F" w:rsidRPr="00DC1CAA" w:rsidRDefault="002D482F" w:rsidP="00973213">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DC1CAA">
      <w:rPr>
        <w:rFonts w:ascii="Arial" w:hAnsi="Arial" w:cs="Arial"/>
        <w:b/>
        <w:color w:val="FFFFFF" w:themeColor="background1"/>
        <w:spacing w:val="10"/>
        <w:sz w:val="24"/>
      </w:rPr>
      <w:t>ASC</w:t>
    </w:r>
  </w:p>
  <w:p w14:paraId="17802893" w14:textId="0C8F1145" w:rsidR="002D482F" w:rsidRDefault="002D482F" w:rsidP="003D62F7">
    <w:pPr>
      <w:pStyle w:val="Header1-Right"/>
      <w:pBdr>
        <w:bottom w:val="none" w:sz="0" w:space="0" w:color="auto"/>
      </w:pBdr>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B7683" w14:textId="186A5BB8" w:rsidR="002D482F" w:rsidRDefault="002D48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3CCD3" w14:textId="360F503D" w:rsidR="002D482F" w:rsidRPr="009C3C64" w:rsidRDefault="002D482F" w:rsidP="009C3C64">
    <w:pPr>
      <w:tabs>
        <w:tab w:val="center" w:pos="4513"/>
        <w:tab w:val="right" w:pos="9026"/>
      </w:tabs>
      <w:spacing w:before="40" w:after="0"/>
    </w:pPr>
    <w:r w:rsidRPr="00B24417">
      <w:rPr>
        <w:rFonts w:ascii="Arial" w:hAnsi="Arial" w:cs="Arial"/>
        <w:noProof/>
        <w:position w:val="-6"/>
        <w:sz w:val="18"/>
        <w:szCs w:val="18"/>
      </w:rPr>
      <w:drawing>
        <wp:inline distT="0" distB="0" distL="0" distR="0" wp14:anchorId="103D73F5" wp14:editId="11484259">
          <wp:extent cx="1358265" cy="170815"/>
          <wp:effectExtent l="0" t="0" r="0" b="635"/>
          <wp:docPr id="15" name="Picture 1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B288" w14:textId="4B4DB9AE" w:rsidR="002D482F" w:rsidRPr="00DC1CAA" w:rsidRDefault="002D482F" w:rsidP="00973213">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DC1CAA">
      <w:rPr>
        <w:rFonts w:ascii="Arial" w:hAnsi="Arial" w:cs="Arial"/>
        <w:b/>
        <w:color w:val="FFFFFF" w:themeColor="background1"/>
        <w:spacing w:val="10"/>
        <w:sz w:val="24"/>
      </w:rPr>
      <w:t>ASC</w:t>
    </w:r>
  </w:p>
  <w:p w14:paraId="7E3979C3" w14:textId="07263109" w:rsidR="002D482F" w:rsidRDefault="002D482F" w:rsidP="003A1104">
    <w:pPr>
      <w:tabs>
        <w:tab w:val="center" w:pos="4150"/>
        <w:tab w:val="right" w:pos="8306"/>
      </w:tabs>
      <w:spacing w:after="0"/>
      <w:jc w:val="right"/>
    </w:pPr>
    <w:r w:rsidRPr="00DD5A4D">
      <w:rPr>
        <w:rFonts w:ascii="Arial" w:hAnsi="Arial" w:cs="Arial"/>
        <w:sz w:val="18"/>
        <w:szCs w:val="18"/>
      </w:rPr>
      <w:t xml:space="preserve">Portfolio Budget </w:t>
    </w:r>
    <w:proofErr w:type="gramStart"/>
    <w:r w:rsidRPr="00DD5A4D">
      <w:rPr>
        <w:rFonts w:ascii="Arial" w:hAnsi="Arial" w:cs="Arial"/>
        <w:sz w:val="18"/>
        <w:szCs w:val="18"/>
      </w:rPr>
      <w:t>Statements</w:t>
    </w:r>
    <w:r w:rsidRPr="00DD5A4D">
      <w:t xml:space="preserve">  |</w:t>
    </w:r>
    <w:proofErr w:type="gramEnd"/>
    <w:r w:rsidRPr="00DD5A4D">
      <w:t xml:space="preserve">  </w:t>
    </w:r>
    <w:r w:rsidRPr="00DD5A4D">
      <w:rPr>
        <w:noProof/>
        <w:position w:val="-6"/>
      </w:rPr>
      <w:drawing>
        <wp:inline distT="0" distB="0" distL="0" distR="0" wp14:anchorId="6ED3F3D7" wp14:editId="4DBE9545">
          <wp:extent cx="1358265" cy="170815"/>
          <wp:effectExtent l="0" t="0" r="0" b="635"/>
          <wp:docPr id="4" name="Picture 4"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AA3EB" w14:textId="67963BBC" w:rsidR="002D482F" w:rsidRDefault="002D4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F711E25"/>
    <w:multiLevelType w:val="hybridMultilevel"/>
    <w:tmpl w:val="7D32592E"/>
    <w:lvl w:ilvl="0" w:tplc="509253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582861"/>
    <w:multiLevelType w:val="hybridMultilevel"/>
    <w:tmpl w:val="42CCE8EC"/>
    <w:lvl w:ilvl="0" w:tplc="5C7696F8">
      <w:start w:val="1"/>
      <w:numFmt w:val="bullet"/>
      <w:lvlText w:val="­"/>
      <w:lvlJc w:val="left"/>
      <w:pPr>
        <w:ind w:left="774" w:hanging="360"/>
      </w:pPr>
      <w:rPr>
        <w:rFonts w:ascii="Courier New" w:hAnsi="Courier New"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BF82472"/>
    <w:multiLevelType w:val="hybridMultilevel"/>
    <w:tmpl w:val="FD7E5074"/>
    <w:lvl w:ilvl="0" w:tplc="1F041FA2">
      <w:numFmt w:val="bullet"/>
      <w:lvlText w:val="•"/>
      <w:lvlJc w:val="left"/>
      <w:pPr>
        <w:ind w:left="231" w:hanging="720"/>
      </w:pPr>
      <w:rPr>
        <w:rFonts w:ascii="Book Antiqua" w:eastAsia="Times New Roman" w:hAnsi="Book Antiqua" w:cs="Times New Roman" w:hint="default"/>
      </w:rPr>
    </w:lvl>
    <w:lvl w:ilvl="1" w:tplc="0C090003" w:tentative="1">
      <w:start w:val="1"/>
      <w:numFmt w:val="bullet"/>
      <w:lvlText w:val="o"/>
      <w:lvlJc w:val="left"/>
      <w:pPr>
        <w:ind w:left="591" w:hanging="360"/>
      </w:pPr>
      <w:rPr>
        <w:rFonts w:ascii="Courier New" w:hAnsi="Courier New" w:cs="Courier New" w:hint="default"/>
      </w:rPr>
    </w:lvl>
    <w:lvl w:ilvl="2" w:tplc="0C090005" w:tentative="1">
      <w:start w:val="1"/>
      <w:numFmt w:val="bullet"/>
      <w:lvlText w:val=""/>
      <w:lvlJc w:val="left"/>
      <w:pPr>
        <w:ind w:left="1311" w:hanging="360"/>
      </w:pPr>
      <w:rPr>
        <w:rFonts w:ascii="Wingdings" w:hAnsi="Wingdings" w:hint="default"/>
      </w:rPr>
    </w:lvl>
    <w:lvl w:ilvl="3" w:tplc="0C090001" w:tentative="1">
      <w:start w:val="1"/>
      <w:numFmt w:val="bullet"/>
      <w:lvlText w:val=""/>
      <w:lvlJc w:val="left"/>
      <w:pPr>
        <w:ind w:left="2031" w:hanging="360"/>
      </w:pPr>
      <w:rPr>
        <w:rFonts w:ascii="Symbol" w:hAnsi="Symbol" w:hint="default"/>
      </w:rPr>
    </w:lvl>
    <w:lvl w:ilvl="4" w:tplc="0C090003" w:tentative="1">
      <w:start w:val="1"/>
      <w:numFmt w:val="bullet"/>
      <w:lvlText w:val="o"/>
      <w:lvlJc w:val="left"/>
      <w:pPr>
        <w:ind w:left="2751" w:hanging="360"/>
      </w:pPr>
      <w:rPr>
        <w:rFonts w:ascii="Courier New" w:hAnsi="Courier New" w:cs="Courier New" w:hint="default"/>
      </w:rPr>
    </w:lvl>
    <w:lvl w:ilvl="5" w:tplc="0C090005" w:tentative="1">
      <w:start w:val="1"/>
      <w:numFmt w:val="bullet"/>
      <w:lvlText w:val=""/>
      <w:lvlJc w:val="left"/>
      <w:pPr>
        <w:ind w:left="3471" w:hanging="360"/>
      </w:pPr>
      <w:rPr>
        <w:rFonts w:ascii="Wingdings" w:hAnsi="Wingdings" w:hint="default"/>
      </w:rPr>
    </w:lvl>
    <w:lvl w:ilvl="6" w:tplc="0C090001" w:tentative="1">
      <w:start w:val="1"/>
      <w:numFmt w:val="bullet"/>
      <w:lvlText w:val=""/>
      <w:lvlJc w:val="left"/>
      <w:pPr>
        <w:ind w:left="4191" w:hanging="360"/>
      </w:pPr>
      <w:rPr>
        <w:rFonts w:ascii="Symbol" w:hAnsi="Symbol" w:hint="default"/>
      </w:rPr>
    </w:lvl>
    <w:lvl w:ilvl="7" w:tplc="0C090003" w:tentative="1">
      <w:start w:val="1"/>
      <w:numFmt w:val="bullet"/>
      <w:lvlText w:val="o"/>
      <w:lvlJc w:val="left"/>
      <w:pPr>
        <w:ind w:left="4911" w:hanging="360"/>
      </w:pPr>
      <w:rPr>
        <w:rFonts w:ascii="Courier New" w:hAnsi="Courier New" w:cs="Courier New" w:hint="default"/>
      </w:rPr>
    </w:lvl>
    <w:lvl w:ilvl="8" w:tplc="0C090005" w:tentative="1">
      <w:start w:val="1"/>
      <w:numFmt w:val="bullet"/>
      <w:lvlText w:val=""/>
      <w:lvlJc w:val="left"/>
      <w:pPr>
        <w:ind w:left="5631" w:hanging="360"/>
      </w:pPr>
      <w:rPr>
        <w:rFonts w:ascii="Wingdings" w:hAnsi="Wingdings" w:hint="default"/>
      </w:rPr>
    </w:lvl>
  </w:abstractNum>
  <w:abstractNum w:abstractNumId="5" w15:restartNumberingAfterBreak="0">
    <w:nsid w:val="2A6066D3"/>
    <w:multiLevelType w:val="hybridMultilevel"/>
    <w:tmpl w:val="433CCEF6"/>
    <w:lvl w:ilvl="0" w:tplc="BFF46466">
      <w:numFmt w:val="bullet"/>
      <w:lvlText w:val="-"/>
      <w:lvlJc w:val="left"/>
      <w:pPr>
        <w:ind w:left="768" w:hanging="360"/>
      </w:pPr>
      <w:rPr>
        <w:rFonts w:ascii="Book Antiqua" w:eastAsia="Times New Roman" w:hAnsi="Book Antiqua" w:cs="Times New Roman"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 w15:restartNumberingAfterBreak="0">
    <w:nsid w:val="3AF80180"/>
    <w:multiLevelType w:val="hybridMultilevel"/>
    <w:tmpl w:val="92D43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AF1E2B"/>
    <w:multiLevelType w:val="hybridMultilevel"/>
    <w:tmpl w:val="001440C0"/>
    <w:lvl w:ilvl="0" w:tplc="0C090001">
      <w:start w:val="1"/>
      <w:numFmt w:val="bullet"/>
      <w:lvlText w:val=""/>
      <w:lvlJc w:val="left"/>
      <w:pPr>
        <w:ind w:left="720" w:hanging="360"/>
      </w:pPr>
      <w:rPr>
        <w:rFonts w:ascii="Symbol" w:hAnsi="Symbol" w:hint="default"/>
      </w:rPr>
    </w:lvl>
    <w:lvl w:ilvl="1" w:tplc="6CB6F0DE">
      <w:start w:val="1"/>
      <w:numFmt w:val="bullet"/>
      <w:lvlText w:val="­"/>
      <w:lvlJc w:val="left"/>
      <w:pPr>
        <w:ind w:left="1440" w:hanging="360"/>
      </w:pPr>
      <w:rPr>
        <w:rFonts w:ascii="Courier New" w:hAnsi="Courier New" w:hint="default"/>
        <w:color w:val="auto"/>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A854F8"/>
    <w:multiLevelType w:val="hybridMultilevel"/>
    <w:tmpl w:val="005AD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3C27A17"/>
    <w:multiLevelType w:val="hybridMultilevel"/>
    <w:tmpl w:val="6292FE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742E1A"/>
    <w:multiLevelType w:val="hybridMultilevel"/>
    <w:tmpl w:val="8FBCB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9962344"/>
    <w:multiLevelType w:val="hybridMultilevel"/>
    <w:tmpl w:val="2FECF210"/>
    <w:lvl w:ilvl="0" w:tplc="0C09000F">
      <w:start w:val="1"/>
      <w:numFmt w:val="decimal"/>
      <w:lvlText w:val="%1."/>
      <w:lvlJc w:val="left"/>
      <w:pPr>
        <w:ind w:left="284" w:hanging="284"/>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4" w15:restartNumberingAfterBreak="0">
    <w:nsid w:val="5D001667"/>
    <w:multiLevelType w:val="hybridMultilevel"/>
    <w:tmpl w:val="2E62BBFC"/>
    <w:lvl w:ilvl="0" w:tplc="6436F6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CA0112"/>
    <w:multiLevelType w:val="hybridMultilevel"/>
    <w:tmpl w:val="802CB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F555C7"/>
    <w:multiLevelType w:val="hybridMultilevel"/>
    <w:tmpl w:val="406CF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18F413A"/>
    <w:multiLevelType w:val="hybridMultilevel"/>
    <w:tmpl w:val="1352A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7"/>
  </w:num>
  <w:num w:numId="4">
    <w:abstractNumId w:val="7"/>
  </w:num>
  <w:num w:numId="5">
    <w:abstractNumId w:val="13"/>
  </w:num>
  <w:num w:numId="6">
    <w:abstractNumId w:val="12"/>
  </w:num>
  <w:num w:numId="7">
    <w:abstractNumId w:val="11"/>
  </w:num>
  <w:num w:numId="8">
    <w:abstractNumId w:val="5"/>
  </w:num>
  <w:num w:numId="9">
    <w:abstractNumId w:val="4"/>
  </w:num>
  <w:num w:numId="10">
    <w:abstractNumId w:val="15"/>
  </w:num>
  <w:num w:numId="11">
    <w:abstractNumId w:val="9"/>
  </w:num>
  <w:num w:numId="12">
    <w:abstractNumId w:val="6"/>
  </w:num>
  <w:num w:numId="13">
    <w:abstractNumId w:val="14"/>
  </w:num>
  <w:num w:numId="14">
    <w:abstractNumId w:val="1"/>
  </w:num>
  <w:num w:numId="15">
    <w:abstractNumId w:val="0"/>
  </w:num>
  <w:num w:numId="16">
    <w:abstractNumId w:val="18"/>
  </w:num>
  <w:num w:numId="17">
    <w:abstractNumId w:val="10"/>
  </w:num>
  <w:num w:numId="18">
    <w:abstractNumId w:val="19"/>
  </w:num>
  <w:num w:numId="19">
    <w:abstractNumId w:val="8"/>
  </w:num>
  <w:num w:numId="20">
    <w:abstractNumId w:val="2"/>
  </w:num>
  <w:num w:numId="21">
    <w:abstractNumId w:val="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evenAndOddHeaders/>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1D94"/>
    <w:rsid w:val="00004F05"/>
    <w:rsid w:val="000110B5"/>
    <w:rsid w:val="00014843"/>
    <w:rsid w:val="00035BF2"/>
    <w:rsid w:val="0004685C"/>
    <w:rsid w:val="00047C81"/>
    <w:rsid w:val="00052D39"/>
    <w:rsid w:val="00053E8E"/>
    <w:rsid w:val="00063831"/>
    <w:rsid w:val="000842FC"/>
    <w:rsid w:val="00086180"/>
    <w:rsid w:val="000868F9"/>
    <w:rsid w:val="00097E40"/>
    <w:rsid w:val="000B0492"/>
    <w:rsid w:val="000B09A0"/>
    <w:rsid w:val="000B24D6"/>
    <w:rsid w:val="000C0F1D"/>
    <w:rsid w:val="000C1BE6"/>
    <w:rsid w:val="000C4A6B"/>
    <w:rsid w:val="000C7825"/>
    <w:rsid w:val="000E75CF"/>
    <w:rsid w:val="000E7747"/>
    <w:rsid w:val="000F0E87"/>
    <w:rsid w:val="000F49A8"/>
    <w:rsid w:val="000F6F08"/>
    <w:rsid w:val="0010006E"/>
    <w:rsid w:val="001258BA"/>
    <w:rsid w:val="00126608"/>
    <w:rsid w:val="001725C0"/>
    <w:rsid w:val="001726A1"/>
    <w:rsid w:val="00172C8A"/>
    <w:rsid w:val="00177622"/>
    <w:rsid w:val="0019383D"/>
    <w:rsid w:val="001A2818"/>
    <w:rsid w:val="001A7CCB"/>
    <w:rsid w:val="001B05F2"/>
    <w:rsid w:val="001B07EA"/>
    <w:rsid w:val="001B0854"/>
    <w:rsid w:val="00200B01"/>
    <w:rsid w:val="00220F41"/>
    <w:rsid w:val="0024497D"/>
    <w:rsid w:val="0024539A"/>
    <w:rsid w:val="00280050"/>
    <w:rsid w:val="00280068"/>
    <w:rsid w:val="002856C1"/>
    <w:rsid w:val="00291E15"/>
    <w:rsid w:val="00293BF4"/>
    <w:rsid w:val="002C0BEF"/>
    <w:rsid w:val="002C3404"/>
    <w:rsid w:val="002D482F"/>
    <w:rsid w:val="002D5272"/>
    <w:rsid w:val="002E0591"/>
    <w:rsid w:val="002F3CC8"/>
    <w:rsid w:val="002F6126"/>
    <w:rsid w:val="00300697"/>
    <w:rsid w:val="003060BF"/>
    <w:rsid w:val="0031188B"/>
    <w:rsid w:val="003203FF"/>
    <w:rsid w:val="00320B07"/>
    <w:rsid w:val="00322F28"/>
    <w:rsid w:val="00330C45"/>
    <w:rsid w:val="00344B50"/>
    <w:rsid w:val="00347C2F"/>
    <w:rsid w:val="003511AC"/>
    <w:rsid w:val="0035193C"/>
    <w:rsid w:val="00357948"/>
    <w:rsid w:val="00362B59"/>
    <w:rsid w:val="00366DC1"/>
    <w:rsid w:val="0037037F"/>
    <w:rsid w:val="003707AD"/>
    <w:rsid w:val="00371585"/>
    <w:rsid w:val="003930D0"/>
    <w:rsid w:val="003A1104"/>
    <w:rsid w:val="003A2B13"/>
    <w:rsid w:val="003A4212"/>
    <w:rsid w:val="003B51D2"/>
    <w:rsid w:val="003C1B26"/>
    <w:rsid w:val="003C3FD4"/>
    <w:rsid w:val="003D35A4"/>
    <w:rsid w:val="003D462C"/>
    <w:rsid w:val="003D62F7"/>
    <w:rsid w:val="003D6D39"/>
    <w:rsid w:val="003E5ED8"/>
    <w:rsid w:val="003E7223"/>
    <w:rsid w:val="003F42E3"/>
    <w:rsid w:val="00401F4C"/>
    <w:rsid w:val="00402DDC"/>
    <w:rsid w:val="00406EE7"/>
    <w:rsid w:val="00424F29"/>
    <w:rsid w:val="00430C3E"/>
    <w:rsid w:val="004401DC"/>
    <w:rsid w:val="00446A37"/>
    <w:rsid w:val="00465218"/>
    <w:rsid w:val="004700FF"/>
    <w:rsid w:val="004759AD"/>
    <w:rsid w:val="0047631D"/>
    <w:rsid w:val="004878E4"/>
    <w:rsid w:val="00494F5B"/>
    <w:rsid w:val="0049518D"/>
    <w:rsid w:val="004A2758"/>
    <w:rsid w:val="004A7478"/>
    <w:rsid w:val="004D5EFA"/>
    <w:rsid w:val="004D6610"/>
    <w:rsid w:val="004E361A"/>
    <w:rsid w:val="004E7565"/>
    <w:rsid w:val="004F47D3"/>
    <w:rsid w:val="004F5E2A"/>
    <w:rsid w:val="004F6B31"/>
    <w:rsid w:val="005042E3"/>
    <w:rsid w:val="005054CC"/>
    <w:rsid w:val="005068ED"/>
    <w:rsid w:val="005071B0"/>
    <w:rsid w:val="00516DBE"/>
    <w:rsid w:val="00522BA0"/>
    <w:rsid w:val="00530C25"/>
    <w:rsid w:val="00542A34"/>
    <w:rsid w:val="00546B00"/>
    <w:rsid w:val="00552A06"/>
    <w:rsid w:val="00566F6F"/>
    <w:rsid w:val="005772BE"/>
    <w:rsid w:val="0058512D"/>
    <w:rsid w:val="005C3C33"/>
    <w:rsid w:val="005C5790"/>
    <w:rsid w:val="005D52B5"/>
    <w:rsid w:val="005D6AD6"/>
    <w:rsid w:val="005E0E22"/>
    <w:rsid w:val="005E2BD9"/>
    <w:rsid w:val="005E610C"/>
    <w:rsid w:val="005E7D03"/>
    <w:rsid w:val="005F3A42"/>
    <w:rsid w:val="005F4CA4"/>
    <w:rsid w:val="0060794A"/>
    <w:rsid w:val="00611C88"/>
    <w:rsid w:val="00613EDE"/>
    <w:rsid w:val="006173AD"/>
    <w:rsid w:val="006340F2"/>
    <w:rsid w:val="0063515C"/>
    <w:rsid w:val="0065157A"/>
    <w:rsid w:val="006666D4"/>
    <w:rsid w:val="00666D6E"/>
    <w:rsid w:val="0068237C"/>
    <w:rsid w:val="00683C1D"/>
    <w:rsid w:val="0069499E"/>
    <w:rsid w:val="006C364E"/>
    <w:rsid w:val="006C4507"/>
    <w:rsid w:val="006C7E08"/>
    <w:rsid w:val="006D50A9"/>
    <w:rsid w:val="006D5D80"/>
    <w:rsid w:val="006D6A1A"/>
    <w:rsid w:val="006E3710"/>
    <w:rsid w:val="006F4255"/>
    <w:rsid w:val="006F5A3D"/>
    <w:rsid w:val="007066F9"/>
    <w:rsid w:val="007072BB"/>
    <w:rsid w:val="00712141"/>
    <w:rsid w:val="00715E72"/>
    <w:rsid w:val="00731ECF"/>
    <w:rsid w:val="00741CD2"/>
    <w:rsid w:val="00742ABD"/>
    <w:rsid w:val="00743573"/>
    <w:rsid w:val="00743A03"/>
    <w:rsid w:val="0076012B"/>
    <w:rsid w:val="007657B0"/>
    <w:rsid w:val="0077451C"/>
    <w:rsid w:val="00790B5E"/>
    <w:rsid w:val="007969F1"/>
    <w:rsid w:val="007B2118"/>
    <w:rsid w:val="007C6F3D"/>
    <w:rsid w:val="007E1932"/>
    <w:rsid w:val="007E1DF2"/>
    <w:rsid w:val="007E1E8C"/>
    <w:rsid w:val="007E2BAB"/>
    <w:rsid w:val="007E6DD0"/>
    <w:rsid w:val="007E7835"/>
    <w:rsid w:val="007E7E4E"/>
    <w:rsid w:val="008005A7"/>
    <w:rsid w:val="008133FB"/>
    <w:rsid w:val="008361E5"/>
    <w:rsid w:val="0084317C"/>
    <w:rsid w:val="00843239"/>
    <w:rsid w:val="00870BB9"/>
    <w:rsid w:val="00872E24"/>
    <w:rsid w:val="00876D23"/>
    <w:rsid w:val="0089004B"/>
    <w:rsid w:val="008A780B"/>
    <w:rsid w:val="008C3E9E"/>
    <w:rsid w:val="008D0392"/>
    <w:rsid w:val="008E614B"/>
    <w:rsid w:val="008F15C7"/>
    <w:rsid w:val="008F3E64"/>
    <w:rsid w:val="008F4F91"/>
    <w:rsid w:val="008F5901"/>
    <w:rsid w:val="009072FE"/>
    <w:rsid w:val="00913388"/>
    <w:rsid w:val="0091389E"/>
    <w:rsid w:val="00924113"/>
    <w:rsid w:val="009321B3"/>
    <w:rsid w:val="0094033C"/>
    <w:rsid w:val="00954AAC"/>
    <w:rsid w:val="009577F9"/>
    <w:rsid w:val="00963710"/>
    <w:rsid w:val="00973213"/>
    <w:rsid w:val="00980201"/>
    <w:rsid w:val="0098079D"/>
    <w:rsid w:val="009A738D"/>
    <w:rsid w:val="009C04C3"/>
    <w:rsid w:val="009C17CC"/>
    <w:rsid w:val="009C3C64"/>
    <w:rsid w:val="009D4DB0"/>
    <w:rsid w:val="009D7BCB"/>
    <w:rsid w:val="009E4710"/>
    <w:rsid w:val="009E5962"/>
    <w:rsid w:val="009F4C35"/>
    <w:rsid w:val="009F764E"/>
    <w:rsid w:val="00A032F5"/>
    <w:rsid w:val="00A05D23"/>
    <w:rsid w:val="00A077D2"/>
    <w:rsid w:val="00A07F48"/>
    <w:rsid w:val="00A173BB"/>
    <w:rsid w:val="00A31B46"/>
    <w:rsid w:val="00A3213A"/>
    <w:rsid w:val="00A4571F"/>
    <w:rsid w:val="00A4585C"/>
    <w:rsid w:val="00A50E72"/>
    <w:rsid w:val="00A5131B"/>
    <w:rsid w:val="00A54836"/>
    <w:rsid w:val="00A55BC0"/>
    <w:rsid w:val="00A55F0E"/>
    <w:rsid w:val="00A62109"/>
    <w:rsid w:val="00A6500A"/>
    <w:rsid w:val="00A668BF"/>
    <w:rsid w:val="00A74FED"/>
    <w:rsid w:val="00A8013C"/>
    <w:rsid w:val="00A80B87"/>
    <w:rsid w:val="00A92C93"/>
    <w:rsid w:val="00A938C6"/>
    <w:rsid w:val="00AA046E"/>
    <w:rsid w:val="00AB1A17"/>
    <w:rsid w:val="00AB2377"/>
    <w:rsid w:val="00AC1761"/>
    <w:rsid w:val="00AC41DB"/>
    <w:rsid w:val="00AE24B7"/>
    <w:rsid w:val="00AE4E9D"/>
    <w:rsid w:val="00AE5547"/>
    <w:rsid w:val="00B04721"/>
    <w:rsid w:val="00B16E6F"/>
    <w:rsid w:val="00B25FDF"/>
    <w:rsid w:val="00B27B4D"/>
    <w:rsid w:val="00B32799"/>
    <w:rsid w:val="00B47795"/>
    <w:rsid w:val="00B52DC6"/>
    <w:rsid w:val="00B55C44"/>
    <w:rsid w:val="00B706C3"/>
    <w:rsid w:val="00B86F4E"/>
    <w:rsid w:val="00B87B5E"/>
    <w:rsid w:val="00BA0F94"/>
    <w:rsid w:val="00BA4A2E"/>
    <w:rsid w:val="00BB5DE1"/>
    <w:rsid w:val="00BB62A8"/>
    <w:rsid w:val="00BB66BD"/>
    <w:rsid w:val="00BC0659"/>
    <w:rsid w:val="00BC2503"/>
    <w:rsid w:val="00BD534E"/>
    <w:rsid w:val="00C04432"/>
    <w:rsid w:val="00C14D15"/>
    <w:rsid w:val="00C42566"/>
    <w:rsid w:val="00C515FC"/>
    <w:rsid w:val="00C542A8"/>
    <w:rsid w:val="00C547AB"/>
    <w:rsid w:val="00C87720"/>
    <w:rsid w:val="00C91EEB"/>
    <w:rsid w:val="00C94341"/>
    <w:rsid w:val="00C963C0"/>
    <w:rsid w:val="00CA2DA6"/>
    <w:rsid w:val="00CB786E"/>
    <w:rsid w:val="00CC30CC"/>
    <w:rsid w:val="00CC49B7"/>
    <w:rsid w:val="00CE2F67"/>
    <w:rsid w:val="00CF0D70"/>
    <w:rsid w:val="00CF0DB6"/>
    <w:rsid w:val="00CF40C3"/>
    <w:rsid w:val="00D013B8"/>
    <w:rsid w:val="00D02E3C"/>
    <w:rsid w:val="00D04EE8"/>
    <w:rsid w:val="00D05660"/>
    <w:rsid w:val="00D12377"/>
    <w:rsid w:val="00D13170"/>
    <w:rsid w:val="00D21FBF"/>
    <w:rsid w:val="00D27E92"/>
    <w:rsid w:val="00D345E4"/>
    <w:rsid w:val="00D46CA1"/>
    <w:rsid w:val="00D60C0F"/>
    <w:rsid w:val="00D63B94"/>
    <w:rsid w:val="00D667D9"/>
    <w:rsid w:val="00D670C8"/>
    <w:rsid w:val="00D74EC4"/>
    <w:rsid w:val="00D92154"/>
    <w:rsid w:val="00DA1A9F"/>
    <w:rsid w:val="00DB04B0"/>
    <w:rsid w:val="00DC141A"/>
    <w:rsid w:val="00DC36AF"/>
    <w:rsid w:val="00DC485F"/>
    <w:rsid w:val="00DC4DE7"/>
    <w:rsid w:val="00DC69BF"/>
    <w:rsid w:val="00DD4C19"/>
    <w:rsid w:val="00DD63C0"/>
    <w:rsid w:val="00DD6B44"/>
    <w:rsid w:val="00DE128A"/>
    <w:rsid w:val="00DE51AD"/>
    <w:rsid w:val="00DF11D6"/>
    <w:rsid w:val="00DF1ABA"/>
    <w:rsid w:val="00DF788E"/>
    <w:rsid w:val="00E01FD3"/>
    <w:rsid w:val="00E3192A"/>
    <w:rsid w:val="00E3422E"/>
    <w:rsid w:val="00E36D0C"/>
    <w:rsid w:val="00E47227"/>
    <w:rsid w:val="00E56750"/>
    <w:rsid w:val="00E66C91"/>
    <w:rsid w:val="00E9321E"/>
    <w:rsid w:val="00EB2199"/>
    <w:rsid w:val="00EB5327"/>
    <w:rsid w:val="00EB7F02"/>
    <w:rsid w:val="00EC2EAA"/>
    <w:rsid w:val="00EC4376"/>
    <w:rsid w:val="00ED2270"/>
    <w:rsid w:val="00ED4117"/>
    <w:rsid w:val="00EE73F8"/>
    <w:rsid w:val="00EF25E1"/>
    <w:rsid w:val="00F0513F"/>
    <w:rsid w:val="00F1298B"/>
    <w:rsid w:val="00F14D6C"/>
    <w:rsid w:val="00F173C5"/>
    <w:rsid w:val="00F173CE"/>
    <w:rsid w:val="00F2064B"/>
    <w:rsid w:val="00F277F1"/>
    <w:rsid w:val="00F31E00"/>
    <w:rsid w:val="00F34B94"/>
    <w:rsid w:val="00F35D5E"/>
    <w:rsid w:val="00F44509"/>
    <w:rsid w:val="00F509B3"/>
    <w:rsid w:val="00F51046"/>
    <w:rsid w:val="00F51C84"/>
    <w:rsid w:val="00F604D8"/>
    <w:rsid w:val="00F645CC"/>
    <w:rsid w:val="00F74314"/>
    <w:rsid w:val="00FA06C5"/>
    <w:rsid w:val="00FA3F98"/>
    <w:rsid w:val="00FA4FF7"/>
    <w:rsid w:val="00FB515D"/>
    <w:rsid w:val="00FB6FED"/>
    <w:rsid w:val="00FC4239"/>
    <w:rsid w:val="00FD010B"/>
    <w:rsid w:val="00FD602D"/>
    <w:rsid w:val="00FE2164"/>
    <w:rsid w:val="00FE421E"/>
    <w:rsid w:val="00FE75B4"/>
    <w:rsid w:val="00FF042A"/>
    <w:rsid w:val="00FF1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4796CEAC"/>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01"/>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980201"/>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980201"/>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980201"/>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BA0F94"/>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201"/>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980201"/>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980201"/>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uiPriority w:val="99"/>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A0F94"/>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Footnotes">
    <w:name w:val="Footnotes"/>
    <w:basedOn w:val="FootnoteText"/>
    <w:link w:val="FootnotesChar"/>
    <w:qFormat/>
    <w:rsid w:val="008F5901"/>
    <w:pPr>
      <w:tabs>
        <w:tab w:val="clear" w:pos="284"/>
      </w:tabs>
    </w:pPr>
    <w:rPr>
      <w:bdr w:val="nil"/>
    </w:rPr>
  </w:style>
  <w:style w:type="character" w:customStyle="1" w:styleId="FootnotesChar">
    <w:name w:val="Footnotes Char"/>
    <w:basedOn w:val="FootnoteTextChar"/>
    <w:link w:val="Footnotes"/>
    <w:rsid w:val="008F5901"/>
    <w:rPr>
      <w:rFonts w:ascii="Arial" w:eastAsia="Times New Roman" w:hAnsi="Arial"/>
      <w:color w:val="000000"/>
      <w:sz w:val="15"/>
      <w:szCs w:val="20"/>
      <w:bdr w:val="nil"/>
      <w:lang w:eastAsia="en-AU"/>
    </w:rPr>
  </w:style>
  <w:style w:type="paragraph" w:customStyle="1" w:styleId="ToCHeading2">
    <w:name w:val="ToC Heading 2"/>
    <w:link w:val="ToCHeading2Char"/>
    <w:rsid w:val="00BA4A2E"/>
    <w:pPr>
      <w:tabs>
        <w:tab w:val="left" w:pos="567"/>
        <w:tab w:val="right" w:leader="dot" w:pos="7371"/>
      </w:tabs>
      <w:spacing w:before="180" w:after="120" w:line="240" w:lineRule="auto"/>
    </w:pPr>
    <w:rPr>
      <w:rFonts w:ascii="Arial" w:eastAsia="Times New Roman" w:hAnsi="Arial" w:cs="Arial"/>
      <w:b/>
      <w:color w:val="000000"/>
      <w:sz w:val="20"/>
      <w:szCs w:val="20"/>
      <w:lang w:eastAsia="en-AU"/>
    </w:rPr>
  </w:style>
  <w:style w:type="character" w:customStyle="1" w:styleId="ToCHeading2Char">
    <w:name w:val="ToC Heading 2 Char"/>
    <w:basedOn w:val="DefaultParagraphFont"/>
    <w:link w:val="ToCHeading2"/>
    <w:rsid w:val="00BA4A2E"/>
    <w:rPr>
      <w:rFonts w:ascii="Arial" w:eastAsia="Times New Roman" w:hAnsi="Arial" w:cs="Arial"/>
      <w:b/>
      <w:color w:val="000000"/>
      <w:sz w:val="20"/>
      <w:szCs w:val="20"/>
      <w:lang w:eastAsia="en-AU"/>
    </w:rPr>
  </w:style>
  <w:style w:type="paragraph" w:customStyle="1" w:styleId="Tableheadingrowmeasures85pt0">
    <w:name w:val="Table heading row (measures) 8.5 pt"/>
    <w:basedOn w:val="Tableheadingrow9pt"/>
    <w:qFormat/>
    <w:rsid w:val="007E6DD0"/>
    <w:rPr>
      <w:bCs/>
      <w:sz w:val="17"/>
    </w:rPr>
  </w:style>
  <w:style w:type="paragraph" w:styleId="BalloonText">
    <w:name w:val="Balloon Text"/>
    <w:basedOn w:val="Normal"/>
    <w:link w:val="BalloonTextChar"/>
    <w:uiPriority w:val="99"/>
    <w:semiHidden/>
    <w:unhideWhenUsed/>
    <w:rsid w:val="00B327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799"/>
    <w:rPr>
      <w:rFonts w:ascii="Segoe UI" w:eastAsia="Times New Roman" w:hAnsi="Segoe UI" w:cs="Segoe UI"/>
      <w:color w:val="000000"/>
      <w:sz w:val="18"/>
      <w:szCs w:val="18"/>
      <w:lang w:eastAsia="en-AU"/>
    </w:rPr>
  </w:style>
  <w:style w:type="paragraph" w:styleId="Revision">
    <w:name w:val="Revision"/>
    <w:hidden/>
    <w:uiPriority w:val="99"/>
    <w:semiHidden/>
    <w:rsid w:val="00AB1A17"/>
    <w:pPr>
      <w:spacing w:after="0" w:line="240" w:lineRule="auto"/>
    </w:pPr>
    <w:rPr>
      <w:rFonts w:ascii="Book Antiqua" w:eastAsia="Times New Roman" w:hAnsi="Book Antiqua"/>
      <w:color w:val="000000"/>
      <w:sz w:val="20"/>
      <w:szCs w:val="20"/>
      <w:lang w:eastAsia="en-AU"/>
    </w:rPr>
  </w:style>
  <w:style w:type="character" w:styleId="CommentReference">
    <w:name w:val="annotation reference"/>
    <w:basedOn w:val="DefaultParagraphFont"/>
    <w:uiPriority w:val="99"/>
    <w:semiHidden/>
    <w:unhideWhenUsed/>
    <w:rsid w:val="00A032F5"/>
    <w:rPr>
      <w:sz w:val="16"/>
      <w:szCs w:val="16"/>
    </w:rPr>
  </w:style>
  <w:style w:type="paragraph" w:styleId="CommentText">
    <w:name w:val="annotation text"/>
    <w:basedOn w:val="Normal"/>
    <w:link w:val="CommentTextChar"/>
    <w:uiPriority w:val="99"/>
    <w:semiHidden/>
    <w:unhideWhenUsed/>
    <w:rsid w:val="00A032F5"/>
  </w:style>
  <w:style w:type="character" w:customStyle="1" w:styleId="CommentTextChar">
    <w:name w:val="Comment Text Char"/>
    <w:basedOn w:val="DefaultParagraphFont"/>
    <w:link w:val="CommentText"/>
    <w:uiPriority w:val="99"/>
    <w:semiHidden/>
    <w:rsid w:val="00A032F5"/>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A032F5"/>
    <w:rPr>
      <w:b/>
      <w:bCs/>
    </w:rPr>
  </w:style>
  <w:style w:type="character" w:customStyle="1" w:styleId="CommentSubjectChar">
    <w:name w:val="Comment Subject Char"/>
    <w:basedOn w:val="CommentTextChar"/>
    <w:link w:val="CommentSubject"/>
    <w:uiPriority w:val="99"/>
    <w:semiHidden/>
    <w:rsid w:val="00A032F5"/>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DF1ABA"/>
    <w:pPr>
      <w:tabs>
        <w:tab w:val="left" w:pos="357"/>
      </w:tabs>
      <w:contextualSpacing/>
    </w:pPr>
  </w:style>
  <w:style w:type="paragraph" w:styleId="NormalWeb">
    <w:name w:val="Normal (Web)"/>
    <w:basedOn w:val="Normal"/>
    <w:uiPriority w:val="99"/>
    <w:unhideWhenUsed/>
    <w:rsid w:val="006D50A9"/>
    <w:pPr>
      <w:spacing w:before="100" w:beforeAutospacing="1" w:after="100" w:afterAutospacing="1"/>
    </w:pPr>
    <w:rPr>
      <w:rFonts w:ascii="Times New Roman" w:hAnsi="Times New Roman"/>
      <w:color w:val="auto"/>
      <w:sz w:val="24"/>
      <w:szCs w:val="24"/>
    </w:rPr>
  </w:style>
  <w:style w:type="character" w:customStyle="1" w:styleId="Mention">
    <w:name w:val="Mention"/>
    <w:basedOn w:val="DefaultParagraphFont"/>
    <w:uiPriority w:val="99"/>
    <w:unhideWhenUsed/>
    <w:rsid w:val="006D5D80"/>
    <w:rPr>
      <w:color w:val="2B579A"/>
      <w:shd w:val="clear" w:color="auto" w:fill="E1DFDD"/>
    </w:rPr>
  </w:style>
  <w:style w:type="character" w:customStyle="1" w:styleId="Header1-Right-OddChar">
    <w:name w:val="Header 1 - Right - Odd Char"/>
    <w:basedOn w:val="DefaultParagraphFont"/>
    <w:link w:val="Header1-Right-Odd"/>
    <w:locked/>
    <w:rsid w:val="00CF0DB6"/>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CF0DB6"/>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styleId="PageNumber">
    <w:name w:val="page number"/>
    <w:rsid w:val="009C3C64"/>
    <w:rPr>
      <w:rFonts w:ascii="Arial" w:hAnsi="Arial" w:cs="Arial"/>
      <w:color w:val="auto"/>
    </w:rPr>
  </w:style>
  <w:style w:type="paragraph" w:customStyle="1" w:styleId="FooterOdd">
    <w:name w:val="Footer Odd"/>
    <w:basedOn w:val="Footer"/>
    <w:qFormat/>
    <w:rsid w:val="009C3C64"/>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9C3C64"/>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PartHeading-TOC">
    <w:name w:val="Part Heading - TOC"/>
    <w:basedOn w:val="Normal"/>
    <w:rsid w:val="003A1104"/>
    <w:pPr>
      <w:spacing w:before="240" w:after="480"/>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29">
      <w:bodyDiv w:val="1"/>
      <w:marLeft w:val="0"/>
      <w:marRight w:val="0"/>
      <w:marTop w:val="0"/>
      <w:marBottom w:val="0"/>
      <w:divBdr>
        <w:top w:val="none" w:sz="0" w:space="0" w:color="auto"/>
        <w:left w:val="none" w:sz="0" w:space="0" w:color="auto"/>
        <w:bottom w:val="none" w:sz="0" w:space="0" w:color="auto"/>
        <w:right w:val="none" w:sz="0" w:space="0" w:color="auto"/>
      </w:divBdr>
    </w:div>
    <w:div w:id="211430349">
      <w:bodyDiv w:val="1"/>
      <w:marLeft w:val="0"/>
      <w:marRight w:val="0"/>
      <w:marTop w:val="0"/>
      <w:marBottom w:val="0"/>
      <w:divBdr>
        <w:top w:val="none" w:sz="0" w:space="0" w:color="auto"/>
        <w:left w:val="none" w:sz="0" w:space="0" w:color="auto"/>
        <w:bottom w:val="none" w:sz="0" w:space="0" w:color="auto"/>
        <w:right w:val="none" w:sz="0" w:space="0" w:color="auto"/>
      </w:divBdr>
    </w:div>
    <w:div w:id="333072108">
      <w:bodyDiv w:val="1"/>
      <w:marLeft w:val="0"/>
      <w:marRight w:val="0"/>
      <w:marTop w:val="0"/>
      <w:marBottom w:val="0"/>
      <w:divBdr>
        <w:top w:val="none" w:sz="0" w:space="0" w:color="auto"/>
        <w:left w:val="none" w:sz="0" w:space="0" w:color="auto"/>
        <w:bottom w:val="none" w:sz="0" w:space="0" w:color="auto"/>
        <w:right w:val="none" w:sz="0" w:space="0" w:color="auto"/>
      </w:divBdr>
    </w:div>
    <w:div w:id="333148544">
      <w:bodyDiv w:val="1"/>
      <w:marLeft w:val="0"/>
      <w:marRight w:val="0"/>
      <w:marTop w:val="0"/>
      <w:marBottom w:val="0"/>
      <w:divBdr>
        <w:top w:val="none" w:sz="0" w:space="0" w:color="auto"/>
        <w:left w:val="none" w:sz="0" w:space="0" w:color="auto"/>
        <w:bottom w:val="none" w:sz="0" w:space="0" w:color="auto"/>
        <w:right w:val="none" w:sz="0" w:space="0" w:color="auto"/>
      </w:divBdr>
    </w:div>
    <w:div w:id="356931106">
      <w:bodyDiv w:val="1"/>
      <w:marLeft w:val="0"/>
      <w:marRight w:val="0"/>
      <w:marTop w:val="0"/>
      <w:marBottom w:val="0"/>
      <w:divBdr>
        <w:top w:val="none" w:sz="0" w:space="0" w:color="auto"/>
        <w:left w:val="none" w:sz="0" w:space="0" w:color="auto"/>
        <w:bottom w:val="none" w:sz="0" w:space="0" w:color="auto"/>
        <w:right w:val="none" w:sz="0" w:space="0" w:color="auto"/>
      </w:divBdr>
    </w:div>
    <w:div w:id="369572546">
      <w:bodyDiv w:val="1"/>
      <w:marLeft w:val="0"/>
      <w:marRight w:val="0"/>
      <w:marTop w:val="0"/>
      <w:marBottom w:val="0"/>
      <w:divBdr>
        <w:top w:val="none" w:sz="0" w:space="0" w:color="auto"/>
        <w:left w:val="none" w:sz="0" w:space="0" w:color="auto"/>
        <w:bottom w:val="none" w:sz="0" w:space="0" w:color="auto"/>
        <w:right w:val="none" w:sz="0" w:space="0" w:color="auto"/>
      </w:divBdr>
    </w:div>
    <w:div w:id="495847872">
      <w:bodyDiv w:val="1"/>
      <w:marLeft w:val="0"/>
      <w:marRight w:val="0"/>
      <w:marTop w:val="0"/>
      <w:marBottom w:val="0"/>
      <w:divBdr>
        <w:top w:val="none" w:sz="0" w:space="0" w:color="auto"/>
        <w:left w:val="none" w:sz="0" w:space="0" w:color="auto"/>
        <w:bottom w:val="none" w:sz="0" w:space="0" w:color="auto"/>
        <w:right w:val="none" w:sz="0" w:space="0" w:color="auto"/>
      </w:divBdr>
    </w:div>
    <w:div w:id="533351517">
      <w:bodyDiv w:val="1"/>
      <w:marLeft w:val="0"/>
      <w:marRight w:val="0"/>
      <w:marTop w:val="0"/>
      <w:marBottom w:val="0"/>
      <w:divBdr>
        <w:top w:val="none" w:sz="0" w:space="0" w:color="auto"/>
        <w:left w:val="none" w:sz="0" w:space="0" w:color="auto"/>
        <w:bottom w:val="none" w:sz="0" w:space="0" w:color="auto"/>
        <w:right w:val="none" w:sz="0" w:space="0" w:color="auto"/>
      </w:divBdr>
    </w:div>
    <w:div w:id="661278737">
      <w:bodyDiv w:val="1"/>
      <w:marLeft w:val="0"/>
      <w:marRight w:val="0"/>
      <w:marTop w:val="0"/>
      <w:marBottom w:val="0"/>
      <w:divBdr>
        <w:top w:val="none" w:sz="0" w:space="0" w:color="auto"/>
        <w:left w:val="none" w:sz="0" w:space="0" w:color="auto"/>
        <w:bottom w:val="none" w:sz="0" w:space="0" w:color="auto"/>
        <w:right w:val="none" w:sz="0" w:space="0" w:color="auto"/>
      </w:divBdr>
    </w:div>
    <w:div w:id="674578819">
      <w:bodyDiv w:val="1"/>
      <w:marLeft w:val="0"/>
      <w:marRight w:val="0"/>
      <w:marTop w:val="0"/>
      <w:marBottom w:val="0"/>
      <w:divBdr>
        <w:top w:val="none" w:sz="0" w:space="0" w:color="auto"/>
        <w:left w:val="none" w:sz="0" w:space="0" w:color="auto"/>
        <w:bottom w:val="none" w:sz="0" w:space="0" w:color="auto"/>
        <w:right w:val="none" w:sz="0" w:space="0" w:color="auto"/>
      </w:divBdr>
    </w:div>
    <w:div w:id="678434937">
      <w:bodyDiv w:val="1"/>
      <w:marLeft w:val="0"/>
      <w:marRight w:val="0"/>
      <w:marTop w:val="0"/>
      <w:marBottom w:val="0"/>
      <w:divBdr>
        <w:top w:val="none" w:sz="0" w:space="0" w:color="auto"/>
        <w:left w:val="none" w:sz="0" w:space="0" w:color="auto"/>
        <w:bottom w:val="none" w:sz="0" w:space="0" w:color="auto"/>
        <w:right w:val="none" w:sz="0" w:space="0" w:color="auto"/>
      </w:divBdr>
    </w:div>
    <w:div w:id="683435801">
      <w:bodyDiv w:val="1"/>
      <w:marLeft w:val="0"/>
      <w:marRight w:val="0"/>
      <w:marTop w:val="0"/>
      <w:marBottom w:val="0"/>
      <w:divBdr>
        <w:top w:val="none" w:sz="0" w:space="0" w:color="auto"/>
        <w:left w:val="none" w:sz="0" w:space="0" w:color="auto"/>
        <w:bottom w:val="none" w:sz="0" w:space="0" w:color="auto"/>
        <w:right w:val="none" w:sz="0" w:space="0" w:color="auto"/>
      </w:divBdr>
    </w:div>
    <w:div w:id="817461249">
      <w:bodyDiv w:val="1"/>
      <w:marLeft w:val="0"/>
      <w:marRight w:val="0"/>
      <w:marTop w:val="0"/>
      <w:marBottom w:val="0"/>
      <w:divBdr>
        <w:top w:val="none" w:sz="0" w:space="0" w:color="auto"/>
        <w:left w:val="none" w:sz="0" w:space="0" w:color="auto"/>
        <w:bottom w:val="none" w:sz="0" w:space="0" w:color="auto"/>
        <w:right w:val="none" w:sz="0" w:space="0" w:color="auto"/>
      </w:divBdr>
    </w:div>
    <w:div w:id="834108698">
      <w:bodyDiv w:val="1"/>
      <w:marLeft w:val="0"/>
      <w:marRight w:val="0"/>
      <w:marTop w:val="0"/>
      <w:marBottom w:val="0"/>
      <w:divBdr>
        <w:top w:val="none" w:sz="0" w:space="0" w:color="auto"/>
        <w:left w:val="none" w:sz="0" w:space="0" w:color="auto"/>
        <w:bottom w:val="none" w:sz="0" w:space="0" w:color="auto"/>
        <w:right w:val="none" w:sz="0" w:space="0" w:color="auto"/>
      </w:divBdr>
    </w:div>
    <w:div w:id="843472307">
      <w:bodyDiv w:val="1"/>
      <w:marLeft w:val="0"/>
      <w:marRight w:val="0"/>
      <w:marTop w:val="0"/>
      <w:marBottom w:val="0"/>
      <w:divBdr>
        <w:top w:val="none" w:sz="0" w:space="0" w:color="auto"/>
        <w:left w:val="none" w:sz="0" w:space="0" w:color="auto"/>
        <w:bottom w:val="none" w:sz="0" w:space="0" w:color="auto"/>
        <w:right w:val="none" w:sz="0" w:space="0" w:color="auto"/>
      </w:divBdr>
    </w:div>
    <w:div w:id="855122601">
      <w:bodyDiv w:val="1"/>
      <w:marLeft w:val="0"/>
      <w:marRight w:val="0"/>
      <w:marTop w:val="0"/>
      <w:marBottom w:val="0"/>
      <w:divBdr>
        <w:top w:val="none" w:sz="0" w:space="0" w:color="auto"/>
        <w:left w:val="none" w:sz="0" w:space="0" w:color="auto"/>
        <w:bottom w:val="none" w:sz="0" w:space="0" w:color="auto"/>
        <w:right w:val="none" w:sz="0" w:space="0" w:color="auto"/>
      </w:divBdr>
    </w:div>
    <w:div w:id="914970857">
      <w:bodyDiv w:val="1"/>
      <w:marLeft w:val="0"/>
      <w:marRight w:val="0"/>
      <w:marTop w:val="0"/>
      <w:marBottom w:val="0"/>
      <w:divBdr>
        <w:top w:val="none" w:sz="0" w:space="0" w:color="auto"/>
        <w:left w:val="none" w:sz="0" w:space="0" w:color="auto"/>
        <w:bottom w:val="none" w:sz="0" w:space="0" w:color="auto"/>
        <w:right w:val="none" w:sz="0" w:space="0" w:color="auto"/>
      </w:divBdr>
    </w:div>
    <w:div w:id="965744158">
      <w:bodyDiv w:val="1"/>
      <w:marLeft w:val="0"/>
      <w:marRight w:val="0"/>
      <w:marTop w:val="0"/>
      <w:marBottom w:val="0"/>
      <w:divBdr>
        <w:top w:val="none" w:sz="0" w:space="0" w:color="auto"/>
        <w:left w:val="none" w:sz="0" w:space="0" w:color="auto"/>
        <w:bottom w:val="none" w:sz="0" w:space="0" w:color="auto"/>
        <w:right w:val="none" w:sz="0" w:space="0" w:color="auto"/>
      </w:divBdr>
    </w:div>
    <w:div w:id="969827075">
      <w:bodyDiv w:val="1"/>
      <w:marLeft w:val="0"/>
      <w:marRight w:val="0"/>
      <w:marTop w:val="0"/>
      <w:marBottom w:val="0"/>
      <w:divBdr>
        <w:top w:val="none" w:sz="0" w:space="0" w:color="auto"/>
        <w:left w:val="none" w:sz="0" w:space="0" w:color="auto"/>
        <w:bottom w:val="none" w:sz="0" w:space="0" w:color="auto"/>
        <w:right w:val="none" w:sz="0" w:space="0" w:color="auto"/>
      </w:divBdr>
    </w:div>
    <w:div w:id="980422218">
      <w:bodyDiv w:val="1"/>
      <w:marLeft w:val="0"/>
      <w:marRight w:val="0"/>
      <w:marTop w:val="0"/>
      <w:marBottom w:val="0"/>
      <w:divBdr>
        <w:top w:val="none" w:sz="0" w:space="0" w:color="auto"/>
        <w:left w:val="none" w:sz="0" w:space="0" w:color="auto"/>
        <w:bottom w:val="none" w:sz="0" w:space="0" w:color="auto"/>
        <w:right w:val="none" w:sz="0" w:space="0" w:color="auto"/>
      </w:divBdr>
    </w:div>
    <w:div w:id="1006831109">
      <w:bodyDiv w:val="1"/>
      <w:marLeft w:val="0"/>
      <w:marRight w:val="0"/>
      <w:marTop w:val="0"/>
      <w:marBottom w:val="0"/>
      <w:divBdr>
        <w:top w:val="none" w:sz="0" w:space="0" w:color="auto"/>
        <w:left w:val="none" w:sz="0" w:space="0" w:color="auto"/>
        <w:bottom w:val="none" w:sz="0" w:space="0" w:color="auto"/>
        <w:right w:val="none" w:sz="0" w:space="0" w:color="auto"/>
      </w:divBdr>
    </w:div>
    <w:div w:id="1102647839">
      <w:bodyDiv w:val="1"/>
      <w:marLeft w:val="0"/>
      <w:marRight w:val="0"/>
      <w:marTop w:val="0"/>
      <w:marBottom w:val="0"/>
      <w:divBdr>
        <w:top w:val="none" w:sz="0" w:space="0" w:color="auto"/>
        <w:left w:val="none" w:sz="0" w:space="0" w:color="auto"/>
        <w:bottom w:val="none" w:sz="0" w:space="0" w:color="auto"/>
        <w:right w:val="none" w:sz="0" w:space="0" w:color="auto"/>
      </w:divBdr>
    </w:div>
    <w:div w:id="1105031420">
      <w:bodyDiv w:val="1"/>
      <w:marLeft w:val="0"/>
      <w:marRight w:val="0"/>
      <w:marTop w:val="0"/>
      <w:marBottom w:val="0"/>
      <w:divBdr>
        <w:top w:val="none" w:sz="0" w:space="0" w:color="auto"/>
        <w:left w:val="none" w:sz="0" w:space="0" w:color="auto"/>
        <w:bottom w:val="none" w:sz="0" w:space="0" w:color="auto"/>
        <w:right w:val="none" w:sz="0" w:space="0" w:color="auto"/>
      </w:divBdr>
    </w:div>
    <w:div w:id="1124033741">
      <w:bodyDiv w:val="1"/>
      <w:marLeft w:val="0"/>
      <w:marRight w:val="0"/>
      <w:marTop w:val="0"/>
      <w:marBottom w:val="0"/>
      <w:divBdr>
        <w:top w:val="none" w:sz="0" w:space="0" w:color="auto"/>
        <w:left w:val="none" w:sz="0" w:space="0" w:color="auto"/>
        <w:bottom w:val="none" w:sz="0" w:space="0" w:color="auto"/>
        <w:right w:val="none" w:sz="0" w:space="0" w:color="auto"/>
      </w:divBdr>
    </w:div>
    <w:div w:id="1168329844">
      <w:bodyDiv w:val="1"/>
      <w:marLeft w:val="0"/>
      <w:marRight w:val="0"/>
      <w:marTop w:val="0"/>
      <w:marBottom w:val="0"/>
      <w:divBdr>
        <w:top w:val="none" w:sz="0" w:space="0" w:color="auto"/>
        <w:left w:val="none" w:sz="0" w:space="0" w:color="auto"/>
        <w:bottom w:val="none" w:sz="0" w:space="0" w:color="auto"/>
        <w:right w:val="none" w:sz="0" w:space="0" w:color="auto"/>
      </w:divBdr>
    </w:div>
    <w:div w:id="1197044834">
      <w:bodyDiv w:val="1"/>
      <w:marLeft w:val="0"/>
      <w:marRight w:val="0"/>
      <w:marTop w:val="0"/>
      <w:marBottom w:val="0"/>
      <w:divBdr>
        <w:top w:val="none" w:sz="0" w:space="0" w:color="auto"/>
        <w:left w:val="none" w:sz="0" w:space="0" w:color="auto"/>
        <w:bottom w:val="none" w:sz="0" w:space="0" w:color="auto"/>
        <w:right w:val="none" w:sz="0" w:space="0" w:color="auto"/>
      </w:divBdr>
    </w:div>
    <w:div w:id="1201547833">
      <w:bodyDiv w:val="1"/>
      <w:marLeft w:val="0"/>
      <w:marRight w:val="0"/>
      <w:marTop w:val="0"/>
      <w:marBottom w:val="0"/>
      <w:divBdr>
        <w:top w:val="none" w:sz="0" w:space="0" w:color="auto"/>
        <w:left w:val="none" w:sz="0" w:space="0" w:color="auto"/>
        <w:bottom w:val="none" w:sz="0" w:space="0" w:color="auto"/>
        <w:right w:val="none" w:sz="0" w:space="0" w:color="auto"/>
      </w:divBdr>
    </w:div>
    <w:div w:id="1222325967">
      <w:bodyDiv w:val="1"/>
      <w:marLeft w:val="0"/>
      <w:marRight w:val="0"/>
      <w:marTop w:val="0"/>
      <w:marBottom w:val="0"/>
      <w:divBdr>
        <w:top w:val="none" w:sz="0" w:space="0" w:color="auto"/>
        <w:left w:val="none" w:sz="0" w:space="0" w:color="auto"/>
        <w:bottom w:val="none" w:sz="0" w:space="0" w:color="auto"/>
        <w:right w:val="none" w:sz="0" w:space="0" w:color="auto"/>
      </w:divBdr>
    </w:div>
    <w:div w:id="1336225712">
      <w:bodyDiv w:val="1"/>
      <w:marLeft w:val="0"/>
      <w:marRight w:val="0"/>
      <w:marTop w:val="0"/>
      <w:marBottom w:val="0"/>
      <w:divBdr>
        <w:top w:val="none" w:sz="0" w:space="0" w:color="auto"/>
        <w:left w:val="none" w:sz="0" w:space="0" w:color="auto"/>
        <w:bottom w:val="none" w:sz="0" w:space="0" w:color="auto"/>
        <w:right w:val="none" w:sz="0" w:space="0" w:color="auto"/>
      </w:divBdr>
    </w:div>
    <w:div w:id="1361592587">
      <w:bodyDiv w:val="1"/>
      <w:marLeft w:val="0"/>
      <w:marRight w:val="0"/>
      <w:marTop w:val="0"/>
      <w:marBottom w:val="0"/>
      <w:divBdr>
        <w:top w:val="none" w:sz="0" w:space="0" w:color="auto"/>
        <w:left w:val="none" w:sz="0" w:space="0" w:color="auto"/>
        <w:bottom w:val="none" w:sz="0" w:space="0" w:color="auto"/>
        <w:right w:val="none" w:sz="0" w:space="0" w:color="auto"/>
      </w:divBdr>
    </w:div>
    <w:div w:id="1375422994">
      <w:bodyDiv w:val="1"/>
      <w:marLeft w:val="0"/>
      <w:marRight w:val="0"/>
      <w:marTop w:val="0"/>
      <w:marBottom w:val="0"/>
      <w:divBdr>
        <w:top w:val="none" w:sz="0" w:space="0" w:color="auto"/>
        <w:left w:val="none" w:sz="0" w:space="0" w:color="auto"/>
        <w:bottom w:val="none" w:sz="0" w:space="0" w:color="auto"/>
        <w:right w:val="none" w:sz="0" w:space="0" w:color="auto"/>
      </w:divBdr>
    </w:div>
    <w:div w:id="1378357819">
      <w:bodyDiv w:val="1"/>
      <w:marLeft w:val="0"/>
      <w:marRight w:val="0"/>
      <w:marTop w:val="0"/>
      <w:marBottom w:val="0"/>
      <w:divBdr>
        <w:top w:val="none" w:sz="0" w:space="0" w:color="auto"/>
        <w:left w:val="none" w:sz="0" w:space="0" w:color="auto"/>
        <w:bottom w:val="none" w:sz="0" w:space="0" w:color="auto"/>
        <w:right w:val="none" w:sz="0" w:space="0" w:color="auto"/>
      </w:divBdr>
    </w:div>
    <w:div w:id="1400976705">
      <w:bodyDiv w:val="1"/>
      <w:marLeft w:val="0"/>
      <w:marRight w:val="0"/>
      <w:marTop w:val="0"/>
      <w:marBottom w:val="0"/>
      <w:divBdr>
        <w:top w:val="none" w:sz="0" w:space="0" w:color="auto"/>
        <w:left w:val="none" w:sz="0" w:space="0" w:color="auto"/>
        <w:bottom w:val="none" w:sz="0" w:space="0" w:color="auto"/>
        <w:right w:val="none" w:sz="0" w:space="0" w:color="auto"/>
      </w:divBdr>
    </w:div>
    <w:div w:id="1411732657">
      <w:bodyDiv w:val="1"/>
      <w:marLeft w:val="0"/>
      <w:marRight w:val="0"/>
      <w:marTop w:val="0"/>
      <w:marBottom w:val="0"/>
      <w:divBdr>
        <w:top w:val="none" w:sz="0" w:space="0" w:color="auto"/>
        <w:left w:val="none" w:sz="0" w:space="0" w:color="auto"/>
        <w:bottom w:val="none" w:sz="0" w:space="0" w:color="auto"/>
        <w:right w:val="none" w:sz="0" w:space="0" w:color="auto"/>
      </w:divBdr>
    </w:div>
    <w:div w:id="1435201355">
      <w:bodyDiv w:val="1"/>
      <w:marLeft w:val="0"/>
      <w:marRight w:val="0"/>
      <w:marTop w:val="0"/>
      <w:marBottom w:val="0"/>
      <w:divBdr>
        <w:top w:val="none" w:sz="0" w:space="0" w:color="auto"/>
        <w:left w:val="none" w:sz="0" w:space="0" w:color="auto"/>
        <w:bottom w:val="none" w:sz="0" w:space="0" w:color="auto"/>
        <w:right w:val="none" w:sz="0" w:space="0" w:color="auto"/>
      </w:divBdr>
    </w:div>
    <w:div w:id="1521894172">
      <w:bodyDiv w:val="1"/>
      <w:marLeft w:val="0"/>
      <w:marRight w:val="0"/>
      <w:marTop w:val="0"/>
      <w:marBottom w:val="0"/>
      <w:divBdr>
        <w:top w:val="none" w:sz="0" w:space="0" w:color="auto"/>
        <w:left w:val="none" w:sz="0" w:space="0" w:color="auto"/>
        <w:bottom w:val="none" w:sz="0" w:space="0" w:color="auto"/>
        <w:right w:val="none" w:sz="0" w:space="0" w:color="auto"/>
      </w:divBdr>
    </w:div>
    <w:div w:id="1615163720">
      <w:bodyDiv w:val="1"/>
      <w:marLeft w:val="0"/>
      <w:marRight w:val="0"/>
      <w:marTop w:val="0"/>
      <w:marBottom w:val="0"/>
      <w:divBdr>
        <w:top w:val="none" w:sz="0" w:space="0" w:color="auto"/>
        <w:left w:val="none" w:sz="0" w:space="0" w:color="auto"/>
        <w:bottom w:val="none" w:sz="0" w:space="0" w:color="auto"/>
        <w:right w:val="none" w:sz="0" w:space="0" w:color="auto"/>
      </w:divBdr>
    </w:div>
    <w:div w:id="1669750017">
      <w:bodyDiv w:val="1"/>
      <w:marLeft w:val="0"/>
      <w:marRight w:val="0"/>
      <w:marTop w:val="0"/>
      <w:marBottom w:val="0"/>
      <w:divBdr>
        <w:top w:val="none" w:sz="0" w:space="0" w:color="auto"/>
        <w:left w:val="none" w:sz="0" w:space="0" w:color="auto"/>
        <w:bottom w:val="none" w:sz="0" w:space="0" w:color="auto"/>
        <w:right w:val="none" w:sz="0" w:space="0" w:color="auto"/>
      </w:divBdr>
    </w:div>
    <w:div w:id="1684894905">
      <w:bodyDiv w:val="1"/>
      <w:marLeft w:val="0"/>
      <w:marRight w:val="0"/>
      <w:marTop w:val="0"/>
      <w:marBottom w:val="0"/>
      <w:divBdr>
        <w:top w:val="none" w:sz="0" w:space="0" w:color="auto"/>
        <w:left w:val="none" w:sz="0" w:space="0" w:color="auto"/>
        <w:bottom w:val="none" w:sz="0" w:space="0" w:color="auto"/>
        <w:right w:val="none" w:sz="0" w:space="0" w:color="auto"/>
      </w:divBdr>
    </w:div>
    <w:div w:id="1800030709">
      <w:bodyDiv w:val="1"/>
      <w:marLeft w:val="0"/>
      <w:marRight w:val="0"/>
      <w:marTop w:val="0"/>
      <w:marBottom w:val="0"/>
      <w:divBdr>
        <w:top w:val="none" w:sz="0" w:space="0" w:color="auto"/>
        <w:left w:val="none" w:sz="0" w:space="0" w:color="auto"/>
        <w:bottom w:val="none" w:sz="0" w:space="0" w:color="auto"/>
        <w:right w:val="none" w:sz="0" w:space="0" w:color="auto"/>
      </w:divBdr>
    </w:div>
    <w:div w:id="1859812003">
      <w:bodyDiv w:val="1"/>
      <w:marLeft w:val="0"/>
      <w:marRight w:val="0"/>
      <w:marTop w:val="0"/>
      <w:marBottom w:val="0"/>
      <w:divBdr>
        <w:top w:val="none" w:sz="0" w:space="0" w:color="auto"/>
        <w:left w:val="none" w:sz="0" w:space="0" w:color="auto"/>
        <w:bottom w:val="none" w:sz="0" w:space="0" w:color="auto"/>
        <w:right w:val="none" w:sz="0" w:space="0" w:color="auto"/>
      </w:divBdr>
    </w:div>
    <w:div w:id="1945964814">
      <w:bodyDiv w:val="1"/>
      <w:marLeft w:val="0"/>
      <w:marRight w:val="0"/>
      <w:marTop w:val="0"/>
      <w:marBottom w:val="0"/>
      <w:divBdr>
        <w:top w:val="none" w:sz="0" w:space="0" w:color="auto"/>
        <w:left w:val="none" w:sz="0" w:space="0" w:color="auto"/>
        <w:bottom w:val="none" w:sz="0" w:space="0" w:color="auto"/>
        <w:right w:val="none" w:sz="0" w:space="0" w:color="auto"/>
      </w:divBdr>
    </w:div>
    <w:div w:id="1957716500">
      <w:bodyDiv w:val="1"/>
      <w:marLeft w:val="0"/>
      <w:marRight w:val="0"/>
      <w:marTop w:val="0"/>
      <w:marBottom w:val="0"/>
      <w:divBdr>
        <w:top w:val="none" w:sz="0" w:space="0" w:color="auto"/>
        <w:left w:val="none" w:sz="0" w:space="0" w:color="auto"/>
        <w:bottom w:val="none" w:sz="0" w:space="0" w:color="auto"/>
        <w:right w:val="none" w:sz="0" w:space="0" w:color="auto"/>
      </w:divBdr>
    </w:div>
    <w:div w:id="1968973706">
      <w:bodyDiv w:val="1"/>
      <w:marLeft w:val="0"/>
      <w:marRight w:val="0"/>
      <w:marTop w:val="0"/>
      <w:marBottom w:val="0"/>
      <w:divBdr>
        <w:top w:val="none" w:sz="0" w:space="0" w:color="auto"/>
        <w:left w:val="none" w:sz="0" w:space="0" w:color="auto"/>
        <w:bottom w:val="none" w:sz="0" w:space="0" w:color="auto"/>
        <w:right w:val="none" w:sz="0" w:space="0" w:color="auto"/>
      </w:divBdr>
    </w:div>
    <w:div w:id="206251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oter" Target="footer6.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F1042-CC4F-4D2A-8A9F-30D5D5C8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18</Pages>
  <Words>4145</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270</cp:revision>
  <cp:lastPrinted>2022-10-19T06:25:00Z</cp:lastPrinted>
  <dcterms:created xsi:type="dcterms:W3CDTF">2021-03-11T23:07:00Z</dcterms:created>
  <dcterms:modified xsi:type="dcterms:W3CDTF">2022-10-25T03:19:00Z</dcterms:modified>
</cp:coreProperties>
</file>