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9DEE3" w14:textId="0758F310" w:rsidR="00EE73F8" w:rsidRDefault="00EE73F8" w:rsidP="00BC5CCE">
      <w:pPr>
        <w:pStyle w:val="PartHeading-TOC"/>
      </w:pPr>
      <w:r w:rsidRPr="00E63E43">
        <w:t>Australian Institute of Health and Welfare</w:t>
      </w:r>
    </w:p>
    <w:p w14:paraId="323894CA" w14:textId="441A65D1" w:rsidR="00913388" w:rsidRPr="00E63E43" w:rsidRDefault="00913388" w:rsidP="00BC5CCE">
      <w:pPr>
        <w:pStyle w:val="PartHeading-TOC"/>
      </w:pPr>
      <w:r w:rsidRPr="00E63E43">
        <w:t xml:space="preserve">Entity </w:t>
      </w:r>
      <w:r w:rsidR="000A7ED4">
        <w:t>r</w:t>
      </w:r>
      <w:r w:rsidRPr="00E63E43">
        <w:t xml:space="preserve">esources and </w:t>
      </w:r>
      <w:r w:rsidR="000A7ED4">
        <w:t>p</w:t>
      </w:r>
      <w:r w:rsidRPr="00E63E43">
        <w:t>lanned </w:t>
      </w:r>
      <w:r w:rsidR="000A7ED4">
        <w:t>p</w:t>
      </w:r>
      <w:r w:rsidRPr="00E63E43">
        <w:t>erformance</w:t>
      </w:r>
    </w:p>
    <w:p w14:paraId="3FB0D98E" w14:textId="77777777" w:rsidR="00913388" w:rsidRPr="00E63E43" w:rsidRDefault="00913388" w:rsidP="00913388">
      <w:pPr>
        <w:rPr>
          <w:color w:val="auto"/>
        </w:rPr>
      </w:pPr>
      <w:r w:rsidRPr="00E63E43">
        <w:rPr>
          <w:color w:val="auto"/>
        </w:rPr>
        <w:br w:type="page"/>
      </w:r>
    </w:p>
    <w:p w14:paraId="7E97040F" w14:textId="77777777" w:rsidR="00913388" w:rsidRPr="00E63E43" w:rsidRDefault="00913388" w:rsidP="00913388">
      <w:pPr>
        <w:rPr>
          <w:color w:val="auto"/>
        </w:rPr>
      </w:pPr>
    </w:p>
    <w:p w14:paraId="0283ADBC" w14:textId="77777777" w:rsidR="00913388" w:rsidRPr="00E63E43" w:rsidRDefault="00913388">
      <w:pPr>
        <w:rPr>
          <w:color w:val="auto"/>
        </w:rPr>
        <w:sectPr w:rsidR="00913388" w:rsidRPr="00E63E43" w:rsidSect="00CE3BC2">
          <w:headerReference w:type="even" r:id="rId8"/>
          <w:headerReference w:type="default" r:id="rId9"/>
          <w:footerReference w:type="even" r:id="rId10"/>
          <w:footerReference w:type="default" r:id="rId11"/>
          <w:headerReference w:type="first" r:id="rId12"/>
          <w:footerReference w:type="first" r:id="rId13"/>
          <w:pgSz w:w="11906" w:h="16838"/>
          <w:pgMar w:top="7053" w:right="2268" w:bottom="2126" w:left="2268" w:header="1899" w:footer="1899" w:gutter="0"/>
          <w:pgNumType w:start="183"/>
          <w:cols w:space="708"/>
          <w:docGrid w:linePitch="360"/>
        </w:sectPr>
      </w:pPr>
    </w:p>
    <w:p w14:paraId="10ACC98F" w14:textId="0ADB243F" w:rsidR="00EE73F8" w:rsidRDefault="00EE73F8" w:rsidP="00FB014E">
      <w:pPr>
        <w:pStyle w:val="Heading1"/>
      </w:pPr>
      <w:r w:rsidRPr="00E63E43">
        <w:lastRenderedPageBreak/>
        <w:t>Australian Institute of Health and Welfare</w:t>
      </w:r>
    </w:p>
    <w:p w14:paraId="6109643F" w14:textId="4C45362D" w:rsidR="00CE3BC2" w:rsidRDefault="00913388">
      <w:pPr>
        <w:pStyle w:val="TOC1"/>
        <w:rPr>
          <w:rFonts w:asciiTheme="minorHAnsi" w:eastAsiaTheme="minorEastAsia" w:hAnsiTheme="minorHAnsi" w:cstheme="minorBidi"/>
          <w:b w:val="0"/>
          <w:color w:val="auto"/>
          <w:sz w:val="22"/>
          <w:szCs w:val="22"/>
        </w:rPr>
      </w:pPr>
      <w:r w:rsidRPr="00E63E43">
        <w:rPr>
          <w:rFonts w:ascii="Arial" w:hAnsi="Arial" w:cs="Arial"/>
          <w:color w:val="auto"/>
        </w:rPr>
        <w:fldChar w:fldCharType="begin"/>
      </w:r>
      <w:r w:rsidRPr="00E63E43">
        <w:rPr>
          <w:rFonts w:ascii="Arial" w:hAnsi="Arial" w:cs="Arial"/>
          <w:color w:val="auto"/>
        </w:rPr>
        <w:instrText xml:space="preserve"> TOC \h \z \t "Heading 2,1,Heading 3,2" </w:instrText>
      </w:r>
      <w:r w:rsidRPr="00E63E43">
        <w:rPr>
          <w:rFonts w:ascii="Arial" w:hAnsi="Arial" w:cs="Arial"/>
          <w:color w:val="auto"/>
        </w:rPr>
        <w:fldChar w:fldCharType="separate"/>
      </w:r>
      <w:hyperlink w:anchor="_Toc117406691" w:history="1">
        <w:r w:rsidR="00CE3BC2" w:rsidRPr="00F708CC">
          <w:rPr>
            <w:rStyle w:val="Hyperlink"/>
          </w:rPr>
          <w:t>Section 1: Entity overview and resources</w:t>
        </w:r>
        <w:r w:rsidR="00CE3BC2">
          <w:rPr>
            <w:webHidden/>
          </w:rPr>
          <w:tab/>
        </w:r>
        <w:r w:rsidR="00CE3BC2">
          <w:rPr>
            <w:webHidden/>
          </w:rPr>
          <w:fldChar w:fldCharType="begin"/>
        </w:r>
        <w:r w:rsidR="00CE3BC2">
          <w:rPr>
            <w:webHidden/>
          </w:rPr>
          <w:instrText xml:space="preserve"> PAGEREF _Toc117406691 \h </w:instrText>
        </w:r>
        <w:r w:rsidR="00CE3BC2">
          <w:rPr>
            <w:webHidden/>
          </w:rPr>
        </w:r>
        <w:r w:rsidR="00CE3BC2">
          <w:rPr>
            <w:webHidden/>
          </w:rPr>
          <w:fldChar w:fldCharType="separate"/>
        </w:r>
        <w:r w:rsidR="00CE3BC2">
          <w:rPr>
            <w:webHidden/>
          </w:rPr>
          <w:t>186</w:t>
        </w:r>
        <w:r w:rsidR="00CE3BC2">
          <w:rPr>
            <w:webHidden/>
          </w:rPr>
          <w:fldChar w:fldCharType="end"/>
        </w:r>
      </w:hyperlink>
    </w:p>
    <w:p w14:paraId="4057BEA5" w14:textId="5F49DBE2" w:rsidR="00CE3BC2" w:rsidRDefault="006A5D4A">
      <w:pPr>
        <w:pStyle w:val="TOC2"/>
        <w:rPr>
          <w:rFonts w:asciiTheme="minorHAnsi" w:eastAsiaTheme="minorEastAsia" w:hAnsiTheme="minorHAnsi" w:cstheme="minorBidi"/>
          <w:noProof/>
          <w:color w:val="auto"/>
          <w:sz w:val="22"/>
          <w:szCs w:val="22"/>
        </w:rPr>
      </w:pPr>
      <w:hyperlink w:anchor="_Toc117406692" w:history="1">
        <w:r w:rsidR="00CE3BC2" w:rsidRPr="00F708CC">
          <w:rPr>
            <w:rStyle w:val="Hyperlink"/>
            <w:noProof/>
          </w:rPr>
          <w:t>1.1</w:t>
        </w:r>
        <w:r w:rsidR="00CE3BC2">
          <w:rPr>
            <w:rFonts w:asciiTheme="minorHAnsi" w:eastAsiaTheme="minorEastAsia" w:hAnsiTheme="minorHAnsi" w:cstheme="minorBidi"/>
            <w:noProof/>
            <w:color w:val="auto"/>
            <w:sz w:val="22"/>
            <w:szCs w:val="22"/>
          </w:rPr>
          <w:tab/>
        </w:r>
        <w:r w:rsidR="00CE3BC2" w:rsidRPr="00F708CC">
          <w:rPr>
            <w:rStyle w:val="Hyperlink"/>
            <w:noProof/>
          </w:rPr>
          <w:t>Strategic direction statement</w:t>
        </w:r>
        <w:r w:rsidR="00CE3BC2">
          <w:rPr>
            <w:noProof/>
            <w:webHidden/>
          </w:rPr>
          <w:tab/>
        </w:r>
        <w:r w:rsidR="00CE3BC2">
          <w:rPr>
            <w:noProof/>
            <w:webHidden/>
          </w:rPr>
          <w:fldChar w:fldCharType="begin"/>
        </w:r>
        <w:r w:rsidR="00CE3BC2">
          <w:rPr>
            <w:noProof/>
            <w:webHidden/>
          </w:rPr>
          <w:instrText xml:space="preserve"> PAGEREF _Toc117406692 \h </w:instrText>
        </w:r>
        <w:r w:rsidR="00CE3BC2">
          <w:rPr>
            <w:noProof/>
            <w:webHidden/>
          </w:rPr>
        </w:r>
        <w:r w:rsidR="00CE3BC2">
          <w:rPr>
            <w:noProof/>
            <w:webHidden/>
          </w:rPr>
          <w:fldChar w:fldCharType="separate"/>
        </w:r>
        <w:r w:rsidR="00CE3BC2">
          <w:rPr>
            <w:noProof/>
            <w:webHidden/>
          </w:rPr>
          <w:t>186</w:t>
        </w:r>
        <w:r w:rsidR="00CE3BC2">
          <w:rPr>
            <w:noProof/>
            <w:webHidden/>
          </w:rPr>
          <w:fldChar w:fldCharType="end"/>
        </w:r>
      </w:hyperlink>
    </w:p>
    <w:p w14:paraId="0139A027" w14:textId="71C14A1C" w:rsidR="00CE3BC2" w:rsidRDefault="006A5D4A">
      <w:pPr>
        <w:pStyle w:val="TOC2"/>
        <w:rPr>
          <w:rFonts w:asciiTheme="minorHAnsi" w:eastAsiaTheme="minorEastAsia" w:hAnsiTheme="minorHAnsi" w:cstheme="minorBidi"/>
          <w:noProof/>
          <w:color w:val="auto"/>
          <w:sz w:val="22"/>
          <w:szCs w:val="22"/>
        </w:rPr>
      </w:pPr>
      <w:hyperlink w:anchor="_Toc117406693" w:history="1">
        <w:r w:rsidR="00CE3BC2" w:rsidRPr="00F708CC">
          <w:rPr>
            <w:rStyle w:val="Hyperlink"/>
            <w:noProof/>
          </w:rPr>
          <w:t>1.2</w:t>
        </w:r>
        <w:r w:rsidR="00CE3BC2">
          <w:rPr>
            <w:rFonts w:asciiTheme="minorHAnsi" w:eastAsiaTheme="minorEastAsia" w:hAnsiTheme="minorHAnsi" w:cstheme="minorBidi"/>
            <w:noProof/>
            <w:color w:val="auto"/>
            <w:sz w:val="22"/>
            <w:szCs w:val="22"/>
          </w:rPr>
          <w:tab/>
        </w:r>
        <w:r w:rsidR="00CE3BC2" w:rsidRPr="00F708CC">
          <w:rPr>
            <w:rStyle w:val="Hyperlink"/>
            <w:noProof/>
          </w:rPr>
          <w:t>Entity resource statement</w:t>
        </w:r>
        <w:r w:rsidR="00CE3BC2">
          <w:rPr>
            <w:noProof/>
            <w:webHidden/>
          </w:rPr>
          <w:tab/>
        </w:r>
        <w:r w:rsidR="00CE3BC2">
          <w:rPr>
            <w:noProof/>
            <w:webHidden/>
          </w:rPr>
          <w:fldChar w:fldCharType="begin"/>
        </w:r>
        <w:r w:rsidR="00CE3BC2">
          <w:rPr>
            <w:noProof/>
            <w:webHidden/>
          </w:rPr>
          <w:instrText xml:space="preserve"> PAGEREF _Toc117406693 \h </w:instrText>
        </w:r>
        <w:r w:rsidR="00CE3BC2">
          <w:rPr>
            <w:noProof/>
            <w:webHidden/>
          </w:rPr>
        </w:r>
        <w:r w:rsidR="00CE3BC2">
          <w:rPr>
            <w:noProof/>
            <w:webHidden/>
          </w:rPr>
          <w:fldChar w:fldCharType="separate"/>
        </w:r>
        <w:r w:rsidR="00CE3BC2">
          <w:rPr>
            <w:noProof/>
            <w:webHidden/>
          </w:rPr>
          <w:t>188</w:t>
        </w:r>
        <w:r w:rsidR="00CE3BC2">
          <w:rPr>
            <w:noProof/>
            <w:webHidden/>
          </w:rPr>
          <w:fldChar w:fldCharType="end"/>
        </w:r>
      </w:hyperlink>
    </w:p>
    <w:p w14:paraId="1AC1B457" w14:textId="3F7A9004" w:rsidR="00CE3BC2" w:rsidRDefault="006A5D4A">
      <w:pPr>
        <w:pStyle w:val="TOC2"/>
        <w:rPr>
          <w:rFonts w:asciiTheme="minorHAnsi" w:eastAsiaTheme="minorEastAsia" w:hAnsiTheme="minorHAnsi" w:cstheme="minorBidi"/>
          <w:noProof/>
          <w:color w:val="auto"/>
          <w:sz w:val="22"/>
          <w:szCs w:val="22"/>
        </w:rPr>
      </w:pPr>
      <w:hyperlink w:anchor="_Toc117406694" w:history="1">
        <w:r w:rsidR="00CE3BC2" w:rsidRPr="00F708CC">
          <w:rPr>
            <w:rStyle w:val="Hyperlink"/>
            <w:noProof/>
          </w:rPr>
          <w:t>1.3</w:t>
        </w:r>
        <w:r w:rsidR="00CE3BC2">
          <w:rPr>
            <w:rFonts w:asciiTheme="minorHAnsi" w:eastAsiaTheme="minorEastAsia" w:hAnsiTheme="minorHAnsi" w:cstheme="minorBidi"/>
            <w:noProof/>
            <w:color w:val="auto"/>
            <w:sz w:val="22"/>
            <w:szCs w:val="22"/>
          </w:rPr>
          <w:tab/>
        </w:r>
        <w:r w:rsidR="00CE3BC2" w:rsidRPr="00F708CC">
          <w:rPr>
            <w:rStyle w:val="Hyperlink"/>
            <w:noProof/>
          </w:rPr>
          <w:t>Budget measures</w:t>
        </w:r>
        <w:r w:rsidR="00CE3BC2">
          <w:rPr>
            <w:noProof/>
            <w:webHidden/>
          </w:rPr>
          <w:tab/>
        </w:r>
        <w:r w:rsidR="00CE3BC2">
          <w:rPr>
            <w:noProof/>
            <w:webHidden/>
          </w:rPr>
          <w:fldChar w:fldCharType="begin"/>
        </w:r>
        <w:r w:rsidR="00CE3BC2">
          <w:rPr>
            <w:noProof/>
            <w:webHidden/>
          </w:rPr>
          <w:instrText xml:space="preserve"> PAGEREF _Toc117406694 \h </w:instrText>
        </w:r>
        <w:r w:rsidR="00CE3BC2">
          <w:rPr>
            <w:noProof/>
            <w:webHidden/>
          </w:rPr>
        </w:r>
        <w:r w:rsidR="00CE3BC2">
          <w:rPr>
            <w:noProof/>
            <w:webHidden/>
          </w:rPr>
          <w:fldChar w:fldCharType="separate"/>
        </w:r>
        <w:r w:rsidR="00CE3BC2">
          <w:rPr>
            <w:noProof/>
            <w:webHidden/>
          </w:rPr>
          <w:t>189</w:t>
        </w:r>
        <w:r w:rsidR="00CE3BC2">
          <w:rPr>
            <w:noProof/>
            <w:webHidden/>
          </w:rPr>
          <w:fldChar w:fldCharType="end"/>
        </w:r>
      </w:hyperlink>
    </w:p>
    <w:p w14:paraId="14301B9E" w14:textId="5F26C64C" w:rsidR="00CE3BC2" w:rsidRDefault="006A5D4A">
      <w:pPr>
        <w:pStyle w:val="TOC1"/>
        <w:rPr>
          <w:rFonts w:asciiTheme="minorHAnsi" w:eastAsiaTheme="minorEastAsia" w:hAnsiTheme="minorHAnsi" w:cstheme="minorBidi"/>
          <w:b w:val="0"/>
          <w:color w:val="auto"/>
          <w:sz w:val="22"/>
          <w:szCs w:val="22"/>
        </w:rPr>
      </w:pPr>
      <w:hyperlink w:anchor="_Toc117406695" w:history="1">
        <w:r w:rsidR="00CE3BC2" w:rsidRPr="00F708CC">
          <w:rPr>
            <w:rStyle w:val="Hyperlink"/>
          </w:rPr>
          <w:t>Section 2: Outcomes and planned performance</w:t>
        </w:r>
        <w:r w:rsidR="00CE3BC2">
          <w:rPr>
            <w:webHidden/>
          </w:rPr>
          <w:tab/>
        </w:r>
        <w:r w:rsidR="00CE3BC2">
          <w:rPr>
            <w:webHidden/>
          </w:rPr>
          <w:fldChar w:fldCharType="begin"/>
        </w:r>
        <w:r w:rsidR="00CE3BC2">
          <w:rPr>
            <w:webHidden/>
          </w:rPr>
          <w:instrText xml:space="preserve"> PAGEREF _Toc117406695 \h </w:instrText>
        </w:r>
        <w:r w:rsidR="00CE3BC2">
          <w:rPr>
            <w:webHidden/>
          </w:rPr>
        </w:r>
        <w:r w:rsidR="00CE3BC2">
          <w:rPr>
            <w:webHidden/>
          </w:rPr>
          <w:fldChar w:fldCharType="separate"/>
        </w:r>
        <w:r w:rsidR="00CE3BC2">
          <w:rPr>
            <w:webHidden/>
          </w:rPr>
          <w:t>190</w:t>
        </w:r>
        <w:r w:rsidR="00CE3BC2">
          <w:rPr>
            <w:webHidden/>
          </w:rPr>
          <w:fldChar w:fldCharType="end"/>
        </w:r>
      </w:hyperlink>
    </w:p>
    <w:p w14:paraId="14A0293F" w14:textId="7C06F9D3" w:rsidR="00CE3BC2" w:rsidRDefault="006A5D4A">
      <w:pPr>
        <w:pStyle w:val="TOC2"/>
        <w:rPr>
          <w:rFonts w:asciiTheme="minorHAnsi" w:eastAsiaTheme="minorEastAsia" w:hAnsiTheme="minorHAnsi" w:cstheme="minorBidi"/>
          <w:noProof/>
          <w:color w:val="auto"/>
          <w:sz w:val="22"/>
          <w:szCs w:val="22"/>
        </w:rPr>
      </w:pPr>
      <w:hyperlink w:anchor="_Toc117406696" w:history="1">
        <w:r w:rsidR="00CE3BC2" w:rsidRPr="00F708CC">
          <w:rPr>
            <w:rStyle w:val="Hyperlink"/>
            <w:noProof/>
          </w:rPr>
          <w:t>2.1</w:t>
        </w:r>
        <w:r w:rsidR="00CE3BC2">
          <w:rPr>
            <w:rFonts w:asciiTheme="minorHAnsi" w:eastAsiaTheme="minorEastAsia" w:hAnsiTheme="minorHAnsi" w:cstheme="minorBidi"/>
            <w:noProof/>
            <w:color w:val="auto"/>
            <w:sz w:val="22"/>
            <w:szCs w:val="22"/>
          </w:rPr>
          <w:tab/>
        </w:r>
        <w:r w:rsidR="00CE3BC2" w:rsidRPr="00F708CC">
          <w:rPr>
            <w:rStyle w:val="Hyperlink"/>
            <w:noProof/>
          </w:rPr>
          <w:t>Budgeted expenses and performance</w:t>
        </w:r>
        <w:r w:rsidR="00CE3BC2">
          <w:rPr>
            <w:noProof/>
            <w:webHidden/>
          </w:rPr>
          <w:tab/>
        </w:r>
        <w:r w:rsidR="00CE3BC2">
          <w:rPr>
            <w:noProof/>
            <w:webHidden/>
          </w:rPr>
          <w:fldChar w:fldCharType="begin"/>
        </w:r>
        <w:r w:rsidR="00CE3BC2">
          <w:rPr>
            <w:noProof/>
            <w:webHidden/>
          </w:rPr>
          <w:instrText xml:space="preserve"> PAGEREF _Toc117406696 \h </w:instrText>
        </w:r>
        <w:r w:rsidR="00CE3BC2">
          <w:rPr>
            <w:noProof/>
            <w:webHidden/>
          </w:rPr>
        </w:r>
        <w:r w:rsidR="00CE3BC2">
          <w:rPr>
            <w:noProof/>
            <w:webHidden/>
          </w:rPr>
          <w:fldChar w:fldCharType="separate"/>
        </w:r>
        <w:r w:rsidR="00CE3BC2">
          <w:rPr>
            <w:noProof/>
            <w:webHidden/>
          </w:rPr>
          <w:t>190</w:t>
        </w:r>
        <w:r w:rsidR="00CE3BC2">
          <w:rPr>
            <w:noProof/>
            <w:webHidden/>
          </w:rPr>
          <w:fldChar w:fldCharType="end"/>
        </w:r>
      </w:hyperlink>
    </w:p>
    <w:p w14:paraId="5F5B117E" w14:textId="06E2ACF8" w:rsidR="00CE3BC2" w:rsidRDefault="006A5D4A">
      <w:pPr>
        <w:pStyle w:val="TOC1"/>
        <w:rPr>
          <w:rFonts w:asciiTheme="minorHAnsi" w:eastAsiaTheme="minorEastAsia" w:hAnsiTheme="minorHAnsi" w:cstheme="minorBidi"/>
          <w:b w:val="0"/>
          <w:color w:val="auto"/>
          <w:sz w:val="22"/>
          <w:szCs w:val="22"/>
        </w:rPr>
      </w:pPr>
      <w:hyperlink w:anchor="_Toc117406697" w:history="1">
        <w:r w:rsidR="00CE3BC2" w:rsidRPr="00F708CC">
          <w:rPr>
            <w:rStyle w:val="Hyperlink"/>
          </w:rPr>
          <w:t>Section 3: Budgeted financial statements</w:t>
        </w:r>
        <w:r w:rsidR="00CE3BC2">
          <w:rPr>
            <w:webHidden/>
          </w:rPr>
          <w:tab/>
        </w:r>
        <w:r w:rsidR="00CE3BC2">
          <w:rPr>
            <w:webHidden/>
          </w:rPr>
          <w:fldChar w:fldCharType="begin"/>
        </w:r>
        <w:r w:rsidR="00CE3BC2">
          <w:rPr>
            <w:webHidden/>
          </w:rPr>
          <w:instrText xml:space="preserve"> PAGEREF _Toc117406697 \h </w:instrText>
        </w:r>
        <w:r w:rsidR="00CE3BC2">
          <w:rPr>
            <w:webHidden/>
          </w:rPr>
        </w:r>
        <w:r w:rsidR="00CE3BC2">
          <w:rPr>
            <w:webHidden/>
          </w:rPr>
          <w:fldChar w:fldCharType="separate"/>
        </w:r>
        <w:r w:rsidR="00CE3BC2">
          <w:rPr>
            <w:webHidden/>
          </w:rPr>
          <w:t>196</w:t>
        </w:r>
        <w:r w:rsidR="00CE3BC2">
          <w:rPr>
            <w:webHidden/>
          </w:rPr>
          <w:fldChar w:fldCharType="end"/>
        </w:r>
      </w:hyperlink>
    </w:p>
    <w:p w14:paraId="43BAE86D" w14:textId="5EFDC37A" w:rsidR="00CE3BC2" w:rsidRDefault="006A5D4A">
      <w:pPr>
        <w:pStyle w:val="TOC2"/>
        <w:rPr>
          <w:rFonts w:asciiTheme="minorHAnsi" w:eastAsiaTheme="minorEastAsia" w:hAnsiTheme="minorHAnsi" w:cstheme="minorBidi"/>
          <w:noProof/>
          <w:color w:val="auto"/>
          <w:sz w:val="22"/>
          <w:szCs w:val="22"/>
        </w:rPr>
      </w:pPr>
      <w:hyperlink w:anchor="_Toc117406698" w:history="1">
        <w:r w:rsidR="00CE3BC2" w:rsidRPr="00F708CC">
          <w:rPr>
            <w:rStyle w:val="Hyperlink"/>
            <w:noProof/>
          </w:rPr>
          <w:t>3.1</w:t>
        </w:r>
        <w:r w:rsidR="00CE3BC2">
          <w:rPr>
            <w:rFonts w:asciiTheme="minorHAnsi" w:eastAsiaTheme="minorEastAsia" w:hAnsiTheme="minorHAnsi" w:cstheme="minorBidi"/>
            <w:noProof/>
            <w:color w:val="auto"/>
            <w:sz w:val="22"/>
            <w:szCs w:val="22"/>
          </w:rPr>
          <w:tab/>
        </w:r>
        <w:r w:rsidR="00CE3BC2" w:rsidRPr="00F708CC">
          <w:rPr>
            <w:rStyle w:val="Hyperlink"/>
            <w:noProof/>
          </w:rPr>
          <w:t>Budgeted financial statements</w:t>
        </w:r>
        <w:r w:rsidR="00CE3BC2">
          <w:rPr>
            <w:noProof/>
            <w:webHidden/>
          </w:rPr>
          <w:tab/>
        </w:r>
        <w:r w:rsidR="00CE3BC2">
          <w:rPr>
            <w:noProof/>
            <w:webHidden/>
          </w:rPr>
          <w:fldChar w:fldCharType="begin"/>
        </w:r>
        <w:r w:rsidR="00CE3BC2">
          <w:rPr>
            <w:noProof/>
            <w:webHidden/>
          </w:rPr>
          <w:instrText xml:space="preserve"> PAGEREF _Toc117406698 \h </w:instrText>
        </w:r>
        <w:r w:rsidR="00CE3BC2">
          <w:rPr>
            <w:noProof/>
            <w:webHidden/>
          </w:rPr>
        </w:r>
        <w:r w:rsidR="00CE3BC2">
          <w:rPr>
            <w:noProof/>
            <w:webHidden/>
          </w:rPr>
          <w:fldChar w:fldCharType="separate"/>
        </w:r>
        <w:r w:rsidR="00CE3BC2">
          <w:rPr>
            <w:noProof/>
            <w:webHidden/>
          </w:rPr>
          <w:t>196</w:t>
        </w:r>
        <w:r w:rsidR="00CE3BC2">
          <w:rPr>
            <w:noProof/>
            <w:webHidden/>
          </w:rPr>
          <w:fldChar w:fldCharType="end"/>
        </w:r>
      </w:hyperlink>
    </w:p>
    <w:p w14:paraId="74737111" w14:textId="5234C001" w:rsidR="00CE3BC2" w:rsidRDefault="006A5D4A">
      <w:pPr>
        <w:pStyle w:val="TOC2"/>
        <w:rPr>
          <w:rFonts w:asciiTheme="minorHAnsi" w:eastAsiaTheme="minorEastAsia" w:hAnsiTheme="minorHAnsi" w:cstheme="minorBidi"/>
          <w:noProof/>
          <w:color w:val="auto"/>
          <w:sz w:val="22"/>
          <w:szCs w:val="22"/>
        </w:rPr>
      </w:pPr>
      <w:hyperlink w:anchor="_Toc117406699" w:history="1">
        <w:r w:rsidR="00CE3BC2" w:rsidRPr="00F708CC">
          <w:rPr>
            <w:rStyle w:val="Hyperlink"/>
            <w:noProof/>
          </w:rPr>
          <w:t>3.2</w:t>
        </w:r>
        <w:r w:rsidR="00CE3BC2">
          <w:rPr>
            <w:rFonts w:asciiTheme="minorHAnsi" w:eastAsiaTheme="minorEastAsia" w:hAnsiTheme="minorHAnsi" w:cstheme="minorBidi"/>
            <w:noProof/>
            <w:color w:val="auto"/>
            <w:sz w:val="22"/>
            <w:szCs w:val="22"/>
          </w:rPr>
          <w:tab/>
        </w:r>
        <w:r w:rsidR="00CE3BC2" w:rsidRPr="00F708CC">
          <w:rPr>
            <w:rStyle w:val="Hyperlink"/>
            <w:noProof/>
          </w:rPr>
          <w:t>Budgeted financial statements tables</w:t>
        </w:r>
        <w:r w:rsidR="00CE3BC2">
          <w:rPr>
            <w:noProof/>
            <w:webHidden/>
          </w:rPr>
          <w:tab/>
        </w:r>
        <w:r w:rsidR="00CE3BC2">
          <w:rPr>
            <w:noProof/>
            <w:webHidden/>
          </w:rPr>
          <w:fldChar w:fldCharType="begin"/>
        </w:r>
        <w:r w:rsidR="00CE3BC2">
          <w:rPr>
            <w:noProof/>
            <w:webHidden/>
          </w:rPr>
          <w:instrText xml:space="preserve"> PAGEREF _Toc117406699 \h </w:instrText>
        </w:r>
        <w:r w:rsidR="00CE3BC2">
          <w:rPr>
            <w:noProof/>
            <w:webHidden/>
          </w:rPr>
        </w:r>
        <w:r w:rsidR="00CE3BC2">
          <w:rPr>
            <w:noProof/>
            <w:webHidden/>
          </w:rPr>
          <w:fldChar w:fldCharType="separate"/>
        </w:r>
        <w:r w:rsidR="00CE3BC2">
          <w:rPr>
            <w:noProof/>
            <w:webHidden/>
          </w:rPr>
          <w:t>197</w:t>
        </w:r>
        <w:r w:rsidR="00CE3BC2">
          <w:rPr>
            <w:noProof/>
            <w:webHidden/>
          </w:rPr>
          <w:fldChar w:fldCharType="end"/>
        </w:r>
      </w:hyperlink>
    </w:p>
    <w:p w14:paraId="6AC47B5B" w14:textId="5429C222" w:rsidR="0024539A" w:rsidRPr="00E63E43" w:rsidRDefault="00913388" w:rsidP="00913388">
      <w:pPr>
        <w:rPr>
          <w:rFonts w:ascii="Arial" w:hAnsi="Arial" w:cs="Arial"/>
          <w:b/>
          <w:color w:val="auto"/>
        </w:rPr>
        <w:sectPr w:rsidR="0024539A" w:rsidRPr="00E63E43" w:rsidSect="00357948">
          <w:headerReference w:type="even" r:id="rId14"/>
          <w:headerReference w:type="default" r:id="rId15"/>
          <w:footerReference w:type="default" r:id="rId16"/>
          <w:headerReference w:type="first" r:id="rId17"/>
          <w:pgSz w:w="11906" w:h="16838"/>
          <w:pgMar w:top="2466" w:right="2268" w:bottom="2126" w:left="2268" w:header="1899" w:footer="1899" w:gutter="0"/>
          <w:cols w:space="708"/>
          <w:docGrid w:linePitch="360"/>
        </w:sectPr>
      </w:pPr>
      <w:r w:rsidRPr="00E63E43">
        <w:rPr>
          <w:rFonts w:ascii="Arial" w:hAnsi="Arial" w:cs="Arial"/>
          <w:b/>
          <w:color w:val="auto"/>
        </w:rPr>
        <w:fldChar w:fldCharType="end"/>
      </w:r>
    </w:p>
    <w:p w14:paraId="0EBD36FE" w14:textId="47668271" w:rsidR="0024539A" w:rsidRPr="00E63E43" w:rsidRDefault="0024539A" w:rsidP="00FB014E">
      <w:pPr>
        <w:pStyle w:val="Heading2"/>
      </w:pPr>
      <w:bookmarkStart w:id="0" w:name="_Toc117406691"/>
      <w:r w:rsidRPr="00E63E43">
        <w:lastRenderedPageBreak/>
        <w:t xml:space="preserve">Section 1: Entity </w:t>
      </w:r>
      <w:r w:rsidR="00FB014E">
        <w:t>o</w:t>
      </w:r>
      <w:r w:rsidRPr="00E63E43">
        <w:t xml:space="preserve">verview and </w:t>
      </w:r>
      <w:r w:rsidR="00FB014E">
        <w:t>r</w:t>
      </w:r>
      <w:r w:rsidRPr="00E63E43">
        <w:t>esources</w:t>
      </w:r>
      <w:bookmarkEnd w:id="0"/>
    </w:p>
    <w:p w14:paraId="0BF3552A" w14:textId="5B29B1A3" w:rsidR="009B628A" w:rsidRPr="007F69A3" w:rsidRDefault="0024539A" w:rsidP="00183C35">
      <w:pPr>
        <w:pStyle w:val="Heading3"/>
      </w:pPr>
      <w:bookmarkStart w:id="1" w:name="_Toc117406692"/>
      <w:r w:rsidRPr="00E63E43">
        <w:t>1.1</w:t>
      </w:r>
      <w:r w:rsidRPr="00E63E43">
        <w:tab/>
        <w:t xml:space="preserve">Strategic </w:t>
      </w:r>
      <w:r w:rsidR="00183C35">
        <w:t>d</w:t>
      </w:r>
      <w:r w:rsidRPr="00E63E43">
        <w:t xml:space="preserve">irection </w:t>
      </w:r>
      <w:r w:rsidR="00183C35">
        <w:t>s</w:t>
      </w:r>
      <w:r w:rsidRPr="00E63E43">
        <w:t>tatement</w:t>
      </w:r>
      <w:r w:rsidRPr="00E63E43">
        <w:rPr>
          <w:vertAlign w:val="superscript"/>
        </w:rPr>
        <w:footnoteReference w:id="1"/>
      </w:r>
      <w:bookmarkEnd w:id="1"/>
    </w:p>
    <w:p w14:paraId="1116EA27" w14:textId="3C512EB9" w:rsidR="009B628A" w:rsidRDefault="001D0082" w:rsidP="004652BF">
      <w:pPr>
        <w:spacing w:after="80"/>
      </w:pPr>
      <w:r>
        <w:rPr>
          <w:color w:val="auto"/>
        </w:rPr>
        <w:t xml:space="preserve">The </w:t>
      </w:r>
      <w:r w:rsidR="009B628A" w:rsidRPr="00E63E43">
        <w:rPr>
          <w:color w:val="auto"/>
        </w:rPr>
        <w:t>Australian Institute of Health and Welfare (AIHW)</w:t>
      </w:r>
      <w:r w:rsidR="009B628A">
        <w:rPr>
          <w:color w:val="auto"/>
        </w:rPr>
        <w:t xml:space="preserve"> </w:t>
      </w:r>
      <w:r w:rsidR="009B628A" w:rsidRPr="007B7381">
        <w:rPr>
          <w:color w:val="000000" w:themeColor="text1"/>
        </w:rPr>
        <w:t>has built a reputation over 30</w:t>
      </w:r>
      <w:r w:rsidR="009E4556">
        <w:rPr>
          <w:color w:val="000000" w:themeColor="text1"/>
        </w:rPr>
        <w:t> </w:t>
      </w:r>
      <w:r w:rsidR="009B628A" w:rsidRPr="007B7381">
        <w:rPr>
          <w:color w:val="000000" w:themeColor="text1"/>
        </w:rPr>
        <w:t>years in collecting health and welfare data and turning it into authoritative evidence to support better policy and service delivery decisions by ministers, gove</w:t>
      </w:r>
      <w:r w:rsidR="00C7013A">
        <w:rPr>
          <w:color w:val="000000" w:themeColor="text1"/>
        </w:rPr>
        <w:t xml:space="preserve">rnment agencies and researchers. </w:t>
      </w:r>
      <w:r w:rsidR="009B628A">
        <w:rPr>
          <w:color w:val="auto"/>
        </w:rPr>
        <w:t>D</w:t>
      </w:r>
      <w:r w:rsidR="009B628A" w:rsidRPr="00E356B2">
        <w:t xml:space="preserve">uring this period, we have earned the respect and trust of our stakeholders as an independent and reliable information management agency that has well established and robust data governance arrangements, a rigorous privacy regime and strict confidentiality protocols. </w:t>
      </w:r>
    </w:p>
    <w:p w14:paraId="37218EFE" w14:textId="32EBD74C" w:rsidR="009B628A" w:rsidRPr="007B7381" w:rsidRDefault="009B628A" w:rsidP="004652BF">
      <w:pPr>
        <w:pStyle w:val="AIHWbodytext"/>
        <w:spacing w:after="80"/>
        <w:rPr>
          <w:rFonts w:ascii="Book Antiqua" w:hAnsi="Book Antiqua"/>
          <w:color w:val="000000" w:themeColor="text1"/>
          <w:sz w:val="20"/>
          <w:lang w:eastAsia="en-AU"/>
        </w:rPr>
      </w:pPr>
      <w:r w:rsidRPr="007B7381">
        <w:rPr>
          <w:rFonts w:ascii="Book Antiqua" w:hAnsi="Book Antiqua"/>
          <w:color w:val="000000" w:themeColor="text1"/>
          <w:sz w:val="20"/>
          <w:lang w:eastAsia="en-AU"/>
        </w:rPr>
        <w:t xml:space="preserve">Our </w:t>
      </w:r>
      <w:r w:rsidRPr="007B7381">
        <w:rPr>
          <w:rFonts w:ascii="Book Antiqua" w:hAnsi="Book Antiqua"/>
          <w:i/>
          <w:color w:val="000000" w:themeColor="text1"/>
          <w:sz w:val="20"/>
          <w:lang w:eastAsia="en-AU"/>
        </w:rPr>
        <w:t xml:space="preserve">Strategic </w:t>
      </w:r>
      <w:r w:rsidR="0099753B">
        <w:rPr>
          <w:rFonts w:ascii="Book Antiqua" w:hAnsi="Book Antiqua"/>
          <w:i/>
          <w:color w:val="000000" w:themeColor="text1"/>
          <w:sz w:val="20"/>
          <w:lang w:eastAsia="en-AU"/>
        </w:rPr>
        <w:t>d</w:t>
      </w:r>
      <w:r w:rsidRPr="007B7381">
        <w:rPr>
          <w:rFonts w:ascii="Book Antiqua" w:hAnsi="Book Antiqua"/>
          <w:i/>
          <w:color w:val="000000" w:themeColor="text1"/>
          <w:sz w:val="20"/>
          <w:lang w:eastAsia="en-AU"/>
        </w:rPr>
        <w:t>irections 2022–2026</w:t>
      </w:r>
      <w:r w:rsidRPr="007B7381">
        <w:rPr>
          <w:rFonts w:ascii="Book Antiqua" w:hAnsi="Book Antiqua"/>
          <w:color w:val="000000" w:themeColor="text1"/>
          <w:sz w:val="20"/>
          <w:lang w:eastAsia="en-AU"/>
        </w:rPr>
        <w:t xml:space="preserve"> sets the foundation for our plan for the future of the AIHW. It articulates our </w:t>
      </w:r>
      <w:r>
        <w:rPr>
          <w:rFonts w:ascii="Book Antiqua" w:hAnsi="Book Antiqua"/>
          <w:color w:val="000000" w:themeColor="text1"/>
          <w:sz w:val="20"/>
          <w:lang w:eastAsia="en-AU"/>
        </w:rPr>
        <w:t xml:space="preserve">vision, </w:t>
      </w:r>
      <w:r w:rsidRPr="007B7381">
        <w:rPr>
          <w:rFonts w:ascii="Book Antiqua" w:hAnsi="Book Antiqua"/>
          <w:color w:val="000000" w:themeColor="text1"/>
          <w:sz w:val="20"/>
          <w:lang w:eastAsia="en-AU"/>
        </w:rPr>
        <w:t xml:space="preserve">confirms our </w:t>
      </w:r>
      <w:r>
        <w:rPr>
          <w:rFonts w:ascii="Book Antiqua" w:hAnsi="Book Antiqua"/>
          <w:color w:val="000000" w:themeColor="text1"/>
          <w:sz w:val="20"/>
          <w:lang w:eastAsia="en-AU"/>
        </w:rPr>
        <w:t xml:space="preserve">purpose and highlights </w:t>
      </w:r>
      <w:r w:rsidR="00F01B99">
        <w:rPr>
          <w:rFonts w:ascii="Book Antiqua" w:hAnsi="Book Antiqua"/>
          <w:color w:val="000000" w:themeColor="text1"/>
          <w:sz w:val="20"/>
          <w:lang w:eastAsia="en-AU"/>
        </w:rPr>
        <w:t>the</w:t>
      </w:r>
      <w:r>
        <w:rPr>
          <w:rFonts w:ascii="Book Antiqua" w:hAnsi="Book Antiqua"/>
          <w:color w:val="000000" w:themeColor="text1"/>
          <w:sz w:val="20"/>
          <w:lang w:eastAsia="en-AU"/>
        </w:rPr>
        <w:t xml:space="preserve"> strategic g</w:t>
      </w:r>
      <w:r w:rsidRPr="007B7381">
        <w:rPr>
          <w:rFonts w:ascii="Book Antiqua" w:hAnsi="Book Antiqua"/>
          <w:color w:val="000000" w:themeColor="text1"/>
          <w:sz w:val="20"/>
          <w:lang w:eastAsia="en-AU"/>
        </w:rPr>
        <w:t xml:space="preserve">oals that will guide our work. As such, elements from our </w:t>
      </w:r>
      <w:r w:rsidRPr="007B7381">
        <w:rPr>
          <w:rFonts w:ascii="Book Antiqua" w:hAnsi="Book Antiqua"/>
          <w:i/>
          <w:color w:val="000000" w:themeColor="text1"/>
          <w:sz w:val="20"/>
          <w:lang w:eastAsia="en-AU"/>
        </w:rPr>
        <w:t xml:space="preserve">Strategic </w:t>
      </w:r>
      <w:r w:rsidR="0099753B">
        <w:rPr>
          <w:rFonts w:ascii="Book Antiqua" w:hAnsi="Book Antiqua"/>
          <w:i/>
          <w:color w:val="000000" w:themeColor="text1"/>
          <w:sz w:val="20"/>
          <w:lang w:eastAsia="en-AU"/>
        </w:rPr>
        <w:t>d</w:t>
      </w:r>
      <w:r w:rsidRPr="007B7381">
        <w:rPr>
          <w:rFonts w:ascii="Book Antiqua" w:hAnsi="Book Antiqua"/>
          <w:i/>
          <w:color w:val="000000" w:themeColor="text1"/>
          <w:sz w:val="20"/>
          <w:lang w:eastAsia="en-AU"/>
        </w:rPr>
        <w:t>irections 2022–2026</w:t>
      </w:r>
      <w:r w:rsidRPr="007B7381">
        <w:rPr>
          <w:rFonts w:ascii="Book Antiqua" w:hAnsi="Book Antiqua"/>
          <w:color w:val="000000" w:themeColor="text1"/>
          <w:sz w:val="20"/>
          <w:lang w:eastAsia="en-AU"/>
        </w:rPr>
        <w:t xml:space="preserve"> will be central to our Portfolio Budget Statements, Corporate Plans, Priority Actions, Risk Management Frameworks and Annual </w:t>
      </w:r>
      <w:r w:rsidR="004652BF">
        <w:rPr>
          <w:rFonts w:ascii="Book Antiqua" w:hAnsi="Book Antiqua"/>
          <w:color w:val="000000" w:themeColor="text1"/>
          <w:sz w:val="20"/>
          <w:lang w:eastAsia="en-AU"/>
        </w:rPr>
        <w:t>R</w:t>
      </w:r>
      <w:r w:rsidRPr="007B7381">
        <w:rPr>
          <w:rFonts w:ascii="Book Antiqua" w:hAnsi="Book Antiqua"/>
          <w:color w:val="000000" w:themeColor="text1"/>
          <w:sz w:val="20"/>
          <w:lang w:eastAsia="en-AU"/>
        </w:rPr>
        <w:t xml:space="preserve">eports. </w:t>
      </w:r>
    </w:p>
    <w:p w14:paraId="1D77824A" w14:textId="647FB7B0" w:rsidR="009B628A" w:rsidRPr="00BF1E28" w:rsidRDefault="009B628A" w:rsidP="004652BF">
      <w:pPr>
        <w:spacing w:after="80"/>
        <w:rPr>
          <w:color w:val="auto"/>
          <w:szCs w:val="19"/>
        </w:rPr>
      </w:pPr>
      <w:r w:rsidRPr="00E01814">
        <w:rPr>
          <w:color w:val="auto"/>
        </w:rPr>
        <w:t>The AIHW is committed to making data and information available in response to requests from researchers, non-government organisations, frontline healthcare providers, journalists, educators, consumers and government policymakers</w:t>
      </w:r>
      <w:r w:rsidR="004652BF">
        <w:rPr>
          <w:color w:val="auto"/>
        </w:rPr>
        <w:t>,</w:t>
      </w:r>
      <w:r w:rsidRPr="00E01814">
        <w:rPr>
          <w:color w:val="auto"/>
        </w:rPr>
        <w:t xml:space="preserve"> with strict privacy, confidentiality and security requirements.</w:t>
      </w:r>
      <w:r w:rsidR="004652BF">
        <w:rPr>
          <w:color w:val="auto"/>
        </w:rPr>
        <w:t xml:space="preserve"> </w:t>
      </w:r>
      <w:r w:rsidRPr="00E01814">
        <w:rPr>
          <w:color w:val="auto"/>
        </w:rPr>
        <w:t>The AIHW is an independent Commonwealth government entity.</w:t>
      </w:r>
      <w:r>
        <w:rPr>
          <w:color w:val="auto"/>
        </w:rPr>
        <w:t xml:space="preserve"> T</w:t>
      </w:r>
      <w:r w:rsidRPr="00E01814">
        <w:rPr>
          <w:color w:val="auto"/>
        </w:rPr>
        <w:t>he</w:t>
      </w:r>
      <w:r>
        <w:rPr>
          <w:color w:val="auto"/>
        </w:rPr>
        <w:t xml:space="preserve"> </w:t>
      </w:r>
      <w:r w:rsidRPr="00E01814">
        <w:rPr>
          <w:color w:val="auto"/>
        </w:rPr>
        <w:t xml:space="preserve">independence of the AIHW is central to maintaining ready acceptance of the accuracy and relevance of the evidence base </w:t>
      </w:r>
      <w:r w:rsidRPr="00BF1E28">
        <w:rPr>
          <w:color w:val="auto"/>
          <w:szCs w:val="19"/>
        </w:rPr>
        <w:t>developed.</w:t>
      </w:r>
    </w:p>
    <w:p w14:paraId="2BB94ADC" w14:textId="0BE43C58" w:rsidR="000B4810" w:rsidRPr="00BF1E28" w:rsidRDefault="000B4810" w:rsidP="000B4810">
      <w:pPr>
        <w:spacing w:after="80"/>
        <w:rPr>
          <w:color w:val="auto"/>
          <w:szCs w:val="19"/>
        </w:rPr>
      </w:pPr>
      <w:r w:rsidRPr="00BF1E28">
        <w:rPr>
          <w:color w:val="auto"/>
          <w:szCs w:val="19"/>
        </w:rPr>
        <w:t xml:space="preserve">In </w:t>
      </w:r>
      <w:r w:rsidRPr="00BF1E28">
        <w:rPr>
          <w:color w:val="000000" w:themeColor="text1"/>
          <w:szCs w:val="19"/>
        </w:rPr>
        <w:t>2022–23,</w:t>
      </w:r>
      <w:r w:rsidRPr="00BF1E28">
        <w:rPr>
          <w:color w:val="auto"/>
          <w:szCs w:val="19"/>
        </w:rPr>
        <w:t xml:space="preserve"> the AIHW will focus on </w:t>
      </w:r>
      <w:r w:rsidRPr="00BF1E28">
        <w:rPr>
          <w:color w:val="000000" w:themeColor="text1"/>
          <w:szCs w:val="19"/>
        </w:rPr>
        <w:t>4</w:t>
      </w:r>
      <w:r w:rsidRPr="00BF1E28">
        <w:rPr>
          <w:color w:val="7030A0"/>
          <w:szCs w:val="19"/>
        </w:rPr>
        <w:t xml:space="preserve"> </w:t>
      </w:r>
      <w:r w:rsidRPr="00BF1E28">
        <w:rPr>
          <w:color w:val="auto"/>
          <w:szCs w:val="19"/>
        </w:rPr>
        <w:t>strategic goals:</w:t>
      </w:r>
    </w:p>
    <w:p w14:paraId="7E79B089" w14:textId="77777777" w:rsidR="000B4810" w:rsidRPr="00BF1E28" w:rsidRDefault="000B4810" w:rsidP="000B4810">
      <w:pPr>
        <w:pStyle w:val="ListNumber"/>
        <w:numPr>
          <w:ilvl w:val="0"/>
          <w:numId w:val="15"/>
        </w:numPr>
        <w:spacing w:before="40" w:after="40" w:line="200" w:lineRule="atLeast"/>
        <w:rPr>
          <w:rFonts w:ascii="Book Antiqua" w:hAnsi="Book Antiqua" w:cs="Arial"/>
          <w:color w:val="000000" w:themeColor="text1"/>
          <w:sz w:val="19"/>
          <w:szCs w:val="19"/>
        </w:rPr>
      </w:pPr>
      <w:r w:rsidRPr="00BF1E28">
        <w:rPr>
          <w:rFonts w:ascii="Book Antiqua" w:hAnsi="Book Antiqua" w:cs="Arial"/>
          <w:color w:val="000000" w:themeColor="text1"/>
          <w:sz w:val="19"/>
          <w:szCs w:val="19"/>
        </w:rPr>
        <w:t>A trusted leader in health and welfare data and analysis</w:t>
      </w:r>
    </w:p>
    <w:p w14:paraId="1D767713" w14:textId="77777777" w:rsidR="000B4810" w:rsidRPr="00BF1E28" w:rsidRDefault="000B4810" w:rsidP="000B4810">
      <w:pPr>
        <w:pStyle w:val="ListNumber"/>
        <w:numPr>
          <w:ilvl w:val="0"/>
          <w:numId w:val="0"/>
        </w:numPr>
        <w:spacing w:before="40" w:after="40" w:line="200" w:lineRule="atLeast"/>
        <w:ind w:left="720" w:hanging="360"/>
        <w:rPr>
          <w:rFonts w:ascii="Book Antiqua" w:hAnsi="Book Antiqua" w:cs="Arial"/>
          <w:color w:val="000000" w:themeColor="text1"/>
          <w:sz w:val="19"/>
          <w:szCs w:val="19"/>
        </w:rPr>
      </w:pPr>
      <w:r w:rsidRPr="00BF1E28">
        <w:rPr>
          <w:rFonts w:ascii="Book Antiqua" w:hAnsi="Book Antiqua" w:cs="Arial"/>
          <w:color w:val="000000" w:themeColor="text1"/>
          <w:sz w:val="19"/>
          <w:szCs w:val="19"/>
        </w:rPr>
        <w:t>To achieve this we will:</w:t>
      </w:r>
    </w:p>
    <w:p w14:paraId="64C2DEC1" w14:textId="77777777" w:rsidR="000B4810" w:rsidRPr="00BF1E28" w:rsidRDefault="000B4810" w:rsidP="000B4810">
      <w:pPr>
        <w:pStyle w:val="ListNumber"/>
        <w:numPr>
          <w:ilvl w:val="1"/>
          <w:numId w:val="16"/>
        </w:numPr>
        <w:spacing w:before="40" w:after="40" w:line="200" w:lineRule="atLeast"/>
        <w:rPr>
          <w:rFonts w:ascii="Book Antiqua" w:hAnsi="Book Antiqua" w:cs="Arial"/>
          <w:color w:val="000000" w:themeColor="text1"/>
          <w:sz w:val="19"/>
          <w:szCs w:val="19"/>
        </w:rPr>
      </w:pPr>
      <w:r w:rsidRPr="00BF1E28">
        <w:rPr>
          <w:rFonts w:ascii="Book Antiqua" w:hAnsi="Book Antiqua" w:cs="Arial"/>
          <w:color w:val="000000" w:themeColor="text1"/>
          <w:sz w:val="19"/>
          <w:szCs w:val="19"/>
        </w:rPr>
        <w:t>Proactively inform and respond to emerging policy issues</w:t>
      </w:r>
    </w:p>
    <w:p w14:paraId="22E87D90" w14:textId="77777777" w:rsidR="000B4810" w:rsidRPr="00BF1E28" w:rsidRDefault="000B4810" w:rsidP="000B4810">
      <w:pPr>
        <w:pStyle w:val="ListNumber"/>
        <w:numPr>
          <w:ilvl w:val="1"/>
          <w:numId w:val="16"/>
        </w:numPr>
        <w:spacing w:before="40" w:after="40" w:line="200" w:lineRule="atLeast"/>
        <w:rPr>
          <w:rFonts w:ascii="Book Antiqua" w:hAnsi="Book Antiqua" w:cs="Arial"/>
          <w:color w:val="000000" w:themeColor="text1"/>
          <w:sz w:val="19"/>
          <w:szCs w:val="19"/>
        </w:rPr>
      </w:pPr>
      <w:r w:rsidRPr="00BF1E28">
        <w:rPr>
          <w:rFonts w:ascii="Book Antiqua" w:hAnsi="Book Antiqua" w:cs="Arial"/>
          <w:color w:val="000000" w:themeColor="text1"/>
          <w:sz w:val="19"/>
          <w:szCs w:val="19"/>
        </w:rPr>
        <w:t>Build our reputation as an authoritative source of health and welfare data and analysis</w:t>
      </w:r>
    </w:p>
    <w:p w14:paraId="4C25C2EC" w14:textId="77777777" w:rsidR="000B4810" w:rsidRPr="00BF1E28" w:rsidRDefault="000B4810" w:rsidP="000B4810">
      <w:pPr>
        <w:pStyle w:val="ListNumber"/>
        <w:numPr>
          <w:ilvl w:val="1"/>
          <w:numId w:val="16"/>
        </w:numPr>
        <w:spacing w:before="40" w:after="40" w:line="200" w:lineRule="atLeast"/>
        <w:rPr>
          <w:rFonts w:ascii="Book Antiqua" w:hAnsi="Book Antiqua" w:cs="Arial"/>
          <w:color w:val="000000" w:themeColor="text1"/>
          <w:sz w:val="19"/>
          <w:szCs w:val="19"/>
        </w:rPr>
      </w:pPr>
      <w:r w:rsidRPr="00BF1E28">
        <w:rPr>
          <w:rFonts w:ascii="Book Antiqua" w:hAnsi="Book Antiqua" w:cs="Arial"/>
          <w:color w:val="000000" w:themeColor="text1"/>
          <w:sz w:val="19"/>
          <w:szCs w:val="19"/>
        </w:rPr>
        <w:t>Lead the adoption of best practice in data collection, presentation, and analysis</w:t>
      </w:r>
    </w:p>
    <w:p w14:paraId="5FB3A7C2" w14:textId="77777777" w:rsidR="000B4810" w:rsidRPr="00BF1E28" w:rsidRDefault="000B4810" w:rsidP="000B4810">
      <w:pPr>
        <w:pStyle w:val="ListNumber"/>
        <w:numPr>
          <w:ilvl w:val="0"/>
          <w:numId w:val="16"/>
        </w:numPr>
        <w:spacing w:before="40" w:after="40" w:line="200" w:lineRule="atLeast"/>
        <w:rPr>
          <w:rFonts w:ascii="Book Antiqua" w:hAnsi="Book Antiqua" w:cs="Arial"/>
          <w:color w:val="000000" w:themeColor="text1"/>
          <w:sz w:val="19"/>
          <w:szCs w:val="19"/>
        </w:rPr>
      </w:pPr>
      <w:r w:rsidRPr="00BF1E28">
        <w:rPr>
          <w:rFonts w:ascii="Book Antiqua" w:hAnsi="Book Antiqua" w:cs="Arial"/>
          <w:color w:val="000000" w:themeColor="text1"/>
          <w:sz w:val="19"/>
          <w:szCs w:val="19"/>
        </w:rPr>
        <w:t>Innovative producers of data sets and analysis</w:t>
      </w:r>
    </w:p>
    <w:p w14:paraId="0A379705" w14:textId="77777777" w:rsidR="000B4810" w:rsidRPr="00BF1E28" w:rsidRDefault="000B4810" w:rsidP="000B4810">
      <w:pPr>
        <w:pStyle w:val="ListNumber"/>
        <w:numPr>
          <w:ilvl w:val="0"/>
          <w:numId w:val="0"/>
        </w:numPr>
        <w:spacing w:before="40" w:after="40" w:line="200" w:lineRule="atLeast"/>
        <w:ind w:left="360"/>
        <w:rPr>
          <w:rFonts w:ascii="Book Antiqua" w:hAnsi="Book Antiqua" w:cs="Arial"/>
          <w:color w:val="000000" w:themeColor="text1"/>
          <w:sz w:val="19"/>
          <w:szCs w:val="19"/>
        </w:rPr>
      </w:pPr>
      <w:r w:rsidRPr="00BF1E28">
        <w:rPr>
          <w:rFonts w:ascii="Book Antiqua" w:hAnsi="Book Antiqua" w:cs="Arial"/>
          <w:color w:val="000000" w:themeColor="text1"/>
          <w:sz w:val="19"/>
          <w:szCs w:val="19"/>
        </w:rPr>
        <w:t>To achieve this we will:</w:t>
      </w:r>
    </w:p>
    <w:p w14:paraId="11A9509E" w14:textId="77777777" w:rsidR="000B4810" w:rsidRPr="00BF1E28" w:rsidRDefault="000B4810" w:rsidP="000B4810">
      <w:pPr>
        <w:pStyle w:val="ListNumber"/>
        <w:numPr>
          <w:ilvl w:val="1"/>
          <w:numId w:val="16"/>
        </w:numPr>
        <w:spacing w:before="40" w:after="40" w:line="200" w:lineRule="atLeast"/>
        <w:rPr>
          <w:rFonts w:ascii="Book Antiqua" w:hAnsi="Book Antiqua" w:cs="Arial"/>
          <w:color w:val="000000" w:themeColor="text1"/>
          <w:sz w:val="19"/>
          <w:szCs w:val="19"/>
        </w:rPr>
      </w:pPr>
      <w:r w:rsidRPr="00BF1E28">
        <w:rPr>
          <w:rFonts w:ascii="Book Antiqua" w:hAnsi="Book Antiqua" w:cs="Arial"/>
          <w:color w:val="000000" w:themeColor="text1"/>
          <w:sz w:val="19"/>
          <w:szCs w:val="19"/>
        </w:rPr>
        <w:t>Invest in capability and systems to respond quickly to emerging issues and deliver an innovative approach to data and analysis to meet stakeholder needs</w:t>
      </w:r>
    </w:p>
    <w:p w14:paraId="278680E9" w14:textId="77777777" w:rsidR="000B4810" w:rsidRPr="00BF1E28" w:rsidRDefault="000B4810" w:rsidP="000B4810">
      <w:pPr>
        <w:pStyle w:val="ListNumber"/>
        <w:numPr>
          <w:ilvl w:val="1"/>
          <w:numId w:val="16"/>
        </w:numPr>
        <w:spacing w:before="40" w:after="40" w:line="200" w:lineRule="atLeast"/>
        <w:rPr>
          <w:rFonts w:ascii="Book Antiqua" w:hAnsi="Book Antiqua" w:cs="Arial"/>
          <w:color w:val="000000" w:themeColor="text1"/>
          <w:sz w:val="19"/>
          <w:szCs w:val="19"/>
        </w:rPr>
      </w:pPr>
      <w:r w:rsidRPr="00BF1E28">
        <w:rPr>
          <w:rFonts w:ascii="Book Antiqua" w:hAnsi="Book Antiqua" w:cs="Arial"/>
          <w:color w:val="000000" w:themeColor="text1"/>
          <w:sz w:val="19"/>
          <w:szCs w:val="19"/>
        </w:rPr>
        <w:t>Identify and fill priority data gaps</w:t>
      </w:r>
    </w:p>
    <w:p w14:paraId="6E0C375E" w14:textId="49589058" w:rsidR="000B4810" w:rsidRPr="00BF1E28" w:rsidRDefault="000B4810" w:rsidP="000B4810">
      <w:pPr>
        <w:pStyle w:val="ListNumber"/>
        <w:numPr>
          <w:ilvl w:val="1"/>
          <w:numId w:val="16"/>
        </w:numPr>
        <w:spacing w:before="40" w:after="40" w:line="200" w:lineRule="atLeast"/>
        <w:rPr>
          <w:rFonts w:ascii="Book Antiqua" w:hAnsi="Book Antiqua" w:cs="Arial"/>
          <w:color w:val="000000" w:themeColor="text1"/>
          <w:sz w:val="19"/>
          <w:szCs w:val="19"/>
        </w:rPr>
      </w:pPr>
      <w:r w:rsidRPr="00BF1E28">
        <w:rPr>
          <w:rFonts w:ascii="Book Antiqua" w:hAnsi="Book Antiqua" w:cs="Arial"/>
          <w:color w:val="000000" w:themeColor="text1"/>
          <w:sz w:val="19"/>
          <w:szCs w:val="19"/>
        </w:rPr>
        <w:t>Facilitate sustainable and secure access to timely, relevant and fit-for-purpose data and analysis</w:t>
      </w:r>
    </w:p>
    <w:p w14:paraId="65A66CEA" w14:textId="000E0BD0" w:rsidR="000B4810" w:rsidRPr="00BF1E28" w:rsidRDefault="000B4810">
      <w:pPr>
        <w:spacing w:after="160" w:line="259" w:lineRule="auto"/>
        <w:rPr>
          <w:rFonts w:cs="Arial"/>
          <w:color w:val="000000" w:themeColor="text1"/>
          <w:szCs w:val="19"/>
        </w:rPr>
      </w:pPr>
      <w:r w:rsidRPr="00BF1E28">
        <w:rPr>
          <w:rFonts w:cs="Arial"/>
          <w:color w:val="000000" w:themeColor="text1"/>
          <w:szCs w:val="19"/>
        </w:rPr>
        <w:br w:type="page"/>
      </w:r>
    </w:p>
    <w:p w14:paraId="65B51159" w14:textId="77777777" w:rsidR="000B4810" w:rsidRPr="00BF1E28" w:rsidRDefault="000B4810" w:rsidP="000B4810">
      <w:pPr>
        <w:pStyle w:val="ListNumber"/>
        <w:numPr>
          <w:ilvl w:val="0"/>
          <w:numId w:val="16"/>
        </w:numPr>
        <w:spacing w:before="40" w:after="40" w:line="200" w:lineRule="atLeast"/>
        <w:rPr>
          <w:rFonts w:ascii="Book Antiqua" w:hAnsi="Book Antiqua" w:cs="Arial"/>
          <w:color w:val="000000" w:themeColor="text1"/>
          <w:sz w:val="19"/>
          <w:szCs w:val="19"/>
        </w:rPr>
      </w:pPr>
      <w:r w:rsidRPr="00BF1E28">
        <w:rPr>
          <w:rFonts w:ascii="Book Antiqua" w:hAnsi="Book Antiqua" w:cs="Arial"/>
          <w:color w:val="000000" w:themeColor="text1"/>
          <w:sz w:val="19"/>
          <w:szCs w:val="19"/>
        </w:rPr>
        <w:lastRenderedPageBreak/>
        <w:t>A strong strategic partner</w:t>
      </w:r>
    </w:p>
    <w:p w14:paraId="6E677B71" w14:textId="77777777" w:rsidR="000B4810" w:rsidRPr="00BF1E28" w:rsidRDefault="000B4810" w:rsidP="000B4810">
      <w:pPr>
        <w:pStyle w:val="ListNumber"/>
        <w:numPr>
          <w:ilvl w:val="0"/>
          <w:numId w:val="0"/>
        </w:numPr>
        <w:spacing w:before="40" w:after="40" w:line="200" w:lineRule="atLeast"/>
        <w:ind w:left="360"/>
        <w:rPr>
          <w:rFonts w:ascii="Book Antiqua" w:hAnsi="Book Antiqua" w:cs="Arial"/>
          <w:color w:val="000000" w:themeColor="text1"/>
          <w:sz w:val="19"/>
          <w:szCs w:val="19"/>
        </w:rPr>
      </w:pPr>
      <w:r w:rsidRPr="00BF1E28">
        <w:rPr>
          <w:rFonts w:ascii="Book Antiqua" w:hAnsi="Book Antiqua" w:cs="Arial"/>
          <w:color w:val="000000" w:themeColor="text1"/>
          <w:sz w:val="19"/>
          <w:szCs w:val="19"/>
        </w:rPr>
        <w:t>To achieve this we will:</w:t>
      </w:r>
    </w:p>
    <w:p w14:paraId="12F77E69" w14:textId="77777777" w:rsidR="000B4810" w:rsidRPr="00BF1E28" w:rsidRDefault="000B4810" w:rsidP="000B4810">
      <w:pPr>
        <w:pStyle w:val="ListNumber"/>
        <w:numPr>
          <w:ilvl w:val="1"/>
          <w:numId w:val="16"/>
        </w:numPr>
        <w:spacing w:before="40" w:after="40" w:line="200" w:lineRule="atLeast"/>
        <w:rPr>
          <w:rFonts w:ascii="Book Antiqua" w:hAnsi="Book Antiqua" w:cs="Arial"/>
          <w:color w:val="000000" w:themeColor="text1"/>
          <w:sz w:val="19"/>
          <w:szCs w:val="19"/>
        </w:rPr>
      </w:pPr>
      <w:r w:rsidRPr="00BF1E28">
        <w:rPr>
          <w:rFonts w:ascii="Book Antiqua" w:hAnsi="Book Antiqua" w:cs="Arial"/>
          <w:color w:val="000000" w:themeColor="text1"/>
          <w:sz w:val="19"/>
          <w:szCs w:val="19"/>
        </w:rPr>
        <w:t>Expand and deepen our partnerships</w:t>
      </w:r>
    </w:p>
    <w:p w14:paraId="3BB94C66" w14:textId="77777777" w:rsidR="000B4810" w:rsidRPr="00BF1E28" w:rsidRDefault="000B4810" w:rsidP="000B4810">
      <w:pPr>
        <w:pStyle w:val="ListNumber"/>
        <w:numPr>
          <w:ilvl w:val="1"/>
          <w:numId w:val="16"/>
        </w:numPr>
        <w:spacing w:before="40" w:after="40" w:line="200" w:lineRule="atLeast"/>
        <w:rPr>
          <w:rFonts w:ascii="Book Antiqua" w:hAnsi="Book Antiqua" w:cs="Arial"/>
          <w:color w:val="000000" w:themeColor="text1"/>
          <w:sz w:val="19"/>
          <w:szCs w:val="19"/>
        </w:rPr>
      </w:pPr>
      <w:r w:rsidRPr="00BF1E28">
        <w:rPr>
          <w:rFonts w:ascii="Book Antiqua" w:hAnsi="Book Antiqua" w:cs="Arial"/>
          <w:color w:val="000000" w:themeColor="text1"/>
          <w:sz w:val="19"/>
          <w:szCs w:val="19"/>
        </w:rPr>
        <w:t>Enhance our engagement and communications to increase the impact of our work</w:t>
      </w:r>
    </w:p>
    <w:p w14:paraId="4EB4BF1E" w14:textId="77777777" w:rsidR="000B4810" w:rsidRPr="00BF1E28" w:rsidRDefault="000B4810" w:rsidP="000B4810">
      <w:pPr>
        <w:pStyle w:val="ListNumber"/>
        <w:numPr>
          <w:ilvl w:val="0"/>
          <w:numId w:val="16"/>
        </w:numPr>
        <w:spacing w:before="40" w:after="40" w:line="200" w:lineRule="atLeast"/>
        <w:rPr>
          <w:rFonts w:ascii="Book Antiqua" w:hAnsi="Book Antiqua" w:cs="Arial"/>
          <w:color w:val="000000" w:themeColor="text1"/>
          <w:sz w:val="19"/>
          <w:szCs w:val="19"/>
        </w:rPr>
      </w:pPr>
      <w:r w:rsidRPr="00BF1E28">
        <w:rPr>
          <w:rFonts w:ascii="Book Antiqua" w:hAnsi="Book Antiqua" w:cs="Arial"/>
          <w:color w:val="000000" w:themeColor="text1"/>
          <w:sz w:val="19"/>
          <w:szCs w:val="19"/>
        </w:rPr>
        <w:t>Recognised for our organisational excellence</w:t>
      </w:r>
    </w:p>
    <w:p w14:paraId="0714C87B" w14:textId="77777777" w:rsidR="000B4810" w:rsidRPr="00BF1E28" w:rsidRDefault="000B4810" w:rsidP="000B4810">
      <w:pPr>
        <w:pStyle w:val="ListNumber"/>
        <w:numPr>
          <w:ilvl w:val="0"/>
          <w:numId w:val="0"/>
        </w:numPr>
        <w:spacing w:before="40" w:after="40" w:line="200" w:lineRule="atLeast"/>
        <w:ind w:left="360"/>
        <w:rPr>
          <w:rFonts w:ascii="Book Antiqua" w:hAnsi="Book Antiqua" w:cs="Arial"/>
          <w:color w:val="000000" w:themeColor="text1"/>
          <w:sz w:val="19"/>
          <w:szCs w:val="19"/>
        </w:rPr>
      </w:pPr>
      <w:r w:rsidRPr="00BF1E28">
        <w:rPr>
          <w:rFonts w:ascii="Book Antiqua" w:hAnsi="Book Antiqua" w:cs="Arial"/>
          <w:color w:val="000000" w:themeColor="text1"/>
          <w:sz w:val="19"/>
          <w:szCs w:val="19"/>
        </w:rPr>
        <w:t>To achieve this we will:</w:t>
      </w:r>
    </w:p>
    <w:p w14:paraId="435BBD59" w14:textId="77777777" w:rsidR="000B4810" w:rsidRPr="00BF1E28" w:rsidRDefault="000B4810" w:rsidP="000B4810">
      <w:pPr>
        <w:pStyle w:val="ListNumber"/>
        <w:numPr>
          <w:ilvl w:val="1"/>
          <w:numId w:val="16"/>
        </w:numPr>
        <w:spacing w:before="40" w:after="40" w:line="200" w:lineRule="atLeast"/>
        <w:rPr>
          <w:rFonts w:ascii="Book Antiqua" w:hAnsi="Book Antiqua" w:cs="Arial"/>
          <w:color w:val="000000" w:themeColor="text1"/>
          <w:sz w:val="19"/>
          <w:szCs w:val="19"/>
        </w:rPr>
      </w:pPr>
      <w:r w:rsidRPr="00BF1E28">
        <w:rPr>
          <w:rFonts w:ascii="Book Antiqua" w:hAnsi="Book Antiqua" w:cs="Arial"/>
          <w:color w:val="000000" w:themeColor="text1"/>
          <w:sz w:val="19"/>
          <w:szCs w:val="19"/>
        </w:rPr>
        <w:t>Grow our capability and support a high-performing and adaptable workforce</w:t>
      </w:r>
    </w:p>
    <w:p w14:paraId="317BCEAF" w14:textId="77777777" w:rsidR="000B4810" w:rsidRPr="00BF1E28" w:rsidRDefault="000B4810" w:rsidP="000B4810">
      <w:pPr>
        <w:pStyle w:val="ListNumber"/>
        <w:numPr>
          <w:ilvl w:val="1"/>
          <w:numId w:val="16"/>
        </w:numPr>
        <w:spacing w:before="40" w:after="40" w:line="200" w:lineRule="atLeast"/>
        <w:rPr>
          <w:rFonts w:ascii="Book Antiqua" w:hAnsi="Book Antiqua" w:cs="Arial"/>
          <w:color w:val="000000" w:themeColor="text1"/>
          <w:sz w:val="19"/>
          <w:szCs w:val="19"/>
        </w:rPr>
      </w:pPr>
      <w:r w:rsidRPr="00BF1E28">
        <w:rPr>
          <w:rFonts w:ascii="Book Antiqua" w:hAnsi="Book Antiqua" w:cs="Arial"/>
          <w:color w:val="000000" w:themeColor="text1"/>
          <w:sz w:val="19"/>
          <w:szCs w:val="19"/>
        </w:rPr>
        <w:t>Expand our program of renewal to ensure provision of high quality technology and tools to deliver our data and analysis</w:t>
      </w:r>
    </w:p>
    <w:p w14:paraId="598D398E" w14:textId="77777777" w:rsidR="0024539A" w:rsidRPr="00BF1E28" w:rsidRDefault="009B628A" w:rsidP="004652BF">
      <w:pPr>
        <w:spacing w:before="120"/>
        <w:rPr>
          <w:color w:val="auto"/>
          <w:szCs w:val="19"/>
        </w:rPr>
      </w:pPr>
      <w:r w:rsidRPr="00BF1E28">
        <w:rPr>
          <w:color w:val="auto"/>
          <w:szCs w:val="19"/>
        </w:rPr>
        <w:t xml:space="preserve">The roles and functions of the AIHW are set out in the </w:t>
      </w:r>
      <w:r w:rsidRPr="00BF1E28">
        <w:rPr>
          <w:i/>
          <w:color w:val="auto"/>
          <w:szCs w:val="19"/>
        </w:rPr>
        <w:t>Australian Institute of Health and Welfare Act 1987</w:t>
      </w:r>
      <w:r w:rsidRPr="00BF1E28">
        <w:rPr>
          <w:color w:val="auto"/>
          <w:szCs w:val="19"/>
        </w:rPr>
        <w:t xml:space="preserve">. The AIHW is a corporate Commonwealth entity under the </w:t>
      </w:r>
      <w:r w:rsidRPr="00BF1E28">
        <w:rPr>
          <w:i/>
          <w:color w:val="auto"/>
          <w:szCs w:val="19"/>
        </w:rPr>
        <w:t>Public Governance, Performance and Accountability Act 2013</w:t>
      </w:r>
      <w:r w:rsidRPr="00BF1E28">
        <w:rPr>
          <w:color w:val="auto"/>
          <w:szCs w:val="19"/>
        </w:rPr>
        <w:t>.</w:t>
      </w:r>
    </w:p>
    <w:p w14:paraId="19E5D6CD" w14:textId="4D4D889F" w:rsidR="0024539A" w:rsidRPr="00E63E43" w:rsidRDefault="0024539A" w:rsidP="00BF1E28">
      <w:pPr>
        <w:pStyle w:val="Heading3"/>
        <w:pageBreakBefore/>
      </w:pPr>
      <w:bookmarkStart w:id="2" w:name="_Toc117406693"/>
      <w:r w:rsidRPr="00E63E43">
        <w:lastRenderedPageBreak/>
        <w:t>1.2</w:t>
      </w:r>
      <w:r w:rsidRPr="00E63E43">
        <w:tab/>
        <w:t xml:space="preserve">Entity </w:t>
      </w:r>
      <w:r w:rsidR="00BF1E28">
        <w:t>r</w:t>
      </w:r>
      <w:r w:rsidRPr="00E63E43">
        <w:t xml:space="preserve">esource </w:t>
      </w:r>
      <w:r w:rsidR="00BF1E28">
        <w:t>s</w:t>
      </w:r>
      <w:r w:rsidRPr="00E63E43">
        <w:t>tatement</w:t>
      </w:r>
      <w:bookmarkEnd w:id="2"/>
    </w:p>
    <w:p w14:paraId="216E44A0" w14:textId="77777777" w:rsidR="0024539A" w:rsidRPr="00E63E43" w:rsidRDefault="0024539A" w:rsidP="0024539A">
      <w:pPr>
        <w:rPr>
          <w:color w:val="auto"/>
        </w:rPr>
      </w:pPr>
      <w:r w:rsidRPr="00E63E43">
        <w:rPr>
          <w:color w:val="auto"/>
        </w:rPr>
        <w:t>Table 1.1 shows the total funding from all sources available to the entity for its operations and to deliver programs and services on behalf of the Government.</w:t>
      </w:r>
    </w:p>
    <w:p w14:paraId="1E4B72E9" w14:textId="77777777" w:rsidR="0024539A" w:rsidRPr="00E63E43" w:rsidRDefault="0024539A" w:rsidP="0024539A">
      <w:pPr>
        <w:rPr>
          <w:color w:val="auto"/>
        </w:rPr>
      </w:pPr>
      <w:r w:rsidRPr="00E63E43">
        <w:rPr>
          <w:color w:val="auto"/>
        </w:rPr>
        <w:t>The table summarises how resourc</w:t>
      </w:r>
      <w:r w:rsidR="00BA177B">
        <w:rPr>
          <w:color w:val="auto"/>
        </w:rPr>
        <w:t>es will be applied by outcome (g</w:t>
      </w:r>
      <w:r w:rsidRPr="00E63E43">
        <w:rPr>
          <w:color w:val="auto"/>
        </w:rPr>
        <w:t>overnment strategic policy objectives) and by administered (on behalf of the Government or the public) and departmental (for the entity’s operations) classification.</w:t>
      </w:r>
    </w:p>
    <w:p w14:paraId="4F8424BE" w14:textId="77777777" w:rsidR="0024539A" w:rsidRPr="00E63E43" w:rsidRDefault="0024539A" w:rsidP="0024539A">
      <w:pPr>
        <w:rPr>
          <w:color w:val="auto"/>
        </w:rPr>
      </w:pPr>
      <w:r w:rsidRPr="00E63E43">
        <w:rPr>
          <w:color w:val="auto"/>
        </w:rPr>
        <w:t xml:space="preserve">For more detailed information on special accounts and special appropriations, refer to </w:t>
      </w:r>
      <w:r w:rsidRPr="00E63E43">
        <w:rPr>
          <w:i/>
          <w:color w:val="auto"/>
        </w:rPr>
        <w:t>Budget Paper No. 4 – Agency Resourcing</w:t>
      </w:r>
      <w:r w:rsidRPr="00E63E43">
        <w:rPr>
          <w:color w:val="auto"/>
        </w:rPr>
        <w:t>.</w:t>
      </w:r>
    </w:p>
    <w:p w14:paraId="1B826D89" w14:textId="77777777" w:rsidR="0024539A" w:rsidRPr="00E63E43" w:rsidRDefault="0024539A" w:rsidP="0024539A">
      <w:pPr>
        <w:rPr>
          <w:color w:val="auto"/>
        </w:rPr>
      </w:pPr>
      <w:r w:rsidRPr="00E63E43">
        <w:rPr>
          <w:color w:val="auto"/>
        </w:rPr>
        <w:t>Information in this table is presented on a resourcing (that is, appropriations/cash available) basis, whilst the ‛Budgeted expenses by outcome’ tables in Section 2 and the financial statements in Section 3 are presented on an accrual basis.</w:t>
      </w:r>
    </w:p>
    <w:p w14:paraId="75B0D272" w14:textId="023AB594" w:rsidR="0024539A" w:rsidRDefault="0024539A" w:rsidP="0024539A">
      <w:pPr>
        <w:pStyle w:val="Tablenumberandreference"/>
      </w:pPr>
      <w:r w:rsidRPr="00E63E43">
        <w:rPr>
          <w:color w:val="auto"/>
        </w:rPr>
        <w:t xml:space="preserve">Table 1.1: </w:t>
      </w:r>
      <w:r w:rsidR="00EE73F8" w:rsidRPr="00E63E43">
        <w:rPr>
          <w:color w:val="auto"/>
        </w:rPr>
        <w:t>AIHW</w:t>
      </w:r>
      <w:r w:rsidRPr="00E63E43">
        <w:rPr>
          <w:color w:val="auto"/>
        </w:rPr>
        <w:t xml:space="preserve"> </w:t>
      </w:r>
      <w:r w:rsidR="00BF1E28">
        <w:t>r</w:t>
      </w:r>
      <w:r w:rsidR="00BF1E28" w:rsidRPr="003322E9">
        <w:t xml:space="preserve">esource </w:t>
      </w:r>
      <w:r w:rsidR="00BF1E28">
        <w:t>s</w:t>
      </w:r>
      <w:r w:rsidR="00BF1E28" w:rsidRPr="003322E9">
        <w:t xml:space="preserve">tatement – Budget </w:t>
      </w:r>
      <w:r w:rsidR="00BF1E28">
        <w:t>e</w:t>
      </w:r>
      <w:r w:rsidR="00BF1E28" w:rsidRPr="003322E9">
        <w:t xml:space="preserve">stimates </w:t>
      </w:r>
      <w:r w:rsidR="00BF1E28" w:rsidRPr="00626350">
        <w:t>for 2022</w:t>
      </w:r>
      <w:r w:rsidR="00BF1E28">
        <w:t>–</w:t>
      </w:r>
      <w:r w:rsidR="00BF1E28" w:rsidRPr="00626350">
        <w:t xml:space="preserve">23 as at </w:t>
      </w:r>
      <w:r w:rsidR="00BF1E28">
        <w:t xml:space="preserve">October </w:t>
      </w:r>
      <w:r w:rsidR="00BF1E28" w:rsidRPr="00626350">
        <w:t>Budget 2022</w:t>
      </w:r>
    </w:p>
    <w:tbl>
      <w:tblPr>
        <w:tblW w:w="7340" w:type="dxa"/>
        <w:tblLayout w:type="fixed"/>
        <w:tblLook w:val="04A0" w:firstRow="1" w:lastRow="0" w:firstColumn="1" w:lastColumn="0" w:noHBand="0" w:noVBand="1"/>
      </w:tblPr>
      <w:tblGrid>
        <w:gridCol w:w="4660"/>
        <w:gridCol w:w="1340"/>
        <w:gridCol w:w="1340"/>
      </w:tblGrid>
      <w:tr w:rsidR="004327DA" w:rsidRPr="004327DA" w14:paraId="60648B34" w14:textId="77777777" w:rsidTr="004327DA">
        <w:trPr>
          <w:trHeight w:val="765"/>
        </w:trPr>
        <w:tc>
          <w:tcPr>
            <w:tcW w:w="4660" w:type="dxa"/>
            <w:tcBorders>
              <w:top w:val="single" w:sz="4" w:space="0" w:color="auto"/>
              <w:left w:val="nil"/>
              <w:bottom w:val="nil"/>
              <w:right w:val="nil"/>
            </w:tcBorders>
            <w:shd w:val="clear" w:color="auto" w:fill="auto"/>
            <w:hideMark/>
          </w:tcPr>
          <w:p w14:paraId="7BF7A6BA" w14:textId="77777777" w:rsidR="004327DA" w:rsidRPr="004327DA" w:rsidRDefault="004327DA" w:rsidP="004327DA">
            <w:pPr>
              <w:spacing w:before="40" w:after="0"/>
              <w:jc w:val="right"/>
              <w:rPr>
                <w:rFonts w:ascii="Arial" w:hAnsi="Arial" w:cs="Arial"/>
                <w:b/>
                <w:bCs/>
                <w:color w:val="auto"/>
                <w:sz w:val="16"/>
                <w:szCs w:val="16"/>
              </w:rPr>
            </w:pPr>
            <w:r w:rsidRPr="004327DA">
              <w:rPr>
                <w:rFonts w:ascii="Arial" w:hAnsi="Arial" w:cs="Arial"/>
                <w:b/>
                <w:bCs/>
                <w:color w:val="auto"/>
                <w:sz w:val="16"/>
                <w:szCs w:val="16"/>
              </w:rPr>
              <w:t> </w:t>
            </w:r>
          </w:p>
        </w:tc>
        <w:tc>
          <w:tcPr>
            <w:tcW w:w="1340" w:type="dxa"/>
            <w:tcBorders>
              <w:top w:val="single" w:sz="4" w:space="0" w:color="auto"/>
              <w:left w:val="nil"/>
              <w:bottom w:val="single" w:sz="4" w:space="0" w:color="auto"/>
              <w:right w:val="nil"/>
            </w:tcBorders>
            <w:shd w:val="clear" w:color="auto" w:fill="auto"/>
            <w:hideMark/>
          </w:tcPr>
          <w:p w14:paraId="66C42DC5" w14:textId="77777777" w:rsidR="004327DA" w:rsidRPr="004327DA" w:rsidRDefault="004327DA" w:rsidP="004327DA">
            <w:pPr>
              <w:spacing w:before="40" w:after="0"/>
              <w:jc w:val="right"/>
              <w:rPr>
                <w:rFonts w:ascii="Arial" w:hAnsi="Arial" w:cs="Arial"/>
                <w:b/>
                <w:bCs/>
                <w:color w:val="auto"/>
                <w:sz w:val="16"/>
                <w:szCs w:val="16"/>
              </w:rPr>
            </w:pPr>
            <w:r w:rsidRPr="004327DA">
              <w:rPr>
                <w:rFonts w:ascii="Arial" w:hAnsi="Arial" w:cs="Arial"/>
                <w:b/>
                <w:bCs/>
                <w:color w:val="auto"/>
                <w:sz w:val="16"/>
                <w:szCs w:val="16"/>
              </w:rPr>
              <w:t>2021–22 Estimated actual</w:t>
            </w:r>
            <w:r w:rsidRPr="004327DA">
              <w:rPr>
                <w:rFonts w:ascii="Arial" w:hAnsi="Arial" w:cs="Arial"/>
                <w:b/>
                <w:bCs/>
                <w:color w:val="auto"/>
                <w:sz w:val="16"/>
                <w:szCs w:val="16"/>
              </w:rPr>
              <w:br/>
            </w:r>
            <w:r w:rsidRPr="004327DA">
              <w:rPr>
                <w:rFonts w:ascii="Arial" w:hAnsi="Arial" w:cs="Arial"/>
                <w:color w:val="auto"/>
                <w:sz w:val="16"/>
                <w:szCs w:val="16"/>
              </w:rPr>
              <w:t>$'000</w:t>
            </w:r>
          </w:p>
        </w:tc>
        <w:tc>
          <w:tcPr>
            <w:tcW w:w="1340" w:type="dxa"/>
            <w:tcBorders>
              <w:top w:val="single" w:sz="4" w:space="0" w:color="auto"/>
              <w:left w:val="nil"/>
              <w:bottom w:val="single" w:sz="4" w:space="0" w:color="auto"/>
              <w:right w:val="nil"/>
            </w:tcBorders>
            <w:shd w:val="clear" w:color="000000" w:fill="D9D9D9"/>
            <w:hideMark/>
          </w:tcPr>
          <w:p w14:paraId="0F1CD6AE" w14:textId="77777777" w:rsidR="004327DA" w:rsidRPr="004327DA" w:rsidRDefault="004327DA" w:rsidP="004327DA">
            <w:pPr>
              <w:spacing w:before="40" w:after="0"/>
              <w:jc w:val="right"/>
              <w:rPr>
                <w:rFonts w:ascii="Arial" w:hAnsi="Arial" w:cs="Arial"/>
                <w:b/>
                <w:bCs/>
                <w:color w:val="auto"/>
                <w:sz w:val="16"/>
                <w:szCs w:val="16"/>
              </w:rPr>
            </w:pPr>
            <w:r w:rsidRPr="004327DA">
              <w:rPr>
                <w:rFonts w:ascii="Arial" w:hAnsi="Arial" w:cs="Arial"/>
                <w:b/>
                <w:bCs/>
                <w:color w:val="auto"/>
                <w:sz w:val="16"/>
                <w:szCs w:val="16"/>
              </w:rPr>
              <w:t>2022–23</w:t>
            </w:r>
            <w:r w:rsidRPr="004327DA">
              <w:rPr>
                <w:rFonts w:ascii="Arial" w:hAnsi="Arial" w:cs="Arial"/>
                <w:b/>
                <w:bCs/>
                <w:color w:val="auto"/>
                <w:sz w:val="16"/>
                <w:szCs w:val="16"/>
              </w:rPr>
              <w:br/>
              <w:t>Estimate</w:t>
            </w:r>
            <w:r w:rsidRPr="004327DA">
              <w:rPr>
                <w:rFonts w:ascii="Arial" w:hAnsi="Arial" w:cs="Arial"/>
                <w:b/>
                <w:bCs/>
                <w:color w:val="auto"/>
                <w:sz w:val="16"/>
                <w:szCs w:val="16"/>
              </w:rPr>
              <w:br/>
            </w:r>
            <w:r w:rsidRPr="004327DA">
              <w:rPr>
                <w:rFonts w:ascii="Arial" w:hAnsi="Arial" w:cs="Arial"/>
                <w:b/>
                <w:bCs/>
                <w:color w:val="auto"/>
                <w:sz w:val="16"/>
                <w:szCs w:val="16"/>
              </w:rPr>
              <w:br/>
            </w:r>
            <w:r w:rsidRPr="004327DA">
              <w:rPr>
                <w:rFonts w:ascii="Arial" w:hAnsi="Arial" w:cs="Arial"/>
                <w:color w:val="auto"/>
                <w:sz w:val="16"/>
                <w:szCs w:val="16"/>
              </w:rPr>
              <w:t>$'000</w:t>
            </w:r>
          </w:p>
        </w:tc>
      </w:tr>
      <w:tr w:rsidR="004327DA" w:rsidRPr="004327DA" w14:paraId="7270A37C" w14:textId="77777777" w:rsidTr="004327DA">
        <w:trPr>
          <w:trHeight w:val="300"/>
        </w:trPr>
        <w:tc>
          <w:tcPr>
            <w:tcW w:w="4660" w:type="dxa"/>
            <w:tcBorders>
              <w:top w:val="nil"/>
              <w:left w:val="nil"/>
              <w:bottom w:val="nil"/>
              <w:right w:val="nil"/>
            </w:tcBorders>
            <w:shd w:val="clear" w:color="auto" w:fill="auto"/>
            <w:noWrap/>
            <w:vAlign w:val="bottom"/>
            <w:hideMark/>
          </w:tcPr>
          <w:p w14:paraId="0C3D3A5D" w14:textId="77777777" w:rsidR="004327DA" w:rsidRPr="004327DA" w:rsidRDefault="004327DA" w:rsidP="004327DA">
            <w:pPr>
              <w:spacing w:after="0"/>
              <w:rPr>
                <w:rFonts w:ascii="Arial" w:hAnsi="Arial" w:cs="Arial"/>
                <w:b/>
                <w:bCs/>
                <w:color w:val="auto"/>
                <w:sz w:val="16"/>
                <w:szCs w:val="16"/>
              </w:rPr>
            </w:pPr>
            <w:r w:rsidRPr="004327DA">
              <w:rPr>
                <w:rFonts w:ascii="Arial" w:hAnsi="Arial" w:cs="Arial"/>
                <w:b/>
                <w:bCs/>
                <w:color w:val="auto"/>
                <w:sz w:val="16"/>
                <w:szCs w:val="16"/>
              </w:rPr>
              <w:t>Opening balance/cash reserves at 1 July</w:t>
            </w:r>
          </w:p>
        </w:tc>
        <w:tc>
          <w:tcPr>
            <w:tcW w:w="1340" w:type="dxa"/>
            <w:tcBorders>
              <w:top w:val="nil"/>
              <w:left w:val="nil"/>
              <w:bottom w:val="nil"/>
              <w:right w:val="nil"/>
            </w:tcBorders>
            <w:shd w:val="clear" w:color="auto" w:fill="auto"/>
            <w:noWrap/>
            <w:vAlign w:val="bottom"/>
            <w:hideMark/>
          </w:tcPr>
          <w:p w14:paraId="23F4A78D" w14:textId="77777777" w:rsidR="004327DA" w:rsidRPr="004327DA" w:rsidRDefault="004327DA" w:rsidP="004327DA">
            <w:pPr>
              <w:spacing w:after="0"/>
              <w:jc w:val="right"/>
              <w:rPr>
                <w:rFonts w:ascii="Arial" w:hAnsi="Arial" w:cs="Arial"/>
                <w:sz w:val="16"/>
                <w:szCs w:val="16"/>
              </w:rPr>
            </w:pPr>
            <w:r w:rsidRPr="004327DA">
              <w:rPr>
                <w:rFonts w:ascii="Arial" w:hAnsi="Arial" w:cs="Arial"/>
                <w:sz w:val="16"/>
                <w:szCs w:val="16"/>
              </w:rPr>
              <w:t>82,063</w:t>
            </w:r>
          </w:p>
        </w:tc>
        <w:tc>
          <w:tcPr>
            <w:tcW w:w="1340" w:type="dxa"/>
            <w:tcBorders>
              <w:top w:val="nil"/>
              <w:left w:val="nil"/>
              <w:bottom w:val="nil"/>
              <w:right w:val="nil"/>
            </w:tcBorders>
            <w:shd w:val="clear" w:color="000000" w:fill="D9D9D9"/>
            <w:noWrap/>
            <w:vAlign w:val="bottom"/>
            <w:hideMark/>
          </w:tcPr>
          <w:p w14:paraId="7BCC94AD" w14:textId="77777777" w:rsidR="004327DA" w:rsidRPr="004327DA" w:rsidRDefault="004327DA" w:rsidP="004327DA">
            <w:pPr>
              <w:spacing w:after="0"/>
              <w:jc w:val="right"/>
              <w:rPr>
                <w:rFonts w:ascii="Arial" w:hAnsi="Arial" w:cs="Arial"/>
                <w:color w:val="auto"/>
                <w:sz w:val="16"/>
                <w:szCs w:val="16"/>
              </w:rPr>
            </w:pPr>
            <w:r w:rsidRPr="004327DA">
              <w:rPr>
                <w:rFonts w:ascii="Arial" w:hAnsi="Arial" w:cs="Arial"/>
                <w:color w:val="auto"/>
                <w:sz w:val="16"/>
                <w:szCs w:val="16"/>
              </w:rPr>
              <w:t>93,148</w:t>
            </w:r>
          </w:p>
        </w:tc>
      </w:tr>
      <w:tr w:rsidR="004327DA" w:rsidRPr="004327DA" w14:paraId="0AD7D9D3" w14:textId="77777777" w:rsidTr="004327DA">
        <w:trPr>
          <w:trHeight w:val="300"/>
        </w:trPr>
        <w:tc>
          <w:tcPr>
            <w:tcW w:w="4660" w:type="dxa"/>
            <w:tcBorders>
              <w:top w:val="nil"/>
              <w:left w:val="nil"/>
              <w:bottom w:val="nil"/>
              <w:right w:val="nil"/>
            </w:tcBorders>
            <w:shd w:val="clear" w:color="auto" w:fill="auto"/>
            <w:vAlign w:val="bottom"/>
            <w:hideMark/>
          </w:tcPr>
          <w:p w14:paraId="663CC8F3" w14:textId="77777777" w:rsidR="004327DA" w:rsidRPr="004327DA" w:rsidRDefault="004327DA" w:rsidP="004327DA">
            <w:pPr>
              <w:spacing w:after="0"/>
              <w:ind w:firstLineChars="100" w:firstLine="160"/>
              <w:rPr>
                <w:rFonts w:ascii="Arial" w:hAnsi="Arial" w:cs="Arial"/>
                <w:b/>
                <w:bCs/>
                <w:color w:val="auto"/>
                <w:sz w:val="16"/>
                <w:szCs w:val="16"/>
              </w:rPr>
            </w:pPr>
            <w:r w:rsidRPr="004327DA">
              <w:rPr>
                <w:rFonts w:ascii="Arial" w:hAnsi="Arial" w:cs="Arial"/>
                <w:b/>
                <w:bCs/>
                <w:color w:val="auto"/>
                <w:sz w:val="16"/>
                <w:szCs w:val="16"/>
              </w:rPr>
              <w:t>Funds from Government annual appropriations</w:t>
            </w:r>
          </w:p>
        </w:tc>
        <w:tc>
          <w:tcPr>
            <w:tcW w:w="1340" w:type="dxa"/>
            <w:tcBorders>
              <w:top w:val="nil"/>
              <w:left w:val="nil"/>
              <w:bottom w:val="nil"/>
              <w:right w:val="nil"/>
            </w:tcBorders>
            <w:shd w:val="clear" w:color="auto" w:fill="auto"/>
            <w:noWrap/>
            <w:vAlign w:val="bottom"/>
            <w:hideMark/>
          </w:tcPr>
          <w:p w14:paraId="44F60AB0" w14:textId="77777777" w:rsidR="004327DA" w:rsidRPr="004327DA" w:rsidRDefault="004327DA" w:rsidP="004327DA">
            <w:pPr>
              <w:spacing w:after="0"/>
              <w:ind w:firstLineChars="100" w:firstLine="160"/>
              <w:rPr>
                <w:rFonts w:ascii="Arial" w:hAnsi="Arial" w:cs="Arial"/>
                <w:b/>
                <w:bCs/>
                <w:color w:val="auto"/>
                <w:sz w:val="16"/>
                <w:szCs w:val="16"/>
              </w:rPr>
            </w:pPr>
          </w:p>
        </w:tc>
        <w:tc>
          <w:tcPr>
            <w:tcW w:w="1340" w:type="dxa"/>
            <w:tcBorders>
              <w:top w:val="nil"/>
              <w:left w:val="nil"/>
              <w:bottom w:val="nil"/>
              <w:right w:val="nil"/>
            </w:tcBorders>
            <w:shd w:val="clear" w:color="000000" w:fill="D9D9D9"/>
            <w:noWrap/>
            <w:vAlign w:val="bottom"/>
            <w:hideMark/>
          </w:tcPr>
          <w:p w14:paraId="2E04D7CF" w14:textId="77777777" w:rsidR="004327DA" w:rsidRPr="004327DA" w:rsidRDefault="004327DA" w:rsidP="004327DA">
            <w:pPr>
              <w:spacing w:after="0"/>
              <w:jc w:val="right"/>
              <w:rPr>
                <w:rFonts w:ascii="Arial" w:hAnsi="Arial" w:cs="Arial"/>
                <w:color w:val="auto"/>
                <w:sz w:val="16"/>
                <w:szCs w:val="16"/>
              </w:rPr>
            </w:pPr>
            <w:r w:rsidRPr="004327DA">
              <w:rPr>
                <w:rFonts w:ascii="Arial" w:hAnsi="Arial" w:cs="Arial"/>
                <w:color w:val="auto"/>
                <w:sz w:val="16"/>
                <w:szCs w:val="16"/>
              </w:rPr>
              <w:t> </w:t>
            </w:r>
          </w:p>
        </w:tc>
      </w:tr>
      <w:tr w:rsidR="004327DA" w:rsidRPr="004327DA" w14:paraId="7457B631" w14:textId="77777777" w:rsidTr="004327DA">
        <w:trPr>
          <w:trHeight w:val="225"/>
        </w:trPr>
        <w:tc>
          <w:tcPr>
            <w:tcW w:w="4660" w:type="dxa"/>
            <w:tcBorders>
              <w:top w:val="nil"/>
              <w:left w:val="nil"/>
              <w:bottom w:val="nil"/>
              <w:right w:val="nil"/>
            </w:tcBorders>
            <w:shd w:val="clear" w:color="auto" w:fill="auto"/>
            <w:noWrap/>
            <w:vAlign w:val="bottom"/>
            <w:hideMark/>
          </w:tcPr>
          <w:p w14:paraId="15CC1AEB" w14:textId="77777777" w:rsidR="004327DA" w:rsidRPr="004327DA" w:rsidRDefault="004327DA" w:rsidP="004327DA">
            <w:pPr>
              <w:spacing w:after="0"/>
              <w:ind w:firstLineChars="200" w:firstLine="320"/>
              <w:rPr>
                <w:rFonts w:ascii="Arial" w:hAnsi="Arial" w:cs="Arial"/>
                <w:color w:val="auto"/>
                <w:sz w:val="16"/>
                <w:szCs w:val="16"/>
              </w:rPr>
            </w:pPr>
            <w:r w:rsidRPr="004327DA">
              <w:rPr>
                <w:rFonts w:ascii="Arial" w:hAnsi="Arial" w:cs="Arial"/>
                <w:color w:val="auto"/>
                <w:sz w:val="16"/>
                <w:szCs w:val="16"/>
              </w:rPr>
              <w:t>Ordinary annual services</w:t>
            </w:r>
            <w:r w:rsidRPr="004327DA">
              <w:rPr>
                <w:rFonts w:ascii="Arial" w:hAnsi="Arial" w:cs="Arial"/>
                <w:color w:val="auto"/>
                <w:sz w:val="16"/>
                <w:szCs w:val="16"/>
                <w:vertAlign w:val="superscript"/>
              </w:rPr>
              <w:t xml:space="preserve"> (a)</w:t>
            </w:r>
          </w:p>
        </w:tc>
        <w:tc>
          <w:tcPr>
            <w:tcW w:w="1340" w:type="dxa"/>
            <w:tcBorders>
              <w:top w:val="nil"/>
              <w:left w:val="nil"/>
              <w:bottom w:val="nil"/>
              <w:right w:val="nil"/>
            </w:tcBorders>
            <w:shd w:val="clear" w:color="auto" w:fill="auto"/>
            <w:noWrap/>
            <w:vAlign w:val="bottom"/>
            <w:hideMark/>
          </w:tcPr>
          <w:p w14:paraId="523163BD" w14:textId="77777777" w:rsidR="004327DA" w:rsidRPr="004327DA" w:rsidRDefault="004327DA" w:rsidP="004327DA">
            <w:pPr>
              <w:spacing w:after="0"/>
              <w:ind w:firstLineChars="200" w:firstLine="320"/>
              <w:rPr>
                <w:rFonts w:ascii="Arial" w:hAnsi="Arial" w:cs="Arial"/>
                <w:color w:val="auto"/>
                <w:sz w:val="16"/>
                <w:szCs w:val="16"/>
              </w:rPr>
            </w:pPr>
          </w:p>
        </w:tc>
        <w:tc>
          <w:tcPr>
            <w:tcW w:w="1340" w:type="dxa"/>
            <w:tcBorders>
              <w:top w:val="nil"/>
              <w:left w:val="nil"/>
              <w:bottom w:val="nil"/>
              <w:right w:val="nil"/>
            </w:tcBorders>
            <w:shd w:val="clear" w:color="000000" w:fill="D9D9D9"/>
            <w:noWrap/>
            <w:vAlign w:val="bottom"/>
            <w:hideMark/>
          </w:tcPr>
          <w:p w14:paraId="4BCC369B" w14:textId="77777777" w:rsidR="004327DA" w:rsidRPr="004327DA" w:rsidRDefault="004327DA" w:rsidP="004327DA">
            <w:pPr>
              <w:spacing w:after="0"/>
              <w:jc w:val="right"/>
              <w:rPr>
                <w:rFonts w:ascii="Arial" w:hAnsi="Arial" w:cs="Arial"/>
                <w:color w:val="auto"/>
                <w:sz w:val="16"/>
                <w:szCs w:val="16"/>
              </w:rPr>
            </w:pPr>
            <w:r w:rsidRPr="004327DA">
              <w:rPr>
                <w:rFonts w:ascii="Arial" w:hAnsi="Arial" w:cs="Arial"/>
                <w:color w:val="auto"/>
                <w:sz w:val="16"/>
                <w:szCs w:val="16"/>
              </w:rPr>
              <w:t> </w:t>
            </w:r>
          </w:p>
        </w:tc>
      </w:tr>
      <w:tr w:rsidR="004327DA" w:rsidRPr="004327DA" w14:paraId="324777A6" w14:textId="77777777" w:rsidTr="004327DA">
        <w:trPr>
          <w:trHeight w:val="225"/>
        </w:trPr>
        <w:tc>
          <w:tcPr>
            <w:tcW w:w="4660" w:type="dxa"/>
            <w:tcBorders>
              <w:top w:val="nil"/>
              <w:left w:val="nil"/>
              <w:bottom w:val="nil"/>
              <w:right w:val="nil"/>
            </w:tcBorders>
            <w:shd w:val="clear" w:color="auto" w:fill="auto"/>
            <w:noWrap/>
            <w:vAlign w:val="bottom"/>
            <w:hideMark/>
          </w:tcPr>
          <w:p w14:paraId="63F5667E" w14:textId="77777777" w:rsidR="004327DA" w:rsidRPr="004327DA" w:rsidRDefault="004327DA" w:rsidP="004327DA">
            <w:pPr>
              <w:spacing w:after="0"/>
              <w:ind w:firstLineChars="300" w:firstLine="480"/>
              <w:rPr>
                <w:rFonts w:ascii="Arial" w:hAnsi="Arial" w:cs="Arial"/>
                <w:color w:val="auto"/>
                <w:sz w:val="16"/>
                <w:szCs w:val="16"/>
              </w:rPr>
            </w:pPr>
            <w:r w:rsidRPr="004327DA">
              <w:rPr>
                <w:rFonts w:ascii="Arial" w:hAnsi="Arial" w:cs="Arial"/>
                <w:color w:val="auto"/>
                <w:sz w:val="16"/>
                <w:szCs w:val="16"/>
              </w:rPr>
              <w:t>Outcome 1</w:t>
            </w:r>
          </w:p>
        </w:tc>
        <w:tc>
          <w:tcPr>
            <w:tcW w:w="1340" w:type="dxa"/>
            <w:tcBorders>
              <w:top w:val="nil"/>
              <w:left w:val="nil"/>
              <w:bottom w:val="nil"/>
              <w:right w:val="nil"/>
            </w:tcBorders>
            <w:shd w:val="clear" w:color="auto" w:fill="auto"/>
            <w:noWrap/>
            <w:vAlign w:val="bottom"/>
            <w:hideMark/>
          </w:tcPr>
          <w:p w14:paraId="5869D0CE" w14:textId="77777777" w:rsidR="004327DA" w:rsidRPr="004327DA" w:rsidRDefault="004327DA" w:rsidP="004327DA">
            <w:pPr>
              <w:spacing w:after="0"/>
              <w:jc w:val="right"/>
              <w:rPr>
                <w:rFonts w:ascii="Arial" w:hAnsi="Arial" w:cs="Arial"/>
                <w:color w:val="auto"/>
                <w:sz w:val="16"/>
                <w:szCs w:val="16"/>
              </w:rPr>
            </w:pPr>
            <w:r w:rsidRPr="004327DA">
              <w:rPr>
                <w:rFonts w:ascii="Arial" w:hAnsi="Arial" w:cs="Arial"/>
                <w:color w:val="auto"/>
                <w:sz w:val="16"/>
                <w:szCs w:val="16"/>
              </w:rPr>
              <w:t>34,917</w:t>
            </w:r>
          </w:p>
        </w:tc>
        <w:tc>
          <w:tcPr>
            <w:tcW w:w="1340" w:type="dxa"/>
            <w:tcBorders>
              <w:top w:val="nil"/>
              <w:left w:val="nil"/>
              <w:bottom w:val="nil"/>
              <w:right w:val="nil"/>
            </w:tcBorders>
            <w:shd w:val="clear" w:color="000000" w:fill="D9D9D9"/>
            <w:noWrap/>
            <w:vAlign w:val="bottom"/>
            <w:hideMark/>
          </w:tcPr>
          <w:p w14:paraId="6E7C514A" w14:textId="77777777" w:rsidR="004327DA" w:rsidRPr="004327DA" w:rsidRDefault="004327DA" w:rsidP="004327DA">
            <w:pPr>
              <w:spacing w:after="0"/>
              <w:jc w:val="right"/>
              <w:rPr>
                <w:rFonts w:ascii="Arial" w:hAnsi="Arial" w:cs="Arial"/>
                <w:color w:val="auto"/>
                <w:sz w:val="16"/>
                <w:szCs w:val="16"/>
              </w:rPr>
            </w:pPr>
            <w:r w:rsidRPr="004327DA">
              <w:rPr>
                <w:rFonts w:ascii="Arial" w:hAnsi="Arial" w:cs="Arial"/>
                <w:color w:val="auto"/>
                <w:sz w:val="16"/>
                <w:szCs w:val="16"/>
              </w:rPr>
              <w:t>34,349</w:t>
            </w:r>
          </w:p>
        </w:tc>
      </w:tr>
      <w:tr w:rsidR="004327DA" w:rsidRPr="004327DA" w14:paraId="479CA79C" w14:textId="77777777" w:rsidTr="004327DA">
        <w:trPr>
          <w:trHeight w:val="300"/>
        </w:trPr>
        <w:tc>
          <w:tcPr>
            <w:tcW w:w="4660" w:type="dxa"/>
            <w:tcBorders>
              <w:top w:val="nil"/>
              <w:left w:val="nil"/>
              <w:bottom w:val="nil"/>
              <w:right w:val="nil"/>
            </w:tcBorders>
            <w:shd w:val="clear" w:color="auto" w:fill="auto"/>
            <w:noWrap/>
            <w:vAlign w:val="bottom"/>
            <w:hideMark/>
          </w:tcPr>
          <w:p w14:paraId="7AC5E734" w14:textId="77777777" w:rsidR="004327DA" w:rsidRPr="004327DA" w:rsidRDefault="004327DA" w:rsidP="004327DA">
            <w:pPr>
              <w:spacing w:after="0"/>
              <w:ind w:firstLineChars="200" w:firstLine="320"/>
              <w:rPr>
                <w:rFonts w:ascii="Arial" w:hAnsi="Arial" w:cs="Arial"/>
                <w:color w:val="auto"/>
                <w:sz w:val="16"/>
                <w:szCs w:val="16"/>
              </w:rPr>
            </w:pPr>
            <w:r w:rsidRPr="004327DA">
              <w:rPr>
                <w:rFonts w:ascii="Arial" w:hAnsi="Arial" w:cs="Arial"/>
                <w:color w:val="auto"/>
                <w:sz w:val="16"/>
                <w:szCs w:val="16"/>
              </w:rPr>
              <w:t>Other services</w:t>
            </w:r>
            <w:r w:rsidRPr="004327DA">
              <w:rPr>
                <w:rFonts w:ascii="Arial" w:hAnsi="Arial" w:cs="Arial"/>
                <w:color w:val="auto"/>
                <w:sz w:val="16"/>
                <w:szCs w:val="16"/>
                <w:vertAlign w:val="superscript"/>
              </w:rPr>
              <w:t xml:space="preserve"> (b)</w:t>
            </w:r>
          </w:p>
        </w:tc>
        <w:tc>
          <w:tcPr>
            <w:tcW w:w="1340" w:type="dxa"/>
            <w:tcBorders>
              <w:top w:val="nil"/>
              <w:left w:val="nil"/>
              <w:bottom w:val="nil"/>
              <w:right w:val="nil"/>
            </w:tcBorders>
            <w:shd w:val="clear" w:color="auto" w:fill="auto"/>
            <w:noWrap/>
            <w:vAlign w:val="bottom"/>
            <w:hideMark/>
          </w:tcPr>
          <w:p w14:paraId="1543B62C" w14:textId="77777777" w:rsidR="004327DA" w:rsidRPr="004327DA" w:rsidRDefault="004327DA" w:rsidP="004327DA">
            <w:pPr>
              <w:spacing w:after="0"/>
              <w:ind w:firstLineChars="200" w:firstLine="320"/>
              <w:rPr>
                <w:rFonts w:ascii="Arial" w:hAnsi="Arial" w:cs="Arial"/>
                <w:color w:val="auto"/>
                <w:sz w:val="16"/>
                <w:szCs w:val="16"/>
              </w:rPr>
            </w:pPr>
          </w:p>
        </w:tc>
        <w:tc>
          <w:tcPr>
            <w:tcW w:w="1340" w:type="dxa"/>
            <w:tcBorders>
              <w:top w:val="nil"/>
              <w:left w:val="nil"/>
              <w:bottom w:val="nil"/>
              <w:right w:val="nil"/>
            </w:tcBorders>
            <w:shd w:val="clear" w:color="000000" w:fill="D9D9D9"/>
            <w:noWrap/>
            <w:vAlign w:val="bottom"/>
            <w:hideMark/>
          </w:tcPr>
          <w:p w14:paraId="61B06842" w14:textId="77777777" w:rsidR="004327DA" w:rsidRPr="004327DA" w:rsidRDefault="004327DA" w:rsidP="004327DA">
            <w:pPr>
              <w:spacing w:after="0"/>
              <w:jc w:val="right"/>
              <w:rPr>
                <w:rFonts w:ascii="Arial" w:hAnsi="Arial" w:cs="Arial"/>
                <w:color w:val="auto"/>
                <w:sz w:val="16"/>
                <w:szCs w:val="16"/>
              </w:rPr>
            </w:pPr>
            <w:r w:rsidRPr="004327DA">
              <w:rPr>
                <w:rFonts w:ascii="Arial" w:hAnsi="Arial" w:cs="Arial"/>
                <w:color w:val="auto"/>
                <w:sz w:val="16"/>
                <w:szCs w:val="16"/>
              </w:rPr>
              <w:t> </w:t>
            </w:r>
          </w:p>
        </w:tc>
      </w:tr>
      <w:tr w:rsidR="004327DA" w:rsidRPr="004327DA" w14:paraId="78F010BE" w14:textId="77777777" w:rsidTr="004327DA">
        <w:trPr>
          <w:trHeight w:val="225"/>
        </w:trPr>
        <w:tc>
          <w:tcPr>
            <w:tcW w:w="4660" w:type="dxa"/>
            <w:tcBorders>
              <w:top w:val="nil"/>
              <w:left w:val="nil"/>
              <w:bottom w:val="nil"/>
              <w:right w:val="nil"/>
            </w:tcBorders>
            <w:shd w:val="clear" w:color="auto" w:fill="auto"/>
            <w:noWrap/>
            <w:vAlign w:val="bottom"/>
            <w:hideMark/>
          </w:tcPr>
          <w:p w14:paraId="5FD6DA45" w14:textId="77777777" w:rsidR="004327DA" w:rsidRPr="004327DA" w:rsidRDefault="004327DA" w:rsidP="004327DA">
            <w:pPr>
              <w:spacing w:after="0"/>
              <w:ind w:firstLineChars="300" w:firstLine="480"/>
              <w:rPr>
                <w:rFonts w:ascii="Arial" w:hAnsi="Arial" w:cs="Arial"/>
                <w:color w:val="auto"/>
                <w:sz w:val="16"/>
                <w:szCs w:val="16"/>
              </w:rPr>
            </w:pPr>
            <w:r w:rsidRPr="004327DA">
              <w:rPr>
                <w:rFonts w:ascii="Arial" w:hAnsi="Arial" w:cs="Arial"/>
                <w:color w:val="auto"/>
                <w:sz w:val="16"/>
                <w:szCs w:val="16"/>
              </w:rPr>
              <w:t>Equity injection</w:t>
            </w:r>
          </w:p>
        </w:tc>
        <w:tc>
          <w:tcPr>
            <w:tcW w:w="1340" w:type="dxa"/>
            <w:tcBorders>
              <w:top w:val="nil"/>
              <w:left w:val="nil"/>
              <w:bottom w:val="nil"/>
              <w:right w:val="nil"/>
            </w:tcBorders>
            <w:shd w:val="clear" w:color="auto" w:fill="auto"/>
            <w:noWrap/>
            <w:vAlign w:val="bottom"/>
            <w:hideMark/>
          </w:tcPr>
          <w:p w14:paraId="508077A9" w14:textId="77777777" w:rsidR="004327DA" w:rsidRPr="004327DA" w:rsidRDefault="004327DA" w:rsidP="004327DA">
            <w:pPr>
              <w:spacing w:after="0"/>
              <w:jc w:val="right"/>
              <w:rPr>
                <w:rFonts w:ascii="Arial" w:hAnsi="Arial" w:cs="Arial"/>
                <w:color w:val="auto"/>
                <w:sz w:val="16"/>
                <w:szCs w:val="16"/>
              </w:rPr>
            </w:pPr>
            <w:r w:rsidRPr="004327DA">
              <w:rPr>
                <w:rFonts w:ascii="Arial" w:hAnsi="Arial" w:cs="Arial"/>
                <w:color w:val="auto"/>
                <w:sz w:val="16"/>
                <w:szCs w:val="16"/>
              </w:rPr>
              <w:t>125</w:t>
            </w:r>
          </w:p>
        </w:tc>
        <w:tc>
          <w:tcPr>
            <w:tcW w:w="1340" w:type="dxa"/>
            <w:tcBorders>
              <w:top w:val="nil"/>
              <w:left w:val="nil"/>
              <w:bottom w:val="nil"/>
              <w:right w:val="nil"/>
            </w:tcBorders>
            <w:shd w:val="clear" w:color="000000" w:fill="D9D9D9"/>
            <w:noWrap/>
            <w:vAlign w:val="bottom"/>
            <w:hideMark/>
          </w:tcPr>
          <w:p w14:paraId="6B7B6C21" w14:textId="77777777" w:rsidR="004327DA" w:rsidRPr="004327DA" w:rsidRDefault="004327DA" w:rsidP="004327DA">
            <w:pPr>
              <w:spacing w:after="0"/>
              <w:jc w:val="right"/>
              <w:rPr>
                <w:rFonts w:ascii="Arial" w:hAnsi="Arial" w:cs="Arial"/>
                <w:color w:val="auto"/>
                <w:sz w:val="16"/>
                <w:szCs w:val="16"/>
              </w:rPr>
            </w:pPr>
            <w:r w:rsidRPr="004327DA">
              <w:rPr>
                <w:rFonts w:ascii="Arial" w:hAnsi="Arial" w:cs="Arial"/>
                <w:color w:val="auto"/>
                <w:sz w:val="16"/>
                <w:szCs w:val="16"/>
              </w:rPr>
              <w:t>-</w:t>
            </w:r>
          </w:p>
        </w:tc>
      </w:tr>
      <w:tr w:rsidR="004327DA" w:rsidRPr="004327DA" w14:paraId="3D9425FC" w14:textId="77777777" w:rsidTr="004327DA">
        <w:trPr>
          <w:trHeight w:val="300"/>
        </w:trPr>
        <w:tc>
          <w:tcPr>
            <w:tcW w:w="4660" w:type="dxa"/>
            <w:tcBorders>
              <w:top w:val="nil"/>
              <w:left w:val="nil"/>
              <w:bottom w:val="nil"/>
              <w:right w:val="nil"/>
            </w:tcBorders>
            <w:shd w:val="clear" w:color="auto" w:fill="auto"/>
            <w:noWrap/>
            <w:vAlign w:val="bottom"/>
            <w:hideMark/>
          </w:tcPr>
          <w:p w14:paraId="2CBF3273" w14:textId="77777777" w:rsidR="004327DA" w:rsidRPr="004327DA" w:rsidRDefault="004327DA" w:rsidP="004327DA">
            <w:pPr>
              <w:spacing w:after="0"/>
              <w:ind w:firstLineChars="200" w:firstLine="320"/>
              <w:rPr>
                <w:rFonts w:ascii="Arial" w:hAnsi="Arial" w:cs="Arial"/>
                <w:b/>
                <w:bCs/>
                <w:color w:val="auto"/>
                <w:sz w:val="16"/>
                <w:szCs w:val="16"/>
              </w:rPr>
            </w:pPr>
            <w:r w:rsidRPr="004327DA">
              <w:rPr>
                <w:rFonts w:ascii="Arial" w:hAnsi="Arial" w:cs="Arial"/>
                <w:b/>
                <w:bCs/>
                <w:color w:val="auto"/>
                <w:sz w:val="16"/>
                <w:szCs w:val="16"/>
              </w:rPr>
              <w:t>Total annual appropriations</w:t>
            </w:r>
          </w:p>
        </w:tc>
        <w:tc>
          <w:tcPr>
            <w:tcW w:w="1340" w:type="dxa"/>
            <w:tcBorders>
              <w:top w:val="nil"/>
              <w:left w:val="nil"/>
              <w:bottom w:val="single" w:sz="4" w:space="0" w:color="auto"/>
              <w:right w:val="nil"/>
            </w:tcBorders>
            <w:shd w:val="clear" w:color="auto" w:fill="auto"/>
            <w:noWrap/>
            <w:vAlign w:val="bottom"/>
            <w:hideMark/>
          </w:tcPr>
          <w:p w14:paraId="3DFF2F22" w14:textId="77777777" w:rsidR="004327DA" w:rsidRPr="004327DA" w:rsidRDefault="004327DA" w:rsidP="004327DA">
            <w:pPr>
              <w:spacing w:after="0"/>
              <w:jc w:val="right"/>
              <w:rPr>
                <w:rFonts w:ascii="Arial" w:hAnsi="Arial" w:cs="Arial"/>
                <w:b/>
                <w:bCs/>
                <w:color w:val="auto"/>
                <w:sz w:val="16"/>
                <w:szCs w:val="16"/>
              </w:rPr>
            </w:pPr>
            <w:r w:rsidRPr="004327DA">
              <w:rPr>
                <w:rFonts w:ascii="Arial" w:hAnsi="Arial" w:cs="Arial"/>
                <w:b/>
                <w:bCs/>
                <w:color w:val="auto"/>
                <w:sz w:val="16"/>
                <w:szCs w:val="16"/>
              </w:rPr>
              <w:t>35,042</w:t>
            </w:r>
          </w:p>
        </w:tc>
        <w:tc>
          <w:tcPr>
            <w:tcW w:w="1340" w:type="dxa"/>
            <w:tcBorders>
              <w:top w:val="nil"/>
              <w:left w:val="nil"/>
              <w:bottom w:val="single" w:sz="4" w:space="0" w:color="auto"/>
              <w:right w:val="nil"/>
            </w:tcBorders>
            <w:shd w:val="clear" w:color="000000" w:fill="D9D9D9"/>
            <w:noWrap/>
            <w:vAlign w:val="bottom"/>
            <w:hideMark/>
          </w:tcPr>
          <w:p w14:paraId="01BFFE87" w14:textId="77777777" w:rsidR="004327DA" w:rsidRPr="004327DA" w:rsidRDefault="004327DA" w:rsidP="004327DA">
            <w:pPr>
              <w:spacing w:after="0"/>
              <w:jc w:val="right"/>
              <w:rPr>
                <w:rFonts w:ascii="Arial" w:hAnsi="Arial" w:cs="Arial"/>
                <w:b/>
                <w:bCs/>
                <w:color w:val="auto"/>
                <w:sz w:val="16"/>
                <w:szCs w:val="16"/>
              </w:rPr>
            </w:pPr>
            <w:r w:rsidRPr="004327DA">
              <w:rPr>
                <w:rFonts w:ascii="Arial" w:hAnsi="Arial" w:cs="Arial"/>
                <w:b/>
                <w:bCs/>
                <w:color w:val="auto"/>
                <w:sz w:val="16"/>
                <w:szCs w:val="16"/>
              </w:rPr>
              <w:t>34,349</w:t>
            </w:r>
          </w:p>
        </w:tc>
      </w:tr>
      <w:tr w:rsidR="004327DA" w:rsidRPr="004327DA" w14:paraId="0B2838E0" w14:textId="77777777" w:rsidTr="004327DA">
        <w:trPr>
          <w:trHeight w:val="300"/>
        </w:trPr>
        <w:tc>
          <w:tcPr>
            <w:tcW w:w="4660" w:type="dxa"/>
            <w:tcBorders>
              <w:top w:val="nil"/>
              <w:left w:val="nil"/>
              <w:bottom w:val="nil"/>
              <w:right w:val="nil"/>
            </w:tcBorders>
            <w:shd w:val="clear" w:color="auto" w:fill="auto"/>
            <w:noWrap/>
            <w:vAlign w:val="bottom"/>
            <w:hideMark/>
          </w:tcPr>
          <w:p w14:paraId="7781FD14" w14:textId="77777777" w:rsidR="004327DA" w:rsidRPr="004327DA" w:rsidRDefault="004327DA" w:rsidP="004327DA">
            <w:pPr>
              <w:spacing w:after="0"/>
              <w:ind w:firstLineChars="100" w:firstLine="160"/>
              <w:rPr>
                <w:rFonts w:ascii="Arial" w:hAnsi="Arial" w:cs="Arial"/>
                <w:b/>
                <w:bCs/>
                <w:color w:val="auto"/>
                <w:sz w:val="16"/>
                <w:szCs w:val="16"/>
              </w:rPr>
            </w:pPr>
            <w:r w:rsidRPr="004327DA">
              <w:rPr>
                <w:rFonts w:ascii="Arial" w:hAnsi="Arial" w:cs="Arial"/>
                <w:b/>
                <w:bCs/>
                <w:color w:val="auto"/>
                <w:sz w:val="16"/>
                <w:szCs w:val="16"/>
              </w:rPr>
              <w:t>Amounts received from related entities</w:t>
            </w:r>
            <w:r w:rsidRPr="004327DA">
              <w:rPr>
                <w:rFonts w:ascii="Arial" w:hAnsi="Arial" w:cs="Arial"/>
                <w:b/>
                <w:bCs/>
                <w:color w:val="auto"/>
                <w:sz w:val="16"/>
                <w:szCs w:val="16"/>
                <w:vertAlign w:val="superscript"/>
              </w:rPr>
              <w:t xml:space="preserve"> (c)</w:t>
            </w:r>
          </w:p>
        </w:tc>
        <w:tc>
          <w:tcPr>
            <w:tcW w:w="1340" w:type="dxa"/>
            <w:tcBorders>
              <w:top w:val="nil"/>
              <w:left w:val="nil"/>
              <w:bottom w:val="nil"/>
              <w:right w:val="nil"/>
            </w:tcBorders>
            <w:shd w:val="clear" w:color="auto" w:fill="auto"/>
            <w:noWrap/>
            <w:vAlign w:val="bottom"/>
            <w:hideMark/>
          </w:tcPr>
          <w:p w14:paraId="50D6D283" w14:textId="77777777" w:rsidR="004327DA" w:rsidRPr="004327DA" w:rsidRDefault="004327DA" w:rsidP="004327DA">
            <w:pPr>
              <w:spacing w:after="0"/>
              <w:ind w:firstLineChars="100" w:firstLine="160"/>
              <w:rPr>
                <w:rFonts w:ascii="Arial" w:hAnsi="Arial" w:cs="Arial"/>
                <w:b/>
                <w:bCs/>
                <w:color w:val="auto"/>
                <w:sz w:val="16"/>
                <w:szCs w:val="16"/>
              </w:rPr>
            </w:pPr>
          </w:p>
        </w:tc>
        <w:tc>
          <w:tcPr>
            <w:tcW w:w="1340" w:type="dxa"/>
            <w:tcBorders>
              <w:top w:val="nil"/>
              <w:left w:val="nil"/>
              <w:bottom w:val="nil"/>
              <w:right w:val="nil"/>
            </w:tcBorders>
            <w:shd w:val="clear" w:color="000000" w:fill="D9D9D9"/>
            <w:noWrap/>
            <w:vAlign w:val="bottom"/>
            <w:hideMark/>
          </w:tcPr>
          <w:p w14:paraId="5C56DB4E" w14:textId="77777777" w:rsidR="004327DA" w:rsidRPr="004327DA" w:rsidRDefault="004327DA" w:rsidP="004327DA">
            <w:pPr>
              <w:spacing w:after="0"/>
              <w:jc w:val="right"/>
              <w:rPr>
                <w:rFonts w:ascii="Arial" w:hAnsi="Arial" w:cs="Arial"/>
                <w:color w:val="auto"/>
                <w:sz w:val="16"/>
                <w:szCs w:val="16"/>
              </w:rPr>
            </w:pPr>
            <w:r w:rsidRPr="004327DA">
              <w:rPr>
                <w:rFonts w:ascii="Arial" w:hAnsi="Arial" w:cs="Arial"/>
                <w:color w:val="auto"/>
                <w:sz w:val="16"/>
                <w:szCs w:val="16"/>
              </w:rPr>
              <w:t> </w:t>
            </w:r>
          </w:p>
        </w:tc>
      </w:tr>
      <w:tr w:rsidR="004327DA" w:rsidRPr="004327DA" w14:paraId="4615D485" w14:textId="77777777" w:rsidTr="004327DA">
        <w:trPr>
          <w:trHeight w:val="225"/>
        </w:trPr>
        <w:tc>
          <w:tcPr>
            <w:tcW w:w="4660" w:type="dxa"/>
            <w:tcBorders>
              <w:top w:val="nil"/>
              <w:left w:val="nil"/>
              <w:bottom w:val="nil"/>
              <w:right w:val="nil"/>
            </w:tcBorders>
            <w:shd w:val="clear" w:color="auto" w:fill="auto"/>
            <w:noWrap/>
            <w:vAlign w:val="bottom"/>
            <w:hideMark/>
          </w:tcPr>
          <w:p w14:paraId="211A8E51" w14:textId="77777777" w:rsidR="004327DA" w:rsidRPr="004327DA" w:rsidRDefault="004327DA" w:rsidP="004327DA">
            <w:pPr>
              <w:spacing w:after="0"/>
              <w:ind w:firstLineChars="200" w:firstLine="320"/>
              <w:rPr>
                <w:rFonts w:ascii="Arial" w:hAnsi="Arial" w:cs="Arial"/>
                <w:color w:val="auto"/>
                <w:sz w:val="16"/>
                <w:szCs w:val="16"/>
              </w:rPr>
            </w:pPr>
            <w:r w:rsidRPr="004327DA">
              <w:rPr>
                <w:rFonts w:ascii="Arial" w:hAnsi="Arial" w:cs="Arial"/>
                <w:color w:val="auto"/>
                <w:sz w:val="16"/>
                <w:szCs w:val="16"/>
              </w:rPr>
              <w:t>Amounts from the Portfolio Department</w:t>
            </w:r>
          </w:p>
        </w:tc>
        <w:tc>
          <w:tcPr>
            <w:tcW w:w="1340" w:type="dxa"/>
            <w:tcBorders>
              <w:top w:val="nil"/>
              <w:left w:val="nil"/>
              <w:bottom w:val="nil"/>
              <w:right w:val="nil"/>
            </w:tcBorders>
            <w:shd w:val="clear" w:color="auto" w:fill="auto"/>
            <w:noWrap/>
            <w:vAlign w:val="bottom"/>
            <w:hideMark/>
          </w:tcPr>
          <w:p w14:paraId="12D281F6" w14:textId="77777777" w:rsidR="004327DA" w:rsidRPr="004327DA" w:rsidRDefault="004327DA" w:rsidP="004327DA">
            <w:pPr>
              <w:spacing w:after="0"/>
              <w:jc w:val="right"/>
              <w:rPr>
                <w:rFonts w:ascii="Arial" w:hAnsi="Arial" w:cs="Arial"/>
                <w:color w:val="auto"/>
                <w:sz w:val="16"/>
                <w:szCs w:val="16"/>
              </w:rPr>
            </w:pPr>
            <w:r w:rsidRPr="004327DA">
              <w:rPr>
                <w:rFonts w:ascii="Arial" w:hAnsi="Arial" w:cs="Arial"/>
                <w:color w:val="auto"/>
                <w:sz w:val="16"/>
                <w:szCs w:val="16"/>
              </w:rPr>
              <w:t>37,367</w:t>
            </w:r>
          </w:p>
        </w:tc>
        <w:tc>
          <w:tcPr>
            <w:tcW w:w="1340" w:type="dxa"/>
            <w:tcBorders>
              <w:top w:val="nil"/>
              <w:left w:val="nil"/>
              <w:bottom w:val="nil"/>
              <w:right w:val="nil"/>
            </w:tcBorders>
            <w:shd w:val="clear" w:color="000000" w:fill="D9D9D9"/>
            <w:noWrap/>
            <w:vAlign w:val="bottom"/>
            <w:hideMark/>
          </w:tcPr>
          <w:p w14:paraId="30D06740" w14:textId="77777777" w:rsidR="004327DA" w:rsidRPr="004327DA" w:rsidRDefault="004327DA" w:rsidP="004327DA">
            <w:pPr>
              <w:spacing w:after="0"/>
              <w:jc w:val="right"/>
              <w:rPr>
                <w:rFonts w:ascii="Arial" w:hAnsi="Arial" w:cs="Arial"/>
                <w:color w:val="auto"/>
                <w:sz w:val="16"/>
                <w:szCs w:val="16"/>
              </w:rPr>
            </w:pPr>
            <w:r w:rsidRPr="004327DA">
              <w:rPr>
                <w:rFonts w:ascii="Arial" w:hAnsi="Arial" w:cs="Arial"/>
                <w:color w:val="auto"/>
                <w:sz w:val="16"/>
                <w:szCs w:val="16"/>
              </w:rPr>
              <w:t>30,000</w:t>
            </w:r>
          </w:p>
        </w:tc>
      </w:tr>
      <w:tr w:rsidR="004327DA" w:rsidRPr="004327DA" w14:paraId="3CA54635" w14:textId="77777777" w:rsidTr="004327DA">
        <w:trPr>
          <w:trHeight w:val="225"/>
        </w:trPr>
        <w:tc>
          <w:tcPr>
            <w:tcW w:w="4660" w:type="dxa"/>
            <w:tcBorders>
              <w:top w:val="nil"/>
              <w:left w:val="nil"/>
              <w:bottom w:val="nil"/>
              <w:right w:val="nil"/>
            </w:tcBorders>
            <w:shd w:val="clear" w:color="auto" w:fill="auto"/>
            <w:noWrap/>
            <w:vAlign w:val="bottom"/>
            <w:hideMark/>
          </w:tcPr>
          <w:p w14:paraId="4E86DD17" w14:textId="77777777" w:rsidR="004327DA" w:rsidRPr="004327DA" w:rsidRDefault="004327DA" w:rsidP="004327DA">
            <w:pPr>
              <w:spacing w:after="0"/>
              <w:ind w:firstLineChars="200" w:firstLine="320"/>
              <w:rPr>
                <w:rFonts w:ascii="Arial" w:hAnsi="Arial" w:cs="Arial"/>
                <w:color w:val="auto"/>
                <w:sz w:val="16"/>
                <w:szCs w:val="16"/>
              </w:rPr>
            </w:pPr>
            <w:r w:rsidRPr="004327DA">
              <w:rPr>
                <w:rFonts w:ascii="Arial" w:hAnsi="Arial" w:cs="Arial"/>
                <w:color w:val="auto"/>
                <w:sz w:val="16"/>
                <w:szCs w:val="16"/>
              </w:rPr>
              <w:t>Amounts from other entities</w:t>
            </w:r>
          </w:p>
        </w:tc>
        <w:tc>
          <w:tcPr>
            <w:tcW w:w="1340" w:type="dxa"/>
            <w:tcBorders>
              <w:top w:val="nil"/>
              <w:left w:val="nil"/>
              <w:bottom w:val="nil"/>
              <w:right w:val="nil"/>
            </w:tcBorders>
            <w:shd w:val="clear" w:color="auto" w:fill="auto"/>
            <w:noWrap/>
            <w:vAlign w:val="bottom"/>
            <w:hideMark/>
          </w:tcPr>
          <w:p w14:paraId="26DC8EFA" w14:textId="77777777" w:rsidR="004327DA" w:rsidRPr="004327DA" w:rsidRDefault="004327DA" w:rsidP="004327DA">
            <w:pPr>
              <w:spacing w:after="0"/>
              <w:jc w:val="right"/>
              <w:rPr>
                <w:rFonts w:ascii="Arial" w:hAnsi="Arial" w:cs="Arial"/>
                <w:color w:val="auto"/>
                <w:sz w:val="16"/>
                <w:szCs w:val="16"/>
              </w:rPr>
            </w:pPr>
            <w:r w:rsidRPr="004327DA">
              <w:rPr>
                <w:rFonts w:ascii="Arial" w:hAnsi="Arial" w:cs="Arial"/>
                <w:color w:val="auto"/>
                <w:sz w:val="16"/>
                <w:szCs w:val="16"/>
              </w:rPr>
              <w:t>-</w:t>
            </w:r>
          </w:p>
        </w:tc>
        <w:tc>
          <w:tcPr>
            <w:tcW w:w="1340" w:type="dxa"/>
            <w:tcBorders>
              <w:top w:val="nil"/>
              <w:left w:val="nil"/>
              <w:bottom w:val="nil"/>
              <w:right w:val="nil"/>
            </w:tcBorders>
            <w:shd w:val="clear" w:color="000000" w:fill="D9D9D9"/>
            <w:noWrap/>
            <w:vAlign w:val="bottom"/>
            <w:hideMark/>
          </w:tcPr>
          <w:p w14:paraId="7665DB91" w14:textId="77777777" w:rsidR="004327DA" w:rsidRPr="004327DA" w:rsidRDefault="004327DA" w:rsidP="004327DA">
            <w:pPr>
              <w:spacing w:after="0"/>
              <w:jc w:val="right"/>
              <w:rPr>
                <w:rFonts w:ascii="Arial" w:hAnsi="Arial" w:cs="Arial"/>
                <w:color w:val="auto"/>
                <w:sz w:val="16"/>
                <w:szCs w:val="16"/>
              </w:rPr>
            </w:pPr>
            <w:r w:rsidRPr="004327DA">
              <w:rPr>
                <w:rFonts w:ascii="Arial" w:hAnsi="Arial" w:cs="Arial"/>
                <w:color w:val="auto"/>
                <w:sz w:val="16"/>
                <w:szCs w:val="16"/>
              </w:rPr>
              <w:t>-</w:t>
            </w:r>
          </w:p>
        </w:tc>
      </w:tr>
      <w:tr w:rsidR="004327DA" w:rsidRPr="004327DA" w14:paraId="2A6E8DB7" w14:textId="77777777" w:rsidTr="004327DA">
        <w:trPr>
          <w:trHeight w:val="225"/>
        </w:trPr>
        <w:tc>
          <w:tcPr>
            <w:tcW w:w="4660" w:type="dxa"/>
            <w:tcBorders>
              <w:top w:val="nil"/>
              <w:left w:val="nil"/>
              <w:bottom w:val="nil"/>
              <w:right w:val="nil"/>
            </w:tcBorders>
            <w:shd w:val="clear" w:color="auto" w:fill="auto"/>
            <w:noWrap/>
            <w:vAlign w:val="bottom"/>
            <w:hideMark/>
          </w:tcPr>
          <w:p w14:paraId="2B8334E6" w14:textId="77777777" w:rsidR="004327DA" w:rsidRPr="004327DA" w:rsidRDefault="004327DA" w:rsidP="004327DA">
            <w:pPr>
              <w:spacing w:after="0"/>
              <w:ind w:firstLineChars="200" w:firstLine="320"/>
              <w:rPr>
                <w:rFonts w:ascii="Arial" w:hAnsi="Arial" w:cs="Arial"/>
                <w:b/>
                <w:bCs/>
                <w:color w:val="auto"/>
                <w:sz w:val="16"/>
                <w:szCs w:val="16"/>
              </w:rPr>
            </w:pPr>
            <w:r w:rsidRPr="004327DA">
              <w:rPr>
                <w:rFonts w:ascii="Arial" w:hAnsi="Arial" w:cs="Arial"/>
                <w:b/>
                <w:bCs/>
                <w:color w:val="auto"/>
                <w:sz w:val="16"/>
                <w:szCs w:val="16"/>
              </w:rPr>
              <w:t>Total amounts received from related entities</w:t>
            </w:r>
          </w:p>
        </w:tc>
        <w:tc>
          <w:tcPr>
            <w:tcW w:w="1340" w:type="dxa"/>
            <w:tcBorders>
              <w:top w:val="nil"/>
              <w:left w:val="nil"/>
              <w:bottom w:val="single" w:sz="4" w:space="0" w:color="auto"/>
              <w:right w:val="nil"/>
            </w:tcBorders>
            <w:shd w:val="clear" w:color="auto" w:fill="auto"/>
            <w:noWrap/>
            <w:vAlign w:val="bottom"/>
            <w:hideMark/>
          </w:tcPr>
          <w:p w14:paraId="639126A2" w14:textId="77777777" w:rsidR="004327DA" w:rsidRPr="004327DA" w:rsidRDefault="004327DA" w:rsidP="004327DA">
            <w:pPr>
              <w:spacing w:after="0"/>
              <w:jc w:val="right"/>
              <w:rPr>
                <w:rFonts w:ascii="Arial" w:hAnsi="Arial" w:cs="Arial"/>
                <w:b/>
                <w:bCs/>
                <w:color w:val="auto"/>
                <w:sz w:val="16"/>
                <w:szCs w:val="16"/>
              </w:rPr>
            </w:pPr>
            <w:r w:rsidRPr="004327DA">
              <w:rPr>
                <w:rFonts w:ascii="Arial" w:hAnsi="Arial" w:cs="Arial"/>
                <w:b/>
                <w:bCs/>
                <w:color w:val="auto"/>
                <w:sz w:val="16"/>
                <w:szCs w:val="16"/>
              </w:rPr>
              <w:t>37,367</w:t>
            </w:r>
          </w:p>
        </w:tc>
        <w:tc>
          <w:tcPr>
            <w:tcW w:w="1340" w:type="dxa"/>
            <w:tcBorders>
              <w:top w:val="nil"/>
              <w:left w:val="nil"/>
              <w:bottom w:val="single" w:sz="4" w:space="0" w:color="auto"/>
              <w:right w:val="nil"/>
            </w:tcBorders>
            <w:shd w:val="clear" w:color="000000" w:fill="D9D9D9"/>
            <w:noWrap/>
            <w:vAlign w:val="bottom"/>
            <w:hideMark/>
          </w:tcPr>
          <w:p w14:paraId="5283EED7" w14:textId="77777777" w:rsidR="004327DA" w:rsidRPr="004327DA" w:rsidRDefault="004327DA" w:rsidP="004327DA">
            <w:pPr>
              <w:spacing w:after="0"/>
              <w:jc w:val="right"/>
              <w:rPr>
                <w:rFonts w:ascii="Arial" w:hAnsi="Arial" w:cs="Arial"/>
                <w:b/>
                <w:bCs/>
                <w:color w:val="auto"/>
                <w:sz w:val="16"/>
                <w:szCs w:val="16"/>
              </w:rPr>
            </w:pPr>
            <w:r w:rsidRPr="004327DA">
              <w:rPr>
                <w:rFonts w:ascii="Arial" w:hAnsi="Arial" w:cs="Arial"/>
                <w:b/>
                <w:bCs/>
                <w:color w:val="auto"/>
                <w:sz w:val="16"/>
                <w:szCs w:val="16"/>
              </w:rPr>
              <w:t>30,000</w:t>
            </w:r>
          </w:p>
        </w:tc>
      </w:tr>
      <w:tr w:rsidR="004327DA" w:rsidRPr="004327DA" w14:paraId="62EA306C" w14:textId="77777777" w:rsidTr="004327DA">
        <w:trPr>
          <w:trHeight w:val="300"/>
        </w:trPr>
        <w:tc>
          <w:tcPr>
            <w:tcW w:w="4660" w:type="dxa"/>
            <w:tcBorders>
              <w:top w:val="nil"/>
              <w:left w:val="nil"/>
              <w:bottom w:val="nil"/>
              <w:right w:val="nil"/>
            </w:tcBorders>
            <w:shd w:val="clear" w:color="auto" w:fill="auto"/>
            <w:noWrap/>
            <w:vAlign w:val="bottom"/>
            <w:hideMark/>
          </w:tcPr>
          <w:p w14:paraId="6E3F76A0" w14:textId="77777777" w:rsidR="004327DA" w:rsidRPr="004327DA" w:rsidRDefault="004327DA" w:rsidP="004327DA">
            <w:pPr>
              <w:spacing w:after="0"/>
              <w:ind w:firstLineChars="100" w:firstLine="160"/>
              <w:rPr>
                <w:rFonts w:ascii="Arial" w:hAnsi="Arial" w:cs="Arial"/>
                <w:b/>
                <w:bCs/>
                <w:color w:val="auto"/>
                <w:sz w:val="16"/>
                <w:szCs w:val="16"/>
              </w:rPr>
            </w:pPr>
            <w:r w:rsidRPr="004327DA">
              <w:rPr>
                <w:rFonts w:ascii="Arial" w:hAnsi="Arial" w:cs="Arial"/>
                <w:b/>
                <w:bCs/>
                <w:color w:val="auto"/>
                <w:sz w:val="16"/>
                <w:szCs w:val="16"/>
              </w:rPr>
              <w:t>Total funds from Government</w:t>
            </w:r>
          </w:p>
        </w:tc>
        <w:tc>
          <w:tcPr>
            <w:tcW w:w="1340" w:type="dxa"/>
            <w:tcBorders>
              <w:top w:val="nil"/>
              <w:left w:val="nil"/>
              <w:bottom w:val="single" w:sz="4" w:space="0" w:color="auto"/>
              <w:right w:val="nil"/>
            </w:tcBorders>
            <w:shd w:val="clear" w:color="auto" w:fill="auto"/>
            <w:noWrap/>
            <w:vAlign w:val="bottom"/>
            <w:hideMark/>
          </w:tcPr>
          <w:p w14:paraId="13B6CD77" w14:textId="77777777" w:rsidR="004327DA" w:rsidRPr="004327DA" w:rsidRDefault="004327DA" w:rsidP="004327DA">
            <w:pPr>
              <w:spacing w:after="0"/>
              <w:jc w:val="right"/>
              <w:rPr>
                <w:rFonts w:ascii="Arial" w:hAnsi="Arial" w:cs="Arial"/>
                <w:b/>
                <w:bCs/>
                <w:color w:val="auto"/>
                <w:sz w:val="16"/>
                <w:szCs w:val="16"/>
              </w:rPr>
            </w:pPr>
            <w:r w:rsidRPr="004327DA">
              <w:rPr>
                <w:rFonts w:ascii="Arial" w:hAnsi="Arial" w:cs="Arial"/>
                <w:b/>
                <w:bCs/>
                <w:color w:val="auto"/>
                <w:sz w:val="16"/>
                <w:szCs w:val="16"/>
              </w:rPr>
              <w:t>72,409</w:t>
            </w:r>
          </w:p>
        </w:tc>
        <w:tc>
          <w:tcPr>
            <w:tcW w:w="1340" w:type="dxa"/>
            <w:tcBorders>
              <w:top w:val="nil"/>
              <w:left w:val="nil"/>
              <w:bottom w:val="single" w:sz="4" w:space="0" w:color="auto"/>
              <w:right w:val="nil"/>
            </w:tcBorders>
            <w:shd w:val="clear" w:color="000000" w:fill="D9D9D9"/>
            <w:noWrap/>
            <w:vAlign w:val="bottom"/>
            <w:hideMark/>
          </w:tcPr>
          <w:p w14:paraId="66F51316" w14:textId="77777777" w:rsidR="004327DA" w:rsidRPr="004327DA" w:rsidRDefault="004327DA" w:rsidP="004327DA">
            <w:pPr>
              <w:spacing w:after="0"/>
              <w:jc w:val="right"/>
              <w:rPr>
                <w:rFonts w:ascii="Arial" w:hAnsi="Arial" w:cs="Arial"/>
                <w:b/>
                <w:bCs/>
                <w:color w:val="auto"/>
                <w:sz w:val="16"/>
                <w:szCs w:val="16"/>
              </w:rPr>
            </w:pPr>
            <w:r w:rsidRPr="004327DA">
              <w:rPr>
                <w:rFonts w:ascii="Arial" w:hAnsi="Arial" w:cs="Arial"/>
                <w:b/>
                <w:bCs/>
                <w:color w:val="auto"/>
                <w:sz w:val="16"/>
                <w:szCs w:val="16"/>
              </w:rPr>
              <w:t>64,349</w:t>
            </w:r>
          </w:p>
        </w:tc>
      </w:tr>
      <w:tr w:rsidR="004327DA" w:rsidRPr="004327DA" w14:paraId="562217DD" w14:textId="77777777" w:rsidTr="004327DA">
        <w:trPr>
          <w:trHeight w:val="300"/>
        </w:trPr>
        <w:tc>
          <w:tcPr>
            <w:tcW w:w="4660" w:type="dxa"/>
            <w:tcBorders>
              <w:top w:val="nil"/>
              <w:left w:val="nil"/>
              <w:bottom w:val="nil"/>
              <w:right w:val="nil"/>
            </w:tcBorders>
            <w:shd w:val="clear" w:color="000000" w:fill="FFFFFF"/>
            <w:vAlign w:val="bottom"/>
            <w:hideMark/>
          </w:tcPr>
          <w:p w14:paraId="4D507B9F" w14:textId="747D21C4" w:rsidR="004327DA" w:rsidRPr="004327DA" w:rsidRDefault="004327DA" w:rsidP="004327DA">
            <w:pPr>
              <w:spacing w:after="0"/>
              <w:ind w:firstLineChars="100" w:firstLine="160"/>
              <w:rPr>
                <w:rFonts w:ascii="Arial" w:hAnsi="Arial" w:cs="Arial"/>
                <w:b/>
                <w:bCs/>
                <w:sz w:val="16"/>
                <w:szCs w:val="16"/>
              </w:rPr>
            </w:pPr>
            <w:r w:rsidRPr="004327DA">
              <w:rPr>
                <w:rFonts w:ascii="Arial" w:hAnsi="Arial" w:cs="Arial"/>
                <w:b/>
                <w:bCs/>
                <w:sz w:val="16"/>
                <w:szCs w:val="16"/>
              </w:rPr>
              <w:t>Funds from other sources</w:t>
            </w:r>
          </w:p>
        </w:tc>
        <w:tc>
          <w:tcPr>
            <w:tcW w:w="1340" w:type="dxa"/>
            <w:tcBorders>
              <w:top w:val="nil"/>
              <w:left w:val="nil"/>
              <w:bottom w:val="nil"/>
              <w:right w:val="nil"/>
            </w:tcBorders>
            <w:shd w:val="clear" w:color="auto" w:fill="auto"/>
            <w:noWrap/>
            <w:vAlign w:val="bottom"/>
            <w:hideMark/>
          </w:tcPr>
          <w:p w14:paraId="23A35B2E" w14:textId="77777777" w:rsidR="004327DA" w:rsidRPr="004327DA" w:rsidRDefault="004327DA" w:rsidP="004327DA">
            <w:pPr>
              <w:spacing w:after="0"/>
              <w:ind w:firstLineChars="100" w:firstLine="160"/>
              <w:rPr>
                <w:rFonts w:ascii="Arial" w:hAnsi="Arial" w:cs="Arial"/>
                <w:b/>
                <w:bCs/>
                <w:sz w:val="16"/>
                <w:szCs w:val="16"/>
              </w:rPr>
            </w:pPr>
          </w:p>
        </w:tc>
        <w:tc>
          <w:tcPr>
            <w:tcW w:w="1340" w:type="dxa"/>
            <w:tcBorders>
              <w:top w:val="nil"/>
              <w:left w:val="nil"/>
              <w:bottom w:val="nil"/>
              <w:right w:val="nil"/>
            </w:tcBorders>
            <w:shd w:val="clear" w:color="000000" w:fill="D9D9D9"/>
            <w:noWrap/>
            <w:vAlign w:val="bottom"/>
            <w:hideMark/>
          </w:tcPr>
          <w:p w14:paraId="4CEDB413" w14:textId="77777777" w:rsidR="004327DA" w:rsidRPr="004327DA" w:rsidRDefault="004327DA" w:rsidP="004327DA">
            <w:pPr>
              <w:spacing w:after="0"/>
              <w:jc w:val="right"/>
              <w:rPr>
                <w:rFonts w:ascii="Arial" w:hAnsi="Arial" w:cs="Arial"/>
                <w:color w:val="auto"/>
                <w:sz w:val="16"/>
                <w:szCs w:val="16"/>
              </w:rPr>
            </w:pPr>
            <w:r w:rsidRPr="004327DA">
              <w:rPr>
                <w:rFonts w:ascii="Arial" w:hAnsi="Arial" w:cs="Arial"/>
                <w:color w:val="auto"/>
                <w:sz w:val="16"/>
                <w:szCs w:val="16"/>
              </w:rPr>
              <w:t> </w:t>
            </w:r>
          </w:p>
        </w:tc>
      </w:tr>
      <w:tr w:rsidR="004327DA" w:rsidRPr="004327DA" w14:paraId="137BF05A" w14:textId="77777777" w:rsidTr="004327DA">
        <w:trPr>
          <w:trHeight w:val="225"/>
        </w:trPr>
        <w:tc>
          <w:tcPr>
            <w:tcW w:w="4660" w:type="dxa"/>
            <w:tcBorders>
              <w:top w:val="nil"/>
              <w:left w:val="nil"/>
              <w:bottom w:val="nil"/>
              <w:right w:val="nil"/>
            </w:tcBorders>
            <w:shd w:val="clear" w:color="auto" w:fill="auto"/>
            <w:noWrap/>
            <w:vAlign w:val="bottom"/>
            <w:hideMark/>
          </w:tcPr>
          <w:p w14:paraId="74FA66C1" w14:textId="77777777" w:rsidR="004327DA" w:rsidRPr="004327DA" w:rsidRDefault="004327DA" w:rsidP="004327DA">
            <w:pPr>
              <w:spacing w:after="0"/>
              <w:ind w:firstLineChars="200" w:firstLine="320"/>
              <w:rPr>
                <w:rFonts w:ascii="Arial" w:hAnsi="Arial" w:cs="Arial"/>
                <w:color w:val="auto"/>
                <w:sz w:val="16"/>
                <w:szCs w:val="16"/>
              </w:rPr>
            </w:pPr>
            <w:r w:rsidRPr="004327DA">
              <w:rPr>
                <w:rFonts w:ascii="Arial" w:hAnsi="Arial" w:cs="Arial"/>
                <w:color w:val="auto"/>
                <w:sz w:val="16"/>
                <w:szCs w:val="16"/>
              </w:rPr>
              <w:t>Interest</w:t>
            </w:r>
          </w:p>
        </w:tc>
        <w:tc>
          <w:tcPr>
            <w:tcW w:w="1340" w:type="dxa"/>
            <w:tcBorders>
              <w:top w:val="nil"/>
              <w:left w:val="nil"/>
              <w:bottom w:val="nil"/>
              <w:right w:val="nil"/>
            </w:tcBorders>
            <w:shd w:val="clear" w:color="auto" w:fill="auto"/>
            <w:noWrap/>
            <w:vAlign w:val="bottom"/>
            <w:hideMark/>
          </w:tcPr>
          <w:p w14:paraId="4544E26A" w14:textId="77777777" w:rsidR="004327DA" w:rsidRPr="004327DA" w:rsidRDefault="004327DA" w:rsidP="004327DA">
            <w:pPr>
              <w:spacing w:after="0"/>
              <w:jc w:val="right"/>
              <w:rPr>
                <w:rFonts w:ascii="Arial" w:hAnsi="Arial" w:cs="Arial"/>
                <w:color w:val="auto"/>
                <w:sz w:val="16"/>
                <w:szCs w:val="16"/>
              </w:rPr>
            </w:pPr>
            <w:r w:rsidRPr="004327DA">
              <w:rPr>
                <w:rFonts w:ascii="Arial" w:hAnsi="Arial" w:cs="Arial"/>
                <w:color w:val="auto"/>
                <w:sz w:val="16"/>
                <w:szCs w:val="16"/>
              </w:rPr>
              <w:t>185</w:t>
            </w:r>
          </w:p>
        </w:tc>
        <w:tc>
          <w:tcPr>
            <w:tcW w:w="1340" w:type="dxa"/>
            <w:tcBorders>
              <w:top w:val="nil"/>
              <w:left w:val="nil"/>
              <w:bottom w:val="nil"/>
              <w:right w:val="nil"/>
            </w:tcBorders>
            <w:shd w:val="clear" w:color="000000" w:fill="D9D9D9"/>
            <w:noWrap/>
            <w:vAlign w:val="bottom"/>
            <w:hideMark/>
          </w:tcPr>
          <w:p w14:paraId="7EAED059" w14:textId="77777777" w:rsidR="004327DA" w:rsidRPr="004327DA" w:rsidRDefault="004327DA" w:rsidP="004327DA">
            <w:pPr>
              <w:spacing w:after="0"/>
              <w:jc w:val="right"/>
              <w:rPr>
                <w:rFonts w:ascii="Arial" w:hAnsi="Arial" w:cs="Arial"/>
                <w:color w:val="auto"/>
                <w:sz w:val="16"/>
                <w:szCs w:val="16"/>
              </w:rPr>
            </w:pPr>
            <w:r w:rsidRPr="004327DA">
              <w:rPr>
                <w:rFonts w:ascii="Arial" w:hAnsi="Arial" w:cs="Arial"/>
                <w:color w:val="auto"/>
                <w:sz w:val="16"/>
                <w:szCs w:val="16"/>
              </w:rPr>
              <w:t>800</w:t>
            </w:r>
          </w:p>
        </w:tc>
      </w:tr>
      <w:tr w:rsidR="004327DA" w:rsidRPr="004327DA" w14:paraId="3AC3794A" w14:textId="77777777" w:rsidTr="004327DA">
        <w:trPr>
          <w:trHeight w:val="225"/>
        </w:trPr>
        <w:tc>
          <w:tcPr>
            <w:tcW w:w="4660" w:type="dxa"/>
            <w:tcBorders>
              <w:top w:val="nil"/>
              <w:left w:val="nil"/>
              <w:bottom w:val="nil"/>
              <w:right w:val="nil"/>
            </w:tcBorders>
            <w:shd w:val="clear" w:color="auto" w:fill="auto"/>
            <w:noWrap/>
            <w:vAlign w:val="bottom"/>
            <w:hideMark/>
          </w:tcPr>
          <w:p w14:paraId="14C076A7" w14:textId="77777777" w:rsidR="004327DA" w:rsidRPr="004327DA" w:rsidRDefault="004327DA" w:rsidP="004327DA">
            <w:pPr>
              <w:spacing w:after="0"/>
              <w:ind w:firstLineChars="200" w:firstLine="320"/>
              <w:rPr>
                <w:rFonts w:ascii="Arial" w:hAnsi="Arial" w:cs="Arial"/>
                <w:color w:val="auto"/>
                <w:sz w:val="16"/>
                <w:szCs w:val="16"/>
              </w:rPr>
            </w:pPr>
            <w:r w:rsidRPr="004327DA">
              <w:rPr>
                <w:rFonts w:ascii="Arial" w:hAnsi="Arial" w:cs="Arial"/>
                <w:color w:val="auto"/>
                <w:sz w:val="16"/>
                <w:szCs w:val="16"/>
              </w:rPr>
              <w:t>Sale of goods and services</w:t>
            </w:r>
          </w:p>
        </w:tc>
        <w:tc>
          <w:tcPr>
            <w:tcW w:w="1340" w:type="dxa"/>
            <w:tcBorders>
              <w:top w:val="nil"/>
              <w:left w:val="nil"/>
              <w:bottom w:val="nil"/>
              <w:right w:val="nil"/>
            </w:tcBorders>
            <w:shd w:val="clear" w:color="auto" w:fill="auto"/>
            <w:noWrap/>
            <w:vAlign w:val="bottom"/>
            <w:hideMark/>
          </w:tcPr>
          <w:p w14:paraId="3694A2DC" w14:textId="77777777" w:rsidR="004327DA" w:rsidRPr="004327DA" w:rsidRDefault="004327DA" w:rsidP="004327DA">
            <w:pPr>
              <w:spacing w:after="0"/>
              <w:jc w:val="right"/>
              <w:rPr>
                <w:rFonts w:ascii="Arial" w:hAnsi="Arial" w:cs="Arial"/>
                <w:color w:val="auto"/>
                <w:sz w:val="16"/>
                <w:szCs w:val="16"/>
              </w:rPr>
            </w:pPr>
            <w:r w:rsidRPr="004327DA">
              <w:rPr>
                <w:rFonts w:ascii="Arial" w:hAnsi="Arial" w:cs="Arial"/>
                <w:color w:val="auto"/>
                <w:sz w:val="16"/>
                <w:szCs w:val="16"/>
              </w:rPr>
              <w:t>36,391</w:t>
            </w:r>
          </w:p>
        </w:tc>
        <w:tc>
          <w:tcPr>
            <w:tcW w:w="1340" w:type="dxa"/>
            <w:tcBorders>
              <w:top w:val="nil"/>
              <w:left w:val="nil"/>
              <w:bottom w:val="nil"/>
              <w:right w:val="nil"/>
            </w:tcBorders>
            <w:shd w:val="clear" w:color="000000" w:fill="D9D9D9"/>
            <w:noWrap/>
            <w:vAlign w:val="bottom"/>
            <w:hideMark/>
          </w:tcPr>
          <w:p w14:paraId="7F38A29E" w14:textId="77777777" w:rsidR="004327DA" w:rsidRPr="004327DA" w:rsidRDefault="004327DA" w:rsidP="004327DA">
            <w:pPr>
              <w:spacing w:after="0"/>
              <w:jc w:val="right"/>
              <w:rPr>
                <w:rFonts w:ascii="Arial" w:hAnsi="Arial" w:cs="Arial"/>
                <w:color w:val="auto"/>
                <w:sz w:val="16"/>
                <w:szCs w:val="16"/>
              </w:rPr>
            </w:pPr>
            <w:r w:rsidRPr="004327DA">
              <w:rPr>
                <w:rFonts w:ascii="Arial" w:hAnsi="Arial" w:cs="Arial"/>
                <w:color w:val="auto"/>
                <w:sz w:val="16"/>
                <w:szCs w:val="16"/>
              </w:rPr>
              <w:t>32,000</w:t>
            </w:r>
          </w:p>
        </w:tc>
      </w:tr>
      <w:tr w:rsidR="004327DA" w:rsidRPr="004327DA" w14:paraId="03CA09B1" w14:textId="77777777" w:rsidTr="004327DA">
        <w:trPr>
          <w:trHeight w:val="225"/>
        </w:trPr>
        <w:tc>
          <w:tcPr>
            <w:tcW w:w="4660" w:type="dxa"/>
            <w:tcBorders>
              <w:top w:val="nil"/>
              <w:left w:val="nil"/>
              <w:bottom w:val="nil"/>
              <w:right w:val="nil"/>
            </w:tcBorders>
            <w:shd w:val="clear" w:color="auto" w:fill="auto"/>
            <w:noWrap/>
            <w:vAlign w:val="bottom"/>
            <w:hideMark/>
          </w:tcPr>
          <w:p w14:paraId="7810E951" w14:textId="77777777" w:rsidR="004327DA" w:rsidRPr="004327DA" w:rsidRDefault="004327DA" w:rsidP="004327DA">
            <w:pPr>
              <w:spacing w:after="0"/>
              <w:ind w:firstLineChars="200" w:firstLine="320"/>
              <w:rPr>
                <w:rFonts w:ascii="Arial" w:hAnsi="Arial" w:cs="Arial"/>
                <w:color w:val="auto"/>
                <w:sz w:val="16"/>
                <w:szCs w:val="16"/>
              </w:rPr>
            </w:pPr>
            <w:r w:rsidRPr="004327DA">
              <w:rPr>
                <w:rFonts w:ascii="Arial" w:hAnsi="Arial" w:cs="Arial"/>
                <w:color w:val="auto"/>
                <w:sz w:val="16"/>
                <w:szCs w:val="16"/>
              </w:rPr>
              <w:t>Other</w:t>
            </w:r>
          </w:p>
        </w:tc>
        <w:tc>
          <w:tcPr>
            <w:tcW w:w="1340" w:type="dxa"/>
            <w:tcBorders>
              <w:top w:val="nil"/>
              <w:left w:val="nil"/>
              <w:bottom w:val="nil"/>
              <w:right w:val="nil"/>
            </w:tcBorders>
            <w:shd w:val="clear" w:color="auto" w:fill="auto"/>
            <w:noWrap/>
            <w:vAlign w:val="bottom"/>
            <w:hideMark/>
          </w:tcPr>
          <w:p w14:paraId="3BD3B5AC" w14:textId="77777777" w:rsidR="004327DA" w:rsidRPr="004327DA" w:rsidRDefault="004327DA" w:rsidP="004327DA">
            <w:pPr>
              <w:spacing w:after="0"/>
              <w:jc w:val="right"/>
              <w:rPr>
                <w:rFonts w:ascii="Arial" w:hAnsi="Arial" w:cs="Arial"/>
                <w:color w:val="auto"/>
                <w:sz w:val="16"/>
                <w:szCs w:val="16"/>
              </w:rPr>
            </w:pPr>
            <w:r w:rsidRPr="004327DA">
              <w:rPr>
                <w:rFonts w:ascii="Arial" w:hAnsi="Arial" w:cs="Arial"/>
                <w:color w:val="auto"/>
                <w:sz w:val="16"/>
                <w:szCs w:val="16"/>
              </w:rPr>
              <w:t>289</w:t>
            </w:r>
          </w:p>
        </w:tc>
        <w:tc>
          <w:tcPr>
            <w:tcW w:w="1340" w:type="dxa"/>
            <w:tcBorders>
              <w:top w:val="nil"/>
              <w:left w:val="nil"/>
              <w:bottom w:val="nil"/>
              <w:right w:val="nil"/>
            </w:tcBorders>
            <w:shd w:val="clear" w:color="000000" w:fill="D9D9D9"/>
            <w:noWrap/>
            <w:vAlign w:val="bottom"/>
            <w:hideMark/>
          </w:tcPr>
          <w:p w14:paraId="43ED5B08" w14:textId="77777777" w:rsidR="004327DA" w:rsidRPr="004327DA" w:rsidRDefault="004327DA" w:rsidP="004327DA">
            <w:pPr>
              <w:spacing w:after="0"/>
              <w:jc w:val="right"/>
              <w:rPr>
                <w:rFonts w:ascii="Arial" w:hAnsi="Arial" w:cs="Arial"/>
                <w:color w:val="auto"/>
                <w:sz w:val="16"/>
                <w:szCs w:val="16"/>
              </w:rPr>
            </w:pPr>
            <w:r w:rsidRPr="004327DA">
              <w:rPr>
                <w:rFonts w:ascii="Arial" w:hAnsi="Arial" w:cs="Arial"/>
                <w:color w:val="auto"/>
                <w:sz w:val="16"/>
                <w:szCs w:val="16"/>
              </w:rPr>
              <w:t>30</w:t>
            </w:r>
          </w:p>
        </w:tc>
      </w:tr>
      <w:tr w:rsidR="004327DA" w:rsidRPr="004327DA" w14:paraId="0B740EB5" w14:textId="77777777" w:rsidTr="004327DA">
        <w:trPr>
          <w:trHeight w:val="225"/>
        </w:trPr>
        <w:tc>
          <w:tcPr>
            <w:tcW w:w="4660" w:type="dxa"/>
            <w:tcBorders>
              <w:top w:val="nil"/>
              <w:left w:val="nil"/>
              <w:bottom w:val="nil"/>
              <w:right w:val="nil"/>
            </w:tcBorders>
            <w:shd w:val="clear" w:color="auto" w:fill="auto"/>
            <w:noWrap/>
            <w:vAlign w:val="bottom"/>
            <w:hideMark/>
          </w:tcPr>
          <w:p w14:paraId="78E27F39" w14:textId="77777777" w:rsidR="004327DA" w:rsidRPr="004327DA" w:rsidRDefault="004327DA" w:rsidP="004327DA">
            <w:pPr>
              <w:spacing w:after="0"/>
              <w:ind w:firstLineChars="200" w:firstLine="320"/>
              <w:rPr>
                <w:rFonts w:ascii="Arial" w:hAnsi="Arial" w:cs="Arial"/>
                <w:b/>
                <w:bCs/>
                <w:color w:val="auto"/>
                <w:sz w:val="16"/>
                <w:szCs w:val="16"/>
              </w:rPr>
            </w:pPr>
            <w:r w:rsidRPr="004327DA">
              <w:rPr>
                <w:rFonts w:ascii="Arial" w:hAnsi="Arial" w:cs="Arial"/>
                <w:b/>
                <w:bCs/>
                <w:color w:val="auto"/>
                <w:sz w:val="16"/>
                <w:szCs w:val="16"/>
              </w:rPr>
              <w:t>Total funds from other sources</w:t>
            </w:r>
          </w:p>
        </w:tc>
        <w:tc>
          <w:tcPr>
            <w:tcW w:w="1340" w:type="dxa"/>
            <w:tcBorders>
              <w:top w:val="nil"/>
              <w:left w:val="nil"/>
              <w:bottom w:val="single" w:sz="4" w:space="0" w:color="auto"/>
              <w:right w:val="nil"/>
            </w:tcBorders>
            <w:shd w:val="clear" w:color="auto" w:fill="auto"/>
            <w:noWrap/>
            <w:vAlign w:val="bottom"/>
            <w:hideMark/>
          </w:tcPr>
          <w:p w14:paraId="2437A931" w14:textId="77777777" w:rsidR="004327DA" w:rsidRPr="004327DA" w:rsidRDefault="004327DA" w:rsidP="004327DA">
            <w:pPr>
              <w:spacing w:after="0"/>
              <w:jc w:val="right"/>
              <w:rPr>
                <w:rFonts w:ascii="Arial" w:hAnsi="Arial" w:cs="Arial"/>
                <w:b/>
                <w:bCs/>
                <w:color w:val="auto"/>
                <w:sz w:val="16"/>
                <w:szCs w:val="16"/>
              </w:rPr>
            </w:pPr>
            <w:r w:rsidRPr="004327DA">
              <w:rPr>
                <w:rFonts w:ascii="Arial" w:hAnsi="Arial" w:cs="Arial"/>
                <w:b/>
                <w:bCs/>
                <w:color w:val="auto"/>
                <w:sz w:val="16"/>
                <w:szCs w:val="16"/>
              </w:rPr>
              <w:t>36,865</w:t>
            </w:r>
          </w:p>
        </w:tc>
        <w:tc>
          <w:tcPr>
            <w:tcW w:w="1340" w:type="dxa"/>
            <w:tcBorders>
              <w:top w:val="nil"/>
              <w:left w:val="nil"/>
              <w:bottom w:val="single" w:sz="4" w:space="0" w:color="auto"/>
              <w:right w:val="nil"/>
            </w:tcBorders>
            <w:shd w:val="clear" w:color="000000" w:fill="D9D9D9"/>
            <w:noWrap/>
            <w:vAlign w:val="bottom"/>
            <w:hideMark/>
          </w:tcPr>
          <w:p w14:paraId="06627D78" w14:textId="77777777" w:rsidR="004327DA" w:rsidRPr="004327DA" w:rsidRDefault="004327DA" w:rsidP="004327DA">
            <w:pPr>
              <w:spacing w:after="0"/>
              <w:jc w:val="right"/>
              <w:rPr>
                <w:rFonts w:ascii="Arial" w:hAnsi="Arial" w:cs="Arial"/>
                <w:b/>
                <w:bCs/>
                <w:color w:val="auto"/>
                <w:sz w:val="16"/>
                <w:szCs w:val="16"/>
              </w:rPr>
            </w:pPr>
            <w:r w:rsidRPr="004327DA">
              <w:rPr>
                <w:rFonts w:ascii="Arial" w:hAnsi="Arial" w:cs="Arial"/>
                <w:b/>
                <w:bCs/>
                <w:color w:val="auto"/>
                <w:sz w:val="16"/>
                <w:szCs w:val="16"/>
              </w:rPr>
              <w:t>32,830</w:t>
            </w:r>
          </w:p>
        </w:tc>
      </w:tr>
      <w:tr w:rsidR="004327DA" w:rsidRPr="004327DA" w14:paraId="2E820A45" w14:textId="77777777" w:rsidTr="004327DA">
        <w:trPr>
          <w:trHeight w:val="300"/>
        </w:trPr>
        <w:tc>
          <w:tcPr>
            <w:tcW w:w="4660" w:type="dxa"/>
            <w:tcBorders>
              <w:top w:val="nil"/>
              <w:left w:val="nil"/>
              <w:bottom w:val="single" w:sz="4" w:space="0" w:color="auto"/>
              <w:right w:val="nil"/>
            </w:tcBorders>
            <w:shd w:val="clear" w:color="auto" w:fill="auto"/>
            <w:noWrap/>
            <w:vAlign w:val="bottom"/>
            <w:hideMark/>
          </w:tcPr>
          <w:p w14:paraId="7E64EC60" w14:textId="77777777" w:rsidR="004327DA" w:rsidRPr="004327DA" w:rsidRDefault="004327DA" w:rsidP="004327DA">
            <w:pPr>
              <w:spacing w:after="0"/>
              <w:rPr>
                <w:rFonts w:ascii="Arial" w:hAnsi="Arial" w:cs="Arial"/>
                <w:b/>
                <w:bCs/>
                <w:color w:val="auto"/>
                <w:sz w:val="16"/>
                <w:szCs w:val="16"/>
              </w:rPr>
            </w:pPr>
            <w:r w:rsidRPr="004327DA">
              <w:rPr>
                <w:rFonts w:ascii="Arial" w:hAnsi="Arial" w:cs="Arial"/>
                <w:b/>
                <w:bCs/>
                <w:color w:val="auto"/>
                <w:sz w:val="16"/>
                <w:szCs w:val="16"/>
              </w:rPr>
              <w:t>Total net resourcing for AIHW</w:t>
            </w:r>
          </w:p>
        </w:tc>
        <w:tc>
          <w:tcPr>
            <w:tcW w:w="1340" w:type="dxa"/>
            <w:tcBorders>
              <w:top w:val="nil"/>
              <w:left w:val="nil"/>
              <w:bottom w:val="single" w:sz="4" w:space="0" w:color="auto"/>
              <w:right w:val="nil"/>
            </w:tcBorders>
            <w:shd w:val="clear" w:color="auto" w:fill="auto"/>
            <w:noWrap/>
            <w:vAlign w:val="bottom"/>
            <w:hideMark/>
          </w:tcPr>
          <w:p w14:paraId="00CD08AE" w14:textId="77777777" w:rsidR="004327DA" w:rsidRPr="004327DA" w:rsidRDefault="004327DA" w:rsidP="004327DA">
            <w:pPr>
              <w:spacing w:after="0"/>
              <w:jc w:val="right"/>
              <w:rPr>
                <w:rFonts w:ascii="Arial" w:hAnsi="Arial" w:cs="Arial"/>
                <w:b/>
                <w:bCs/>
                <w:color w:val="auto"/>
                <w:sz w:val="16"/>
                <w:szCs w:val="16"/>
              </w:rPr>
            </w:pPr>
            <w:r w:rsidRPr="004327DA">
              <w:rPr>
                <w:rFonts w:ascii="Arial" w:hAnsi="Arial" w:cs="Arial"/>
                <w:b/>
                <w:bCs/>
                <w:color w:val="auto"/>
                <w:sz w:val="16"/>
                <w:szCs w:val="16"/>
              </w:rPr>
              <w:t>191,337</w:t>
            </w:r>
          </w:p>
        </w:tc>
        <w:tc>
          <w:tcPr>
            <w:tcW w:w="1340" w:type="dxa"/>
            <w:tcBorders>
              <w:top w:val="nil"/>
              <w:left w:val="nil"/>
              <w:bottom w:val="single" w:sz="4" w:space="0" w:color="auto"/>
              <w:right w:val="nil"/>
            </w:tcBorders>
            <w:shd w:val="clear" w:color="000000" w:fill="D9D9D9"/>
            <w:noWrap/>
            <w:vAlign w:val="bottom"/>
            <w:hideMark/>
          </w:tcPr>
          <w:p w14:paraId="54D29A9B" w14:textId="77777777" w:rsidR="004327DA" w:rsidRPr="004327DA" w:rsidRDefault="004327DA" w:rsidP="004327DA">
            <w:pPr>
              <w:spacing w:after="0"/>
              <w:jc w:val="right"/>
              <w:rPr>
                <w:rFonts w:ascii="Arial" w:hAnsi="Arial" w:cs="Arial"/>
                <w:b/>
                <w:bCs/>
                <w:color w:val="auto"/>
                <w:sz w:val="16"/>
                <w:szCs w:val="16"/>
              </w:rPr>
            </w:pPr>
            <w:r w:rsidRPr="004327DA">
              <w:rPr>
                <w:rFonts w:ascii="Arial" w:hAnsi="Arial" w:cs="Arial"/>
                <w:b/>
                <w:bCs/>
                <w:color w:val="auto"/>
                <w:sz w:val="16"/>
                <w:szCs w:val="16"/>
              </w:rPr>
              <w:t>190,327</w:t>
            </w:r>
          </w:p>
        </w:tc>
      </w:tr>
      <w:tr w:rsidR="004327DA" w:rsidRPr="004327DA" w14:paraId="35DED20A" w14:textId="77777777" w:rsidTr="004327DA">
        <w:trPr>
          <w:trHeight w:val="225"/>
        </w:trPr>
        <w:tc>
          <w:tcPr>
            <w:tcW w:w="4660" w:type="dxa"/>
            <w:tcBorders>
              <w:top w:val="nil"/>
              <w:left w:val="nil"/>
              <w:bottom w:val="nil"/>
              <w:right w:val="nil"/>
            </w:tcBorders>
            <w:shd w:val="clear" w:color="auto" w:fill="auto"/>
            <w:noWrap/>
            <w:vAlign w:val="bottom"/>
            <w:hideMark/>
          </w:tcPr>
          <w:p w14:paraId="4DD0D5D4" w14:textId="77777777" w:rsidR="004327DA" w:rsidRPr="004327DA" w:rsidRDefault="004327DA" w:rsidP="004327DA">
            <w:pPr>
              <w:spacing w:after="0"/>
              <w:jc w:val="right"/>
              <w:rPr>
                <w:rFonts w:ascii="Arial" w:hAnsi="Arial" w:cs="Arial"/>
                <w:b/>
                <w:bCs/>
                <w:color w:val="auto"/>
                <w:sz w:val="16"/>
                <w:szCs w:val="16"/>
              </w:rPr>
            </w:pPr>
          </w:p>
        </w:tc>
        <w:tc>
          <w:tcPr>
            <w:tcW w:w="1340" w:type="dxa"/>
            <w:tcBorders>
              <w:top w:val="nil"/>
              <w:left w:val="nil"/>
              <w:bottom w:val="nil"/>
              <w:right w:val="nil"/>
            </w:tcBorders>
            <w:shd w:val="clear" w:color="auto" w:fill="auto"/>
            <w:noWrap/>
            <w:vAlign w:val="bottom"/>
            <w:hideMark/>
          </w:tcPr>
          <w:p w14:paraId="5FA7FAE8" w14:textId="77777777" w:rsidR="004327DA" w:rsidRPr="004327DA" w:rsidRDefault="004327DA" w:rsidP="004327DA">
            <w:pPr>
              <w:spacing w:after="0"/>
              <w:rPr>
                <w:rFonts w:ascii="Times New Roman" w:hAnsi="Times New Roman"/>
                <w:color w:val="auto"/>
                <w:sz w:val="20"/>
              </w:rPr>
            </w:pPr>
          </w:p>
        </w:tc>
        <w:tc>
          <w:tcPr>
            <w:tcW w:w="1340" w:type="dxa"/>
            <w:tcBorders>
              <w:top w:val="nil"/>
              <w:left w:val="nil"/>
              <w:bottom w:val="nil"/>
              <w:right w:val="nil"/>
            </w:tcBorders>
            <w:shd w:val="clear" w:color="auto" w:fill="auto"/>
            <w:noWrap/>
            <w:hideMark/>
          </w:tcPr>
          <w:p w14:paraId="4A518EC4" w14:textId="77777777" w:rsidR="004327DA" w:rsidRPr="004327DA" w:rsidRDefault="004327DA" w:rsidP="004327DA">
            <w:pPr>
              <w:spacing w:after="0"/>
              <w:rPr>
                <w:rFonts w:ascii="Times New Roman" w:hAnsi="Times New Roman"/>
                <w:color w:val="auto"/>
                <w:sz w:val="20"/>
              </w:rPr>
            </w:pPr>
          </w:p>
        </w:tc>
      </w:tr>
      <w:tr w:rsidR="004327DA" w:rsidRPr="004327DA" w14:paraId="388A6A70" w14:textId="77777777" w:rsidTr="004327DA">
        <w:trPr>
          <w:trHeight w:val="225"/>
        </w:trPr>
        <w:tc>
          <w:tcPr>
            <w:tcW w:w="4660" w:type="dxa"/>
            <w:tcBorders>
              <w:top w:val="single" w:sz="4" w:space="0" w:color="auto"/>
              <w:left w:val="nil"/>
              <w:bottom w:val="nil"/>
              <w:right w:val="nil"/>
            </w:tcBorders>
            <w:shd w:val="clear" w:color="auto" w:fill="auto"/>
            <w:noWrap/>
            <w:vAlign w:val="bottom"/>
            <w:hideMark/>
          </w:tcPr>
          <w:p w14:paraId="402CA57F" w14:textId="77777777" w:rsidR="004327DA" w:rsidRPr="004327DA" w:rsidRDefault="004327DA" w:rsidP="004327DA">
            <w:pPr>
              <w:spacing w:after="0"/>
              <w:rPr>
                <w:rFonts w:ascii="Arial" w:hAnsi="Arial" w:cs="Arial"/>
                <w:sz w:val="16"/>
                <w:szCs w:val="16"/>
              </w:rPr>
            </w:pPr>
            <w:r w:rsidRPr="004327DA">
              <w:rPr>
                <w:rFonts w:ascii="Arial" w:hAnsi="Arial" w:cs="Arial"/>
                <w:sz w:val="16"/>
                <w:szCs w:val="16"/>
              </w:rPr>
              <w:t> </w:t>
            </w:r>
          </w:p>
        </w:tc>
        <w:tc>
          <w:tcPr>
            <w:tcW w:w="1340" w:type="dxa"/>
            <w:tcBorders>
              <w:top w:val="single" w:sz="4" w:space="0" w:color="000000"/>
              <w:left w:val="nil"/>
              <w:bottom w:val="single" w:sz="4" w:space="0" w:color="000000"/>
              <w:right w:val="nil"/>
            </w:tcBorders>
            <w:shd w:val="clear" w:color="auto" w:fill="auto"/>
            <w:noWrap/>
            <w:vAlign w:val="bottom"/>
            <w:hideMark/>
          </w:tcPr>
          <w:p w14:paraId="0BD5C724" w14:textId="77777777" w:rsidR="004327DA" w:rsidRPr="004327DA" w:rsidRDefault="004327DA" w:rsidP="004327DA">
            <w:pPr>
              <w:spacing w:after="0"/>
              <w:jc w:val="right"/>
              <w:rPr>
                <w:rFonts w:ascii="Arial" w:hAnsi="Arial" w:cs="Arial"/>
                <w:b/>
                <w:bCs/>
                <w:color w:val="auto"/>
                <w:sz w:val="16"/>
                <w:szCs w:val="16"/>
              </w:rPr>
            </w:pPr>
            <w:r w:rsidRPr="004327DA">
              <w:rPr>
                <w:rFonts w:ascii="Arial" w:hAnsi="Arial" w:cs="Arial"/>
                <w:b/>
                <w:bCs/>
                <w:color w:val="auto"/>
                <w:sz w:val="16"/>
                <w:szCs w:val="16"/>
              </w:rPr>
              <w:t>2021–22</w:t>
            </w:r>
          </w:p>
        </w:tc>
        <w:tc>
          <w:tcPr>
            <w:tcW w:w="1340" w:type="dxa"/>
            <w:tcBorders>
              <w:top w:val="single" w:sz="4" w:space="0" w:color="000000"/>
              <w:left w:val="nil"/>
              <w:bottom w:val="single" w:sz="4" w:space="0" w:color="000000"/>
              <w:right w:val="nil"/>
            </w:tcBorders>
            <w:shd w:val="clear" w:color="000000" w:fill="D9D9D9"/>
            <w:noWrap/>
            <w:vAlign w:val="bottom"/>
            <w:hideMark/>
          </w:tcPr>
          <w:p w14:paraId="234566ED" w14:textId="77777777" w:rsidR="004327DA" w:rsidRPr="004327DA" w:rsidRDefault="004327DA" w:rsidP="004327DA">
            <w:pPr>
              <w:spacing w:after="0"/>
              <w:jc w:val="right"/>
              <w:rPr>
                <w:rFonts w:ascii="Arial" w:hAnsi="Arial" w:cs="Arial"/>
                <w:b/>
                <w:bCs/>
                <w:color w:val="auto"/>
                <w:sz w:val="16"/>
                <w:szCs w:val="16"/>
              </w:rPr>
            </w:pPr>
            <w:r w:rsidRPr="004327DA">
              <w:rPr>
                <w:rFonts w:ascii="Arial" w:hAnsi="Arial" w:cs="Arial"/>
                <w:b/>
                <w:bCs/>
                <w:color w:val="auto"/>
                <w:sz w:val="16"/>
                <w:szCs w:val="16"/>
              </w:rPr>
              <w:t>2022–23</w:t>
            </w:r>
          </w:p>
        </w:tc>
      </w:tr>
      <w:tr w:rsidR="004327DA" w:rsidRPr="004327DA" w14:paraId="6C332A41" w14:textId="77777777" w:rsidTr="004327DA">
        <w:trPr>
          <w:trHeight w:val="225"/>
        </w:trPr>
        <w:tc>
          <w:tcPr>
            <w:tcW w:w="4660" w:type="dxa"/>
            <w:tcBorders>
              <w:top w:val="nil"/>
              <w:left w:val="nil"/>
              <w:bottom w:val="single" w:sz="4" w:space="0" w:color="auto"/>
              <w:right w:val="nil"/>
            </w:tcBorders>
            <w:shd w:val="clear" w:color="auto" w:fill="auto"/>
            <w:noWrap/>
            <w:vAlign w:val="bottom"/>
            <w:hideMark/>
          </w:tcPr>
          <w:p w14:paraId="31222A72" w14:textId="77777777" w:rsidR="004327DA" w:rsidRPr="004327DA" w:rsidRDefault="004327DA" w:rsidP="004327DA">
            <w:pPr>
              <w:spacing w:after="0"/>
              <w:rPr>
                <w:rFonts w:ascii="Arial" w:hAnsi="Arial" w:cs="Arial"/>
                <w:b/>
                <w:bCs/>
                <w:sz w:val="16"/>
                <w:szCs w:val="16"/>
              </w:rPr>
            </w:pPr>
            <w:r w:rsidRPr="004327DA">
              <w:rPr>
                <w:rFonts w:ascii="Arial" w:hAnsi="Arial" w:cs="Arial"/>
                <w:b/>
                <w:bCs/>
                <w:sz w:val="16"/>
                <w:szCs w:val="16"/>
              </w:rPr>
              <w:t xml:space="preserve">Average </w:t>
            </w:r>
            <w:r w:rsidRPr="004327DA">
              <w:rPr>
                <w:rFonts w:ascii="Arial" w:hAnsi="Arial" w:cs="Arial"/>
                <w:b/>
                <w:bCs/>
                <w:color w:val="auto"/>
                <w:sz w:val="16"/>
                <w:szCs w:val="16"/>
              </w:rPr>
              <w:t>s</w:t>
            </w:r>
            <w:r w:rsidRPr="004327DA">
              <w:rPr>
                <w:rFonts w:ascii="Arial" w:hAnsi="Arial" w:cs="Arial"/>
                <w:b/>
                <w:bCs/>
                <w:sz w:val="16"/>
                <w:szCs w:val="16"/>
              </w:rPr>
              <w:t xml:space="preserve">taffing </w:t>
            </w:r>
            <w:r w:rsidRPr="004327DA">
              <w:rPr>
                <w:rFonts w:ascii="Arial" w:hAnsi="Arial" w:cs="Arial"/>
                <w:b/>
                <w:bCs/>
                <w:color w:val="auto"/>
                <w:sz w:val="16"/>
                <w:szCs w:val="16"/>
              </w:rPr>
              <w:t>l</w:t>
            </w:r>
            <w:r w:rsidRPr="004327DA">
              <w:rPr>
                <w:rFonts w:ascii="Arial" w:hAnsi="Arial" w:cs="Arial"/>
                <w:b/>
                <w:bCs/>
                <w:sz w:val="16"/>
                <w:szCs w:val="16"/>
              </w:rPr>
              <w:t>evel (number)</w:t>
            </w:r>
          </w:p>
        </w:tc>
        <w:tc>
          <w:tcPr>
            <w:tcW w:w="1340" w:type="dxa"/>
            <w:tcBorders>
              <w:top w:val="nil"/>
              <w:left w:val="nil"/>
              <w:bottom w:val="single" w:sz="4" w:space="0" w:color="000000"/>
              <w:right w:val="nil"/>
            </w:tcBorders>
            <w:shd w:val="clear" w:color="auto" w:fill="auto"/>
            <w:noWrap/>
            <w:vAlign w:val="bottom"/>
            <w:hideMark/>
          </w:tcPr>
          <w:p w14:paraId="06C33680" w14:textId="77777777" w:rsidR="004327DA" w:rsidRPr="004327DA" w:rsidRDefault="004327DA" w:rsidP="004327DA">
            <w:pPr>
              <w:spacing w:after="0"/>
              <w:jc w:val="right"/>
              <w:rPr>
                <w:rFonts w:ascii="Arial" w:hAnsi="Arial" w:cs="Arial"/>
                <w:color w:val="auto"/>
                <w:sz w:val="16"/>
                <w:szCs w:val="16"/>
              </w:rPr>
            </w:pPr>
            <w:r w:rsidRPr="004327DA">
              <w:rPr>
                <w:rFonts w:ascii="Arial" w:hAnsi="Arial" w:cs="Arial"/>
                <w:color w:val="auto"/>
                <w:sz w:val="16"/>
                <w:szCs w:val="16"/>
              </w:rPr>
              <w:t>354</w:t>
            </w:r>
          </w:p>
        </w:tc>
        <w:tc>
          <w:tcPr>
            <w:tcW w:w="1340" w:type="dxa"/>
            <w:tcBorders>
              <w:top w:val="nil"/>
              <w:left w:val="nil"/>
              <w:bottom w:val="single" w:sz="4" w:space="0" w:color="auto"/>
              <w:right w:val="nil"/>
            </w:tcBorders>
            <w:shd w:val="clear" w:color="000000" w:fill="D9D9D9"/>
            <w:noWrap/>
            <w:vAlign w:val="bottom"/>
            <w:hideMark/>
          </w:tcPr>
          <w:p w14:paraId="0A0E933C" w14:textId="77777777" w:rsidR="004327DA" w:rsidRPr="004327DA" w:rsidRDefault="004327DA" w:rsidP="004327DA">
            <w:pPr>
              <w:spacing w:after="0"/>
              <w:jc w:val="right"/>
              <w:rPr>
                <w:rFonts w:ascii="Arial" w:hAnsi="Arial" w:cs="Arial"/>
                <w:color w:val="auto"/>
                <w:sz w:val="16"/>
                <w:szCs w:val="16"/>
              </w:rPr>
            </w:pPr>
            <w:r w:rsidRPr="004327DA">
              <w:rPr>
                <w:rFonts w:ascii="Arial" w:hAnsi="Arial" w:cs="Arial"/>
                <w:color w:val="auto"/>
                <w:sz w:val="16"/>
                <w:szCs w:val="16"/>
              </w:rPr>
              <w:t>364</w:t>
            </w:r>
          </w:p>
        </w:tc>
      </w:tr>
    </w:tbl>
    <w:p w14:paraId="697CED9C" w14:textId="4363C129" w:rsidR="00EC5BC2" w:rsidRDefault="00EC5BC2" w:rsidP="00EC5BC2">
      <w:pPr>
        <w:pStyle w:val="FootnoteText"/>
        <w:tabs>
          <w:tab w:val="clear" w:pos="284"/>
          <w:tab w:val="left" w:pos="0"/>
        </w:tabs>
        <w:spacing w:before="120"/>
      </w:pPr>
      <w:r>
        <w:t>All figures are GST exclusive.</w:t>
      </w:r>
    </w:p>
    <w:p w14:paraId="78B479DF" w14:textId="62871FC7" w:rsidR="00EC5BC2" w:rsidRDefault="00EC5BC2" w:rsidP="005E2D06">
      <w:pPr>
        <w:pStyle w:val="FootnoteText"/>
        <w:tabs>
          <w:tab w:val="clear" w:pos="284"/>
          <w:tab w:val="left" w:pos="0"/>
        </w:tabs>
        <w:ind w:left="0" w:firstLine="0"/>
      </w:pPr>
      <w:r>
        <w:t>The AIHW is not directly appropriated as it is a corporate Commonwealth entity. Appropriations are made to</w:t>
      </w:r>
      <w:r>
        <w:br/>
        <w:t>the Department of Health</w:t>
      </w:r>
      <w:r w:rsidR="005E2D06">
        <w:t xml:space="preserve"> and Aged Care</w:t>
      </w:r>
      <w:r>
        <w:t>, which are then paid to the AIHW and are considered 'departmental' for all purposes</w:t>
      </w:r>
      <w:r w:rsidR="00C7013A">
        <w:t>.</w:t>
      </w:r>
    </w:p>
    <w:p w14:paraId="3EB4580C" w14:textId="5D1F67E8" w:rsidR="00EC5BC2" w:rsidRDefault="00EC5BC2" w:rsidP="00EC5BC2">
      <w:pPr>
        <w:pStyle w:val="FootnoteText"/>
        <w:tabs>
          <w:tab w:val="clear" w:pos="284"/>
          <w:tab w:val="left" w:pos="0"/>
        </w:tabs>
      </w:pPr>
      <w:r w:rsidRPr="00EC5BC2">
        <w:rPr>
          <w:vertAlign w:val="superscript"/>
        </w:rPr>
        <w:t>(a)</w:t>
      </w:r>
      <w:r>
        <w:tab/>
        <w:t>Appropriation Bill (No. 1) 2022–23.</w:t>
      </w:r>
    </w:p>
    <w:p w14:paraId="27A29DE7" w14:textId="73E3026F" w:rsidR="00EC5BC2" w:rsidRDefault="00EC5BC2" w:rsidP="00EC5BC2">
      <w:pPr>
        <w:pStyle w:val="FootnoteText"/>
        <w:tabs>
          <w:tab w:val="clear" w:pos="284"/>
          <w:tab w:val="left" w:pos="0"/>
        </w:tabs>
      </w:pPr>
      <w:r w:rsidRPr="00EC5BC2">
        <w:rPr>
          <w:vertAlign w:val="superscript"/>
        </w:rPr>
        <w:t>(b)</w:t>
      </w:r>
      <w:r>
        <w:tab/>
        <w:t>Appropriation Bill (No. 2) 2022–23.</w:t>
      </w:r>
    </w:p>
    <w:p w14:paraId="345D9D75" w14:textId="262B5534" w:rsidR="00EC5BC2" w:rsidRPr="00EC5BC2" w:rsidRDefault="00EC5BC2" w:rsidP="005E2D06">
      <w:pPr>
        <w:pStyle w:val="FootnoteText"/>
        <w:tabs>
          <w:tab w:val="clear" w:pos="284"/>
          <w:tab w:val="left" w:pos="0"/>
        </w:tabs>
      </w:pPr>
      <w:r w:rsidRPr="00EC5BC2">
        <w:rPr>
          <w:vertAlign w:val="superscript"/>
        </w:rPr>
        <w:t>(c)</w:t>
      </w:r>
      <w:r>
        <w:tab/>
        <w:t>Funding provided by a Government entity that is not specified within the annual appropriation bills as a payment to the corporate entity.</w:t>
      </w:r>
    </w:p>
    <w:p w14:paraId="09C4C81E" w14:textId="599C7275" w:rsidR="0024539A" w:rsidRPr="00E63E43" w:rsidRDefault="0024539A" w:rsidP="00183C35">
      <w:pPr>
        <w:pStyle w:val="Heading3"/>
      </w:pPr>
      <w:bookmarkStart w:id="3" w:name="_Toc117406694"/>
      <w:r w:rsidRPr="00E63E43">
        <w:lastRenderedPageBreak/>
        <w:t>1.3</w:t>
      </w:r>
      <w:r w:rsidRPr="00E63E43">
        <w:tab/>
        <w:t xml:space="preserve">Budget </w:t>
      </w:r>
      <w:r w:rsidR="00BF1E28">
        <w:t>m</w:t>
      </w:r>
      <w:r w:rsidRPr="00E63E43">
        <w:t>easures</w:t>
      </w:r>
      <w:bookmarkEnd w:id="3"/>
    </w:p>
    <w:p w14:paraId="4B5DDF0F" w14:textId="01C0EA5E" w:rsidR="004327DA" w:rsidRPr="00B92555" w:rsidRDefault="004327DA" w:rsidP="004327DA">
      <w:pPr>
        <w:rPr>
          <w:color w:val="auto"/>
        </w:rPr>
      </w:pPr>
      <w:r w:rsidRPr="00B92555">
        <w:rPr>
          <w:color w:val="auto"/>
        </w:rPr>
        <w:t>Budget mea</w:t>
      </w:r>
      <w:r w:rsidR="000A296A">
        <w:rPr>
          <w:color w:val="auto"/>
        </w:rPr>
        <w:t xml:space="preserve">sures in Part 1 relating to </w:t>
      </w:r>
      <w:r>
        <w:rPr>
          <w:color w:val="auto"/>
        </w:rPr>
        <w:t>AIHW</w:t>
      </w:r>
      <w:r w:rsidRPr="00B92555">
        <w:rPr>
          <w:color w:val="auto"/>
        </w:rPr>
        <w:t xml:space="preserve"> are detailed in </w:t>
      </w:r>
      <w:r w:rsidRPr="00F81858">
        <w:rPr>
          <w:i/>
          <w:color w:val="auto"/>
        </w:rPr>
        <w:t xml:space="preserve">Budget Paper No. 2 </w:t>
      </w:r>
      <w:r w:rsidRPr="00B92555">
        <w:rPr>
          <w:color w:val="auto"/>
        </w:rPr>
        <w:t>and are summarised below.</w:t>
      </w:r>
    </w:p>
    <w:p w14:paraId="79F33587" w14:textId="77749CB9" w:rsidR="000A296A" w:rsidRDefault="004327DA" w:rsidP="004327DA">
      <w:pPr>
        <w:pStyle w:val="Tablenumberandreference"/>
        <w:rPr>
          <w:color w:val="auto"/>
        </w:rPr>
      </w:pPr>
      <w:r>
        <w:rPr>
          <w:color w:val="auto"/>
        </w:rPr>
        <w:t>Table 1.2: AIHW October 20</w:t>
      </w:r>
      <w:r w:rsidRPr="00B92555">
        <w:rPr>
          <w:color w:val="auto"/>
        </w:rPr>
        <w:t>22</w:t>
      </w:r>
      <w:r>
        <w:rPr>
          <w:color w:val="auto"/>
        </w:rPr>
        <w:t>–23</w:t>
      </w:r>
      <w:r w:rsidRPr="00B92555">
        <w:rPr>
          <w:color w:val="auto"/>
        </w:rPr>
        <w:t xml:space="preserve"> Budget </w:t>
      </w:r>
      <w:r>
        <w:rPr>
          <w:color w:val="auto"/>
        </w:rPr>
        <w:t>m</w:t>
      </w:r>
      <w:r w:rsidRPr="00B92555">
        <w:rPr>
          <w:color w:val="auto"/>
        </w:rPr>
        <w:t>easures</w:t>
      </w:r>
    </w:p>
    <w:p w14:paraId="2EFEAF97" w14:textId="77777777" w:rsidR="00FB237F" w:rsidRPr="0063406D" w:rsidRDefault="00FB237F" w:rsidP="00FB237F">
      <w:pPr>
        <w:pStyle w:val="Tablenumberandreference"/>
        <w:rPr>
          <w:color w:val="auto"/>
          <w:sz w:val="19"/>
          <w:szCs w:val="19"/>
        </w:rPr>
      </w:pPr>
      <w:r w:rsidRPr="0063406D">
        <w:rPr>
          <w:color w:val="auto"/>
          <w:sz w:val="19"/>
          <w:szCs w:val="19"/>
        </w:rPr>
        <w:t>Part 1: Measures announced since the March 2022–23 Budget</w:t>
      </w:r>
    </w:p>
    <w:tbl>
      <w:tblPr>
        <w:tblW w:w="7420" w:type="dxa"/>
        <w:tblLook w:val="04A0" w:firstRow="1" w:lastRow="0" w:firstColumn="1" w:lastColumn="0" w:noHBand="0" w:noVBand="1"/>
      </w:tblPr>
      <w:tblGrid>
        <w:gridCol w:w="2140"/>
        <w:gridCol w:w="880"/>
        <w:gridCol w:w="880"/>
        <w:gridCol w:w="880"/>
        <w:gridCol w:w="880"/>
        <w:gridCol w:w="880"/>
        <w:gridCol w:w="880"/>
      </w:tblGrid>
      <w:tr w:rsidR="000A296A" w:rsidRPr="000A296A" w14:paraId="17E9BDE8" w14:textId="77777777" w:rsidTr="000A296A">
        <w:trPr>
          <w:trHeight w:val="283"/>
        </w:trPr>
        <w:tc>
          <w:tcPr>
            <w:tcW w:w="2140" w:type="dxa"/>
            <w:tcBorders>
              <w:top w:val="single" w:sz="4" w:space="0" w:color="auto"/>
              <w:left w:val="nil"/>
              <w:bottom w:val="nil"/>
              <w:right w:val="nil"/>
            </w:tcBorders>
            <w:shd w:val="clear" w:color="auto" w:fill="auto"/>
            <w:noWrap/>
            <w:vAlign w:val="bottom"/>
            <w:hideMark/>
          </w:tcPr>
          <w:p w14:paraId="025986D0" w14:textId="77777777" w:rsidR="000A296A" w:rsidRPr="000A296A" w:rsidRDefault="000A296A" w:rsidP="000A296A">
            <w:pPr>
              <w:spacing w:before="40" w:after="0"/>
              <w:jc w:val="right"/>
              <w:rPr>
                <w:rFonts w:ascii="Arial" w:hAnsi="Arial" w:cs="Arial"/>
                <w:color w:val="auto"/>
                <w:sz w:val="16"/>
                <w:szCs w:val="16"/>
              </w:rPr>
            </w:pPr>
            <w:r w:rsidRPr="000A296A">
              <w:rPr>
                <w:rFonts w:ascii="Arial" w:hAnsi="Arial" w:cs="Arial"/>
                <w:color w:val="auto"/>
                <w:sz w:val="16"/>
                <w:szCs w:val="16"/>
              </w:rPr>
              <w:t> </w:t>
            </w:r>
          </w:p>
        </w:tc>
        <w:tc>
          <w:tcPr>
            <w:tcW w:w="880" w:type="dxa"/>
            <w:tcBorders>
              <w:top w:val="single" w:sz="4" w:space="0" w:color="auto"/>
              <w:left w:val="nil"/>
              <w:bottom w:val="nil"/>
              <w:right w:val="nil"/>
            </w:tcBorders>
            <w:shd w:val="clear" w:color="auto" w:fill="auto"/>
            <w:noWrap/>
            <w:vAlign w:val="bottom"/>
            <w:hideMark/>
          </w:tcPr>
          <w:p w14:paraId="3F959C53" w14:textId="77777777" w:rsidR="000A296A" w:rsidRPr="000A296A" w:rsidRDefault="000A296A" w:rsidP="000A296A">
            <w:pPr>
              <w:spacing w:before="40" w:after="0"/>
              <w:jc w:val="right"/>
              <w:rPr>
                <w:rFonts w:ascii="Arial" w:hAnsi="Arial" w:cs="Arial"/>
                <w:b/>
                <w:bCs/>
                <w:color w:val="auto"/>
                <w:sz w:val="16"/>
                <w:szCs w:val="16"/>
              </w:rPr>
            </w:pPr>
            <w:r w:rsidRPr="000A296A">
              <w:rPr>
                <w:rFonts w:ascii="Arial" w:hAnsi="Arial" w:cs="Arial"/>
                <w:b/>
                <w:bCs/>
                <w:color w:val="auto"/>
                <w:sz w:val="16"/>
                <w:szCs w:val="16"/>
              </w:rPr>
              <w:t>Program</w:t>
            </w:r>
          </w:p>
        </w:tc>
        <w:tc>
          <w:tcPr>
            <w:tcW w:w="880" w:type="dxa"/>
            <w:tcBorders>
              <w:top w:val="single" w:sz="4" w:space="0" w:color="000000"/>
              <w:left w:val="nil"/>
              <w:bottom w:val="single" w:sz="4" w:space="0" w:color="000000"/>
              <w:right w:val="nil"/>
            </w:tcBorders>
            <w:shd w:val="clear" w:color="auto" w:fill="auto"/>
            <w:vAlign w:val="bottom"/>
            <w:hideMark/>
          </w:tcPr>
          <w:p w14:paraId="699AEFEC" w14:textId="77777777" w:rsidR="000A296A" w:rsidRPr="000A296A" w:rsidRDefault="000A296A" w:rsidP="000A296A">
            <w:pPr>
              <w:spacing w:before="40" w:after="0"/>
              <w:jc w:val="right"/>
              <w:rPr>
                <w:rFonts w:ascii="Arial" w:hAnsi="Arial" w:cs="Arial"/>
                <w:b/>
                <w:bCs/>
                <w:color w:val="auto"/>
                <w:sz w:val="16"/>
                <w:szCs w:val="16"/>
              </w:rPr>
            </w:pPr>
            <w:r w:rsidRPr="000A296A">
              <w:rPr>
                <w:rFonts w:ascii="Arial" w:hAnsi="Arial" w:cs="Arial"/>
                <w:b/>
                <w:bCs/>
                <w:color w:val="auto"/>
                <w:sz w:val="16"/>
                <w:szCs w:val="16"/>
              </w:rPr>
              <w:t xml:space="preserve">2021–22 </w:t>
            </w:r>
            <w:r w:rsidRPr="000A296A">
              <w:rPr>
                <w:rFonts w:ascii="Arial" w:hAnsi="Arial" w:cs="Arial"/>
                <w:b/>
                <w:bCs/>
                <w:color w:val="auto"/>
                <w:sz w:val="16"/>
                <w:szCs w:val="16"/>
              </w:rPr>
              <w:br/>
            </w:r>
            <w:r w:rsidRPr="000A296A">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000000" w:fill="D9D9D9"/>
            <w:vAlign w:val="bottom"/>
            <w:hideMark/>
          </w:tcPr>
          <w:p w14:paraId="77F3246C" w14:textId="77777777" w:rsidR="000A296A" w:rsidRPr="000A296A" w:rsidRDefault="000A296A" w:rsidP="000A296A">
            <w:pPr>
              <w:spacing w:before="40" w:after="0"/>
              <w:jc w:val="right"/>
              <w:rPr>
                <w:rFonts w:ascii="Arial" w:hAnsi="Arial" w:cs="Arial"/>
                <w:b/>
                <w:bCs/>
                <w:color w:val="auto"/>
                <w:sz w:val="16"/>
                <w:szCs w:val="16"/>
              </w:rPr>
            </w:pPr>
            <w:r w:rsidRPr="000A296A">
              <w:rPr>
                <w:rFonts w:ascii="Arial" w:hAnsi="Arial" w:cs="Arial"/>
                <w:b/>
                <w:bCs/>
                <w:color w:val="auto"/>
                <w:sz w:val="16"/>
                <w:szCs w:val="16"/>
              </w:rPr>
              <w:t>2022–23</w:t>
            </w:r>
            <w:r w:rsidRPr="000A296A">
              <w:rPr>
                <w:rFonts w:ascii="Arial" w:hAnsi="Arial" w:cs="Arial"/>
                <w:b/>
                <w:bCs/>
                <w:color w:val="auto"/>
                <w:sz w:val="16"/>
                <w:szCs w:val="16"/>
              </w:rPr>
              <w:br/>
            </w:r>
            <w:r w:rsidRPr="000A296A">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auto" w:fill="auto"/>
            <w:vAlign w:val="bottom"/>
            <w:hideMark/>
          </w:tcPr>
          <w:p w14:paraId="45C92E75" w14:textId="77777777" w:rsidR="000A296A" w:rsidRPr="000A296A" w:rsidRDefault="000A296A" w:rsidP="000A296A">
            <w:pPr>
              <w:spacing w:before="40" w:after="0"/>
              <w:jc w:val="right"/>
              <w:rPr>
                <w:rFonts w:ascii="Arial" w:hAnsi="Arial" w:cs="Arial"/>
                <w:b/>
                <w:bCs/>
                <w:color w:val="auto"/>
                <w:sz w:val="16"/>
                <w:szCs w:val="16"/>
              </w:rPr>
            </w:pPr>
            <w:r w:rsidRPr="000A296A">
              <w:rPr>
                <w:rFonts w:ascii="Arial" w:hAnsi="Arial" w:cs="Arial"/>
                <w:b/>
                <w:bCs/>
                <w:color w:val="auto"/>
                <w:sz w:val="16"/>
                <w:szCs w:val="16"/>
              </w:rPr>
              <w:t>2023–24</w:t>
            </w:r>
            <w:r w:rsidRPr="000A296A">
              <w:rPr>
                <w:rFonts w:ascii="Arial" w:hAnsi="Arial" w:cs="Arial"/>
                <w:b/>
                <w:bCs/>
                <w:color w:val="auto"/>
                <w:sz w:val="16"/>
                <w:szCs w:val="16"/>
              </w:rPr>
              <w:br/>
            </w:r>
            <w:r w:rsidRPr="000A296A">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auto" w:fill="auto"/>
            <w:vAlign w:val="bottom"/>
            <w:hideMark/>
          </w:tcPr>
          <w:p w14:paraId="520815A5" w14:textId="77777777" w:rsidR="000A296A" w:rsidRPr="000A296A" w:rsidRDefault="000A296A" w:rsidP="000A296A">
            <w:pPr>
              <w:spacing w:before="40" w:after="0"/>
              <w:jc w:val="right"/>
              <w:rPr>
                <w:rFonts w:ascii="Arial" w:hAnsi="Arial" w:cs="Arial"/>
                <w:b/>
                <w:bCs/>
                <w:color w:val="auto"/>
                <w:sz w:val="16"/>
                <w:szCs w:val="16"/>
              </w:rPr>
            </w:pPr>
            <w:r w:rsidRPr="000A296A">
              <w:rPr>
                <w:rFonts w:ascii="Arial" w:hAnsi="Arial" w:cs="Arial"/>
                <w:b/>
                <w:bCs/>
                <w:color w:val="auto"/>
                <w:sz w:val="16"/>
                <w:szCs w:val="16"/>
              </w:rPr>
              <w:t xml:space="preserve">2024–25 </w:t>
            </w:r>
            <w:r w:rsidRPr="000A296A">
              <w:rPr>
                <w:rFonts w:ascii="Arial" w:hAnsi="Arial" w:cs="Arial"/>
                <w:b/>
                <w:bCs/>
                <w:color w:val="auto"/>
                <w:sz w:val="16"/>
                <w:szCs w:val="16"/>
              </w:rPr>
              <w:br/>
            </w:r>
            <w:r w:rsidRPr="000A296A">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auto" w:fill="auto"/>
            <w:vAlign w:val="bottom"/>
            <w:hideMark/>
          </w:tcPr>
          <w:p w14:paraId="1B333E4D" w14:textId="77777777" w:rsidR="000A296A" w:rsidRPr="000A296A" w:rsidRDefault="000A296A" w:rsidP="000A296A">
            <w:pPr>
              <w:spacing w:before="40" w:after="0"/>
              <w:jc w:val="right"/>
              <w:rPr>
                <w:rFonts w:ascii="Arial" w:hAnsi="Arial" w:cs="Arial"/>
                <w:b/>
                <w:bCs/>
                <w:color w:val="auto"/>
                <w:sz w:val="16"/>
                <w:szCs w:val="16"/>
              </w:rPr>
            </w:pPr>
            <w:r w:rsidRPr="000A296A">
              <w:rPr>
                <w:rFonts w:ascii="Arial" w:hAnsi="Arial" w:cs="Arial"/>
                <w:b/>
                <w:bCs/>
                <w:color w:val="auto"/>
                <w:sz w:val="16"/>
                <w:szCs w:val="16"/>
              </w:rPr>
              <w:t>2025–26</w:t>
            </w:r>
            <w:r w:rsidRPr="000A296A">
              <w:rPr>
                <w:rFonts w:ascii="Arial" w:hAnsi="Arial" w:cs="Arial"/>
                <w:b/>
                <w:bCs/>
                <w:color w:val="auto"/>
                <w:sz w:val="16"/>
                <w:szCs w:val="16"/>
              </w:rPr>
              <w:br/>
            </w:r>
            <w:r w:rsidRPr="000A296A">
              <w:rPr>
                <w:rFonts w:ascii="Arial" w:hAnsi="Arial" w:cs="Arial"/>
                <w:color w:val="auto"/>
                <w:sz w:val="16"/>
                <w:szCs w:val="16"/>
              </w:rPr>
              <w:t>$'000</w:t>
            </w:r>
          </w:p>
        </w:tc>
      </w:tr>
      <w:tr w:rsidR="000A296A" w:rsidRPr="000A296A" w14:paraId="631D4D42" w14:textId="77777777" w:rsidTr="000A296A">
        <w:trPr>
          <w:trHeight w:val="300"/>
        </w:trPr>
        <w:tc>
          <w:tcPr>
            <w:tcW w:w="7420" w:type="dxa"/>
            <w:gridSpan w:val="7"/>
            <w:tcBorders>
              <w:top w:val="nil"/>
              <w:left w:val="nil"/>
              <w:bottom w:val="nil"/>
              <w:right w:val="nil"/>
            </w:tcBorders>
            <w:shd w:val="clear" w:color="auto" w:fill="auto"/>
            <w:vAlign w:val="bottom"/>
            <w:hideMark/>
          </w:tcPr>
          <w:p w14:paraId="7D272E04" w14:textId="77777777" w:rsidR="000A296A" w:rsidRPr="000A296A" w:rsidRDefault="000A296A" w:rsidP="000A296A">
            <w:pPr>
              <w:spacing w:after="0"/>
              <w:rPr>
                <w:rFonts w:ascii="Arial" w:hAnsi="Arial" w:cs="Arial"/>
                <w:b/>
                <w:bCs/>
                <w:color w:val="auto"/>
                <w:sz w:val="16"/>
                <w:szCs w:val="16"/>
              </w:rPr>
            </w:pPr>
            <w:r w:rsidRPr="000A296A">
              <w:rPr>
                <w:rFonts w:ascii="Arial" w:hAnsi="Arial" w:cs="Arial"/>
                <w:b/>
                <w:bCs/>
                <w:color w:val="auto"/>
                <w:sz w:val="16"/>
                <w:szCs w:val="16"/>
              </w:rPr>
              <w:t xml:space="preserve">An Ambitious and Enduring APS Reform Plan </w:t>
            </w:r>
            <w:r w:rsidRPr="000A296A">
              <w:rPr>
                <w:rFonts w:ascii="Arial" w:hAnsi="Arial" w:cs="Arial"/>
                <w:b/>
                <w:bCs/>
                <w:color w:val="auto"/>
                <w:sz w:val="16"/>
                <w:szCs w:val="16"/>
                <w:vertAlign w:val="superscript"/>
              </w:rPr>
              <w:t>(a)</w:t>
            </w:r>
          </w:p>
        </w:tc>
      </w:tr>
      <w:tr w:rsidR="000A296A" w:rsidRPr="000A296A" w14:paraId="59172E05" w14:textId="77777777" w:rsidTr="000A296A">
        <w:trPr>
          <w:trHeight w:val="225"/>
        </w:trPr>
        <w:tc>
          <w:tcPr>
            <w:tcW w:w="3900" w:type="dxa"/>
            <w:gridSpan w:val="3"/>
            <w:tcBorders>
              <w:top w:val="nil"/>
              <w:left w:val="nil"/>
              <w:bottom w:val="nil"/>
              <w:right w:val="nil"/>
            </w:tcBorders>
            <w:shd w:val="clear" w:color="auto" w:fill="auto"/>
            <w:noWrap/>
            <w:vAlign w:val="bottom"/>
            <w:hideMark/>
          </w:tcPr>
          <w:p w14:paraId="7629B5EA" w14:textId="77777777" w:rsidR="000A296A" w:rsidRPr="000A296A" w:rsidRDefault="000A296A" w:rsidP="000A296A">
            <w:pPr>
              <w:spacing w:after="0"/>
              <w:rPr>
                <w:rFonts w:ascii="Arial" w:hAnsi="Arial" w:cs="Arial"/>
                <w:color w:val="auto"/>
                <w:sz w:val="16"/>
                <w:szCs w:val="16"/>
              </w:rPr>
            </w:pPr>
            <w:r w:rsidRPr="000A296A">
              <w:rPr>
                <w:rFonts w:ascii="Arial" w:hAnsi="Arial" w:cs="Arial"/>
                <w:color w:val="auto"/>
                <w:sz w:val="16"/>
                <w:szCs w:val="16"/>
              </w:rPr>
              <w:t>Australian Institute of Health and Welfare</w:t>
            </w:r>
          </w:p>
        </w:tc>
        <w:tc>
          <w:tcPr>
            <w:tcW w:w="880" w:type="dxa"/>
            <w:tcBorders>
              <w:top w:val="nil"/>
              <w:left w:val="nil"/>
              <w:bottom w:val="nil"/>
              <w:right w:val="nil"/>
            </w:tcBorders>
            <w:shd w:val="clear" w:color="000000" w:fill="D9D9D9"/>
            <w:noWrap/>
            <w:vAlign w:val="bottom"/>
            <w:hideMark/>
          </w:tcPr>
          <w:p w14:paraId="3934C326" w14:textId="77777777" w:rsidR="000A296A" w:rsidRPr="000A296A" w:rsidRDefault="000A296A" w:rsidP="000A296A">
            <w:pPr>
              <w:spacing w:after="0"/>
              <w:rPr>
                <w:rFonts w:ascii="Arial" w:hAnsi="Arial" w:cs="Arial"/>
                <w:color w:val="auto"/>
                <w:sz w:val="16"/>
                <w:szCs w:val="16"/>
              </w:rPr>
            </w:pPr>
            <w:r w:rsidRPr="000A296A">
              <w:rPr>
                <w:rFonts w:ascii="Arial" w:hAnsi="Arial" w:cs="Arial"/>
                <w:color w:val="auto"/>
                <w:sz w:val="16"/>
                <w:szCs w:val="16"/>
              </w:rPr>
              <w:t> </w:t>
            </w:r>
          </w:p>
        </w:tc>
        <w:tc>
          <w:tcPr>
            <w:tcW w:w="880" w:type="dxa"/>
            <w:tcBorders>
              <w:top w:val="nil"/>
              <w:left w:val="nil"/>
              <w:bottom w:val="nil"/>
              <w:right w:val="nil"/>
            </w:tcBorders>
            <w:shd w:val="clear" w:color="auto" w:fill="auto"/>
            <w:noWrap/>
            <w:vAlign w:val="bottom"/>
            <w:hideMark/>
          </w:tcPr>
          <w:p w14:paraId="382F6D6F" w14:textId="77777777" w:rsidR="000A296A" w:rsidRPr="000A296A" w:rsidRDefault="000A296A" w:rsidP="000A296A">
            <w:pPr>
              <w:spacing w:after="0"/>
              <w:rPr>
                <w:rFonts w:ascii="Arial" w:hAnsi="Arial" w:cs="Arial"/>
                <w:color w:val="auto"/>
                <w:sz w:val="16"/>
                <w:szCs w:val="16"/>
              </w:rPr>
            </w:pPr>
          </w:p>
        </w:tc>
        <w:tc>
          <w:tcPr>
            <w:tcW w:w="880" w:type="dxa"/>
            <w:tcBorders>
              <w:top w:val="nil"/>
              <w:left w:val="nil"/>
              <w:bottom w:val="nil"/>
              <w:right w:val="nil"/>
            </w:tcBorders>
            <w:shd w:val="clear" w:color="auto" w:fill="auto"/>
            <w:noWrap/>
            <w:vAlign w:val="bottom"/>
            <w:hideMark/>
          </w:tcPr>
          <w:p w14:paraId="0E8612FE" w14:textId="77777777" w:rsidR="000A296A" w:rsidRPr="000A296A" w:rsidRDefault="000A296A" w:rsidP="000A296A">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489361AE" w14:textId="77777777" w:rsidR="000A296A" w:rsidRPr="000A296A" w:rsidRDefault="000A296A" w:rsidP="000A296A">
            <w:pPr>
              <w:spacing w:after="0"/>
              <w:rPr>
                <w:rFonts w:ascii="Times New Roman" w:hAnsi="Times New Roman"/>
                <w:color w:val="auto"/>
                <w:sz w:val="20"/>
              </w:rPr>
            </w:pPr>
          </w:p>
        </w:tc>
      </w:tr>
      <w:tr w:rsidR="000A296A" w:rsidRPr="000A296A" w14:paraId="3DD7C1E3" w14:textId="77777777" w:rsidTr="000A296A">
        <w:trPr>
          <w:trHeight w:val="225"/>
        </w:trPr>
        <w:tc>
          <w:tcPr>
            <w:tcW w:w="2140" w:type="dxa"/>
            <w:tcBorders>
              <w:top w:val="nil"/>
              <w:left w:val="nil"/>
              <w:bottom w:val="nil"/>
              <w:right w:val="nil"/>
            </w:tcBorders>
            <w:shd w:val="clear" w:color="auto" w:fill="auto"/>
            <w:noWrap/>
            <w:vAlign w:val="bottom"/>
            <w:hideMark/>
          </w:tcPr>
          <w:p w14:paraId="694D5F8A" w14:textId="77777777" w:rsidR="000A296A" w:rsidRPr="000A296A" w:rsidRDefault="000A296A" w:rsidP="000A296A">
            <w:pPr>
              <w:spacing w:after="0"/>
              <w:ind w:firstLineChars="100" w:firstLine="160"/>
              <w:rPr>
                <w:rFonts w:ascii="Arial" w:hAnsi="Arial" w:cs="Arial"/>
                <w:color w:val="auto"/>
                <w:sz w:val="16"/>
                <w:szCs w:val="16"/>
              </w:rPr>
            </w:pPr>
            <w:r w:rsidRPr="000A296A">
              <w:rPr>
                <w:rFonts w:ascii="Arial" w:hAnsi="Arial" w:cs="Arial"/>
                <w:color w:val="auto"/>
                <w:sz w:val="16"/>
                <w:szCs w:val="16"/>
              </w:rPr>
              <w:t>Departmental payments</w:t>
            </w:r>
          </w:p>
        </w:tc>
        <w:tc>
          <w:tcPr>
            <w:tcW w:w="880" w:type="dxa"/>
            <w:tcBorders>
              <w:top w:val="nil"/>
              <w:left w:val="nil"/>
              <w:bottom w:val="nil"/>
              <w:right w:val="nil"/>
            </w:tcBorders>
            <w:shd w:val="clear" w:color="auto" w:fill="auto"/>
            <w:noWrap/>
            <w:vAlign w:val="bottom"/>
            <w:hideMark/>
          </w:tcPr>
          <w:p w14:paraId="58571649" w14:textId="77777777" w:rsidR="000A296A" w:rsidRPr="000A296A" w:rsidRDefault="000A296A" w:rsidP="000A296A">
            <w:pPr>
              <w:spacing w:after="0"/>
              <w:jc w:val="right"/>
              <w:rPr>
                <w:rFonts w:ascii="Arial" w:hAnsi="Arial" w:cs="Arial"/>
                <w:color w:val="auto"/>
                <w:sz w:val="16"/>
                <w:szCs w:val="16"/>
              </w:rPr>
            </w:pPr>
            <w:r w:rsidRPr="000A296A">
              <w:rPr>
                <w:rFonts w:ascii="Arial" w:hAnsi="Arial" w:cs="Arial"/>
                <w:color w:val="auto"/>
                <w:sz w:val="16"/>
                <w:szCs w:val="16"/>
              </w:rPr>
              <w:t>1.1</w:t>
            </w:r>
          </w:p>
        </w:tc>
        <w:tc>
          <w:tcPr>
            <w:tcW w:w="880" w:type="dxa"/>
            <w:tcBorders>
              <w:top w:val="nil"/>
              <w:left w:val="nil"/>
              <w:bottom w:val="nil"/>
              <w:right w:val="nil"/>
            </w:tcBorders>
            <w:shd w:val="clear" w:color="auto" w:fill="auto"/>
            <w:noWrap/>
            <w:vAlign w:val="bottom"/>
            <w:hideMark/>
          </w:tcPr>
          <w:p w14:paraId="1FFED09A" w14:textId="77777777" w:rsidR="000A296A" w:rsidRPr="000A296A" w:rsidRDefault="000A296A" w:rsidP="000A296A">
            <w:pPr>
              <w:spacing w:after="0"/>
              <w:jc w:val="right"/>
              <w:rPr>
                <w:rFonts w:ascii="Arial" w:hAnsi="Arial" w:cs="Arial"/>
                <w:color w:val="auto"/>
                <w:sz w:val="16"/>
                <w:szCs w:val="16"/>
              </w:rPr>
            </w:pPr>
            <w:r w:rsidRPr="000A296A">
              <w:rPr>
                <w:rFonts w:ascii="Arial" w:hAnsi="Arial" w:cs="Arial"/>
                <w:color w:val="auto"/>
                <w:sz w:val="16"/>
                <w:szCs w:val="16"/>
              </w:rPr>
              <w:t>-</w:t>
            </w:r>
          </w:p>
        </w:tc>
        <w:tc>
          <w:tcPr>
            <w:tcW w:w="880" w:type="dxa"/>
            <w:tcBorders>
              <w:top w:val="nil"/>
              <w:left w:val="nil"/>
              <w:bottom w:val="nil"/>
              <w:right w:val="nil"/>
            </w:tcBorders>
            <w:shd w:val="clear" w:color="000000" w:fill="D9D9D9"/>
            <w:noWrap/>
            <w:vAlign w:val="bottom"/>
            <w:hideMark/>
          </w:tcPr>
          <w:p w14:paraId="0D9574DF" w14:textId="77777777" w:rsidR="000A296A" w:rsidRPr="000A296A" w:rsidRDefault="000A296A" w:rsidP="000A296A">
            <w:pPr>
              <w:spacing w:after="0"/>
              <w:jc w:val="right"/>
              <w:rPr>
                <w:rFonts w:ascii="Arial" w:hAnsi="Arial" w:cs="Arial"/>
                <w:color w:val="auto"/>
                <w:sz w:val="16"/>
                <w:szCs w:val="16"/>
              </w:rPr>
            </w:pPr>
            <w:r w:rsidRPr="000A296A">
              <w:rPr>
                <w:rFonts w:ascii="Arial" w:hAnsi="Arial" w:cs="Arial"/>
                <w:color w:val="auto"/>
                <w:sz w:val="16"/>
                <w:szCs w:val="16"/>
              </w:rPr>
              <w:t>(12)</w:t>
            </w:r>
          </w:p>
        </w:tc>
        <w:tc>
          <w:tcPr>
            <w:tcW w:w="880" w:type="dxa"/>
            <w:tcBorders>
              <w:top w:val="nil"/>
              <w:left w:val="nil"/>
              <w:bottom w:val="nil"/>
              <w:right w:val="nil"/>
            </w:tcBorders>
            <w:shd w:val="clear" w:color="auto" w:fill="auto"/>
            <w:noWrap/>
            <w:vAlign w:val="bottom"/>
            <w:hideMark/>
          </w:tcPr>
          <w:p w14:paraId="39B14915" w14:textId="77777777" w:rsidR="000A296A" w:rsidRPr="000A296A" w:rsidRDefault="000A296A" w:rsidP="000A296A">
            <w:pPr>
              <w:spacing w:after="0"/>
              <w:jc w:val="right"/>
              <w:rPr>
                <w:rFonts w:ascii="Arial" w:hAnsi="Arial" w:cs="Arial"/>
                <w:color w:val="auto"/>
                <w:sz w:val="16"/>
                <w:szCs w:val="16"/>
              </w:rPr>
            </w:pPr>
            <w:r w:rsidRPr="000A296A">
              <w:rPr>
                <w:rFonts w:ascii="Arial" w:hAnsi="Arial" w:cs="Arial"/>
                <w:color w:val="auto"/>
                <w:sz w:val="16"/>
                <w:szCs w:val="16"/>
              </w:rPr>
              <w:t>(36)</w:t>
            </w:r>
          </w:p>
        </w:tc>
        <w:tc>
          <w:tcPr>
            <w:tcW w:w="880" w:type="dxa"/>
            <w:tcBorders>
              <w:top w:val="nil"/>
              <w:left w:val="nil"/>
              <w:bottom w:val="nil"/>
              <w:right w:val="nil"/>
            </w:tcBorders>
            <w:shd w:val="clear" w:color="auto" w:fill="auto"/>
            <w:noWrap/>
            <w:vAlign w:val="bottom"/>
            <w:hideMark/>
          </w:tcPr>
          <w:p w14:paraId="614D7BB3" w14:textId="77777777" w:rsidR="000A296A" w:rsidRPr="000A296A" w:rsidRDefault="000A296A" w:rsidP="000A296A">
            <w:pPr>
              <w:spacing w:after="0"/>
              <w:jc w:val="right"/>
              <w:rPr>
                <w:rFonts w:ascii="Arial" w:hAnsi="Arial" w:cs="Arial"/>
                <w:color w:val="auto"/>
                <w:sz w:val="16"/>
                <w:szCs w:val="16"/>
              </w:rPr>
            </w:pPr>
            <w:r w:rsidRPr="000A296A">
              <w:rPr>
                <w:rFonts w:ascii="Arial" w:hAnsi="Arial" w:cs="Arial"/>
                <w:color w:val="auto"/>
                <w:sz w:val="16"/>
                <w:szCs w:val="16"/>
              </w:rPr>
              <w:t>(43)</w:t>
            </w:r>
          </w:p>
        </w:tc>
        <w:tc>
          <w:tcPr>
            <w:tcW w:w="880" w:type="dxa"/>
            <w:tcBorders>
              <w:top w:val="nil"/>
              <w:left w:val="nil"/>
              <w:bottom w:val="nil"/>
              <w:right w:val="nil"/>
            </w:tcBorders>
            <w:shd w:val="clear" w:color="auto" w:fill="auto"/>
            <w:noWrap/>
            <w:vAlign w:val="bottom"/>
            <w:hideMark/>
          </w:tcPr>
          <w:p w14:paraId="748F7065" w14:textId="77777777" w:rsidR="000A296A" w:rsidRPr="000A296A" w:rsidRDefault="000A296A" w:rsidP="000A296A">
            <w:pPr>
              <w:spacing w:after="0"/>
              <w:jc w:val="right"/>
              <w:rPr>
                <w:rFonts w:ascii="Arial" w:hAnsi="Arial" w:cs="Arial"/>
                <w:color w:val="auto"/>
                <w:sz w:val="16"/>
                <w:szCs w:val="16"/>
              </w:rPr>
            </w:pPr>
            <w:r w:rsidRPr="000A296A">
              <w:rPr>
                <w:rFonts w:ascii="Arial" w:hAnsi="Arial" w:cs="Arial"/>
                <w:color w:val="auto"/>
                <w:sz w:val="16"/>
                <w:szCs w:val="16"/>
              </w:rPr>
              <w:t>-</w:t>
            </w:r>
          </w:p>
        </w:tc>
      </w:tr>
      <w:tr w:rsidR="000A296A" w:rsidRPr="000A296A" w14:paraId="5EF4DA69" w14:textId="77777777" w:rsidTr="000A296A">
        <w:trPr>
          <w:trHeight w:val="225"/>
        </w:trPr>
        <w:tc>
          <w:tcPr>
            <w:tcW w:w="2140" w:type="dxa"/>
            <w:tcBorders>
              <w:top w:val="nil"/>
              <w:left w:val="nil"/>
              <w:bottom w:val="nil"/>
              <w:right w:val="nil"/>
            </w:tcBorders>
            <w:shd w:val="clear" w:color="auto" w:fill="auto"/>
            <w:noWrap/>
            <w:vAlign w:val="bottom"/>
            <w:hideMark/>
          </w:tcPr>
          <w:p w14:paraId="1935EA39" w14:textId="77777777" w:rsidR="000A296A" w:rsidRPr="000A296A" w:rsidRDefault="000A296A" w:rsidP="000A296A">
            <w:pPr>
              <w:spacing w:after="0"/>
              <w:rPr>
                <w:rFonts w:ascii="Arial" w:hAnsi="Arial" w:cs="Arial"/>
                <w:b/>
                <w:bCs/>
                <w:color w:val="auto"/>
                <w:sz w:val="16"/>
                <w:szCs w:val="16"/>
              </w:rPr>
            </w:pPr>
            <w:r w:rsidRPr="000A296A">
              <w:rPr>
                <w:rFonts w:ascii="Arial" w:hAnsi="Arial" w:cs="Arial"/>
                <w:b/>
                <w:bCs/>
                <w:color w:val="auto"/>
                <w:sz w:val="16"/>
                <w:szCs w:val="16"/>
              </w:rPr>
              <w:t>Total payments</w:t>
            </w:r>
          </w:p>
        </w:tc>
        <w:tc>
          <w:tcPr>
            <w:tcW w:w="880" w:type="dxa"/>
            <w:tcBorders>
              <w:top w:val="nil"/>
              <w:left w:val="nil"/>
              <w:bottom w:val="nil"/>
              <w:right w:val="nil"/>
            </w:tcBorders>
            <w:shd w:val="clear" w:color="auto" w:fill="auto"/>
            <w:noWrap/>
            <w:vAlign w:val="bottom"/>
            <w:hideMark/>
          </w:tcPr>
          <w:p w14:paraId="44674E7E" w14:textId="77777777" w:rsidR="000A296A" w:rsidRPr="000A296A" w:rsidRDefault="000A296A" w:rsidP="000A296A">
            <w:pPr>
              <w:spacing w:after="0"/>
              <w:rPr>
                <w:rFonts w:ascii="Arial" w:hAnsi="Arial" w:cs="Arial"/>
                <w:b/>
                <w:bCs/>
                <w:color w:val="auto"/>
                <w:sz w:val="16"/>
                <w:szCs w:val="16"/>
              </w:rPr>
            </w:pPr>
          </w:p>
        </w:tc>
        <w:tc>
          <w:tcPr>
            <w:tcW w:w="880" w:type="dxa"/>
            <w:tcBorders>
              <w:top w:val="single" w:sz="4" w:space="0" w:color="auto"/>
              <w:left w:val="nil"/>
              <w:bottom w:val="single" w:sz="4" w:space="0" w:color="auto"/>
              <w:right w:val="nil"/>
            </w:tcBorders>
            <w:shd w:val="clear" w:color="auto" w:fill="auto"/>
            <w:noWrap/>
            <w:vAlign w:val="bottom"/>
            <w:hideMark/>
          </w:tcPr>
          <w:p w14:paraId="4A3B240B" w14:textId="77777777" w:rsidR="000A296A" w:rsidRPr="000A296A" w:rsidRDefault="000A296A" w:rsidP="000A296A">
            <w:pPr>
              <w:spacing w:after="0"/>
              <w:jc w:val="right"/>
              <w:rPr>
                <w:rFonts w:ascii="Arial" w:hAnsi="Arial" w:cs="Arial"/>
                <w:b/>
                <w:bCs/>
                <w:color w:val="auto"/>
                <w:sz w:val="16"/>
                <w:szCs w:val="16"/>
              </w:rPr>
            </w:pPr>
            <w:r w:rsidRPr="000A296A">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000000" w:fill="D9D9D9"/>
            <w:noWrap/>
            <w:vAlign w:val="bottom"/>
            <w:hideMark/>
          </w:tcPr>
          <w:p w14:paraId="59E2A5E4" w14:textId="77777777" w:rsidR="000A296A" w:rsidRPr="000A296A" w:rsidRDefault="000A296A" w:rsidP="000A296A">
            <w:pPr>
              <w:spacing w:after="0"/>
              <w:jc w:val="right"/>
              <w:rPr>
                <w:rFonts w:ascii="Arial" w:hAnsi="Arial" w:cs="Arial"/>
                <w:b/>
                <w:bCs/>
                <w:color w:val="auto"/>
                <w:sz w:val="16"/>
                <w:szCs w:val="16"/>
              </w:rPr>
            </w:pPr>
            <w:r w:rsidRPr="000A296A">
              <w:rPr>
                <w:rFonts w:ascii="Arial" w:hAnsi="Arial" w:cs="Arial"/>
                <w:b/>
                <w:bCs/>
                <w:color w:val="auto"/>
                <w:sz w:val="16"/>
                <w:szCs w:val="16"/>
              </w:rPr>
              <w:t>(12)</w:t>
            </w:r>
          </w:p>
        </w:tc>
        <w:tc>
          <w:tcPr>
            <w:tcW w:w="880" w:type="dxa"/>
            <w:tcBorders>
              <w:top w:val="single" w:sz="4" w:space="0" w:color="auto"/>
              <w:left w:val="nil"/>
              <w:bottom w:val="single" w:sz="4" w:space="0" w:color="auto"/>
              <w:right w:val="nil"/>
            </w:tcBorders>
            <w:shd w:val="clear" w:color="auto" w:fill="auto"/>
            <w:noWrap/>
            <w:vAlign w:val="bottom"/>
            <w:hideMark/>
          </w:tcPr>
          <w:p w14:paraId="67030B3F" w14:textId="77777777" w:rsidR="000A296A" w:rsidRPr="000A296A" w:rsidRDefault="000A296A" w:rsidP="000A296A">
            <w:pPr>
              <w:spacing w:after="0"/>
              <w:jc w:val="right"/>
              <w:rPr>
                <w:rFonts w:ascii="Arial" w:hAnsi="Arial" w:cs="Arial"/>
                <w:b/>
                <w:bCs/>
                <w:color w:val="auto"/>
                <w:sz w:val="16"/>
                <w:szCs w:val="16"/>
              </w:rPr>
            </w:pPr>
            <w:r w:rsidRPr="000A296A">
              <w:rPr>
                <w:rFonts w:ascii="Arial" w:hAnsi="Arial" w:cs="Arial"/>
                <w:b/>
                <w:bCs/>
                <w:color w:val="auto"/>
                <w:sz w:val="16"/>
                <w:szCs w:val="16"/>
              </w:rPr>
              <w:t>(36)</w:t>
            </w:r>
          </w:p>
        </w:tc>
        <w:tc>
          <w:tcPr>
            <w:tcW w:w="880" w:type="dxa"/>
            <w:tcBorders>
              <w:top w:val="single" w:sz="4" w:space="0" w:color="auto"/>
              <w:left w:val="nil"/>
              <w:bottom w:val="single" w:sz="4" w:space="0" w:color="auto"/>
              <w:right w:val="nil"/>
            </w:tcBorders>
            <w:shd w:val="clear" w:color="auto" w:fill="auto"/>
            <w:noWrap/>
            <w:vAlign w:val="bottom"/>
            <w:hideMark/>
          </w:tcPr>
          <w:p w14:paraId="7AD34D8B" w14:textId="77777777" w:rsidR="000A296A" w:rsidRPr="000A296A" w:rsidRDefault="000A296A" w:rsidP="000A296A">
            <w:pPr>
              <w:spacing w:after="0"/>
              <w:jc w:val="right"/>
              <w:rPr>
                <w:rFonts w:ascii="Arial" w:hAnsi="Arial" w:cs="Arial"/>
                <w:b/>
                <w:bCs/>
                <w:color w:val="auto"/>
                <w:sz w:val="16"/>
                <w:szCs w:val="16"/>
              </w:rPr>
            </w:pPr>
            <w:r w:rsidRPr="000A296A">
              <w:rPr>
                <w:rFonts w:ascii="Arial" w:hAnsi="Arial" w:cs="Arial"/>
                <w:b/>
                <w:bCs/>
                <w:color w:val="auto"/>
                <w:sz w:val="16"/>
                <w:szCs w:val="16"/>
              </w:rPr>
              <w:t>(43)</w:t>
            </w:r>
          </w:p>
        </w:tc>
        <w:tc>
          <w:tcPr>
            <w:tcW w:w="880" w:type="dxa"/>
            <w:tcBorders>
              <w:top w:val="single" w:sz="4" w:space="0" w:color="auto"/>
              <w:left w:val="nil"/>
              <w:bottom w:val="single" w:sz="4" w:space="0" w:color="auto"/>
              <w:right w:val="nil"/>
            </w:tcBorders>
            <w:shd w:val="clear" w:color="auto" w:fill="auto"/>
            <w:noWrap/>
            <w:vAlign w:val="bottom"/>
            <w:hideMark/>
          </w:tcPr>
          <w:p w14:paraId="1752CFA6" w14:textId="77777777" w:rsidR="000A296A" w:rsidRPr="000A296A" w:rsidRDefault="000A296A" w:rsidP="000A296A">
            <w:pPr>
              <w:spacing w:after="0"/>
              <w:jc w:val="right"/>
              <w:rPr>
                <w:rFonts w:ascii="Arial" w:hAnsi="Arial" w:cs="Arial"/>
                <w:b/>
                <w:bCs/>
                <w:color w:val="auto"/>
                <w:sz w:val="16"/>
                <w:szCs w:val="16"/>
              </w:rPr>
            </w:pPr>
            <w:r w:rsidRPr="000A296A">
              <w:rPr>
                <w:rFonts w:ascii="Arial" w:hAnsi="Arial" w:cs="Arial"/>
                <w:b/>
                <w:bCs/>
                <w:color w:val="auto"/>
                <w:sz w:val="16"/>
                <w:szCs w:val="16"/>
              </w:rPr>
              <w:t>-</w:t>
            </w:r>
          </w:p>
        </w:tc>
      </w:tr>
      <w:tr w:rsidR="000A296A" w:rsidRPr="000A296A" w14:paraId="2E0EA743" w14:textId="77777777" w:rsidTr="000A296A">
        <w:trPr>
          <w:trHeight w:val="529"/>
        </w:trPr>
        <w:tc>
          <w:tcPr>
            <w:tcW w:w="7420" w:type="dxa"/>
            <w:gridSpan w:val="7"/>
            <w:tcBorders>
              <w:top w:val="nil"/>
              <w:left w:val="nil"/>
              <w:bottom w:val="nil"/>
              <w:right w:val="nil"/>
            </w:tcBorders>
            <w:shd w:val="clear" w:color="auto" w:fill="auto"/>
            <w:vAlign w:val="bottom"/>
            <w:hideMark/>
          </w:tcPr>
          <w:p w14:paraId="726BD671" w14:textId="77777777" w:rsidR="000A296A" w:rsidRPr="000A296A" w:rsidRDefault="000A296A" w:rsidP="000A296A">
            <w:pPr>
              <w:spacing w:after="0"/>
              <w:rPr>
                <w:rFonts w:ascii="Arial" w:hAnsi="Arial" w:cs="Arial"/>
                <w:b/>
                <w:bCs/>
                <w:color w:val="auto"/>
                <w:sz w:val="16"/>
                <w:szCs w:val="16"/>
              </w:rPr>
            </w:pPr>
            <w:r w:rsidRPr="000A296A">
              <w:rPr>
                <w:rFonts w:ascii="Arial" w:hAnsi="Arial" w:cs="Arial"/>
                <w:b/>
                <w:bCs/>
                <w:color w:val="auto"/>
                <w:sz w:val="16"/>
                <w:szCs w:val="16"/>
              </w:rPr>
              <w:t xml:space="preserve">Savings from External Labour, and Savings from Advertising, Travel and Legal </w:t>
            </w:r>
            <w:r w:rsidRPr="000A296A">
              <w:rPr>
                <w:rFonts w:ascii="Arial" w:hAnsi="Arial" w:cs="Arial"/>
                <w:b/>
                <w:bCs/>
                <w:color w:val="auto"/>
                <w:sz w:val="16"/>
                <w:szCs w:val="16"/>
              </w:rPr>
              <w:br/>
              <w:t xml:space="preserve">Expenses </w:t>
            </w:r>
            <w:r w:rsidRPr="000A296A">
              <w:rPr>
                <w:rFonts w:ascii="Arial" w:hAnsi="Arial" w:cs="Arial"/>
                <w:b/>
                <w:bCs/>
                <w:color w:val="auto"/>
                <w:sz w:val="16"/>
                <w:szCs w:val="16"/>
                <w:vertAlign w:val="superscript"/>
              </w:rPr>
              <w:t>(a)</w:t>
            </w:r>
          </w:p>
        </w:tc>
      </w:tr>
      <w:tr w:rsidR="000A296A" w:rsidRPr="000A296A" w14:paraId="7729D685" w14:textId="77777777" w:rsidTr="000A296A">
        <w:trPr>
          <w:trHeight w:val="225"/>
        </w:trPr>
        <w:tc>
          <w:tcPr>
            <w:tcW w:w="3900" w:type="dxa"/>
            <w:gridSpan w:val="3"/>
            <w:tcBorders>
              <w:top w:val="nil"/>
              <w:left w:val="nil"/>
              <w:bottom w:val="nil"/>
              <w:right w:val="nil"/>
            </w:tcBorders>
            <w:shd w:val="clear" w:color="auto" w:fill="auto"/>
            <w:noWrap/>
            <w:vAlign w:val="bottom"/>
            <w:hideMark/>
          </w:tcPr>
          <w:p w14:paraId="033372B6" w14:textId="77777777" w:rsidR="000A296A" w:rsidRPr="000A296A" w:rsidRDefault="000A296A" w:rsidP="000A296A">
            <w:pPr>
              <w:spacing w:after="0"/>
              <w:rPr>
                <w:rFonts w:ascii="Arial" w:hAnsi="Arial" w:cs="Arial"/>
                <w:color w:val="auto"/>
                <w:sz w:val="16"/>
                <w:szCs w:val="16"/>
              </w:rPr>
            </w:pPr>
            <w:r w:rsidRPr="000A296A">
              <w:rPr>
                <w:rFonts w:ascii="Arial" w:hAnsi="Arial" w:cs="Arial"/>
                <w:color w:val="auto"/>
                <w:sz w:val="16"/>
                <w:szCs w:val="16"/>
              </w:rPr>
              <w:t>Australian Institute of Health and Welfare</w:t>
            </w:r>
          </w:p>
        </w:tc>
        <w:tc>
          <w:tcPr>
            <w:tcW w:w="880" w:type="dxa"/>
            <w:tcBorders>
              <w:top w:val="nil"/>
              <w:left w:val="nil"/>
              <w:bottom w:val="nil"/>
              <w:right w:val="nil"/>
            </w:tcBorders>
            <w:shd w:val="clear" w:color="000000" w:fill="D9D9D9"/>
            <w:noWrap/>
            <w:vAlign w:val="bottom"/>
            <w:hideMark/>
          </w:tcPr>
          <w:p w14:paraId="67C45A86" w14:textId="77777777" w:rsidR="000A296A" w:rsidRPr="000A296A" w:rsidRDefault="000A296A" w:rsidP="000A296A">
            <w:pPr>
              <w:spacing w:after="0"/>
              <w:rPr>
                <w:rFonts w:ascii="Arial" w:hAnsi="Arial" w:cs="Arial"/>
                <w:color w:val="auto"/>
                <w:sz w:val="16"/>
                <w:szCs w:val="16"/>
              </w:rPr>
            </w:pPr>
            <w:r w:rsidRPr="000A296A">
              <w:rPr>
                <w:rFonts w:ascii="Arial" w:hAnsi="Arial" w:cs="Arial"/>
                <w:color w:val="auto"/>
                <w:sz w:val="16"/>
                <w:szCs w:val="16"/>
              </w:rPr>
              <w:t> </w:t>
            </w:r>
          </w:p>
        </w:tc>
        <w:tc>
          <w:tcPr>
            <w:tcW w:w="880" w:type="dxa"/>
            <w:tcBorders>
              <w:top w:val="nil"/>
              <w:left w:val="nil"/>
              <w:bottom w:val="nil"/>
              <w:right w:val="nil"/>
            </w:tcBorders>
            <w:shd w:val="clear" w:color="auto" w:fill="auto"/>
            <w:noWrap/>
            <w:vAlign w:val="bottom"/>
            <w:hideMark/>
          </w:tcPr>
          <w:p w14:paraId="72D1BF8A" w14:textId="77777777" w:rsidR="000A296A" w:rsidRPr="000A296A" w:rsidRDefault="000A296A" w:rsidP="000A296A">
            <w:pPr>
              <w:spacing w:after="0"/>
              <w:rPr>
                <w:rFonts w:ascii="Arial" w:hAnsi="Arial" w:cs="Arial"/>
                <w:color w:val="auto"/>
                <w:sz w:val="16"/>
                <w:szCs w:val="16"/>
              </w:rPr>
            </w:pPr>
          </w:p>
        </w:tc>
        <w:tc>
          <w:tcPr>
            <w:tcW w:w="880" w:type="dxa"/>
            <w:tcBorders>
              <w:top w:val="nil"/>
              <w:left w:val="nil"/>
              <w:bottom w:val="nil"/>
              <w:right w:val="nil"/>
            </w:tcBorders>
            <w:shd w:val="clear" w:color="auto" w:fill="auto"/>
            <w:noWrap/>
            <w:vAlign w:val="bottom"/>
            <w:hideMark/>
          </w:tcPr>
          <w:p w14:paraId="73AE0173" w14:textId="77777777" w:rsidR="000A296A" w:rsidRPr="000A296A" w:rsidRDefault="000A296A" w:rsidP="000A296A">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757A7D67" w14:textId="77777777" w:rsidR="000A296A" w:rsidRPr="000A296A" w:rsidRDefault="000A296A" w:rsidP="000A296A">
            <w:pPr>
              <w:spacing w:after="0"/>
              <w:rPr>
                <w:rFonts w:ascii="Times New Roman" w:hAnsi="Times New Roman"/>
                <w:color w:val="auto"/>
                <w:sz w:val="20"/>
              </w:rPr>
            </w:pPr>
          </w:p>
        </w:tc>
      </w:tr>
      <w:tr w:rsidR="000A296A" w:rsidRPr="000A296A" w14:paraId="6AF27219" w14:textId="77777777" w:rsidTr="000A296A">
        <w:trPr>
          <w:trHeight w:val="225"/>
        </w:trPr>
        <w:tc>
          <w:tcPr>
            <w:tcW w:w="2140" w:type="dxa"/>
            <w:tcBorders>
              <w:top w:val="nil"/>
              <w:left w:val="nil"/>
              <w:bottom w:val="nil"/>
              <w:right w:val="nil"/>
            </w:tcBorders>
            <w:shd w:val="clear" w:color="auto" w:fill="auto"/>
            <w:noWrap/>
            <w:vAlign w:val="bottom"/>
            <w:hideMark/>
          </w:tcPr>
          <w:p w14:paraId="1B17A122" w14:textId="77777777" w:rsidR="000A296A" w:rsidRPr="000A296A" w:rsidRDefault="000A296A" w:rsidP="000A296A">
            <w:pPr>
              <w:spacing w:after="0"/>
              <w:ind w:firstLineChars="100" w:firstLine="160"/>
              <w:rPr>
                <w:rFonts w:ascii="Arial" w:hAnsi="Arial" w:cs="Arial"/>
                <w:color w:val="auto"/>
                <w:sz w:val="16"/>
                <w:szCs w:val="16"/>
              </w:rPr>
            </w:pPr>
            <w:r w:rsidRPr="000A296A">
              <w:rPr>
                <w:rFonts w:ascii="Arial" w:hAnsi="Arial" w:cs="Arial"/>
                <w:color w:val="auto"/>
                <w:sz w:val="16"/>
                <w:szCs w:val="16"/>
              </w:rPr>
              <w:t>Departmental payments</w:t>
            </w:r>
          </w:p>
        </w:tc>
        <w:tc>
          <w:tcPr>
            <w:tcW w:w="880" w:type="dxa"/>
            <w:tcBorders>
              <w:top w:val="nil"/>
              <w:left w:val="nil"/>
              <w:bottom w:val="nil"/>
              <w:right w:val="nil"/>
            </w:tcBorders>
            <w:shd w:val="clear" w:color="auto" w:fill="auto"/>
            <w:noWrap/>
            <w:vAlign w:val="bottom"/>
            <w:hideMark/>
          </w:tcPr>
          <w:p w14:paraId="748D4FB8" w14:textId="77777777" w:rsidR="000A296A" w:rsidRPr="000A296A" w:rsidRDefault="000A296A" w:rsidP="000A296A">
            <w:pPr>
              <w:spacing w:after="0"/>
              <w:jc w:val="right"/>
              <w:rPr>
                <w:rFonts w:ascii="Arial" w:hAnsi="Arial" w:cs="Arial"/>
                <w:color w:val="auto"/>
                <w:sz w:val="16"/>
                <w:szCs w:val="16"/>
              </w:rPr>
            </w:pPr>
            <w:r w:rsidRPr="000A296A">
              <w:rPr>
                <w:rFonts w:ascii="Arial" w:hAnsi="Arial" w:cs="Arial"/>
                <w:color w:val="auto"/>
                <w:sz w:val="16"/>
                <w:szCs w:val="16"/>
              </w:rPr>
              <w:t>1.1</w:t>
            </w:r>
          </w:p>
        </w:tc>
        <w:tc>
          <w:tcPr>
            <w:tcW w:w="880" w:type="dxa"/>
            <w:tcBorders>
              <w:top w:val="nil"/>
              <w:left w:val="nil"/>
              <w:bottom w:val="nil"/>
              <w:right w:val="nil"/>
            </w:tcBorders>
            <w:shd w:val="clear" w:color="auto" w:fill="auto"/>
            <w:noWrap/>
            <w:vAlign w:val="bottom"/>
            <w:hideMark/>
          </w:tcPr>
          <w:p w14:paraId="6C3832CA" w14:textId="77777777" w:rsidR="000A296A" w:rsidRPr="000A296A" w:rsidRDefault="000A296A" w:rsidP="000A296A">
            <w:pPr>
              <w:spacing w:after="0"/>
              <w:jc w:val="right"/>
              <w:rPr>
                <w:rFonts w:ascii="Arial" w:hAnsi="Arial" w:cs="Arial"/>
                <w:color w:val="auto"/>
                <w:sz w:val="16"/>
                <w:szCs w:val="16"/>
              </w:rPr>
            </w:pPr>
            <w:r w:rsidRPr="000A296A">
              <w:rPr>
                <w:rFonts w:ascii="Arial" w:hAnsi="Arial" w:cs="Arial"/>
                <w:color w:val="auto"/>
                <w:sz w:val="16"/>
                <w:szCs w:val="16"/>
              </w:rPr>
              <w:t>-</w:t>
            </w:r>
          </w:p>
        </w:tc>
        <w:tc>
          <w:tcPr>
            <w:tcW w:w="880" w:type="dxa"/>
            <w:tcBorders>
              <w:top w:val="nil"/>
              <w:left w:val="nil"/>
              <w:bottom w:val="nil"/>
              <w:right w:val="nil"/>
            </w:tcBorders>
            <w:shd w:val="clear" w:color="000000" w:fill="D9D9D9"/>
            <w:noWrap/>
            <w:vAlign w:val="bottom"/>
            <w:hideMark/>
          </w:tcPr>
          <w:p w14:paraId="43014D6B" w14:textId="77777777" w:rsidR="000A296A" w:rsidRPr="000A296A" w:rsidRDefault="000A296A" w:rsidP="000A296A">
            <w:pPr>
              <w:spacing w:after="0"/>
              <w:jc w:val="right"/>
              <w:rPr>
                <w:rFonts w:ascii="Arial" w:hAnsi="Arial" w:cs="Arial"/>
                <w:color w:val="auto"/>
                <w:sz w:val="16"/>
                <w:szCs w:val="16"/>
              </w:rPr>
            </w:pPr>
            <w:r w:rsidRPr="000A296A">
              <w:rPr>
                <w:rFonts w:ascii="Arial" w:hAnsi="Arial" w:cs="Arial"/>
                <w:color w:val="auto"/>
                <w:sz w:val="16"/>
                <w:szCs w:val="16"/>
              </w:rPr>
              <w:t>(787)</w:t>
            </w:r>
          </w:p>
        </w:tc>
        <w:tc>
          <w:tcPr>
            <w:tcW w:w="880" w:type="dxa"/>
            <w:tcBorders>
              <w:top w:val="nil"/>
              <w:left w:val="nil"/>
              <w:bottom w:val="nil"/>
              <w:right w:val="nil"/>
            </w:tcBorders>
            <w:shd w:val="clear" w:color="auto" w:fill="auto"/>
            <w:noWrap/>
            <w:vAlign w:val="bottom"/>
            <w:hideMark/>
          </w:tcPr>
          <w:p w14:paraId="2403DA37" w14:textId="77777777" w:rsidR="000A296A" w:rsidRPr="000A296A" w:rsidRDefault="000A296A" w:rsidP="000A296A">
            <w:pPr>
              <w:spacing w:after="0"/>
              <w:jc w:val="right"/>
              <w:rPr>
                <w:rFonts w:ascii="Arial" w:hAnsi="Arial" w:cs="Arial"/>
                <w:color w:val="auto"/>
                <w:sz w:val="16"/>
                <w:szCs w:val="16"/>
              </w:rPr>
            </w:pPr>
            <w:r w:rsidRPr="000A296A">
              <w:rPr>
                <w:rFonts w:ascii="Arial" w:hAnsi="Arial" w:cs="Arial"/>
                <w:color w:val="auto"/>
                <w:sz w:val="16"/>
                <w:szCs w:val="16"/>
              </w:rPr>
              <w:t>-</w:t>
            </w:r>
          </w:p>
        </w:tc>
        <w:tc>
          <w:tcPr>
            <w:tcW w:w="880" w:type="dxa"/>
            <w:tcBorders>
              <w:top w:val="nil"/>
              <w:left w:val="nil"/>
              <w:bottom w:val="nil"/>
              <w:right w:val="nil"/>
            </w:tcBorders>
            <w:shd w:val="clear" w:color="auto" w:fill="auto"/>
            <w:noWrap/>
            <w:vAlign w:val="bottom"/>
            <w:hideMark/>
          </w:tcPr>
          <w:p w14:paraId="42D72960" w14:textId="77777777" w:rsidR="000A296A" w:rsidRPr="000A296A" w:rsidRDefault="000A296A" w:rsidP="000A296A">
            <w:pPr>
              <w:spacing w:after="0"/>
              <w:jc w:val="right"/>
              <w:rPr>
                <w:rFonts w:ascii="Arial" w:hAnsi="Arial" w:cs="Arial"/>
                <w:color w:val="auto"/>
                <w:sz w:val="16"/>
                <w:szCs w:val="16"/>
              </w:rPr>
            </w:pPr>
            <w:r w:rsidRPr="000A296A">
              <w:rPr>
                <w:rFonts w:ascii="Arial" w:hAnsi="Arial" w:cs="Arial"/>
                <w:color w:val="auto"/>
                <w:sz w:val="16"/>
                <w:szCs w:val="16"/>
              </w:rPr>
              <w:t>-</w:t>
            </w:r>
          </w:p>
        </w:tc>
        <w:tc>
          <w:tcPr>
            <w:tcW w:w="880" w:type="dxa"/>
            <w:tcBorders>
              <w:top w:val="nil"/>
              <w:left w:val="nil"/>
              <w:bottom w:val="nil"/>
              <w:right w:val="nil"/>
            </w:tcBorders>
            <w:shd w:val="clear" w:color="auto" w:fill="auto"/>
            <w:noWrap/>
            <w:vAlign w:val="bottom"/>
            <w:hideMark/>
          </w:tcPr>
          <w:p w14:paraId="535B26F5" w14:textId="77777777" w:rsidR="000A296A" w:rsidRPr="000A296A" w:rsidRDefault="000A296A" w:rsidP="000A296A">
            <w:pPr>
              <w:spacing w:after="0"/>
              <w:jc w:val="right"/>
              <w:rPr>
                <w:rFonts w:ascii="Arial" w:hAnsi="Arial" w:cs="Arial"/>
                <w:color w:val="auto"/>
                <w:sz w:val="16"/>
                <w:szCs w:val="16"/>
              </w:rPr>
            </w:pPr>
            <w:r w:rsidRPr="000A296A">
              <w:rPr>
                <w:rFonts w:ascii="Arial" w:hAnsi="Arial" w:cs="Arial"/>
                <w:color w:val="auto"/>
                <w:sz w:val="16"/>
                <w:szCs w:val="16"/>
              </w:rPr>
              <w:t>-</w:t>
            </w:r>
          </w:p>
        </w:tc>
      </w:tr>
      <w:tr w:rsidR="000A296A" w:rsidRPr="000A296A" w14:paraId="10F536BE" w14:textId="77777777" w:rsidTr="000A296A">
        <w:trPr>
          <w:trHeight w:val="225"/>
        </w:trPr>
        <w:tc>
          <w:tcPr>
            <w:tcW w:w="2140" w:type="dxa"/>
            <w:tcBorders>
              <w:top w:val="nil"/>
              <w:left w:val="nil"/>
              <w:bottom w:val="single" w:sz="4" w:space="0" w:color="auto"/>
              <w:right w:val="nil"/>
            </w:tcBorders>
            <w:shd w:val="clear" w:color="auto" w:fill="auto"/>
            <w:noWrap/>
            <w:vAlign w:val="bottom"/>
            <w:hideMark/>
          </w:tcPr>
          <w:p w14:paraId="721014E7" w14:textId="77777777" w:rsidR="000A296A" w:rsidRPr="000A296A" w:rsidRDefault="000A296A" w:rsidP="000A296A">
            <w:pPr>
              <w:spacing w:after="0"/>
              <w:rPr>
                <w:rFonts w:ascii="Arial" w:hAnsi="Arial" w:cs="Arial"/>
                <w:b/>
                <w:bCs/>
                <w:color w:val="auto"/>
                <w:sz w:val="16"/>
                <w:szCs w:val="16"/>
              </w:rPr>
            </w:pPr>
            <w:r w:rsidRPr="000A296A">
              <w:rPr>
                <w:rFonts w:ascii="Arial" w:hAnsi="Arial" w:cs="Arial"/>
                <w:b/>
                <w:bCs/>
                <w:color w:val="auto"/>
                <w:sz w:val="16"/>
                <w:szCs w:val="16"/>
              </w:rPr>
              <w:t>Total payments</w:t>
            </w:r>
          </w:p>
        </w:tc>
        <w:tc>
          <w:tcPr>
            <w:tcW w:w="880" w:type="dxa"/>
            <w:tcBorders>
              <w:top w:val="nil"/>
              <w:left w:val="nil"/>
              <w:bottom w:val="single" w:sz="4" w:space="0" w:color="auto"/>
              <w:right w:val="nil"/>
            </w:tcBorders>
            <w:shd w:val="clear" w:color="auto" w:fill="auto"/>
            <w:noWrap/>
            <w:vAlign w:val="bottom"/>
            <w:hideMark/>
          </w:tcPr>
          <w:p w14:paraId="6DFECA71" w14:textId="77777777" w:rsidR="000A296A" w:rsidRPr="000A296A" w:rsidRDefault="000A296A" w:rsidP="000A296A">
            <w:pPr>
              <w:spacing w:after="0"/>
              <w:jc w:val="right"/>
              <w:rPr>
                <w:rFonts w:ascii="Arial" w:hAnsi="Arial" w:cs="Arial"/>
                <w:color w:val="auto"/>
                <w:sz w:val="16"/>
                <w:szCs w:val="16"/>
              </w:rPr>
            </w:pPr>
            <w:r w:rsidRPr="000A296A">
              <w:rPr>
                <w:rFonts w:ascii="Arial" w:hAnsi="Arial" w:cs="Arial"/>
                <w:color w:val="auto"/>
                <w:sz w:val="16"/>
                <w:szCs w:val="16"/>
              </w:rPr>
              <w:t> </w:t>
            </w:r>
          </w:p>
        </w:tc>
        <w:tc>
          <w:tcPr>
            <w:tcW w:w="880" w:type="dxa"/>
            <w:tcBorders>
              <w:top w:val="single" w:sz="4" w:space="0" w:color="auto"/>
              <w:left w:val="nil"/>
              <w:bottom w:val="single" w:sz="4" w:space="0" w:color="auto"/>
              <w:right w:val="nil"/>
            </w:tcBorders>
            <w:shd w:val="clear" w:color="auto" w:fill="auto"/>
            <w:noWrap/>
            <w:vAlign w:val="bottom"/>
            <w:hideMark/>
          </w:tcPr>
          <w:p w14:paraId="62A939E0" w14:textId="77777777" w:rsidR="000A296A" w:rsidRPr="000A296A" w:rsidRDefault="000A296A" w:rsidP="000A296A">
            <w:pPr>
              <w:spacing w:after="0"/>
              <w:jc w:val="right"/>
              <w:rPr>
                <w:rFonts w:ascii="Arial" w:hAnsi="Arial" w:cs="Arial"/>
                <w:b/>
                <w:bCs/>
                <w:color w:val="auto"/>
                <w:sz w:val="16"/>
                <w:szCs w:val="16"/>
              </w:rPr>
            </w:pPr>
            <w:r w:rsidRPr="000A296A">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000000" w:fill="D9D9D9"/>
            <w:noWrap/>
            <w:vAlign w:val="bottom"/>
            <w:hideMark/>
          </w:tcPr>
          <w:p w14:paraId="111E24B7" w14:textId="77777777" w:rsidR="000A296A" w:rsidRPr="000A296A" w:rsidRDefault="000A296A" w:rsidP="000A296A">
            <w:pPr>
              <w:spacing w:after="0"/>
              <w:jc w:val="right"/>
              <w:rPr>
                <w:rFonts w:ascii="Arial" w:hAnsi="Arial" w:cs="Arial"/>
                <w:b/>
                <w:bCs/>
                <w:color w:val="auto"/>
                <w:sz w:val="16"/>
                <w:szCs w:val="16"/>
              </w:rPr>
            </w:pPr>
            <w:r w:rsidRPr="000A296A">
              <w:rPr>
                <w:rFonts w:ascii="Arial" w:hAnsi="Arial" w:cs="Arial"/>
                <w:b/>
                <w:bCs/>
                <w:color w:val="auto"/>
                <w:sz w:val="16"/>
                <w:szCs w:val="16"/>
              </w:rPr>
              <w:t>(787)</w:t>
            </w:r>
          </w:p>
        </w:tc>
        <w:tc>
          <w:tcPr>
            <w:tcW w:w="880" w:type="dxa"/>
            <w:tcBorders>
              <w:top w:val="single" w:sz="4" w:space="0" w:color="auto"/>
              <w:left w:val="nil"/>
              <w:bottom w:val="single" w:sz="4" w:space="0" w:color="auto"/>
              <w:right w:val="nil"/>
            </w:tcBorders>
            <w:shd w:val="clear" w:color="auto" w:fill="auto"/>
            <w:noWrap/>
            <w:vAlign w:val="bottom"/>
            <w:hideMark/>
          </w:tcPr>
          <w:p w14:paraId="4C7327E4" w14:textId="77777777" w:rsidR="000A296A" w:rsidRPr="000A296A" w:rsidRDefault="000A296A" w:rsidP="000A296A">
            <w:pPr>
              <w:spacing w:after="0"/>
              <w:jc w:val="right"/>
              <w:rPr>
                <w:rFonts w:ascii="Arial" w:hAnsi="Arial" w:cs="Arial"/>
                <w:b/>
                <w:bCs/>
                <w:color w:val="auto"/>
                <w:sz w:val="16"/>
                <w:szCs w:val="16"/>
              </w:rPr>
            </w:pPr>
            <w:r w:rsidRPr="000A296A">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auto" w:fill="auto"/>
            <w:noWrap/>
            <w:vAlign w:val="bottom"/>
            <w:hideMark/>
          </w:tcPr>
          <w:p w14:paraId="78CE447E" w14:textId="77777777" w:rsidR="000A296A" w:rsidRPr="000A296A" w:rsidRDefault="000A296A" w:rsidP="000A296A">
            <w:pPr>
              <w:spacing w:after="0"/>
              <w:jc w:val="right"/>
              <w:rPr>
                <w:rFonts w:ascii="Arial" w:hAnsi="Arial" w:cs="Arial"/>
                <w:b/>
                <w:bCs/>
                <w:color w:val="auto"/>
                <w:sz w:val="16"/>
                <w:szCs w:val="16"/>
              </w:rPr>
            </w:pPr>
            <w:r w:rsidRPr="000A296A">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auto" w:fill="auto"/>
            <w:noWrap/>
            <w:vAlign w:val="bottom"/>
            <w:hideMark/>
          </w:tcPr>
          <w:p w14:paraId="1C26A0D8" w14:textId="77777777" w:rsidR="000A296A" w:rsidRPr="000A296A" w:rsidRDefault="000A296A" w:rsidP="000A296A">
            <w:pPr>
              <w:spacing w:after="0"/>
              <w:jc w:val="right"/>
              <w:rPr>
                <w:rFonts w:ascii="Arial" w:hAnsi="Arial" w:cs="Arial"/>
                <w:b/>
                <w:bCs/>
                <w:color w:val="auto"/>
                <w:sz w:val="16"/>
                <w:szCs w:val="16"/>
              </w:rPr>
            </w:pPr>
            <w:r w:rsidRPr="000A296A">
              <w:rPr>
                <w:rFonts w:ascii="Arial" w:hAnsi="Arial" w:cs="Arial"/>
                <w:b/>
                <w:bCs/>
                <w:color w:val="auto"/>
                <w:sz w:val="16"/>
                <w:szCs w:val="16"/>
              </w:rPr>
              <w:t>-</w:t>
            </w:r>
          </w:p>
        </w:tc>
      </w:tr>
    </w:tbl>
    <w:p w14:paraId="0E7319DA" w14:textId="50297675" w:rsidR="00001544" w:rsidRDefault="000A296A" w:rsidP="00001544">
      <w:pPr>
        <w:pStyle w:val="FootnoteText"/>
        <w:spacing w:before="120"/>
        <w:rPr>
          <w:rStyle w:val="FootnoteTextChar"/>
          <w:lang w:eastAsia="en-US"/>
        </w:rPr>
      </w:pPr>
      <w:r w:rsidRPr="00001544">
        <w:rPr>
          <w:vertAlign w:val="superscript"/>
        </w:rPr>
        <w:t xml:space="preserve"> </w:t>
      </w:r>
      <w:r w:rsidR="00001544" w:rsidRPr="00001544">
        <w:rPr>
          <w:vertAlign w:val="superscript"/>
        </w:rPr>
        <w:t>(a)</w:t>
      </w:r>
      <w:r w:rsidR="00001544">
        <w:rPr>
          <w:vertAlign w:val="superscript"/>
        </w:rPr>
        <w:tab/>
      </w:r>
      <w:r w:rsidR="00923D7B">
        <w:t>A</w:t>
      </w:r>
      <w:r w:rsidR="00001544" w:rsidRPr="00001544">
        <w:t>IHW</w:t>
      </w:r>
      <w:r w:rsidR="00001544" w:rsidRPr="00001544">
        <w:rPr>
          <w:rStyle w:val="FootnoteTextChar"/>
          <w:lang w:eastAsia="en-US"/>
        </w:rPr>
        <w:t xml:space="preserve"> is not the lead entity for these measures. AIHW impacts only are shown in this table</w:t>
      </w:r>
      <w:r w:rsidR="009E4556">
        <w:rPr>
          <w:rStyle w:val="FootnoteTextChar"/>
          <w:lang w:eastAsia="en-US"/>
        </w:rPr>
        <w:t>.</w:t>
      </w:r>
    </w:p>
    <w:p w14:paraId="3ECA55E6" w14:textId="77777777" w:rsidR="00001544" w:rsidRDefault="00001544" w:rsidP="00001544">
      <w:pPr>
        <w:tabs>
          <w:tab w:val="left" w:pos="142"/>
        </w:tabs>
        <w:spacing w:before="120"/>
        <w:rPr>
          <w:rStyle w:val="FootnoteTextChar"/>
          <w:lang w:eastAsia="en-US"/>
        </w:rPr>
      </w:pPr>
    </w:p>
    <w:p w14:paraId="2BD30CDE" w14:textId="50A54917" w:rsidR="00A74235" w:rsidRPr="00E63E43" w:rsidRDefault="00A74235" w:rsidP="00001544">
      <w:pPr>
        <w:tabs>
          <w:tab w:val="left" w:pos="142"/>
        </w:tabs>
        <w:spacing w:before="120"/>
        <w:ind w:left="142" w:hanging="142"/>
        <w:rPr>
          <w:color w:val="auto"/>
        </w:rPr>
        <w:sectPr w:rsidR="00A74235" w:rsidRPr="00E63E43" w:rsidSect="00357948">
          <w:headerReference w:type="even" r:id="rId18"/>
          <w:headerReference w:type="default" r:id="rId19"/>
          <w:headerReference w:type="first" r:id="rId20"/>
          <w:pgSz w:w="11906" w:h="16838"/>
          <w:pgMar w:top="2466" w:right="2268" w:bottom="2126" w:left="2268" w:header="1899" w:footer="1899" w:gutter="0"/>
          <w:cols w:space="708"/>
          <w:docGrid w:linePitch="360"/>
        </w:sectPr>
      </w:pPr>
    </w:p>
    <w:p w14:paraId="3DB05D35" w14:textId="26E8A18C" w:rsidR="0024539A" w:rsidRPr="00E63E43" w:rsidRDefault="0024539A" w:rsidP="00FB014E">
      <w:pPr>
        <w:pStyle w:val="Heading2"/>
      </w:pPr>
      <w:bookmarkStart w:id="4" w:name="_Toc117406695"/>
      <w:r w:rsidRPr="00E63E43">
        <w:lastRenderedPageBreak/>
        <w:t xml:space="preserve">Section 2: Outcomes and </w:t>
      </w:r>
      <w:r w:rsidR="00142991">
        <w:t>p</w:t>
      </w:r>
      <w:r w:rsidRPr="00E63E43">
        <w:t xml:space="preserve">lanned </w:t>
      </w:r>
      <w:r w:rsidR="00142991">
        <w:t>p</w:t>
      </w:r>
      <w:r w:rsidRPr="00E63E43">
        <w:t>erformance</w:t>
      </w:r>
      <w:bookmarkEnd w:id="4"/>
    </w:p>
    <w:p w14:paraId="31F48DE0" w14:textId="77777777" w:rsidR="0024539A" w:rsidRPr="00E63E43" w:rsidRDefault="0024539A" w:rsidP="0024539A">
      <w:pPr>
        <w:rPr>
          <w:color w:val="auto"/>
        </w:rPr>
      </w:pPr>
      <w:r w:rsidRPr="00E63E43">
        <w:rPr>
          <w:color w:val="auto"/>
        </w:rPr>
        <w:t>Government outcomes are the intended results, impacts or consequences of actions by the Government on the Australian community. Commonwealth programs ar</w:t>
      </w:r>
      <w:r w:rsidR="00BA177B">
        <w:rPr>
          <w:color w:val="auto"/>
        </w:rPr>
        <w:t>e the primary vehicle by which g</w:t>
      </w:r>
      <w:r w:rsidRPr="00E63E43">
        <w:rPr>
          <w:color w:val="auto"/>
        </w:rPr>
        <w:t>overnment entities achieve the intended results of their outcome statements. Entities are required to identify t</w:t>
      </w:r>
      <w:r w:rsidR="00BA177B">
        <w:rPr>
          <w:color w:val="auto"/>
        </w:rPr>
        <w:t>he programs that contribute to g</w:t>
      </w:r>
      <w:r w:rsidRPr="00E63E43">
        <w:rPr>
          <w:color w:val="auto"/>
        </w:rPr>
        <w:t>overnment outcomes over the Budget and forward years.</w:t>
      </w:r>
    </w:p>
    <w:p w14:paraId="0DF39921" w14:textId="77777777" w:rsidR="0024539A" w:rsidRPr="00E63E43" w:rsidRDefault="0024539A" w:rsidP="0024539A">
      <w:pPr>
        <w:rPr>
          <w:color w:val="auto"/>
        </w:rPr>
      </w:pPr>
      <w:r w:rsidRPr="00E63E43">
        <w:rPr>
          <w:color w:val="auto"/>
        </w:rPr>
        <w:t>Each outcome is described within this section, together with its related programs. The following provides detailed information on expenses for each outcome and program, further broken down by funding source.</w:t>
      </w:r>
    </w:p>
    <w:p w14:paraId="17CBCF8F" w14:textId="77777777" w:rsidR="00F82D89" w:rsidRPr="00F82D89" w:rsidRDefault="00F82D89" w:rsidP="00F82D89">
      <w:pPr>
        <w:pBdr>
          <w:top w:val="single" w:sz="4" w:space="2" w:color="auto"/>
          <w:left w:val="single" w:sz="4" w:space="4" w:color="auto"/>
          <w:bottom w:val="single" w:sz="4" w:space="2" w:color="auto"/>
          <w:right w:val="single" w:sz="4" w:space="4" w:color="auto"/>
        </w:pBdr>
        <w:rPr>
          <w:rFonts w:cs="Arial"/>
          <w:b/>
          <w:szCs w:val="19"/>
        </w:rPr>
      </w:pPr>
      <w:r w:rsidRPr="00F82D89">
        <w:rPr>
          <w:rFonts w:cs="Arial"/>
          <w:b/>
          <w:szCs w:val="19"/>
        </w:rPr>
        <w:t>Note:</w:t>
      </w:r>
    </w:p>
    <w:p w14:paraId="00E66F07" w14:textId="77777777" w:rsidR="00F82D89" w:rsidRPr="00F82D89" w:rsidRDefault="00F82D89" w:rsidP="00F82D89">
      <w:pPr>
        <w:pBdr>
          <w:top w:val="single" w:sz="4" w:space="2" w:color="auto"/>
          <w:left w:val="single" w:sz="4" w:space="4" w:color="auto"/>
          <w:bottom w:val="single" w:sz="4" w:space="2" w:color="auto"/>
          <w:right w:val="single" w:sz="4" w:space="4" w:color="auto"/>
        </w:pBdr>
        <w:rPr>
          <w:szCs w:val="19"/>
        </w:rPr>
      </w:pPr>
      <w:r w:rsidRPr="00F82D89">
        <w:rPr>
          <w:szCs w:val="19"/>
        </w:rPr>
        <w:t xml:space="preserve">Performance reporting requirements in the Portfolio Budget Statements are part of the Commonwealth Performance Framework established by </w:t>
      </w:r>
      <w:r w:rsidRPr="00F82D89">
        <w:rPr>
          <w:i/>
          <w:szCs w:val="19"/>
        </w:rPr>
        <w:t>the Public Governance, Performance and Accountability Act 2013</w:t>
      </w:r>
      <w:r w:rsidRPr="00F82D89">
        <w:rPr>
          <w:szCs w:val="19"/>
        </w:rPr>
        <w:t>. It is anticipated that the performance measures described in Portfolio Budget Statements will be read with broader information provided in an entity’s Corporate Plan and Annual Performance Statement – included in Annual Reports – to provide an entity’s complete performance story.</w:t>
      </w:r>
    </w:p>
    <w:p w14:paraId="79710AA9" w14:textId="19004E0E" w:rsidR="00610D06" w:rsidRDefault="00610D06" w:rsidP="00610D06">
      <w:pPr>
        <w:pBdr>
          <w:top w:val="single" w:sz="4" w:space="2" w:color="auto"/>
          <w:left w:val="single" w:sz="4" w:space="4" w:color="auto"/>
          <w:bottom w:val="single" w:sz="4" w:space="2" w:color="auto"/>
          <w:right w:val="single" w:sz="4" w:space="4" w:color="auto"/>
        </w:pBdr>
      </w:pPr>
      <w:r w:rsidRPr="00E63E43">
        <w:rPr>
          <w:color w:val="auto"/>
        </w:rPr>
        <w:t xml:space="preserve">The AIHW’s most recent Corporate Plan and Annual Performance Statement are available at: </w:t>
      </w:r>
      <w:r w:rsidRPr="004652BF">
        <w:t>www.aihw.gov.au/reports-data/corporate-publications/overview</w:t>
      </w:r>
    </w:p>
    <w:p w14:paraId="00B2FDFF" w14:textId="28642F17" w:rsidR="00BC0659" w:rsidRPr="00E63E43" w:rsidRDefault="00BC0659" w:rsidP="00183C35">
      <w:pPr>
        <w:pStyle w:val="Heading3"/>
      </w:pPr>
      <w:bookmarkStart w:id="5" w:name="_Toc117406696"/>
      <w:r w:rsidRPr="00E63E43">
        <w:t>2.1</w:t>
      </w:r>
      <w:r w:rsidRPr="00E63E43">
        <w:tab/>
        <w:t xml:space="preserve">Budgeted </w:t>
      </w:r>
      <w:r w:rsidR="00F82D89">
        <w:t>e</w:t>
      </w:r>
      <w:r w:rsidRPr="00E63E43">
        <w:t xml:space="preserve">xpenses and </w:t>
      </w:r>
      <w:r w:rsidR="00F82D89">
        <w:t>p</w:t>
      </w:r>
      <w:r w:rsidRPr="00E63E43">
        <w:t>erformance</w:t>
      </w:r>
      <w:bookmarkEnd w:id="5"/>
    </w:p>
    <w:p w14:paraId="6DC6C8C5" w14:textId="77777777" w:rsidR="00EE73F8" w:rsidRPr="000B4152" w:rsidRDefault="00BC0659" w:rsidP="00EE73F8">
      <w:pPr>
        <w:pStyle w:val="OutcomeStatement"/>
        <w:spacing w:before="120" w:after="120"/>
        <w:rPr>
          <w:b/>
          <w:color w:val="auto"/>
          <w:szCs w:val="20"/>
        </w:rPr>
      </w:pPr>
      <w:r w:rsidRPr="000B4152">
        <w:rPr>
          <w:b/>
          <w:color w:val="auto"/>
          <w:szCs w:val="20"/>
        </w:rPr>
        <w:t>Outcome 1</w:t>
      </w:r>
    </w:p>
    <w:p w14:paraId="19502FEE" w14:textId="38096414" w:rsidR="005B7562" w:rsidRPr="000B4152" w:rsidRDefault="00EE73F8" w:rsidP="007B4DC7">
      <w:pPr>
        <w:pStyle w:val="OutcomeStatement"/>
        <w:rPr>
          <w:color w:val="auto"/>
          <w:szCs w:val="20"/>
        </w:rPr>
      </w:pPr>
      <w:r w:rsidRPr="000B4152">
        <w:rPr>
          <w:color w:val="auto"/>
          <w:szCs w:val="20"/>
        </w:rPr>
        <w:t>A robust evidence-base for the health, housing and community sectors, including through developing and disseminating comparable health and welfare information and statistics</w:t>
      </w:r>
      <w:r w:rsidR="00545A2D">
        <w:rPr>
          <w:color w:val="auto"/>
          <w:szCs w:val="20"/>
        </w:rPr>
        <w:t>.</w:t>
      </w:r>
    </w:p>
    <w:p w14:paraId="677C7357" w14:textId="55F9AA58" w:rsidR="00BC0659" w:rsidRPr="00E63E43" w:rsidRDefault="00BC0659" w:rsidP="00BC0659">
      <w:pPr>
        <w:pStyle w:val="Heading4"/>
        <w:rPr>
          <w:color w:val="auto"/>
        </w:rPr>
      </w:pPr>
      <w:r w:rsidRPr="00E63E43">
        <w:rPr>
          <w:color w:val="auto"/>
        </w:rPr>
        <w:t xml:space="preserve">Program </w:t>
      </w:r>
      <w:r w:rsidR="00F82D89">
        <w:rPr>
          <w:color w:val="auto"/>
        </w:rPr>
        <w:t>c</w:t>
      </w:r>
      <w:r w:rsidRPr="00E63E43">
        <w:rPr>
          <w:color w:val="auto"/>
        </w:rPr>
        <w:t>ontributing to Outcome 1</w:t>
      </w:r>
    </w:p>
    <w:p w14:paraId="2C61CE90" w14:textId="5F6CBCF3" w:rsidR="00B87B5E" w:rsidRDefault="00BC0659" w:rsidP="00F04EB0">
      <w:pPr>
        <w:widowControl w:val="0"/>
        <w:pBdr>
          <w:top w:val="single" w:sz="4" w:space="2" w:color="auto"/>
          <w:left w:val="single" w:sz="4" w:space="4" w:color="auto"/>
          <w:bottom w:val="single" w:sz="4" w:space="2" w:color="auto"/>
          <w:right w:val="single" w:sz="4" w:space="4" w:color="auto"/>
        </w:pBdr>
        <w:tabs>
          <w:tab w:val="left" w:pos="0"/>
        </w:tabs>
        <w:spacing w:before="40" w:after="40"/>
        <w:ind w:left="1440" w:hanging="1440"/>
        <w:rPr>
          <w:rFonts w:ascii="Arial" w:hAnsi="Arial" w:cs="Arial"/>
          <w:b/>
          <w:color w:val="auto"/>
          <w:sz w:val="18"/>
          <w:szCs w:val="18"/>
        </w:rPr>
      </w:pPr>
      <w:r w:rsidRPr="00E63E43">
        <w:rPr>
          <w:rFonts w:ascii="Arial" w:hAnsi="Arial" w:cs="Arial"/>
          <w:b/>
          <w:color w:val="auto"/>
          <w:sz w:val="18"/>
          <w:szCs w:val="18"/>
        </w:rPr>
        <w:t>Program 1.1:</w:t>
      </w:r>
      <w:r w:rsidRPr="00E63E43">
        <w:rPr>
          <w:rFonts w:ascii="Arial" w:hAnsi="Arial" w:cs="Arial"/>
          <w:b/>
          <w:color w:val="auto"/>
          <w:sz w:val="18"/>
          <w:szCs w:val="18"/>
        </w:rPr>
        <w:tab/>
      </w:r>
      <w:r w:rsidR="00EE73F8" w:rsidRPr="00E63E43">
        <w:rPr>
          <w:rFonts w:ascii="Arial" w:hAnsi="Arial" w:cs="Arial"/>
          <w:b/>
          <w:color w:val="auto"/>
          <w:sz w:val="18"/>
          <w:szCs w:val="18"/>
        </w:rPr>
        <w:t>Develop, Collect, Analyse and Report High Quality National Health and Welfare Information and Statistics for Governments and the Community</w:t>
      </w:r>
    </w:p>
    <w:p w14:paraId="4EFAE9AE" w14:textId="77777777" w:rsidR="00FD3AF1" w:rsidRPr="00E63E43" w:rsidRDefault="00FD3AF1">
      <w:pPr>
        <w:spacing w:after="160" w:line="259" w:lineRule="auto"/>
        <w:rPr>
          <w:rFonts w:ascii="Arial" w:hAnsi="Arial"/>
          <w:b/>
          <w:color w:val="auto"/>
          <w:sz w:val="22"/>
        </w:rPr>
      </w:pPr>
      <w:r w:rsidRPr="00E63E43">
        <w:rPr>
          <w:color w:val="auto"/>
        </w:rPr>
        <w:br w:type="page"/>
      </w:r>
    </w:p>
    <w:p w14:paraId="0AE3A190" w14:textId="08FA05B8" w:rsidR="00907B28" w:rsidRPr="000B4152" w:rsidRDefault="00BC0659" w:rsidP="008E17D2">
      <w:pPr>
        <w:pStyle w:val="Heading4"/>
        <w:rPr>
          <w:color w:val="auto"/>
          <w:sz w:val="22"/>
        </w:rPr>
      </w:pPr>
      <w:r w:rsidRPr="000B4152">
        <w:rPr>
          <w:color w:val="auto"/>
          <w:sz w:val="22"/>
        </w:rPr>
        <w:lastRenderedPageBreak/>
        <w:t xml:space="preserve">Linked </w:t>
      </w:r>
      <w:r w:rsidR="004E0495" w:rsidRPr="000B4152">
        <w:rPr>
          <w:color w:val="auto"/>
          <w:sz w:val="22"/>
        </w:rPr>
        <w:t>p</w:t>
      </w:r>
      <w:r w:rsidRPr="000B4152">
        <w:rPr>
          <w:color w:val="auto"/>
          <w:sz w:val="22"/>
        </w:rPr>
        <w:t>rograms</w:t>
      </w:r>
    </w:p>
    <w:tbl>
      <w:tblPr>
        <w:tblStyle w:val="TableGrid"/>
        <w:tblW w:w="5198" w:type="pct"/>
        <w:jc w:val="center"/>
        <w:tblLook w:val="04A0" w:firstRow="1" w:lastRow="0" w:firstColumn="1" w:lastColumn="0" w:noHBand="0" w:noVBand="1"/>
        <w:tblCaption w:val="Linked programs: AIHW"/>
        <w:tblDescription w:val="This table outlines the linked programs for AIHW's Outcome 1, and how other Commonwealth entities contribute to Outcome 1"/>
      </w:tblPr>
      <w:tblGrid>
        <w:gridCol w:w="7651"/>
      </w:tblGrid>
      <w:tr w:rsidR="00E63E43" w:rsidRPr="00E63E43" w14:paraId="48F87173" w14:textId="77777777" w:rsidTr="000D2B54">
        <w:trPr>
          <w:tblHeader/>
          <w:jc w:val="center"/>
        </w:trPr>
        <w:tc>
          <w:tcPr>
            <w:tcW w:w="5000" w:type="pct"/>
            <w:shd w:val="clear" w:color="auto" w:fill="D9D9D9" w:themeFill="background1" w:themeFillShade="D9"/>
          </w:tcPr>
          <w:p w14:paraId="59B9D39F" w14:textId="77777777" w:rsidR="00BC0659" w:rsidRPr="00A66C4D" w:rsidRDefault="00BC0659" w:rsidP="000D2B54">
            <w:pPr>
              <w:pStyle w:val="Tableheadingrow9pt"/>
              <w:rPr>
                <w:color w:val="auto"/>
                <w:sz w:val="20"/>
                <w:szCs w:val="20"/>
              </w:rPr>
            </w:pPr>
            <w:r w:rsidRPr="00A66C4D">
              <w:rPr>
                <w:color w:val="auto"/>
                <w:sz w:val="20"/>
                <w:szCs w:val="20"/>
              </w:rPr>
              <w:t>Other Commonwealth entities that contribute to Outcome 1</w:t>
            </w:r>
          </w:p>
        </w:tc>
      </w:tr>
      <w:tr w:rsidR="00E34823" w:rsidRPr="00E63E43" w14:paraId="019F3AE9" w14:textId="77777777" w:rsidTr="000D2B54">
        <w:trPr>
          <w:jc w:val="center"/>
        </w:trPr>
        <w:tc>
          <w:tcPr>
            <w:tcW w:w="5000" w:type="pct"/>
          </w:tcPr>
          <w:p w14:paraId="72DF752D" w14:textId="703DA059" w:rsidR="00E34823" w:rsidRPr="00D2445A" w:rsidRDefault="00E34823" w:rsidP="00E34823">
            <w:pPr>
              <w:spacing w:before="40" w:after="40"/>
              <w:rPr>
                <w:rFonts w:ascii="Arial" w:hAnsi="Arial" w:cs="Arial"/>
                <w:b/>
                <w:color w:val="auto"/>
                <w:szCs w:val="19"/>
              </w:rPr>
            </w:pPr>
            <w:r w:rsidRPr="00D2445A">
              <w:rPr>
                <w:rFonts w:ascii="Arial" w:hAnsi="Arial" w:cs="Arial"/>
                <w:b/>
                <w:color w:val="auto"/>
                <w:szCs w:val="19"/>
              </w:rPr>
              <w:t>Australian Bureau of Statistics (ABS)</w:t>
            </w:r>
          </w:p>
        </w:tc>
      </w:tr>
      <w:tr w:rsidR="00D2445A" w:rsidRPr="00E63E43" w14:paraId="2D6C7B9A" w14:textId="77777777" w:rsidTr="000D2B54">
        <w:trPr>
          <w:jc w:val="center"/>
        </w:trPr>
        <w:tc>
          <w:tcPr>
            <w:tcW w:w="5000" w:type="pct"/>
          </w:tcPr>
          <w:p w14:paraId="16BD6712" w14:textId="73FE280A" w:rsidR="00D2445A" w:rsidRPr="00D2445A" w:rsidRDefault="00E93F7A" w:rsidP="009E4556">
            <w:pPr>
              <w:spacing w:before="20" w:after="20"/>
              <w:rPr>
                <w:rFonts w:cs="Arial"/>
                <w:b/>
                <w:color w:val="auto"/>
                <w:szCs w:val="19"/>
              </w:rPr>
            </w:pPr>
            <w:r w:rsidRPr="009E4556">
              <w:rPr>
                <w:rFonts w:cs="Arial"/>
                <w:b/>
                <w:bCs/>
                <w:color w:val="auto"/>
                <w:szCs w:val="19"/>
              </w:rPr>
              <w:t>Program</w:t>
            </w:r>
            <w:r>
              <w:rPr>
                <w:rFonts w:cs="Arial"/>
                <w:b/>
                <w:color w:val="auto"/>
                <w:szCs w:val="19"/>
              </w:rPr>
              <w:t xml:space="preserve"> </w:t>
            </w:r>
            <w:r w:rsidR="008B4225">
              <w:rPr>
                <w:rFonts w:cs="Arial"/>
                <w:b/>
                <w:color w:val="auto"/>
                <w:szCs w:val="19"/>
              </w:rPr>
              <w:t>1.1 Australian Bureau of Statistics</w:t>
            </w:r>
          </w:p>
          <w:p w14:paraId="45F043F9" w14:textId="16205EF0" w:rsidR="00D2445A" w:rsidRPr="0014421A" w:rsidRDefault="00D6409C" w:rsidP="00322108">
            <w:pPr>
              <w:pStyle w:val="Tabletextnormal9pt"/>
              <w:rPr>
                <w:b/>
                <w:color w:val="auto"/>
                <w:szCs w:val="19"/>
              </w:rPr>
            </w:pPr>
            <w:r>
              <w:rPr>
                <w:rFonts w:ascii="Book Antiqua" w:hAnsi="Book Antiqua"/>
                <w:color w:val="auto"/>
                <w:sz w:val="19"/>
                <w:szCs w:val="19"/>
              </w:rPr>
              <w:t xml:space="preserve">DSS has overarching responsibility to deliver the National Disability Data Asset in partnership with the AIHW and the ABS, who are responsible for the development of the data asset and the underlying infrastructure. </w:t>
            </w:r>
          </w:p>
        </w:tc>
      </w:tr>
      <w:tr w:rsidR="00E34823" w:rsidRPr="00E63E43" w14:paraId="332333D8" w14:textId="77777777" w:rsidTr="000D2B54">
        <w:trPr>
          <w:jc w:val="center"/>
        </w:trPr>
        <w:tc>
          <w:tcPr>
            <w:tcW w:w="5000" w:type="pct"/>
          </w:tcPr>
          <w:p w14:paraId="580E2EB8" w14:textId="28C672AB" w:rsidR="00E34823" w:rsidRPr="0014421A" w:rsidRDefault="00E34823" w:rsidP="00E34823">
            <w:pPr>
              <w:spacing w:before="40" w:after="40"/>
              <w:rPr>
                <w:rFonts w:ascii="Arial" w:hAnsi="Arial" w:cs="Arial"/>
                <w:b/>
                <w:color w:val="auto"/>
                <w:szCs w:val="19"/>
              </w:rPr>
            </w:pPr>
            <w:r w:rsidRPr="0014421A">
              <w:rPr>
                <w:rFonts w:ascii="Arial" w:hAnsi="Arial" w:cs="Arial"/>
                <w:b/>
                <w:color w:val="auto"/>
                <w:szCs w:val="19"/>
              </w:rPr>
              <w:t>Australian Commission on Safety and Quality in Health Care (ACSQHC)</w:t>
            </w:r>
            <w:r w:rsidRPr="0014421A">
              <w:rPr>
                <w:rFonts w:ascii="Arial" w:hAnsi="Arial" w:cs="Arial"/>
                <w:b/>
                <w:color w:val="auto"/>
                <w:szCs w:val="19"/>
                <w:vertAlign w:val="superscript"/>
              </w:rPr>
              <w:footnoteReference w:id="2"/>
            </w:r>
          </w:p>
        </w:tc>
      </w:tr>
      <w:tr w:rsidR="00E63E43" w:rsidRPr="00E63E43" w14:paraId="6544FB4D" w14:textId="77777777" w:rsidTr="000D2B54">
        <w:trPr>
          <w:jc w:val="center"/>
        </w:trPr>
        <w:tc>
          <w:tcPr>
            <w:tcW w:w="5000" w:type="pct"/>
          </w:tcPr>
          <w:p w14:paraId="700FEBB1" w14:textId="77777777" w:rsidR="00EE73F8" w:rsidRPr="0014421A" w:rsidRDefault="00EE73F8" w:rsidP="009E4556">
            <w:pPr>
              <w:spacing w:before="20" w:after="20"/>
              <w:rPr>
                <w:rFonts w:cs="Arial"/>
                <w:b/>
                <w:color w:val="auto"/>
                <w:szCs w:val="19"/>
              </w:rPr>
            </w:pPr>
            <w:r w:rsidRPr="009E4556">
              <w:rPr>
                <w:rFonts w:cs="Arial"/>
                <w:b/>
                <w:bCs/>
                <w:color w:val="auto"/>
                <w:szCs w:val="19"/>
              </w:rPr>
              <w:t>Program</w:t>
            </w:r>
            <w:r w:rsidRPr="0014421A">
              <w:rPr>
                <w:rFonts w:cs="Arial"/>
                <w:b/>
                <w:color w:val="auto"/>
                <w:szCs w:val="19"/>
              </w:rPr>
              <w:t xml:space="preserve"> 1.1: Safety and Quality in Health Care</w:t>
            </w:r>
          </w:p>
          <w:p w14:paraId="2DD1D0D3" w14:textId="77777777" w:rsidR="00BC0659" w:rsidRPr="00E63E43" w:rsidRDefault="00EE73F8" w:rsidP="00EE73F8">
            <w:pPr>
              <w:pStyle w:val="Tabletextnormal9pt"/>
              <w:rPr>
                <w:color w:val="auto"/>
              </w:rPr>
            </w:pPr>
            <w:r w:rsidRPr="0014421A">
              <w:rPr>
                <w:rFonts w:ascii="Book Antiqua" w:hAnsi="Book Antiqua"/>
                <w:color w:val="auto"/>
                <w:sz w:val="19"/>
                <w:szCs w:val="19"/>
              </w:rPr>
              <w:t>ACSQHC works closely with the AIHW to measure and analyse information related to safety and quality in health care.</w:t>
            </w:r>
          </w:p>
        </w:tc>
      </w:tr>
      <w:tr w:rsidR="00E34823" w:rsidRPr="00E63E43" w14:paraId="3F8551B3" w14:textId="77777777" w:rsidTr="000D2B54">
        <w:trPr>
          <w:jc w:val="center"/>
        </w:trPr>
        <w:tc>
          <w:tcPr>
            <w:tcW w:w="5000" w:type="pct"/>
          </w:tcPr>
          <w:p w14:paraId="1CFA0B04" w14:textId="5D194D86" w:rsidR="00E34823" w:rsidRPr="0014421A" w:rsidRDefault="00E34823" w:rsidP="00E34823">
            <w:pPr>
              <w:spacing w:before="40" w:after="40"/>
              <w:rPr>
                <w:rFonts w:ascii="Arial" w:hAnsi="Arial" w:cs="Arial"/>
                <w:b/>
                <w:color w:val="auto"/>
                <w:szCs w:val="19"/>
              </w:rPr>
            </w:pPr>
            <w:r w:rsidRPr="0014421A">
              <w:rPr>
                <w:rFonts w:ascii="Arial" w:hAnsi="Arial" w:cs="Arial"/>
                <w:b/>
                <w:color w:val="auto"/>
                <w:szCs w:val="19"/>
              </w:rPr>
              <w:t>Department of Health and Aged Care</w:t>
            </w:r>
          </w:p>
        </w:tc>
      </w:tr>
      <w:tr w:rsidR="00E63E43" w:rsidRPr="00E63E43" w14:paraId="2446DEA0" w14:textId="77777777" w:rsidTr="000D2B54">
        <w:trPr>
          <w:jc w:val="center"/>
        </w:trPr>
        <w:tc>
          <w:tcPr>
            <w:tcW w:w="5000" w:type="pct"/>
          </w:tcPr>
          <w:p w14:paraId="4BE6710C" w14:textId="77777777" w:rsidR="00EE73F8" w:rsidRPr="0014421A" w:rsidRDefault="00EE73F8" w:rsidP="009E4556">
            <w:pPr>
              <w:spacing w:before="20" w:after="20"/>
              <w:rPr>
                <w:rFonts w:cs="Arial"/>
                <w:b/>
                <w:color w:val="auto"/>
                <w:szCs w:val="19"/>
              </w:rPr>
            </w:pPr>
            <w:r w:rsidRPr="009E4556">
              <w:rPr>
                <w:rFonts w:cs="Arial"/>
                <w:b/>
                <w:bCs/>
                <w:color w:val="auto"/>
                <w:szCs w:val="19"/>
              </w:rPr>
              <w:t>Program</w:t>
            </w:r>
            <w:r w:rsidRPr="0014421A">
              <w:rPr>
                <w:rFonts w:cs="Arial"/>
                <w:b/>
                <w:color w:val="auto"/>
                <w:szCs w:val="19"/>
              </w:rPr>
              <w:t xml:space="preserve"> 1.1: </w:t>
            </w:r>
            <w:r w:rsidR="0048719C" w:rsidRPr="0014421A">
              <w:rPr>
                <w:rFonts w:cs="Arial"/>
                <w:b/>
                <w:color w:val="auto"/>
                <w:szCs w:val="19"/>
              </w:rPr>
              <w:t>Health Research, Coordination and Access</w:t>
            </w:r>
          </w:p>
          <w:p w14:paraId="628BB25F" w14:textId="7CBF84F3" w:rsidR="00166120" w:rsidRPr="00E63E43" w:rsidRDefault="005B7562" w:rsidP="00EE73F8">
            <w:pPr>
              <w:spacing w:before="40" w:after="40"/>
              <w:rPr>
                <w:rFonts w:ascii="Arial" w:hAnsi="Arial" w:cs="Arial"/>
                <w:color w:val="auto"/>
                <w:sz w:val="18"/>
                <w:szCs w:val="18"/>
              </w:rPr>
            </w:pPr>
            <w:r w:rsidRPr="0014421A">
              <w:rPr>
                <w:rFonts w:cs="Arial"/>
                <w:color w:val="auto"/>
                <w:szCs w:val="19"/>
              </w:rPr>
              <w:t xml:space="preserve">Department </w:t>
            </w:r>
            <w:r w:rsidR="00EE73F8" w:rsidRPr="0014421A">
              <w:rPr>
                <w:rFonts w:cs="Arial"/>
                <w:color w:val="auto"/>
                <w:szCs w:val="19"/>
              </w:rPr>
              <w:t xml:space="preserve">Health </w:t>
            </w:r>
            <w:r w:rsidRPr="0014421A">
              <w:rPr>
                <w:rFonts w:cs="Arial"/>
                <w:color w:val="auto"/>
                <w:szCs w:val="19"/>
              </w:rPr>
              <w:t xml:space="preserve">and Aged Care </w:t>
            </w:r>
            <w:r w:rsidR="00EE73F8" w:rsidRPr="0014421A">
              <w:rPr>
                <w:rFonts w:cs="Arial"/>
                <w:color w:val="auto"/>
                <w:szCs w:val="19"/>
              </w:rPr>
              <w:t>invests in knowledge and information to develop heal</w:t>
            </w:r>
            <w:r w:rsidR="000C7C39" w:rsidRPr="0014421A">
              <w:rPr>
                <w:rFonts w:cs="Arial"/>
                <w:color w:val="auto"/>
                <w:szCs w:val="19"/>
              </w:rPr>
              <w:t>th policy and legislation. This </w:t>
            </w:r>
            <w:r w:rsidR="00EE73F8" w:rsidRPr="0014421A">
              <w:rPr>
                <w:rFonts w:cs="Arial"/>
                <w:color w:val="auto"/>
                <w:szCs w:val="19"/>
              </w:rPr>
              <w:t>includes working with the AIHW to develop and publish health statistics and information.</w:t>
            </w:r>
          </w:p>
        </w:tc>
      </w:tr>
      <w:tr w:rsidR="00E34823" w:rsidRPr="00E63E43" w14:paraId="087C1612" w14:textId="77777777" w:rsidTr="000D2B54">
        <w:trPr>
          <w:jc w:val="center"/>
        </w:trPr>
        <w:tc>
          <w:tcPr>
            <w:tcW w:w="5000" w:type="pct"/>
          </w:tcPr>
          <w:p w14:paraId="727EE09F" w14:textId="1C0B6455" w:rsidR="00E34823" w:rsidRPr="0014421A" w:rsidRDefault="00E34823" w:rsidP="00E34823">
            <w:pPr>
              <w:spacing w:before="40" w:after="40"/>
              <w:rPr>
                <w:rFonts w:ascii="Arial" w:hAnsi="Arial" w:cs="Arial"/>
                <w:b/>
                <w:color w:val="auto"/>
                <w:szCs w:val="19"/>
              </w:rPr>
            </w:pPr>
            <w:r w:rsidRPr="0014421A">
              <w:rPr>
                <w:rFonts w:ascii="Arial" w:hAnsi="Arial" w:cs="Arial"/>
                <w:b/>
                <w:color w:val="auto"/>
                <w:szCs w:val="19"/>
              </w:rPr>
              <w:t>Department of Social Services (DSS)</w:t>
            </w:r>
          </w:p>
        </w:tc>
      </w:tr>
      <w:tr w:rsidR="0099753B" w:rsidRPr="00E63E43" w14:paraId="35DF3647" w14:textId="77777777" w:rsidTr="000D2B54">
        <w:trPr>
          <w:jc w:val="center"/>
        </w:trPr>
        <w:tc>
          <w:tcPr>
            <w:tcW w:w="5000" w:type="pct"/>
          </w:tcPr>
          <w:p w14:paraId="2236680A" w14:textId="087C163A" w:rsidR="0099753B" w:rsidRDefault="00074D0A" w:rsidP="009E4556">
            <w:pPr>
              <w:spacing w:before="20" w:after="20"/>
              <w:rPr>
                <w:rFonts w:cs="Arial"/>
                <w:b/>
                <w:color w:val="auto"/>
                <w:szCs w:val="19"/>
              </w:rPr>
            </w:pPr>
            <w:r w:rsidRPr="009E4556">
              <w:rPr>
                <w:rFonts w:cs="Arial"/>
                <w:b/>
                <w:bCs/>
                <w:color w:val="auto"/>
                <w:szCs w:val="19"/>
              </w:rPr>
              <w:t>Program</w:t>
            </w:r>
            <w:r w:rsidRPr="0014421A">
              <w:rPr>
                <w:rFonts w:cs="Arial"/>
                <w:b/>
                <w:color w:val="auto"/>
                <w:szCs w:val="19"/>
              </w:rPr>
              <w:t xml:space="preserve"> 3.2</w:t>
            </w:r>
            <w:r w:rsidR="0099753B" w:rsidRPr="0014421A">
              <w:rPr>
                <w:rFonts w:cs="Arial"/>
                <w:b/>
                <w:color w:val="auto"/>
                <w:szCs w:val="19"/>
              </w:rPr>
              <w:t>: National Disability Insurance Scheme</w:t>
            </w:r>
          </w:p>
          <w:p w14:paraId="1B6D54FD" w14:textId="75F9809A" w:rsidR="00D941D0" w:rsidRPr="0014421A" w:rsidRDefault="00D941D0" w:rsidP="009E4556">
            <w:pPr>
              <w:spacing w:before="20" w:after="20"/>
              <w:rPr>
                <w:rFonts w:cs="Arial"/>
                <w:b/>
                <w:color w:val="auto"/>
                <w:szCs w:val="19"/>
              </w:rPr>
            </w:pPr>
            <w:r w:rsidRPr="009E4556">
              <w:rPr>
                <w:rFonts w:cs="Arial"/>
                <w:b/>
                <w:bCs/>
                <w:color w:val="auto"/>
                <w:szCs w:val="19"/>
              </w:rPr>
              <w:t>Program</w:t>
            </w:r>
            <w:r>
              <w:rPr>
                <w:rFonts w:cs="Arial"/>
                <w:b/>
                <w:color w:val="auto"/>
                <w:szCs w:val="19"/>
              </w:rPr>
              <w:t xml:space="preserve"> 4.1: Housing and Homelessness</w:t>
            </w:r>
          </w:p>
          <w:p w14:paraId="15480F4F" w14:textId="3C8948CA" w:rsidR="00D941D0" w:rsidRDefault="0099753B" w:rsidP="0099753B">
            <w:pPr>
              <w:spacing w:before="40" w:after="40"/>
              <w:rPr>
                <w:rFonts w:cs="Arial"/>
                <w:color w:val="auto"/>
                <w:szCs w:val="19"/>
              </w:rPr>
            </w:pPr>
            <w:r w:rsidRPr="0014421A">
              <w:rPr>
                <w:rFonts w:cs="Arial"/>
                <w:color w:val="auto"/>
                <w:szCs w:val="19"/>
              </w:rPr>
              <w:t>DSS collaborates</w:t>
            </w:r>
            <w:r w:rsidR="00903139" w:rsidRPr="0014421A">
              <w:rPr>
                <w:rFonts w:cs="Arial"/>
                <w:color w:val="auto"/>
                <w:szCs w:val="19"/>
              </w:rPr>
              <w:t xml:space="preserve"> with the AIHW</w:t>
            </w:r>
            <w:r w:rsidR="00D941D0">
              <w:rPr>
                <w:rFonts w:cs="Arial"/>
                <w:color w:val="auto"/>
                <w:szCs w:val="19"/>
              </w:rPr>
              <w:t>:</w:t>
            </w:r>
          </w:p>
          <w:p w14:paraId="405EC65A" w14:textId="7D105D51" w:rsidR="0099753B" w:rsidRPr="00D941D0" w:rsidRDefault="00D941D0" w:rsidP="00C7013A">
            <w:pPr>
              <w:pStyle w:val="ListParagraph"/>
              <w:numPr>
                <w:ilvl w:val="0"/>
                <w:numId w:val="19"/>
              </w:numPr>
              <w:spacing w:after="40"/>
              <w:ind w:left="311" w:hanging="284"/>
              <w:rPr>
                <w:rFonts w:ascii="Arial" w:hAnsi="Arial" w:cs="Arial"/>
                <w:b/>
                <w:color w:val="auto"/>
                <w:sz w:val="18"/>
                <w:szCs w:val="18"/>
              </w:rPr>
            </w:pPr>
            <w:r>
              <w:rPr>
                <w:rFonts w:cs="Arial"/>
                <w:color w:val="auto"/>
                <w:szCs w:val="19"/>
              </w:rPr>
              <w:t>to d</w:t>
            </w:r>
            <w:r w:rsidR="0099753B" w:rsidRPr="00D941D0">
              <w:rPr>
                <w:rFonts w:cs="Arial"/>
                <w:color w:val="auto"/>
                <w:szCs w:val="19"/>
              </w:rPr>
              <w:t>esign, test and establish the next development phase of the National Disability Data Asset</w:t>
            </w:r>
          </w:p>
          <w:p w14:paraId="1F7DBD98" w14:textId="667BFCF3" w:rsidR="00D941D0" w:rsidRPr="00D941D0" w:rsidRDefault="00D941D0" w:rsidP="00C7013A">
            <w:pPr>
              <w:pStyle w:val="ListParagraph"/>
              <w:numPr>
                <w:ilvl w:val="0"/>
                <w:numId w:val="19"/>
              </w:numPr>
              <w:spacing w:after="40"/>
              <w:ind w:left="311" w:hanging="284"/>
              <w:rPr>
                <w:rFonts w:ascii="Arial" w:hAnsi="Arial" w:cs="Arial"/>
                <w:b/>
                <w:color w:val="auto"/>
                <w:sz w:val="18"/>
                <w:szCs w:val="18"/>
              </w:rPr>
            </w:pPr>
            <w:proofErr w:type="gramStart"/>
            <w:r w:rsidRPr="00D941D0">
              <w:rPr>
                <w:rFonts w:cs="Arial"/>
                <w:color w:val="auto"/>
                <w:szCs w:val="19"/>
              </w:rPr>
              <w:t>on</w:t>
            </w:r>
            <w:proofErr w:type="gramEnd"/>
            <w:r w:rsidRPr="00D941D0">
              <w:rPr>
                <w:rFonts w:cs="Arial"/>
                <w:color w:val="auto"/>
                <w:szCs w:val="19"/>
              </w:rPr>
              <w:t xml:space="preserve"> the ongoing collection and transparent reporting of agreed data supporting the National Housing and Homelessness Agreement</w:t>
            </w:r>
            <w:r w:rsidR="00D2445A">
              <w:rPr>
                <w:rFonts w:cs="Arial"/>
                <w:color w:val="auto"/>
                <w:szCs w:val="19"/>
              </w:rPr>
              <w:t>.</w:t>
            </w:r>
          </w:p>
        </w:tc>
      </w:tr>
      <w:tr w:rsidR="00E34823" w:rsidRPr="00E63E43" w14:paraId="62131FE3" w14:textId="77777777" w:rsidTr="000D2B54">
        <w:trPr>
          <w:jc w:val="center"/>
        </w:trPr>
        <w:tc>
          <w:tcPr>
            <w:tcW w:w="5000" w:type="pct"/>
          </w:tcPr>
          <w:p w14:paraId="6860BBD7" w14:textId="67DDE7E9" w:rsidR="00E34823" w:rsidRDefault="00E34823" w:rsidP="00E34823">
            <w:pPr>
              <w:spacing w:before="40" w:after="40"/>
              <w:rPr>
                <w:rFonts w:ascii="Arial" w:hAnsi="Arial" w:cs="Arial"/>
                <w:b/>
                <w:color w:val="auto"/>
                <w:szCs w:val="19"/>
              </w:rPr>
            </w:pPr>
            <w:r>
              <w:rPr>
                <w:rFonts w:ascii="Arial" w:hAnsi="Arial" w:cs="Arial"/>
                <w:b/>
                <w:color w:val="auto"/>
                <w:szCs w:val="19"/>
              </w:rPr>
              <w:t>Department of the Treasury (Treasury)</w:t>
            </w:r>
          </w:p>
        </w:tc>
      </w:tr>
      <w:tr w:rsidR="00D2445A" w:rsidRPr="00E63E43" w14:paraId="71B27F08" w14:textId="77777777" w:rsidTr="000D2B54">
        <w:trPr>
          <w:jc w:val="center"/>
        </w:trPr>
        <w:tc>
          <w:tcPr>
            <w:tcW w:w="5000" w:type="pct"/>
          </w:tcPr>
          <w:p w14:paraId="5142C625" w14:textId="687402E8" w:rsidR="00D2445A" w:rsidRDefault="00D2445A" w:rsidP="009E4556">
            <w:pPr>
              <w:spacing w:before="20" w:after="20"/>
              <w:rPr>
                <w:rFonts w:cs="Arial"/>
                <w:b/>
                <w:color w:val="auto"/>
                <w:szCs w:val="19"/>
              </w:rPr>
            </w:pPr>
            <w:r w:rsidRPr="009E4556">
              <w:rPr>
                <w:rFonts w:cs="Arial"/>
                <w:b/>
                <w:bCs/>
                <w:color w:val="auto"/>
                <w:szCs w:val="19"/>
              </w:rPr>
              <w:t>Program</w:t>
            </w:r>
            <w:r w:rsidRPr="0014421A">
              <w:rPr>
                <w:rFonts w:cs="Arial"/>
                <w:b/>
                <w:color w:val="auto"/>
                <w:szCs w:val="19"/>
              </w:rPr>
              <w:t xml:space="preserve"> </w:t>
            </w:r>
            <w:r>
              <w:rPr>
                <w:rFonts w:cs="Arial"/>
                <w:b/>
                <w:color w:val="auto"/>
                <w:szCs w:val="19"/>
              </w:rPr>
              <w:t>1</w:t>
            </w:r>
            <w:r w:rsidRPr="0014421A">
              <w:rPr>
                <w:rFonts w:cs="Arial"/>
                <w:b/>
                <w:color w:val="auto"/>
                <w:szCs w:val="19"/>
              </w:rPr>
              <w:t>.</w:t>
            </w:r>
            <w:r>
              <w:rPr>
                <w:rFonts w:cs="Arial"/>
                <w:b/>
                <w:color w:val="auto"/>
                <w:szCs w:val="19"/>
              </w:rPr>
              <w:t>1</w:t>
            </w:r>
            <w:r w:rsidRPr="0014421A">
              <w:rPr>
                <w:rFonts w:cs="Arial"/>
                <w:b/>
                <w:color w:val="auto"/>
                <w:szCs w:val="19"/>
              </w:rPr>
              <w:t xml:space="preserve">: </w:t>
            </w:r>
            <w:r>
              <w:rPr>
                <w:rFonts w:cs="Arial"/>
                <w:b/>
                <w:color w:val="auto"/>
                <w:szCs w:val="19"/>
              </w:rPr>
              <w:t>Department of the Treasury</w:t>
            </w:r>
          </w:p>
          <w:p w14:paraId="66CA15C8" w14:textId="3A13D01C" w:rsidR="00D2445A" w:rsidRPr="0014421A" w:rsidRDefault="00D2445A" w:rsidP="00D2445A">
            <w:pPr>
              <w:spacing w:before="40" w:after="40"/>
              <w:rPr>
                <w:rFonts w:ascii="Arial" w:hAnsi="Arial" w:cs="Arial"/>
                <w:b/>
                <w:color w:val="auto"/>
                <w:szCs w:val="19"/>
              </w:rPr>
            </w:pPr>
            <w:r w:rsidRPr="00D2445A">
              <w:rPr>
                <w:rFonts w:cs="Arial"/>
                <w:color w:val="auto"/>
                <w:szCs w:val="19"/>
              </w:rPr>
              <w:t>Treasury works closely with the AIHW to maintain and enhance the Housing Data Dashboard website.</w:t>
            </w:r>
          </w:p>
        </w:tc>
      </w:tr>
      <w:tr w:rsidR="00E34823" w:rsidRPr="00E63E43" w14:paraId="431D8DA1" w14:textId="77777777" w:rsidTr="000D2B54">
        <w:trPr>
          <w:jc w:val="center"/>
        </w:trPr>
        <w:tc>
          <w:tcPr>
            <w:tcW w:w="5000" w:type="pct"/>
          </w:tcPr>
          <w:p w14:paraId="4CC88184" w14:textId="4A907BF7" w:rsidR="00E34823" w:rsidRPr="0014421A" w:rsidRDefault="00E34823" w:rsidP="00E34823">
            <w:pPr>
              <w:spacing w:before="40" w:after="40"/>
              <w:rPr>
                <w:rFonts w:ascii="Arial" w:hAnsi="Arial" w:cs="Arial"/>
                <w:b/>
                <w:color w:val="auto"/>
                <w:szCs w:val="19"/>
              </w:rPr>
            </w:pPr>
            <w:r w:rsidRPr="0014421A">
              <w:rPr>
                <w:rFonts w:ascii="Arial" w:hAnsi="Arial" w:cs="Arial"/>
                <w:b/>
                <w:color w:val="auto"/>
                <w:szCs w:val="19"/>
              </w:rPr>
              <w:t>Independent Health and Aged Care Pricing Authority (IHACPA)</w:t>
            </w:r>
            <w:r w:rsidRPr="0014421A">
              <w:rPr>
                <w:rStyle w:val="FootnoteReference"/>
                <w:rFonts w:cs="Arial"/>
                <w:b/>
                <w:color w:val="auto"/>
                <w:sz w:val="19"/>
                <w:szCs w:val="19"/>
              </w:rPr>
              <w:footnoteReference w:id="3"/>
            </w:r>
          </w:p>
        </w:tc>
      </w:tr>
      <w:tr w:rsidR="00E63E43" w:rsidRPr="00E63E43" w14:paraId="538F6F3F" w14:textId="77777777" w:rsidTr="000D2B54">
        <w:trPr>
          <w:jc w:val="center"/>
        </w:trPr>
        <w:tc>
          <w:tcPr>
            <w:tcW w:w="5000" w:type="pct"/>
          </w:tcPr>
          <w:p w14:paraId="59A9215D" w14:textId="322423FC" w:rsidR="005A0ECB" w:rsidRPr="0014421A" w:rsidRDefault="005A0ECB" w:rsidP="009E4556">
            <w:pPr>
              <w:spacing w:before="20" w:after="20"/>
              <w:rPr>
                <w:rFonts w:cs="Arial"/>
                <w:b/>
                <w:color w:val="auto"/>
                <w:szCs w:val="19"/>
              </w:rPr>
            </w:pPr>
            <w:r w:rsidRPr="009E4556">
              <w:rPr>
                <w:rFonts w:cs="Arial"/>
                <w:b/>
                <w:bCs/>
                <w:color w:val="auto"/>
                <w:szCs w:val="19"/>
              </w:rPr>
              <w:t>Program</w:t>
            </w:r>
            <w:r w:rsidRPr="0014421A">
              <w:rPr>
                <w:rFonts w:cs="Arial"/>
                <w:b/>
                <w:color w:val="auto"/>
                <w:szCs w:val="19"/>
              </w:rPr>
              <w:t xml:space="preserve"> 1.1: </w:t>
            </w:r>
            <w:r w:rsidR="00A77AC2" w:rsidRPr="00A77AC2">
              <w:rPr>
                <w:rFonts w:cs="Arial"/>
                <w:b/>
                <w:color w:val="auto"/>
                <w:szCs w:val="19"/>
              </w:rPr>
              <w:t xml:space="preserve">Development of </w:t>
            </w:r>
            <w:r w:rsidR="00D941D0">
              <w:rPr>
                <w:rFonts w:cs="Arial"/>
                <w:b/>
                <w:color w:val="auto"/>
                <w:szCs w:val="19"/>
              </w:rPr>
              <w:t>P</w:t>
            </w:r>
            <w:r w:rsidR="00A77AC2" w:rsidRPr="00A77AC2">
              <w:rPr>
                <w:rFonts w:cs="Arial"/>
                <w:b/>
                <w:color w:val="auto"/>
                <w:szCs w:val="19"/>
              </w:rPr>
              <w:t xml:space="preserve">ricing </w:t>
            </w:r>
            <w:r w:rsidR="00D941D0">
              <w:rPr>
                <w:rFonts w:cs="Arial"/>
                <w:b/>
                <w:color w:val="auto"/>
                <w:szCs w:val="19"/>
              </w:rPr>
              <w:t>A</w:t>
            </w:r>
            <w:r w:rsidR="00A77AC2" w:rsidRPr="00A77AC2">
              <w:rPr>
                <w:rFonts w:cs="Arial"/>
                <w:b/>
                <w:color w:val="auto"/>
                <w:szCs w:val="19"/>
              </w:rPr>
              <w:t xml:space="preserve">dvice and </w:t>
            </w:r>
            <w:r w:rsidR="00D941D0">
              <w:rPr>
                <w:rFonts w:cs="Arial"/>
                <w:b/>
                <w:color w:val="auto"/>
                <w:szCs w:val="19"/>
              </w:rPr>
              <w:t>A</w:t>
            </w:r>
            <w:r w:rsidR="00A77AC2" w:rsidRPr="00A77AC2">
              <w:rPr>
                <w:rFonts w:cs="Arial"/>
                <w:b/>
                <w:color w:val="auto"/>
                <w:szCs w:val="19"/>
              </w:rPr>
              <w:t xml:space="preserve">nnual </w:t>
            </w:r>
            <w:r w:rsidR="00D941D0">
              <w:rPr>
                <w:rFonts w:cs="Arial"/>
                <w:b/>
                <w:color w:val="auto"/>
                <w:szCs w:val="19"/>
              </w:rPr>
              <w:t>D</w:t>
            </w:r>
            <w:r w:rsidR="00A77AC2" w:rsidRPr="00A77AC2">
              <w:rPr>
                <w:rFonts w:cs="Arial"/>
                <w:b/>
                <w:color w:val="auto"/>
                <w:szCs w:val="19"/>
              </w:rPr>
              <w:t>eterminations</w:t>
            </w:r>
          </w:p>
          <w:p w14:paraId="4871DF47" w14:textId="48AEAEBB" w:rsidR="005A0ECB" w:rsidRPr="00E63E43" w:rsidRDefault="005A0ECB" w:rsidP="00DE5C30">
            <w:pPr>
              <w:spacing w:before="40" w:after="40"/>
              <w:rPr>
                <w:rFonts w:ascii="Arial" w:hAnsi="Arial" w:cs="Arial"/>
                <w:color w:val="auto"/>
                <w:sz w:val="18"/>
                <w:szCs w:val="18"/>
              </w:rPr>
            </w:pPr>
            <w:r w:rsidRPr="0014421A">
              <w:rPr>
                <w:rFonts w:cs="Arial"/>
                <w:color w:val="auto"/>
                <w:szCs w:val="19"/>
              </w:rPr>
              <w:t>IH</w:t>
            </w:r>
            <w:r w:rsidR="00FC60AD" w:rsidRPr="0014421A">
              <w:rPr>
                <w:rFonts w:cs="Arial"/>
                <w:color w:val="auto"/>
                <w:szCs w:val="19"/>
              </w:rPr>
              <w:t>AC</w:t>
            </w:r>
            <w:r w:rsidRPr="0014421A">
              <w:rPr>
                <w:rFonts w:cs="Arial"/>
                <w:color w:val="auto"/>
                <w:szCs w:val="19"/>
              </w:rPr>
              <w:t xml:space="preserve">PA works with national bodies on a range of National Health Reform Agreement related activities, including hospital performance reporting and funding. This includes working with the </w:t>
            </w:r>
            <w:r w:rsidR="00DE5C30" w:rsidRPr="0014421A">
              <w:rPr>
                <w:rFonts w:cs="Arial"/>
                <w:color w:val="auto"/>
                <w:szCs w:val="19"/>
              </w:rPr>
              <w:t>AIHW</w:t>
            </w:r>
            <w:r w:rsidRPr="0014421A">
              <w:rPr>
                <w:rFonts w:cs="Arial"/>
                <w:color w:val="auto"/>
                <w:szCs w:val="19"/>
              </w:rPr>
              <w:t xml:space="preserve"> to ensure an accurate and consistent approach to the classification of information about hospital activities and expenditures.</w:t>
            </w:r>
          </w:p>
        </w:tc>
      </w:tr>
      <w:tr w:rsidR="00E34823" w:rsidRPr="00E63E43" w14:paraId="22CA32BC" w14:textId="77777777" w:rsidTr="000D2B54">
        <w:trPr>
          <w:jc w:val="center"/>
        </w:trPr>
        <w:tc>
          <w:tcPr>
            <w:tcW w:w="5000" w:type="pct"/>
          </w:tcPr>
          <w:p w14:paraId="6CDE2F51" w14:textId="01EDDB09" w:rsidR="00E34823" w:rsidRPr="0014421A" w:rsidRDefault="00E34823" w:rsidP="00E34823">
            <w:pPr>
              <w:spacing w:before="40" w:after="40"/>
              <w:rPr>
                <w:rFonts w:ascii="Arial" w:hAnsi="Arial" w:cs="Arial"/>
                <w:b/>
                <w:color w:val="auto"/>
                <w:szCs w:val="19"/>
              </w:rPr>
            </w:pPr>
            <w:r w:rsidRPr="0014421A">
              <w:rPr>
                <w:rFonts w:ascii="Arial" w:hAnsi="Arial" w:cs="Arial"/>
                <w:b/>
                <w:color w:val="auto"/>
                <w:szCs w:val="19"/>
              </w:rPr>
              <w:t>National Health Funding Body (NHFB)</w:t>
            </w:r>
            <w:r w:rsidRPr="0014421A">
              <w:rPr>
                <w:rStyle w:val="FootnoteReference"/>
                <w:rFonts w:cs="Arial"/>
                <w:b/>
                <w:color w:val="auto"/>
                <w:sz w:val="19"/>
                <w:szCs w:val="19"/>
              </w:rPr>
              <w:footnoteReference w:id="4"/>
            </w:r>
          </w:p>
        </w:tc>
      </w:tr>
      <w:tr w:rsidR="00E63E43" w:rsidRPr="00E63E43" w14:paraId="28BA535A" w14:textId="77777777" w:rsidTr="000D2B54">
        <w:trPr>
          <w:jc w:val="center"/>
        </w:trPr>
        <w:tc>
          <w:tcPr>
            <w:tcW w:w="5000" w:type="pct"/>
          </w:tcPr>
          <w:p w14:paraId="16862F70" w14:textId="77777777" w:rsidR="005A0ECB" w:rsidRPr="0014421A" w:rsidRDefault="005A0ECB" w:rsidP="009E4556">
            <w:pPr>
              <w:spacing w:before="20" w:after="20"/>
              <w:rPr>
                <w:rFonts w:cs="Arial"/>
                <w:b/>
                <w:color w:val="auto"/>
                <w:szCs w:val="19"/>
              </w:rPr>
            </w:pPr>
            <w:r w:rsidRPr="0014421A">
              <w:rPr>
                <w:rFonts w:cs="Arial"/>
                <w:b/>
                <w:bCs/>
                <w:color w:val="auto"/>
                <w:szCs w:val="19"/>
              </w:rPr>
              <w:t>Program 1.1: National Health Funding Pool Administration</w:t>
            </w:r>
          </w:p>
          <w:p w14:paraId="34D69FB9" w14:textId="6CCF1730" w:rsidR="005A0ECB" w:rsidRPr="00E63E43" w:rsidRDefault="005A0ECB" w:rsidP="00DE5C30">
            <w:pPr>
              <w:spacing w:before="40" w:after="40"/>
              <w:rPr>
                <w:rFonts w:ascii="Arial" w:hAnsi="Arial" w:cs="Arial"/>
                <w:color w:val="auto"/>
                <w:sz w:val="18"/>
                <w:szCs w:val="18"/>
              </w:rPr>
            </w:pPr>
            <w:r w:rsidRPr="0014421A">
              <w:rPr>
                <w:rFonts w:cs="Arial"/>
                <w:color w:val="auto"/>
                <w:szCs w:val="19"/>
              </w:rPr>
              <w:t xml:space="preserve">NHFB works with national bodies on a range of National Health Reform Agreement related activities, including hospital performance reporting and funding. This includes working with the </w:t>
            </w:r>
            <w:r w:rsidR="00DE5C30" w:rsidRPr="0014421A">
              <w:rPr>
                <w:rFonts w:cs="Arial"/>
                <w:color w:val="auto"/>
                <w:szCs w:val="19"/>
              </w:rPr>
              <w:t xml:space="preserve">AIHW </w:t>
            </w:r>
            <w:r w:rsidRPr="0014421A">
              <w:rPr>
                <w:rFonts w:cs="Arial"/>
                <w:color w:val="auto"/>
                <w:szCs w:val="19"/>
              </w:rPr>
              <w:t xml:space="preserve">to ensure an accurate and consistent approach to the provision </w:t>
            </w:r>
            <w:r w:rsidRPr="0014421A">
              <w:rPr>
                <w:rFonts w:cs="Arial"/>
                <w:color w:val="auto"/>
                <w:szCs w:val="19"/>
              </w:rPr>
              <w:lastRenderedPageBreak/>
              <w:t>of transparent information on Commonwealth, state and territory funding of the health system.</w:t>
            </w:r>
          </w:p>
        </w:tc>
      </w:tr>
    </w:tbl>
    <w:p w14:paraId="53A117CA" w14:textId="77777777" w:rsidR="00A77AC2" w:rsidRPr="00A77AC2" w:rsidRDefault="00A77AC2" w:rsidP="00A77AC2">
      <w:pPr>
        <w:keepNext/>
        <w:spacing w:before="240"/>
        <w:outlineLvl w:val="4"/>
        <w:rPr>
          <w:rFonts w:ascii="Arial" w:hAnsi="Arial"/>
          <w:bCs/>
          <w:i/>
          <w:iCs/>
          <w:color w:val="auto"/>
          <w:sz w:val="20"/>
          <w:szCs w:val="26"/>
        </w:rPr>
      </w:pPr>
      <w:r w:rsidRPr="00A77AC2">
        <w:rPr>
          <w:rFonts w:ascii="Arial" w:hAnsi="Arial"/>
          <w:bCs/>
          <w:i/>
          <w:iCs/>
          <w:color w:val="auto"/>
          <w:sz w:val="20"/>
          <w:szCs w:val="26"/>
        </w:rPr>
        <w:lastRenderedPageBreak/>
        <w:t>Budgeted expenses for Outcome 1</w:t>
      </w:r>
    </w:p>
    <w:p w14:paraId="661A8935" w14:textId="77777777" w:rsidR="00A77AC2" w:rsidRPr="00A77AC2" w:rsidRDefault="00A77AC2" w:rsidP="00A77AC2">
      <w:pPr>
        <w:spacing w:before="240" w:after="240" w:line="240" w:lineRule="exact"/>
        <w:rPr>
          <w:color w:val="auto"/>
        </w:rPr>
      </w:pPr>
      <w:r w:rsidRPr="00A77AC2">
        <w:rPr>
          <w:color w:val="auto"/>
        </w:rPr>
        <w:t>This table shows how much the entity intends to spend (on an accrual basis) on achieving the outcome, broken down by program, as well as by Administered and Departmental funding sources.</w:t>
      </w:r>
    </w:p>
    <w:p w14:paraId="51F51936" w14:textId="591D193E" w:rsidR="00BC0659" w:rsidRDefault="00BC0659" w:rsidP="00BC0659">
      <w:pPr>
        <w:pStyle w:val="Tablenumberandreference"/>
        <w:rPr>
          <w:color w:val="auto"/>
        </w:rPr>
      </w:pPr>
      <w:r w:rsidRPr="00E63E43">
        <w:rPr>
          <w:color w:val="auto"/>
        </w:rPr>
        <w:t xml:space="preserve">Table 2.1.1: Budgeted </w:t>
      </w:r>
      <w:r w:rsidR="00A77AC2">
        <w:rPr>
          <w:color w:val="auto"/>
        </w:rPr>
        <w:t>e</w:t>
      </w:r>
      <w:r w:rsidRPr="00E63E43">
        <w:rPr>
          <w:color w:val="auto"/>
        </w:rPr>
        <w:t>xpenses</w:t>
      </w:r>
      <w:r w:rsidR="00A61047" w:rsidRPr="00E63E43">
        <w:rPr>
          <w:color w:val="auto"/>
        </w:rPr>
        <w:t xml:space="preserve"> </w:t>
      </w:r>
      <w:r w:rsidR="00A77AC2">
        <w:rPr>
          <w:color w:val="auto"/>
        </w:rPr>
        <w:t>for Outcome 1</w:t>
      </w:r>
    </w:p>
    <w:tbl>
      <w:tblPr>
        <w:tblW w:w="7360" w:type="dxa"/>
        <w:tblLayout w:type="fixed"/>
        <w:tblCellMar>
          <w:left w:w="0" w:type="dxa"/>
          <w:right w:w="0" w:type="dxa"/>
        </w:tblCellMar>
        <w:tblLook w:val="04A0" w:firstRow="1" w:lastRow="0" w:firstColumn="1" w:lastColumn="0" w:noHBand="0" w:noVBand="1"/>
      </w:tblPr>
      <w:tblGrid>
        <w:gridCol w:w="2860"/>
        <w:gridCol w:w="900"/>
        <w:gridCol w:w="900"/>
        <w:gridCol w:w="900"/>
        <w:gridCol w:w="900"/>
        <w:gridCol w:w="900"/>
      </w:tblGrid>
      <w:tr w:rsidR="002E0FF1" w14:paraId="770AFEB6" w14:textId="77777777" w:rsidTr="002E0FF1">
        <w:trPr>
          <w:trHeight w:val="765"/>
        </w:trPr>
        <w:tc>
          <w:tcPr>
            <w:tcW w:w="2860" w:type="dxa"/>
            <w:tcBorders>
              <w:top w:val="single" w:sz="4" w:space="0" w:color="auto"/>
              <w:left w:val="nil"/>
              <w:bottom w:val="nil"/>
              <w:right w:val="nil"/>
            </w:tcBorders>
            <w:shd w:val="clear" w:color="auto" w:fill="auto"/>
            <w:tcMar>
              <w:top w:w="15" w:type="dxa"/>
              <w:left w:w="15" w:type="dxa"/>
              <w:bottom w:w="0" w:type="dxa"/>
              <w:right w:w="15" w:type="dxa"/>
            </w:tcMar>
            <w:hideMark/>
          </w:tcPr>
          <w:p w14:paraId="2277E37D" w14:textId="77777777" w:rsidR="002E0FF1" w:rsidRDefault="002E0FF1" w:rsidP="002E0FF1">
            <w:pPr>
              <w:spacing w:before="40" w:after="0"/>
              <w:jc w:val="right"/>
              <w:rPr>
                <w:rFonts w:ascii="Arial" w:hAnsi="Arial" w:cs="Arial"/>
                <w:b/>
                <w:bCs/>
                <w:color w:val="auto"/>
                <w:sz w:val="16"/>
                <w:szCs w:val="16"/>
              </w:rPr>
            </w:pPr>
            <w:r>
              <w:rPr>
                <w:rFonts w:ascii="Arial" w:hAnsi="Arial" w:cs="Arial"/>
                <w:b/>
                <w:bCs/>
                <w:sz w:val="16"/>
                <w:szCs w:val="16"/>
              </w:rPr>
              <w:t> </w:t>
            </w:r>
          </w:p>
        </w:tc>
        <w:tc>
          <w:tcPr>
            <w:tcW w:w="900"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6C5EF3F8" w14:textId="77777777" w:rsidR="002E0FF1" w:rsidRDefault="002E0FF1" w:rsidP="002E0FF1">
            <w:pPr>
              <w:spacing w:before="40" w:after="0"/>
              <w:jc w:val="right"/>
              <w:rPr>
                <w:rFonts w:ascii="Arial" w:hAnsi="Arial" w:cs="Arial"/>
                <w:b/>
                <w:bCs/>
                <w:sz w:val="16"/>
                <w:szCs w:val="16"/>
              </w:rPr>
            </w:pPr>
            <w:r>
              <w:rPr>
                <w:rFonts w:ascii="Arial" w:hAnsi="Arial" w:cs="Arial"/>
                <w:b/>
                <w:bCs/>
                <w:sz w:val="16"/>
                <w:szCs w:val="16"/>
              </w:rPr>
              <w:t>2021–22 Estimated actual</w:t>
            </w:r>
            <w:r>
              <w:rPr>
                <w:rFonts w:ascii="Arial" w:hAnsi="Arial" w:cs="Arial"/>
                <w:b/>
                <w:bCs/>
                <w:sz w:val="16"/>
                <w:szCs w:val="16"/>
              </w:rPr>
              <w:br/>
            </w:r>
            <w:r>
              <w:rPr>
                <w:rFonts w:ascii="Arial" w:hAnsi="Arial" w:cs="Arial"/>
                <w:sz w:val="16"/>
                <w:szCs w:val="16"/>
              </w:rPr>
              <w:t>$'000</w:t>
            </w:r>
          </w:p>
        </w:tc>
        <w:tc>
          <w:tcPr>
            <w:tcW w:w="900" w:type="dxa"/>
            <w:tcBorders>
              <w:top w:val="single" w:sz="4" w:space="0" w:color="auto"/>
              <w:left w:val="nil"/>
              <w:bottom w:val="single" w:sz="4" w:space="0" w:color="auto"/>
              <w:right w:val="nil"/>
            </w:tcBorders>
            <w:shd w:val="clear" w:color="000000" w:fill="D9D9D9"/>
            <w:tcMar>
              <w:top w:w="15" w:type="dxa"/>
              <w:left w:w="15" w:type="dxa"/>
              <w:bottom w:w="0" w:type="dxa"/>
              <w:right w:w="15" w:type="dxa"/>
            </w:tcMar>
            <w:hideMark/>
          </w:tcPr>
          <w:p w14:paraId="11C26ED4" w14:textId="77777777" w:rsidR="002E0FF1" w:rsidRDefault="002E0FF1" w:rsidP="002E0FF1">
            <w:pPr>
              <w:spacing w:before="40" w:after="0"/>
              <w:jc w:val="right"/>
              <w:rPr>
                <w:rFonts w:ascii="Arial" w:hAnsi="Arial" w:cs="Arial"/>
                <w:b/>
                <w:bCs/>
                <w:sz w:val="16"/>
                <w:szCs w:val="16"/>
              </w:rPr>
            </w:pPr>
            <w:r>
              <w:rPr>
                <w:rFonts w:ascii="Arial" w:hAnsi="Arial" w:cs="Arial"/>
                <w:b/>
                <w:bCs/>
                <w:sz w:val="16"/>
                <w:szCs w:val="16"/>
              </w:rPr>
              <w:t>2022–23</w:t>
            </w:r>
            <w:r>
              <w:rPr>
                <w:rFonts w:ascii="Arial" w:hAnsi="Arial" w:cs="Arial"/>
                <w:b/>
                <w:bCs/>
                <w:sz w:val="16"/>
                <w:szCs w:val="16"/>
              </w:rPr>
              <w:br/>
              <w:t>Budget</w:t>
            </w:r>
            <w:r>
              <w:rPr>
                <w:rFonts w:ascii="Arial" w:hAnsi="Arial" w:cs="Arial"/>
                <w:b/>
                <w:bCs/>
                <w:sz w:val="16"/>
                <w:szCs w:val="16"/>
              </w:rPr>
              <w:br/>
            </w:r>
            <w:r>
              <w:rPr>
                <w:rFonts w:ascii="Arial" w:hAnsi="Arial" w:cs="Arial"/>
                <w:b/>
                <w:bCs/>
                <w:sz w:val="16"/>
                <w:szCs w:val="16"/>
              </w:rPr>
              <w:br/>
            </w:r>
            <w:r>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6B2266B2" w14:textId="77777777" w:rsidR="002E0FF1" w:rsidRDefault="002E0FF1" w:rsidP="002E0FF1">
            <w:pPr>
              <w:spacing w:before="40" w:after="0"/>
              <w:jc w:val="right"/>
              <w:rPr>
                <w:rFonts w:ascii="Arial" w:hAnsi="Arial" w:cs="Arial"/>
                <w:b/>
                <w:bCs/>
                <w:sz w:val="16"/>
                <w:szCs w:val="16"/>
              </w:rPr>
            </w:pPr>
            <w:r>
              <w:rPr>
                <w:rFonts w:ascii="Arial" w:hAnsi="Arial" w:cs="Arial"/>
                <w:b/>
                <w:bCs/>
                <w:sz w:val="16"/>
                <w:szCs w:val="16"/>
              </w:rPr>
              <w:t>2023–24 Forward estimate</w:t>
            </w:r>
            <w:r>
              <w:rPr>
                <w:rFonts w:ascii="Arial" w:hAnsi="Arial" w:cs="Arial"/>
                <w:b/>
                <w:bCs/>
                <w:sz w:val="16"/>
                <w:szCs w:val="16"/>
              </w:rPr>
              <w:br/>
            </w:r>
            <w:r>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21CAB6E6" w14:textId="77777777" w:rsidR="002E0FF1" w:rsidRDefault="002E0FF1" w:rsidP="002E0FF1">
            <w:pPr>
              <w:spacing w:before="40" w:after="0"/>
              <w:jc w:val="right"/>
              <w:rPr>
                <w:rFonts w:ascii="Arial" w:hAnsi="Arial" w:cs="Arial"/>
                <w:b/>
                <w:bCs/>
                <w:sz w:val="16"/>
                <w:szCs w:val="16"/>
              </w:rPr>
            </w:pPr>
            <w:r>
              <w:rPr>
                <w:rFonts w:ascii="Arial" w:hAnsi="Arial" w:cs="Arial"/>
                <w:b/>
                <w:bCs/>
                <w:sz w:val="16"/>
                <w:szCs w:val="16"/>
              </w:rPr>
              <w:t>2024–25</w:t>
            </w:r>
            <w:r>
              <w:rPr>
                <w:rFonts w:ascii="Arial" w:hAnsi="Arial" w:cs="Arial"/>
                <w:b/>
                <w:bCs/>
                <w:sz w:val="16"/>
                <w:szCs w:val="16"/>
              </w:rPr>
              <w:br/>
              <w:t>Forward estimate</w:t>
            </w:r>
            <w:r>
              <w:rPr>
                <w:rFonts w:ascii="Arial" w:hAnsi="Arial" w:cs="Arial"/>
                <w:b/>
                <w:bCs/>
                <w:sz w:val="16"/>
                <w:szCs w:val="16"/>
              </w:rPr>
              <w:br/>
            </w:r>
            <w:r>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tcMar>
              <w:top w:w="15" w:type="dxa"/>
              <w:left w:w="15" w:type="dxa"/>
              <w:bottom w:w="0" w:type="dxa"/>
              <w:right w:w="15" w:type="dxa"/>
            </w:tcMar>
            <w:hideMark/>
          </w:tcPr>
          <w:p w14:paraId="78D74F52" w14:textId="77777777" w:rsidR="002E0FF1" w:rsidRDefault="002E0FF1" w:rsidP="002E0FF1">
            <w:pPr>
              <w:spacing w:before="40" w:after="0"/>
              <w:jc w:val="right"/>
              <w:rPr>
                <w:rFonts w:ascii="Arial" w:hAnsi="Arial" w:cs="Arial"/>
                <w:b/>
                <w:bCs/>
                <w:sz w:val="16"/>
                <w:szCs w:val="16"/>
              </w:rPr>
            </w:pPr>
            <w:r>
              <w:rPr>
                <w:rFonts w:ascii="Arial" w:hAnsi="Arial" w:cs="Arial"/>
                <w:b/>
                <w:bCs/>
                <w:sz w:val="16"/>
                <w:szCs w:val="16"/>
              </w:rPr>
              <w:t>2025–26</w:t>
            </w:r>
            <w:r>
              <w:rPr>
                <w:rFonts w:ascii="Arial" w:hAnsi="Arial" w:cs="Arial"/>
                <w:b/>
                <w:bCs/>
                <w:sz w:val="16"/>
                <w:szCs w:val="16"/>
              </w:rPr>
              <w:br/>
              <w:t>Forward estimate</w:t>
            </w:r>
            <w:r>
              <w:rPr>
                <w:rFonts w:ascii="Arial" w:hAnsi="Arial" w:cs="Arial"/>
                <w:b/>
                <w:bCs/>
                <w:sz w:val="16"/>
                <w:szCs w:val="16"/>
              </w:rPr>
              <w:br/>
            </w:r>
            <w:r>
              <w:rPr>
                <w:rFonts w:ascii="Arial" w:hAnsi="Arial" w:cs="Arial"/>
                <w:sz w:val="16"/>
                <w:szCs w:val="16"/>
              </w:rPr>
              <w:t>$'000</w:t>
            </w:r>
          </w:p>
        </w:tc>
      </w:tr>
      <w:tr w:rsidR="002E0FF1" w14:paraId="0A17F99C" w14:textId="77777777" w:rsidTr="002E0FF1">
        <w:trPr>
          <w:trHeight w:val="525"/>
        </w:trPr>
        <w:tc>
          <w:tcPr>
            <w:tcW w:w="7360" w:type="dxa"/>
            <w:gridSpan w:val="6"/>
            <w:tcBorders>
              <w:top w:val="nil"/>
              <w:left w:val="nil"/>
              <w:bottom w:val="nil"/>
              <w:right w:val="nil"/>
            </w:tcBorders>
            <w:shd w:val="clear" w:color="auto" w:fill="auto"/>
            <w:tcMar>
              <w:top w:w="15" w:type="dxa"/>
              <w:left w:w="15" w:type="dxa"/>
              <w:bottom w:w="0" w:type="dxa"/>
              <w:right w:w="15" w:type="dxa"/>
            </w:tcMar>
            <w:vAlign w:val="bottom"/>
            <w:hideMark/>
          </w:tcPr>
          <w:p w14:paraId="7BDA8B1E" w14:textId="77777777" w:rsidR="002E0FF1" w:rsidRDefault="002E0FF1" w:rsidP="002E0FF1">
            <w:pPr>
              <w:spacing w:after="0"/>
              <w:rPr>
                <w:rFonts w:ascii="Arial" w:hAnsi="Arial" w:cs="Arial"/>
                <w:b/>
                <w:bCs/>
                <w:sz w:val="16"/>
                <w:szCs w:val="16"/>
              </w:rPr>
            </w:pPr>
            <w:r>
              <w:rPr>
                <w:rFonts w:ascii="Arial" w:hAnsi="Arial" w:cs="Arial"/>
                <w:b/>
                <w:bCs/>
                <w:sz w:val="16"/>
                <w:szCs w:val="16"/>
              </w:rPr>
              <w:t>Program 1.1: Develop, Collect, Analyse and Report High Quality National Health and Welfare Information and Statistics for Governments and the Community</w:t>
            </w:r>
          </w:p>
        </w:tc>
      </w:tr>
      <w:tr w:rsidR="002E0FF1" w14:paraId="2FBA444F" w14:textId="77777777" w:rsidTr="002E0FF1">
        <w:trPr>
          <w:trHeight w:val="300"/>
        </w:trPr>
        <w:tc>
          <w:tcPr>
            <w:tcW w:w="2860" w:type="dxa"/>
            <w:tcBorders>
              <w:top w:val="nil"/>
              <w:left w:val="nil"/>
              <w:bottom w:val="nil"/>
              <w:right w:val="nil"/>
            </w:tcBorders>
            <w:shd w:val="clear" w:color="auto" w:fill="auto"/>
            <w:noWrap/>
            <w:tcMar>
              <w:top w:w="15" w:type="dxa"/>
              <w:left w:w="135" w:type="dxa"/>
              <w:bottom w:w="0" w:type="dxa"/>
              <w:right w:w="15" w:type="dxa"/>
            </w:tcMar>
            <w:vAlign w:val="bottom"/>
            <w:hideMark/>
          </w:tcPr>
          <w:p w14:paraId="54CF84F3" w14:textId="77777777" w:rsidR="002E0FF1" w:rsidRDefault="002E0FF1" w:rsidP="002E0FF1">
            <w:pPr>
              <w:spacing w:after="0"/>
              <w:ind w:leftChars="75" w:left="143"/>
              <w:rPr>
                <w:rFonts w:ascii="Arial" w:hAnsi="Arial" w:cs="Arial"/>
                <w:sz w:val="16"/>
                <w:szCs w:val="16"/>
              </w:rPr>
            </w:pPr>
            <w:r>
              <w:rPr>
                <w:rFonts w:ascii="Arial" w:hAnsi="Arial" w:cs="Arial"/>
                <w:sz w:val="16"/>
                <w:szCs w:val="16"/>
              </w:rPr>
              <w:t>Revenue from Government</w:t>
            </w:r>
          </w:p>
        </w:tc>
        <w:tc>
          <w:tcPr>
            <w:tcW w:w="900" w:type="dxa"/>
            <w:tcBorders>
              <w:top w:val="nil"/>
              <w:left w:val="nil"/>
              <w:bottom w:val="nil"/>
              <w:right w:val="nil"/>
            </w:tcBorders>
            <w:shd w:val="clear" w:color="auto" w:fill="auto"/>
            <w:tcMar>
              <w:top w:w="15" w:type="dxa"/>
              <w:left w:w="15" w:type="dxa"/>
              <w:bottom w:w="0" w:type="dxa"/>
              <w:right w:w="15" w:type="dxa"/>
            </w:tcMar>
            <w:vAlign w:val="bottom"/>
            <w:hideMark/>
          </w:tcPr>
          <w:p w14:paraId="382C4FB8" w14:textId="77777777" w:rsidR="002E0FF1" w:rsidRDefault="002E0FF1" w:rsidP="002E0FF1">
            <w:pPr>
              <w:spacing w:after="0"/>
              <w:ind w:firstLineChars="100" w:firstLine="160"/>
              <w:rPr>
                <w:rFonts w:ascii="Arial" w:hAnsi="Arial" w:cs="Arial"/>
                <w:sz w:val="16"/>
                <w:szCs w:val="16"/>
              </w:rPr>
            </w:pPr>
          </w:p>
        </w:tc>
        <w:tc>
          <w:tcPr>
            <w:tcW w:w="90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16FB1FD6" w14:textId="77777777" w:rsidR="002E0FF1" w:rsidRDefault="002E0FF1" w:rsidP="002E0FF1">
            <w:pPr>
              <w:spacing w:after="0"/>
              <w:jc w:val="right"/>
              <w:rPr>
                <w:rFonts w:ascii="Arial" w:hAnsi="Arial" w:cs="Arial"/>
                <w:sz w:val="16"/>
                <w:szCs w:val="16"/>
              </w:rPr>
            </w:pPr>
            <w:r>
              <w:rPr>
                <w:rFonts w:ascii="Arial" w:hAnsi="Arial" w:cs="Arial"/>
                <w:sz w:val="16"/>
                <w:szCs w:val="16"/>
              </w:rPr>
              <w:t> </w:t>
            </w:r>
          </w:p>
        </w:tc>
        <w:tc>
          <w:tcPr>
            <w:tcW w:w="900" w:type="dxa"/>
            <w:tcBorders>
              <w:top w:val="nil"/>
              <w:left w:val="nil"/>
              <w:bottom w:val="nil"/>
              <w:right w:val="nil"/>
            </w:tcBorders>
            <w:shd w:val="clear" w:color="auto" w:fill="auto"/>
            <w:tcMar>
              <w:top w:w="15" w:type="dxa"/>
              <w:left w:w="15" w:type="dxa"/>
              <w:bottom w:w="0" w:type="dxa"/>
              <w:right w:w="15" w:type="dxa"/>
            </w:tcMar>
            <w:vAlign w:val="bottom"/>
            <w:hideMark/>
          </w:tcPr>
          <w:p w14:paraId="3B010DFD" w14:textId="77777777" w:rsidR="002E0FF1" w:rsidRDefault="002E0FF1" w:rsidP="002E0FF1">
            <w:pPr>
              <w:spacing w:after="0"/>
              <w:jc w:val="right"/>
              <w:rPr>
                <w:rFonts w:ascii="Arial" w:hAnsi="Arial" w:cs="Arial"/>
                <w:sz w:val="16"/>
                <w:szCs w:val="16"/>
              </w:rPr>
            </w:pPr>
          </w:p>
        </w:tc>
        <w:tc>
          <w:tcPr>
            <w:tcW w:w="900" w:type="dxa"/>
            <w:tcBorders>
              <w:top w:val="nil"/>
              <w:left w:val="nil"/>
              <w:bottom w:val="nil"/>
              <w:right w:val="nil"/>
            </w:tcBorders>
            <w:shd w:val="clear" w:color="auto" w:fill="auto"/>
            <w:tcMar>
              <w:top w:w="15" w:type="dxa"/>
              <w:left w:w="15" w:type="dxa"/>
              <w:bottom w:w="0" w:type="dxa"/>
              <w:right w:w="15" w:type="dxa"/>
            </w:tcMar>
            <w:vAlign w:val="bottom"/>
            <w:hideMark/>
          </w:tcPr>
          <w:p w14:paraId="3282740F" w14:textId="77777777" w:rsidR="002E0FF1" w:rsidRDefault="002E0FF1" w:rsidP="002E0FF1">
            <w:pPr>
              <w:spacing w:after="0"/>
              <w:jc w:val="right"/>
              <w:rPr>
                <w:sz w:val="20"/>
              </w:rPr>
            </w:pPr>
          </w:p>
        </w:tc>
        <w:tc>
          <w:tcPr>
            <w:tcW w:w="900" w:type="dxa"/>
            <w:tcBorders>
              <w:top w:val="nil"/>
              <w:left w:val="nil"/>
              <w:bottom w:val="nil"/>
              <w:right w:val="nil"/>
            </w:tcBorders>
            <w:shd w:val="clear" w:color="auto" w:fill="auto"/>
            <w:tcMar>
              <w:top w:w="15" w:type="dxa"/>
              <w:left w:w="15" w:type="dxa"/>
              <w:bottom w:w="0" w:type="dxa"/>
              <w:right w:w="15" w:type="dxa"/>
            </w:tcMar>
            <w:vAlign w:val="bottom"/>
            <w:hideMark/>
          </w:tcPr>
          <w:p w14:paraId="51AB326C" w14:textId="77777777" w:rsidR="002E0FF1" w:rsidRDefault="002E0FF1" w:rsidP="002E0FF1">
            <w:pPr>
              <w:spacing w:after="0"/>
              <w:jc w:val="right"/>
              <w:rPr>
                <w:sz w:val="20"/>
              </w:rPr>
            </w:pPr>
          </w:p>
        </w:tc>
      </w:tr>
      <w:tr w:rsidR="002E0FF1" w14:paraId="3E8E9747" w14:textId="77777777" w:rsidTr="002E0FF1">
        <w:trPr>
          <w:trHeight w:val="225"/>
        </w:trPr>
        <w:tc>
          <w:tcPr>
            <w:tcW w:w="2860" w:type="dxa"/>
            <w:tcBorders>
              <w:top w:val="nil"/>
              <w:left w:val="nil"/>
              <w:bottom w:val="nil"/>
              <w:right w:val="nil"/>
            </w:tcBorders>
            <w:shd w:val="clear" w:color="auto" w:fill="auto"/>
            <w:noWrap/>
            <w:tcMar>
              <w:top w:w="15" w:type="dxa"/>
              <w:left w:w="270" w:type="dxa"/>
              <w:bottom w:w="0" w:type="dxa"/>
              <w:right w:w="15" w:type="dxa"/>
            </w:tcMar>
            <w:vAlign w:val="bottom"/>
            <w:hideMark/>
          </w:tcPr>
          <w:p w14:paraId="17DB53D5" w14:textId="77777777" w:rsidR="002E0FF1" w:rsidRDefault="002E0FF1" w:rsidP="00537741">
            <w:pPr>
              <w:spacing w:after="0"/>
              <w:ind w:leftChars="100" w:left="190"/>
              <w:rPr>
                <w:rFonts w:ascii="Arial" w:hAnsi="Arial" w:cs="Arial"/>
                <w:sz w:val="16"/>
                <w:szCs w:val="16"/>
              </w:rPr>
            </w:pPr>
            <w:r>
              <w:rPr>
                <w:rFonts w:ascii="Arial" w:hAnsi="Arial" w:cs="Arial"/>
                <w:sz w:val="16"/>
                <w:szCs w:val="16"/>
              </w:rPr>
              <w:t>Ordinary annual services</w:t>
            </w:r>
            <w:r>
              <w:rPr>
                <w:rFonts w:ascii="Arial" w:hAnsi="Arial" w:cs="Arial"/>
                <w:sz w:val="16"/>
                <w:szCs w:val="16"/>
                <w:vertAlign w:val="superscript"/>
              </w:rPr>
              <w:t xml:space="preserve"> (a)</w:t>
            </w:r>
          </w:p>
        </w:tc>
        <w:tc>
          <w:tcPr>
            <w:tcW w:w="900" w:type="dxa"/>
            <w:tcBorders>
              <w:top w:val="nil"/>
              <w:left w:val="nil"/>
              <w:bottom w:val="nil"/>
              <w:right w:val="nil"/>
            </w:tcBorders>
            <w:shd w:val="clear" w:color="auto" w:fill="auto"/>
            <w:tcMar>
              <w:top w:w="15" w:type="dxa"/>
              <w:left w:w="15" w:type="dxa"/>
              <w:bottom w:w="0" w:type="dxa"/>
              <w:right w:w="15" w:type="dxa"/>
            </w:tcMar>
            <w:vAlign w:val="bottom"/>
            <w:hideMark/>
          </w:tcPr>
          <w:p w14:paraId="542BD0A5" w14:textId="77777777" w:rsidR="002E0FF1" w:rsidRDefault="002E0FF1" w:rsidP="002E0FF1">
            <w:pPr>
              <w:spacing w:after="0"/>
              <w:jc w:val="right"/>
              <w:rPr>
                <w:rFonts w:ascii="Arial" w:hAnsi="Arial" w:cs="Arial"/>
                <w:color w:val="auto"/>
                <w:sz w:val="16"/>
                <w:szCs w:val="16"/>
              </w:rPr>
            </w:pPr>
            <w:r>
              <w:rPr>
                <w:rFonts w:ascii="Arial" w:hAnsi="Arial" w:cs="Arial"/>
                <w:sz w:val="16"/>
                <w:szCs w:val="16"/>
              </w:rPr>
              <w:t>35,642</w:t>
            </w:r>
          </w:p>
        </w:tc>
        <w:tc>
          <w:tcPr>
            <w:tcW w:w="90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2FF0219C" w14:textId="77777777" w:rsidR="002E0FF1" w:rsidRDefault="002E0FF1" w:rsidP="002E0FF1">
            <w:pPr>
              <w:spacing w:after="0"/>
              <w:jc w:val="right"/>
              <w:rPr>
                <w:rFonts w:ascii="Arial" w:hAnsi="Arial" w:cs="Arial"/>
                <w:sz w:val="16"/>
                <w:szCs w:val="16"/>
              </w:rPr>
            </w:pPr>
            <w:r>
              <w:rPr>
                <w:rFonts w:ascii="Arial" w:hAnsi="Arial" w:cs="Arial"/>
                <w:sz w:val="16"/>
                <w:szCs w:val="16"/>
              </w:rPr>
              <w:t>34,577</w:t>
            </w:r>
          </w:p>
        </w:tc>
        <w:tc>
          <w:tcPr>
            <w:tcW w:w="900" w:type="dxa"/>
            <w:tcBorders>
              <w:top w:val="nil"/>
              <w:left w:val="nil"/>
              <w:bottom w:val="nil"/>
              <w:right w:val="nil"/>
            </w:tcBorders>
            <w:shd w:val="clear" w:color="auto" w:fill="auto"/>
            <w:tcMar>
              <w:top w:w="15" w:type="dxa"/>
              <w:left w:w="15" w:type="dxa"/>
              <w:bottom w:w="0" w:type="dxa"/>
              <w:right w:w="15" w:type="dxa"/>
            </w:tcMar>
            <w:vAlign w:val="bottom"/>
            <w:hideMark/>
          </w:tcPr>
          <w:p w14:paraId="2A462515" w14:textId="77777777" w:rsidR="002E0FF1" w:rsidRDefault="002E0FF1" w:rsidP="002E0FF1">
            <w:pPr>
              <w:spacing w:after="0"/>
              <w:jc w:val="right"/>
              <w:rPr>
                <w:rFonts w:ascii="Arial" w:hAnsi="Arial" w:cs="Arial"/>
                <w:sz w:val="16"/>
                <w:szCs w:val="16"/>
              </w:rPr>
            </w:pPr>
            <w:r>
              <w:rPr>
                <w:rFonts w:ascii="Arial" w:hAnsi="Arial" w:cs="Arial"/>
                <w:sz w:val="16"/>
                <w:szCs w:val="16"/>
              </w:rPr>
              <w:t>35,943</w:t>
            </w:r>
          </w:p>
        </w:tc>
        <w:tc>
          <w:tcPr>
            <w:tcW w:w="900" w:type="dxa"/>
            <w:tcBorders>
              <w:top w:val="nil"/>
              <w:left w:val="nil"/>
              <w:bottom w:val="nil"/>
              <w:right w:val="nil"/>
            </w:tcBorders>
            <w:shd w:val="clear" w:color="auto" w:fill="auto"/>
            <w:tcMar>
              <w:top w:w="15" w:type="dxa"/>
              <w:left w:w="15" w:type="dxa"/>
              <w:bottom w:w="0" w:type="dxa"/>
              <w:right w:w="15" w:type="dxa"/>
            </w:tcMar>
            <w:vAlign w:val="bottom"/>
            <w:hideMark/>
          </w:tcPr>
          <w:p w14:paraId="60094E13" w14:textId="77777777" w:rsidR="002E0FF1" w:rsidRDefault="002E0FF1" w:rsidP="002E0FF1">
            <w:pPr>
              <w:spacing w:after="0"/>
              <w:jc w:val="right"/>
              <w:rPr>
                <w:rFonts w:ascii="Arial" w:hAnsi="Arial" w:cs="Arial"/>
                <w:sz w:val="16"/>
                <w:szCs w:val="16"/>
              </w:rPr>
            </w:pPr>
            <w:r>
              <w:rPr>
                <w:rFonts w:ascii="Arial" w:hAnsi="Arial" w:cs="Arial"/>
                <w:sz w:val="16"/>
                <w:szCs w:val="16"/>
              </w:rPr>
              <w:t>36,502</w:t>
            </w:r>
          </w:p>
        </w:tc>
        <w:tc>
          <w:tcPr>
            <w:tcW w:w="900" w:type="dxa"/>
            <w:tcBorders>
              <w:top w:val="nil"/>
              <w:left w:val="nil"/>
              <w:bottom w:val="nil"/>
              <w:right w:val="nil"/>
            </w:tcBorders>
            <w:shd w:val="clear" w:color="auto" w:fill="auto"/>
            <w:tcMar>
              <w:top w:w="15" w:type="dxa"/>
              <w:left w:w="15" w:type="dxa"/>
              <w:bottom w:w="0" w:type="dxa"/>
              <w:right w:w="15" w:type="dxa"/>
            </w:tcMar>
            <w:vAlign w:val="bottom"/>
            <w:hideMark/>
          </w:tcPr>
          <w:p w14:paraId="600518A0" w14:textId="77777777" w:rsidR="002E0FF1" w:rsidRDefault="002E0FF1" w:rsidP="002E0FF1">
            <w:pPr>
              <w:spacing w:after="0"/>
              <w:jc w:val="right"/>
              <w:rPr>
                <w:rFonts w:ascii="Arial" w:hAnsi="Arial" w:cs="Arial"/>
                <w:sz w:val="16"/>
                <w:szCs w:val="16"/>
              </w:rPr>
            </w:pPr>
            <w:r>
              <w:rPr>
                <w:rFonts w:ascii="Arial" w:hAnsi="Arial" w:cs="Arial"/>
                <w:sz w:val="16"/>
                <w:szCs w:val="16"/>
              </w:rPr>
              <w:t>36,317</w:t>
            </w:r>
          </w:p>
        </w:tc>
      </w:tr>
      <w:tr w:rsidR="002E0FF1" w14:paraId="4CDE3143" w14:textId="77777777" w:rsidTr="002E0FF1">
        <w:trPr>
          <w:trHeight w:val="225"/>
        </w:trPr>
        <w:tc>
          <w:tcPr>
            <w:tcW w:w="2860" w:type="dxa"/>
            <w:tcBorders>
              <w:top w:val="nil"/>
              <w:left w:val="nil"/>
              <w:bottom w:val="nil"/>
              <w:right w:val="nil"/>
            </w:tcBorders>
            <w:shd w:val="clear" w:color="auto" w:fill="auto"/>
            <w:noWrap/>
            <w:tcMar>
              <w:top w:w="15" w:type="dxa"/>
              <w:left w:w="270" w:type="dxa"/>
              <w:bottom w:w="0" w:type="dxa"/>
              <w:right w:w="15" w:type="dxa"/>
            </w:tcMar>
            <w:vAlign w:val="bottom"/>
            <w:hideMark/>
          </w:tcPr>
          <w:p w14:paraId="7F4E60DF" w14:textId="77777777" w:rsidR="002E0FF1" w:rsidRDefault="002E0FF1" w:rsidP="00537741">
            <w:pPr>
              <w:spacing w:after="0"/>
              <w:ind w:leftChars="100" w:left="190"/>
              <w:rPr>
                <w:rFonts w:ascii="Arial" w:hAnsi="Arial" w:cs="Arial"/>
                <w:sz w:val="16"/>
                <w:szCs w:val="16"/>
              </w:rPr>
            </w:pPr>
            <w:r>
              <w:rPr>
                <w:rFonts w:ascii="Arial" w:hAnsi="Arial" w:cs="Arial"/>
                <w:sz w:val="16"/>
                <w:szCs w:val="16"/>
              </w:rPr>
              <w:t>Amounts from related entities</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7CE7424B" w14:textId="77777777" w:rsidR="002E0FF1" w:rsidRDefault="002E0FF1" w:rsidP="002E0FF1">
            <w:pPr>
              <w:spacing w:after="0"/>
              <w:jc w:val="right"/>
              <w:rPr>
                <w:rFonts w:ascii="Arial" w:hAnsi="Arial" w:cs="Arial"/>
                <w:sz w:val="16"/>
                <w:szCs w:val="16"/>
              </w:rPr>
            </w:pPr>
            <w:r>
              <w:rPr>
                <w:rFonts w:ascii="Arial" w:hAnsi="Arial" w:cs="Arial"/>
                <w:sz w:val="16"/>
                <w:szCs w:val="16"/>
              </w:rPr>
              <w:t>37,367</w:t>
            </w:r>
          </w:p>
        </w:tc>
        <w:tc>
          <w:tcPr>
            <w:tcW w:w="90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4EE73E0B" w14:textId="77777777" w:rsidR="002E0FF1" w:rsidRDefault="002E0FF1" w:rsidP="002E0FF1">
            <w:pPr>
              <w:spacing w:after="0"/>
              <w:jc w:val="right"/>
              <w:rPr>
                <w:rFonts w:ascii="Arial" w:hAnsi="Arial" w:cs="Arial"/>
                <w:sz w:val="16"/>
                <w:szCs w:val="16"/>
              </w:rPr>
            </w:pPr>
            <w:r>
              <w:rPr>
                <w:rFonts w:ascii="Arial" w:hAnsi="Arial" w:cs="Arial"/>
                <w:sz w:val="16"/>
                <w:szCs w:val="16"/>
              </w:rPr>
              <w:t>30,000</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1843FD25" w14:textId="77777777" w:rsidR="002E0FF1" w:rsidRDefault="002E0FF1" w:rsidP="002E0FF1">
            <w:pPr>
              <w:spacing w:after="0"/>
              <w:jc w:val="right"/>
              <w:rPr>
                <w:rFonts w:ascii="Arial" w:hAnsi="Arial" w:cs="Arial"/>
                <w:sz w:val="16"/>
                <w:szCs w:val="16"/>
              </w:rPr>
            </w:pPr>
            <w:r>
              <w:rPr>
                <w:rFonts w:ascii="Arial" w:hAnsi="Arial" w:cs="Arial"/>
                <w:sz w:val="16"/>
                <w:szCs w:val="16"/>
              </w:rPr>
              <w:t>30,000</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0353436B" w14:textId="77777777" w:rsidR="002E0FF1" w:rsidRDefault="002E0FF1" w:rsidP="002E0FF1">
            <w:pPr>
              <w:spacing w:after="0"/>
              <w:jc w:val="right"/>
              <w:rPr>
                <w:rFonts w:ascii="Arial" w:hAnsi="Arial" w:cs="Arial"/>
                <w:sz w:val="16"/>
                <w:szCs w:val="16"/>
              </w:rPr>
            </w:pPr>
            <w:r>
              <w:rPr>
                <w:rFonts w:ascii="Arial" w:hAnsi="Arial" w:cs="Arial"/>
                <w:sz w:val="16"/>
                <w:szCs w:val="16"/>
              </w:rPr>
              <w:t>30,000</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2C4E2495" w14:textId="77777777" w:rsidR="002E0FF1" w:rsidRDefault="002E0FF1" w:rsidP="002E0FF1">
            <w:pPr>
              <w:spacing w:after="0"/>
              <w:jc w:val="right"/>
              <w:rPr>
                <w:rFonts w:ascii="Arial" w:hAnsi="Arial" w:cs="Arial"/>
                <w:sz w:val="16"/>
                <w:szCs w:val="16"/>
              </w:rPr>
            </w:pPr>
            <w:r>
              <w:rPr>
                <w:rFonts w:ascii="Arial" w:hAnsi="Arial" w:cs="Arial"/>
                <w:sz w:val="16"/>
                <w:szCs w:val="16"/>
              </w:rPr>
              <w:t>34,000</w:t>
            </w:r>
          </w:p>
        </w:tc>
      </w:tr>
      <w:tr w:rsidR="002E0FF1" w14:paraId="1E48FA83" w14:textId="77777777" w:rsidTr="002E0FF1">
        <w:trPr>
          <w:trHeight w:val="450"/>
        </w:trPr>
        <w:tc>
          <w:tcPr>
            <w:tcW w:w="2860" w:type="dxa"/>
            <w:tcBorders>
              <w:top w:val="nil"/>
              <w:left w:val="nil"/>
              <w:bottom w:val="nil"/>
              <w:right w:val="nil"/>
            </w:tcBorders>
            <w:shd w:val="clear" w:color="auto" w:fill="auto"/>
            <w:tcMar>
              <w:top w:w="15" w:type="dxa"/>
              <w:left w:w="135" w:type="dxa"/>
              <w:bottom w:w="0" w:type="dxa"/>
              <w:right w:w="15" w:type="dxa"/>
            </w:tcMar>
            <w:vAlign w:val="bottom"/>
            <w:hideMark/>
          </w:tcPr>
          <w:p w14:paraId="0314AC9D" w14:textId="77777777" w:rsidR="002E0FF1" w:rsidRDefault="002E0FF1" w:rsidP="002E0FF1">
            <w:pPr>
              <w:spacing w:after="0"/>
              <w:ind w:leftChars="75" w:left="143"/>
              <w:rPr>
                <w:rFonts w:ascii="Arial" w:hAnsi="Arial" w:cs="Arial"/>
                <w:sz w:val="16"/>
                <w:szCs w:val="16"/>
              </w:rPr>
            </w:pPr>
            <w:r>
              <w:rPr>
                <w:rFonts w:ascii="Arial" w:hAnsi="Arial" w:cs="Arial"/>
                <w:sz w:val="16"/>
                <w:szCs w:val="16"/>
              </w:rPr>
              <w:t>Revenues from independent sources</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4B2EAB45" w14:textId="77777777" w:rsidR="002E0FF1" w:rsidRDefault="002E0FF1" w:rsidP="002E0FF1">
            <w:pPr>
              <w:spacing w:after="0"/>
              <w:jc w:val="right"/>
              <w:rPr>
                <w:rFonts w:ascii="Arial" w:hAnsi="Arial" w:cs="Arial"/>
                <w:sz w:val="16"/>
                <w:szCs w:val="16"/>
              </w:rPr>
            </w:pPr>
            <w:r>
              <w:rPr>
                <w:rFonts w:ascii="Arial" w:hAnsi="Arial" w:cs="Arial"/>
                <w:sz w:val="16"/>
                <w:szCs w:val="16"/>
              </w:rPr>
              <w:t>24,194</w:t>
            </w:r>
          </w:p>
        </w:tc>
        <w:tc>
          <w:tcPr>
            <w:tcW w:w="90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586D64A9" w14:textId="77777777" w:rsidR="002E0FF1" w:rsidRDefault="002E0FF1" w:rsidP="002E0FF1">
            <w:pPr>
              <w:spacing w:after="0"/>
              <w:jc w:val="right"/>
              <w:rPr>
                <w:rFonts w:ascii="Arial" w:hAnsi="Arial" w:cs="Arial"/>
                <w:sz w:val="16"/>
                <w:szCs w:val="16"/>
              </w:rPr>
            </w:pPr>
            <w:r>
              <w:rPr>
                <w:rFonts w:ascii="Arial" w:hAnsi="Arial" w:cs="Arial"/>
                <w:sz w:val="16"/>
                <w:szCs w:val="16"/>
              </w:rPr>
              <w:t>32,830</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77BB9C21" w14:textId="77777777" w:rsidR="002E0FF1" w:rsidRDefault="002E0FF1" w:rsidP="002E0FF1">
            <w:pPr>
              <w:spacing w:after="0"/>
              <w:jc w:val="right"/>
              <w:rPr>
                <w:rFonts w:ascii="Arial" w:hAnsi="Arial" w:cs="Arial"/>
                <w:sz w:val="16"/>
                <w:szCs w:val="16"/>
              </w:rPr>
            </w:pPr>
            <w:r>
              <w:rPr>
                <w:rFonts w:ascii="Arial" w:hAnsi="Arial" w:cs="Arial"/>
                <w:sz w:val="16"/>
                <w:szCs w:val="16"/>
              </w:rPr>
              <w:t>32,830</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73619E0A" w14:textId="77777777" w:rsidR="002E0FF1" w:rsidRDefault="002E0FF1" w:rsidP="002E0FF1">
            <w:pPr>
              <w:spacing w:after="0"/>
              <w:jc w:val="right"/>
              <w:rPr>
                <w:rFonts w:ascii="Arial" w:hAnsi="Arial" w:cs="Arial"/>
                <w:sz w:val="16"/>
                <w:szCs w:val="16"/>
              </w:rPr>
            </w:pPr>
            <w:r>
              <w:rPr>
                <w:rFonts w:ascii="Arial" w:hAnsi="Arial" w:cs="Arial"/>
                <w:sz w:val="16"/>
                <w:szCs w:val="16"/>
              </w:rPr>
              <w:t>32,830</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02F8CFCF" w14:textId="77777777" w:rsidR="002E0FF1" w:rsidRDefault="002E0FF1" w:rsidP="002E0FF1">
            <w:pPr>
              <w:spacing w:after="0"/>
              <w:jc w:val="right"/>
              <w:rPr>
                <w:rFonts w:ascii="Arial" w:hAnsi="Arial" w:cs="Arial"/>
                <w:sz w:val="16"/>
                <w:szCs w:val="16"/>
              </w:rPr>
            </w:pPr>
            <w:r>
              <w:rPr>
                <w:rFonts w:ascii="Arial" w:hAnsi="Arial" w:cs="Arial"/>
                <w:sz w:val="16"/>
                <w:szCs w:val="16"/>
              </w:rPr>
              <w:t>28,800</w:t>
            </w:r>
          </w:p>
        </w:tc>
      </w:tr>
      <w:tr w:rsidR="002E0FF1" w14:paraId="5375DF97" w14:textId="77777777" w:rsidTr="002E0FF1">
        <w:trPr>
          <w:trHeight w:val="225"/>
        </w:trPr>
        <w:tc>
          <w:tcPr>
            <w:tcW w:w="2860" w:type="dxa"/>
            <w:tcBorders>
              <w:top w:val="nil"/>
              <w:left w:val="nil"/>
              <w:bottom w:val="nil"/>
              <w:right w:val="nil"/>
            </w:tcBorders>
            <w:shd w:val="clear" w:color="auto" w:fill="auto"/>
            <w:noWrap/>
            <w:tcMar>
              <w:top w:w="15" w:type="dxa"/>
              <w:left w:w="135" w:type="dxa"/>
              <w:bottom w:w="0" w:type="dxa"/>
              <w:right w:w="15" w:type="dxa"/>
            </w:tcMar>
            <w:vAlign w:val="bottom"/>
            <w:hideMark/>
          </w:tcPr>
          <w:p w14:paraId="70BF43EA" w14:textId="77777777" w:rsidR="002E0FF1" w:rsidRDefault="002E0FF1" w:rsidP="002E0FF1">
            <w:pPr>
              <w:spacing w:after="0"/>
              <w:ind w:leftChars="75" w:left="143"/>
              <w:rPr>
                <w:rFonts w:ascii="Arial" w:hAnsi="Arial" w:cs="Arial"/>
                <w:sz w:val="16"/>
                <w:szCs w:val="16"/>
              </w:rPr>
            </w:pPr>
            <w:r>
              <w:rPr>
                <w:rFonts w:ascii="Arial" w:hAnsi="Arial" w:cs="Arial"/>
                <w:sz w:val="16"/>
                <w:szCs w:val="16"/>
              </w:rPr>
              <w:t>Operating deficit (surplus)</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49D4E0F" w14:textId="77777777" w:rsidR="002E0FF1" w:rsidRDefault="002E0FF1" w:rsidP="002E0FF1">
            <w:pPr>
              <w:spacing w:after="0"/>
              <w:jc w:val="right"/>
              <w:rPr>
                <w:rFonts w:ascii="Arial" w:hAnsi="Arial" w:cs="Arial"/>
                <w:sz w:val="16"/>
                <w:szCs w:val="16"/>
              </w:rPr>
            </w:pPr>
            <w:r>
              <w:rPr>
                <w:rFonts w:ascii="Arial" w:hAnsi="Arial" w:cs="Arial"/>
                <w:sz w:val="16"/>
                <w:szCs w:val="16"/>
              </w:rPr>
              <w:t>1,390</w:t>
            </w:r>
          </w:p>
        </w:tc>
        <w:tc>
          <w:tcPr>
            <w:tcW w:w="900" w:type="dxa"/>
            <w:tcBorders>
              <w:top w:val="nil"/>
              <w:left w:val="nil"/>
              <w:bottom w:val="single" w:sz="4" w:space="0" w:color="auto"/>
              <w:right w:val="nil"/>
            </w:tcBorders>
            <w:shd w:val="clear" w:color="000000" w:fill="D9D9D9"/>
            <w:noWrap/>
            <w:tcMar>
              <w:top w:w="15" w:type="dxa"/>
              <w:left w:w="15" w:type="dxa"/>
              <w:bottom w:w="0" w:type="dxa"/>
              <w:right w:w="15" w:type="dxa"/>
            </w:tcMar>
            <w:vAlign w:val="bottom"/>
            <w:hideMark/>
          </w:tcPr>
          <w:p w14:paraId="51C87E93" w14:textId="77777777" w:rsidR="002E0FF1" w:rsidRDefault="002E0FF1" w:rsidP="002E0FF1">
            <w:pPr>
              <w:spacing w:after="0"/>
              <w:jc w:val="right"/>
              <w:rPr>
                <w:rFonts w:ascii="Arial" w:hAnsi="Arial" w:cs="Arial"/>
                <w:sz w:val="16"/>
                <w:szCs w:val="16"/>
              </w:rPr>
            </w:pPr>
            <w:r>
              <w:rPr>
                <w:rFonts w:ascii="Arial" w:hAnsi="Arial" w:cs="Arial"/>
                <w:sz w:val="16"/>
                <w:szCs w:val="16"/>
              </w:rPr>
              <w:t>2,835</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3ACA140" w14:textId="77777777" w:rsidR="002E0FF1" w:rsidRDefault="002E0FF1" w:rsidP="002E0FF1">
            <w:pPr>
              <w:spacing w:after="0"/>
              <w:jc w:val="right"/>
              <w:rPr>
                <w:rFonts w:ascii="Arial" w:hAnsi="Arial" w:cs="Arial"/>
                <w:sz w:val="16"/>
                <w:szCs w:val="16"/>
              </w:rPr>
            </w:pPr>
            <w:r>
              <w:rPr>
                <w:rFonts w:ascii="Arial" w:hAnsi="Arial" w:cs="Arial"/>
                <w:sz w:val="16"/>
                <w:szCs w:val="16"/>
              </w:rPr>
              <w:t>707</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0B2D18A" w14:textId="77777777" w:rsidR="002E0FF1" w:rsidRDefault="002E0FF1" w:rsidP="002E0FF1">
            <w:pPr>
              <w:spacing w:after="0"/>
              <w:jc w:val="right"/>
              <w:rPr>
                <w:rFonts w:ascii="Arial" w:hAnsi="Arial" w:cs="Arial"/>
                <w:sz w:val="16"/>
                <w:szCs w:val="16"/>
              </w:rPr>
            </w:pPr>
            <w:r>
              <w:rPr>
                <w:rFonts w:ascii="Arial" w:hAnsi="Arial" w:cs="Arial"/>
                <w:sz w:val="16"/>
                <w:szCs w:val="16"/>
              </w:rPr>
              <w:t>-</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71D8B4D" w14:textId="77777777" w:rsidR="002E0FF1" w:rsidRDefault="002E0FF1" w:rsidP="002E0FF1">
            <w:pPr>
              <w:spacing w:after="0"/>
              <w:jc w:val="right"/>
              <w:rPr>
                <w:rFonts w:ascii="Arial" w:hAnsi="Arial" w:cs="Arial"/>
                <w:sz w:val="16"/>
                <w:szCs w:val="16"/>
              </w:rPr>
            </w:pPr>
            <w:r>
              <w:rPr>
                <w:rFonts w:ascii="Arial" w:hAnsi="Arial" w:cs="Arial"/>
                <w:sz w:val="16"/>
                <w:szCs w:val="16"/>
              </w:rPr>
              <w:t>-</w:t>
            </w:r>
          </w:p>
        </w:tc>
      </w:tr>
      <w:tr w:rsidR="002E0FF1" w14:paraId="3D399B83" w14:textId="77777777" w:rsidTr="002E0FF1">
        <w:trPr>
          <w:trHeight w:val="300"/>
        </w:trPr>
        <w:tc>
          <w:tcPr>
            <w:tcW w:w="2860" w:type="dxa"/>
            <w:tcBorders>
              <w:top w:val="nil"/>
              <w:left w:val="nil"/>
              <w:bottom w:val="nil"/>
              <w:right w:val="nil"/>
            </w:tcBorders>
            <w:shd w:val="clear" w:color="auto" w:fill="auto"/>
            <w:noWrap/>
            <w:tcMar>
              <w:top w:w="15" w:type="dxa"/>
              <w:left w:w="135" w:type="dxa"/>
              <w:bottom w:w="0" w:type="dxa"/>
              <w:right w:w="15" w:type="dxa"/>
            </w:tcMar>
            <w:vAlign w:val="bottom"/>
            <w:hideMark/>
          </w:tcPr>
          <w:p w14:paraId="6C0F7CCB" w14:textId="77777777" w:rsidR="002E0FF1" w:rsidRDefault="002E0FF1" w:rsidP="002E0FF1">
            <w:pPr>
              <w:spacing w:after="0"/>
              <w:ind w:firstLineChars="100" w:firstLine="160"/>
              <w:rPr>
                <w:rFonts w:ascii="Arial" w:hAnsi="Arial" w:cs="Arial"/>
                <w:b/>
                <w:bCs/>
                <w:sz w:val="16"/>
                <w:szCs w:val="16"/>
              </w:rPr>
            </w:pPr>
            <w:r>
              <w:rPr>
                <w:rFonts w:ascii="Arial" w:hAnsi="Arial" w:cs="Arial"/>
                <w:b/>
                <w:bCs/>
                <w:sz w:val="16"/>
                <w:szCs w:val="16"/>
              </w:rPr>
              <w:t>Total for Program 1.1</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93368E4" w14:textId="77777777" w:rsidR="002E0FF1" w:rsidRDefault="002E0FF1" w:rsidP="002E0FF1">
            <w:pPr>
              <w:spacing w:after="0"/>
              <w:jc w:val="right"/>
              <w:rPr>
                <w:rFonts w:ascii="Arial" w:hAnsi="Arial" w:cs="Arial"/>
                <w:b/>
                <w:bCs/>
                <w:sz w:val="16"/>
                <w:szCs w:val="16"/>
              </w:rPr>
            </w:pPr>
            <w:r>
              <w:rPr>
                <w:rFonts w:ascii="Arial" w:hAnsi="Arial" w:cs="Arial"/>
                <w:b/>
                <w:bCs/>
                <w:sz w:val="16"/>
                <w:szCs w:val="16"/>
              </w:rPr>
              <w:t>98,593</w:t>
            </w:r>
          </w:p>
        </w:tc>
        <w:tc>
          <w:tcPr>
            <w:tcW w:w="900" w:type="dxa"/>
            <w:tcBorders>
              <w:top w:val="nil"/>
              <w:left w:val="nil"/>
              <w:bottom w:val="single" w:sz="4" w:space="0" w:color="auto"/>
              <w:right w:val="nil"/>
            </w:tcBorders>
            <w:shd w:val="clear" w:color="000000" w:fill="D9D9D9"/>
            <w:noWrap/>
            <w:tcMar>
              <w:top w:w="15" w:type="dxa"/>
              <w:left w:w="15" w:type="dxa"/>
              <w:bottom w:w="0" w:type="dxa"/>
              <w:right w:w="15" w:type="dxa"/>
            </w:tcMar>
            <w:vAlign w:val="bottom"/>
            <w:hideMark/>
          </w:tcPr>
          <w:p w14:paraId="344BB118" w14:textId="77777777" w:rsidR="002E0FF1" w:rsidRDefault="002E0FF1" w:rsidP="002E0FF1">
            <w:pPr>
              <w:spacing w:after="0"/>
              <w:jc w:val="right"/>
              <w:rPr>
                <w:rFonts w:ascii="Arial" w:hAnsi="Arial" w:cs="Arial"/>
                <w:b/>
                <w:bCs/>
                <w:sz w:val="16"/>
                <w:szCs w:val="16"/>
              </w:rPr>
            </w:pPr>
            <w:r>
              <w:rPr>
                <w:rFonts w:ascii="Arial" w:hAnsi="Arial" w:cs="Arial"/>
                <w:b/>
                <w:bCs/>
                <w:sz w:val="16"/>
                <w:szCs w:val="16"/>
              </w:rPr>
              <w:t>100,242</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6D5BD62" w14:textId="77777777" w:rsidR="002E0FF1" w:rsidRDefault="002E0FF1" w:rsidP="002E0FF1">
            <w:pPr>
              <w:spacing w:after="0"/>
              <w:jc w:val="right"/>
              <w:rPr>
                <w:rFonts w:ascii="Arial" w:hAnsi="Arial" w:cs="Arial"/>
                <w:b/>
                <w:bCs/>
                <w:sz w:val="16"/>
                <w:szCs w:val="16"/>
              </w:rPr>
            </w:pPr>
            <w:r>
              <w:rPr>
                <w:rFonts w:ascii="Arial" w:hAnsi="Arial" w:cs="Arial"/>
                <w:b/>
                <w:bCs/>
                <w:sz w:val="16"/>
                <w:szCs w:val="16"/>
              </w:rPr>
              <w:t>99,480</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0CF465F" w14:textId="77777777" w:rsidR="002E0FF1" w:rsidRDefault="002E0FF1" w:rsidP="002E0FF1">
            <w:pPr>
              <w:spacing w:after="0"/>
              <w:jc w:val="right"/>
              <w:rPr>
                <w:rFonts w:ascii="Arial" w:hAnsi="Arial" w:cs="Arial"/>
                <w:b/>
                <w:bCs/>
                <w:sz w:val="16"/>
                <w:szCs w:val="16"/>
              </w:rPr>
            </w:pPr>
            <w:r>
              <w:rPr>
                <w:rFonts w:ascii="Arial" w:hAnsi="Arial" w:cs="Arial"/>
                <w:b/>
                <w:bCs/>
                <w:sz w:val="16"/>
                <w:szCs w:val="16"/>
              </w:rPr>
              <w:t>99,332</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ACB8853" w14:textId="77777777" w:rsidR="002E0FF1" w:rsidRDefault="002E0FF1" w:rsidP="002E0FF1">
            <w:pPr>
              <w:spacing w:after="0"/>
              <w:jc w:val="right"/>
              <w:rPr>
                <w:rFonts w:ascii="Arial" w:hAnsi="Arial" w:cs="Arial"/>
                <w:b/>
                <w:bCs/>
                <w:sz w:val="16"/>
                <w:szCs w:val="16"/>
              </w:rPr>
            </w:pPr>
            <w:r>
              <w:rPr>
                <w:rFonts w:ascii="Arial" w:hAnsi="Arial" w:cs="Arial"/>
                <w:b/>
                <w:bCs/>
                <w:sz w:val="16"/>
                <w:szCs w:val="16"/>
              </w:rPr>
              <w:t>99,117</w:t>
            </w:r>
          </w:p>
        </w:tc>
      </w:tr>
      <w:tr w:rsidR="002E0FF1" w14:paraId="643A844F" w14:textId="77777777" w:rsidTr="002E0FF1">
        <w:trPr>
          <w:trHeight w:val="300"/>
        </w:trPr>
        <w:tc>
          <w:tcPr>
            <w:tcW w:w="286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60FD5BE" w14:textId="77777777" w:rsidR="002E0FF1" w:rsidRDefault="002E0FF1" w:rsidP="002E0FF1">
            <w:pPr>
              <w:spacing w:after="0"/>
              <w:rPr>
                <w:rFonts w:ascii="Arial" w:hAnsi="Arial" w:cs="Arial"/>
                <w:b/>
                <w:bCs/>
                <w:sz w:val="16"/>
                <w:szCs w:val="16"/>
              </w:rPr>
            </w:pPr>
            <w:r>
              <w:rPr>
                <w:rFonts w:ascii="Arial" w:hAnsi="Arial" w:cs="Arial"/>
                <w:b/>
                <w:bCs/>
                <w:sz w:val="16"/>
                <w:szCs w:val="16"/>
              </w:rPr>
              <w:t>Total expenses for Outcome 1</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887BC1C" w14:textId="77777777" w:rsidR="002E0FF1" w:rsidRDefault="002E0FF1" w:rsidP="002E0FF1">
            <w:pPr>
              <w:spacing w:after="0"/>
              <w:jc w:val="right"/>
              <w:rPr>
                <w:rFonts w:ascii="Arial" w:hAnsi="Arial" w:cs="Arial"/>
                <w:b/>
                <w:bCs/>
                <w:color w:val="auto"/>
                <w:sz w:val="16"/>
                <w:szCs w:val="16"/>
              </w:rPr>
            </w:pPr>
            <w:r>
              <w:rPr>
                <w:rFonts w:ascii="Arial" w:hAnsi="Arial" w:cs="Arial"/>
                <w:b/>
                <w:bCs/>
                <w:sz w:val="16"/>
                <w:szCs w:val="16"/>
              </w:rPr>
              <w:t>98,593</w:t>
            </w:r>
          </w:p>
        </w:tc>
        <w:tc>
          <w:tcPr>
            <w:tcW w:w="900" w:type="dxa"/>
            <w:tcBorders>
              <w:top w:val="nil"/>
              <w:left w:val="nil"/>
              <w:bottom w:val="single" w:sz="4" w:space="0" w:color="auto"/>
              <w:right w:val="nil"/>
            </w:tcBorders>
            <w:shd w:val="clear" w:color="000000" w:fill="D9D9D9"/>
            <w:noWrap/>
            <w:tcMar>
              <w:top w:w="15" w:type="dxa"/>
              <w:left w:w="15" w:type="dxa"/>
              <w:bottom w:w="0" w:type="dxa"/>
              <w:right w:w="15" w:type="dxa"/>
            </w:tcMar>
            <w:vAlign w:val="bottom"/>
            <w:hideMark/>
          </w:tcPr>
          <w:p w14:paraId="5A4828BB" w14:textId="77777777" w:rsidR="002E0FF1" w:rsidRDefault="002E0FF1" w:rsidP="002E0FF1">
            <w:pPr>
              <w:spacing w:after="0"/>
              <w:jc w:val="right"/>
              <w:rPr>
                <w:rFonts w:ascii="Arial" w:hAnsi="Arial" w:cs="Arial"/>
                <w:b/>
                <w:bCs/>
                <w:sz w:val="16"/>
                <w:szCs w:val="16"/>
              </w:rPr>
            </w:pPr>
            <w:r>
              <w:rPr>
                <w:rFonts w:ascii="Arial" w:hAnsi="Arial" w:cs="Arial"/>
                <w:b/>
                <w:bCs/>
                <w:sz w:val="16"/>
                <w:szCs w:val="16"/>
              </w:rPr>
              <w:t>100,242</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D4F6E5E" w14:textId="77777777" w:rsidR="002E0FF1" w:rsidRDefault="002E0FF1" w:rsidP="002E0FF1">
            <w:pPr>
              <w:spacing w:after="0"/>
              <w:jc w:val="right"/>
              <w:rPr>
                <w:rFonts w:ascii="Arial" w:hAnsi="Arial" w:cs="Arial"/>
                <w:b/>
                <w:bCs/>
                <w:sz w:val="16"/>
                <w:szCs w:val="16"/>
              </w:rPr>
            </w:pPr>
            <w:r>
              <w:rPr>
                <w:rFonts w:ascii="Arial" w:hAnsi="Arial" w:cs="Arial"/>
                <w:b/>
                <w:bCs/>
                <w:sz w:val="16"/>
                <w:szCs w:val="16"/>
              </w:rPr>
              <w:t>99,480</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B49DD39" w14:textId="77777777" w:rsidR="002E0FF1" w:rsidRDefault="002E0FF1" w:rsidP="002E0FF1">
            <w:pPr>
              <w:spacing w:after="0"/>
              <w:jc w:val="right"/>
              <w:rPr>
                <w:rFonts w:ascii="Arial" w:hAnsi="Arial" w:cs="Arial"/>
                <w:b/>
                <w:bCs/>
                <w:sz w:val="16"/>
                <w:szCs w:val="16"/>
              </w:rPr>
            </w:pPr>
            <w:r>
              <w:rPr>
                <w:rFonts w:ascii="Arial" w:hAnsi="Arial" w:cs="Arial"/>
                <w:b/>
                <w:bCs/>
                <w:sz w:val="16"/>
                <w:szCs w:val="16"/>
              </w:rPr>
              <w:t>99,332</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BB89BB7" w14:textId="77777777" w:rsidR="002E0FF1" w:rsidRDefault="002E0FF1" w:rsidP="002E0FF1">
            <w:pPr>
              <w:spacing w:after="0"/>
              <w:jc w:val="right"/>
              <w:rPr>
                <w:rFonts w:ascii="Arial" w:hAnsi="Arial" w:cs="Arial"/>
                <w:b/>
                <w:bCs/>
                <w:sz w:val="16"/>
                <w:szCs w:val="16"/>
              </w:rPr>
            </w:pPr>
            <w:r>
              <w:rPr>
                <w:rFonts w:ascii="Arial" w:hAnsi="Arial" w:cs="Arial"/>
                <w:b/>
                <w:bCs/>
                <w:sz w:val="16"/>
                <w:szCs w:val="16"/>
              </w:rPr>
              <w:t>99,117</w:t>
            </w:r>
          </w:p>
        </w:tc>
      </w:tr>
      <w:tr w:rsidR="002E0FF1" w14:paraId="215D6206" w14:textId="77777777" w:rsidTr="002E0FF1">
        <w:trPr>
          <w:trHeight w:val="225"/>
        </w:trPr>
        <w:tc>
          <w:tcPr>
            <w:tcW w:w="2860" w:type="dxa"/>
            <w:tcBorders>
              <w:top w:val="nil"/>
              <w:left w:val="nil"/>
              <w:bottom w:val="nil"/>
              <w:right w:val="nil"/>
            </w:tcBorders>
            <w:shd w:val="clear" w:color="auto" w:fill="auto"/>
            <w:noWrap/>
            <w:tcMar>
              <w:top w:w="15" w:type="dxa"/>
              <w:left w:w="15" w:type="dxa"/>
              <w:bottom w:w="0" w:type="dxa"/>
              <w:right w:w="15" w:type="dxa"/>
            </w:tcMar>
            <w:vAlign w:val="bottom"/>
            <w:hideMark/>
          </w:tcPr>
          <w:p w14:paraId="33F2B9D2" w14:textId="77777777" w:rsidR="002E0FF1" w:rsidRDefault="002E0FF1" w:rsidP="002E0FF1">
            <w:pPr>
              <w:spacing w:after="0"/>
              <w:jc w:val="right"/>
              <w:rPr>
                <w:rFonts w:ascii="Arial" w:hAnsi="Arial" w:cs="Arial"/>
                <w:b/>
                <w:bCs/>
                <w:sz w:val="16"/>
                <w:szCs w:val="16"/>
              </w:rPr>
            </w:pP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01CF6F15" w14:textId="77777777" w:rsidR="002E0FF1" w:rsidRDefault="002E0FF1" w:rsidP="002E0FF1">
            <w:pPr>
              <w:spacing w:after="0"/>
              <w:rPr>
                <w:sz w:val="20"/>
              </w:rPr>
            </w:pP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0DE5182D" w14:textId="77777777" w:rsidR="002E0FF1" w:rsidRDefault="002E0FF1" w:rsidP="002E0FF1">
            <w:pPr>
              <w:spacing w:after="0"/>
              <w:jc w:val="right"/>
              <w:rPr>
                <w:sz w:val="20"/>
              </w:rPr>
            </w:pP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28DD3BE3" w14:textId="77777777" w:rsidR="002E0FF1" w:rsidRDefault="002E0FF1" w:rsidP="002E0FF1">
            <w:pPr>
              <w:spacing w:after="0"/>
              <w:jc w:val="right"/>
              <w:rPr>
                <w:sz w:val="20"/>
              </w:rPr>
            </w:pP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4A4F2D29" w14:textId="77777777" w:rsidR="002E0FF1" w:rsidRDefault="002E0FF1" w:rsidP="002E0FF1">
            <w:pPr>
              <w:spacing w:after="0"/>
              <w:jc w:val="right"/>
              <w:rPr>
                <w:sz w:val="20"/>
              </w:rPr>
            </w:pP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5A84527D" w14:textId="77777777" w:rsidR="002E0FF1" w:rsidRDefault="002E0FF1" w:rsidP="002E0FF1">
            <w:pPr>
              <w:spacing w:after="0"/>
              <w:jc w:val="right"/>
              <w:rPr>
                <w:sz w:val="20"/>
              </w:rPr>
            </w:pPr>
          </w:p>
        </w:tc>
      </w:tr>
      <w:tr w:rsidR="002E0FF1" w14:paraId="20449BAF" w14:textId="77777777" w:rsidTr="002E0FF1">
        <w:trPr>
          <w:trHeight w:val="225"/>
        </w:trPr>
        <w:tc>
          <w:tcPr>
            <w:tcW w:w="286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16864724" w14:textId="77777777" w:rsidR="002E0FF1" w:rsidRDefault="002E0FF1" w:rsidP="002E0FF1">
            <w:pPr>
              <w:spacing w:after="0"/>
              <w:rPr>
                <w:rFonts w:ascii="Arial" w:hAnsi="Arial" w:cs="Arial"/>
                <w:sz w:val="16"/>
                <w:szCs w:val="16"/>
              </w:rPr>
            </w:pPr>
            <w:r>
              <w:rPr>
                <w:rFonts w:ascii="Arial" w:hAnsi="Arial" w:cs="Arial"/>
                <w:sz w:val="16"/>
                <w:szCs w:val="16"/>
              </w:rPr>
              <w:t> </w:t>
            </w:r>
          </w:p>
        </w:tc>
        <w:tc>
          <w:tcPr>
            <w:tcW w:w="900" w:type="dxa"/>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bottom"/>
            <w:hideMark/>
          </w:tcPr>
          <w:p w14:paraId="3863E414" w14:textId="77777777" w:rsidR="002E0FF1" w:rsidRDefault="002E0FF1" w:rsidP="002E0FF1">
            <w:pPr>
              <w:spacing w:after="0"/>
              <w:jc w:val="right"/>
              <w:rPr>
                <w:rFonts w:ascii="Arial" w:hAnsi="Arial" w:cs="Arial"/>
                <w:b/>
                <w:bCs/>
                <w:color w:val="auto"/>
                <w:sz w:val="16"/>
                <w:szCs w:val="16"/>
              </w:rPr>
            </w:pPr>
            <w:r>
              <w:rPr>
                <w:rFonts w:ascii="Arial" w:hAnsi="Arial" w:cs="Arial"/>
                <w:b/>
                <w:bCs/>
                <w:sz w:val="16"/>
                <w:szCs w:val="16"/>
              </w:rPr>
              <w:t>2021–22</w:t>
            </w:r>
          </w:p>
        </w:tc>
        <w:tc>
          <w:tcPr>
            <w:tcW w:w="900" w:type="dxa"/>
            <w:tcBorders>
              <w:top w:val="single" w:sz="4" w:space="0" w:color="000000"/>
              <w:left w:val="nil"/>
              <w:bottom w:val="single" w:sz="4" w:space="0" w:color="000000"/>
              <w:right w:val="nil"/>
            </w:tcBorders>
            <w:shd w:val="clear" w:color="000000" w:fill="D9D9D9"/>
            <w:noWrap/>
            <w:tcMar>
              <w:top w:w="15" w:type="dxa"/>
              <w:left w:w="15" w:type="dxa"/>
              <w:bottom w:w="0" w:type="dxa"/>
              <w:right w:w="15" w:type="dxa"/>
            </w:tcMar>
            <w:vAlign w:val="bottom"/>
            <w:hideMark/>
          </w:tcPr>
          <w:p w14:paraId="6B31AF5A" w14:textId="77777777" w:rsidR="002E0FF1" w:rsidRDefault="002E0FF1" w:rsidP="002E0FF1">
            <w:pPr>
              <w:spacing w:after="0"/>
              <w:jc w:val="right"/>
              <w:rPr>
                <w:rFonts w:ascii="Arial" w:hAnsi="Arial" w:cs="Arial"/>
                <w:b/>
                <w:bCs/>
                <w:sz w:val="16"/>
                <w:szCs w:val="16"/>
              </w:rPr>
            </w:pPr>
            <w:r>
              <w:rPr>
                <w:rFonts w:ascii="Arial" w:hAnsi="Arial" w:cs="Arial"/>
                <w:b/>
                <w:bCs/>
                <w:sz w:val="16"/>
                <w:szCs w:val="16"/>
              </w:rPr>
              <w:t>2022–23</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6C20F299" w14:textId="77777777" w:rsidR="002E0FF1" w:rsidRDefault="002E0FF1" w:rsidP="002E0FF1">
            <w:pPr>
              <w:spacing w:after="0"/>
              <w:jc w:val="right"/>
              <w:rPr>
                <w:rFonts w:ascii="Arial" w:hAnsi="Arial" w:cs="Arial"/>
                <w:b/>
                <w:bCs/>
                <w:sz w:val="16"/>
                <w:szCs w:val="16"/>
              </w:rPr>
            </w:pP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4707CECB" w14:textId="77777777" w:rsidR="002E0FF1" w:rsidRDefault="002E0FF1" w:rsidP="002E0FF1">
            <w:pPr>
              <w:spacing w:after="0"/>
              <w:rPr>
                <w:sz w:val="20"/>
              </w:rPr>
            </w:pP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11951B4A" w14:textId="77777777" w:rsidR="002E0FF1" w:rsidRDefault="002E0FF1" w:rsidP="002E0FF1">
            <w:pPr>
              <w:spacing w:after="0"/>
              <w:rPr>
                <w:sz w:val="20"/>
              </w:rPr>
            </w:pPr>
          </w:p>
        </w:tc>
      </w:tr>
      <w:tr w:rsidR="002E0FF1" w14:paraId="204E44E5" w14:textId="77777777" w:rsidTr="002E0FF1">
        <w:trPr>
          <w:trHeight w:val="225"/>
        </w:trPr>
        <w:tc>
          <w:tcPr>
            <w:tcW w:w="286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3154C17" w14:textId="77777777" w:rsidR="002E0FF1" w:rsidRDefault="002E0FF1" w:rsidP="002E0FF1">
            <w:pPr>
              <w:spacing w:after="0"/>
              <w:rPr>
                <w:rFonts w:ascii="Arial" w:hAnsi="Arial" w:cs="Arial"/>
                <w:b/>
                <w:bCs/>
                <w:sz w:val="16"/>
                <w:szCs w:val="16"/>
              </w:rPr>
            </w:pPr>
            <w:r>
              <w:rPr>
                <w:rFonts w:ascii="Arial" w:hAnsi="Arial" w:cs="Arial"/>
                <w:b/>
                <w:bCs/>
                <w:sz w:val="16"/>
                <w:szCs w:val="16"/>
              </w:rPr>
              <w:t>Average staffing level (number)</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314B4B8" w14:textId="77777777" w:rsidR="002E0FF1" w:rsidRDefault="002E0FF1" w:rsidP="002E0FF1">
            <w:pPr>
              <w:spacing w:after="0"/>
              <w:jc w:val="right"/>
              <w:rPr>
                <w:rFonts w:ascii="Arial" w:hAnsi="Arial" w:cs="Arial"/>
                <w:sz w:val="16"/>
                <w:szCs w:val="16"/>
              </w:rPr>
            </w:pPr>
            <w:r>
              <w:rPr>
                <w:rFonts w:ascii="Arial" w:hAnsi="Arial" w:cs="Arial"/>
                <w:sz w:val="16"/>
                <w:szCs w:val="16"/>
              </w:rPr>
              <w:t>354</w:t>
            </w:r>
          </w:p>
        </w:tc>
        <w:tc>
          <w:tcPr>
            <w:tcW w:w="900" w:type="dxa"/>
            <w:tcBorders>
              <w:top w:val="nil"/>
              <w:left w:val="nil"/>
              <w:bottom w:val="single" w:sz="4" w:space="0" w:color="auto"/>
              <w:right w:val="nil"/>
            </w:tcBorders>
            <w:shd w:val="clear" w:color="000000" w:fill="D9D9D9"/>
            <w:noWrap/>
            <w:tcMar>
              <w:top w:w="15" w:type="dxa"/>
              <w:left w:w="15" w:type="dxa"/>
              <w:bottom w:w="0" w:type="dxa"/>
              <w:right w:w="15" w:type="dxa"/>
            </w:tcMar>
            <w:vAlign w:val="bottom"/>
            <w:hideMark/>
          </w:tcPr>
          <w:p w14:paraId="2C65D0B0" w14:textId="77777777" w:rsidR="002E0FF1" w:rsidRDefault="002E0FF1" w:rsidP="002E0FF1">
            <w:pPr>
              <w:spacing w:after="0"/>
              <w:jc w:val="right"/>
              <w:rPr>
                <w:rFonts w:ascii="Arial" w:hAnsi="Arial" w:cs="Arial"/>
                <w:color w:val="auto"/>
                <w:sz w:val="16"/>
                <w:szCs w:val="16"/>
              </w:rPr>
            </w:pPr>
            <w:r>
              <w:rPr>
                <w:rFonts w:ascii="Arial" w:hAnsi="Arial" w:cs="Arial"/>
                <w:sz w:val="16"/>
                <w:szCs w:val="16"/>
              </w:rPr>
              <w:t>364</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5903B23F" w14:textId="77777777" w:rsidR="002E0FF1" w:rsidRDefault="002E0FF1" w:rsidP="002E0FF1">
            <w:pPr>
              <w:spacing w:after="0"/>
              <w:jc w:val="right"/>
              <w:rPr>
                <w:rFonts w:ascii="Arial" w:hAnsi="Arial" w:cs="Arial"/>
                <w:sz w:val="16"/>
                <w:szCs w:val="16"/>
              </w:rPr>
            </w:pP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7DDA1192" w14:textId="77777777" w:rsidR="002E0FF1" w:rsidRDefault="002E0FF1" w:rsidP="002E0FF1">
            <w:pPr>
              <w:spacing w:after="0"/>
              <w:rPr>
                <w:sz w:val="20"/>
              </w:rPr>
            </w:pP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31E10374" w14:textId="77777777" w:rsidR="002E0FF1" w:rsidRDefault="002E0FF1" w:rsidP="002E0FF1">
            <w:pPr>
              <w:spacing w:after="0"/>
              <w:rPr>
                <w:sz w:val="20"/>
              </w:rPr>
            </w:pPr>
          </w:p>
        </w:tc>
      </w:tr>
    </w:tbl>
    <w:p w14:paraId="58E64DE2" w14:textId="45A436AD" w:rsidR="00661A8D" w:rsidRPr="004A5DBA" w:rsidRDefault="004A5DBA" w:rsidP="004A5DBA">
      <w:pPr>
        <w:pStyle w:val="FootnoteText"/>
        <w:spacing w:before="120"/>
      </w:pPr>
      <w:r w:rsidRPr="004A5DBA">
        <w:rPr>
          <w:vertAlign w:val="superscript"/>
        </w:rPr>
        <w:t>(a)</w:t>
      </w:r>
      <w:r>
        <w:tab/>
      </w:r>
      <w:r w:rsidRPr="004A5DBA">
        <w:t>Appropriation Bill (No. 1) 2022–23.</w:t>
      </w:r>
      <w:r w:rsidR="00661A8D" w:rsidRPr="004A5DBA">
        <w:br w:type="page"/>
      </w:r>
    </w:p>
    <w:p w14:paraId="014029DC" w14:textId="6151E618" w:rsidR="00BC0659" w:rsidRPr="000B4152" w:rsidRDefault="00BC0659" w:rsidP="004A08B7">
      <w:pPr>
        <w:pStyle w:val="Heading4"/>
        <w:rPr>
          <w:color w:val="auto"/>
          <w:sz w:val="22"/>
        </w:rPr>
      </w:pPr>
      <w:r w:rsidRPr="000B4152">
        <w:rPr>
          <w:color w:val="auto"/>
          <w:sz w:val="22"/>
        </w:rPr>
        <w:lastRenderedPageBreak/>
        <w:t>Performance</w:t>
      </w:r>
      <w:r w:rsidR="008140E6" w:rsidRPr="000B4152">
        <w:rPr>
          <w:color w:val="auto"/>
          <w:sz w:val="22"/>
        </w:rPr>
        <w:t xml:space="preserve"> measures</w:t>
      </w:r>
      <w:r w:rsidRPr="000B4152">
        <w:rPr>
          <w:color w:val="auto"/>
          <w:sz w:val="22"/>
        </w:rPr>
        <w:t xml:space="preserve"> for</w:t>
      </w:r>
      <w:r w:rsidR="008140E6" w:rsidRPr="000B4152">
        <w:rPr>
          <w:color w:val="auto"/>
          <w:sz w:val="22"/>
        </w:rPr>
        <w:t xml:space="preserve"> Outcome 1</w:t>
      </w:r>
    </w:p>
    <w:p w14:paraId="6E7B5528" w14:textId="5A0B2EB0" w:rsidR="00324C57" w:rsidRPr="00324C57" w:rsidRDefault="00324C57" w:rsidP="00324C57">
      <w:pPr>
        <w:rPr>
          <w:color w:val="auto"/>
          <w:szCs w:val="19"/>
        </w:rPr>
      </w:pPr>
      <w:r w:rsidRPr="00324C57">
        <w:rPr>
          <w:szCs w:val="19"/>
        </w:rPr>
        <w:t>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w:t>
      </w:r>
      <w:r w:rsidR="00C7013A">
        <w:rPr>
          <w:szCs w:val="19"/>
        </w:rPr>
        <w:t>nt, details of the October 2022–</w:t>
      </w:r>
      <w:r w:rsidRPr="00324C57">
        <w:rPr>
          <w:szCs w:val="19"/>
        </w:rPr>
        <w:t>23 Budget measures that have created new programs or materially changed existing programs are provided.</w:t>
      </w:r>
    </w:p>
    <w:p w14:paraId="34F0B140" w14:textId="77777777" w:rsidR="00BC0659" w:rsidRPr="00E63E43" w:rsidRDefault="00BC0659" w:rsidP="00BC0659">
      <w:pPr>
        <w:pStyle w:val="Tablenumberandreference"/>
        <w:rPr>
          <w:color w:val="auto"/>
        </w:rPr>
      </w:pPr>
      <w:r w:rsidRPr="00E63E43">
        <w:rPr>
          <w:color w:val="auto"/>
        </w:rPr>
        <w:t xml:space="preserve">Table 2.1.2: Performance </w:t>
      </w:r>
      <w:r w:rsidR="008F5901" w:rsidRPr="00E63E43">
        <w:rPr>
          <w:color w:val="auto"/>
        </w:rPr>
        <w:t>Measure</w:t>
      </w:r>
      <w:r w:rsidR="00E546B6" w:rsidRPr="00E63E43">
        <w:rPr>
          <w:color w:val="auto"/>
        </w:rPr>
        <w:t>s</w:t>
      </w:r>
      <w:r w:rsidRPr="00E63E43">
        <w:rPr>
          <w:color w:val="auto"/>
        </w:rPr>
        <w:t xml:space="preserve"> for the </w:t>
      </w:r>
      <w:r w:rsidR="008F5901" w:rsidRPr="00E63E43">
        <w:rPr>
          <w:color w:val="auto"/>
        </w:rPr>
        <w:t>AIHW</w:t>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the AIHW"/>
        <w:tblDescription w:val="This table outlines the AIHW's Outcome 1 outcome statement, Program 1.1's objective and the key activities for Program 1.1&#10;"/>
      </w:tblPr>
      <w:tblGrid>
        <w:gridCol w:w="7410"/>
      </w:tblGrid>
      <w:tr w:rsidR="00E63E43" w:rsidRPr="00E63E43" w14:paraId="1A5EB1B0" w14:textId="77777777" w:rsidTr="000D2B54">
        <w:trPr>
          <w:tblHeader/>
          <w:jc w:val="center"/>
        </w:trPr>
        <w:tc>
          <w:tcPr>
            <w:tcW w:w="5000" w:type="pct"/>
            <w:shd w:val="clear" w:color="auto" w:fill="D9D9D9" w:themeFill="background1" w:themeFillShade="D9"/>
            <w:tcMar>
              <w:left w:w="85" w:type="dxa"/>
            </w:tcMar>
            <w:vAlign w:val="center"/>
          </w:tcPr>
          <w:p w14:paraId="10CCC2ED" w14:textId="7A7F5F27" w:rsidR="00275651" w:rsidRPr="00E63E43" w:rsidRDefault="00BC0659" w:rsidP="00B868EB">
            <w:pPr>
              <w:pStyle w:val="Tableheadingrow9pt"/>
              <w:rPr>
                <w:bCs/>
                <w:iCs/>
                <w:color w:val="auto"/>
              </w:rPr>
            </w:pPr>
            <w:r w:rsidRPr="00E63E43">
              <w:rPr>
                <w:color w:val="auto"/>
              </w:rPr>
              <w:t>Outcome 1</w:t>
            </w:r>
          </w:p>
        </w:tc>
      </w:tr>
      <w:tr w:rsidR="00E63E43" w:rsidRPr="00E63E43" w14:paraId="59DD03D0" w14:textId="77777777" w:rsidTr="000D2B54">
        <w:trPr>
          <w:jc w:val="center"/>
        </w:trPr>
        <w:tc>
          <w:tcPr>
            <w:tcW w:w="5000" w:type="pct"/>
            <w:shd w:val="clear" w:color="auto" w:fill="auto"/>
            <w:tcMar>
              <w:left w:w="85" w:type="dxa"/>
            </w:tcMar>
          </w:tcPr>
          <w:p w14:paraId="745E1F20" w14:textId="282BF7B7" w:rsidR="00907B28" w:rsidRPr="00E63E43" w:rsidRDefault="008F5901" w:rsidP="000D2B54">
            <w:pPr>
              <w:pStyle w:val="Tabletextnormal9pt"/>
              <w:rPr>
                <w:rFonts w:eastAsiaTheme="minorEastAsia"/>
                <w:color w:val="auto"/>
              </w:rPr>
            </w:pPr>
            <w:r w:rsidRPr="00E63E43">
              <w:rPr>
                <w:rFonts w:eastAsiaTheme="minorEastAsia"/>
                <w:color w:val="auto"/>
              </w:rPr>
              <w:t>A robust evidence base for the health, housing and community sectors, including through developing and disseminating comparable health and wel</w:t>
            </w:r>
            <w:r w:rsidR="001A62DE">
              <w:rPr>
                <w:rFonts w:eastAsiaTheme="minorEastAsia"/>
                <w:color w:val="auto"/>
              </w:rPr>
              <w:t>fare information and statistics</w:t>
            </w:r>
            <w:r w:rsidR="00545A2D">
              <w:rPr>
                <w:rFonts w:eastAsiaTheme="minorEastAsia"/>
                <w:color w:val="auto"/>
              </w:rPr>
              <w:t>.</w:t>
            </w:r>
          </w:p>
        </w:tc>
      </w:tr>
      <w:tr w:rsidR="00E63E43" w:rsidRPr="00E63E43" w14:paraId="7A14E765" w14:textId="77777777" w:rsidTr="000D2B54">
        <w:trPr>
          <w:jc w:val="center"/>
        </w:trPr>
        <w:tc>
          <w:tcPr>
            <w:tcW w:w="5000" w:type="pct"/>
            <w:shd w:val="clear" w:color="auto" w:fill="D9D9D9" w:themeFill="background1" w:themeFillShade="D9"/>
            <w:tcMar>
              <w:left w:w="85" w:type="dxa"/>
            </w:tcMar>
          </w:tcPr>
          <w:p w14:paraId="0EE81FB4" w14:textId="6D7138DF" w:rsidR="00275651" w:rsidRPr="00E63E43" w:rsidRDefault="00BC0659" w:rsidP="00B71A84">
            <w:pPr>
              <w:pStyle w:val="Tableheadingrow9pt"/>
              <w:rPr>
                <w:color w:val="auto"/>
              </w:rPr>
            </w:pPr>
            <w:r w:rsidRPr="00E63E43">
              <w:rPr>
                <w:color w:val="auto"/>
              </w:rPr>
              <w:t xml:space="preserve">Program Objective – Program 1.1: </w:t>
            </w:r>
            <w:r w:rsidR="008F5901" w:rsidRPr="00E63E43">
              <w:rPr>
                <w:color w:val="auto"/>
              </w:rPr>
              <w:t xml:space="preserve">Develop, </w:t>
            </w:r>
            <w:r w:rsidR="00502FFB">
              <w:rPr>
                <w:color w:val="auto"/>
              </w:rPr>
              <w:t>Collect, A</w:t>
            </w:r>
            <w:r w:rsidR="008F5901" w:rsidRPr="00E63E43">
              <w:rPr>
                <w:color w:val="auto"/>
              </w:rPr>
              <w:t xml:space="preserve">nalyse and </w:t>
            </w:r>
            <w:r w:rsidR="00502FFB">
              <w:rPr>
                <w:color w:val="auto"/>
              </w:rPr>
              <w:t>R</w:t>
            </w:r>
            <w:r w:rsidR="008F5901" w:rsidRPr="00E63E43">
              <w:rPr>
                <w:color w:val="auto"/>
              </w:rPr>
              <w:t xml:space="preserve">eport </w:t>
            </w:r>
            <w:r w:rsidR="00502FFB">
              <w:rPr>
                <w:color w:val="auto"/>
              </w:rPr>
              <w:t>High Q</w:t>
            </w:r>
            <w:r w:rsidR="008F5901" w:rsidRPr="00E63E43">
              <w:rPr>
                <w:color w:val="auto"/>
              </w:rPr>
              <w:t xml:space="preserve">uality </w:t>
            </w:r>
            <w:r w:rsidR="00502FFB">
              <w:rPr>
                <w:color w:val="auto"/>
              </w:rPr>
              <w:t>N</w:t>
            </w:r>
            <w:r w:rsidR="008F5901" w:rsidRPr="00E63E43">
              <w:rPr>
                <w:color w:val="auto"/>
              </w:rPr>
              <w:t xml:space="preserve">ational </w:t>
            </w:r>
            <w:r w:rsidR="00502FFB">
              <w:rPr>
                <w:color w:val="auto"/>
              </w:rPr>
              <w:t>H</w:t>
            </w:r>
            <w:r w:rsidR="008F5901" w:rsidRPr="00E63E43">
              <w:rPr>
                <w:color w:val="auto"/>
              </w:rPr>
              <w:t xml:space="preserve">ealth and </w:t>
            </w:r>
            <w:r w:rsidR="00502FFB">
              <w:rPr>
                <w:color w:val="auto"/>
              </w:rPr>
              <w:t>W</w:t>
            </w:r>
            <w:r w:rsidR="008F5901" w:rsidRPr="00E63E43">
              <w:rPr>
                <w:color w:val="auto"/>
              </w:rPr>
              <w:t xml:space="preserve">elfare </w:t>
            </w:r>
            <w:r w:rsidR="00502FFB">
              <w:rPr>
                <w:color w:val="auto"/>
              </w:rPr>
              <w:t>I</w:t>
            </w:r>
            <w:r w:rsidR="008F5901" w:rsidRPr="00E63E43">
              <w:rPr>
                <w:color w:val="auto"/>
              </w:rPr>
              <w:t xml:space="preserve">nformation and </w:t>
            </w:r>
            <w:r w:rsidR="00502FFB">
              <w:rPr>
                <w:color w:val="auto"/>
              </w:rPr>
              <w:t>S</w:t>
            </w:r>
            <w:r w:rsidR="008F5901" w:rsidRPr="00E63E43">
              <w:rPr>
                <w:color w:val="auto"/>
              </w:rPr>
              <w:t xml:space="preserve">tatistics for </w:t>
            </w:r>
            <w:r w:rsidR="00502FFB">
              <w:rPr>
                <w:color w:val="auto"/>
              </w:rPr>
              <w:t>G</w:t>
            </w:r>
            <w:r w:rsidR="008F5901" w:rsidRPr="00E63E43">
              <w:rPr>
                <w:color w:val="auto"/>
              </w:rPr>
              <w:t xml:space="preserve">overnments and the </w:t>
            </w:r>
            <w:r w:rsidR="00502FFB">
              <w:rPr>
                <w:color w:val="auto"/>
              </w:rPr>
              <w:t>C</w:t>
            </w:r>
            <w:r w:rsidR="008F5901" w:rsidRPr="00E63E43">
              <w:rPr>
                <w:color w:val="auto"/>
              </w:rPr>
              <w:t>ommunity</w:t>
            </w:r>
          </w:p>
        </w:tc>
      </w:tr>
      <w:tr w:rsidR="00E63E43" w:rsidRPr="00E63E43" w14:paraId="44E90A9C" w14:textId="77777777" w:rsidTr="000D2B54">
        <w:trPr>
          <w:jc w:val="center"/>
        </w:trPr>
        <w:tc>
          <w:tcPr>
            <w:tcW w:w="5000" w:type="pct"/>
            <w:shd w:val="clear" w:color="auto" w:fill="auto"/>
            <w:tcMar>
              <w:left w:w="85" w:type="dxa"/>
            </w:tcMar>
          </w:tcPr>
          <w:p w14:paraId="0EFE17F0" w14:textId="77777777" w:rsidR="00BC0659" w:rsidRPr="00E63E43" w:rsidRDefault="008F5901" w:rsidP="000D2B54">
            <w:pPr>
              <w:pStyle w:val="Tabletextnormal9pt"/>
              <w:rPr>
                <w:rFonts w:eastAsiaTheme="minorEastAsia"/>
                <w:color w:val="auto"/>
              </w:rPr>
            </w:pPr>
            <w:r w:rsidRPr="00E63E43">
              <w:rPr>
                <w:rFonts w:eastAsiaTheme="minorEastAsia"/>
                <w:color w:val="auto"/>
              </w:rPr>
              <w:t xml:space="preserve">Publish extensive, policy-relevant health and welfare information to assist consumers, healthcare, housing and community service providers, researchers, and all levels of government. Accurate statistical information, comprehensive data development and high quality analyses support an increased understanding of </w:t>
            </w:r>
            <w:r w:rsidR="00777DF2" w:rsidRPr="00E63E43">
              <w:rPr>
                <w:rFonts w:eastAsiaTheme="minorEastAsia"/>
                <w:color w:val="auto"/>
              </w:rPr>
              <w:t>health and welfare issues. This </w:t>
            </w:r>
            <w:r w:rsidRPr="00E63E43">
              <w:rPr>
                <w:rFonts w:eastAsiaTheme="minorEastAsia"/>
                <w:color w:val="auto"/>
              </w:rPr>
              <w:t>creates an evidence base that can drive changes in policy and service delivery</w:t>
            </w:r>
            <w:r w:rsidR="00676070" w:rsidRPr="00E63E43">
              <w:rPr>
                <w:rFonts w:eastAsiaTheme="minorEastAsia"/>
                <w:color w:val="auto"/>
              </w:rPr>
              <w:t>,</w:t>
            </w:r>
            <w:r w:rsidRPr="00E63E43">
              <w:rPr>
                <w:rFonts w:eastAsiaTheme="minorEastAsia"/>
                <w:color w:val="auto"/>
              </w:rPr>
              <w:t xml:space="preserve"> directly impacting the health and welfare of all Australians.</w:t>
            </w:r>
          </w:p>
        </w:tc>
      </w:tr>
      <w:tr w:rsidR="00E63E43" w:rsidRPr="00E63E43" w14:paraId="73F5CE22" w14:textId="77777777" w:rsidTr="000D2B54">
        <w:trPr>
          <w:jc w:val="center"/>
        </w:trPr>
        <w:tc>
          <w:tcPr>
            <w:tcW w:w="5000" w:type="pct"/>
            <w:shd w:val="clear" w:color="auto" w:fill="D9D9D9" w:themeFill="background1" w:themeFillShade="D9"/>
            <w:tcMar>
              <w:left w:w="85" w:type="dxa"/>
            </w:tcMar>
            <w:vAlign w:val="center"/>
          </w:tcPr>
          <w:p w14:paraId="3B48D3E5" w14:textId="1536BF1E" w:rsidR="00275651" w:rsidRPr="00E63E43" w:rsidRDefault="00F57353" w:rsidP="009455C0">
            <w:pPr>
              <w:pStyle w:val="Tableheadingrow9pt"/>
              <w:rPr>
                <w:color w:val="auto"/>
              </w:rPr>
            </w:pPr>
            <w:r>
              <w:rPr>
                <w:color w:val="auto"/>
              </w:rPr>
              <w:t>Key Activities</w:t>
            </w:r>
          </w:p>
        </w:tc>
      </w:tr>
      <w:tr w:rsidR="00F57353" w:rsidRPr="00E63E43" w14:paraId="44B0919B" w14:textId="77777777" w:rsidTr="00F57353">
        <w:trPr>
          <w:jc w:val="center"/>
        </w:trPr>
        <w:tc>
          <w:tcPr>
            <w:tcW w:w="5000" w:type="pct"/>
            <w:shd w:val="clear" w:color="auto" w:fill="auto"/>
            <w:tcMar>
              <w:left w:w="85" w:type="dxa"/>
            </w:tcMar>
            <w:vAlign w:val="center"/>
          </w:tcPr>
          <w:p w14:paraId="015BC591" w14:textId="77777777" w:rsidR="00B71A84" w:rsidRPr="00283479" w:rsidRDefault="00B71A84" w:rsidP="00B71A84">
            <w:pPr>
              <w:pStyle w:val="Tabletextnormal9pt"/>
              <w:rPr>
                <w:color w:val="auto"/>
                <w:lang w:eastAsia="en-US"/>
              </w:rPr>
            </w:pPr>
            <w:r w:rsidRPr="00283479">
              <w:t>Our role is to provide meaningful information and statistics for the benefit of the Australian people by:</w:t>
            </w:r>
          </w:p>
          <w:p w14:paraId="38B6ECCB" w14:textId="77777777" w:rsidR="00B71A84" w:rsidRPr="00283479" w:rsidRDefault="00B71A84" w:rsidP="001322F4">
            <w:pPr>
              <w:pStyle w:val="ListParagraph"/>
              <w:numPr>
                <w:ilvl w:val="0"/>
                <w:numId w:val="9"/>
              </w:numPr>
              <w:spacing w:before="40" w:after="40"/>
              <w:ind w:left="334" w:hanging="284"/>
              <w:rPr>
                <w:rFonts w:ascii="Arial" w:hAnsi="Arial" w:cs="Arial"/>
                <w:sz w:val="18"/>
                <w:szCs w:val="18"/>
                <w:lang w:eastAsia="en-US"/>
              </w:rPr>
            </w:pPr>
            <w:r w:rsidRPr="00283479">
              <w:rPr>
                <w:rFonts w:ascii="Arial" w:hAnsi="Arial" w:cs="Arial"/>
                <w:sz w:val="18"/>
                <w:szCs w:val="18"/>
                <w:lang w:eastAsia="en-US"/>
              </w:rPr>
              <w:t>developing, maintaining and promoting statistical information standards for the health, community services and housing assistance sectors</w:t>
            </w:r>
          </w:p>
          <w:p w14:paraId="5CA70C86" w14:textId="5CB67E60" w:rsidR="00B71A84" w:rsidRPr="00283479" w:rsidRDefault="00B71A84" w:rsidP="001322F4">
            <w:pPr>
              <w:pStyle w:val="ListParagraph"/>
              <w:numPr>
                <w:ilvl w:val="0"/>
                <w:numId w:val="9"/>
              </w:numPr>
              <w:spacing w:before="40" w:after="40"/>
              <w:ind w:left="334" w:hanging="284"/>
              <w:rPr>
                <w:rFonts w:ascii="Arial" w:hAnsi="Arial" w:cs="Arial"/>
                <w:sz w:val="18"/>
                <w:szCs w:val="18"/>
                <w:lang w:eastAsia="en-US"/>
              </w:rPr>
            </w:pPr>
            <w:r w:rsidRPr="00283479">
              <w:rPr>
                <w:rFonts w:ascii="Arial" w:hAnsi="Arial" w:cs="Arial"/>
                <w:sz w:val="18"/>
                <w:szCs w:val="18"/>
                <w:lang w:eastAsia="en-US"/>
              </w:rPr>
              <w:t>collecting and managing data on health and welfare issues, including from state, territory and federal government agencies</w:t>
            </w:r>
          </w:p>
          <w:p w14:paraId="0F9861C0" w14:textId="77777777" w:rsidR="00B71A84" w:rsidRPr="00283479" w:rsidRDefault="00B71A84" w:rsidP="001322F4">
            <w:pPr>
              <w:pStyle w:val="ListParagraph"/>
              <w:numPr>
                <w:ilvl w:val="0"/>
                <w:numId w:val="9"/>
              </w:numPr>
              <w:spacing w:before="40" w:after="40"/>
              <w:ind w:left="334" w:hanging="284"/>
              <w:rPr>
                <w:rFonts w:ascii="Arial" w:hAnsi="Arial" w:cs="Arial"/>
                <w:sz w:val="18"/>
                <w:szCs w:val="18"/>
                <w:lang w:eastAsia="en-US"/>
              </w:rPr>
            </w:pPr>
            <w:r w:rsidRPr="00283479">
              <w:rPr>
                <w:rFonts w:ascii="Arial" w:hAnsi="Arial" w:cs="Arial"/>
                <w:sz w:val="18"/>
                <w:szCs w:val="18"/>
                <w:lang w:eastAsia="en-US"/>
              </w:rPr>
              <w:t>analysing and releasing a range of health and welfare products (data and reports) to key policy areas, to support better policy and service delivery decisions</w:t>
            </w:r>
          </w:p>
          <w:p w14:paraId="63EAB9E5" w14:textId="77777777" w:rsidR="00B71A84" w:rsidRPr="00283479" w:rsidRDefault="00B71A84" w:rsidP="001322F4">
            <w:pPr>
              <w:pStyle w:val="ListParagraph"/>
              <w:numPr>
                <w:ilvl w:val="0"/>
                <w:numId w:val="9"/>
              </w:numPr>
              <w:spacing w:before="40" w:after="40"/>
              <w:ind w:left="334" w:hanging="284"/>
              <w:rPr>
                <w:rFonts w:ascii="Arial" w:hAnsi="Arial" w:cs="Arial"/>
                <w:sz w:val="18"/>
                <w:szCs w:val="18"/>
                <w:lang w:eastAsia="en-US"/>
              </w:rPr>
            </w:pPr>
            <w:r w:rsidRPr="00283479">
              <w:rPr>
                <w:rFonts w:ascii="Arial" w:hAnsi="Arial" w:cs="Arial"/>
                <w:sz w:val="18"/>
                <w:szCs w:val="18"/>
                <w:lang w:eastAsia="en-US"/>
              </w:rPr>
              <w:t>enhancing data resources with the addition of new health and welfare data assets to the AIHW’s data holdings to fill data gaps in the health and welfare sectors</w:t>
            </w:r>
          </w:p>
          <w:p w14:paraId="59704FC1" w14:textId="3CBB4F42" w:rsidR="00F57353" w:rsidRPr="00DC0104" w:rsidRDefault="00B71A84" w:rsidP="001322F4">
            <w:pPr>
              <w:pStyle w:val="ListParagraph"/>
              <w:numPr>
                <w:ilvl w:val="0"/>
                <w:numId w:val="9"/>
              </w:numPr>
              <w:spacing w:before="40" w:after="40"/>
              <w:ind w:left="334" w:hanging="284"/>
              <w:rPr>
                <w:rFonts w:ascii="ArialMT" w:hAnsi="ArialMT" w:cs="ArialMT"/>
                <w:color w:val="000000" w:themeColor="text1"/>
              </w:rPr>
            </w:pPr>
            <w:proofErr w:type="gramStart"/>
            <w:r w:rsidRPr="00283479">
              <w:rPr>
                <w:rFonts w:ascii="Arial" w:hAnsi="Arial" w:cs="Arial"/>
                <w:sz w:val="18"/>
                <w:szCs w:val="18"/>
                <w:lang w:eastAsia="en-US"/>
              </w:rPr>
              <w:t>modernising</w:t>
            </w:r>
            <w:proofErr w:type="gramEnd"/>
            <w:r w:rsidRPr="00283479">
              <w:rPr>
                <w:rFonts w:ascii="Arial" w:hAnsi="Arial" w:cs="Arial"/>
                <w:sz w:val="18"/>
                <w:szCs w:val="18"/>
                <w:lang w:eastAsia="en-US"/>
              </w:rPr>
              <w:t xml:space="preserve"> the presentation and availability of national health and welfare products to meet the needs of diverse audiences such as state, territory and federal government agencies, universities, research centres, and non-government organisations.</w:t>
            </w:r>
          </w:p>
        </w:tc>
      </w:tr>
    </w:tbl>
    <w:p w14:paraId="26FE834F" w14:textId="77777777" w:rsidR="008975AC" w:rsidRDefault="008975AC">
      <w:pPr>
        <w:spacing w:after="160" w:line="259" w:lineRule="auto"/>
        <w:rPr>
          <w:rFonts w:ascii="Arial" w:hAnsi="Arial" w:cs="Arial"/>
          <w:color w:val="auto"/>
        </w:rPr>
      </w:pPr>
      <w:r>
        <w:rPr>
          <w:rFonts w:ascii="Arial" w:hAnsi="Arial" w:cs="Arial"/>
          <w:color w:val="auto"/>
        </w:rPr>
        <w:br w:type="page"/>
      </w:r>
    </w:p>
    <w:tbl>
      <w:tblPr>
        <w:tblStyle w:val="TableGrid"/>
        <w:tblW w:w="5018"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the AIHW (continued)"/>
        <w:tblDescription w:val="This table includes performance measures for Program 1.1, with an expected performance result for 2021-22, and planned performance results for 2022-23 and the forward estimates"/>
      </w:tblPr>
      <w:tblGrid>
        <w:gridCol w:w="2550"/>
        <w:gridCol w:w="2412"/>
        <w:gridCol w:w="2424"/>
      </w:tblGrid>
      <w:tr w:rsidR="00E63E43" w:rsidRPr="00E63E43" w14:paraId="6A4D4B13" w14:textId="77777777" w:rsidTr="006546B3">
        <w:trPr>
          <w:trHeight w:val="104"/>
          <w:jc w:val="center"/>
        </w:trPr>
        <w:tc>
          <w:tcPr>
            <w:tcW w:w="5000" w:type="pct"/>
            <w:gridSpan w:val="3"/>
            <w:shd w:val="clear" w:color="auto" w:fill="D9D9D9" w:themeFill="background1" w:themeFillShade="D9"/>
            <w:tcMar>
              <w:left w:w="85" w:type="dxa"/>
            </w:tcMar>
          </w:tcPr>
          <w:p w14:paraId="4839BE7B" w14:textId="07106C5F" w:rsidR="004A5FB8" w:rsidRPr="00E63E43" w:rsidRDefault="00BC0659" w:rsidP="00B71A84">
            <w:pPr>
              <w:pStyle w:val="Tableheadingrow9pt"/>
              <w:keepNext/>
              <w:keepLines/>
              <w:pageBreakBefore/>
              <w:rPr>
                <w:color w:val="auto"/>
              </w:rPr>
            </w:pPr>
            <w:r w:rsidRPr="00E63E43">
              <w:rPr>
                <w:color w:val="auto"/>
              </w:rPr>
              <w:lastRenderedPageBreak/>
              <w:t xml:space="preserve">Performance </w:t>
            </w:r>
            <w:r w:rsidR="008F5901" w:rsidRPr="00E63E43">
              <w:rPr>
                <w:color w:val="auto"/>
              </w:rPr>
              <w:t>Measure</w:t>
            </w:r>
            <w:r w:rsidR="0003278D" w:rsidRPr="00E63E43">
              <w:rPr>
                <w:color w:val="auto"/>
              </w:rPr>
              <w:t>s</w:t>
            </w:r>
          </w:p>
        </w:tc>
      </w:tr>
      <w:tr w:rsidR="00E63E43" w:rsidRPr="00E63E43" w14:paraId="42D31B1D" w14:textId="77777777" w:rsidTr="006546B3">
        <w:tblPrEx>
          <w:tblCellMar>
            <w:top w:w="0" w:type="dxa"/>
            <w:left w:w="108" w:type="dxa"/>
            <w:bottom w:w="0" w:type="dxa"/>
            <w:right w:w="108" w:type="dxa"/>
          </w:tblCellMar>
        </w:tblPrEx>
        <w:trPr>
          <w:trHeight w:val="283"/>
          <w:jc w:val="center"/>
        </w:trPr>
        <w:tc>
          <w:tcPr>
            <w:tcW w:w="5000" w:type="pct"/>
            <w:gridSpan w:val="3"/>
            <w:shd w:val="clear" w:color="auto" w:fill="D9D9D9" w:themeFill="background1" w:themeFillShade="D9"/>
            <w:tcMar>
              <w:left w:w="85" w:type="dxa"/>
            </w:tcMar>
          </w:tcPr>
          <w:p w14:paraId="3246024D" w14:textId="1058886C" w:rsidR="00F57353" w:rsidRPr="000B4152" w:rsidRDefault="00CC33B9" w:rsidP="009A4B09">
            <w:pPr>
              <w:pStyle w:val="Tableheadingrowmeasures85pt"/>
              <w:rPr>
                <w:b w:val="0"/>
                <w:color w:val="000000" w:themeColor="text1"/>
                <w:sz w:val="18"/>
                <w:szCs w:val="18"/>
                <w:lang w:eastAsia="en-AU"/>
              </w:rPr>
            </w:pPr>
            <w:r w:rsidRPr="000B4152">
              <w:rPr>
                <w:color w:val="000000" w:themeColor="text1"/>
              </w:rPr>
              <w:t>Lead</w:t>
            </w:r>
            <w:r w:rsidR="00A813FF" w:rsidRPr="000B4152">
              <w:rPr>
                <w:color w:val="000000" w:themeColor="text1"/>
              </w:rPr>
              <w:t xml:space="preserve"> the delivery of open and accessible health and welfare data, and provide expert sources of value-added analysis. </w:t>
            </w:r>
          </w:p>
        </w:tc>
      </w:tr>
      <w:tr w:rsidR="00907B28" w:rsidRPr="00E63E43" w14:paraId="53100C3A" w14:textId="77777777" w:rsidTr="006546B3">
        <w:tblPrEx>
          <w:tblCellMar>
            <w:top w:w="0" w:type="dxa"/>
            <w:left w:w="108" w:type="dxa"/>
            <w:bottom w:w="0" w:type="dxa"/>
            <w:right w:w="108" w:type="dxa"/>
          </w:tblCellMar>
        </w:tblPrEx>
        <w:trPr>
          <w:trHeight w:val="283"/>
          <w:jc w:val="center"/>
        </w:trPr>
        <w:tc>
          <w:tcPr>
            <w:tcW w:w="1726" w:type="pct"/>
            <w:tcMar>
              <w:left w:w="85" w:type="dxa"/>
            </w:tcMar>
          </w:tcPr>
          <w:p w14:paraId="37C40AE4" w14:textId="294A0F15" w:rsidR="00907B28" w:rsidRPr="000B4152" w:rsidRDefault="004A5FB8" w:rsidP="00324C57">
            <w:pPr>
              <w:pStyle w:val="Tableheadingrowmeasures85pt"/>
              <w:keepNext/>
            </w:pPr>
            <w:r w:rsidRPr="000B4152">
              <w:t>P</w:t>
            </w:r>
            <w:r w:rsidR="00324C57" w:rsidRPr="000B4152">
              <w:t>rior</w:t>
            </w:r>
            <w:r w:rsidRPr="000B4152">
              <w:t xml:space="preserve"> Year</w:t>
            </w:r>
            <w:r w:rsidRPr="000B4152">
              <w:br/>
              <w:t xml:space="preserve">2021–22 </w:t>
            </w:r>
            <w:r w:rsidR="00964992" w:rsidRPr="000B4152">
              <w:rPr>
                <w:color w:val="auto"/>
              </w:rPr>
              <w:t xml:space="preserve">Expected </w:t>
            </w:r>
            <w:r w:rsidRPr="000B4152">
              <w:t>Performance Results</w:t>
            </w:r>
          </w:p>
        </w:tc>
        <w:tc>
          <w:tcPr>
            <w:tcW w:w="1633" w:type="pct"/>
            <w:shd w:val="clear" w:color="auto" w:fill="auto"/>
            <w:tcMar>
              <w:left w:w="85" w:type="dxa"/>
            </w:tcMar>
          </w:tcPr>
          <w:p w14:paraId="76E2A11F" w14:textId="6339A36A" w:rsidR="00907B28" w:rsidRPr="000B4152" w:rsidRDefault="00DA37D5" w:rsidP="00907B28">
            <w:pPr>
              <w:pStyle w:val="Tableheadingrowmeasures85pt"/>
              <w:keepNext/>
              <w:rPr>
                <w:color w:val="000000" w:themeColor="text1"/>
              </w:rPr>
            </w:pPr>
            <w:r w:rsidRPr="000B4152">
              <w:rPr>
                <w:color w:val="000000" w:themeColor="text1"/>
              </w:rPr>
              <w:t>Budget Year</w:t>
            </w:r>
            <w:r w:rsidRPr="000B4152">
              <w:rPr>
                <w:color w:val="000000" w:themeColor="text1"/>
              </w:rPr>
              <w:br/>
            </w:r>
            <w:r w:rsidR="00907B28" w:rsidRPr="000B4152">
              <w:rPr>
                <w:color w:val="000000" w:themeColor="text1"/>
              </w:rPr>
              <w:t>2022</w:t>
            </w:r>
            <w:r w:rsidR="00CC33B9" w:rsidRPr="000B4152">
              <w:rPr>
                <w:color w:val="000000" w:themeColor="text1"/>
              </w:rPr>
              <w:t>–</w:t>
            </w:r>
            <w:r w:rsidR="00F57353" w:rsidRPr="000B4152">
              <w:rPr>
                <w:color w:val="000000" w:themeColor="text1"/>
              </w:rPr>
              <w:t>23 Planned Performance Results</w:t>
            </w:r>
          </w:p>
        </w:tc>
        <w:tc>
          <w:tcPr>
            <w:tcW w:w="1641" w:type="pct"/>
            <w:shd w:val="clear" w:color="auto" w:fill="auto"/>
            <w:tcMar>
              <w:left w:w="85" w:type="dxa"/>
            </w:tcMar>
          </w:tcPr>
          <w:p w14:paraId="6F4C095C" w14:textId="1D51C764" w:rsidR="00907B28" w:rsidRPr="000B4152" w:rsidRDefault="00DA37D5" w:rsidP="00907B28">
            <w:pPr>
              <w:pStyle w:val="Tableheadingrowmeasures85pt"/>
              <w:keepNext/>
            </w:pPr>
            <w:r w:rsidRPr="000B4152">
              <w:t>Forward Estimates</w:t>
            </w:r>
            <w:r w:rsidRPr="000B4152">
              <w:br/>
            </w:r>
            <w:r w:rsidR="00907B28" w:rsidRPr="000B4152">
              <w:t>2023</w:t>
            </w:r>
            <w:r w:rsidR="00CC33B9" w:rsidRPr="000B4152">
              <w:t>–</w:t>
            </w:r>
            <w:r w:rsidRPr="000B4152">
              <w:t xml:space="preserve">26 </w:t>
            </w:r>
            <w:r w:rsidR="00F57353" w:rsidRPr="000B4152">
              <w:t>Planned Performance Results</w:t>
            </w:r>
          </w:p>
        </w:tc>
      </w:tr>
      <w:tr w:rsidR="00A813FF" w:rsidRPr="00E63E43" w14:paraId="2CBFAC5F" w14:textId="77777777" w:rsidTr="006546B3">
        <w:tblPrEx>
          <w:tblCellMar>
            <w:top w:w="0" w:type="dxa"/>
            <w:left w:w="108" w:type="dxa"/>
            <w:bottom w:w="0" w:type="dxa"/>
            <w:right w:w="108" w:type="dxa"/>
          </w:tblCellMar>
        </w:tblPrEx>
        <w:trPr>
          <w:trHeight w:val="283"/>
          <w:jc w:val="center"/>
        </w:trPr>
        <w:tc>
          <w:tcPr>
            <w:tcW w:w="1726" w:type="pct"/>
            <w:tcMar>
              <w:left w:w="85" w:type="dxa"/>
            </w:tcMar>
          </w:tcPr>
          <w:p w14:paraId="5B7004FF" w14:textId="77777777" w:rsidR="008605A6" w:rsidRPr="000B4152" w:rsidRDefault="008605A6" w:rsidP="008605A6">
            <w:pPr>
              <w:pStyle w:val="Tabletextmeasures85pt"/>
              <w:rPr>
                <w:color w:val="000000" w:themeColor="text1"/>
              </w:rPr>
            </w:pPr>
            <w:r w:rsidRPr="000B4152">
              <w:rPr>
                <w:color w:val="000000" w:themeColor="text1"/>
              </w:rPr>
              <w:t>Published 299 health and welfare data products incorporating expert analysis on the AIHW’s website for public access.</w:t>
            </w:r>
          </w:p>
          <w:p w14:paraId="737C8526" w14:textId="77777777" w:rsidR="008605A6" w:rsidRPr="000B4152" w:rsidRDefault="008605A6" w:rsidP="008605A6">
            <w:pPr>
              <w:pStyle w:val="Tabletextmeasures85pt"/>
              <w:rPr>
                <w:color w:val="000000" w:themeColor="text1"/>
              </w:rPr>
            </w:pPr>
            <w:r w:rsidRPr="000B4152">
              <w:rPr>
                <w:color w:val="000000" w:themeColor="text1"/>
              </w:rPr>
              <w:t>Published 82.8% of annual products incorporating expert analysis on the AIHW’s website within 6 months of receipt of final data.</w:t>
            </w:r>
          </w:p>
          <w:p w14:paraId="0B0CECD5" w14:textId="77777777" w:rsidR="008605A6" w:rsidRPr="000B4152" w:rsidRDefault="008605A6" w:rsidP="008605A6">
            <w:pPr>
              <w:pStyle w:val="Tabletextmeasures85pt"/>
              <w:rPr>
                <w:color w:val="000000" w:themeColor="text1"/>
              </w:rPr>
            </w:pPr>
            <w:r w:rsidRPr="000B4152">
              <w:rPr>
                <w:color w:val="000000" w:themeColor="text1"/>
              </w:rPr>
              <w:t>Enhanced data resources with 5 new or significantly enhanced data collections or linkages to fill in identified information gaps.</w:t>
            </w:r>
          </w:p>
          <w:p w14:paraId="09E65BC2" w14:textId="77777777" w:rsidR="008605A6" w:rsidRPr="000B4152" w:rsidRDefault="008605A6" w:rsidP="008605A6">
            <w:pPr>
              <w:pStyle w:val="Tabletextmeasures85pt"/>
              <w:rPr>
                <w:color w:val="000000" w:themeColor="text1"/>
              </w:rPr>
            </w:pPr>
            <w:r w:rsidRPr="000B4152">
              <w:rPr>
                <w:color w:val="000000" w:themeColor="text1"/>
              </w:rPr>
              <w:t xml:space="preserve">Finalised and presented </w:t>
            </w:r>
            <w:r w:rsidRPr="000B4152">
              <w:rPr>
                <w:i/>
                <w:color w:val="000000" w:themeColor="text1"/>
              </w:rPr>
              <w:t>Australia’s welfare 2021</w:t>
            </w:r>
            <w:r w:rsidRPr="000B4152">
              <w:rPr>
                <w:color w:val="000000" w:themeColor="text1"/>
              </w:rPr>
              <w:t xml:space="preserve"> to the Minister for Health and published it on the AIHW’s website in September 2021. </w:t>
            </w:r>
          </w:p>
          <w:p w14:paraId="655AD3AD" w14:textId="77777777" w:rsidR="008605A6" w:rsidRPr="000B4152" w:rsidRDefault="008605A6" w:rsidP="008605A6">
            <w:pPr>
              <w:pStyle w:val="Tabletextmeasures85pt"/>
              <w:rPr>
                <w:color w:val="000000" w:themeColor="text1"/>
              </w:rPr>
            </w:pPr>
            <w:r w:rsidRPr="000B4152">
              <w:rPr>
                <w:color w:val="000000" w:themeColor="text1"/>
              </w:rPr>
              <w:t xml:space="preserve">Finalised and presented </w:t>
            </w:r>
            <w:r w:rsidRPr="000B4152">
              <w:rPr>
                <w:i/>
                <w:color w:val="000000" w:themeColor="text1"/>
              </w:rPr>
              <w:t>Australia’s health 2022</w:t>
            </w:r>
            <w:r w:rsidRPr="000B4152">
              <w:rPr>
                <w:color w:val="000000" w:themeColor="text1"/>
              </w:rPr>
              <w:t xml:space="preserve"> to the Minister for Health in June 2022.</w:t>
            </w:r>
          </w:p>
          <w:p w14:paraId="68778882" w14:textId="77777777" w:rsidR="008605A6" w:rsidRPr="000B4152" w:rsidRDefault="008605A6" w:rsidP="008605A6">
            <w:pPr>
              <w:pStyle w:val="Tabletextmeasures85pt"/>
              <w:rPr>
                <w:color w:val="000000" w:themeColor="text1"/>
              </w:rPr>
            </w:pPr>
            <w:r w:rsidRPr="000B4152">
              <w:rPr>
                <w:color w:val="000000" w:themeColor="text1"/>
              </w:rPr>
              <w:t>Increased the number of reports that are produced on a quarterly basis by 1, either through new work or increased frequency of reporting existing work. This indicator was partially achieved.</w:t>
            </w:r>
          </w:p>
          <w:p w14:paraId="27E3E326" w14:textId="4CBCDC4F" w:rsidR="00A813FF" w:rsidRPr="000B4152" w:rsidRDefault="008605A6" w:rsidP="008605A6">
            <w:pPr>
              <w:pStyle w:val="Tabletextmeasures85pt"/>
              <w:rPr>
                <w:color w:val="auto"/>
              </w:rPr>
            </w:pPr>
            <w:r w:rsidRPr="000B4152">
              <w:rPr>
                <w:color w:val="000000" w:themeColor="text1"/>
              </w:rPr>
              <w:t>Published 10 reports on the impact of the COVID-19 pandemic on health and welfare on the AIHW website</w:t>
            </w:r>
            <w:r w:rsidRPr="000B4152">
              <w:rPr>
                <w:color w:val="auto"/>
              </w:rPr>
              <w:t>.</w:t>
            </w:r>
          </w:p>
        </w:tc>
        <w:tc>
          <w:tcPr>
            <w:tcW w:w="1633" w:type="pct"/>
            <w:shd w:val="clear" w:color="auto" w:fill="auto"/>
            <w:tcMar>
              <w:left w:w="85" w:type="dxa"/>
            </w:tcMar>
          </w:tcPr>
          <w:p w14:paraId="6C8DEA71" w14:textId="31295D27" w:rsidR="00A813FF" w:rsidRPr="000B4152" w:rsidRDefault="00A813FF" w:rsidP="00A813FF">
            <w:pPr>
              <w:pStyle w:val="Tabletextmeasures85pt"/>
              <w:rPr>
                <w:color w:val="auto"/>
              </w:rPr>
            </w:pPr>
            <w:r w:rsidRPr="000B4152">
              <w:rPr>
                <w:color w:val="auto"/>
              </w:rPr>
              <w:t xml:space="preserve">Publish ≥210 health and welfare data products incorporating </w:t>
            </w:r>
            <w:r w:rsidR="00B868EB" w:rsidRPr="000B4152">
              <w:rPr>
                <w:color w:val="auto"/>
              </w:rPr>
              <w:t xml:space="preserve">AIHW </w:t>
            </w:r>
            <w:r w:rsidRPr="000B4152">
              <w:rPr>
                <w:color w:val="auto"/>
              </w:rPr>
              <w:t xml:space="preserve">expert analysis on the AIHW’s website for public access. </w:t>
            </w:r>
          </w:p>
          <w:p w14:paraId="1B67CF63" w14:textId="77777777" w:rsidR="00A813FF" w:rsidRPr="000B4152" w:rsidRDefault="00A813FF" w:rsidP="00A813FF">
            <w:pPr>
              <w:pStyle w:val="Tabletextmeasures85pt"/>
              <w:rPr>
                <w:color w:val="auto"/>
              </w:rPr>
            </w:pPr>
            <w:r w:rsidRPr="000B4152">
              <w:rPr>
                <w:color w:val="auto"/>
              </w:rPr>
              <w:t>Publish ≥82% of annual products incorporating expert analysis on the AIHW’s website within 6 months of receipt of final data.</w:t>
            </w:r>
          </w:p>
          <w:p w14:paraId="788BD6D0" w14:textId="27CEE3F7" w:rsidR="00A813FF" w:rsidRPr="000B4152" w:rsidRDefault="00F86F97" w:rsidP="00A813FF">
            <w:pPr>
              <w:pStyle w:val="Tabletextmeasures85pt"/>
              <w:rPr>
                <w:color w:val="auto"/>
              </w:rPr>
            </w:pPr>
            <w:r w:rsidRPr="000B4152">
              <w:rPr>
                <w:color w:val="auto"/>
              </w:rPr>
              <w:t>Enhance data resources with </w:t>
            </w:r>
            <w:r w:rsidR="00A813FF" w:rsidRPr="000B4152">
              <w:rPr>
                <w:color w:val="auto"/>
              </w:rPr>
              <w:t>4 new or significantly enhanced data collections or linkages to fill in identified information gaps.</w:t>
            </w:r>
          </w:p>
          <w:p w14:paraId="27BCDF34" w14:textId="33B466F2" w:rsidR="00A813FF" w:rsidRPr="000B4152" w:rsidRDefault="00A813FF" w:rsidP="00A813FF">
            <w:pPr>
              <w:pStyle w:val="Tabletextmeasures85pt"/>
              <w:rPr>
                <w:color w:val="auto"/>
              </w:rPr>
            </w:pPr>
            <w:r w:rsidRPr="000B4152">
              <w:rPr>
                <w:color w:val="000000" w:themeColor="text1"/>
              </w:rPr>
              <w:t xml:space="preserve">Finalise </w:t>
            </w:r>
            <w:r w:rsidRPr="000B4152">
              <w:rPr>
                <w:i/>
                <w:color w:val="000000" w:themeColor="text1"/>
              </w:rPr>
              <w:t>Australia’s welfare 2023</w:t>
            </w:r>
            <w:r w:rsidRPr="000B4152">
              <w:rPr>
                <w:color w:val="000000" w:themeColor="text1"/>
              </w:rPr>
              <w:t xml:space="preserve"> for presenting to the Minister for Health </w:t>
            </w:r>
            <w:r w:rsidR="00B868EB" w:rsidRPr="000B4152">
              <w:rPr>
                <w:color w:val="000000" w:themeColor="text1"/>
              </w:rPr>
              <w:t>and Aged Care in 2</w:t>
            </w:r>
            <w:r w:rsidR="00CC33B9" w:rsidRPr="000B4152">
              <w:rPr>
                <w:color w:val="000000" w:themeColor="text1"/>
              </w:rPr>
              <w:t>023–</w:t>
            </w:r>
            <w:r w:rsidRPr="000B4152">
              <w:rPr>
                <w:color w:val="000000" w:themeColor="text1"/>
              </w:rPr>
              <w:t>24.</w:t>
            </w:r>
          </w:p>
          <w:p w14:paraId="13CB8843" w14:textId="05D2DB72" w:rsidR="00A813FF" w:rsidRPr="000B4152" w:rsidRDefault="00A813FF" w:rsidP="00A813FF">
            <w:pPr>
              <w:pStyle w:val="Tabletextmeasures85pt"/>
              <w:rPr>
                <w:color w:val="auto"/>
              </w:rPr>
            </w:pPr>
            <w:r w:rsidRPr="000B4152">
              <w:rPr>
                <w:color w:val="auto"/>
              </w:rPr>
              <w:t>Increase the number of annual reports produced on a quarterly basis by 2.</w:t>
            </w:r>
          </w:p>
        </w:tc>
        <w:tc>
          <w:tcPr>
            <w:tcW w:w="1641" w:type="pct"/>
            <w:shd w:val="clear" w:color="auto" w:fill="auto"/>
            <w:tcMar>
              <w:left w:w="85" w:type="dxa"/>
            </w:tcMar>
          </w:tcPr>
          <w:p w14:paraId="023738ED" w14:textId="19B79B0E" w:rsidR="00A813FF" w:rsidRPr="000B4152" w:rsidRDefault="00A813FF" w:rsidP="00A813FF">
            <w:pPr>
              <w:pStyle w:val="Tabletextmeasures85pt"/>
              <w:rPr>
                <w:color w:val="000000" w:themeColor="text1"/>
              </w:rPr>
            </w:pPr>
            <w:r w:rsidRPr="000B4152">
              <w:rPr>
                <w:color w:val="000000" w:themeColor="text1"/>
              </w:rPr>
              <w:t xml:space="preserve">Publish ≥210 health and welfare data products incorporating </w:t>
            </w:r>
            <w:r w:rsidR="00B868EB" w:rsidRPr="000B4152">
              <w:rPr>
                <w:color w:val="000000" w:themeColor="text1"/>
              </w:rPr>
              <w:t xml:space="preserve">AIHW </w:t>
            </w:r>
            <w:r w:rsidRPr="000B4152">
              <w:rPr>
                <w:color w:val="000000" w:themeColor="text1"/>
              </w:rPr>
              <w:t xml:space="preserve">expert analysis on the AIHW’s website for public access. </w:t>
            </w:r>
          </w:p>
          <w:p w14:paraId="1B8F939F" w14:textId="77777777" w:rsidR="00A813FF" w:rsidRPr="000B4152" w:rsidRDefault="00A813FF" w:rsidP="00A813FF">
            <w:pPr>
              <w:pStyle w:val="Tabletextmeasures85pt"/>
              <w:rPr>
                <w:color w:val="000000" w:themeColor="text1"/>
              </w:rPr>
            </w:pPr>
            <w:r w:rsidRPr="000B4152">
              <w:rPr>
                <w:color w:val="000000" w:themeColor="text1"/>
              </w:rPr>
              <w:t>Publish ≥85% of annual products incorporating expert analysis on the AIHW’s website within 6 months of receipt of final data.</w:t>
            </w:r>
          </w:p>
          <w:p w14:paraId="6E1F0517" w14:textId="5BDDEB5E" w:rsidR="00A813FF" w:rsidRPr="000B4152" w:rsidRDefault="00F86F97" w:rsidP="00A813FF">
            <w:pPr>
              <w:pStyle w:val="Tabletextmeasures85pt"/>
              <w:rPr>
                <w:color w:val="000000" w:themeColor="text1"/>
              </w:rPr>
            </w:pPr>
            <w:r w:rsidRPr="000B4152">
              <w:rPr>
                <w:color w:val="000000" w:themeColor="text1"/>
              </w:rPr>
              <w:t>Enhance data resources with </w:t>
            </w:r>
            <w:r w:rsidR="00A813FF" w:rsidRPr="000B4152">
              <w:rPr>
                <w:color w:val="000000" w:themeColor="text1"/>
              </w:rPr>
              <w:t>4 new or significantly enhanced data collections or linkages to fill in identified information gaps.</w:t>
            </w:r>
          </w:p>
          <w:p w14:paraId="37133B64" w14:textId="6E668C07" w:rsidR="00A813FF" w:rsidRPr="000B4152" w:rsidRDefault="00A813FF" w:rsidP="00A813FF">
            <w:pPr>
              <w:pStyle w:val="Tabletextmeasures85pt"/>
              <w:rPr>
                <w:color w:val="000000" w:themeColor="text1"/>
              </w:rPr>
            </w:pPr>
            <w:r w:rsidRPr="000B4152">
              <w:rPr>
                <w:color w:val="000000" w:themeColor="text1"/>
              </w:rPr>
              <w:t>Finalise</w:t>
            </w:r>
            <w:r w:rsidR="00956978" w:rsidRPr="000B4152">
              <w:rPr>
                <w:color w:val="000000" w:themeColor="text1"/>
              </w:rPr>
              <w:t xml:space="preserve"> and present</w:t>
            </w:r>
            <w:r w:rsidRPr="000B4152">
              <w:rPr>
                <w:color w:val="000000" w:themeColor="text1"/>
              </w:rPr>
              <w:t xml:space="preserve"> </w:t>
            </w:r>
            <w:r w:rsidRPr="000B4152">
              <w:rPr>
                <w:i/>
                <w:color w:val="000000" w:themeColor="text1"/>
              </w:rPr>
              <w:t>Australia’s welfare 2023</w:t>
            </w:r>
            <w:r w:rsidRPr="000B4152">
              <w:rPr>
                <w:color w:val="000000" w:themeColor="text1"/>
              </w:rPr>
              <w:t xml:space="preserve"> to the Minister for Health </w:t>
            </w:r>
            <w:r w:rsidR="00B868EB" w:rsidRPr="000B4152">
              <w:rPr>
                <w:color w:val="000000" w:themeColor="text1"/>
              </w:rPr>
              <w:t xml:space="preserve">and Aged Care </w:t>
            </w:r>
            <w:r w:rsidRPr="000B4152">
              <w:rPr>
                <w:color w:val="000000" w:themeColor="text1"/>
              </w:rPr>
              <w:t xml:space="preserve">and publish it on the AIHW’s website by December 2023. </w:t>
            </w:r>
          </w:p>
          <w:p w14:paraId="77DA44DD" w14:textId="197FCD46" w:rsidR="00A813FF" w:rsidRPr="000B4152" w:rsidRDefault="00A813FF" w:rsidP="00A813FF">
            <w:pPr>
              <w:pStyle w:val="Tabletextmeasures85pt"/>
              <w:rPr>
                <w:color w:val="000000" w:themeColor="text1"/>
              </w:rPr>
            </w:pPr>
            <w:r w:rsidRPr="000B4152">
              <w:rPr>
                <w:color w:val="000000" w:themeColor="text1"/>
              </w:rPr>
              <w:t xml:space="preserve">Undertake planning and preparation of </w:t>
            </w:r>
            <w:r w:rsidRPr="000B4152">
              <w:rPr>
                <w:i/>
                <w:color w:val="000000" w:themeColor="text1"/>
              </w:rPr>
              <w:t>Australia’s health 202</w:t>
            </w:r>
            <w:r w:rsidR="00C22E90" w:rsidRPr="000B4152">
              <w:rPr>
                <w:i/>
                <w:color w:val="000000" w:themeColor="text1"/>
              </w:rPr>
              <w:t>4</w:t>
            </w:r>
            <w:r w:rsidRPr="000B4152">
              <w:rPr>
                <w:color w:val="000000" w:themeColor="text1"/>
              </w:rPr>
              <w:t xml:space="preserve"> for present</w:t>
            </w:r>
            <w:r w:rsidR="00956978" w:rsidRPr="000B4152">
              <w:rPr>
                <w:color w:val="000000" w:themeColor="text1"/>
              </w:rPr>
              <w:t>ation</w:t>
            </w:r>
            <w:r w:rsidRPr="000B4152">
              <w:rPr>
                <w:color w:val="000000" w:themeColor="text1"/>
              </w:rPr>
              <w:t xml:space="preserve"> to the Minister for Health </w:t>
            </w:r>
            <w:r w:rsidR="00B868EB" w:rsidRPr="000B4152">
              <w:rPr>
                <w:color w:val="000000" w:themeColor="text1"/>
              </w:rPr>
              <w:t xml:space="preserve">and Aged Care </w:t>
            </w:r>
            <w:r w:rsidRPr="000B4152">
              <w:rPr>
                <w:color w:val="000000" w:themeColor="text1"/>
              </w:rPr>
              <w:t>in June 2024.</w:t>
            </w:r>
          </w:p>
          <w:p w14:paraId="4E40F339" w14:textId="07FB955E" w:rsidR="00A813FF" w:rsidRPr="000B4152" w:rsidRDefault="00C22E90" w:rsidP="008975AC">
            <w:pPr>
              <w:pStyle w:val="Tabletextmeasures85pt"/>
              <w:rPr>
                <w:b/>
                <w:color w:val="7030A0"/>
              </w:rPr>
            </w:pPr>
            <w:r w:rsidRPr="000B4152">
              <w:rPr>
                <w:color w:val="000000" w:themeColor="text1"/>
              </w:rPr>
              <w:t>Increase the number of annual reports produced on a quarterly basis by 2.</w:t>
            </w:r>
          </w:p>
        </w:tc>
      </w:tr>
    </w:tbl>
    <w:p w14:paraId="012D5407" w14:textId="77777777" w:rsidR="00E85C72" w:rsidRDefault="00E85C72">
      <w:r>
        <w:rPr>
          <w:b/>
        </w:rPr>
        <w:br w:type="page"/>
      </w:r>
    </w:p>
    <w:tbl>
      <w:tblPr>
        <w:tblStyle w:val="TableGrid"/>
        <w:tblW w:w="5018" w:type="pct"/>
        <w:jc w:val="center"/>
        <w:tblLayout w:type="fixed"/>
        <w:tblLook w:val="04A0" w:firstRow="1" w:lastRow="0" w:firstColumn="1" w:lastColumn="0" w:noHBand="0" w:noVBand="1"/>
        <w:tblCaption w:val="Table 2.1.2: Performance Measures for the AIHW (continued)"/>
        <w:tblDescription w:val="This table includes performance measures for Program 1.1, with an expected performance result for 2021-22, and planned performance results for 2022-23 and the forward estimates"/>
      </w:tblPr>
      <w:tblGrid>
        <w:gridCol w:w="2550"/>
        <w:gridCol w:w="2412"/>
        <w:gridCol w:w="2424"/>
      </w:tblGrid>
      <w:tr w:rsidR="00E63E43" w:rsidRPr="00E63E43" w14:paraId="70732697" w14:textId="77777777" w:rsidTr="006546B3">
        <w:trPr>
          <w:trHeight w:val="70"/>
          <w:jc w:val="center"/>
        </w:trPr>
        <w:tc>
          <w:tcPr>
            <w:tcW w:w="5000" w:type="pct"/>
            <w:gridSpan w:val="3"/>
            <w:shd w:val="clear" w:color="auto" w:fill="D9D9D9" w:themeFill="background1" w:themeFillShade="D9"/>
            <w:tcMar>
              <w:left w:w="85" w:type="dxa"/>
            </w:tcMar>
            <w:vAlign w:val="center"/>
          </w:tcPr>
          <w:p w14:paraId="50448A1C" w14:textId="4270EC7D" w:rsidR="00F57353" w:rsidRPr="000B4152" w:rsidRDefault="00CA2C41" w:rsidP="00F04EB0">
            <w:pPr>
              <w:pStyle w:val="Tableheadingrowmeasures85pt"/>
              <w:keepNext/>
              <w:rPr>
                <w:color w:val="7030A0"/>
              </w:rPr>
            </w:pPr>
            <w:r w:rsidRPr="000B4152">
              <w:rPr>
                <w:color w:val="auto"/>
              </w:rPr>
              <w:lastRenderedPageBreak/>
              <w:t>Collaborate with partners to drive data improvement.</w:t>
            </w:r>
          </w:p>
        </w:tc>
      </w:tr>
      <w:tr w:rsidR="00907B28" w:rsidRPr="00E63E43" w14:paraId="2DD33482" w14:textId="77777777" w:rsidTr="006546B3">
        <w:trPr>
          <w:trHeight w:val="283"/>
          <w:jc w:val="center"/>
        </w:trPr>
        <w:tc>
          <w:tcPr>
            <w:tcW w:w="1726" w:type="pct"/>
            <w:shd w:val="clear" w:color="auto" w:fill="auto"/>
            <w:tcMar>
              <w:left w:w="85" w:type="dxa"/>
            </w:tcMar>
          </w:tcPr>
          <w:p w14:paraId="0C9C6792" w14:textId="136D0D00" w:rsidR="00907B28" w:rsidRPr="000B4152" w:rsidRDefault="004A5FB8" w:rsidP="00324C57">
            <w:pPr>
              <w:pStyle w:val="Tableheadingrowmeasures85pt"/>
              <w:keepNext/>
            </w:pPr>
            <w:r w:rsidRPr="000B4152">
              <w:t>P</w:t>
            </w:r>
            <w:r w:rsidR="00324C57" w:rsidRPr="000B4152">
              <w:t>rior</w:t>
            </w:r>
            <w:r w:rsidRPr="000B4152">
              <w:t xml:space="preserve"> Year</w:t>
            </w:r>
            <w:r w:rsidRPr="000B4152">
              <w:br/>
              <w:t xml:space="preserve">2021–22 </w:t>
            </w:r>
            <w:r w:rsidR="00964992" w:rsidRPr="000B4152">
              <w:rPr>
                <w:color w:val="auto"/>
              </w:rPr>
              <w:t xml:space="preserve">Expected </w:t>
            </w:r>
            <w:r w:rsidRPr="000B4152">
              <w:t>Performance Results</w:t>
            </w:r>
          </w:p>
        </w:tc>
        <w:tc>
          <w:tcPr>
            <w:tcW w:w="1633" w:type="pct"/>
            <w:shd w:val="clear" w:color="auto" w:fill="auto"/>
            <w:tcMar>
              <w:left w:w="85" w:type="dxa"/>
            </w:tcMar>
          </w:tcPr>
          <w:p w14:paraId="673DF120" w14:textId="2943C0D2" w:rsidR="00907B28" w:rsidRPr="000B4152" w:rsidRDefault="00DA37D5" w:rsidP="00F04EB0">
            <w:pPr>
              <w:pStyle w:val="Tableheadingrowmeasures85pt"/>
              <w:keepNext/>
            </w:pPr>
            <w:r w:rsidRPr="000B4152">
              <w:t>Budget Year</w:t>
            </w:r>
            <w:r w:rsidRPr="000B4152">
              <w:br/>
            </w:r>
            <w:r w:rsidR="00907B28" w:rsidRPr="000B4152">
              <w:t>2022</w:t>
            </w:r>
            <w:r w:rsidR="00CC33B9" w:rsidRPr="000B4152">
              <w:t>–</w:t>
            </w:r>
            <w:r w:rsidR="00F57353" w:rsidRPr="000B4152">
              <w:t>23 Planned Performance Results</w:t>
            </w:r>
          </w:p>
        </w:tc>
        <w:tc>
          <w:tcPr>
            <w:tcW w:w="1641" w:type="pct"/>
            <w:shd w:val="clear" w:color="auto" w:fill="auto"/>
            <w:tcMar>
              <w:left w:w="85" w:type="dxa"/>
            </w:tcMar>
          </w:tcPr>
          <w:p w14:paraId="4E585574" w14:textId="55414B0C" w:rsidR="00907B28" w:rsidRPr="000B4152" w:rsidRDefault="00DA37D5" w:rsidP="00F04EB0">
            <w:pPr>
              <w:pStyle w:val="Tableheadingrowmeasures85pt"/>
              <w:keepNext/>
            </w:pPr>
            <w:r w:rsidRPr="000B4152">
              <w:t>Forward Estimates</w:t>
            </w:r>
            <w:r w:rsidRPr="000B4152">
              <w:br/>
            </w:r>
            <w:r w:rsidR="00907B28" w:rsidRPr="000B4152">
              <w:t>2023</w:t>
            </w:r>
            <w:r w:rsidR="00CC33B9" w:rsidRPr="000B4152">
              <w:t>–</w:t>
            </w:r>
            <w:r w:rsidRPr="000B4152">
              <w:t xml:space="preserve">26 </w:t>
            </w:r>
            <w:r w:rsidR="00F57353" w:rsidRPr="000B4152">
              <w:t>Planned Performance Results</w:t>
            </w:r>
          </w:p>
        </w:tc>
      </w:tr>
      <w:tr w:rsidR="00CA2C41" w:rsidRPr="00E63E43" w14:paraId="39E91B06" w14:textId="77777777" w:rsidTr="006546B3">
        <w:trPr>
          <w:trHeight w:val="283"/>
          <w:jc w:val="center"/>
        </w:trPr>
        <w:tc>
          <w:tcPr>
            <w:tcW w:w="1726" w:type="pct"/>
            <w:tcMar>
              <w:left w:w="85" w:type="dxa"/>
            </w:tcMar>
          </w:tcPr>
          <w:p w14:paraId="1A923240" w14:textId="77777777" w:rsidR="00CA2C41" w:rsidRPr="000B4152" w:rsidRDefault="00CA2C41" w:rsidP="00F04EB0">
            <w:pPr>
              <w:pStyle w:val="Tabletextmeasures85pt"/>
              <w:rPr>
                <w:color w:val="000000" w:themeColor="text1"/>
              </w:rPr>
            </w:pPr>
            <w:r w:rsidRPr="000B4152">
              <w:rPr>
                <w:color w:val="000000" w:themeColor="text1"/>
              </w:rPr>
              <w:t>Collaborated with:</w:t>
            </w:r>
          </w:p>
          <w:p w14:paraId="759E7E9D" w14:textId="6E470DEF" w:rsidR="00CA2C41" w:rsidRPr="000B4152" w:rsidRDefault="00CA2C41" w:rsidP="00F04EB0">
            <w:pPr>
              <w:pStyle w:val="Tabletextmeasures85pt"/>
              <w:numPr>
                <w:ilvl w:val="0"/>
                <w:numId w:val="8"/>
              </w:numPr>
              <w:ind w:left="142" w:hanging="142"/>
              <w:rPr>
                <w:color w:val="000000" w:themeColor="text1"/>
              </w:rPr>
            </w:pPr>
            <w:r w:rsidRPr="000B4152">
              <w:rPr>
                <w:color w:val="000000" w:themeColor="text1"/>
              </w:rPr>
              <w:t>the Australian Government and participating jurisdictions to provide technical advice to the investment case using the lessons learned during the pilot phase, and made recommendations for the design of the enduring National Disability Data Asset (NDDA)</w:t>
            </w:r>
          </w:p>
          <w:p w14:paraId="5C6C442B" w14:textId="77777777" w:rsidR="00CA2C41" w:rsidRPr="000B4152" w:rsidRDefault="00CA2C41" w:rsidP="00F04EB0">
            <w:pPr>
              <w:pStyle w:val="Tabletextmeasures85pt"/>
              <w:keepLines/>
              <w:numPr>
                <w:ilvl w:val="0"/>
                <w:numId w:val="8"/>
              </w:numPr>
              <w:ind w:left="142" w:hanging="142"/>
              <w:rPr>
                <w:color w:val="auto"/>
              </w:rPr>
            </w:pPr>
            <w:proofErr w:type="gramStart"/>
            <w:r w:rsidRPr="000B4152">
              <w:rPr>
                <w:color w:val="000000" w:themeColor="text1"/>
              </w:rPr>
              <w:t>stakeholders</w:t>
            </w:r>
            <w:proofErr w:type="gramEnd"/>
            <w:r w:rsidRPr="000B4152">
              <w:rPr>
                <w:color w:val="000000" w:themeColor="text1"/>
              </w:rPr>
              <w:t xml:space="preserve"> to implement data management processes and governance structures for the National Suicide and Self</w:t>
            </w:r>
            <w:r w:rsidRPr="000B4152">
              <w:rPr>
                <w:color w:val="000000" w:themeColor="text1"/>
              </w:rPr>
              <w:noBreakHyphen/>
              <w:t xml:space="preserve">Harm Monitoring project, and </w:t>
            </w:r>
            <w:r w:rsidR="00451A20" w:rsidRPr="000B4152">
              <w:rPr>
                <w:color w:val="000000" w:themeColor="text1"/>
              </w:rPr>
              <w:t xml:space="preserve">on track to </w:t>
            </w:r>
            <w:r w:rsidRPr="000B4152">
              <w:rPr>
                <w:color w:val="000000" w:themeColor="text1"/>
              </w:rPr>
              <w:t xml:space="preserve">update data published on the AIHW website </w:t>
            </w:r>
            <w:r w:rsidRPr="000B4152">
              <w:rPr>
                <w:color w:val="auto"/>
              </w:rPr>
              <w:t xml:space="preserve">by 30 June 2022. </w:t>
            </w:r>
          </w:p>
          <w:p w14:paraId="40801EA1" w14:textId="77777777" w:rsidR="00CA2C41" w:rsidRPr="000B4152" w:rsidRDefault="00CA2C41" w:rsidP="00F04EB0">
            <w:pPr>
              <w:pStyle w:val="Tabletextmeasures85pt"/>
              <w:rPr>
                <w:bCs/>
                <w:color w:val="auto"/>
              </w:rPr>
            </w:pPr>
            <w:r w:rsidRPr="000B4152">
              <w:rPr>
                <w:bCs/>
                <w:color w:val="000000" w:themeColor="text1"/>
              </w:rPr>
              <w:t xml:space="preserve">Provided expert data analysis to the National Commissioner for Defence and Veteran Suicide Prevention and supplied the final report to the Office of the National Commissioner for Defence and Veteran Suicide Prevention by </w:t>
            </w:r>
            <w:r w:rsidRPr="000B4152">
              <w:rPr>
                <w:color w:val="000000" w:themeColor="text1"/>
              </w:rPr>
              <w:t>31 August</w:t>
            </w:r>
            <w:r w:rsidRPr="000B4152">
              <w:rPr>
                <w:bCs/>
                <w:color w:val="000000" w:themeColor="text1"/>
              </w:rPr>
              <w:t xml:space="preserve"> 2021.</w:t>
            </w:r>
          </w:p>
        </w:tc>
        <w:tc>
          <w:tcPr>
            <w:tcW w:w="1633" w:type="pct"/>
            <w:shd w:val="clear" w:color="auto" w:fill="auto"/>
            <w:tcMar>
              <w:left w:w="85" w:type="dxa"/>
            </w:tcMar>
          </w:tcPr>
          <w:p w14:paraId="7ED26A0F" w14:textId="77777777" w:rsidR="00283E29" w:rsidRPr="000B4152" w:rsidRDefault="00283E29" w:rsidP="00283E29">
            <w:pPr>
              <w:pStyle w:val="Tabletextmeasures85pt"/>
              <w:rPr>
                <w:color w:val="000000" w:themeColor="text1"/>
              </w:rPr>
            </w:pPr>
            <w:r w:rsidRPr="000B4152">
              <w:rPr>
                <w:color w:val="000000" w:themeColor="text1"/>
              </w:rPr>
              <w:t>Collaborate with:</w:t>
            </w:r>
          </w:p>
          <w:p w14:paraId="693BC15A" w14:textId="77777777" w:rsidR="00283E29" w:rsidRPr="000B4152" w:rsidRDefault="00283E29" w:rsidP="00283E29">
            <w:pPr>
              <w:pStyle w:val="Tabletextmeasures85pt"/>
              <w:numPr>
                <w:ilvl w:val="0"/>
                <w:numId w:val="13"/>
              </w:numPr>
              <w:ind w:left="142" w:hanging="142"/>
              <w:rPr>
                <w:bCs/>
                <w:color w:val="auto"/>
              </w:rPr>
            </w:pPr>
            <w:r w:rsidRPr="000B4152">
              <w:rPr>
                <w:color w:val="auto"/>
              </w:rPr>
              <w:t>the Australian Bureau of Statistics, the Department of Social Services and participating jurisdictions to co-design, test, and establish new national data integration infrastructure for the National Disability Data Asset (NDDA)</w:t>
            </w:r>
          </w:p>
          <w:p w14:paraId="347575EF" w14:textId="77777777" w:rsidR="00283E29" w:rsidRPr="000B4152" w:rsidRDefault="00283E29" w:rsidP="00283E29">
            <w:pPr>
              <w:pStyle w:val="Tabletextmeasures85pt"/>
              <w:numPr>
                <w:ilvl w:val="0"/>
                <w:numId w:val="13"/>
              </w:numPr>
              <w:ind w:left="142" w:hanging="142"/>
              <w:rPr>
                <w:bCs/>
                <w:color w:val="auto"/>
              </w:rPr>
            </w:pPr>
            <w:r w:rsidRPr="000B4152">
              <w:rPr>
                <w:color w:val="auto"/>
              </w:rPr>
              <w:t xml:space="preserve">stakeholders to implement continuous improvement of the National Suicide and Self-Harm Monitoring project and publish updated data quarterly </w:t>
            </w:r>
          </w:p>
          <w:p w14:paraId="47BA5189" w14:textId="10155A54" w:rsidR="00CA2C41" w:rsidRPr="000B4152" w:rsidRDefault="00283E29" w:rsidP="006978A1">
            <w:pPr>
              <w:pStyle w:val="Tabletextmeasures85pt"/>
              <w:numPr>
                <w:ilvl w:val="0"/>
                <w:numId w:val="13"/>
              </w:numPr>
              <w:ind w:left="142" w:hanging="142"/>
              <w:rPr>
                <w:bCs/>
                <w:color w:val="000000" w:themeColor="text1"/>
              </w:rPr>
            </w:pPr>
            <w:proofErr w:type="gramStart"/>
            <w:r w:rsidRPr="000B4152">
              <w:rPr>
                <w:color w:val="auto"/>
              </w:rPr>
              <w:t>the</w:t>
            </w:r>
            <w:proofErr w:type="gramEnd"/>
            <w:r w:rsidRPr="000B4152">
              <w:rPr>
                <w:color w:val="auto"/>
              </w:rPr>
              <w:t xml:space="preserve"> Defence and Veteran Suicides Royal Commission to confirm data analysis scope, timing, deliverables and funding, and produce reports in advance of the Royal Commission interim report (due by 11 Aug</w:t>
            </w:r>
            <w:r w:rsidR="00C7013A">
              <w:rPr>
                <w:color w:val="auto"/>
              </w:rPr>
              <w:t>ust 2022) and final report (due </w:t>
            </w:r>
            <w:r w:rsidRPr="000B4152">
              <w:rPr>
                <w:color w:val="auto"/>
              </w:rPr>
              <w:t>no later than</w:t>
            </w:r>
            <w:r w:rsidR="006978A1">
              <w:rPr>
                <w:color w:val="auto"/>
              </w:rPr>
              <w:br/>
            </w:r>
            <w:r w:rsidRPr="000B4152">
              <w:rPr>
                <w:color w:val="auto"/>
              </w:rPr>
              <w:t>17 June 2024).</w:t>
            </w:r>
          </w:p>
        </w:tc>
        <w:tc>
          <w:tcPr>
            <w:tcW w:w="1641" w:type="pct"/>
            <w:shd w:val="clear" w:color="auto" w:fill="auto"/>
            <w:tcMar>
              <w:left w:w="85" w:type="dxa"/>
            </w:tcMar>
          </w:tcPr>
          <w:p w14:paraId="1545708E" w14:textId="77777777" w:rsidR="00283E29" w:rsidRPr="000B4152" w:rsidRDefault="00283E29" w:rsidP="00283E29">
            <w:pPr>
              <w:pStyle w:val="Tabletextmeasures85pt"/>
              <w:rPr>
                <w:color w:val="000000" w:themeColor="text1"/>
              </w:rPr>
            </w:pPr>
            <w:r w:rsidRPr="000B4152">
              <w:rPr>
                <w:color w:val="000000" w:themeColor="text1"/>
              </w:rPr>
              <w:t>Collaborate with:</w:t>
            </w:r>
          </w:p>
          <w:p w14:paraId="23FBBFAB" w14:textId="77777777" w:rsidR="00283E29" w:rsidRPr="000B4152" w:rsidRDefault="00283E29" w:rsidP="00283E29">
            <w:pPr>
              <w:pStyle w:val="Tabletextmeasures85pt"/>
              <w:numPr>
                <w:ilvl w:val="0"/>
                <w:numId w:val="14"/>
              </w:numPr>
              <w:ind w:left="142" w:hanging="142"/>
              <w:rPr>
                <w:bCs/>
                <w:color w:val="auto"/>
              </w:rPr>
            </w:pPr>
            <w:r w:rsidRPr="000B4152">
              <w:rPr>
                <w:color w:val="000000" w:themeColor="text1"/>
              </w:rPr>
              <w:t>the Australian Bureau of Statistics, the Department of Social Services and participating jurisdictions to co-design</w:t>
            </w:r>
            <w:r w:rsidRPr="000B4152">
              <w:rPr>
                <w:color w:val="auto"/>
              </w:rPr>
              <w:t>, test, and establish new national data integration infrastructure for the National Disability Data Asset (NDDA</w:t>
            </w:r>
          </w:p>
          <w:p w14:paraId="51D6D653" w14:textId="37661BBE" w:rsidR="00940423" w:rsidRPr="000B4152" w:rsidRDefault="00283E29" w:rsidP="00283E29">
            <w:pPr>
              <w:pStyle w:val="Tabletextmeasures85pt"/>
              <w:numPr>
                <w:ilvl w:val="0"/>
                <w:numId w:val="14"/>
              </w:numPr>
              <w:ind w:left="142" w:hanging="142"/>
              <w:rPr>
                <w:b/>
                <w:color w:val="auto"/>
              </w:rPr>
            </w:pPr>
            <w:proofErr w:type="gramStart"/>
            <w:r w:rsidRPr="000B4152">
              <w:rPr>
                <w:color w:val="auto"/>
              </w:rPr>
              <w:t>stakeholders</w:t>
            </w:r>
            <w:proofErr w:type="gramEnd"/>
            <w:r w:rsidRPr="000B4152">
              <w:rPr>
                <w:color w:val="auto"/>
              </w:rPr>
              <w:t xml:space="preserve"> to </w:t>
            </w:r>
            <w:r w:rsidRPr="000B4152">
              <w:rPr>
                <w:color w:val="000000" w:themeColor="text1"/>
              </w:rPr>
              <w:t>implement continuous improvement of the National Suicide and Self-Harm Monitoring project and publish updated data quarterly</w:t>
            </w:r>
            <w:r w:rsidRPr="000B4152">
              <w:rPr>
                <w:bCs/>
                <w:color w:val="000000" w:themeColor="text1"/>
              </w:rPr>
              <w:t>.</w:t>
            </w:r>
          </w:p>
        </w:tc>
      </w:tr>
      <w:tr w:rsidR="00E63E43" w:rsidRPr="00E63E43" w14:paraId="5E114563" w14:textId="77777777" w:rsidTr="006546B3">
        <w:trPr>
          <w:trHeight w:val="283"/>
          <w:jc w:val="center"/>
        </w:trPr>
        <w:tc>
          <w:tcPr>
            <w:tcW w:w="5000" w:type="pct"/>
            <w:gridSpan w:val="3"/>
            <w:shd w:val="clear" w:color="auto" w:fill="FFFFFF" w:themeFill="background1"/>
            <w:tcMar>
              <w:left w:w="85" w:type="dxa"/>
            </w:tcMar>
            <w:vAlign w:val="center"/>
          </w:tcPr>
          <w:p w14:paraId="3EBE8C19" w14:textId="77777777" w:rsidR="00BC0659" w:rsidRPr="00E63E43" w:rsidRDefault="00BC0659" w:rsidP="001957A1">
            <w:pPr>
              <w:pStyle w:val="Tableheadingrow9pt"/>
              <w:rPr>
                <w:color w:val="auto"/>
              </w:rPr>
            </w:pPr>
            <w:r w:rsidRPr="00E63E43">
              <w:rPr>
                <w:color w:val="auto"/>
              </w:rPr>
              <w:t>Material changes to Program 1.1 resulting from the following measures:</w:t>
            </w:r>
          </w:p>
          <w:p w14:paraId="0C20B6CB" w14:textId="77777777" w:rsidR="00BC0659" w:rsidRPr="00E63E43" w:rsidRDefault="00803FD8" w:rsidP="00803FD8">
            <w:pPr>
              <w:pStyle w:val="Tableheadingrow9pt"/>
              <w:rPr>
                <w:b w:val="0"/>
                <w:color w:val="auto"/>
                <w:sz w:val="17"/>
                <w:szCs w:val="17"/>
              </w:rPr>
            </w:pPr>
            <w:r w:rsidRPr="00473719">
              <w:rPr>
                <w:b w:val="0"/>
                <w:sz w:val="17"/>
                <w:szCs w:val="17"/>
              </w:rPr>
              <w:t>There are no material changes to Program 1.1 resulting from measures.</w:t>
            </w:r>
          </w:p>
        </w:tc>
      </w:tr>
    </w:tbl>
    <w:p w14:paraId="579FD748" w14:textId="77777777" w:rsidR="00BC0659" w:rsidRPr="00E63E43" w:rsidRDefault="00BC0659" w:rsidP="00913388">
      <w:pPr>
        <w:rPr>
          <w:rFonts w:ascii="Arial" w:hAnsi="Arial" w:cs="Arial"/>
          <w:color w:val="auto"/>
        </w:rPr>
        <w:sectPr w:rsidR="00BC0659" w:rsidRPr="00E63E43" w:rsidSect="00357948">
          <w:headerReference w:type="even" r:id="rId21"/>
          <w:headerReference w:type="default" r:id="rId22"/>
          <w:headerReference w:type="first" r:id="rId23"/>
          <w:pgSz w:w="11906" w:h="16838"/>
          <w:pgMar w:top="2466" w:right="2268" w:bottom="2126" w:left="2268" w:header="1899" w:footer="1899" w:gutter="0"/>
          <w:cols w:space="708"/>
          <w:docGrid w:linePitch="360"/>
        </w:sectPr>
      </w:pPr>
    </w:p>
    <w:p w14:paraId="2A12C9B6" w14:textId="1CC99025" w:rsidR="00BC0659" w:rsidRPr="00E63E43" w:rsidRDefault="00BC0659" w:rsidP="00FB014E">
      <w:pPr>
        <w:pStyle w:val="Heading2"/>
      </w:pPr>
      <w:bookmarkStart w:id="6" w:name="_Toc190682315"/>
      <w:bookmarkStart w:id="7" w:name="_Toc190682532"/>
      <w:bookmarkStart w:id="8" w:name="_Toc117406697"/>
      <w:r w:rsidRPr="00E63E43">
        <w:lastRenderedPageBreak/>
        <w:t xml:space="preserve">Section 3: Budgeted </w:t>
      </w:r>
      <w:r w:rsidR="00324C57">
        <w:t>f</w:t>
      </w:r>
      <w:r w:rsidRPr="00E63E43">
        <w:t xml:space="preserve">inancial </w:t>
      </w:r>
      <w:r w:rsidR="00324C57">
        <w:t>s</w:t>
      </w:r>
      <w:r w:rsidRPr="00E63E43">
        <w:t>tatements</w:t>
      </w:r>
      <w:bookmarkEnd w:id="6"/>
      <w:bookmarkEnd w:id="7"/>
      <w:bookmarkEnd w:id="8"/>
    </w:p>
    <w:p w14:paraId="2DD11BD1" w14:textId="03D95EEE" w:rsidR="00BC0659" w:rsidRPr="00E63E43" w:rsidRDefault="00BC0659" w:rsidP="00BC0659">
      <w:pPr>
        <w:rPr>
          <w:color w:val="auto"/>
        </w:rPr>
      </w:pPr>
      <w:r w:rsidRPr="00E63E43">
        <w:rPr>
          <w:color w:val="auto"/>
        </w:rPr>
        <w:t>Section 3 presents budgeted financial statements which provide a comprehensive snapshot of entity finances for the 202</w:t>
      </w:r>
      <w:r w:rsidR="004D71D0">
        <w:rPr>
          <w:color w:val="auto"/>
        </w:rPr>
        <w:t>2</w:t>
      </w:r>
      <w:r w:rsidR="00CC33B9">
        <w:rPr>
          <w:color w:val="auto"/>
        </w:rPr>
        <w:t>–</w:t>
      </w:r>
      <w:r w:rsidRPr="00E63E43">
        <w:rPr>
          <w:color w:val="auto"/>
        </w:rPr>
        <w:t>2</w:t>
      </w:r>
      <w:r w:rsidR="004D71D0">
        <w:rPr>
          <w:color w:val="auto"/>
        </w:rPr>
        <w:t>3</w:t>
      </w:r>
      <w:r w:rsidRPr="00E63E43">
        <w:rPr>
          <w:color w:val="auto"/>
        </w:rPr>
        <w:t xml:space="preserve"> Budget year, including the impact of Budget measures and resourcing on financial statements.</w:t>
      </w:r>
    </w:p>
    <w:p w14:paraId="4A24EC74" w14:textId="58B72A74" w:rsidR="00BC0659" w:rsidRPr="00E63E43" w:rsidRDefault="00BC0659" w:rsidP="00183C35">
      <w:pPr>
        <w:pStyle w:val="Heading3"/>
      </w:pPr>
      <w:bookmarkStart w:id="9" w:name="_Toc117406698"/>
      <w:r w:rsidRPr="00E63E43">
        <w:t>3.1</w:t>
      </w:r>
      <w:r w:rsidRPr="00E63E43">
        <w:tab/>
        <w:t xml:space="preserve">Budgeted </w:t>
      </w:r>
      <w:r w:rsidR="00324C57">
        <w:t>f</w:t>
      </w:r>
      <w:r w:rsidRPr="00E63E43">
        <w:t xml:space="preserve">inancial </w:t>
      </w:r>
      <w:r w:rsidR="00324C57">
        <w:t>s</w:t>
      </w:r>
      <w:r w:rsidRPr="00E63E43">
        <w:t>tatements</w:t>
      </w:r>
      <w:bookmarkEnd w:id="9"/>
    </w:p>
    <w:p w14:paraId="058FFB95" w14:textId="4E379F6C" w:rsidR="00BC0659" w:rsidRPr="00E63E43" w:rsidRDefault="00BC0659" w:rsidP="00BC0659">
      <w:pPr>
        <w:pStyle w:val="Heading4"/>
        <w:rPr>
          <w:color w:val="auto"/>
        </w:rPr>
      </w:pPr>
      <w:r w:rsidRPr="00E63E43">
        <w:rPr>
          <w:color w:val="auto"/>
        </w:rPr>
        <w:t>3.1.1</w:t>
      </w:r>
      <w:r w:rsidRPr="00E63E43">
        <w:rPr>
          <w:color w:val="auto"/>
        </w:rPr>
        <w:tab/>
        <w:t xml:space="preserve">Differences between </w:t>
      </w:r>
      <w:r w:rsidR="00303F59">
        <w:rPr>
          <w:color w:val="auto"/>
        </w:rPr>
        <w:t>e</w:t>
      </w:r>
      <w:r w:rsidRPr="00E63E43">
        <w:rPr>
          <w:color w:val="auto"/>
        </w:rPr>
        <w:t xml:space="preserve">ntity </w:t>
      </w:r>
      <w:r w:rsidR="00303F59">
        <w:rPr>
          <w:color w:val="auto"/>
        </w:rPr>
        <w:t>r</w:t>
      </w:r>
      <w:r w:rsidRPr="00E63E43">
        <w:rPr>
          <w:color w:val="auto"/>
        </w:rPr>
        <w:t xml:space="preserve">esourcing and </w:t>
      </w:r>
      <w:r w:rsidR="00303F59">
        <w:rPr>
          <w:color w:val="auto"/>
        </w:rPr>
        <w:t>f</w:t>
      </w:r>
      <w:r w:rsidRPr="00E63E43">
        <w:rPr>
          <w:color w:val="auto"/>
        </w:rPr>
        <w:t xml:space="preserve">inancial </w:t>
      </w:r>
      <w:r w:rsidR="00303F59">
        <w:rPr>
          <w:color w:val="auto"/>
        </w:rPr>
        <w:t>s</w:t>
      </w:r>
      <w:r w:rsidRPr="00E63E43">
        <w:rPr>
          <w:color w:val="auto"/>
        </w:rPr>
        <w:t>tatements</w:t>
      </w:r>
    </w:p>
    <w:p w14:paraId="4657A15A" w14:textId="77777777" w:rsidR="005A3797" w:rsidRDefault="005A3797" w:rsidP="005A3797">
      <w:r>
        <w:t>This section is not applicable to the AIHW.</w:t>
      </w:r>
    </w:p>
    <w:p w14:paraId="166B6AB4" w14:textId="3490B056" w:rsidR="00BC0659" w:rsidRPr="00E63E43" w:rsidRDefault="00BC0659" w:rsidP="00BC0659">
      <w:pPr>
        <w:pStyle w:val="Heading4"/>
        <w:rPr>
          <w:color w:val="auto"/>
        </w:rPr>
      </w:pPr>
      <w:r w:rsidRPr="00E63E43">
        <w:rPr>
          <w:color w:val="auto"/>
        </w:rPr>
        <w:t>3.1.2</w:t>
      </w:r>
      <w:r w:rsidRPr="00E63E43">
        <w:rPr>
          <w:color w:val="auto"/>
        </w:rPr>
        <w:tab/>
        <w:t xml:space="preserve">Explanatory </w:t>
      </w:r>
      <w:r w:rsidR="00303F59">
        <w:rPr>
          <w:color w:val="auto"/>
        </w:rPr>
        <w:t>n</w:t>
      </w:r>
      <w:r w:rsidRPr="00E63E43">
        <w:rPr>
          <w:color w:val="auto"/>
        </w:rPr>
        <w:t xml:space="preserve">otes and </w:t>
      </w:r>
      <w:r w:rsidR="00303F59">
        <w:rPr>
          <w:color w:val="auto"/>
        </w:rPr>
        <w:t>a</w:t>
      </w:r>
      <w:r w:rsidRPr="00E63E43">
        <w:rPr>
          <w:color w:val="auto"/>
        </w:rPr>
        <w:t xml:space="preserve">nalysis of </w:t>
      </w:r>
      <w:r w:rsidR="00303F59">
        <w:rPr>
          <w:color w:val="auto"/>
        </w:rPr>
        <w:t>b</w:t>
      </w:r>
      <w:r w:rsidRPr="00E63E43">
        <w:rPr>
          <w:color w:val="auto"/>
        </w:rPr>
        <w:t xml:space="preserve">udgeted </w:t>
      </w:r>
      <w:r w:rsidR="00303F59">
        <w:rPr>
          <w:color w:val="auto"/>
        </w:rPr>
        <w:t>f</w:t>
      </w:r>
      <w:r w:rsidRPr="00E63E43">
        <w:rPr>
          <w:color w:val="auto"/>
        </w:rPr>
        <w:t xml:space="preserve">inancial </w:t>
      </w:r>
      <w:r w:rsidR="00303F59">
        <w:rPr>
          <w:color w:val="auto"/>
        </w:rPr>
        <w:t>s</w:t>
      </w:r>
      <w:r w:rsidRPr="00E63E43">
        <w:rPr>
          <w:color w:val="auto"/>
        </w:rPr>
        <w:t>tatements</w:t>
      </w:r>
    </w:p>
    <w:p w14:paraId="4F52504B" w14:textId="29D3D773" w:rsidR="00EF2600" w:rsidRDefault="00EF2600" w:rsidP="006D6738">
      <w:pPr>
        <w:pStyle w:val="Heading4"/>
      </w:pPr>
      <w:r>
        <w:t xml:space="preserve">Departmental </w:t>
      </w:r>
      <w:r w:rsidR="00303F59">
        <w:t>r</w:t>
      </w:r>
      <w:r>
        <w:t>esources</w:t>
      </w:r>
    </w:p>
    <w:p w14:paraId="157EF678" w14:textId="77777777" w:rsidR="005A3797" w:rsidRPr="00A072C5" w:rsidRDefault="005A3797" w:rsidP="00362D9C">
      <w:pPr>
        <w:pStyle w:val="Heading6"/>
        <w:spacing w:after="120"/>
        <w:rPr>
          <w:rFonts w:ascii="Arial" w:eastAsia="Times New Roman" w:hAnsi="Arial" w:cs="Arial"/>
          <w:b/>
          <w:color w:val="auto"/>
          <w:sz w:val="18"/>
          <w:szCs w:val="18"/>
        </w:rPr>
      </w:pPr>
      <w:r w:rsidRPr="00A072C5">
        <w:rPr>
          <w:rFonts w:ascii="Arial" w:eastAsia="Times New Roman" w:hAnsi="Arial" w:cs="Arial"/>
          <w:b/>
          <w:color w:val="auto"/>
          <w:sz w:val="18"/>
          <w:szCs w:val="18"/>
        </w:rPr>
        <w:t>Comprehensive Income Statement</w:t>
      </w:r>
    </w:p>
    <w:p w14:paraId="5EBEF3B0" w14:textId="21F7774C" w:rsidR="00362D9C" w:rsidRPr="00362D9C" w:rsidRDefault="00362D9C" w:rsidP="00362D9C">
      <w:r w:rsidRPr="00362D9C">
        <w:t>Appropriation revenue from Government will be $0.6 million lower in 2022</w:t>
      </w:r>
      <w:r>
        <w:t>–</w:t>
      </w:r>
      <w:r w:rsidR="00C7013A">
        <w:t>23 than in </w:t>
      </w:r>
      <w:r w:rsidRPr="00362D9C">
        <w:t>2021–22.</w:t>
      </w:r>
    </w:p>
    <w:p w14:paraId="7808835F" w14:textId="37FB3803" w:rsidR="00362D9C" w:rsidRPr="00362D9C" w:rsidRDefault="00362D9C" w:rsidP="00362D9C">
      <w:pPr>
        <w:rPr>
          <w:color w:val="auto"/>
        </w:rPr>
      </w:pPr>
      <w:r w:rsidRPr="00362D9C">
        <w:rPr>
          <w:color w:val="auto"/>
        </w:rPr>
        <w:t>The AIHW has received approval to budget for deficits of $2.8 million in 2022–23 and $0.7 million in 2023–24 prior to accounting adjustments required for office leases under AASB</w:t>
      </w:r>
      <w:r w:rsidR="00C7013A">
        <w:rPr>
          <w:color w:val="auto"/>
        </w:rPr>
        <w:t xml:space="preserve"> </w:t>
      </w:r>
      <w:r w:rsidRPr="00362D9C">
        <w:rPr>
          <w:color w:val="auto"/>
        </w:rPr>
        <w:t xml:space="preserve">16. These deficits will mainly be used to invest in improved ICT and data security. </w:t>
      </w:r>
    </w:p>
    <w:p w14:paraId="3277713A" w14:textId="77777777" w:rsidR="005A3797" w:rsidRPr="00A072C5" w:rsidRDefault="005A3797" w:rsidP="00362D9C">
      <w:pPr>
        <w:pStyle w:val="Heading6"/>
        <w:spacing w:after="120"/>
        <w:rPr>
          <w:rFonts w:ascii="Arial" w:eastAsia="Times New Roman" w:hAnsi="Arial" w:cs="Arial"/>
          <w:b/>
          <w:color w:val="auto"/>
          <w:sz w:val="18"/>
          <w:szCs w:val="18"/>
        </w:rPr>
      </w:pPr>
      <w:r w:rsidRPr="00A072C5">
        <w:rPr>
          <w:rFonts w:ascii="Arial" w:eastAsia="Times New Roman" w:hAnsi="Arial" w:cs="Arial"/>
          <w:b/>
          <w:color w:val="auto"/>
          <w:sz w:val="18"/>
          <w:szCs w:val="18"/>
        </w:rPr>
        <w:t>Balance Sheet</w:t>
      </w:r>
    </w:p>
    <w:p w14:paraId="3384E123" w14:textId="77777777" w:rsidR="00362D9C" w:rsidRDefault="00362D9C" w:rsidP="00362D9C">
      <w:r>
        <w:t xml:space="preserve">The </w:t>
      </w:r>
      <w:r w:rsidRPr="00362D9C">
        <w:rPr>
          <w:color w:val="auto"/>
        </w:rPr>
        <w:t>AIHW’s</w:t>
      </w:r>
      <w:r>
        <w:t xml:space="preserve"> cash and equity will reduce in order to fund the budgeted deficits, but both will remain at adequate levels. </w:t>
      </w:r>
    </w:p>
    <w:p w14:paraId="5AAF0132" w14:textId="65774F20" w:rsidR="00B3300D" w:rsidRPr="00EF2600" w:rsidRDefault="00B3300D" w:rsidP="00B3300D">
      <w:r w:rsidRPr="00E63E43">
        <w:rPr>
          <w:color w:val="auto"/>
        </w:rPr>
        <w:br w:type="page"/>
      </w:r>
    </w:p>
    <w:p w14:paraId="06CDD1C8" w14:textId="2BCC0447" w:rsidR="00BC0659" w:rsidRPr="00E63E43" w:rsidRDefault="00BC0659" w:rsidP="00183C35">
      <w:pPr>
        <w:pStyle w:val="Heading3"/>
      </w:pPr>
      <w:bookmarkStart w:id="10" w:name="_Toc117406699"/>
      <w:r w:rsidRPr="00E63E43">
        <w:lastRenderedPageBreak/>
        <w:t>3.2</w:t>
      </w:r>
      <w:r w:rsidRPr="00E63E43">
        <w:tab/>
        <w:t xml:space="preserve">Budgeted </w:t>
      </w:r>
      <w:r w:rsidR="00A227A3">
        <w:t>f</w:t>
      </w:r>
      <w:r w:rsidRPr="00E63E43">
        <w:t xml:space="preserve">inancial </w:t>
      </w:r>
      <w:r w:rsidR="00A227A3">
        <w:t>s</w:t>
      </w:r>
      <w:r w:rsidRPr="00E63E43">
        <w:t xml:space="preserve">tatements </w:t>
      </w:r>
      <w:r w:rsidR="00A227A3">
        <w:t>t</w:t>
      </w:r>
      <w:r w:rsidRPr="00E63E43">
        <w:t>ables</w:t>
      </w:r>
      <w:bookmarkEnd w:id="10"/>
    </w:p>
    <w:p w14:paraId="6C7DE00B" w14:textId="50A07FE0" w:rsidR="00C95982" w:rsidRDefault="00C95982" w:rsidP="006D6738">
      <w:pPr>
        <w:keepNext/>
        <w:spacing w:before="120"/>
        <w:rPr>
          <w:rFonts w:ascii="Arial" w:hAnsi="Arial"/>
          <w:b/>
          <w:snapToGrid w:val="0"/>
          <w:color w:val="auto"/>
          <w:sz w:val="20"/>
        </w:rPr>
      </w:pPr>
      <w:r w:rsidRPr="00C95982">
        <w:rPr>
          <w:rFonts w:ascii="Arial" w:hAnsi="Arial"/>
          <w:b/>
          <w:color w:val="auto"/>
          <w:sz w:val="20"/>
        </w:rPr>
        <w:t xml:space="preserve">Table 3.1: Comprehensive income statement (showing net cost of services) </w:t>
      </w:r>
      <w:r w:rsidRPr="00C95982">
        <w:rPr>
          <w:rFonts w:ascii="Arial" w:hAnsi="Arial"/>
          <w:b/>
          <w:snapToGrid w:val="0"/>
          <w:color w:val="auto"/>
          <w:sz w:val="20"/>
        </w:rPr>
        <w:t>for the period ended 30 June</w:t>
      </w:r>
    </w:p>
    <w:tbl>
      <w:tblPr>
        <w:tblW w:w="7360" w:type="dxa"/>
        <w:tblLayout w:type="fixed"/>
        <w:tblLook w:val="04A0" w:firstRow="1" w:lastRow="0" w:firstColumn="1" w:lastColumn="0" w:noHBand="0" w:noVBand="1"/>
      </w:tblPr>
      <w:tblGrid>
        <w:gridCol w:w="2943"/>
        <w:gridCol w:w="891"/>
        <w:gridCol w:w="877"/>
        <w:gridCol w:w="883"/>
        <w:gridCol w:w="883"/>
        <w:gridCol w:w="883"/>
      </w:tblGrid>
      <w:tr w:rsidR="006D6738" w:rsidRPr="006D6738" w14:paraId="7BD899F2" w14:textId="77777777" w:rsidTr="006D6738">
        <w:trPr>
          <w:trHeight w:val="765"/>
        </w:trPr>
        <w:tc>
          <w:tcPr>
            <w:tcW w:w="2943" w:type="dxa"/>
            <w:tcBorders>
              <w:top w:val="single" w:sz="4" w:space="0" w:color="auto"/>
              <w:left w:val="nil"/>
              <w:bottom w:val="nil"/>
              <w:right w:val="nil"/>
            </w:tcBorders>
            <w:shd w:val="clear" w:color="auto" w:fill="auto"/>
            <w:tcMar>
              <w:left w:w="0" w:type="dxa"/>
            </w:tcMar>
            <w:hideMark/>
          </w:tcPr>
          <w:p w14:paraId="1B09F7C5" w14:textId="77777777" w:rsidR="006D6738" w:rsidRPr="006D6738" w:rsidRDefault="006D6738" w:rsidP="006D6738">
            <w:pPr>
              <w:spacing w:before="40" w:after="0"/>
              <w:jc w:val="right"/>
              <w:rPr>
                <w:rFonts w:ascii="Arial" w:hAnsi="Arial" w:cs="Arial"/>
                <w:color w:val="auto"/>
                <w:sz w:val="16"/>
                <w:szCs w:val="16"/>
              </w:rPr>
            </w:pPr>
            <w:r w:rsidRPr="006D6738">
              <w:rPr>
                <w:rFonts w:ascii="Arial" w:hAnsi="Arial" w:cs="Arial"/>
                <w:color w:val="auto"/>
                <w:sz w:val="16"/>
                <w:szCs w:val="16"/>
              </w:rPr>
              <w:t> </w:t>
            </w:r>
          </w:p>
        </w:tc>
        <w:tc>
          <w:tcPr>
            <w:tcW w:w="891" w:type="dxa"/>
            <w:tcBorders>
              <w:top w:val="single" w:sz="4" w:space="0" w:color="auto"/>
              <w:left w:val="nil"/>
              <w:bottom w:val="single" w:sz="4" w:space="0" w:color="auto"/>
              <w:right w:val="nil"/>
            </w:tcBorders>
            <w:shd w:val="clear" w:color="auto" w:fill="auto"/>
            <w:tcMar>
              <w:left w:w="0" w:type="dxa"/>
            </w:tcMar>
            <w:hideMark/>
          </w:tcPr>
          <w:p w14:paraId="6872F83C" w14:textId="77777777" w:rsidR="006D6738" w:rsidRPr="006D6738" w:rsidRDefault="006D6738" w:rsidP="006D6738">
            <w:pPr>
              <w:spacing w:before="40" w:after="0"/>
              <w:jc w:val="right"/>
              <w:rPr>
                <w:rFonts w:ascii="Arial" w:hAnsi="Arial" w:cs="Arial"/>
                <w:b/>
                <w:bCs/>
                <w:color w:val="auto"/>
                <w:sz w:val="16"/>
                <w:szCs w:val="16"/>
              </w:rPr>
            </w:pPr>
            <w:r w:rsidRPr="006D6738">
              <w:rPr>
                <w:rFonts w:ascii="Arial" w:hAnsi="Arial" w:cs="Arial"/>
                <w:b/>
                <w:bCs/>
                <w:color w:val="auto"/>
                <w:sz w:val="16"/>
                <w:szCs w:val="16"/>
              </w:rPr>
              <w:t>2021–22 Estimated actual</w:t>
            </w:r>
            <w:r w:rsidRPr="006D6738">
              <w:rPr>
                <w:rFonts w:ascii="Arial" w:hAnsi="Arial" w:cs="Arial"/>
                <w:b/>
                <w:bCs/>
                <w:color w:val="auto"/>
                <w:sz w:val="16"/>
                <w:szCs w:val="16"/>
              </w:rPr>
              <w:br/>
            </w:r>
            <w:r w:rsidRPr="006D6738">
              <w:rPr>
                <w:rFonts w:ascii="Arial" w:hAnsi="Arial" w:cs="Arial"/>
                <w:color w:val="auto"/>
                <w:sz w:val="16"/>
                <w:szCs w:val="16"/>
              </w:rPr>
              <w:t>$'000</w:t>
            </w:r>
          </w:p>
        </w:tc>
        <w:tc>
          <w:tcPr>
            <w:tcW w:w="877" w:type="dxa"/>
            <w:tcBorders>
              <w:top w:val="single" w:sz="4" w:space="0" w:color="auto"/>
              <w:left w:val="nil"/>
              <w:bottom w:val="single" w:sz="4" w:space="0" w:color="auto"/>
              <w:right w:val="nil"/>
            </w:tcBorders>
            <w:shd w:val="clear" w:color="000000" w:fill="D9D9D9"/>
            <w:tcMar>
              <w:left w:w="0" w:type="dxa"/>
            </w:tcMar>
            <w:hideMark/>
          </w:tcPr>
          <w:p w14:paraId="1DAA146E" w14:textId="77777777" w:rsidR="006D6738" w:rsidRPr="006D6738" w:rsidRDefault="006D6738" w:rsidP="006D6738">
            <w:pPr>
              <w:spacing w:before="40" w:after="0"/>
              <w:jc w:val="right"/>
              <w:rPr>
                <w:rFonts w:ascii="Arial" w:hAnsi="Arial" w:cs="Arial"/>
                <w:b/>
                <w:bCs/>
                <w:color w:val="auto"/>
                <w:sz w:val="16"/>
                <w:szCs w:val="16"/>
              </w:rPr>
            </w:pPr>
            <w:r w:rsidRPr="006D6738">
              <w:rPr>
                <w:rFonts w:ascii="Arial" w:hAnsi="Arial" w:cs="Arial"/>
                <w:b/>
                <w:bCs/>
                <w:color w:val="auto"/>
                <w:sz w:val="16"/>
                <w:szCs w:val="16"/>
              </w:rPr>
              <w:t>2022–23</w:t>
            </w:r>
            <w:r w:rsidRPr="006D6738">
              <w:rPr>
                <w:rFonts w:ascii="Arial" w:hAnsi="Arial" w:cs="Arial"/>
                <w:b/>
                <w:bCs/>
                <w:color w:val="auto"/>
                <w:sz w:val="16"/>
                <w:szCs w:val="16"/>
              </w:rPr>
              <w:br/>
              <w:t>Budget</w:t>
            </w:r>
            <w:r w:rsidRPr="006D6738">
              <w:rPr>
                <w:rFonts w:ascii="Arial" w:hAnsi="Arial" w:cs="Arial"/>
                <w:b/>
                <w:bCs/>
                <w:color w:val="auto"/>
                <w:sz w:val="16"/>
                <w:szCs w:val="16"/>
              </w:rPr>
              <w:br/>
            </w:r>
            <w:r w:rsidRPr="006D6738">
              <w:rPr>
                <w:rFonts w:ascii="Arial" w:hAnsi="Arial" w:cs="Arial"/>
                <w:b/>
                <w:bCs/>
                <w:color w:val="auto"/>
                <w:sz w:val="16"/>
                <w:szCs w:val="16"/>
              </w:rPr>
              <w:br/>
            </w:r>
            <w:r w:rsidRPr="006D6738">
              <w:rPr>
                <w:rFonts w:ascii="Arial" w:hAnsi="Arial" w:cs="Arial"/>
                <w:color w:val="auto"/>
                <w:sz w:val="16"/>
                <w:szCs w:val="16"/>
              </w:rPr>
              <w:t>$'000</w:t>
            </w:r>
          </w:p>
        </w:tc>
        <w:tc>
          <w:tcPr>
            <w:tcW w:w="883" w:type="dxa"/>
            <w:tcBorders>
              <w:top w:val="single" w:sz="4" w:space="0" w:color="auto"/>
              <w:left w:val="nil"/>
              <w:bottom w:val="single" w:sz="4" w:space="0" w:color="auto"/>
              <w:right w:val="nil"/>
            </w:tcBorders>
            <w:shd w:val="clear" w:color="auto" w:fill="auto"/>
            <w:tcMar>
              <w:left w:w="0" w:type="dxa"/>
            </w:tcMar>
            <w:hideMark/>
          </w:tcPr>
          <w:p w14:paraId="20DE7264" w14:textId="77777777" w:rsidR="006D6738" w:rsidRPr="006D6738" w:rsidRDefault="006D6738" w:rsidP="006D6738">
            <w:pPr>
              <w:spacing w:before="40" w:after="0"/>
              <w:jc w:val="right"/>
              <w:rPr>
                <w:rFonts w:ascii="Arial" w:hAnsi="Arial" w:cs="Arial"/>
                <w:b/>
                <w:bCs/>
                <w:color w:val="auto"/>
                <w:sz w:val="16"/>
                <w:szCs w:val="16"/>
              </w:rPr>
            </w:pPr>
            <w:r w:rsidRPr="006D6738">
              <w:rPr>
                <w:rFonts w:ascii="Arial" w:hAnsi="Arial" w:cs="Arial"/>
                <w:b/>
                <w:bCs/>
                <w:color w:val="auto"/>
                <w:sz w:val="16"/>
                <w:szCs w:val="16"/>
              </w:rPr>
              <w:t>2023–24 Forward estimate</w:t>
            </w:r>
            <w:r w:rsidRPr="006D6738">
              <w:rPr>
                <w:rFonts w:ascii="Arial" w:hAnsi="Arial" w:cs="Arial"/>
                <w:b/>
                <w:bCs/>
                <w:color w:val="auto"/>
                <w:sz w:val="16"/>
                <w:szCs w:val="16"/>
              </w:rPr>
              <w:br/>
            </w:r>
            <w:r w:rsidRPr="006D6738">
              <w:rPr>
                <w:rFonts w:ascii="Arial" w:hAnsi="Arial" w:cs="Arial"/>
                <w:color w:val="auto"/>
                <w:sz w:val="16"/>
                <w:szCs w:val="16"/>
              </w:rPr>
              <w:t>$'000</w:t>
            </w:r>
          </w:p>
        </w:tc>
        <w:tc>
          <w:tcPr>
            <w:tcW w:w="883" w:type="dxa"/>
            <w:tcBorders>
              <w:top w:val="single" w:sz="4" w:space="0" w:color="auto"/>
              <w:left w:val="nil"/>
              <w:bottom w:val="single" w:sz="4" w:space="0" w:color="auto"/>
              <w:right w:val="nil"/>
            </w:tcBorders>
            <w:shd w:val="clear" w:color="auto" w:fill="auto"/>
            <w:tcMar>
              <w:left w:w="0" w:type="dxa"/>
            </w:tcMar>
            <w:hideMark/>
          </w:tcPr>
          <w:p w14:paraId="10D7232C" w14:textId="77777777" w:rsidR="006D6738" w:rsidRPr="006D6738" w:rsidRDefault="006D6738" w:rsidP="006D6738">
            <w:pPr>
              <w:spacing w:before="40" w:after="0"/>
              <w:jc w:val="right"/>
              <w:rPr>
                <w:rFonts w:ascii="Arial" w:hAnsi="Arial" w:cs="Arial"/>
                <w:b/>
                <w:bCs/>
                <w:color w:val="auto"/>
                <w:sz w:val="16"/>
                <w:szCs w:val="16"/>
              </w:rPr>
            </w:pPr>
            <w:r w:rsidRPr="006D6738">
              <w:rPr>
                <w:rFonts w:ascii="Arial" w:hAnsi="Arial" w:cs="Arial"/>
                <w:b/>
                <w:bCs/>
                <w:color w:val="auto"/>
                <w:sz w:val="16"/>
                <w:szCs w:val="16"/>
              </w:rPr>
              <w:t>2024–25</w:t>
            </w:r>
            <w:r w:rsidRPr="006D6738">
              <w:rPr>
                <w:rFonts w:ascii="Arial" w:hAnsi="Arial" w:cs="Arial"/>
                <w:b/>
                <w:bCs/>
                <w:color w:val="auto"/>
                <w:sz w:val="16"/>
                <w:szCs w:val="16"/>
              </w:rPr>
              <w:br/>
              <w:t>Forward estimate</w:t>
            </w:r>
            <w:r w:rsidRPr="006D6738">
              <w:rPr>
                <w:rFonts w:ascii="Arial" w:hAnsi="Arial" w:cs="Arial"/>
                <w:b/>
                <w:bCs/>
                <w:color w:val="auto"/>
                <w:sz w:val="16"/>
                <w:szCs w:val="16"/>
              </w:rPr>
              <w:br/>
            </w:r>
            <w:r w:rsidRPr="006D6738">
              <w:rPr>
                <w:rFonts w:ascii="Arial" w:hAnsi="Arial" w:cs="Arial"/>
                <w:color w:val="auto"/>
                <w:sz w:val="16"/>
                <w:szCs w:val="16"/>
              </w:rPr>
              <w:t>$'000</w:t>
            </w:r>
          </w:p>
        </w:tc>
        <w:tc>
          <w:tcPr>
            <w:tcW w:w="883" w:type="dxa"/>
            <w:tcBorders>
              <w:top w:val="single" w:sz="4" w:space="0" w:color="auto"/>
              <w:left w:val="nil"/>
              <w:bottom w:val="single" w:sz="4" w:space="0" w:color="auto"/>
              <w:right w:val="nil"/>
            </w:tcBorders>
            <w:shd w:val="clear" w:color="auto" w:fill="auto"/>
            <w:tcMar>
              <w:left w:w="0" w:type="dxa"/>
            </w:tcMar>
            <w:hideMark/>
          </w:tcPr>
          <w:p w14:paraId="286D1558" w14:textId="77777777" w:rsidR="006D6738" w:rsidRPr="006D6738" w:rsidRDefault="006D6738" w:rsidP="006D6738">
            <w:pPr>
              <w:spacing w:before="40" w:after="0"/>
              <w:jc w:val="right"/>
              <w:rPr>
                <w:rFonts w:ascii="Arial" w:hAnsi="Arial" w:cs="Arial"/>
                <w:b/>
                <w:bCs/>
                <w:color w:val="auto"/>
                <w:sz w:val="16"/>
                <w:szCs w:val="16"/>
              </w:rPr>
            </w:pPr>
            <w:r w:rsidRPr="006D6738">
              <w:rPr>
                <w:rFonts w:ascii="Arial" w:hAnsi="Arial" w:cs="Arial"/>
                <w:b/>
                <w:bCs/>
                <w:color w:val="auto"/>
                <w:sz w:val="16"/>
                <w:szCs w:val="16"/>
              </w:rPr>
              <w:t>2025–26</w:t>
            </w:r>
            <w:r w:rsidRPr="006D6738">
              <w:rPr>
                <w:rFonts w:ascii="Arial" w:hAnsi="Arial" w:cs="Arial"/>
                <w:b/>
                <w:bCs/>
                <w:color w:val="auto"/>
                <w:sz w:val="16"/>
                <w:szCs w:val="16"/>
              </w:rPr>
              <w:br/>
              <w:t>Forward estimate</w:t>
            </w:r>
            <w:r w:rsidRPr="006D6738">
              <w:rPr>
                <w:rFonts w:ascii="Arial" w:hAnsi="Arial" w:cs="Arial"/>
                <w:b/>
                <w:bCs/>
                <w:color w:val="auto"/>
                <w:sz w:val="16"/>
                <w:szCs w:val="16"/>
              </w:rPr>
              <w:br/>
            </w:r>
            <w:r w:rsidRPr="006D6738">
              <w:rPr>
                <w:rFonts w:ascii="Arial" w:hAnsi="Arial" w:cs="Arial"/>
                <w:color w:val="auto"/>
                <w:sz w:val="16"/>
                <w:szCs w:val="16"/>
              </w:rPr>
              <w:t>$'000</w:t>
            </w:r>
          </w:p>
        </w:tc>
      </w:tr>
      <w:tr w:rsidR="006D6738" w:rsidRPr="006D6738" w14:paraId="3D8B5898" w14:textId="77777777" w:rsidTr="006D6738">
        <w:trPr>
          <w:trHeight w:val="227"/>
        </w:trPr>
        <w:tc>
          <w:tcPr>
            <w:tcW w:w="2943" w:type="dxa"/>
            <w:tcBorders>
              <w:top w:val="nil"/>
              <w:left w:val="nil"/>
              <w:bottom w:val="nil"/>
              <w:right w:val="nil"/>
            </w:tcBorders>
            <w:shd w:val="clear" w:color="auto" w:fill="auto"/>
            <w:noWrap/>
            <w:vAlign w:val="bottom"/>
            <w:hideMark/>
          </w:tcPr>
          <w:p w14:paraId="3F96D5F8" w14:textId="77777777" w:rsidR="006D6738" w:rsidRPr="006D6738" w:rsidRDefault="006D6738" w:rsidP="006D6738">
            <w:pPr>
              <w:spacing w:after="0"/>
              <w:rPr>
                <w:rFonts w:ascii="Arial" w:hAnsi="Arial" w:cs="Arial"/>
                <w:b/>
                <w:bCs/>
                <w:color w:val="auto"/>
                <w:sz w:val="16"/>
                <w:szCs w:val="16"/>
              </w:rPr>
            </w:pPr>
            <w:r w:rsidRPr="006D6738">
              <w:rPr>
                <w:rFonts w:ascii="Arial" w:hAnsi="Arial" w:cs="Arial"/>
                <w:b/>
                <w:bCs/>
                <w:color w:val="auto"/>
                <w:sz w:val="16"/>
                <w:szCs w:val="16"/>
              </w:rPr>
              <w:t>EXPENSES</w:t>
            </w:r>
          </w:p>
        </w:tc>
        <w:tc>
          <w:tcPr>
            <w:tcW w:w="891" w:type="dxa"/>
            <w:tcBorders>
              <w:top w:val="nil"/>
              <w:left w:val="nil"/>
              <w:bottom w:val="nil"/>
              <w:right w:val="nil"/>
            </w:tcBorders>
            <w:shd w:val="clear" w:color="auto" w:fill="auto"/>
            <w:noWrap/>
            <w:vAlign w:val="bottom"/>
            <w:hideMark/>
          </w:tcPr>
          <w:p w14:paraId="189B6B14" w14:textId="77777777" w:rsidR="006D6738" w:rsidRPr="006D6738" w:rsidRDefault="006D6738" w:rsidP="006D6738">
            <w:pPr>
              <w:spacing w:after="0"/>
              <w:jc w:val="right"/>
              <w:rPr>
                <w:rFonts w:ascii="Arial" w:hAnsi="Arial" w:cs="Arial"/>
                <w:b/>
                <w:bCs/>
                <w:color w:val="auto"/>
                <w:sz w:val="16"/>
                <w:szCs w:val="16"/>
              </w:rPr>
            </w:pPr>
            <w:r w:rsidRPr="006D6738">
              <w:rPr>
                <w:rFonts w:ascii="Arial" w:hAnsi="Arial" w:cs="Arial"/>
                <w:b/>
                <w:bCs/>
                <w:color w:val="auto"/>
                <w:sz w:val="16"/>
                <w:szCs w:val="16"/>
              </w:rPr>
              <w:t> </w:t>
            </w:r>
          </w:p>
        </w:tc>
        <w:tc>
          <w:tcPr>
            <w:tcW w:w="877" w:type="dxa"/>
            <w:tcBorders>
              <w:top w:val="nil"/>
              <w:left w:val="nil"/>
              <w:bottom w:val="nil"/>
              <w:right w:val="nil"/>
            </w:tcBorders>
            <w:shd w:val="clear" w:color="000000" w:fill="D9D9D9"/>
            <w:noWrap/>
            <w:vAlign w:val="bottom"/>
            <w:hideMark/>
          </w:tcPr>
          <w:p w14:paraId="1D67ABE5" w14:textId="77777777" w:rsidR="006D6738" w:rsidRPr="006D6738" w:rsidRDefault="006D6738" w:rsidP="006D6738">
            <w:pPr>
              <w:spacing w:after="0"/>
              <w:jc w:val="right"/>
              <w:rPr>
                <w:rFonts w:ascii="Arial" w:hAnsi="Arial" w:cs="Arial"/>
                <w:color w:val="auto"/>
                <w:sz w:val="16"/>
                <w:szCs w:val="16"/>
              </w:rPr>
            </w:pPr>
            <w:r w:rsidRPr="006D6738">
              <w:rPr>
                <w:rFonts w:ascii="Arial" w:hAnsi="Arial" w:cs="Arial"/>
                <w:color w:val="auto"/>
                <w:sz w:val="16"/>
                <w:szCs w:val="16"/>
              </w:rPr>
              <w:t> </w:t>
            </w:r>
          </w:p>
        </w:tc>
        <w:tc>
          <w:tcPr>
            <w:tcW w:w="883" w:type="dxa"/>
            <w:tcBorders>
              <w:top w:val="nil"/>
              <w:left w:val="nil"/>
              <w:bottom w:val="nil"/>
              <w:right w:val="nil"/>
            </w:tcBorders>
            <w:shd w:val="clear" w:color="auto" w:fill="auto"/>
            <w:noWrap/>
            <w:vAlign w:val="bottom"/>
            <w:hideMark/>
          </w:tcPr>
          <w:p w14:paraId="2D3A2A90" w14:textId="77777777" w:rsidR="006D6738" w:rsidRPr="006D6738" w:rsidRDefault="006D6738" w:rsidP="006D6738">
            <w:pPr>
              <w:spacing w:after="0"/>
              <w:jc w:val="right"/>
              <w:rPr>
                <w:rFonts w:ascii="Arial" w:hAnsi="Arial" w:cs="Arial"/>
                <w:color w:val="auto"/>
                <w:sz w:val="16"/>
                <w:szCs w:val="16"/>
              </w:rPr>
            </w:pPr>
            <w:r w:rsidRPr="006D6738">
              <w:rPr>
                <w:rFonts w:ascii="Arial" w:hAnsi="Arial" w:cs="Arial"/>
                <w:color w:val="auto"/>
                <w:sz w:val="16"/>
                <w:szCs w:val="16"/>
              </w:rPr>
              <w:t> </w:t>
            </w:r>
          </w:p>
        </w:tc>
        <w:tc>
          <w:tcPr>
            <w:tcW w:w="883" w:type="dxa"/>
            <w:tcBorders>
              <w:top w:val="nil"/>
              <w:left w:val="nil"/>
              <w:bottom w:val="nil"/>
              <w:right w:val="nil"/>
            </w:tcBorders>
            <w:shd w:val="clear" w:color="auto" w:fill="auto"/>
            <w:noWrap/>
            <w:vAlign w:val="bottom"/>
            <w:hideMark/>
          </w:tcPr>
          <w:p w14:paraId="2B7F9CE6" w14:textId="77777777" w:rsidR="006D6738" w:rsidRPr="006D6738" w:rsidRDefault="006D6738" w:rsidP="006D6738">
            <w:pPr>
              <w:spacing w:after="0"/>
              <w:jc w:val="right"/>
              <w:rPr>
                <w:rFonts w:ascii="Arial" w:hAnsi="Arial" w:cs="Arial"/>
                <w:color w:val="auto"/>
                <w:sz w:val="16"/>
                <w:szCs w:val="16"/>
              </w:rPr>
            </w:pPr>
            <w:r w:rsidRPr="006D6738">
              <w:rPr>
                <w:rFonts w:ascii="Arial" w:hAnsi="Arial" w:cs="Arial"/>
                <w:color w:val="auto"/>
                <w:sz w:val="16"/>
                <w:szCs w:val="16"/>
              </w:rPr>
              <w:t> </w:t>
            </w:r>
          </w:p>
        </w:tc>
        <w:tc>
          <w:tcPr>
            <w:tcW w:w="883" w:type="dxa"/>
            <w:tcBorders>
              <w:top w:val="nil"/>
              <w:left w:val="nil"/>
              <w:bottom w:val="nil"/>
              <w:right w:val="nil"/>
            </w:tcBorders>
            <w:shd w:val="clear" w:color="auto" w:fill="auto"/>
            <w:noWrap/>
            <w:vAlign w:val="bottom"/>
            <w:hideMark/>
          </w:tcPr>
          <w:p w14:paraId="59B2DB13" w14:textId="77777777" w:rsidR="006D6738" w:rsidRPr="006D6738" w:rsidRDefault="006D6738" w:rsidP="006D6738">
            <w:pPr>
              <w:spacing w:after="0"/>
              <w:jc w:val="right"/>
              <w:rPr>
                <w:rFonts w:ascii="Arial" w:hAnsi="Arial" w:cs="Arial"/>
                <w:color w:val="auto"/>
                <w:sz w:val="16"/>
                <w:szCs w:val="16"/>
              </w:rPr>
            </w:pPr>
            <w:r w:rsidRPr="006D6738">
              <w:rPr>
                <w:rFonts w:ascii="Arial" w:hAnsi="Arial" w:cs="Arial"/>
                <w:color w:val="auto"/>
                <w:sz w:val="16"/>
                <w:szCs w:val="16"/>
              </w:rPr>
              <w:t> </w:t>
            </w:r>
          </w:p>
        </w:tc>
      </w:tr>
      <w:tr w:rsidR="006D6738" w:rsidRPr="006D6738" w14:paraId="1A53398A" w14:textId="77777777" w:rsidTr="006D6738">
        <w:trPr>
          <w:trHeight w:val="227"/>
        </w:trPr>
        <w:tc>
          <w:tcPr>
            <w:tcW w:w="2943" w:type="dxa"/>
            <w:tcBorders>
              <w:top w:val="nil"/>
              <w:left w:val="nil"/>
              <w:bottom w:val="nil"/>
              <w:right w:val="nil"/>
            </w:tcBorders>
            <w:shd w:val="clear" w:color="auto" w:fill="auto"/>
            <w:noWrap/>
            <w:vAlign w:val="bottom"/>
            <w:hideMark/>
          </w:tcPr>
          <w:p w14:paraId="25D2A041" w14:textId="77777777" w:rsidR="006D6738" w:rsidRPr="006D6738" w:rsidRDefault="006D6738" w:rsidP="006D6738">
            <w:pPr>
              <w:spacing w:after="0"/>
              <w:ind w:leftChars="75" w:left="143"/>
              <w:rPr>
                <w:rFonts w:ascii="Arial" w:hAnsi="Arial" w:cs="Arial"/>
                <w:color w:val="auto"/>
                <w:sz w:val="16"/>
                <w:szCs w:val="16"/>
              </w:rPr>
            </w:pPr>
            <w:r w:rsidRPr="006D6738">
              <w:rPr>
                <w:rFonts w:ascii="Arial" w:hAnsi="Arial" w:cs="Arial"/>
                <w:color w:val="auto"/>
                <w:sz w:val="16"/>
                <w:szCs w:val="16"/>
              </w:rPr>
              <w:t>Employee benefits</w:t>
            </w:r>
          </w:p>
        </w:tc>
        <w:tc>
          <w:tcPr>
            <w:tcW w:w="891" w:type="dxa"/>
            <w:tcBorders>
              <w:top w:val="nil"/>
              <w:left w:val="nil"/>
              <w:bottom w:val="nil"/>
              <w:right w:val="nil"/>
            </w:tcBorders>
            <w:shd w:val="clear" w:color="auto" w:fill="auto"/>
            <w:noWrap/>
            <w:vAlign w:val="bottom"/>
            <w:hideMark/>
          </w:tcPr>
          <w:p w14:paraId="1C5A99B5" w14:textId="77777777" w:rsidR="006D6738" w:rsidRPr="006D6738" w:rsidRDefault="006D6738" w:rsidP="006D6738">
            <w:pPr>
              <w:spacing w:after="0"/>
              <w:jc w:val="right"/>
              <w:rPr>
                <w:rFonts w:ascii="Arial" w:hAnsi="Arial" w:cs="Arial"/>
                <w:color w:val="auto"/>
                <w:sz w:val="16"/>
                <w:szCs w:val="16"/>
              </w:rPr>
            </w:pPr>
            <w:r w:rsidRPr="006D6738">
              <w:rPr>
                <w:rFonts w:ascii="Arial" w:hAnsi="Arial" w:cs="Arial"/>
                <w:color w:val="auto"/>
                <w:sz w:val="16"/>
                <w:szCs w:val="16"/>
              </w:rPr>
              <w:t>48,690</w:t>
            </w:r>
          </w:p>
        </w:tc>
        <w:tc>
          <w:tcPr>
            <w:tcW w:w="877" w:type="dxa"/>
            <w:tcBorders>
              <w:top w:val="nil"/>
              <w:left w:val="nil"/>
              <w:bottom w:val="nil"/>
              <w:right w:val="nil"/>
            </w:tcBorders>
            <w:shd w:val="clear" w:color="000000" w:fill="D9D9D9"/>
            <w:noWrap/>
            <w:vAlign w:val="bottom"/>
            <w:hideMark/>
          </w:tcPr>
          <w:p w14:paraId="5AC78227" w14:textId="77777777" w:rsidR="006D6738" w:rsidRPr="006D6738" w:rsidRDefault="006D6738" w:rsidP="006D6738">
            <w:pPr>
              <w:spacing w:after="0"/>
              <w:jc w:val="right"/>
              <w:rPr>
                <w:rFonts w:ascii="Arial" w:hAnsi="Arial" w:cs="Arial"/>
                <w:color w:val="auto"/>
                <w:sz w:val="16"/>
                <w:szCs w:val="16"/>
              </w:rPr>
            </w:pPr>
            <w:r w:rsidRPr="006D6738">
              <w:rPr>
                <w:rFonts w:ascii="Arial" w:hAnsi="Arial" w:cs="Arial"/>
                <w:color w:val="auto"/>
                <w:sz w:val="16"/>
                <w:szCs w:val="16"/>
              </w:rPr>
              <w:t>51,292</w:t>
            </w:r>
          </w:p>
        </w:tc>
        <w:tc>
          <w:tcPr>
            <w:tcW w:w="883" w:type="dxa"/>
            <w:tcBorders>
              <w:top w:val="nil"/>
              <w:left w:val="nil"/>
              <w:bottom w:val="nil"/>
              <w:right w:val="nil"/>
            </w:tcBorders>
            <w:shd w:val="clear" w:color="auto" w:fill="auto"/>
            <w:noWrap/>
            <w:vAlign w:val="bottom"/>
            <w:hideMark/>
          </w:tcPr>
          <w:p w14:paraId="32D9045C" w14:textId="77777777" w:rsidR="006D6738" w:rsidRPr="006D6738" w:rsidRDefault="006D6738" w:rsidP="006D6738">
            <w:pPr>
              <w:spacing w:after="0"/>
              <w:jc w:val="right"/>
              <w:rPr>
                <w:rFonts w:ascii="Arial" w:hAnsi="Arial" w:cs="Arial"/>
                <w:color w:val="auto"/>
                <w:sz w:val="16"/>
                <w:szCs w:val="16"/>
              </w:rPr>
            </w:pPr>
            <w:r w:rsidRPr="006D6738">
              <w:rPr>
                <w:rFonts w:ascii="Arial" w:hAnsi="Arial" w:cs="Arial"/>
                <w:color w:val="auto"/>
                <w:sz w:val="16"/>
                <w:szCs w:val="16"/>
              </w:rPr>
              <w:t>52,300</w:t>
            </w:r>
          </w:p>
        </w:tc>
        <w:tc>
          <w:tcPr>
            <w:tcW w:w="883" w:type="dxa"/>
            <w:tcBorders>
              <w:top w:val="nil"/>
              <w:left w:val="nil"/>
              <w:bottom w:val="nil"/>
              <w:right w:val="nil"/>
            </w:tcBorders>
            <w:shd w:val="clear" w:color="auto" w:fill="auto"/>
            <w:noWrap/>
            <w:vAlign w:val="bottom"/>
            <w:hideMark/>
          </w:tcPr>
          <w:p w14:paraId="4A89105E" w14:textId="77777777" w:rsidR="006D6738" w:rsidRPr="006D6738" w:rsidRDefault="006D6738" w:rsidP="006D6738">
            <w:pPr>
              <w:spacing w:after="0"/>
              <w:jc w:val="right"/>
              <w:rPr>
                <w:rFonts w:ascii="Arial" w:hAnsi="Arial" w:cs="Arial"/>
                <w:color w:val="auto"/>
                <w:sz w:val="16"/>
                <w:szCs w:val="16"/>
              </w:rPr>
            </w:pPr>
            <w:r w:rsidRPr="006D6738">
              <w:rPr>
                <w:rFonts w:ascii="Arial" w:hAnsi="Arial" w:cs="Arial"/>
                <w:color w:val="auto"/>
                <w:sz w:val="16"/>
                <w:szCs w:val="16"/>
              </w:rPr>
              <w:t>52,888</w:t>
            </w:r>
          </w:p>
        </w:tc>
        <w:tc>
          <w:tcPr>
            <w:tcW w:w="883" w:type="dxa"/>
            <w:tcBorders>
              <w:top w:val="nil"/>
              <w:left w:val="nil"/>
              <w:bottom w:val="nil"/>
              <w:right w:val="nil"/>
            </w:tcBorders>
            <w:shd w:val="clear" w:color="auto" w:fill="auto"/>
            <w:noWrap/>
            <w:vAlign w:val="bottom"/>
            <w:hideMark/>
          </w:tcPr>
          <w:p w14:paraId="0745C2EA" w14:textId="77777777" w:rsidR="006D6738" w:rsidRPr="006D6738" w:rsidRDefault="006D6738" w:rsidP="006D6738">
            <w:pPr>
              <w:spacing w:after="0"/>
              <w:jc w:val="right"/>
              <w:rPr>
                <w:rFonts w:ascii="Arial" w:hAnsi="Arial" w:cs="Arial"/>
                <w:color w:val="auto"/>
                <w:sz w:val="16"/>
                <w:szCs w:val="16"/>
              </w:rPr>
            </w:pPr>
            <w:r w:rsidRPr="006D6738">
              <w:rPr>
                <w:rFonts w:ascii="Arial" w:hAnsi="Arial" w:cs="Arial"/>
                <w:color w:val="auto"/>
                <w:sz w:val="16"/>
                <w:szCs w:val="16"/>
              </w:rPr>
              <w:t>53,790</w:t>
            </w:r>
          </w:p>
        </w:tc>
      </w:tr>
      <w:tr w:rsidR="006D6738" w:rsidRPr="006D6738" w14:paraId="7301FCA6" w14:textId="77777777" w:rsidTr="006D6738">
        <w:trPr>
          <w:trHeight w:val="227"/>
        </w:trPr>
        <w:tc>
          <w:tcPr>
            <w:tcW w:w="2943" w:type="dxa"/>
            <w:tcBorders>
              <w:top w:val="nil"/>
              <w:left w:val="nil"/>
              <w:bottom w:val="nil"/>
              <w:right w:val="nil"/>
            </w:tcBorders>
            <w:shd w:val="clear" w:color="auto" w:fill="auto"/>
            <w:noWrap/>
            <w:vAlign w:val="bottom"/>
            <w:hideMark/>
          </w:tcPr>
          <w:p w14:paraId="05D33542" w14:textId="77777777" w:rsidR="006D6738" w:rsidRPr="006D6738" w:rsidRDefault="006D6738" w:rsidP="006D6738">
            <w:pPr>
              <w:spacing w:after="0"/>
              <w:ind w:leftChars="75" w:left="143"/>
              <w:rPr>
                <w:rFonts w:ascii="Arial" w:hAnsi="Arial" w:cs="Arial"/>
                <w:color w:val="auto"/>
                <w:sz w:val="16"/>
                <w:szCs w:val="16"/>
              </w:rPr>
            </w:pPr>
            <w:r w:rsidRPr="006D6738">
              <w:rPr>
                <w:rFonts w:ascii="Arial" w:hAnsi="Arial" w:cs="Arial"/>
                <w:color w:val="auto"/>
                <w:sz w:val="16"/>
                <w:szCs w:val="16"/>
              </w:rPr>
              <w:t>Supplier expenses</w:t>
            </w:r>
          </w:p>
        </w:tc>
        <w:tc>
          <w:tcPr>
            <w:tcW w:w="891" w:type="dxa"/>
            <w:tcBorders>
              <w:top w:val="nil"/>
              <w:left w:val="nil"/>
              <w:bottom w:val="nil"/>
              <w:right w:val="nil"/>
            </w:tcBorders>
            <w:shd w:val="clear" w:color="auto" w:fill="auto"/>
            <w:noWrap/>
            <w:vAlign w:val="bottom"/>
            <w:hideMark/>
          </w:tcPr>
          <w:p w14:paraId="12AEDB74" w14:textId="77777777" w:rsidR="006D6738" w:rsidRPr="006D6738" w:rsidRDefault="006D6738" w:rsidP="006D6738">
            <w:pPr>
              <w:spacing w:after="0"/>
              <w:jc w:val="right"/>
              <w:rPr>
                <w:rFonts w:ascii="Arial" w:hAnsi="Arial" w:cs="Arial"/>
                <w:color w:val="auto"/>
                <w:sz w:val="16"/>
                <w:szCs w:val="16"/>
              </w:rPr>
            </w:pPr>
            <w:r w:rsidRPr="006D6738">
              <w:rPr>
                <w:rFonts w:ascii="Arial" w:hAnsi="Arial" w:cs="Arial"/>
                <w:color w:val="auto"/>
                <w:sz w:val="16"/>
                <w:szCs w:val="16"/>
              </w:rPr>
              <w:t>42,436</w:t>
            </w:r>
          </w:p>
        </w:tc>
        <w:tc>
          <w:tcPr>
            <w:tcW w:w="877" w:type="dxa"/>
            <w:tcBorders>
              <w:top w:val="nil"/>
              <w:left w:val="nil"/>
              <w:bottom w:val="nil"/>
              <w:right w:val="nil"/>
            </w:tcBorders>
            <w:shd w:val="clear" w:color="000000" w:fill="D9D9D9"/>
            <w:noWrap/>
            <w:vAlign w:val="bottom"/>
            <w:hideMark/>
          </w:tcPr>
          <w:p w14:paraId="5925A6A3" w14:textId="77777777" w:rsidR="006D6738" w:rsidRPr="006D6738" w:rsidRDefault="006D6738" w:rsidP="006D6738">
            <w:pPr>
              <w:spacing w:after="0"/>
              <w:jc w:val="right"/>
              <w:rPr>
                <w:rFonts w:ascii="Arial" w:hAnsi="Arial" w:cs="Arial"/>
                <w:color w:val="auto"/>
                <w:sz w:val="16"/>
                <w:szCs w:val="16"/>
              </w:rPr>
            </w:pPr>
            <w:r w:rsidRPr="006D6738">
              <w:rPr>
                <w:rFonts w:ascii="Arial" w:hAnsi="Arial" w:cs="Arial"/>
                <w:color w:val="auto"/>
                <w:sz w:val="16"/>
                <w:szCs w:val="16"/>
              </w:rPr>
              <w:t>42,019</w:t>
            </w:r>
          </w:p>
        </w:tc>
        <w:tc>
          <w:tcPr>
            <w:tcW w:w="883" w:type="dxa"/>
            <w:tcBorders>
              <w:top w:val="nil"/>
              <w:left w:val="nil"/>
              <w:bottom w:val="nil"/>
              <w:right w:val="nil"/>
            </w:tcBorders>
            <w:shd w:val="clear" w:color="auto" w:fill="auto"/>
            <w:noWrap/>
            <w:vAlign w:val="bottom"/>
            <w:hideMark/>
          </w:tcPr>
          <w:p w14:paraId="1476AF95" w14:textId="77777777" w:rsidR="006D6738" w:rsidRPr="006D6738" w:rsidRDefault="006D6738" w:rsidP="006D6738">
            <w:pPr>
              <w:spacing w:after="0"/>
              <w:jc w:val="right"/>
              <w:rPr>
                <w:rFonts w:ascii="Arial" w:hAnsi="Arial" w:cs="Arial"/>
                <w:color w:val="auto"/>
                <w:sz w:val="16"/>
                <w:szCs w:val="16"/>
              </w:rPr>
            </w:pPr>
            <w:r w:rsidRPr="006D6738">
              <w:rPr>
                <w:rFonts w:ascii="Arial" w:hAnsi="Arial" w:cs="Arial"/>
                <w:color w:val="auto"/>
                <w:sz w:val="16"/>
                <w:szCs w:val="16"/>
              </w:rPr>
              <w:t>39,870</w:t>
            </w:r>
          </w:p>
        </w:tc>
        <w:tc>
          <w:tcPr>
            <w:tcW w:w="883" w:type="dxa"/>
            <w:tcBorders>
              <w:top w:val="nil"/>
              <w:left w:val="nil"/>
              <w:bottom w:val="nil"/>
              <w:right w:val="nil"/>
            </w:tcBorders>
            <w:shd w:val="clear" w:color="auto" w:fill="auto"/>
            <w:noWrap/>
            <w:vAlign w:val="bottom"/>
            <w:hideMark/>
          </w:tcPr>
          <w:p w14:paraId="283A9DFA" w14:textId="77777777" w:rsidR="006D6738" w:rsidRPr="006D6738" w:rsidRDefault="006D6738" w:rsidP="006D6738">
            <w:pPr>
              <w:spacing w:after="0"/>
              <w:jc w:val="right"/>
              <w:rPr>
                <w:rFonts w:ascii="Arial" w:hAnsi="Arial" w:cs="Arial"/>
                <w:color w:val="auto"/>
                <w:sz w:val="16"/>
                <w:szCs w:val="16"/>
              </w:rPr>
            </w:pPr>
            <w:r w:rsidRPr="006D6738">
              <w:rPr>
                <w:rFonts w:ascii="Arial" w:hAnsi="Arial" w:cs="Arial"/>
                <w:color w:val="auto"/>
                <w:sz w:val="16"/>
                <w:szCs w:val="16"/>
              </w:rPr>
              <w:t>39,560</w:t>
            </w:r>
          </w:p>
        </w:tc>
        <w:tc>
          <w:tcPr>
            <w:tcW w:w="883" w:type="dxa"/>
            <w:tcBorders>
              <w:top w:val="nil"/>
              <w:left w:val="nil"/>
              <w:bottom w:val="nil"/>
              <w:right w:val="nil"/>
            </w:tcBorders>
            <w:shd w:val="clear" w:color="auto" w:fill="auto"/>
            <w:noWrap/>
            <w:vAlign w:val="bottom"/>
            <w:hideMark/>
          </w:tcPr>
          <w:p w14:paraId="6BCB5829" w14:textId="77777777" w:rsidR="006D6738" w:rsidRPr="006D6738" w:rsidRDefault="006D6738" w:rsidP="006D6738">
            <w:pPr>
              <w:spacing w:after="0"/>
              <w:jc w:val="right"/>
              <w:rPr>
                <w:rFonts w:ascii="Arial" w:hAnsi="Arial" w:cs="Arial"/>
                <w:color w:val="auto"/>
                <w:sz w:val="16"/>
                <w:szCs w:val="16"/>
              </w:rPr>
            </w:pPr>
            <w:r w:rsidRPr="006D6738">
              <w:rPr>
                <w:rFonts w:ascii="Arial" w:hAnsi="Arial" w:cs="Arial"/>
                <w:color w:val="auto"/>
                <w:sz w:val="16"/>
                <w:szCs w:val="16"/>
              </w:rPr>
              <w:t>39,526</w:t>
            </w:r>
          </w:p>
        </w:tc>
      </w:tr>
      <w:tr w:rsidR="006D6738" w:rsidRPr="006D6738" w14:paraId="46A38EF8" w14:textId="77777777" w:rsidTr="006D6738">
        <w:trPr>
          <w:trHeight w:val="227"/>
        </w:trPr>
        <w:tc>
          <w:tcPr>
            <w:tcW w:w="2943" w:type="dxa"/>
            <w:tcBorders>
              <w:top w:val="nil"/>
              <w:left w:val="nil"/>
              <w:bottom w:val="nil"/>
              <w:right w:val="nil"/>
            </w:tcBorders>
            <w:shd w:val="clear" w:color="auto" w:fill="auto"/>
            <w:noWrap/>
            <w:vAlign w:val="bottom"/>
            <w:hideMark/>
          </w:tcPr>
          <w:p w14:paraId="2E4671E7" w14:textId="77777777" w:rsidR="006D6738" w:rsidRPr="006D6738" w:rsidRDefault="006D6738" w:rsidP="006D6738">
            <w:pPr>
              <w:spacing w:after="0"/>
              <w:ind w:leftChars="75" w:left="143"/>
              <w:rPr>
                <w:rFonts w:ascii="Arial" w:hAnsi="Arial" w:cs="Arial"/>
                <w:color w:val="auto"/>
                <w:sz w:val="16"/>
                <w:szCs w:val="16"/>
              </w:rPr>
            </w:pPr>
            <w:r w:rsidRPr="006D6738">
              <w:rPr>
                <w:rFonts w:ascii="Arial" w:hAnsi="Arial" w:cs="Arial"/>
                <w:color w:val="auto"/>
                <w:sz w:val="16"/>
                <w:szCs w:val="16"/>
              </w:rPr>
              <w:t>Depreciation and amortisation</w:t>
            </w:r>
          </w:p>
        </w:tc>
        <w:tc>
          <w:tcPr>
            <w:tcW w:w="891" w:type="dxa"/>
            <w:tcBorders>
              <w:top w:val="nil"/>
              <w:left w:val="nil"/>
              <w:bottom w:val="nil"/>
              <w:right w:val="nil"/>
            </w:tcBorders>
            <w:shd w:val="clear" w:color="auto" w:fill="auto"/>
            <w:noWrap/>
            <w:vAlign w:val="bottom"/>
            <w:hideMark/>
          </w:tcPr>
          <w:p w14:paraId="5F8C7FA9" w14:textId="77777777" w:rsidR="006D6738" w:rsidRPr="006D6738" w:rsidRDefault="006D6738" w:rsidP="006D6738">
            <w:pPr>
              <w:spacing w:after="0"/>
              <w:jc w:val="right"/>
              <w:rPr>
                <w:rFonts w:ascii="Arial" w:hAnsi="Arial" w:cs="Arial"/>
                <w:color w:val="auto"/>
                <w:sz w:val="16"/>
                <w:szCs w:val="16"/>
              </w:rPr>
            </w:pPr>
            <w:r w:rsidRPr="006D6738">
              <w:rPr>
                <w:rFonts w:ascii="Arial" w:hAnsi="Arial" w:cs="Arial"/>
                <w:color w:val="auto"/>
                <w:sz w:val="16"/>
                <w:szCs w:val="16"/>
              </w:rPr>
              <w:t>6,650</w:t>
            </w:r>
          </w:p>
        </w:tc>
        <w:tc>
          <w:tcPr>
            <w:tcW w:w="877" w:type="dxa"/>
            <w:tcBorders>
              <w:top w:val="nil"/>
              <w:left w:val="nil"/>
              <w:bottom w:val="nil"/>
              <w:right w:val="nil"/>
            </w:tcBorders>
            <w:shd w:val="clear" w:color="000000" w:fill="D9D9D9"/>
            <w:noWrap/>
            <w:vAlign w:val="bottom"/>
            <w:hideMark/>
          </w:tcPr>
          <w:p w14:paraId="2C0A60F2" w14:textId="77777777" w:rsidR="006D6738" w:rsidRPr="006D6738" w:rsidRDefault="006D6738" w:rsidP="006D6738">
            <w:pPr>
              <w:spacing w:after="0"/>
              <w:jc w:val="right"/>
              <w:rPr>
                <w:rFonts w:ascii="Arial" w:hAnsi="Arial" w:cs="Arial"/>
                <w:color w:val="auto"/>
                <w:sz w:val="16"/>
                <w:szCs w:val="16"/>
              </w:rPr>
            </w:pPr>
            <w:r w:rsidRPr="006D6738">
              <w:rPr>
                <w:rFonts w:ascii="Arial" w:hAnsi="Arial" w:cs="Arial"/>
                <w:color w:val="auto"/>
                <w:sz w:val="16"/>
                <w:szCs w:val="16"/>
              </w:rPr>
              <w:t>6,608</w:t>
            </w:r>
          </w:p>
        </w:tc>
        <w:tc>
          <w:tcPr>
            <w:tcW w:w="883" w:type="dxa"/>
            <w:tcBorders>
              <w:top w:val="nil"/>
              <w:left w:val="nil"/>
              <w:bottom w:val="nil"/>
              <w:right w:val="nil"/>
            </w:tcBorders>
            <w:shd w:val="clear" w:color="auto" w:fill="auto"/>
            <w:noWrap/>
            <w:vAlign w:val="bottom"/>
            <w:hideMark/>
          </w:tcPr>
          <w:p w14:paraId="2535E2A2" w14:textId="77777777" w:rsidR="006D6738" w:rsidRPr="006D6738" w:rsidRDefault="006D6738" w:rsidP="006D6738">
            <w:pPr>
              <w:spacing w:after="0"/>
              <w:jc w:val="right"/>
              <w:rPr>
                <w:rFonts w:ascii="Arial" w:hAnsi="Arial" w:cs="Arial"/>
                <w:color w:val="auto"/>
                <w:sz w:val="16"/>
                <w:szCs w:val="16"/>
              </w:rPr>
            </w:pPr>
            <w:r w:rsidRPr="006D6738">
              <w:rPr>
                <w:rFonts w:ascii="Arial" w:hAnsi="Arial" w:cs="Arial"/>
                <w:color w:val="auto"/>
                <w:sz w:val="16"/>
                <w:szCs w:val="16"/>
              </w:rPr>
              <w:t>7,030</w:t>
            </w:r>
          </w:p>
        </w:tc>
        <w:tc>
          <w:tcPr>
            <w:tcW w:w="883" w:type="dxa"/>
            <w:tcBorders>
              <w:top w:val="nil"/>
              <w:left w:val="nil"/>
              <w:bottom w:val="nil"/>
              <w:right w:val="nil"/>
            </w:tcBorders>
            <w:shd w:val="clear" w:color="auto" w:fill="auto"/>
            <w:noWrap/>
            <w:vAlign w:val="bottom"/>
            <w:hideMark/>
          </w:tcPr>
          <w:p w14:paraId="1F44159A" w14:textId="77777777" w:rsidR="006D6738" w:rsidRPr="006D6738" w:rsidRDefault="006D6738" w:rsidP="006D6738">
            <w:pPr>
              <w:spacing w:after="0"/>
              <w:jc w:val="right"/>
              <w:rPr>
                <w:rFonts w:ascii="Arial" w:hAnsi="Arial" w:cs="Arial"/>
                <w:color w:val="auto"/>
                <w:sz w:val="16"/>
                <w:szCs w:val="16"/>
              </w:rPr>
            </w:pPr>
            <w:r w:rsidRPr="006D6738">
              <w:rPr>
                <w:rFonts w:ascii="Arial" w:hAnsi="Arial" w:cs="Arial"/>
                <w:color w:val="auto"/>
                <w:sz w:val="16"/>
                <w:szCs w:val="16"/>
              </w:rPr>
              <w:t>6,647</w:t>
            </w:r>
          </w:p>
        </w:tc>
        <w:tc>
          <w:tcPr>
            <w:tcW w:w="883" w:type="dxa"/>
            <w:tcBorders>
              <w:top w:val="nil"/>
              <w:left w:val="nil"/>
              <w:bottom w:val="nil"/>
              <w:right w:val="nil"/>
            </w:tcBorders>
            <w:shd w:val="clear" w:color="auto" w:fill="auto"/>
            <w:noWrap/>
            <w:vAlign w:val="bottom"/>
            <w:hideMark/>
          </w:tcPr>
          <w:p w14:paraId="11FD89FE" w14:textId="77777777" w:rsidR="006D6738" w:rsidRPr="006D6738" w:rsidRDefault="006D6738" w:rsidP="006D6738">
            <w:pPr>
              <w:spacing w:after="0"/>
              <w:jc w:val="right"/>
              <w:rPr>
                <w:rFonts w:ascii="Arial" w:hAnsi="Arial" w:cs="Arial"/>
                <w:color w:val="auto"/>
                <w:sz w:val="16"/>
                <w:szCs w:val="16"/>
              </w:rPr>
            </w:pPr>
            <w:r w:rsidRPr="006D6738">
              <w:rPr>
                <w:rFonts w:ascii="Arial" w:hAnsi="Arial" w:cs="Arial"/>
                <w:color w:val="auto"/>
                <w:sz w:val="16"/>
                <w:szCs w:val="16"/>
              </w:rPr>
              <w:t>5,601</w:t>
            </w:r>
          </w:p>
        </w:tc>
      </w:tr>
      <w:tr w:rsidR="006D6738" w:rsidRPr="006D6738" w14:paraId="12A2B5C7" w14:textId="77777777" w:rsidTr="006D6738">
        <w:trPr>
          <w:trHeight w:val="227"/>
        </w:trPr>
        <w:tc>
          <w:tcPr>
            <w:tcW w:w="2943" w:type="dxa"/>
            <w:tcBorders>
              <w:top w:val="nil"/>
              <w:left w:val="nil"/>
              <w:bottom w:val="nil"/>
              <w:right w:val="nil"/>
            </w:tcBorders>
            <w:shd w:val="clear" w:color="auto" w:fill="auto"/>
            <w:noWrap/>
            <w:vAlign w:val="bottom"/>
            <w:hideMark/>
          </w:tcPr>
          <w:p w14:paraId="0BB094B1" w14:textId="77777777" w:rsidR="006D6738" w:rsidRPr="006D6738" w:rsidRDefault="006D6738" w:rsidP="006D6738">
            <w:pPr>
              <w:spacing w:after="0"/>
              <w:ind w:leftChars="75" w:left="143"/>
              <w:rPr>
                <w:rFonts w:ascii="Arial" w:hAnsi="Arial" w:cs="Arial"/>
                <w:color w:val="auto"/>
                <w:sz w:val="16"/>
                <w:szCs w:val="16"/>
              </w:rPr>
            </w:pPr>
            <w:r w:rsidRPr="006D6738">
              <w:rPr>
                <w:rFonts w:ascii="Arial" w:hAnsi="Arial" w:cs="Arial"/>
                <w:color w:val="auto"/>
                <w:sz w:val="16"/>
                <w:szCs w:val="16"/>
              </w:rPr>
              <w:t xml:space="preserve">Interest on </w:t>
            </w:r>
            <w:proofErr w:type="spellStart"/>
            <w:r w:rsidRPr="006D6738">
              <w:rPr>
                <w:rFonts w:ascii="Arial" w:hAnsi="Arial" w:cs="Arial"/>
                <w:color w:val="auto"/>
                <w:sz w:val="16"/>
                <w:szCs w:val="16"/>
              </w:rPr>
              <w:t>RoU</w:t>
            </w:r>
            <w:proofErr w:type="spellEnd"/>
          </w:p>
        </w:tc>
        <w:tc>
          <w:tcPr>
            <w:tcW w:w="891" w:type="dxa"/>
            <w:tcBorders>
              <w:top w:val="nil"/>
              <w:left w:val="nil"/>
              <w:bottom w:val="nil"/>
              <w:right w:val="nil"/>
            </w:tcBorders>
            <w:shd w:val="clear" w:color="auto" w:fill="auto"/>
            <w:noWrap/>
            <w:vAlign w:val="bottom"/>
            <w:hideMark/>
          </w:tcPr>
          <w:p w14:paraId="1045008D" w14:textId="77777777" w:rsidR="006D6738" w:rsidRPr="006D6738" w:rsidRDefault="006D6738" w:rsidP="006D6738">
            <w:pPr>
              <w:spacing w:after="0"/>
              <w:jc w:val="right"/>
              <w:rPr>
                <w:rFonts w:ascii="Arial" w:hAnsi="Arial" w:cs="Arial"/>
                <w:color w:val="auto"/>
                <w:sz w:val="16"/>
                <w:szCs w:val="16"/>
              </w:rPr>
            </w:pPr>
            <w:r w:rsidRPr="006D6738">
              <w:rPr>
                <w:rFonts w:ascii="Arial" w:hAnsi="Arial" w:cs="Arial"/>
                <w:color w:val="auto"/>
                <w:sz w:val="16"/>
                <w:szCs w:val="16"/>
              </w:rPr>
              <w:t>364</w:t>
            </w:r>
          </w:p>
        </w:tc>
        <w:tc>
          <w:tcPr>
            <w:tcW w:w="877" w:type="dxa"/>
            <w:tcBorders>
              <w:top w:val="nil"/>
              <w:left w:val="nil"/>
              <w:bottom w:val="nil"/>
              <w:right w:val="nil"/>
            </w:tcBorders>
            <w:shd w:val="clear" w:color="000000" w:fill="D9D9D9"/>
            <w:noWrap/>
            <w:vAlign w:val="bottom"/>
            <w:hideMark/>
          </w:tcPr>
          <w:p w14:paraId="4232E82E" w14:textId="77777777" w:rsidR="006D6738" w:rsidRPr="006D6738" w:rsidRDefault="006D6738" w:rsidP="006D6738">
            <w:pPr>
              <w:spacing w:after="0"/>
              <w:jc w:val="right"/>
              <w:rPr>
                <w:rFonts w:ascii="Arial" w:hAnsi="Arial" w:cs="Arial"/>
                <w:color w:val="auto"/>
                <w:sz w:val="16"/>
                <w:szCs w:val="16"/>
              </w:rPr>
            </w:pPr>
            <w:r w:rsidRPr="006D6738">
              <w:rPr>
                <w:rFonts w:ascii="Arial" w:hAnsi="Arial" w:cs="Arial"/>
                <w:color w:val="auto"/>
                <w:sz w:val="16"/>
                <w:szCs w:val="16"/>
              </w:rPr>
              <w:t>323</w:t>
            </w:r>
          </w:p>
        </w:tc>
        <w:tc>
          <w:tcPr>
            <w:tcW w:w="883" w:type="dxa"/>
            <w:tcBorders>
              <w:top w:val="nil"/>
              <w:left w:val="nil"/>
              <w:bottom w:val="nil"/>
              <w:right w:val="nil"/>
            </w:tcBorders>
            <w:shd w:val="clear" w:color="auto" w:fill="auto"/>
            <w:noWrap/>
            <w:vAlign w:val="bottom"/>
            <w:hideMark/>
          </w:tcPr>
          <w:p w14:paraId="36020713" w14:textId="77777777" w:rsidR="006D6738" w:rsidRPr="006D6738" w:rsidRDefault="006D6738" w:rsidP="006D6738">
            <w:pPr>
              <w:spacing w:after="0"/>
              <w:jc w:val="right"/>
              <w:rPr>
                <w:rFonts w:ascii="Arial" w:hAnsi="Arial" w:cs="Arial"/>
                <w:color w:val="auto"/>
                <w:sz w:val="16"/>
                <w:szCs w:val="16"/>
              </w:rPr>
            </w:pPr>
            <w:r w:rsidRPr="006D6738">
              <w:rPr>
                <w:rFonts w:ascii="Arial" w:hAnsi="Arial" w:cs="Arial"/>
                <w:color w:val="auto"/>
                <w:sz w:val="16"/>
                <w:szCs w:val="16"/>
              </w:rPr>
              <w:t>280</w:t>
            </w:r>
          </w:p>
        </w:tc>
        <w:tc>
          <w:tcPr>
            <w:tcW w:w="883" w:type="dxa"/>
            <w:tcBorders>
              <w:top w:val="nil"/>
              <w:left w:val="nil"/>
              <w:bottom w:val="nil"/>
              <w:right w:val="nil"/>
            </w:tcBorders>
            <w:shd w:val="clear" w:color="auto" w:fill="auto"/>
            <w:noWrap/>
            <w:vAlign w:val="bottom"/>
            <w:hideMark/>
          </w:tcPr>
          <w:p w14:paraId="06D63FFE" w14:textId="77777777" w:rsidR="006D6738" w:rsidRPr="006D6738" w:rsidRDefault="006D6738" w:rsidP="006D6738">
            <w:pPr>
              <w:spacing w:after="0"/>
              <w:jc w:val="right"/>
              <w:rPr>
                <w:rFonts w:ascii="Arial" w:hAnsi="Arial" w:cs="Arial"/>
                <w:color w:val="auto"/>
                <w:sz w:val="16"/>
                <w:szCs w:val="16"/>
              </w:rPr>
            </w:pPr>
            <w:r w:rsidRPr="006D6738">
              <w:rPr>
                <w:rFonts w:ascii="Arial" w:hAnsi="Arial" w:cs="Arial"/>
                <w:color w:val="auto"/>
                <w:sz w:val="16"/>
                <w:szCs w:val="16"/>
              </w:rPr>
              <w:t>237</w:t>
            </w:r>
          </w:p>
        </w:tc>
        <w:tc>
          <w:tcPr>
            <w:tcW w:w="883" w:type="dxa"/>
            <w:tcBorders>
              <w:top w:val="nil"/>
              <w:left w:val="nil"/>
              <w:bottom w:val="nil"/>
              <w:right w:val="nil"/>
            </w:tcBorders>
            <w:shd w:val="clear" w:color="auto" w:fill="auto"/>
            <w:noWrap/>
            <w:vAlign w:val="bottom"/>
            <w:hideMark/>
          </w:tcPr>
          <w:p w14:paraId="6461AFD0" w14:textId="77777777" w:rsidR="006D6738" w:rsidRPr="006D6738" w:rsidRDefault="006D6738" w:rsidP="006D6738">
            <w:pPr>
              <w:spacing w:after="0"/>
              <w:jc w:val="right"/>
              <w:rPr>
                <w:rFonts w:ascii="Arial" w:hAnsi="Arial" w:cs="Arial"/>
                <w:color w:val="auto"/>
                <w:sz w:val="16"/>
                <w:szCs w:val="16"/>
              </w:rPr>
            </w:pPr>
            <w:r w:rsidRPr="006D6738">
              <w:rPr>
                <w:rFonts w:ascii="Arial" w:hAnsi="Arial" w:cs="Arial"/>
                <w:color w:val="auto"/>
                <w:sz w:val="16"/>
                <w:szCs w:val="16"/>
              </w:rPr>
              <w:t>200</w:t>
            </w:r>
          </w:p>
        </w:tc>
      </w:tr>
      <w:tr w:rsidR="006D6738" w:rsidRPr="006D6738" w14:paraId="30CF40B6" w14:textId="77777777" w:rsidTr="006D6738">
        <w:trPr>
          <w:trHeight w:val="227"/>
        </w:trPr>
        <w:tc>
          <w:tcPr>
            <w:tcW w:w="2943" w:type="dxa"/>
            <w:tcBorders>
              <w:top w:val="nil"/>
              <w:left w:val="nil"/>
              <w:bottom w:val="nil"/>
              <w:right w:val="nil"/>
            </w:tcBorders>
            <w:shd w:val="clear" w:color="auto" w:fill="auto"/>
            <w:noWrap/>
            <w:vAlign w:val="bottom"/>
            <w:hideMark/>
          </w:tcPr>
          <w:p w14:paraId="07244666" w14:textId="77777777" w:rsidR="006D6738" w:rsidRPr="006D6738" w:rsidRDefault="006D6738" w:rsidP="006D6738">
            <w:pPr>
              <w:spacing w:after="0"/>
              <w:ind w:leftChars="75" w:left="143"/>
              <w:rPr>
                <w:rFonts w:ascii="Arial" w:hAnsi="Arial" w:cs="Arial"/>
                <w:color w:val="auto"/>
                <w:sz w:val="16"/>
                <w:szCs w:val="16"/>
              </w:rPr>
            </w:pPr>
            <w:r w:rsidRPr="006D6738">
              <w:rPr>
                <w:rFonts w:ascii="Arial" w:hAnsi="Arial" w:cs="Arial"/>
                <w:color w:val="auto"/>
                <w:sz w:val="16"/>
                <w:szCs w:val="16"/>
              </w:rPr>
              <w:t>Write down and impairment of assets</w:t>
            </w:r>
          </w:p>
        </w:tc>
        <w:tc>
          <w:tcPr>
            <w:tcW w:w="891" w:type="dxa"/>
            <w:tcBorders>
              <w:top w:val="nil"/>
              <w:left w:val="nil"/>
              <w:bottom w:val="nil"/>
              <w:right w:val="nil"/>
            </w:tcBorders>
            <w:shd w:val="clear" w:color="auto" w:fill="auto"/>
            <w:noWrap/>
            <w:vAlign w:val="bottom"/>
            <w:hideMark/>
          </w:tcPr>
          <w:p w14:paraId="15AD65E3" w14:textId="77777777" w:rsidR="006D6738" w:rsidRPr="006D6738" w:rsidRDefault="006D6738" w:rsidP="006D6738">
            <w:pPr>
              <w:spacing w:after="0"/>
              <w:jc w:val="right"/>
              <w:rPr>
                <w:rFonts w:ascii="Arial" w:hAnsi="Arial" w:cs="Arial"/>
                <w:color w:val="auto"/>
                <w:sz w:val="16"/>
                <w:szCs w:val="16"/>
              </w:rPr>
            </w:pPr>
            <w:r w:rsidRPr="006D6738">
              <w:rPr>
                <w:rFonts w:ascii="Arial" w:hAnsi="Arial" w:cs="Arial"/>
                <w:color w:val="auto"/>
                <w:sz w:val="16"/>
                <w:szCs w:val="16"/>
              </w:rPr>
              <w:t>453</w:t>
            </w:r>
          </w:p>
        </w:tc>
        <w:tc>
          <w:tcPr>
            <w:tcW w:w="877" w:type="dxa"/>
            <w:tcBorders>
              <w:top w:val="nil"/>
              <w:left w:val="nil"/>
              <w:bottom w:val="nil"/>
              <w:right w:val="nil"/>
            </w:tcBorders>
            <w:shd w:val="clear" w:color="000000" w:fill="D9D9D9"/>
            <w:noWrap/>
            <w:vAlign w:val="bottom"/>
            <w:hideMark/>
          </w:tcPr>
          <w:p w14:paraId="382A7D19" w14:textId="77777777" w:rsidR="006D6738" w:rsidRPr="006D6738" w:rsidRDefault="006D6738" w:rsidP="006D6738">
            <w:pPr>
              <w:spacing w:after="0"/>
              <w:jc w:val="right"/>
              <w:rPr>
                <w:rFonts w:ascii="Arial" w:hAnsi="Arial" w:cs="Arial"/>
                <w:color w:val="auto"/>
                <w:sz w:val="16"/>
                <w:szCs w:val="16"/>
              </w:rPr>
            </w:pPr>
            <w:r w:rsidRPr="006D6738">
              <w:rPr>
                <w:rFonts w:ascii="Arial" w:hAnsi="Arial" w:cs="Arial"/>
                <w:color w:val="auto"/>
                <w:sz w:val="16"/>
                <w:szCs w:val="16"/>
              </w:rPr>
              <w:t>-</w:t>
            </w:r>
          </w:p>
        </w:tc>
        <w:tc>
          <w:tcPr>
            <w:tcW w:w="883" w:type="dxa"/>
            <w:tcBorders>
              <w:top w:val="nil"/>
              <w:left w:val="nil"/>
              <w:bottom w:val="nil"/>
              <w:right w:val="nil"/>
            </w:tcBorders>
            <w:shd w:val="clear" w:color="auto" w:fill="auto"/>
            <w:noWrap/>
            <w:vAlign w:val="bottom"/>
            <w:hideMark/>
          </w:tcPr>
          <w:p w14:paraId="510DF46F" w14:textId="77777777" w:rsidR="006D6738" w:rsidRPr="006D6738" w:rsidRDefault="006D6738" w:rsidP="006D6738">
            <w:pPr>
              <w:spacing w:after="0"/>
              <w:jc w:val="right"/>
              <w:rPr>
                <w:rFonts w:ascii="Arial" w:hAnsi="Arial" w:cs="Arial"/>
                <w:color w:val="auto"/>
                <w:sz w:val="16"/>
                <w:szCs w:val="16"/>
              </w:rPr>
            </w:pPr>
            <w:r w:rsidRPr="006D6738">
              <w:rPr>
                <w:rFonts w:ascii="Arial" w:hAnsi="Arial" w:cs="Arial"/>
                <w:color w:val="auto"/>
                <w:sz w:val="16"/>
                <w:szCs w:val="16"/>
              </w:rPr>
              <w:t>-</w:t>
            </w:r>
          </w:p>
        </w:tc>
        <w:tc>
          <w:tcPr>
            <w:tcW w:w="883" w:type="dxa"/>
            <w:tcBorders>
              <w:top w:val="nil"/>
              <w:left w:val="nil"/>
              <w:bottom w:val="nil"/>
              <w:right w:val="nil"/>
            </w:tcBorders>
            <w:shd w:val="clear" w:color="auto" w:fill="auto"/>
            <w:noWrap/>
            <w:vAlign w:val="bottom"/>
            <w:hideMark/>
          </w:tcPr>
          <w:p w14:paraId="1F6723B0" w14:textId="77777777" w:rsidR="006D6738" w:rsidRPr="006D6738" w:rsidRDefault="006D6738" w:rsidP="006D6738">
            <w:pPr>
              <w:spacing w:after="0"/>
              <w:jc w:val="right"/>
              <w:rPr>
                <w:rFonts w:ascii="Arial" w:hAnsi="Arial" w:cs="Arial"/>
                <w:color w:val="auto"/>
                <w:sz w:val="16"/>
                <w:szCs w:val="16"/>
              </w:rPr>
            </w:pPr>
            <w:r w:rsidRPr="006D6738">
              <w:rPr>
                <w:rFonts w:ascii="Arial" w:hAnsi="Arial" w:cs="Arial"/>
                <w:color w:val="auto"/>
                <w:sz w:val="16"/>
                <w:szCs w:val="16"/>
              </w:rPr>
              <w:t>-</w:t>
            </w:r>
          </w:p>
        </w:tc>
        <w:tc>
          <w:tcPr>
            <w:tcW w:w="883" w:type="dxa"/>
            <w:tcBorders>
              <w:top w:val="nil"/>
              <w:left w:val="nil"/>
              <w:bottom w:val="nil"/>
              <w:right w:val="nil"/>
            </w:tcBorders>
            <w:shd w:val="clear" w:color="auto" w:fill="auto"/>
            <w:noWrap/>
            <w:vAlign w:val="bottom"/>
            <w:hideMark/>
          </w:tcPr>
          <w:p w14:paraId="52D0D6DA" w14:textId="77777777" w:rsidR="006D6738" w:rsidRPr="006D6738" w:rsidRDefault="006D6738" w:rsidP="006D6738">
            <w:pPr>
              <w:spacing w:after="0"/>
              <w:jc w:val="right"/>
              <w:rPr>
                <w:rFonts w:ascii="Arial" w:hAnsi="Arial" w:cs="Arial"/>
                <w:color w:val="auto"/>
                <w:sz w:val="16"/>
                <w:szCs w:val="16"/>
              </w:rPr>
            </w:pPr>
            <w:r w:rsidRPr="006D6738">
              <w:rPr>
                <w:rFonts w:ascii="Arial" w:hAnsi="Arial" w:cs="Arial"/>
                <w:color w:val="auto"/>
                <w:sz w:val="16"/>
                <w:szCs w:val="16"/>
              </w:rPr>
              <w:t>-</w:t>
            </w:r>
          </w:p>
        </w:tc>
      </w:tr>
      <w:tr w:rsidR="006D6738" w:rsidRPr="006D6738" w14:paraId="5BF1E9DA" w14:textId="77777777" w:rsidTr="006D6738">
        <w:trPr>
          <w:trHeight w:val="227"/>
        </w:trPr>
        <w:tc>
          <w:tcPr>
            <w:tcW w:w="2943" w:type="dxa"/>
            <w:tcBorders>
              <w:top w:val="nil"/>
              <w:left w:val="nil"/>
              <w:bottom w:val="nil"/>
              <w:right w:val="nil"/>
            </w:tcBorders>
            <w:shd w:val="clear" w:color="auto" w:fill="auto"/>
            <w:noWrap/>
            <w:vAlign w:val="bottom"/>
            <w:hideMark/>
          </w:tcPr>
          <w:p w14:paraId="19F265F4" w14:textId="77777777" w:rsidR="006D6738" w:rsidRPr="006D6738" w:rsidRDefault="006D6738" w:rsidP="006D6738">
            <w:pPr>
              <w:spacing w:after="0"/>
              <w:ind w:leftChars="75" w:left="143"/>
              <w:rPr>
                <w:rFonts w:ascii="Arial" w:hAnsi="Arial" w:cs="Arial"/>
                <w:b/>
                <w:bCs/>
                <w:color w:val="auto"/>
                <w:sz w:val="16"/>
                <w:szCs w:val="16"/>
              </w:rPr>
            </w:pPr>
            <w:r w:rsidRPr="006D6738">
              <w:rPr>
                <w:rFonts w:ascii="Arial" w:hAnsi="Arial" w:cs="Arial"/>
                <w:b/>
                <w:bCs/>
                <w:color w:val="auto"/>
                <w:sz w:val="16"/>
                <w:szCs w:val="16"/>
              </w:rPr>
              <w:t>Total expenses</w:t>
            </w:r>
          </w:p>
        </w:tc>
        <w:tc>
          <w:tcPr>
            <w:tcW w:w="891" w:type="dxa"/>
            <w:tcBorders>
              <w:top w:val="nil"/>
              <w:left w:val="nil"/>
              <w:bottom w:val="single" w:sz="4" w:space="0" w:color="auto"/>
              <w:right w:val="nil"/>
            </w:tcBorders>
            <w:shd w:val="clear" w:color="auto" w:fill="auto"/>
            <w:noWrap/>
            <w:vAlign w:val="bottom"/>
            <w:hideMark/>
          </w:tcPr>
          <w:p w14:paraId="033E0155" w14:textId="77777777" w:rsidR="006D6738" w:rsidRPr="006D6738" w:rsidRDefault="006D6738" w:rsidP="006D6738">
            <w:pPr>
              <w:spacing w:after="0"/>
              <w:jc w:val="right"/>
              <w:rPr>
                <w:rFonts w:ascii="Arial" w:hAnsi="Arial" w:cs="Arial"/>
                <w:b/>
                <w:bCs/>
                <w:color w:val="auto"/>
                <w:sz w:val="16"/>
                <w:szCs w:val="16"/>
              </w:rPr>
            </w:pPr>
            <w:r w:rsidRPr="006D6738">
              <w:rPr>
                <w:rFonts w:ascii="Arial" w:hAnsi="Arial" w:cs="Arial"/>
                <w:b/>
                <w:bCs/>
                <w:color w:val="auto"/>
                <w:sz w:val="16"/>
                <w:szCs w:val="16"/>
              </w:rPr>
              <w:t>98,593</w:t>
            </w:r>
          </w:p>
        </w:tc>
        <w:tc>
          <w:tcPr>
            <w:tcW w:w="877" w:type="dxa"/>
            <w:tcBorders>
              <w:top w:val="nil"/>
              <w:left w:val="nil"/>
              <w:bottom w:val="single" w:sz="4" w:space="0" w:color="auto"/>
              <w:right w:val="nil"/>
            </w:tcBorders>
            <w:shd w:val="clear" w:color="000000" w:fill="D9D9D9"/>
            <w:noWrap/>
            <w:vAlign w:val="bottom"/>
            <w:hideMark/>
          </w:tcPr>
          <w:p w14:paraId="7CC5DC7D" w14:textId="77777777" w:rsidR="006D6738" w:rsidRPr="006D6738" w:rsidRDefault="006D6738" w:rsidP="006D6738">
            <w:pPr>
              <w:spacing w:after="0"/>
              <w:jc w:val="right"/>
              <w:rPr>
                <w:rFonts w:ascii="Arial" w:hAnsi="Arial" w:cs="Arial"/>
                <w:b/>
                <w:bCs/>
                <w:color w:val="auto"/>
                <w:sz w:val="16"/>
                <w:szCs w:val="16"/>
              </w:rPr>
            </w:pPr>
            <w:r w:rsidRPr="006D6738">
              <w:rPr>
                <w:rFonts w:ascii="Arial" w:hAnsi="Arial" w:cs="Arial"/>
                <w:b/>
                <w:bCs/>
                <w:color w:val="auto"/>
                <w:sz w:val="16"/>
                <w:szCs w:val="16"/>
              </w:rPr>
              <w:t>100,242</w:t>
            </w:r>
          </w:p>
        </w:tc>
        <w:tc>
          <w:tcPr>
            <w:tcW w:w="883" w:type="dxa"/>
            <w:tcBorders>
              <w:top w:val="nil"/>
              <w:left w:val="nil"/>
              <w:bottom w:val="single" w:sz="4" w:space="0" w:color="auto"/>
              <w:right w:val="nil"/>
            </w:tcBorders>
            <w:shd w:val="clear" w:color="auto" w:fill="auto"/>
            <w:noWrap/>
            <w:vAlign w:val="bottom"/>
            <w:hideMark/>
          </w:tcPr>
          <w:p w14:paraId="4DA8939C" w14:textId="77777777" w:rsidR="006D6738" w:rsidRPr="006D6738" w:rsidRDefault="006D6738" w:rsidP="006D6738">
            <w:pPr>
              <w:spacing w:after="0"/>
              <w:jc w:val="right"/>
              <w:rPr>
                <w:rFonts w:ascii="Arial" w:hAnsi="Arial" w:cs="Arial"/>
                <w:b/>
                <w:bCs/>
                <w:color w:val="auto"/>
                <w:sz w:val="16"/>
                <w:szCs w:val="16"/>
              </w:rPr>
            </w:pPr>
            <w:r w:rsidRPr="006D6738">
              <w:rPr>
                <w:rFonts w:ascii="Arial" w:hAnsi="Arial" w:cs="Arial"/>
                <w:b/>
                <w:bCs/>
                <w:color w:val="auto"/>
                <w:sz w:val="16"/>
                <w:szCs w:val="16"/>
              </w:rPr>
              <w:t>99,480</w:t>
            </w:r>
          </w:p>
        </w:tc>
        <w:tc>
          <w:tcPr>
            <w:tcW w:w="883" w:type="dxa"/>
            <w:tcBorders>
              <w:top w:val="nil"/>
              <w:left w:val="nil"/>
              <w:bottom w:val="single" w:sz="4" w:space="0" w:color="auto"/>
              <w:right w:val="nil"/>
            </w:tcBorders>
            <w:shd w:val="clear" w:color="auto" w:fill="auto"/>
            <w:noWrap/>
            <w:vAlign w:val="bottom"/>
            <w:hideMark/>
          </w:tcPr>
          <w:p w14:paraId="57339D50" w14:textId="77777777" w:rsidR="006D6738" w:rsidRPr="006D6738" w:rsidRDefault="006D6738" w:rsidP="006D6738">
            <w:pPr>
              <w:spacing w:after="0"/>
              <w:jc w:val="right"/>
              <w:rPr>
                <w:rFonts w:ascii="Arial" w:hAnsi="Arial" w:cs="Arial"/>
                <w:b/>
                <w:bCs/>
                <w:color w:val="auto"/>
                <w:sz w:val="16"/>
                <w:szCs w:val="16"/>
              </w:rPr>
            </w:pPr>
            <w:r w:rsidRPr="006D6738">
              <w:rPr>
                <w:rFonts w:ascii="Arial" w:hAnsi="Arial" w:cs="Arial"/>
                <w:b/>
                <w:bCs/>
                <w:color w:val="auto"/>
                <w:sz w:val="16"/>
                <w:szCs w:val="16"/>
              </w:rPr>
              <w:t>99,332</w:t>
            </w:r>
          </w:p>
        </w:tc>
        <w:tc>
          <w:tcPr>
            <w:tcW w:w="883" w:type="dxa"/>
            <w:tcBorders>
              <w:top w:val="nil"/>
              <w:left w:val="nil"/>
              <w:bottom w:val="single" w:sz="4" w:space="0" w:color="auto"/>
              <w:right w:val="nil"/>
            </w:tcBorders>
            <w:shd w:val="clear" w:color="auto" w:fill="auto"/>
            <w:noWrap/>
            <w:vAlign w:val="bottom"/>
            <w:hideMark/>
          </w:tcPr>
          <w:p w14:paraId="7226F780" w14:textId="77777777" w:rsidR="006D6738" w:rsidRPr="006D6738" w:rsidRDefault="006D6738" w:rsidP="006D6738">
            <w:pPr>
              <w:spacing w:after="0"/>
              <w:jc w:val="right"/>
              <w:rPr>
                <w:rFonts w:ascii="Arial" w:hAnsi="Arial" w:cs="Arial"/>
                <w:b/>
                <w:bCs/>
                <w:color w:val="auto"/>
                <w:sz w:val="16"/>
                <w:szCs w:val="16"/>
              </w:rPr>
            </w:pPr>
            <w:r w:rsidRPr="006D6738">
              <w:rPr>
                <w:rFonts w:ascii="Arial" w:hAnsi="Arial" w:cs="Arial"/>
                <w:b/>
                <w:bCs/>
                <w:color w:val="auto"/>
                <w:sz w:val="16"/>
                <w:szCs w:val="16"/>
              </w:rPr>
              <w:t>99,117</w:t>
            </w:r>
          </w:p>
        </w:tc>
      </w:tr>
      <w:tr w:rsidR="006D6738" w:rsidRPr="006D6738" w14:paraId="4B1AFF2C" w14:textId="77777777" w:rsidTr="006D6738">
        <w:trPr>
          <w:trHeight w:val="227"/>
        </w:trPr>
        <w:tc>
          <w:tcPr>
            <w:tcW w:w="2943" w:type="dxa"/>
            <w:tcBorders>
              <w:top w:val="nil"/>
              <w:left w:val="nil"/>
              <w:bottom w:val="nil"/>
              <w:right w:val="nil"/>
            </w:tcBorders>
            <w:shd w:val="clear" w:color="auto" w:fill="auto"/>
            <w:noWrap/>
            <w:vAlign w:val="bottom"/>
            <w:hideMark/>
          </w:tcPr>
          <w:p w14:paraId="6AA52FE0" w14:textId="77777777" w:rsidR="006D6738" w:rsidRPr="006D6738" w:rsidRDefault="006D6738" w:rsidP="006D6738">
            <w:pPr>
              <w:spacing w:after="0"/>
              <w:rPr>
                <w:rFonts w:ascii="Arial" w:hAnsi="Arial" w:cs="Arial"/>
                <w:b/>
                <w:bCs/>
                <w:color w:val="auto"/>
                <w:sz w:val="16"/>
                <w:szCs w:val="16"/>
              </w:rPr>
            </w:pPr>
            <w:r w:rsidRPr="006D6738">
              <w:rPr>
                <w:rFonts w:ascii="Arial" w:hAnsi="Arial" w:cs="Arial"/>
                <w:b/>
                <w:bCs/>
                <w:color w:val="auto"/>
                <w:sz w:val="16"/>
                <w:szCs w:val="16"/>
              </w:rPr>
              <w:t xml:space="preserve">LESS: </w:t>
            </w:r>
          </w:p>
        </w:tc>
        <w:tc>
          <w:tcPr>
            <w:tcW w:w="891" w:type="dxa"/>
            <w:tcBorders>
              <w:top w:val="nil"/>
              <w:left w:val="nil"/>
              <w:bottom w:val="nil"/>
              <w:right w:val="nil"/>
            </w:tcBorders>
            <w:shd w:val="clear" w:color="auto" w:fill="auto"/>
            <w:noWrap/>
            <w:vAlign w:val="bottom"/>
            <w:hideMark/>
          </w:tcPr>
          <w:p w14:paraId="5E2AA2DA" w14:textId="77777777" w:rsidR="006D6738" w:rsidRPr="006D6738" w:rsidRDefault="006D6738" w:rsidP="006D6738">
            <w:pPr>
              <w:spacing w:after="0"/>
              <w:jc w:val="right"/>
              <w:rPr>
                <w:rFonts w:ascii="Arial" w:hAnsi="Arial" w:cs="Arial"/>
                <w:color w:val="auto"/>
                <w:sz w:val="16"/>
                <w:szCs w:val="16"/>
              </w:rPr>
            </w:pPr>
            <w:r w:rsidRPr="006D6738">
              <w:rPr>
                <w:rFonts w:ascii="Arial" w:hAnsi="Arial" w:cs="Arial"/>
                <w:color w:val="auto"/>
                <w:sz w:val="16"/>
                <w:szCs w:val="16"/>
              </w:rPr>
              <w:t>`</w:t>
            </w:r>
          </w:p>
        </w:tc>
        <w:tc>
          <w:tcPr>
            <w:tcW w:w="877" w:type="dxa"/>
            <w:tcBorders>
              <w:top w:val="nil"/>
              <w:left w:val="nil"/>
              <w:bottom w:val="nil"/>
              <w:right w:val="nil"/>
            </w:tcBorders>
            <w:shd w:val="clear" w:color="000000" w:fill="D9D9D9"/>
            <w:noWrap/>
            <w:vAlign w:val="bottom"/>
            <w:hideMark/>
          </w:tcPr>
          <w:p w14:paraId="24B6766A" w14:textId="77777777" w:rsidR="006D6738" w:rsidRPr="006D6738" w:rsidRDefault="006D6738" w:rsidP="006D6738">
            <w:pPr>
              <w:spacing w:after="0"/>
              <w:jc w:val="right"/>
              <w:rPr>
                <w:rFonts w:ascii="Arial" w:hAnsi="Arial" w:cs="Arial"/>
                <w:b/>
                <w:bCs/>
                <w:color w:val="auto"/>
                <w:sz w:val="16"/>
                <w:szCs w:val="16"/>
              </w:rPr>
            </w:pPr>
            <w:r w:rsidRPr="006D6738">
              <w:rPr>
                <w:rFonts w:ascii="Arial" w:hAnsi="Arial" w:cs="Arial"/>
                <w:b/>
                <w:bCs/>
                <w:color w:val="auto"/>
                <w:sz w:val="16"/>
                <w:szCs w:val="16"/>
              </w:rPr>
              <w:t> </w:t>
            </w:r>
          </w:p>
        </w:tc>
        <w:tc>
          <w:tcPr>
            <w:tcW w:w="883" w:type="dxa"/>
            <w:tcBorders>
              <w:top w:val="nil"/>
              <w:left w:val="nil"/>
              <w:bottom w:val="nil"/>
              <w:right w:val="nil"/>
            </w:tcBorders>
            <w:shd w:val="clear" w:color="auto" w:fill="auto"/>
            <w:noWrap/>
            <w:vAlign w:val="bottom"/>
            <w:hideMark/>
          </w:tcPr>
          <w:p w14:paraId="06E98598" w14:textId="77777777" w:rsidR="006D6738" w:rsidRPr="006D6738" w:rsidRDefault="006D6738" w:rsidP="006D6738">
            <w:pPr>
              <w:spacing w:after="0"/>
              <w:jc w:val="right"/>
              <w:rPr>
                <w:rFonts w:ascii="Arial" w:hAnsi="Arial" w:cs="Arial"/>
                <w:b/>
                <w:bCs/>
                <w:color w:val="auto"/>
                <w:sz w:val="16"/>
                <w:szCs w:val="16"/>
              </w:rPr>
            </w:pPr>
          </w:p>
        </w:tc>
        <w:tc>
          <w:tcPr>
            <w:tcW w:w="883" w:type="dxa"/>
            <w:tcBorders>
              <w:top w:val="nil"/>
              <w:left w:val="nil"/>
              <w:bottom w:val="nil"/>
              <w:right w:val="nil"/>
            </w:tcBorders>
            <w:shd w:val="clear" w:color="auto" w:fill="auto"/>
            <w:noWrap/>
            <w:vAlign w:val="bottom"/>
            <w:hideMark/>
          </w:tcPr>
          <w:p w14:paraId="47B6DDD4" w14:textId="77777777" w:rsidR="006D6738" w:rsidRPr="006D6738" w:rsidRDefault="006D6738" w:rsidP="006D6738">
            <w:pPr>
              <w:spacing w:after="0"/>
              <w:jc w:val="right"/>
              <w:rPr>
                <w:rFonts w:ascii="Times New Roman" w:hAnsi="Times New Roman"/>
                <w:color w:val="auto"/>
                <w:sz w:val="20"/>
              </w:rPr>
            </w:pPr>
          </w:p>
        </w:tc>
        <w:tc>
          <w:tcPr>
            <w:tcW w:w="883" w:type="dxa"/>
            <w:tcBorders>
              <w:top w:val="nil"/>
              <w:left w:val="nil"/>
              <w:bottom w:val="nil"/>
              <w:right w:val="nil"/>
            </w:tcBorders>
            <w:shd w:val="clear" w:color="auto" w:fill="auto"/>
            <w:noWrap/>
            <w:vAlign w:val="bottom"/>
            <w:hideMark/>
          </w:tcPr>
          <w:p w14:paraId="4D68DE0A" w14:textId="77777777" w:rsidR="006D6738" w:rsidRPr="006D6738" w:rsidRDefault="006D6738" w:rsidP="006D6738">
            <w:pPr>
              <w:spacing w:after="0"/>
              <w:jc w:val="right"/>
              <w:rPr>
                <w:rFonts w:ascii="Times New Roman" w:hAnsi="Times New Roman"/>
                <w:color w:val="auto"/>
                <w:sz w:val="20"/>
              </w:rPr>
            </w:pPr>
          </w:p>
        </w:tc>
      </w:tr>
      <w:tr w:rsidR="006D6738" w:rsidRPr="006D6738" w14:paraId="493EC5B7" w14:textId="77777777" w:rsidTr="006D6738">
        <w:trPr>
          <w:trHeight w:val="227"/>
        </w:trPr>
        <w:tc>
          <w:tcPr>
            <w:tcW w:w="2943" w:type="dxa"/>
            <w:tcBorders>
              <w:top w:val="nil"/>
              <w:left w:val="nil"/>
              <w:bottom w:val="nil"/>
              <w:right w:val="nil"/>
            </w:tcBorders>
            <w:shd w:val="clear" w:color="auto" w:fill="auto"/>
            <w:noWrap/>
            <w:vAlign w:val="bottom"/>
            <w:hideMark/>
          </w:tcPr>
          <w:p w14:paraId="65BC1725" w14:textId="77777777" w:rsidR="006D6738" w:rsidRPr="006D6738" w:rsidRDefault="006D6738" w:rsidP="006D6738">
            <w:pPr>
              <w:spacing w:after="0"/>
              <w:rPr>
                <w:rFonts w:ascii="Arial" w:hAnsi="Arial" w:cs="Arial"/>
                <w:b/>
                <w:bCs/>
                <w:color w:val="auto"/>
                <w:sz w:val="16"/>
                <w:szCs w:val="16"/>
              </w:rPr>
            </w:pPr>
            <w:r w:rsidRPr="006D6738">
              <w:rPr>
                <w:rFonts w:ascii="Arial" w:hAnsi="Arial" w:cs="Arial"/>
                <w:b/>
                <w:bCs/>
                <w:color w:val="auto"/>
                <w:sz w:val="16"/>
                <w:szCs w:val="16"/>
              </w:rPr>
              <w:t>OWN-SOURCE INCOME</w:t>
            </w:r>
          </w:p>
        </w:tc>
        <w:tc>
          <w:tcPr>
            <w:tcW w:w="891" w:type="dxa"/>
            <w:tcBorders>
              <w:top w:val="nil"/>
              <w:left w:val="nil"/>
              <w:bottom w:val="nil"/>
              <w:right w:val="nil"/>
            </w:tcBorders>
            <w:shd w:val="clear" w:color="auto" w:fill="auto"/>
            <w:noWrap/>
            <w:vAlign w:val="bottom"/>
            <w:hideMark/>
          </w:tcPr>
          <w:p w14:paraId="7BD0D050" w14:textId="77777777" w:rsidR="006D6738" w:rsidRPr="006D6738" w:rsidRDefault="006D6738" w:rsidP="006D6738">
            <w:pPr>
              <w:spacing w:after="0"/>
              <w:rPr>
                <w:rFonts w:ascii="Arial" w:hAnsi="Arial" w:cs="Arial"/>
                <w:b/>
                <w:bCs/>
                <w:color w:val="auto"/>
                <w:sz w:val="16"/>
                <w:szCs w:val="16"/>
              </w:rPr>
            </w:pPr>
          </w:p>
        </w:tc>
        <w:tc>
          <w:tcPr>
            <w:tcW w:w="877" w:type="dxa"/>
            <w:tcBorders>
              <w:top w:val="nil"/>
              <w:left w:val="nil"/>
              <w:bottom w:val="nil"/>
              <w:right w:val="nil"/>
            </w:tcBorders>
            <w:shd w:val="clear" w:color="000000" w:fill="D9D9D9"/>
            <w:noWrap/>
            <w:vAlign w:val="bottom"/>
            <w:hideMark/>
          </w:tcPr>
          <w:p w14:paraId="14D48028" w14:textId="77777777" w:rsidR="006D6738" w:rsidRPr="006D6738" w:rsidRDefault="006D6738" w:rsidP="006D6738">
            <w:pPr>
              <w:spacing w:after="0"/>
              <w:jc w:val="right"/>
              <w:rPr>
                <w:rFonts w:ascii="Arial" w:hAnsi="Arial" w:cs="Arial"/>
                <w:b/>
                <w:bCs/>
                <w:color w:val="auto"/>
                <w:sz w:val="16"/>
                <w:szCs w:val="16"/>
              </w:rPr>
            </w:pPr>
            <w:r w:rsidRPr="006D6738">
              <w:rPr>
                <w:rFonts w:ascii="Arial" w:hAnsi="Arial" w:cs="Arial"/>
                <w:b/>
                <w:bCs/>
                <w:color w:val="auto"/>
                <w:sz w:val="16"/>
                <w:szCs w:val="16"/>
              </w:rPr>
              <w:t> </w:t>
            </w:r>
          </w:p>
        </w:tc>
        <w:tc>
          <w:tcPr>
            <w:tcW w:w="883" w:type="dxa"/>
            <w:tcBorders>
              <w:top w:val="nil"/>
              <w:left w:val="nil"/>
              <w:bottom w:val="nil"/>
              <w:right w:val="nil"/>
            </w:tcBorders>
            <w:shd w:val="clear" w:color="auto" w:fill="auto"/>
            <w:noWrap/>
            <w:vAlign w:val="bottom"/>
            <w:hideMark/>
          </w:tcPr>
          <w:p w14:paraId="37453202" w14:textId="77777777" w:rsidR="006D6738" w:rsidRPr="006D6738" w:rsidRDefault="006D6738" w:rsidP="006D6738">
            <w:pPr>
              <w:spacing w:after="0"/>
              <w:jc w:val="right"/>
              <w:rPr>
                <w:rFonts w:ascii="Arial" w:hAnsi="Arial" w:cs="Arial"/>
                <w:b/>
                <w:bCs/>
                <w:color w:val="auto"/>
                <w:sz w:val="16"/>
                <w:szCs w:val="16"/>
              </w:rPr>
            </w:pPr>
          </w:p>
        </w:tc>
        <w:tc>
          <w:tcPr>
            <w:tcW w:w="883" w:type="dxa"/>
            <w:tcBorders>
              <w:top w:val="nil"/>
              <w:left w:val="nil"/>
              <w:bottom w:val="nil"/>
              <w:right w:val="nil"/>
            </w:tcBorders>
            <w:shd w:val="clear" w:color="auto" w:fill="auto"/>
            <w:noWrap/>
            <w:vAlign w:val="bottom"/>
            <w:hideMark/>
          </w:tcPr>
          <w:p w14:paraId="749C4865" w14:textId="77777777" w:rsidR="006D6738" w:rsidRPr="006D6738" w:rsidRDefault="006D6738" w:rsidP="006D6738">
            <w:pPr>
              <w:spacing w:after="0"/>
              <w:jc w:val="right"/>
              <w:rPr>
                <w:rFonts w:ascii="Times New Roman" w:hAnsi="Times New Roman"/>
                <w:color w:val="auto"/>
                <w:sz w:val="20"/>
              </w:rPr>
            </w:pPr>
          </w:p>
        </w:tc>
        <w:tc>
          <w:tcPr>
            <w:tcW w:w="883" w:type="dxa"/>
            <w:tcBorders>
              <w:top w:val="nil"/>
              <w:left w:val="nil"/>
              <w:bottom w:val="nil"/>
              <w:right w:val="nil"/>
            </w:tcBorders>
            <w:shd w:val="clear" w:color="auto" w:fill="auto"/>
            <w:noWrap/>
            <w:vAlign w:val="bottom"/>
            <w:hideMark/>
          </w:tcPr>
          <w:p w14:paraId="2A924A72" w14:textId="77777777" w:rsidR="006D6738" w:rsidRPr="006D6738" w:rsidRDefault="006D6738" w:rsidP="006D6738">
            <w:pPr>
              <w:spacing w:after="0"/>
              <w:jc w:val="right"/>
              <w:rPr>
                <w:rFonts w:ascii="Times New Roman" w:hAnsi="Times New Roman"/>
                <w:color w:val="auto"/>
                <w:sz w:val="20"/>
              </w:rPr>
            </w:pPr>
          </w:p>
        </w:tc>
      </w:tr>
      <w:tr w:rsidR="006D6738" w:rsidRPr="006D6738" w14:paraId="20BC60A8" w14:textId="77777777" w:rsidTr="006D6738">
        <w:trPr>
          <w:trHeight w:val="227"/>
        </w:trPr>
        <w:tc>
          <w:tcPr>
            <w:tcW w:w="2943" w:type="dxa"/>
            <w:tcBorders>
              <w:top w:val="nil"/>
              <w:left w:val="nil"/>
              <w:bottom w:val="nil"/>
              <w:right w:val="nil"/>
            </w:tcBorders>
            <w:shd w:val="clear" w:color="auto" w:fill="auto"/>
            <w:noWrap/>
            <w:vAlign w:val="bottom"/>
            <w:hideMark/>
          </w:tcPr>
          <w:p w14:paraId="0833D034" w14:textId="77777777" w:rsidR="006D6738" w:rsidRPr="006D6738" w:rsidRDefault="006D6738" w:rsidP="006D6738">
            <w:pPr>
              <w:spacing w:after="0"/>
              <w:ind w:firstLineChars="100" w:firstLine="160"/>
              <w:rPr>
                <w:rFonts w:ascii="Arial" w:hAnsi="Arial" w:cs="Arial"/>
                <w:b/>
                <w:bCs/>
                <w:color w:val="auto"/>
                <w:sz w:val="16"/>
                <w:szCs w:val="16"/>
              </w:rPr>
            </w:pPr>
            <w:r w:rsidRPr="006D6738">
              <w:rPr>
                <w:rFonts w:ascii="Arial" w:hAnsi="Arial" w:cs="Arial"/>
                <w:b/>
                <w:bCs/>
                <w:color w:val="auto"/>
                <w:sz w:val="16"/>
                <w:szCs w:val="16"/>
              </w:rPr>
              <w:t>Revenue</w:t>
            </w:r>
          </w:p>
        </w:tc>
        <w:tc>
          <w:tcPr>
            <w:tcW w:w="891" w:type="dxa"/>
            <w:tcBorders>
              <w:top w:val="nil"/>
              <w:left w:val="nil"/>
              <w:bottom w:val="nil"/>
              <w:right w:val="nil"/>
            </w:tcBorders>
            <w:shd w:val="clear" w:color="auto" w:fill="auto"/>
            <w:noWrap/>
            <w:vAlign w:val="bottom"/>
            <w:hideMark/>
          </w:tcPr>
          <w:p w14:paraId="46C722BF" w14:textId="77777777" w:rsidR="006D6738" w:rsidRPr="006D6738" w:rsidRDefault="006D6738" w:rsidP="006D6738">
            <w:pPr>
              <w:spacing w:after="0"/>
              <w:ind w:firstLineChars="100" w:firstLine="160"/>
              <w:rPr>
                <w:rFonts w:ascii="Arial" w:hAnsi="Arial" w:cs="Arial"/>
                <w:b/>
                <w:bCs/>
                <w:color w:val="auto"/>
                <w:sz w:val="16"/>
                <w:szCs w:val="16"/>
              </w:rPr>
            </w:pPr>
          </w:p>
        </w:tc>
        <w:tc>
          <w:tcPr>
            <w:tcW w:w="877" w:type="dxa"/>
            <w:tcBorders>
              <w:top w:val="nil"/>
              <w:left w:val="nil"/>
              <w:bottom w:val="nil"/>
              <w:right w:val="nil"/>
            </w:tcBorders>
            <w:shd w:val="clear" w:color="000000" w:fill="D9D9D9"/>
            <w:noWrap/>
            <w:vAlign w:val="bottom"/>
            <w:hideMark/>
          </w:tcPr>
          <w:p w14:paraId="608CDAA4" w14:textId="77777777" w:rsidR="006D6738" w:rsidRPr="006D6738" w:rsidRDefault="006D6738" w:rsidP="006D6738">
            <w:pPr>
              <w:spacing w:after="0"/>
              <w:jc w:val="right"/>
              <w:rPr>
                <w:rFonts w:ascii="Arial" w:hAnsi="Arial" w:cs="Arial"/>
                <w:b/>
                <w:bCs/>
                <w:color w:val="auto"/>
                <w:sz w:val="16"/>
                <w:szCs w:val="16"/>
              </w:rPr>
            </w:pPr>
            <w:r w:rsidRPr="006D6738">
              <w:rPr>
                <w:rFonts w:ascii="Arial" w:hAnsi="Arial" w:cs="Arial"/>
                <w:b/>
                <w:bCs/>
                <w:color w:val="auto"/>
                <w:sz w:val="16"/>
                <w:szCs w:val="16"/>
              </w:rPr>
              <w:t> </w:t>
            </w:r>
          </w:p>
        </w:tc>
        <w:tc>
          <w:tcPr>
            <w:tcW w:w="883" w:type="dxa"/>
            <w:tcBorders>
              <w:top w:val="nil"/>
              <w:left w:val="nil"/>
              <w:bottom w:val="nil"/>
              <w:right w:val="nil"/>
            </w:tcBorders>
            <w:shd w:val="clear" w:color="auto" w:fill="auto"/>
            <w:noWrap/>
            <w:vAlign w:val="bottom"/>
            <w:hideMark/>
          </w:tcPr>
          <w:p w14:paraId="16ACBCF1" w14:textId="77777777" w:rsidR="006D6738" w:rsidRPr="006D6738" w:rsidRDefault="006D6738" w:rsidP="006D6738">
            <w:pPr>
              <w:spacing w:after="0"/>
              <w:jc w:val="right"/>
              <w:rPr>
                <w:rFonts w:ascii="Arial" w:hAnsi="Arial" w:cs="Arial"/>
                <w:b/>
                <w:bCs/>
                <w:color w:val="auto"/>
                <w:sz w:val="16"/>
                <w:szCs w:val="16"/>
              </w:rPr>
            </w:pPr>
          </w:p>
        </w:tc>
        <w:tc>
          <w:tcPr>
            <w:tcW w:w="883" w:type="dxa"/>
            <w:tcBorders>
              <w:top w:val="nil"/>
              <w:left w:val="nil"/>
              <w:bottom w:val="nil"/>
              <w:right w:val="nil"/>
            </w:tcBorders>
            <w:shd w:val="clear" w:color="auto" w:fill="auto"/>
            <w:noWrap/>
            <w:vAlign w:val="bottom"/>
            <w:hideMark/>
          </w:tcPr>
          <w:p w14:paraId="7BD92A96" w14:textId="77777777" w:rsidR="006D6738" w:rsidRPr="006D6738" w:rsidRDefault="006D6738" w:rsidP="006D6738">
            <w:pPr>
              <w:spacing w:after="0"/>
              <w:jc w:val="right"/>
              <w:rPr>
                <w:rFonts w:ascii="Times New Roman" w:hAnsi="Times New Roman"/>
                <w:color w:val="auto"/>
                <w:sz w:val="20"/>
              </w:rPr>
            </w:pPr>
          </w:p>
        </w:tc>
        <w:tc>
          <w:tcPr>
            <w:tcW w:w="883" w:type="dxa"/>
            <w:tcBorders>
              <w:top w:val="nil"/>
              <w:left w:val="nil"/>
              <w:bottom w:val="nil"/>
              <w:right w:val="nil"/>
            </w:tcBorders>
            <w:shd w:val="clear" w:color="auto" w:fill="auto"/>
            <w:noWrap/>
            <w:vAlign w:val="bottom"/>
            <w:hideMark/>
          </w:tcPr>
          <w:p w14:paraId="5543AFCE" w14:textId="77777777" w:rsidR="006D6738" w:rsidRPr="006D6738" w:rsidRDefault="006D6738" w:rsidP="006D6738">
            <w:pPr>
              <w:spacing w:after="0"/>
              <w:jc w:val="right"/>
              <w:rPr>
                <w:rFonts w:ascii="Times New Roman" w:hAnsi="Times New Roman"/>
                <w:color w:val="auto"/>
                <w:sz w:val="20"/>
              </w:rPr>
            </w:pPr>
          </w:p>
        </w:tc>
      </w:tr>
      <w:tr w:rsidR="006D6738" w:rsidRPr="006D6738" w14:paraId="6F3CADBC" w14:textId="77777777" w:rsidTr="006D6738">
        <w:trPr>
          <w:trHeight w:val="227"/>
        </w:trPr>
        <w:tc>
          <w:tcPr>
            <w:tcW w:w="2943" w:type="dxa"/>
            <w:tcBorders>
              <w:top w:val="nil"/>
              <w:left w:val="nil"/>
              <w:bottom w:val="nil"/>
              <w:right w:val="nil"/>
            </w:tcBorders>
            <w:shd w:val="clear" w:color="auto" w:fill="auto"/>
            <w:vAlign w:val="bottom"/>
            <w:hideMark/>
          </w:tcPr>
          <w:p w14:paraId="75D4D94E" w14:textId="77777777" w:rsidR="006D6738" w:rsidRPr="006D6738" w:rsidRDefault="006D6738" w:rsidP="006D6738">
            <w:pPr>
              <w:spacing w:after="0"/>
              <w:ind w:leftChars="150" w:left="285"/>
              <w:rPr>
                <w:rFonts w:ascii="Arial" w:hAnsi="Arial" w:cs="Arial"/>
                <w:color w:val="auto"/>
                <w:sz w:val="16"/>
                <w:szCs w:val="16"/>
              </w:rPr>
            </w:pPr>
            <w:r w:rsidRPr="006D6738">
              <w:rPr>
                <w:rFonts w:ascii="Arial" w:hAnsi="Arial" w:cs="Arial"/>
                <w:color w:val="auto"/>
                <w:sz w:val="16"/>
                <w:szCs w:val="16"/>
              </w:rPr>
              <w:t>Sale of goods and rendering of services</w:t>
            </w:r>
          </w:p>
        </w:tc>
        <w:tc>
          <w:tcPr>
            <w:tcW w:w="891" w:type="dxa"/>
            <w:tcBorders>
              <w:top w:val="nil"/>
              <w:left w:val="nil"/>
              <w:bottom w:val="nil"/>
              <w:right w:val="nil"/>
            </w:tcBorders>
            <w:shd w:val="clear" w:color="auto" w:fill="auto"/>
            <w:noWrap/>
            <w:vAlign w:val="bottom"/>
            <w:hideMark/>
          </w:tcPr>
          <w:p w14:paraId="01A18218" w14:textId="77777777" w:rsidR="006D6738" w:rsidRPr="006D6738" w:rsidRDefault="006D6738" w:rsidP="006D6738">
            <w:pPr>
              <w:spacing w:after="0"/>
              <w:jc w:val="right"/>
              <w:rPr>
                <w:rFonts w:ascii="Arial" w:hAnsi="Arial" w:cs="Arial"/>
                <w:color w:val="auto"/>
                <w:sz w:val="16"/>
                <w:szCs w:val="16"/>
              </w:rPr>
            </w:pPr>
            <w:r w:rsidRPr="006D6738">
              <w:rPr>
                <w:rFonts w:ascii="Arial" w:hAnsi="Arial" w:cs="Arial"/>
                <w:color w:val="auto"/>
                <w:sz w:val="16"/>
                <w:szCs w:val="16"/>
              </w:rPr>
              <w:t>60,811</w:t>
            </w:r>
          </w:p>
        </w:tc>
        <w:tc>
          <w:tcPr>
            <w:tcW w:w="877" w:type="dxa"/>
            <w:tcBorders>
              <w:top w:val="nil"/>
              <w:left w:val="nil"/>
              <w:bottom w:val="nil"/>
              <w:right w:val="nil"/>
            </w:tcBorders>
            <w:shd w:val="clear" w:color="000000" w:fill="D9D9D9"/>
            <w:noWrap/>
            <w:vAlign w:val="bottom"/>
            <w:hideMark/>
          </w:tcPr>
          <w:p w14:paraId="2C0896D5" w14:textId="77777777" w:rsidR="006D6738" w:rsidRPr="006D6738" w:rsidRDefault="006D6738" w:rsidP="006D6738">
            <w:pPr>
              <w:spacing w:after="0"/>
              <w:jc w:val="right"/>
              <w:rPr>
                <w:rFonts w:ascii="Arial" w:hAnsi="Arial" w:cs="Arial"/>
                <w:color w:val="auto"/>
                <w:sz w:val="16"/>
                <w:szCs w:val="16"/>
              </w:rPr>
            </w:pPr>
            <w:r w:rsidRPr="006D6738">
              <w:rPr>
                <w:rFonts w:ascii="Arial" w:hAnsi="Arial" w:cs="Arial"/>
                <w:color w:val="auto"/>
                <w:sz w:val="16"/>
                <w:szCs w:val="16"/>
              </w:rPr>
              <w:t>62,000</w:t>
            </w:r>
          </w:p>
        </w:tc>
        <w:tc>
          <w:tcPr>
            <w:tcW w:w="883" w:type="dxa"/>
            <w:tcBorders>
              <w:top w:val="nil"/>
              <w:left w:val="nil"/>
              <w:bottom w:val="nil"/>
              <w:right w:val="nil"/>
            </w:tcBorders>
            <w:shd w:val="clear" w:color="auto" w:fill="auto"/>
            <w:noWrap/>
            <w:vAlign w:val="bottom"/>
            <w:hideMark/>
          </w:tcPr>
          <w:p w14:paraId="608F2120" w14:textId="77777777" w:rsidR="006D6738" w:rsidRPr="006D6738" w:rsidRDefault="006D6738" w:rsidP="006D6738">
            <w:pPr>
              <w:spacing w:after="0"/>
              <w:jc w:val="right"/>
              <w:rPr>
                <w:rFonts w:ascii="Arial" w:hAnsi="Arial" w:cs="Arial"/>
                <w:color w:val="auto"/>
                <w:sz w:val="16"/>
                <w:szCs w:val="16"/>
              </w:rPr>
            </w:pPr>
            <w:r w:rsidRPr="006D6738">
              <w:rPr>
                <w:rFonts w:ascii="Arial" w:hAnsi="Arial" w:cs="Arial"/>
                <w:color w:val="auto"/>
                <w:sz w:val="16"/>
                <w:szCs w:val="16"/>
              </w:rPr>
              <w:t>62,000</w:t>
            </w:r>
          </w:p>
        </w:tc>
        <w:tc>
          <w:tcPr>
            <w:tcW w:w="883" w:type="dxa"/>
            <w:tcBorders>
              <w:top w:val="nil"/>
              <w:left w:val="nil"/>
              <w:bottom w:val="nil"/>
              <w:right w:val="nil"/>
            </w:tcBorders>
            <w:shd w:val="clear" w:color="auto" w:fill="auto"/>
            <w:noWrap/>
            <w:vAlign w:val="bottom"/>
            <w:hideMark/>
          </w:tcPr>
          <w:p w14:paraId="6DF6B35C" w14:textId="77777777" w:rsidR="006D6738" w:rsidRPr="006D6738" w:rsidRDefault="006D6738" w:rsidP="006D6738">
            <w:pPr>
              <w:spacing w:after="0"/>
              <w:jc w:val="right"/>
              <w:rPr>
                <w:rFonts w:ascii="Arial" w:hAnsi="Arial" w:cs="Arial"/>
                <w:color w:val="auto"/>
                <w:sz w:val="16"/>
                <w:szCs w:val="16"/>
              </w:rPr>
            </w:pPr>
            <w:r w:rsidRPr="006D6738">
              <w:rPr>
                <w:rFonts w:ascii="Arial" w:hAnsi="Arial" w:cs="Arial"/>
                <w:color w:val="auto"/>
                <w:sz w:val="16"/>
                <w:szCs w:val="16"/>
              </w:rPr>
              <w:t>62,000</w:t>
            </w:r>
          </w:p>
        </w:tc>
        <w:tc>
          <w:tcPr>
            <w:tcW w:w="883" w:type="dxa"/>
            <w:tcBorders>
              <w:top w:val="nil"/>
              <w:left w:val="nil"/>
              <w:bottom w:val="nil"/>
              <w:right w:val="nil"/>
            </w:tcBorders>
            <w:shd w:val="clear" w:color="auto" w:fill="auto"/>
            <w:noWrap/>
            <w:vAlign w:val="bottom"/>
            <w:hideMark/>
          </w:tcPr>
          <w:p w14:paraId="2C4BB3C7" w14:textId="77777777" w:rsidR="006D6738" w:rsidRPr="006D6738" w:rsidRDefault="006D6738" w:rsidP="006D6738">
            <w:pPr>
              <w:spacing w:after="0"/>
              <w:jc w:val="right"/>
              <w:rPr>
                <w:rFonts w:ascii="Arial" w:hAnsi="Arial" w:cs="Arial"/>
                <w:color w:val="auto"/>
                <w:sz w:val="16"/>
                <w:szCs w:val="16"/>
              </w:rPr>
            </w:pPr>
            <w:r w:rsidRPr="006D6738">
              <w:rPr>
                <w:rFonts w:ascii="Arial" w:hAnsi="Arial" w:cs="Arial"/>
                <w:color w:val="auto"/>
                <w:sz w:val="16"/>
                <w:szCs w:val="16"/>
              </w:rPr>
              <w:t>62,000</w:t>
            </w:r>
          </w:p>
        </w:tc>
      </w:tr>
      <w:tr w:rsidR="006D6738" w:rsidRPr="006D6738" w14:paraId="2C964C29" w14:textId="77777777" w:rsidTr="006D6738">
        <w:trPr>
          <w:trHeight w:val="227"/>
        </w:trPr>
        <w:tc>
          <w:tcPr>
            <w:tcW w:w="2943" w:type="dxa"/>
            <w:tcBorders>
              <w:top w:val="nil"/>
              <w:left w:val="nil"/>
              <w:bottom w:val="nil"/>
              <w:right w:val="nil"/>
            </w:tcBorders>
            <w:shd w:val="clear" w:color="auto" w:fill="auto"/>
            <w:noWrap/>
            <w:vAlign w:val="bottom"/>
            <w:hideMark/>
          </w:tcPr>
          <w:p w14:paraId="05E1FA57" w14:textId="77777777" w:rsidR="006D6738" w:rsidRPr="006D6738" w:rsidRDefault="006D6738" w:rsidP="006D6738">
            <w:pPr>
              <w:spacing w:after="0"/>
              <w:ind w:leftChars="150" w:left="285"/>
              <w:rPr>
                <w:rFonts w:ascii="Arial" w:hAnsi="Arial" w:cs="Arial"/>
                <w:color w:val="auto"/>
                <w:sz w:val="16"/>
                <w:szCs w:val="16"/>
              </w:rPr>
            </w:pPr>
            <w:r w:rsidRPr="006D6738">
              <w:rPr>
                <w:rFonts w:ascii="Arial" w:hAnsi="Arial" w:cs="Arial"/>
                <w:color w:val="auto"/>
                <w:sz w:val="16"/>
                <w:szCs w:val="16"/>
              </w:rPr>
              <w:t>Interest</w:t>
            </w:r>
          </w:p>
        </w:tc>
        <w:tc>
          <w:tcPr>
            <w:tcW w:w="891" w:type="dxa"/>
            <w:tcBorders>
              <w:top w:val="nil"/>
              <w:left w:val="nil"/>
              <w:bottom w:val="nil"/>
              <w:right w:val="nil"/>
            </w:tcBorders>
            <w:shd w:val="clear" w:color="auto" w:fill="auto"/>
            <w:noWrap/>
            <w:vAlign w:val="bottom"/>
            <w:hideMark/>
          </w:tcPr>
          <w:p w14:paraId="494D8497" w14:textId="77777777" w:rsidR="006D6738" w:rsidRPr="006D6738" w:rsidRDefault="006D6738" w:rsidP="006D6738">
            <w:pPr>
              <w:spacing w:after="0"/>
              <w:jc w:val="right"/>
              <w:rPr>
                <w:rFonts w:ascii="Arial" w:hAnsi="Arial" w:cs="Arial"/>
                <w:color w:val="auto"/>
                <w:sz w:val="16"/>
                <w:szCs w:val="16"/>
              </w:rPr>
            </w:pPr>
            <w:r w:rsidRPr="006D6738">
              <w:rPr>
                <w:rFonts w:ascii="Arial" w:hAnsi="Arial" w:cs="Arial"/>
                <w:color w:val="auto"/>
                <w:sz w:val="16"/>
                <w:szCs w:val="16"/>
              </w:rPr>
              <w:t>461</w:t>
            </w:r>
          </w:p>
        </w:tc>
        <w:tc>
          <w:tcPr>
            <w:tcW w:w="877" w:type="dxa"/>
            <w:tcBorders>
              <w:top w:val="nil"/>
              <w:left w:val="nil"/>
              <w:bottom w:val="nil"/>
              <w:right w:val="nil"/>
            </w:tcBorders>
            <w:shd w:val="clear" w:color="000000" w:fill="D9D9D9"/>
            <w:noWrap/>
            <w:vAlign w:val="bottom"/>
            <w:hideMark/>
          </w:tcPr>
          <w:p w14:paraId="3DE47C68" w14:textId="77777777" w:rsidR="006D6738" w:rsidRPr="006D6738" w:rsidRDefault="006D6738" w:rsidP="006D6738">
            <w:pPr>
              <w:spacing w:after="0"/>
              <w:jc w:val="right"/>
              <w:rPr>
                <w:rFonts w:ascii="Arial" w:hAnsi="Arial" w:cs="Arial"/>
                <w:color w:val="auto"/>
                <w:sz w:val="16"/>
                <w:szCs w:val="16"/>
              </w:rPr>
            </w:pPr>
            <w:r w:rsidRPr="006D6738">
              <w:rPr>
                <w:rFonts w:ascii="Arial" w:hAnsi="Arial" w:cs="Arial"/>
                <w:color w:val="auto"/>
                <w:sz w:val="16"/>
                <w:szCs w:val="16"/>
              </w:rPr>
              <w:t>800</w:t>
            </w:r>
          </w:p>
        </w:tc>
        <w:tc>
          <w:tcPr>
            <w:tcW w:w="883" w:type="dxa"/>
            <w:tcBorders>
              <w:top w:val="nil"/>
              <w:left w:val="nil"/>
              <w:bottom w:val="nil"/>
              <w:right w:val="nil"/>
            </w:tcBorders>
            <w:shd w:val="clear" w:color="auto" w:fill="auto"/>
            <w:noWrap/>
            <w:vAlign w:val="bottom"/>
            <w:hideMark/>
          </w:tcPr>
          <w:p w14:paraId="01857CAC" w14:textId="77777777" w:rsidR="006D6738" w:rsidRPr="006D6738" w:rsidRDefault="006D6738" w:rsidP="006D6738">
            <w:pPr>
              <w:spacing w:after="0"/>
              <w:jc w:val="right"/>
              <w:rPr>
                <w:rFonts w:ascii="Arial" w:hAnsi="Arial" w:cs="Arial"/>
                <w:color w:val="auto"/>
                <w:sz w:val="16"/>
                <w:szCs w:val="16"/>
              </w:rPr>
            </w:pPr>
            <w:r w:rsidRPr="006D6738">
              <w:rPr>
                <w:rFonts w:ascii="Arial" w:hAnsi="Arial" w:cs="Arial"/>
                <w:color w:val="auto"/>
                <w:sz w:val="16"/>
                <w:szCs w:val="16"/>
              </w:rPr>
              <w:t>800</w:t>
            </w:r>
          </w:p>
        </w:tc>
        <w:tc>
          <w:tcPr>
            <w:tcW w:w="883" w:type="dxa"/>
            <w:tcBorders>
              <w:top w:val="nil"/>
              <w:left w:val="nil"/>
              <w:bottom w:val="nil"/>
              <w:right w:val="nil"/>
            </w:tcBorders>
            <w:shd w:val="clear" w:color="auto" w:fill="auto"/>
            <w:noWrap/>
            <w:vAlign w:val="bottom"/>
            <w:hideMark/>
          </w:tcPr>
          <w:p w14:paraId="790C929F" w14:textId="77777777" w:rsidR="006D6738" w:rsidRPr="006D6738" w:rsidRDefault="006D6738" w:rsidP="006D6738">
            <w:pPr>
              <w:spacing w:after="0"/>
              <w:jc w:val="right"/>
              <w:rPr>
                <w:rFonts w:ascii="Arial" w:hAnsi="Arial" w:cs="Arial"/>
                <w:color w:val="auto"/>
                <w:sz w:val="16"/>
                <w:szCs w:val="16"/>
              </w:rPr>
            </w:pPr>
            <w:r w:rsidRPr="006D6738">
              <w:rPr>
                <w:rFonts w:ascii="Arial" w:hAnsi="Arial" w:cs="Arial"/>
                <w:color w:val="auto"/>
                <w:sz w:val="16"/>
                <w:szCs w:val="16"/>
              </w:rPr>
              <w:t>800</w:t>
            </w:r>
          </w:p>
        </w:tc>
        <w:tc>
          <w:tcPr>
            <w:tcW w:w="883" w:type="dxa"/>
            <w:tcBorders>
              <w:top w:val="nil"/>
              <w:left w:val="nil"/>
              <w:bottom w:val="nil"/>
              <w:right w:val="nil"/>
            </w:tcBorders>
            <w:shd w:val="clear" w:color="auto" w:fill="auto"/>
            <w:noWrap/>
            <w:vAlign w:val="bottom"/>
            <w:hideMark/>
          </w:tcPr>
          <w:p w14:paraId="7261CA2E" w14:textId="77777777" w:rsidR="006D6738" w:rsidRPr="006D6738" w:rsidRDefault="006D6738" w:rsidP="006D6738">
            <w:pPr>
              <w:spacing w:after="0"/>
              <w:jc w:val="right"/>
              <w:rPr>
                <w:rFonts w:ascii="Arial" w:hAnsi="Arial" w:cs="Arial"/>
                <w:color w:val="auto"/>
                <w:sz w:val="16"/>
                <w:szCs w:val="16"/>
              </w:rPr>
            </w:pPr>
            <w:r w:rsidRPr="006D6738">
              <w:rPr>
                <w:rFonts w:ascii="Arial" w:hAnsi="Arial" w:cs="Arial"/>
                <w:color w:val="auto"/>
                <w:sz w:val="16"/>
                <w:szCs w:val="16"/>
              </w:rPr>
              <w:t>800</w:t>
            </w:r>
          </w:p>
        </w:tc>
      </w:tr>
      <w:tr w:rsidR="006D6738" w:rsidRPr="006D6738" w14:paraId="55D08DA6" w14:textId="77777777" w:rsidTr="006D6738">
        <w:trPr>
          <w:trHeight w:val="227"/>
        </w:trPr>
        <w:tc>
          <w:tcPr>
            <w:tcW w:w="2943" w:type="dxa"/>
            <w:tcBorders>
              <w:top w:val="nil"/>
              <w:left w:val="nil"/>
              <w:bottom w:val="nil"/>
              <w:right w:val="nil"/>
            </w:tcBorders>
            <w:shd w:val="clear" w:color="auto" w:fill="auto"/>
            <w:noWrap/>
            <w:vAlign w:val="bottom"/>
            <w:hideMark/>
          </w:tcPr>
          <w:p w14:paraId="1CF487B4" w14:textId="77777777" w:rsidR="006D6738" w:rsidRPr="006D6738" w:rsidRDefault="006D6738" w:rsidP="006D6738">
            <w:pPr>
              <w:spacing w:after="0"/>
              <w:ind w:leftChars="150" w:left="285"/>
              <w:rPr>
                <w:rFonts w:ascii="Arial" w:hAnsi="Arial" w:cs="Arial"/>
                <w:color w:val="auto"/>
                <w:sz w:val="16"/>
                <w:szCs w:val="16"/>
              </w:rPr>
            </w:pPr>
            <w:r w:rsidRPr="006D6738">
              <w:rPr>
                <w:rFonts w:ascii="Arial" w:hAnsi="Arial" w:cs="Arial"/>
                <w:color w:val="auto"/>
                <w:sz w:val="16"/>
                <w:szCs w:val="16"/>
              </w:rPr>
              <w:t>Other revenue</w:t>
            </w:r>
          </w:p>
        </w:tc>
        <w:tc>
          <w:tcPr>
            <w:tcW w:w="891" w:type="dxa"/>
            <w:tcBorders>
              <w:top w:val="nil"/>
              <w:left w:val="nil"/>
              <w:bottom w:val="nil"/>
              <w:right w:val="nil"/>
            </w:tcBorders>
            <w:shd w:val="clear" w:color="auto" w:fill="auto"/>
            <w:noWrap/>
            <w:vAlign w:val="bottom"/>
            <w:hideMark/>
          </w:tcPr>
          <w:p w14:paraId="6C06D0D1" w14:textId="77777777" w:rsidR="006D6738" w:rsidRPr="006D6738" w:rsidRDefault="006D6738" w:rsidP="006D6738">
            <w:pPr>
              <w:spacing w:after="0"/>
              <w:jc w:val="right"/>
              <w:rPr>
                <w:rFonts w:ascii="Arial" w:hAnsi="Arial" w:cs="Arial"/>
                <w:color w:val="auto"/>
                <w:sz w:val="16"/>
                <w:szCs w:val="16"/>
              </w:rPr>
            </w:pPr>
            <w:r w:rsidRPr="006D6738">
              <w:rPr>
                <w:rFonts w:ascii="Arial" w:hAnsi="Arial" w:cs="Arial"/>
                <w:color w:val="auto"/>
                <w:sz w:val="16"/>
                <w:szCs w:val="16"/>
              </w:rPr>
              <w:t>289</w:t>
            </w:r>
          </w:p>
        </w:tc>
        <w:tc>
          <w:tcPr>
            <w:tcW w:w="877" w:type="dxa"/>
            <w:tcBorders>
              <w:top w:val="nil"/>
              <w:left w:val="nil"/>
              <w:bottom w:val="nil"/>
              <w:right w:val="nil"/>
            </w:tcBorders>
            <w:shd w:val="clear" w:color="000000" w:fill="D9D9D9"/>
            <w:noWrap/>
            <w:vAlign w:val="bottom"/>
            <w:hideMark/>
          </w:tcPr>
          <w:p w14:paraId="5C85C641" w14:textId="77777777" w:rsidR="006D6738" w:rsidRPr="006D6738" w:rsidRDefault="006D6738" w:rsidP="006D6738">
            <w:pPr>
              <w:spacing w:after="0"/>
              <w:jc w:val="right"/>
              <w:rPr>
                <w:rFonts w:ascii="Arial" w:hAnsi="Arial" w:cs="Arial"/>
                <w:color w:val="auto"/>
                <w:sz w:val="16"/>
                <w:szCs w:val="16"/>
              </w:rPr>
            </w:pPr>
            <w:r w:rsidRPr="006D6738">
              <w:rPr>
                <w:rFonts w:ascii="Arial" w:hAnsi="Arial" w:cs="Arial"/>
                <w:color w:val="auto"/>
                <w:sz w:val="16"/>
                <w:szCs w:val="16"/>
              </w:rPr>
              <w:t>30</w:t>
            </w:r>
          </w:p>
        </w:tc>
        <w:tc>
          <w:tcPr>
            <w:tcW w:w="883" w:type="dxa"/>
            <w:tcBorders>
              <w:top w:val="nil"/>
              <w:left w:val="nil"/>
              <w:bottom w:val="nil"/>
              <w:right w:val="nil"/>
            </w:tcBorders>
            <w:shd w:val="clear" w:color="auto" w:fill="auto"/>
            <w:noWrap/>
            <w:vAlign w:val="bottom"/>
            <w:hideMark/>
          </w:tcPr>
          <w:p w14:paraId="13138DD9" w14:textId="77777777" w:rsidR="006D6738" w:rsidRPr="006D6738" w:rsidRDefault="006D6738" w:rsidP="006D6738">
            <w:pPr>
              <w:spacing w:after="0"/>
              <w:jc w:val="right"/>
              <w:rPr>
                <w:rFonts w:ascii="Arial" w:hAnsi="Arial" w:cs="Arial"/>
                <w:color w:val="auto"/>
                <w:sz w:val="16"/>
                <w:szCs w:val="16"/>
              </w:rPr>
            </w:pPr>
            <w:r w:rsidRPr="006D6738">
              <w:rPr>
                <w:rFonts w:ascii="Arial" w:hAnsi="Arial" w:cs="Arial"/>
                <w:color w:val="auto"/>
                <w:sz w:val="16"/>
                <w:szCs w:val="16"/>
              </w:rPr>
              <w:t>30</w:t>
            </w:r>
          </w:p>
        </w:tc>
        <w:tc>
          <w:tcPr>
            <w:tcW w:w="883" w:type="dxa"/>
            <w:tcBorders>
              <w:top w:val="nil"/>
              <w:left w:val="nil"/>
              <w:bottom w:val="nil"/>
              <w:right w:val="nil"/>
            </w:tcBorders>
            <w:shd w:val="clear" w:color="auto" w:fill="auto"/>
            <w:noWrap/>
            <w:vAlign w:val="bottom"/>
            <w:hideMark/>
          </w:tcPr>
          <w:p w14:paraId="70357653" w14:textId="77777777" w:rsidR="006D6738" w:rsidRPr="006D6738" w:rsidRDefault="006D6738" w:rsidP="006D6738">
            <w:pPr>
              <w:spacing w:after="0"/>
              <w:jc w:val="right"/>
              <w:rPr>
                <w:rFonts w:ascii="Arial" w:hAnsi="Arial" w:cs="Arial"/>
                <w:color w:val="auto"/>
                <w:sz w:val="16"/>
                <w:szCs w:val="16"/>
              </w:rPr>
            </w:pPr>
            <w:r w:rsidRPr="006D6738">
              <w:rPr>
                <w:rFonts w:ascii="Arial" w:hAnsi="Arial" w:cs="Arial"/>
                <w:color w:val="auto"/>
                <w:sz w:val="16"/>
                <w:szCs w:val="16"/>
              </w:rPr>
              <w:t>30</w:t>
            </w:r>
          </w:p>
        </w:tc>
        <w:tc>
          <w:tcPr>
            <w:tcW w:w="883" w:type="dxa"/>
            <w:tcBorders>
              <w:top w:val="nil"/>
              <w:left w:val="nil"/>
              <w:bottom w:val="nil"/>
              <w:right w:val="nil"/>
            </w:tcBorders>
            <w:shd w:val="clear" w:color="auto" w:fill="auto"/>
            <w:noWrap/>
            <w:vAlign w:val="bottom"/>
            <w:hideMark/>
          </w:tcPr>
          <w:p w14:paraId="4E094CB5" w14:textId="77777777" w:rsidR="006D6738" w:rsidRPr="006D6738" w:rsidRDefault="006D6738" w:rsidP="006D6738">
            <w:pPr>
              <w:spacing w:after="0"/>
              <w:jc w:val="right"/>
              <w:rPr>
                <w:rFonts w:ascii="Arial" w:hAnsi="Arial" w:cs="Arial"/>
                <w:color w:val="auto"/>
                <w:sz w:val="16"/>
                <w:szCs w:val="16"/>
              </w:rPr>
            </w:pPr>
            <w:r w:rsidRPr="006D6738">
              <w:rPr>
                <w:rFonts w:ascii="Arial" w:hAnsi="Arial" w:cs="Arial"/>
                <w:color w:val="auto"/>
                <w:sz w:val="16"/>
                <w:szCs w:val="16"/>
              </w:rPr>
              <w:t>-</w:t>
            </w:r>
          </w:p>
        </w:tc>
      </w:tr>
      <w:tr w:rsidR="006D6738" w:rsidRPr="006D6738" w14:paraId="51B8C106" w14:textId="77777777" w:rsidTr="006D6738">
        <w:trPr>
          <w:trHeight w:val="227"/>
        </w:trPr>
        <w:tc>
          <w:tcPr>
            <w:tcW w:w="2943" w:type="dxa"/>
            <w:tcBorders>
              <w:top w:val="nil"/>
              <w:left w:val="nil"/>
              <w:bottom w:val="nil"/>
              <w:right w:val="nil"/>
            </w:tcBorders>
            <w:shd w:val="clear" w:color="auto" w:fill="auto"/>
            <w:noWrap/>
            <w:vAlign w:val="bottom"/>
            <w:hideMark/>
          </w:tcPr>
          <w:p w14:paraId="3CD7079A" w14:textId="77777777" w:rsidR="006D6738" w:rsidRPr="006D6738" w:rsidRDefault="006D6738" w:rsidP="006D6738">
            <w:pPr>
              <w:spacing w:after="0"/>
              <w:ind w:firstLineChars="200" w:firstLine="320"/>
              <w:rPr>
                <w:rFonts w:ascii="Arial" w:hAnsi="Arial" w:cs="Arial"/>
                <w:b/>
                <w:bCs/>
                <w:color w:val="auto"/>
                <w:sz w:val="16"/>
                <w:szCs w:val="16"/>
              </w:rPr>
            </w:pPr>
            <w:r w:rsidRPr="006D6738">
              <w:rPr>
                <w:rFonts w:ascii="Arial" w:hAnsi="Arial" w:cs="Arial"/>
                <w:b/>
                <w:bCs/>
                <w:color w:val="auto"/>
                <w:sz w:val="16"/>
                <w:szCs w:val="16"/>
              </w:rPr>
              <w:t>Total revenue</w:t>
            </w:r>
          </w:p>
        </w:tc>
        <w:tc>
          <w:tcPr>
            <w:tcW w:w="891" w:type="dxa"/>
            <w:tcBorders>
              <w:top w:val="nil"/>
              <w:left w:val="nil"/>
              <w:bottom w:val="single" w:sz="4" w:space="0" w:color="auto"/>
              <w:right w:val="nil"/>
            </w:tcBorders>
            <w:shd w:val="clear" w:color="auto" w:fill="auto"/>
            <w:noWrap/>
            <w:vAlign w:val="bottom"/>
            <w:hideMark/>
          </w:tcPr>
          <w:p w14:paraId="204B60CF" w14:textId="77777777" w:rsidR="006D6738" w:rsidRPr="006D6738" w:rsidRDefault="006D6738" w:rsidP="006D6738">
            <w:pPr>
              <w:spacing w:after="0"/>
              <w:jc w:val="right"/>
              <w:rPr>
                <w:rFonts w:ascii="Arial" w:hAnsi="Arial" w:cs="Arial"/>
                <w:b/>
                <w:bCs/>
                <w:color w:val="auto"/>
                <w:sz w:val="16"/>
                <w:szCs w:val="16"/>
              </w:rPr>
            </w:pPr>
            <w:r w:rsidRPr="006D6738">
              <w:rPr>
                <w:rFonts w:ascii="Arial" w:hAnsi="Arial" w:cs="Arial"/>
                <w:b/>
                <w:bCs/>
                <w:color w:val="auto"/>
                <w:sz w:val="16"/>
                <w:szCs w:val="16"/>
              </w:rPr>
              <w:t>61,561</w:t>
            </w:r>
          </w:p>
        </w:tc>
        <w:tc>
          <w:tcPr>
            <w:tcW w:w="877" w:type="dxa"/>
            <w:tcBorders>
              <w:top w:val="nil"/>
              <w:left w:val="nil"/>
              <w:bottom w:val="single" w:sz="4" w:space="0" w:color="auto"/>
              <w:right w:val="nil"/>
            </w:tcBorders>
            <w:shd w:val="clear" w:color="000000" w:fill="D9D9D9"/>
            <w:noWrap/>
            <w:vAlign w:val="bottom"/>
            <w:hideMark/>
          </w:tcPr>
          <w:p w14:paraId="06CDB214" w14:textId="77777777" w:rsidR="006D6738" w:rsidRPr="006D6738" w:rsidRDefault="006D6738" w:rsidP="006D6738">
            <w:pPr>
              <w:spacing w:after="0"/>
              <w:jc w:val="right"/>
              <w:rPr>
                <w:rFonts w:ascii="Arial" w:hAnsi="Arial" w:cs="Arial"/>
                <w:b/>
                <w:bCs/>
                <w:color w:val="auto"/>
                <w:sz w:val="16"/>
                <w:szCs w:val="16"/>
              </w:rPr>
            </w:pPr>
            <w:r w:rsidRPr="006D6738">
              <w:rPr>
                <w:rFonts w:ascii="Arial" w:hAnsi="Arial" w:cs="Arial"/>
                <w:b/>
                <w:bCs/>
                <w:color w:val="auto"/>
                <w:sz w:val="16"/>
                <w:szCs w:val="16"/>
              </w:rPr>
              <w:t>62,830</w:t>
            </w:r>
          </w:p>
        </w:tc>
        <w:tc>
          <w:tcPr>
            <w:tcW w:w="883" w:type="dxa"/>
            <w:tcBorders>
              <w:top w:val="nil"/>
              <w:left w:val="nil"/>
              <w:bottom w:val="single" w:sz="4" w:space="0" w:color="auto"/>
              <w:right w:val="nil"/>
            </w:tcBorders>
            <w:shd w:val="clear" w:color="auto" w:fill="auto"/>
            <w:noWrap/>
            <w:vAlign w:val="bottom"/>
            <w:hideMark/>
          </w:tcPr>
          <w:p w14:paraId="1C356AAE" w14:textId="77777777" w:rsidR="006D6738" w:rsidRPr="006D6738" w:rsidRDefault="006D6738" w:rsidP="006D6738">
            <w:pPr>
              <w:spacing w:after="0"/>
              <w:jc w:val="right"/>
              <w:rPr>
                <w:rFonts w:ascii="Arial" w:hAnsi="Arial" w:cs="Arial"/>
                <w:b/>
                <w:bCs/>
                <w:color w:val="auto"/>
                <w:sz w:val="16"/>
                <w:szCs w:val="16"/>
              </w:rPr>
            </w:pPr>
            <w:r w:rsidRPr="006D6738">
              <w:rPr>
                <w:rFonts w:ascii="Arial" w:hAnsi="Arial" w:cs="Arial"/>
                <w:b/>
                <w:bCs/>
                <w:color w:val="auto"/>
                <w:sz w:val="16"/>
                <w:szCs w:val="16"/>
              </w:rPr>
              <w:t>62,830</w:t>
            </w:r>
          </w:p>
        </w:tc>
        <w:tc>
          <w:tcPr>
            <w:tcW w:w="883" w:type="dxa"/>
            <w:tcBorders>
              <w:top w:val="nil"/>
              <w:left w:val="nil"/>
              <w:bottom w:val="single" w:sz="4" w:space="0" w:color="auto"/>
              <w:right w:val="nil"/>
            </w:tcBorders>
            <w:shd w:val="clear" w:color="auto" w:fill="auto"/>
            <w:noWrap/>
            <w:vAlign w:val="bottom"/>
            <w:hideMark/>
          </w:tcPr>
          <w:p w14:paraId="484A5EA4" w14:textId="77777777" w:rsidR="006D6738" w:rsidRPr="006D6738" w:rsidRDefault="006D6738" w:rsidP="006D6738">
            <w:pPr>
              <w:spacing w:after="0"/>
              <w:jc w:val="right"/>
              <w:rPr>
                <w:rFonts w:ascii="Arial" w:hAnsi="Arial" w:cs="Arial"/>
                <w:b/>
                <w:bCs/>
                <w:color w:val="auto"/>
                <w:sz w:val="16"/>
                <w:szCs w:val="16"/>
              </w:rPr>
            </w:pPr>
            <w:r w:rsidRPr="006D6738">
              <w:rPr>
                <w:rFonts w:ascii="Arial" w:hAnsi="Arial" w:cs="Arial"/>
                <w:b/>
                <w:bCs/>
                <w:color w:val="auto"/>
                <w:sz w:val="16"/>
                <w:szCs w:val="16"/>
              </w:rPr>
              <w:t>62,830</w:t>
            </w:r>
          </w:p>
        </w:tc>
        <w:tc>
          <w:tcPr>
            <w:tcW w:w="883" w:type="dxa"/>
            <w:tcBorders>
              <w:top w:val="nil"/>
              <w:left w:val="nil"/>
              <w:bottom w:val="single" w:sz="4" w:space="0" w:color="auto"/>
              <w:right w:val="nil"/>
            </w:tcBorders>
            <w:shd w:val="clear" w:color="auto" w:fill="auto"/>
            <w:noWrap/>
            <w:vAlign w:val="bottom"/>
            <w:hideMark/>
          </w:tcPr>
          <w:p w14:paraId="681D93B7" w14:textId="77777777" w:rsidR="006D6738" w:rsidRPr="006D6738" w:rsidRDefault="006D6738" w:rsidP="006D6738">
            <w:pPr>
              <w:spacing w:after="0"/>
              <w:jc w:val="right"/>
              <w:rPr>
                <w:rFonts w:ascii="Arial" w:hAnsi="Arial" w:cs="Arial"/>
                <w:b/>
                <w:bCs/>
                <w:color w:val="auto"/>
                <w:sz w:val="16"/>
                <w:szCs w:val="16"/>
              </w:rPr>
            </w:pPr>
            <w:r w:rsidRPr="006D6738">
              <w:rPr>
                <w:rFonts w:ascii="Arial" w:hAnsi="Arial" w:cs="Arial"/>
                <w:b/>
                <w:bCs/>
                <w:color w:val="auto"/>
                <w:sz w:val="16"/>
                <w:szCs w:val="16"/>
              </w:rPr>
              <w:t>62,800</w:t>
            </w:r>
          </w:p>
        </w:tc>
      </w:tr>
      <w:tr w:rsidR="006D6738" w:rsidRPr="006D6738" w14:paraId="73B039C7" w14:textId="77777777" w:rsidTr="006D6738">
        <w:trPr>
          <w:trHeight w:val="227"/>
        </w:trPr>
        <w:tc>
          <w:tcPr>
            <w:tcW w:w="2943" w:type="dxa"/>
            <w:tcBorders>
              <w:top w:val="nil"/>
              <w:left w:val="nil"/>
              <w:bottom w:val="nil"/>
              <w:right w:val="nil"/>
            </w:tcBorders>
            <w:shd w:val="clear" w:color="auto" w:fill="auto"/>
            <w:noWrap/>
            <w:vAlign w:val="bottom"/>
            <w:hideMark/>
          </w:tcPr>
          <w:p w14:paraId="37D1F273" w14:textId="77777777" w:rsidR="006D6738" w:rsidRPr="006D6738" w:rsidRDefault="006D6738" w:rsidP="006D6738">
            <w:pPr>
              <w:spacing w:after="0"/>
              <w:ind w:leftChars="75" w:left="143"/>
              <w:rPr>
                <w:rFonts w:ascii="Arial" w:hAnsi="Arial" w:cs="Arial"/>
                <w:b/>
                <w:bCs/>
                <w:color w:val="auto"/>
                <w:sz w:val="16"/>
                <w:szCs w:val="16"/>
              </w:rPr>
            </w:pPr>
            <w:r w:rsidRPr="006D6738">
              <w:rPr>
                <w:rFonts w:ascii="Arial" w:hAnsi="Arial" w:cs="Arial"/>
                <w:b/>
                <w:bCs/>
                <w:color w:val="auto"/>
                <w:sz w:val="16"/>
                <w:szCs w:val="16"/>
              </w:rPr>
              <w:t>Gains</w:t>
            </w:r>
          </w:p>
        </w:tc>
        <w:tc>
          <w:tcPr>
            <w:tcW w:w="891" w:type="dxa"/>
            <w:tcBorders>
              <w:top w:val="nil"/>
              <w:left w:val="nil"/>
              <w:bottom w:val="nil"/>
              <w:right w:val="nil"/>
            </w:tcBorders>
            <w:shd w:val="clear" w:color="auto" w:fill="auto"/>
            <w:noWrap/>
            <w:vAlign w:val="bottom"/>
            <w:hideMark/>
          </w:tcPr>
          <w:p w14:paraId="0C4EF581" w14:textId="77777777" w:rsidR="006D6738" w:rsidRPr="006D6738" w:rsidRDefault="006D6738" w:rsidP="006D6738">
            <w:pPr>
              <w:spacing w:after="0"/>
              <w:ind w:firstLineChars="100" w:firstLine="160"/>
              <w:rPr>
                <w:rFonts w:ascii="Arial" w:hAnsi="Arial" w:cs="Arial"/>
                <w:b/>
                <w:bCs/>
                <w:color w:val="auto"/>
                <w:sz w:val="16"/>
                <w:szCs w:val="16"/>
              </w:rPr>
            </w:pPr>
          </w:p>
        </w:tc>
        <w:tc>
          <w:tcPr>
            <w:tcW w:w="877" w:type="dxa"/>
            <w:tcBorders>
              <w:top w:val="nil"/>
              <w:left w:val="nil"/>
              <w:bottom w:val="nil"/>
              <w:right w:val="nil"/>
            </w:tcBorders>
            <w:shd w:val="clear" w:color="000000" w:fill="D9D9D9"/>
            <w:noWrap/>
            <w:vAlign w:val="bottom"/>
            <w:hideMark/>
          </w:tcPr>
          <w:p w14:paraId="4C2D1387" w14:textId="77777777" w:rsidR="006D6738" w:rsidRPr="006D6738" w:rsidRDefault="006D6738" w:rsidP="006D6738">
            <w:pPr>
              <w:spacing w:after="0"/>
              <w:jc w:val="right"/>
              <w:rPr>
                <w:rFonts w:ascii="Arial" w:hAnsi="Arial" w:cs="Arial"/>
                <w:b/>
                <w:bCs/>
                <w:color w:val="auto"/>
                <w:sz w:val="16"/>
                <w:szCs w:val="16"/>
              </w:rPr>
            </w:pPr>
            <w:r w:rsidRPr="006D6738">
              <w:rPr>
                <w:rFonts w:ascii="Arial" w:hAnsi="Arial" w:cs="Arial"/>
                <w:b/>
                <w:bCs/>
                <w:color w:val="auto"/>
                <w:sz w:val="16"/>
                <w:szCs w:val="16"/>
              </w:rPr>
              <w:t> </w:t>
            </w:r>
          </w:p>
        </w:tc>
        <w:tc>
          <w:tcPr>
            <w:tcW w:w="883" w:type="dxa"/>
            <w:tcBorders>
              <w:top w:val="nil"/>
              <w:left w:val="nil"/>
              <w:bottom w:val="nil"/>
              <w:right w:val="nil"/>
            </w:tcBorders>
            <w:shd w:val="clear" w:color="auto" w:fill="auto"/>
            <w:noWrap/>
            <w:vAlign w:val="bottom"/>
            <w:hideMark/>
          </w:tcPr>
          <w:p w14:paraId="78530EB0" w14:textId="77777777" w:rsidR="006D6738" w:rsidRPr="006D6738" w:rsidRDefault="006D6738" w:rsidP="006D6738">
            <w:pPr>
              <w:spacing w:after="0"/>
              <w:jc w:val="right"/>
              <w:rPr>
                <w:rFonts w:ascii="Arial" w:hAnsi="Arial" w:cs="Arial"/>
                <w:b/>
                <w:bCs/>
                <w:color w:val="auto"/>
                <w:sz w:val="16"/>
                <w:szCs w:val="16"/>
              </w:rPr>
            </w:pPr>
          </w:p>
        </w:tc>
        <w:tc>
          <w:tcPr>
            <w:tcW w:w="883" w:type="dxa"/>
            <w:tcBorders>
              <w:top w:val="nil"/>
              <w:left w:val="nil"/>
              <w:bottom w:val="nil"/>
              <w:right w:val="nil"/>
            </w:tcBorders>
            <w:shd w:val="clear" w:color="auto" w:fill="auto"/>
            <w:noWrap/>
            <w:vAlign w:val="bottom"/>
            <w:hideMark/>
          </w:tcPr>
          <w:p w14:paraId="25675E51" w14:textId="77777777" w:rsidR="006D6738" w:rsidRPr="006D6738" w:rsidRDefault="006D6738" w:rsidP="006D6738">
            <w:pPr>
              <w:spacing w:after="0"/>
              <w:jc w:val="right"/>
              <w:rPr>
                <w:rFonts w:ascii="Times New Roman" w:hAnsi="Times New Roman"/>
                <w:color w:val="auto"/>
                <w:sz w:val="20"/>
              </w:rPr>
            </w:pPr>
          </w:p>
        </w:tc>
        <w:tc>
          <w:tcPr>
            <w:tcW w:w="883" w:type="dxa"/>
            <w:tcBorders>
              <w:top w:val="nil"/>
              <w:left w:val="nil"/>
              <w:bottom w:val="nil"/>
              <w:right w:val="nil"/>
            </w:tcBorders>
            <w:shd w:val="clear" w:color="auto" w:fill="auto"/>
            <w:noWrap/>
            <w:vAlign w:val="bottom"/>
            <w:hideMark/>
          </w:tcPr>
          <w:p w14:paraId="0999FDF4" w14:textId="77777777" w:rsidR="006D6738" w:rsidRPr="006D6738" w:rsidRDefault="006D6738" w:rsidP="006D6738">
            <w:pPr>
              <w:spacing w:after="0"/>
              <w:jc w:val="right"/>
              <w:rPr>
                <w:rFonts w:ascii="Times New Roman" w:hAnsi="Times New Roman"/>
                <w:color w:val="auto"/>
                <w:sz w:val="20"/>
              </w:rPr>
            </w:pPr>
          </w:p>
        </w:tc>
      </w:tr>
      <w:tr w:rsidR="006D6738" w:rsidRPr="006D6738" w14:paraId="69C759FD" w14:textId="77777777" w:rsidTr="006D6738">
        <w:trPr>
          <w:trHeight w:val="227"/>
        </w:trPr>
        <w:tc>
          <w:tcPr>
            <w:tcW w:w="2943" w:type="dxa"/>
            <w:tcBorders>
              <w:top w:val="nil"/>
              <w:left w:val="nil"/>
              <w:bottom w:val="nil"/>
              <w:right w:val="nil"/>
            </w:tcBorders>
            <w:shd w:val="clear" w:color="auto" w:fill="auto"/>
            <w:noWrap/>
            <w:vAlign w:val="bottom"/>
            <w:hideMark/>
          </w:tcPr>
          <w:p w14:paraId="4AA573B7" w14:textId="77777777" w:rsidR="006D6738" w:rsidRPr="006D6738" w:rsidRDefault="006D6738" w:rsidP="006D6738">
            <w:pPr>
              <w:spacing w:after="0"/>
              <w:ind w:leftChars="150" w:left="285"/>
              <w:rPr>
                <w:rFonts w:ascii="Arial" w:hAnsi="Arial" w:cs="Arial"/>
                <w:color w:val="auto"/>
                <w:sz w:val="16"/>
                <w:szCs w:val="16"/>
              </w:rPr>
            </w:pPr>
            <w:r w:rsidRPr="006D6738">
              <w:rPr>
                <w:rFonts w:ascii="Arial" w:hAnsi="Arial" w:cs="Arial"/>
                <w:color w:val="auto"/>
                <w:sz w:val="16"/>
                <w:szCs w:val="16"/>
              </w:rPr>
              <w:t>Other</w:t>
            </w:r>
          </w:p>
        </w:tc>
        <w:tc>
          <w:tcPr>
            <w:tcW w:w="891" w:type="dxa"/>
            <w:tcBorders>
              <w:top w:val="nil"/>
              <w:left w:val="nil"/>
              <w:bottom w:val="nil"/>
              <w:right w:val="nil"/>
            </w:tcBorders>
            <w:shd w:val="clear" w:color="auto" w:fill="auto"/>
            <w:noWrap/>
            <w:vAlign w:val="bottom"/>
            <w:hideMark/>
          </w:tcPr>
          <w:p w14:paraId="48550706" w14:textId="77777777" w:rsidR="006D6738" w:rsidRPr="006D6738" w:rsidRDefault="006D6738" w:rsidP="006D6738">
            <w:pPr>
              <w:spacing w:after="0"/>
              <w:jc w:val="right"/>
              <w:rPr>
                <w:rFonts w:ascii="Arial" w:hAnsi="Arial" w:cs="Arial"/>
                <w:color w:val="auto"/>
                <w:sz w:val="16"/>
                <w:szCs w:val="16"/>
              </w:rPr>
            </w:pPr>
            <w:r w:rsidRPr="006D6738">
              <w:rPr>
                <w:rFonts w:ascii="Arial" w:hAnsi="Arial" w:cs="Arial"/>
                <w:color w:val="auto"/>
                <w:sz w:val="16"/>
                <w:szCs w:val="16"/>
              </w:rPr>
              <w:t>-</w:t>
            </w:r>
          </w:p>
        </w:tc>
        <w:tc>
          <w:tcPr>
            <w:tcW w:w="877" w:type="dxa"/>
            <w:tcBorders>
              <w:top w:val="nil"/>
              <w:left w:val="nil"/>
              <w:bottom w:val="nil"/>
              <w:right w:val="nil"/>
            </w:tcBorders>
            <w:shd w:val="clear" w:color="000000" w:fill="D9D9D9"/>
            <w:noWrap/>
            <w:vAlign w:val="bottom"/>
            <w:hideMark/>
          </w:tcPr>
          <w:p w14:paraId="00FB5F54" w14:textId="77777777" w:rsidR="006D6738" w:rsidRPr="006D6738" w:rsidRDefault="006D6738" w:rsidP="006D6738">
            <w:pPr>
              <w:spacing w:after="0"/>
              <w:jc w:val="right"/>
              <w:rPr>
                <w:rFonts w:ascii="Arial" w:hAnsi="Arial" w:cs="Arial"/>
                <w:color w:val="auto"/>
                <w:sz w:val="16"/>
                <w:szCs w:val="16"/>
              </w:rPr>
            </w:pPr>
            <w:r w:rsidRPr="006D6738">
              <w:rPr>
                <w:rFonts w:ascii="Arial" w:hAnsi="Arial" w:cs="Arial"/>
                <w:color w:val="auto"/>
                <w:sz w:val="16"/>
                <w:szCs w:val="16"/>
              </w:rPr>
              <w:t>-</w:t>
            </w:r>
          </w:p>
        </w:tc>
        <w:tc>
          <w:tcPr>
            <w:tcW w:w="883" w:type="dxa"/>
            <w:tcBorders>
              <w:top w:val="nil"/>
              <w:left w:val="nil"/>
              <w:bottom w:val="nil"/>
              <w:right w:val="nil"/>
            </w:tcBorders>
            <w:shd w:val="clear" w:color="auto" w:fill="auto"/>
            <w:noWrap/>
            <w:vAlign w:val="bottom"/>
            <w:hideMark/>
          </w:tcPr>
          <w:p w14:paraId="4684CD71" w14:textId="77777777" w:rsidR="006D6738" w:rsidRPr="006D6738" w:rsidRDefault="006D6738" w:rsidP="006D6738">
            <w:pPr>
              <w:spacing w:after="0"/>
              <w:jc w:val="right"/>
              <w:rPr>
                <w:rFonts w:ascii="Arial" w:hAnsi="Arial" w:cs="Arial"/>
                <w:color w:val="auto"/>
                <w:sz w:val="16"/>
                <w:szCs w:val="16"/>
              </w:rPr>
            </w:pPr>
            <w:r w:rsidRPr="006D6738">
              <w:rPr>
                <w:rFonts w:ascii="Arial" w:hAnsi="Arial" w:cs="Arial"/>
                <w:color w:val="auto"/>
                <w:sz w:val="16"/>
                <w:szCs w:val="16"/>
              </w:rPr>
              <w:t>-</w:t>
            </w:r>
          </w:p>
        </w:tc>
        <w:tc>
          <w:tcPr>
            <w:tcW w:w="883" w:type="dxa"/>
            <w:tcBorders>
              <w:top w:val="nil"/>
              <w:left w:val="nil"/>
              <w:bottom w:val="nil"/>
              <w:right w:val="nil"/>
            </w:tcBorders>
            <w:shd w:val="clear" w:color="auto" w:fill="auto"/>
            <w:noWrap/>
            <w:vAlign w:val="bottom"/>
            <w:hideMark/>
          </w:tcPr>
          <w:p w14:paraId="6FCA3D2B" w14:textId="77777777" w:rsidR="006D6738" w:rsidRPr="006D6738" w:rsidRDefault="006D6738" w:rsidP="006D6738">
            <w:pPr>
              <w:spacing w:after="0"/>
              <w:jc w:val="right"/>
              <w:rPr>
                <w:rFonts w:ascii="Arial" w:hAnsi="Arial" w:cs="Arial"/>
                <w:color w:val="auto"/>
                <w:sz w:val="16"/>
                <w:szCs w:val="16"/>
              </w:rPr>
            </w:pPr>
            <w:r w:rsidRPr="006D6738">
              <w:rPr>
                <w:rFonts w:ascii="Arial" w:hAnsi="Arial" w:cs="Arial"/>
                <w:color w:val="auto"/>
                <w:sz w:val="16"/>
                <w:szCs w:val="16"/>
              </w:rPr>
              <w:t>-</w:t>
            </w:r>
          </w:p>
        </w:tc>
        <w:tc>
          <w:tcPr>
            <w:tcW w:w="883" w:type="dxa"/>
            <w:tcBorders>
              <w:top w:val="nil"/>
              <w:left w:val="nil"/>
              <w:bottom w:val="nil"/>
              <w:right w:val="nil"/>
            </w:tcBorders>
            <w:shd w:val="clear" w:color="auto" w:fill="auto"/>
            <w:noWrap/>
            <w:vAlign w:val="bottom"/>
            <w:hideMark/>
          </w:tcPr>
          <w:p w14:paraId="3C998D1D" w14:textId="77777777" w:rsidR="006D6738" w:rsidRPr="006D6738" w:rsidRDefault="006D6738" w:rsidP="006D6738">
            <w:pPr>
              <w:spacing w:after="0"/>
              <w:jc w:val="right"/>
              <w:rPr>
                <w:rFonts w:ascii="Arial" w:hAnsi="Arial" w:cs="Arial"/>
                <w:color w:val="auto"/>
                <w:sz w:val="16"/>
                <w:szCs w:val="16"/>
              </w:rPr>
            </w:pPr>
            <w:r w:rsidRPr="006D6738">
              <w:rPr>
                <w:rFonts w:ascii="Arial" w:hAnsi="Arial" w:cs="Arial"/>
                <w:color w:val="auto"/>
                <w:sz w:val="16"/>
                <w:szCs w:val="16"/>
              </w:rPr>
              <w:t>-</w:t>
            </w:r>
          </w:p>
        </w:tc>
      </w:tr>
      <w:tr w:rsidR="006D6738" w:rsidRPr="006D6738" w14:paraId="1B39E633" w14:textId="77777777" w:rsidTr="006D6738">
        <w:trPr>
          <w:trHeight w:val="227"/>
        </w:trPr>
        <w:tc>
          <w:tcPr>
            <w:tcW w:w="2943" w:type="dxa"/>
            <w:tcBorders>
              <w:top w:val="nil"/>
              <w:left w:val="nil"/>
              <w:bottom w:val="nil"/>
              <w:right w:val="nil"/>
            </w:tcBorders>
            <w:shd w:val="clear" w:color="auto" w:fill="auto"/>
            <w:noWrap/>
            <w:vAlign w:val="bottom"/>
            <w:hideMark/>
          </w:tcPr>
          <w:p w14:paraId="1FD4318D" w14:textId="77777777" w:rsidR="006D6738" w:rsidRPr="006D6738" w:rsidRDefault="006D6738" w:rsidP="006D6738">
            <w:pPr>
              <w:spacing w:after="0"/>
              <w:ind w:firstLineChars="200" w:firstLine="320"/>
              <w:rPr>
                <w:rFonts w:ascii="Arial" w:hAnsi="Arial" w:cs="Arial"/>
                <w:b/>
                <w:bCs/>
                <w:color w:val="auto"/>
                <w:sz w:val="16"/>
                <w:szCs w:val="16"/>
              </w:rPr>
            </w:pPr>
            <w:r w:rsidRPr="006D6738">
              <w:rPr>
                <w:rFonts w:ascii="Arial" w:hAnsi="Arial" w:cs="Arial"/>
                <w:b/>
                <w:bCs/>
                <w:color w:val="auto"/>
                <w:sz w:val="16"/>
                <w:szCs w:val="16"/>
              </w:rPr>
              <w:t>Total gains</w:t>
            </w:r>
          </w:p>
        </w:tc>
        <w:tc>
          <w:tcPr>
            <w:tcW w:w="891" w:type="dxa"/>
            <w:tcBorders>
              <w:top w:val="nil"/>
              <w:left w:val="nil"/>
              <w:bottom w:val="single" w:sz="4" w:space="0" w:color="auto"/>
              <w:right w:val="nil"/>
            </w:tcBorders>
            <w:shd w:val="clear" w:color="auto" w:fill="auto"/>
            <w:noWrap/>
            <w:vAlign w:val="bottom"/>
            <w:hideMark/>
          </w:tcPr>
          <w:p w14:paraId="2A7DC49E" w14:textId="77777777" w:rsidR="006D6738" w:rsidRPr="006D6738" w:rsidRDefault="006D6738" w:rsidP="006D6738">
            <w:pPr>
              <w:spacing w:after="0"/>
              <w:jc w:val="right"/>
              <w:rPr>
                <w:rFonts w:ascii="Arial" w:hAnsi="Arial" w:cs="Arial"/>
                <w:b/>
                <w:bCs/>
                <w:color w:val="auto"/>
                <w:sz w:val="16"/>
                <w:szCs w:val="16"/>
              </w:rPr>
            </w:pPr>
            <w:r w:rsidRPr="006D6738">
              <w:rPr>
                <w:rFonts w:ascii="Arial" w:hAnsi="Arial" w:cs="Arial"/>
                <w:b/>
                <w:bCs/>
                <w:color w:val="auto"/>
                <w:sz w:val="16"/>
                <w:szCs w:val="16"/>
              </w:rPr>
              <w:t>-</w:t>
            </w:r>
          </w:p>
        </w:tc>
        <w:tc>
          <w:tcPr>
            <w:tcW w:w="877" w:type="dxa"/>
            <w:tcBorders>
              <w:top w:val="nil"/>
              <w:left w:val="nil"/>
              <w:bottom w:val="single" w:sz="4" w:space="0" w:color="auto"/>
              <w:right w:val="nil"/>
            </w:tcBorders>
            <w:shd w:val="clear" w:color="000000" w:fill="D9D9D9"/>
            <w:noWrap/>
            <w:vAlign w:val="bottom"/>
            <w:hideMark/>
          </w:tcPr>
          <w:p w14:paraId="35ECA56F" w14:textId="77777777" w:rsidR="006D6738" w:rsidRPr="006D6738" w:rsidRDefault="006D6738" w:rsidP="006D6738">
            <w:pPr>
              <w:spacing w:after="0"/>
              <w:jc w:val="right"/>
              <w:rPr>
                <w:rFonts w:ascii="Arial" w:hAnsi="Arial" w:cs="Arial"/>
                <w:b/>
                <w:bCs/>
                <w:color w:val="auto"/>
                <w:sz w:val="16"/>
                <w:szCs w:val="16"/>
              </w:rPr>
            </w:pPr>
            <w:r w:rsidRPr="006D6738">
              <w:rPr>
                <w:rFonts w:ascii="Arial" w:hAnsi="Arial" w:cs="Arial"/>
                <w:b/>
                <w:bCs/>
                <w:color w:val="auto"/>
                <w:sz w:val="16"/>
                <w:szCs w:val="16"/>
              </w:rPr>
              <w:t>-</w:t>
            </w:r>
          </w:p>
        </w:tc>
        <w:tc>
          <w:tcPr>
            <w:tcW w:w="883" w:type="dxa"/>
            <w:tcBorders>
              <w:top w:val="nil"/>
              <w:left w:val="nil"/>
              <w:bottom w:val="single" w:sz="4" w:space="0" w:color="auto"/>
              <w:right w:val="nil"/>
            </w:tcBorders>
            <w:shd w:val="clear" w:color="auto" w:fill="auto"/>
            <w:noWrap/>
            <w:vAlign w:val="bottom"/>
            <w:hideMark/>
          </w:tcPr>
          <w:p w14:paraId="52936A77" w14:textId="77777777" w:rsidR="006D6738" w:rsidRPr="006D6738" w:rsidRDefault="006D6738" w:rsidP="006D6738">
            <w:pPr>
              <w:spacing w:after="0"/>
              <w:jc w:val="right"/>
              <w:rPr>
                <w:rFonts w:ascii="Arial" w:hAnsi="Arial" w:cs="Arial"/>
                <w:b/>
                <w:bCs/>
                <w:color w:val="auto"/>
                <w:sz w:val="16"/>
                <w:szCs w:val="16"/>
              </w:rPr>
            </w:pPr>
            <w:r w:rsidRPr="006D6738">
              <w:rPr>
                <w:rFonts w:ascii="Arial" w:hAnsi="Arial" w:cs="Arial"/>
                <w:b/>
                <w:bCs/>
                <w:color w:val="auto"/>
                <w:sz w:val="16"/>
                <w:szCs w:val="16"/>
              </w:rPr>
              <w:t>-</w:t>
            </w:r>
          </w:p>
        </w:tc>
        <w:tc>
          <w:tcPr>
            <w:tcW w:w="883" w:type="dxa"/>
            <w:tcBorders>
              <w:top w:val="nil"/>
              <w:left w:val="nil"/>
              <w:bottom w:val="single" w:sz="4" w:space="0" w:color="auto"/>
              <w:right w:val="nil"/>
            </w:tcBorders>
            <w:shd w:val="clear" w:color="auto" w:fill="auto"/>
            <w:noWrap/>
            <w:vAlign w:val="bottom"/>
            <w:hideMark/>
          </w:tcPr>
          <w:p w14:paraId="7C683A95" w14:textId="77777777" w:rsidR="006D6738" w:rsidRPr="006D6738" w:rsidRDefault="006D6738" w:rsidP="006D6738">
            <w:pPr>
              <w:spacing w:after="0"/>
              <w:jc w:val="right"/>
              <w:rPr>
                <w:rFonts w:ascii="Arial" w:hAnsi="Arial" w:cs="Arial"/>
                <w:b/>
                <w:bCs/>
                <w:color w:val="auto"/>
                <w:sz w:val="16"/>
                <w:szCs w:val="16"/>
              </w:rPr>
            </w:pPr>
            <w:r w:rsidRPr="006D6738">
              <w:rPr>
                <w:rFonts w:ascii="Arial" w:hAnsi="Arial" w:cs="Arial"/>
                <w:b/>
                <w:bCs/>
                <w:color w:val="auto"/>
                <w:sz w:val="16"/>
                <w:szCs w:val="16"/>
              </w:rPr>
              <w:t>-</w:t>
            </w:r>
          </w:p>
        </w:tc>
        <w:tc>
          <w:tcPr>
            <w:tcW w:w="883" w:type="dxa"/>
            <w:tcBorders>
              <w:top w:val="nil"/>
              <w:left w:val="nil"/>
              <w:bottom w:val="single" w:sz="4" w:space="0" w:color="auto"/>
              <w:right w:val="nil"/>
            </w:tcBorders>
            <w:shd w:val="clear" w:color="auto" w:fill="auto"/>
            <w:noWrap/>
            <w:vAlign w:val="bottom"/>
            <w:hideMark/>
          </w:tcPr>
          <w:p w14:paraId="459C60C9" w14:textId="77777777" w:rsidR="006D6738" w:rsidRPr="006D6738" w:rsidRDefault="006D6738" w:rsidP="006D6738">
            <w:pPr>
              <w:spacing w:after="0"/>
              <w:jc w:val="right"/>
              <w:rPr>
                <w:rFonts w:ascii="Arial" w:hAnsi="Arial" w:cs="Arial"/>
                <w:b/>
                <w:bCs/>
                <w:color w:val="auto"/>
                <w:sz w:val="16"/>
                <w:szCs w:val="16"/>
              </w:rPr>
            </w:pPr>
            <w:r w:rsidRPr="006D6738">
              <w:rPr>
                <w:rFonts w:ascii="Arial" w:hAnsi="Arial" w:cs="Arial"/>
                <w:b/>
                <w:bCs/>
                <w:color w:val="auto"/>
                <w:sz w:val="16"/>
                <w:szCs w:val="16"/>
              </w:rPr>
              <w:t>-</w:t>
            </w:r>
          </w:p>
        </w:tc>
      </w:tr>
      <w:tr w:rsidR="006D6738" w:rsidRPr="006D6738" w14:paraId="4A8117C4" w14:textId="77777777" w:rsidTr="006D6738">
        <w:trPr>
          <w:trHeight w:val="227"/>
        </w:trPr>
        <w:tc>
          <w:tcPr>
            <w:tcW w:w="2943" w:type="dxa"/>
            <w:tcBorders>
              <w:top w:val="nil"/>
              <w:left w:val="nil"/>
              <w:bottom w:val="nil"/>
              <w:right w:val="nil"/>
            </w:tcBorders>
            <w:shd w:val="clear" w:color="auto" w:fill="auto"/>
            <w:noWrap/>
            <w:vAlign w:val="bottom"/>
            <w:hideMark/>
          </w:tcPr>
          <w:p w14:paraId="1740EA94" w14:textId="77777777" w:rsidR="006D6738" w:rsidRPr="006D6738" w:rsidRDefault="006D6738" w:rsidP="006D6738">
            <w:pPr>
              <w:spacing w:after="0"/>
              <w:ind w:leftChars="75" w:left="143"/>
              <w:rPr>
                <w:rFonts w:ascii="Arial" w:hAnsi="Arial" w:cs="Arial"/>
                <w:b/>
                <w:bCs/>
                <w:color w:val="auto"/>
                <w:sz w:val="16"/>
                <w:szCs w:val="16"/>
              </w:rPr>
            </w:pPr>
            <w:r w:rsidRPr="006D6738">
              <w:rPr>
                <w:rFonts w:ascii="Arial" w:hAnsi="Arial" w:cs="Arial"/>
                <w:b/>
                <w:bCs/>
                <w:color w:val="auto"/>
                <w:sz w:val="16"/>
                <w:szCs w:val="16"/>
              </w:rPr>
              <w:t>Total own-source income</w:t>
            </w:r>
          </w:p>
        </w:tc>
        <w:tc>
          <w:tcPr>
            <w:tcW w:w="891" w:type="dxa"/>
            <w:tcBorders>
              <w:top w:val="nil"/>
              <w:left w:val="nil"/>
              <w:bottom w:val="single" w:sz="4" w:space="0" w:color="auto"/>
              <w:right w:val="nil"/>
            </w:tcBorders>
            <w:shd w:val="clear" w:color="auto" w:fill="auto"/>
            <w:noWrap/>
            <w:vAlign w:val="bottom"/>
            <w:hideMark/>
          </w:tcPr>
          <w:p w14:paraId="3073DE26" w14:textId="77777777" w:rsidR="006D6738" w:rsidRPr="006D6738" w:rsidRDefault="006D6738" w:rsidP="006D6738">
            <w:pPr>
              <w:spacing w:after="0"/>
              <w:jc w:val="right"/>
              <w:rPr>
                <w:rFonts w:ascii="Arial" w:hAnsi="Arial" w:cs="Arial"/>
                <w:b/>
                <w:bCs/>
                <w:color w:val="auto"/>
                <w:sz w:val="16"/>
                <w:szCs w:val="16"/>
              </w:rPr>
            </w:pPr>
            <w:r w:rsidRPr="006D6738">
              <w:rPr>
                <w:rFonts w:ascii="Arial" w:hAnsi="Arial" w:cs="Arial"/>
                <w:b/>
                <w:bCs/>
                <w:color w:val="auto"/>
                <w:sz w:val="16"/>
                <w:szCs w:val="16"/>
              </w:rPr>
              <w:t>61,561</w:t>
            </w:r>
          </w:p>
        </w:tc>
        <w:tc>
          <w:tcPr>
            <w:tcW w:w="877" w:type="dxa"/>
            <w:tcBorders>
              <w:top w:val="nil"/>
              <w:left w:val="nil"/>
              <w:bottom w:val="single" w:sz="4" w:space="0" w:color="auto"/>
              <w:right w:val="nil"/>
            </w:tcBorders>
            <w:shd w:val="clear" w:color="000000" w:fill="D9D9D9"/>
            <w:noWrap/>
            <w:vAlign w:val="bottom"/>
            <w:hideMark/>
          </w:tcPr>
          <w:p w14:paraId="681E1BFD" w14:textId="77777777" w:rsidR="006D6738" w:rsidRPr="006D6738" w:rsidRDefault="006D6738" w:rsidP="006D6738">
            <w:pPr>
              <w:spacing w:after="0"/>
              <w:jc w:val="right"/>
              <w:rPr>
                <w:rFonts w:ascii="Arial" w:hAnsi="Arial" w:cs="Arial"/>
                <w:b/>
                <w:bCs/>
                <w:color w:val="auto"/>
                <w:sz w:val="16"/>
                <w:szCs w:val="16"/>
              </w:rPr>
            </w:pPr>
            <w:r w:rsidRPr="006D6738">
              <w:rPr>
                <w:rFonts w:ascii="Arial" w:hAnsi="Arial" w:cs="Arial"/>
                <w:b/>
                <w:bCs/>
                <w:color w:val="auto"/>
                <w:sz w:val="16"/>
                <w:szCs w:val="16"/>
              </w:rPr>
              <w:t>62,830</w:t>
            </w:r>
          </w:p>
        </w:tc>
        <w:tc>
          <w:tcPr>
            <w:tcW w:w="883" w:type="dxa"/>
            <w:tcBorders>
              <w:top w:val="nil"/>
              <w:left w:val="nil"/>
              <w:bottom w:val="single" w:sz="4" w:space="0" w:color="auto"/>
              <w:right w:val="nil"/>
            </w:tcBorders>
            <w:shd w:val="clear" w:color="auto" w:fill="auto"/>
            <w:noWrap/>
            <w:vAlign w:val="bottom"/>
            <w:hideMark/>
          </w:tcPr>
          <w:p w14:paraId="66249DFD" w14:textId="77777777" w:rsidR="006D6738" w:rsidRPr="006D6738" w:rsidRDefault="006D6738" w:rsidP="006D6738">
            <w:pPr>
              <w:spacing w:after="0"/>
              <w:jc w:val="right"/>
              <w:rPr>
                <w:rFonts w:ascii="Arial" w:hAnsi="Arial" w:cs="Arial"/>
                <w:b/>
                <w:bCs/>
                <w:color w:val="auto"/>
                <w:sz w:val="16"/>
                <w:szCs w:val="16"/>
              </w:rPr>
            </w:pPr>
            <w:r w:rsidRPr="006D6738">
              <w:rPr>
                <w:rFonts w:ascii="Arial" w:hAnsi="Arial" w:cs="Arial"/>
                <w:b/>
                <w:bCs/>
                <w:color w:val="auto"/>
                <w:sz w:val="16"/>
                <w:szCs w:val="16"/>
              </w:rPr>
              <w:t>62,830</w:t>
            </w:r>
          </w:p>
        </w:tc>
        <w:tc>
          <w:tcPr>
            <w:tcW w:w="883" w:type="dxa"/>
            <w:tcBorders>
              <w:top w:val="nil"/>
              <w:left w:val="nil"/>
              <w:bottom w:val="single" w:sz="4" w:space="0" w:color="auto"/>
              <w:right w:val="nil"/>
            </w:tcBorders>
            <w:shd w:val="clear" w:color="auto" w:fill="auto"/>
            <w:noWrap/>
            <w:vAlign w:val="bottom"/>
            <w:hideMark/>
          </w:tcPr>
          <w:p w14:paraId="25CDCE06" w14:textId="77777777" w:rsidR="006D6738" w:rsidRPr="006D6738" w:rsidRDefault="006D6738" w:rsidP="006D6738">
            <w:pPr>
              <w:spacing w:after="0"/>
              <w:jc w:val="right"/>
              <w:rPr>
                <w:rFonts w:ascii="Arial" w:hAnsi="Arial" w:cs="Arial"/>
                <w:b/>
                <w:bCs/>
                <w:color w:val="auto"/>
                <w:sz w:val="16"/>
                <w:szCs w:val="16"/>
              </w:rPr>
            </w:pPr>
            <w:r w:rsidRPr="006D6738">
              <w:rPr>
                <w:rFonts w:ascii="Arial" w:hAnsi="Arial" w:cs="Arial"/>
                <w:b/>
                <w:bCs/>
                <w:color w:val="auto"/>
                <w:sz w:val="16"/>
                <w:szCs w:val="16"/>
              </w:rPr>
              <w:t>62,830</w:t>
            </w:r>
          </w:p>
        </w:tc>
        <w:tc>
          <w:tcPr>
            <w:tcW w:w="883" w:type="dxa"/>
            <w:tcBorders>
              <w:top w:val="nil"/>
              <w:left w:val="nil"/>
              <w:bottom w:val="single" w:sz="4" w:space="0" w:color="auto"/>
              <w:right w:val="nil"/>
            </w:tcBorders>
            <w:shd w:val="clear" w:color="auto" w:fill="auto"/>
            <w:noWrap/>
            <w:vAlign w:val="bottom"/>
            <w:hideMark/>
          </w:tcPr>
          <w:p w14:paraId="63659139" w14:textId="77777777" w:rsidR="006D6738" w:rsidRPr="006D6738" w:rsidRDefault="006D6738" w:rsidP="006D6738">
            <w:pPr>
              <w:spacing w:after="0"/>
              <w:jc w:val="right"/>
              <w:rPr>
                <w:rFonts w:ascii="Arial" w:hAnsi="Arial" w:cs="Arial"/>
                <w:b/>
                <w:bCs/>
                <w:color w:val="auto"/>
                <w:sz w:val="16"/>
                <w:szCs w:val="16"/>
              </w:rPr>
            </w:pPr>
            <w:r w:rsidRPr="006D6738">
              <w:rPr>
                <w:rFonts w:ascii="Arial" w:hAnsi="Arial" w:cs="Arial"/>
                <w:b/>
                <w:bCs/>
                <w:color w:val="auto"/>
                <w:sz w:val="16"/>
                <w:szCs w:val="16"/>
              </w:rPr>
              <w:t>62,800</w:t>
            </w:r>
          </w:p>
        </w:tc>
      </w:tr>
      <w:tr w:rsidR="006D6738" w:rsidRPr="006D6738" w14:paraId="5305E282" w14:textId="77777777" w:rsidTr="006D6738">
        <w:trPr>
          <w:trHeight w:val="227"/>
        </w:trPr>
        <w:tc>
          <w:tcPr>
            <w:tcW w:w="2943" w:type="dxa"/>
            <w:tcBorders>
              <w:top w:val="nil"/>
              <w:left w:val="nil"/>
              <w:bottom w:val="nil"/>
              <w:right w:val="nil"/>
            </w:tcBorders>
            <w:shd w:val="clear" w:color="auto" w:fill="auto"/>
            <w:vAlign w:val="bottom"/>
            <w:hideMark/>
          </w:tcPr>
          <w:p w14:paraId="55798ECC" w14:textId="77777777" w:rsidR="006D6738" w:rsidRPr="006D6738" w:rsidRDefault="006D6738" w:rsidP="00251A42">
            <w:pPr>
              <w:spacing w:after="0"/>
              <w:rPr>
                <w:rFonts w:ascii="Arial" w:hAnsi="Arial" w:cs="Arial"/>
                <w:b/>
                <w:bCs/>
                <w:color w:val="auto"/>
                <w:sz w:val="16"/>
                <w:szCs w:val="16"/>
              </w:rPr>
            </w:pPr>
            <w:r w:rsidRPr="006D6738">
              <w:rPr>
                <w:rFonts w:ascii="Arial" w:hAnsi="Arial" w:cs="Arial"/>
                <w:b/>
                <w:bCs/>
                <w:color w:val="auto"/>
                <w:sz w:val="16"/>
                <w:szCs w:val="16"/>
              </w:rPr>
              <w:t xml:space="preserve">Net cost of (contribution by) services </w:t>
            </w:r>
          </w:p>
        </w:tc>
        <w:tc>
          <w:tcPr>
            <w:tcW w:w="891" w:type="dxa"/>
            <w:tcBorders>
              <w:top w:val="nil"/>
              <w:left w:val="nil"/>
              <w:bottom w:val="single" w:sz="4" w:space="0" w:color="auto"/>
              <w:right w:val="nil"/>
            </w:tcBorders>
            <w:shd w:val="clear" w:color="auto" w:fill="auto"/>
            <w:noWrap/>
            <w:vAlign w:val="bottom"/>
            <w:hideMark/>
          </w:tcPr>
          <w:p w14:paraId="336804B9" w14:textId="77777777" w:rsidR="006D6738" w:rsidRPr="006D6738" w:rsidRDefault="006D6738" w:rsidP="00251A42">
            <w:pPr>
              <w:spacing w:after="0"/>
              <w:jc w:val="right"/>
              <w:rPr>
                <w:rFonts w:ascii="Arial" w:hAnsi="Arial" w:cs="Arial"/>
                <w:b/>
                <w:bCs/>
                <w:color w:val="auto"/>
                <w:sz w:val="16"/>
                <w:szCs w:val="16"/>
              </w:rPr>
            </w:pPr>
            <w:r w:rsidRPr="006D6738">
              <w:rPr>
                <w:rFonts w:ascii="Arial" w:hAnsi="Arial" w:cs="Arial"/>
                <w:b/>
                <w:bCs/>
                <w:color w:val="auto"/>
                <w:sz w:val="16"/>
                <w:szCs w:val="16"/>
              </w:rPr>
              <w:t>37,032</w:t>
            </w:r>
          </w:p>
        </w:tc>
        <w:tc>
          <w:tcPr>
            <w:tcW w:w="877" w:type="dxa"/>
            <w:tcBorders>
              <w:top w:val="nil"/>
              <w:left w:val="nil"/>
              <w:bottom w:val="single" w:sz="4" w:space="0" w:color="auto"/>
              <w:right w:val="nil"/>
            </w:tcBorders>
            <w:shd w:val="clear" w:color="000000" w:fill="D9D9D9"/>
            <w:noWrap/>
            <w:vAlign w:val="bottom"/>
            <w:hideMark/>
          </w:tcPr>
          <w:p w14:paraId="3889F42A" w14:textId="77777777" w:rsidR="006D6738" w:rsidRPr="006D6738" w:rsidRDefault="006D6738" w:rsidP="00251A42">
            <w:pPr>
              <w:spacing w:after="0"/>
              <w:jc w:val="right"/>
              <w:rPr>
                <w:rFonts w:ascii="Arial" w:hAnsi="Arial" w:cs="Arial"/>
                <w:b/>
                <w:bCs/>
                <w:color w:val="auto"/>
                <w:sz w:val="16"/>
                <w:szCs w:val="16"/>
              </w:rPr>
            </w:pPr>
            <w:r w:rsidRPr="006D6738">
              <w:rPr>
                <w:rFonts w:ascii="Arial" w:hAnsi="Arial" w:cs="Arial"/>
                <w:b/>
                <w:bCs/>
                <w:color w:val="auto"/>
                <w:sz w:val="16"/>
                <w:szCs w:val="16"/>
              </w:rPr>
              <w:t>37,412</w:t>
            </w:r>
          </w:p>
        </w:tc>
        <w:tc>
          <w:tcPr>
            <w:tcW w:w="883" w:type="dxa"/>
            <w:tcBorders>
              <w:top w:val="nil"/>
              <w:left w:val="nil"/>
              <w:bottom w:val="single" w:sz="4" w:space="0" w:color="auto"/>
              <w:right w:val="nil"/>
            </w:tcBorders>
            <w:shd w:val="clear" w:color="auto" w:fill="auto"/>
            <w:noWrap/>
            <w:vAlign w:val="bottom"/>
            <w:hideMark/>
          </w:tcPr>
          <w:p w14:paraId="1F68C9A0" w14:textId="77777777" w:rsidR="006D6738" w:rsidRPr="006D6738" w:rsidRDefault="006D6738" w:rsidP="00251A42">
            <w:pPr>
              <w:spacing w:after="0"/>
              <w:jc w:val="right"/>
              <w:rPr>
                <w:rFonts w:ascii="Arial" w:hAnsi="Arial" w:cs="Arial"/>
                <w:b/>
                <w:bCs/>
                <w:color w:val="auto"/>
                <w:sz w:val="16"/>
                <w:szCs w:val="16"/>
              </w:rPr>
            </w:pPr>
            <w:r w:rsidRPr="006D6738">
              <w:rPr>
                <w:rFonts w:ascii="Arial" w:hAnsi="Arial" w:cs="Arial"/>
                <w:b/>
                <w:bCs/>
                <w:color w:val="auto"/>
                <w:sz w:val="16"/>
                <w:szCs w:val="16"/>
              </w:rPr>
              <w:t>36,650</w:t>
            </w:r>
          </w:p>
        </w:tc>
        <w:tc>
          <w:tcPr>
            <w:tcW w:w="883" w:type="dxa"/>
            <w:tcBorders>
              <w:top w:val="nil"/>
              <w:left w:val="nil"/>
              <w:bottom w:val="single" w:sz="4" w:space="0" w:color="auto"/>
              <w:right w:val="nil"/>
            </w:tcBorders>
            <w:shd w:val="clear" w:color="auto" w:fill="auto"/>
            <w:noWrap/>
            <w:vAlign w:val="bottom"/>
            <w:hideMark/>
          </w:tcPr>
          <w:p w14:paraId="120BB4DA" w14:textId="77777777" w:rsidR="006D6738" w:rsidRPr="006D6738" w:rsidRDefault="006D6738" w:rsidP="00251A42">
            <w:pPr>
              <w:spacing w:after="0"/>
              <w:jc w:val="right"/>
              <w:rPr>
                <w:rFonts w:ascii="Arial" w:hAnsi="Arial" w:cs="Arial"/>
                <w:b/>
                <w:bCs/>
                <w:color w:val="auto"/>
                <w:sz w:val="16"/>
                <w:szCs w:val="16"/>
              </w:rPr>
            </w:pPr>
            <w:r w:rsidRPr="006D6738">
              <w:rPr>
                <w:rFonts w:ascii="Arial" w:hAnsi="Arial" w:cs="Arial"/>
                <w:b/>
                <w:bCs/>
                <w:color w:val="auto"/>
                <w:sz w:val="16"/>
                <w:szCs w:val="16"/>
              </w:rPr>
              <w:t>36,502</w:t>
            </w:r>
          </w:p>
        </w:tc>
        <w:tc>
          <w:tcPr>
            <w:tcW w:w="883" w:type="dxa"/>
            <w:tcBorders>
              <w:top w:val="nil"/>
              <w:left w:val="nil"/>
              <w:bottom w:val="single" w:sz="4" w:space="0" w:color="auto"/>
              <w:right w:val="nil"/>
            </w:tcBorders>
            <w:shd w:val="clear" w:color="auto" w:fill="auto"/>
            <w:noWrap/>
            <w:vAlign w:val="bottom"/>
            <w:hideMark/>
          </w:tcPr>
          <w:p w14:paraId="6625CBBC" w14:textId="77777777" w:rsidR="006D6738" w:rsidRPr="006D6738" w:rsidRDefault="006D6738" w:rsidP="00251A42">
            <w:pPr>
              <w:spacing w:after="0"/>
              <w:jc w:val="right"/>
              <w:rPr>
                <w:rFonts w:ascii="Arial" w:hAnsi="Arial" w:cs="Arial"/>
                <w:b/>
                <w:bCs/>
                <w:color w:val="auto"/>
                <w:sz w:val="16"/>
                <w:szCs w:val="16"/>
              </w:rPr>
            </w:pPr>
            <w:r w:rsidRPr="006D6738">
              <w:rPr>
                <w:rFonts w:ascii="Arial" w:hAnsi="Arial" w:cs="Arial"/>
                <w:b/>
                <w:bCs/>
                <w:color w:val="auto"/>
                <w:sz w:val="16"/>
                <w:szCs w:val="16"/>
              </w:rPr>
              <w:t>36,317</w:t>
            </w:r>
          </w:p>
        </w:tc>
      </w:tr>
      <w:tr w:rsidR="006D6738" w:rsidRPr="006D6738" w14:paraId="0DBFF023" w14:textId="77777777" w:rsidTr="006D6738">
        <w:trPr>
          <w:trHeight w:val="227"/>
        </w:trPr>
        <w:tc>
          <w:tcPr>
            <w:tcW w:w="2943" w:type="dxa"/>
            <w:tcBorders>
              <w:top w:val="nil"/>
              <w:left w:val="nil"/>
              <w:bottom w:val="nil"/>
              <w:right w:val="nil"/>
            </w:tcBorders>
            <w:shd w:val="clear" w:color="auto" w:fill="auto"/>
            <w:noWrap/>
            <w:vAlign w:val="bottom"/>
            <w:hideMark/>
          </w:tcPr>
          <w:p w14:paraId="23CF6EB1" w14:textId="77777777" w:rsidR="006D6738" w:rsidRPr="006D6738" w:rsidRDefault="006D6738" w:rsidP="00251A42">
            <w:pPr>
              <w:spacing w:after="0"/>
              <w:ind w:leftChars="75" w:left="143"/>
              <w:rPr>
                <w:rFonts w:ascii="Arial" w:hAnsi="Arial" w:cs="Arial"/>
                <w:color w:val="auto"/>
                <w:sz w:val="16"/>
                <w:szCs w:val="16"/>
              </w:rPr>
            </w:pPr>
            <w:r w:rsidRPr="006D6738">
              <w:rPr>
                <w:rFonts w:ascii="Arial" w:hAnsi="Arial" w:cs="Arial"/>
                <w:color w:val="auto"/>
                <w:sz w:val="16"/>
                <w:szCs w:val="16"/>
              </w:rPr>
              <w:t>Revenue from Government</w:t>
            </w:r>
          </w:p>
        </w:tc>
        <w:tc>
          <w:tcPr>
            <w:tcW w:w="891" w:type="dxa"/>
            <w:tcBorders>
              <w:top w:val="nil"/>
              <w:left w:val="nil"/>
              <w:bottom w:val="nil"/>
              <w:right w:val="nil"/>
            </w:tcBorders>
            <w:shd w:val="clear" w:color="auto" w:fill="auto"/>
            <w:noWrap/>
            <w:vAlign w:val="bottom"/>
            <w:hideMark/>
          </w:tcPr>
          <w:p w14:paraId="67D6517E" w14:textId="77777777" w:rsidR="006D6738" w:rsidRPr="006D6738" w:rsidRDefault="006D6738" w:rsidP="00251A42">
            <w:pPr>
              <w:spacing w:after="0"/>
              <w:jc w:val="right"/>
              <w:rPr>
                <w:rFonts w:ascii="Arial" w:hAnsi="Arial" w:cs="Arial"/>
                <w:color w:val="auto"/>
                <w:sz w:val="16"/>
                <w:szCs w:val="16"/>
              </w:rPr>
            </w:pPr>
            <w:r w:rsidRPr="006D6738">
              <w:rPr>
                <w:rFonts w:ascii="Arial" w:hAnsi="Arial" w:cs="Arial"/>
                <w:color w:val="auto"/>
                <w:sz w:val="16"/>
                <w:szCs w:val="16"/>
              </w:rPr>
              <w:t>34,917</w:t>
            </w:r>
          </w:p>
        </w:tc>
        <w:tc>
          <w:tcPr>
            <w:tcW w:w="877" w:type="dxa"/>
            <w:tcBorders>
              <w:top w:val="nil"/>
              <w:left w:val="nil"/>
              <w:bottom w:val="nil"/>
              <w:right w:val="nil"/>
            </w:tcBorders>
            <w:shd w:val="clear" w:color="000000" w:fill="D9D9D9"/>
            <w:noWrap/>
            <w:vAlign w:val="bottom"/>
            <w:hideMark/>
          </w:tcPr>
          <w:p w14:paraId="24013CC5" w14:textId="77777777" w:rsidR="006D6738" w:rsidRPr="006D6738" w:rsidRDefault="006D6738" w:rsidP="00251A42">
            <w:pPr>
              <w:spacing w:after="0"/>
              <w:jc w:val="right"/>
              <w:rPr>
                <w:rFonts w:ascii="Arial" w:hAnsi="Arial" w:cs="Arial"/>
                <w:color w:val="auto"/>
                <w:sz w:val="16"/>
                <w:szCs w:val="16"/>
              </w:rPr>
            </w:pPr>
            <w:r w:rsidRPr="006D6738">
              <w:rPr>
                <w:rFonts w:ascii="Arial" w:hAnsi="Arial" w:cs="Arial"/>
                <w:color w:val="auto"/>
                <w:sz w:val="16"/>
                <w:szCs w:val="16"/>
              </w:rPr>
              <w:t>34,349</w:t>
            </w:r>
          </w:p>
        </w:tc>
        <w:tc>
          <w:tcPr>
            <w:tcW w:w="883" w:type="dxa"/>
            <w:tcBorders>
              <w:top w:val="nil"/>
              <w:left w:val="nil"/>
              <w:bottom w:val="nil"/>
              <w:right w:val="nil"/>
            </w:tcBorders>
            <w:shd w:val="clear" w:color="auto" w:fill="auto"/>
            <w:noWrap/>
            <w:vAlign w:val="bottom"/>
            <w:hideMark/>
          </w:tcPr>
          <w:p w14:paraId="5E851DEB" w14:textId="77777777" w:rsidR="006D6738" w:rsidRPr="006D6738" w:rsidRDefault="006D6738" w:rsidP="00251A42">
            <w:pPr>
              <w:spacing w:after="0"/>
              <w:jc w:val="right"/>
              <w:rPr>
                <w:rFonts w:ascii="Arial" w:hAnsi="Arial" w:cs="Arial"/>
                <w:color w:val="auto"/>
                <w:sz w:val="16"/>
                <w:szCs w:val="16"/>
              </w:rPr>
            </w:pPr>
            <w:r w:rsidRPr="006D6738">
              <w:rPr>
                <w:rFonts w:ascii="Arial" w:hAnsi="Arial" w:cs="Arial"/>
                <w:color w:val="auto"/>
                <w:sz w:val="16"/>
                <w:szCs w:val="16"/>
              </w:rPr>
              <w:t>35,885</w:t>
            </w:r>
          </w:p>
        </w:tc>
        <w:tc>
          <w:tcPr>
            <w:tcW w:w="883" w:type="dxa"/>
            <w:tcBorders>
              <w:top w:val="nil"/>
              <w:left w:val="nil"/>
              <w:bottom w:val="nil"/>
              <w:right w:val="nil"/>
            </w:tcBorders>
            <w:shd w:val="clear" w:color="auto" w:fill="auto"/>
            <w:noWrap/>
            <w:vAlign w:val="bottom"/>
            <w:hideMark/>
          </w:tcPr>
          <w:p w14:paraId="33D99DBC" w14:textId="77777777" w:rsidR="006D6738" w:rsidRPr="006D6738" w:rsidRDefault="006D6738" w:rsidP="00251A42">
            <w:pPr>
              <w:spacing w:after="0"/>
              <w:jc w:val="right"/>
              <w:rPr>
                <w:rFonts w:ascii="Arial" w:hAnsi="Arial" w:cs="Arial"/>
                <w:color w:val="auto"/>
                <w:sz w:val="16"/>
                <w:szCs w:val="16"/>
              </w:rPr>
            </w:pPr>
            <w:r w:rsidRPr="006D6738">
              <w:rPr>
                <w:rFonts w:ascii="Arial" w:hAnsi="Arial" w:cs="Arial"/>
                <w:color w:val="auto"/>
                <w:sz w:val="16"/>
                <w:szCs w:val="16"/>
              </w:rPr>
              <w:t>36,499</w:t>
            </w:r>
          </w:p>
        </w:tc>
        <w:tc>
          <w:tcPr>
            <w:tcW w:w="883" w:type="dxa"/>
            <w:tcBorders>
              <w:top w:val="nil"/>
              <w:left w:val="nil"/>
              <w:bottom w:val="nil"/>
              <w:right w:val="nil"/>
            </w:tcBorders>
            <w:shd w:val="clear" w:color="auto" w:fill="auto"/>
            <w:noWrap/>
            <w:vAlign w:val="bottom"/>
            <w:hideMark/>
          </w:tcPr>
          <w:p w14:paraId="3E84F536" w14:textId="77777777" w:rsidR="006D6738" w:rsidRPr="006D6738" w:rsidRDefault="006D6738" w:rsidP="00251A42">
            <w:pPr>
              <w:spacing w:after="0"/>
              <w:jc w:val="right"/>
              <w:rPr>
                <w:rFonts w:ascii="Arial" w:hAnsi="Arial" w:cs="Arial"/>
                <w:color w:val="auto"/>
                <w:sz w:val="16"/>
                <w:szCs w:val="16"/>
              </w:rPr>
            </w:pPr>
            <w:r w:rsidRPr="006D6738">
              <w:rPr>
                <w:rFonts w:ascii="Arial" w:hAnsi="Arial" w:cs="Arial"/>
                <w:color w:val="auto"/>
                <w:sz w:val="16"/>
                <w:szCs w:val="16"/>
              </w:rPr>
              <w:t>36,470</w:t>
            </w:r>
          </w:p>
        </w:tc>
      </w:tr>
      <w:tr w:rsidR="006D6738" w:rsidRPr="006D6738" w14:paraId="171B3B64" w14:textId="77777777" w:rsidTr="006D6738">
        <w:trPr>
          <w:trHeight w:val="227"/>
        </w:trPr>
        <w:tc>
          <w:tcPr>
            <w:tcW w:w="2943" w:type="dxa"/>
            <w:tcBorders>
              <w:top w:val="nil"/>
              <w:left w:val="nil"/>
              <w:bottom w:val="nil"/>
              <w:right w:val="nil"/>
            </w:tcBorders>
            <w:shd w:val="clear" w:color="auto" w:fill="auto"/>
            <w:noWrap/>
            <w:vAlign w:val="bottom"/>
            <w:hideMark/>
          </w:tcPr>
          <w:p w14:paraId="176C2830" w14:textId="77777777" w:rsidR="006D6738" w:rsidRPr="006D6738" w:rsidRDefault="006D6738" w:rsidP="00251A42">
            <w:pPr>
              <w:spacing w:before="20" w:after="20"/>
              <w:rPr>
                <w:rFonts w:ascii="Arial" w:hAnsi="Arial" w:cs="Arial"/>
                <w:b/>
                <w:bCs/>
                <w:color w:val="auto"/>
                <w:sz w:val="16"/>
                <w:szCs w:val="16"/>
              </w:rPr>
            </w:pPr>
            <w:r w:rsidRPr="006D6738">
              <w:rPr>
                <w:rFonts w:ascii="Arial" w:hAnsi="Arial" w:cs="Arial"/>
                <w:b/>
                <w:bCs/>
                <w:color w:val="auto"/>
                <w:sz w:val="16"/>
                <w:szCs w:val="16"/>
              </w:rPr>
              <w:t>Surplus (deficit)</w:t>
            </w:r>
          </w:p>
        </w:tc>
        <w:tc>
          <w:tcPr>
            <w:tcW w:w="891" w:type="dxa"/>
            <w:tcBorders>
              <w:top w:val="nil"/>
              <w:left w:val="nil"/>
              <w:bottom w:val="single" w:sz="4" w:space="0" w:color="auto"/>
              <w:right w:val="nil"/>
            </w:tcBorders>
            <w:shd w:val="clear" w:color="auto" w:fill="auto"/>
            <w:noWrap/>
            <w:vAlign w:val="bottom"/>
            <w:hideMark/>
          </w:tcPr>
          <w:p w14:paraId="2B4E7921" w14:textId="77777777" w:rsidR="006D6738" w:rsidRPr="006D6738" w:rsidRDefault="006D6738" w:rsidP="00251A42">
            <w:pPr>
              <w:spacing w:after="0"/>
              <w:jc w:val="right"/>
              <w:rPr>
                <w:rFonts w:ascii="Arial" w:hAnsi="Arial" w:cs="Arial"/>
                <w:b/>
                <w:bCs/>
                <w:color w:val="auto"/>
                <w:sz w:val="16"/>
                <w:szCs w:val="16"/>
              </w:rPr>
            </w:pPr>
            <w:r w:rsidRPr="006D6738">
              <w:rPr>
                <w:rFonts w:ascii="Arial" w:hAnsi="Arial" w:cs="Arial"/>
                <w:b/>
                <w:bCs/>
                <w:color w:val="auto"/>
                <w:sz w:val="16"/>
                <w:szCs w:val="16"/>
              </w:rPr>
              <w:t>(2,115)</w:t>
            </w:r>
          </w:p>
        </w:tc>
        <w:tc>
          <w:tcPr>
            <w:tcW w:w="877" w:type="dxa"/>
            <w:tcBorders>
              <w:top w:val="nil"/>
              <w:left w:val="nil"/>
              <w:bottom w:val="single" w:sz="4" w:space="0" w:color="auto"/>
              <w:right w:val="nil"/>
            </w:tcBorders>
            <w:shd w:val="clear" w:color="000000" w:fill="D9D9D9"/>
            <w:noWrap/>
            <w:vAlign w:val="bottom"/>
            <w:hideMark/>
          </w:tcPr>
          <w:p w14:paraId="7C89A999" w14:textId="77777777" w:rsidR="006D6738" w:rsidRPr="006D6738" w:rsidRDefault="006D6738" w:rsidP="00251A42">
            <w:pPr>
              <w:spacing w:after="0"/>
              <w:jc w:val="right"/>
              <w:rPr>
                <w:rFonts w:ascii="Arial" w:hAnsi="Arial" w:cs="Arial"/>
                <w:b/>
                <w:bCs/>
                <w:color w:val="auto"/>
                <w:sz w:val="16"/>
                <w:szCs w:val="16"/>
              </w:rPr>
            </w:pPr>
            <w:r w:rsidRPr="006D6738">
              <w:rPr>
                <w:rFonts w:ascii="Arial" w:hAnsi="Arial" w:cs="Arial"/>
                <w:b/>
                <w:bCs/>
                <w:color w:val="auto"/>
                <w:sz w:val="16"/>
                <w:szCs w:val="16"/>
              </w:rPr>
              <w:t>(3,063)</w:t>
            </w:r>
          </w:p>
        </w:tc>
        <w:tc>
          <w:tcPr>
            <w:tcW w:w="883" w:type="dxa"/>
            <w:tcBorders>
              <w:top w:val="nil"/>
              <w:left w:val="nil"/>
              <w:bottom w:val="single" w:sz="4" w:space="0" w:color="auto"/>
              <w:right w:val="nil"/>
            </w:tcBorders>
            <w:shd w:val="clear" w:color="auto" w:fill="auto"/>
            <w:noWrap/>
            <w:vAlign w:val="bottom"/>
            <w:hideMark/>
          </w:tcPr>
          <w:p w14:paraId="483C3EC7" w14:textId="77777777" w:rsidR="006D6738" w:rsidRPr="006D6738" w:rsidRDefault="006D6738" w:rsidP="00251A42">
            <w:pPr>
              <w:spacing w:after="0"/>
              <w:jc w:val="right"/>
              <w:rPr>
                <w:rFonts w:ascii="Arial" w:hAnsi="Arial" w:cs="Arial"/>
                <w:b/>
                <w:bCs/>
                <w:color w:val="auto"/>
                <w:sz w:val="16"/>
                <w:szCs w:val="16"/>
              </w:rPr>
            </w:pPr>
            <w:r w:rsidRPr="006D6738">
              <w:rPr>
                <w:rFonts w:ascii="Arial" w:hAnsi="Arial" w:cs="Arial"/>
                <w:b/>
                <w:bCs/>
                <w:color w:val="auto"/>
                <w:sz w:val="16"/>
                <w:szCs w:val="16"/>
              </w:rPr>
              <w:t>(765)</w:t>
            </w:r>
          </w:p>
        </w:tc>
        <w:tc>
          <w:tcPr>
            <w:tcW w:w="883" w:type="dxa"/>
            <w:tcBorders>
              <w:top w:val="nil"/>
              <w:left w:val="nil"/>
              <w:bottom w:val="single" w:sz="4" w:space="0" w:color="auto"/>
              <w:right w:val="nil"/>
            </w:tcBorders>
            <w:shd w:val="clear" w:color="auto" w:fill="auto"/>
            <w:noWrap/>
            <w:vAlign w:val="bottom"/>
            <w:hideMark/>
          </w:tcPr>
          <w:p w14:paraId="4A413D39" w14:textId="77777777" w:rsidR="006D6738" w:rsidRPr="006D6738" w:rsidRDefault="006D6738" w:rsidP="00251A42">
            <w:pPr>
              <w:spacing w:after="0"/>
              <w:jc w:val="right"/>
              <w:rPr>
                <w:rFonts w:ascii="Arial" w:hAnsi="Arial" w:cs="Arial"/>
                <w:b/>
                <w:bCs/>
                <w:color w:val="auto"/>
                <w:sz w:val="16"/>
                <w:szCs w:val="16"/>
              </w:rPr>
            </w:pPr>
            <w:r w:rsidRPr="006D6738">
              <w:rPr>
                <w:rFonts w:ascii="Arial" w:hAnsi="Arial" w:cs="Arial"/>
                <w:b/>
                <w:bCs/>
                <w:color w:val="auto"/>
                <w:sz w:val="16"/>
                <w:szCs w:val="16"/>
              </w:rPr>
              <w:t>(3)</w:t>
            </w:r>
          </w:p>
        </w:tc>
        <w:tc>
          <w:tcPr>
            <w:tcW w:w="883" w:type="dxa"/>
            <w:tcBorders>
              <w:top w:val="nil"/>
              <w:left w:val="nil"/>
              <w:bottom w:val="single" w:sz="4" w:space="0" w:color="auto"/>
              <w:right w:val="nil"/>
            </w:tcBorders>
            <w:shd w:val="clear" w:color="auto" w:fill="auto"/>
            <w:noWrap/>
            <w:vAlign w:val="bottom"/>
            <w:hideMark/>
          </w:tcPr>
          <w:p w14:paraId="43D680E2" w14:textId="77777777" w:rsidR="006D6738" w:rsidRPr="006D6738" w:rsidRDefault="006D6738" w:rsidP="00251A42">
            <w:pPr>
              <w:spacing w:after="0"/>
              <w:jc w:val="right"/>
              <w:rPr>
                <w:rFonts w:ascii="Arial" w:hAnsi="Arial" w:cs="Arial"/>
                <w:b/>
                <w:bCs/>
                <w:color w:val="auto"/>
                <w:sz w:val="16"/>
                <w:szCs w:val="16"/>
              </w:rPr>
            </w:pPr>
            <w:r w:rsidRPr="006D6738">
              <w:rPr>
                <w:rFonts w:ascii="Arial" w:hAnsi="Arial" w:cs="Arial"/>
                <w:b/>
                <w:bCs/>
                <w:color w:val="auto"/>
                <w:sz w:val="16"/>
                <w:szCs w:val="16"/>
              </w:rPr>
              <w:t>153</w:t>
            </w:r>
          </w:p>
        </w:tc>
      </w:tr>
      <w:tr w:rsidR="006D6738" w:rsidRPr="006D6738" w14:paraId="33C035B7" w14:textId="77777777" w:rsidTr="006D6738">
        <w:trPr>
          <w:trHeight w:val="227"/>
        </w:trPr>
        <w:tc>
          <w:tcPr>
            <w:tcW w:w="2943" w:type="dxa"/>
            <w:tcBorders>
              <w:top w:val="nil"/>
              <w:left w:val="nil"/>
              <w:bottom w:val="nil"/>
              <w:right w:val="nil"/>
            </w:tcBorders>
            <w:shd w:val="clear" w:color="auto" w:fill="auto"/>
            <w:vAlign w:val="bottom"/>
            <w:hideMark/>
          </w:tcPr>
          <w:p w14:paraId="0AC22447" w14:textId="77777777" w:rsidR="006D6738" w:rsidRPr="006D6738" w:rsidRDefault="006D6738" w:rsidP="00251A42">
            <w:pPr>
              <w:spacing w:before="20" w:after="20"/>
              <w:rPr>
                <w:rFonts w:ascii="Arial" w:hAnsi="Arial" w:cs="Arial"/>
                <w:b/>
                <w:bCs/>
                <w:color w:val="auto"/>
                <w:sz w:val="16"/>
                <w:szCs w:val="16"/>
              </w:rPr>
            </w:pPr>
            <w:r w:rsidRPr="006D6738">
              <w:rPr>
                <w:rFonts w:ascii="Arial" w:hAnsi="Arial" w:cs="Arial"/>
                <w:b/>
                <w:bCs/>
                <w:color w:val="auto"/>
                <w:sz w:val="16"/>
                <w:szCs w:val="16"/>
              </w:rPr>
              <w:t>Surplus (deficit) attributable to the Australian Government</w:t>
            </w:r>
          </w:p>
        </w:tc>
        <w:tc>
          <w:tcPr>
            <w:tcW w:w="891" w:type="dxa"/>
            <w:tcBorders>
              <w:top w:val="nil"/>
              <w:left w:val="nil"/>
              <w:bottom w:val="single" w:sz="4" w:space="0" w:color="auto"/>
              <w:right w:val="nil"/>
            </w:tcBorders>
            <w:shd w:val="clear" w:color="auto" w:fill="auto"/>
            <w:noWrap/>
            <w:vAlign w:val="bottom"/>
            <w:hideMark/>
          </w:tcPr>
          <w:p w14:paraId="54F66D11" w14:textId="77777777" w:rsidR="006D6738" w:rsidRPr="006D6738" w:rsidRDefault="006D6738" w:rsidP="00251A42">
            <w:pPr>
              <w:spacing w:after="0"/>
              <w:jc w:val="right"/>
              <w:rPr>
                <w:rFonts w:ascii="Arial" w:hAnsi="Arial" w:cs="Arial"/>
                <w:b/>
                <w:bCs/>
                <w:color w:val="auto"/>
                <w:sz w:val="16"/>
                <w:szCs w:val="16"/>
              </w:rPr>
            </w:pPr>
            <w:r w:rsidRPr="006D6738">
              <w:rPr>
                <w:rFonts w:ascii="Arial" w:hAnsi="Arial" w:cs="Arial"/>
                <w:b/>
                <w:bCs/>
                <w:color w:val="auto"/>
                <w:sz w:val="16"/>
                <w:szCs w:val="16"/>
              </w:rPr>
              <w:t>(2,115)</w:t>
            </w:r>
          </w:p>
        </w:tc>
        <w:tc>
          <w:tcPr>
            <w:tcW w:w="877" w:type="dxa"/>
            <w:tcBorders>
              <w:top w:val="nil"/>
              <w:left w:val="nil"/>
              <w:bottom w:val="single" w:sz="4" w:space="0" w:color="auto"/>
              <w:right w:val="nil"/>
            </w:tcBorders>
            <w:shd w:val="clear" w:color="000000" w:fill="D9D9D9"/>
            <w:noWrap/>
            <w:vAlign w:val="bottom"/>
            <w:hideMark/>
          </w:tcPr>
          <w:p w14:paraId="0CC304A3" w14:textId="77777777" w:rsidR="006D6738" w:rsidRPr="006D6738" w:rsidRDefault="006D6738" w:rsidP="00251A42">
            <w:pPr>
              <w:spacing w:after="0"/>
              <w:jc w:val="right"/>
              <w:rPr>
                <w:rFonts w:ascii="Arial" w:hAnsi="Arial" w:cs="Arial"/>
                <w:b/>
                <w:bCs/>
                <w:color w:val="auto"/>
                <w:sz w:val="16"/>
                <w:szCs w:val="16"/>
              </w:rPr>
            </w:pPr>
            <w:r w:rsidRPr="006D6738">
              <w:rPr>
                <w:rFonts w:ascii="Arial" w:hAnsi="Arial" w:cs="Arial"/>
                <w:b/>
                <w:bCs/>
                <w:color w:val="auto"/>
                <w:sz w:val="16"/>
                <w:szCs w:val="16"/>
              </w:rPr>
              <w:t>(3,063)</w:t>
            </w:r>
          </w:p>
        </w:tc>
        <w:tc>
          <w:tcPr>
            <w:tcW w:w="883" w:type="dxa"/>
            <w:tcBorders>
              <w:top w:val="nil"/>
              <w:left w:val="nil"/>
              <w:bottom w:val="single" w:sz="4" w:space="0" w:color="auto"/>
              <w:right w:val="nil"/>
            </w:tcBorders>
            <w:shd w:val="clear" w:color="auto" w:fill="auto"/>
            <w:noWrap/>
            <w:vAlign w:val="bottom"/>
            <w:hideMark/>
          </w:tcPr>
          <w:p w14:paraId="3095A46D" w14:textId="77777777" w:rsidR="006D6738" w:rsidRPr="006D6738" w:rsidRDefault="006D6738" w:rsidP="00251A42">
            <w:pPr>
              <w:spacing w:after="0"/>
              <w:jc w:val="right"/>
              <w:rPr>
                <w:rFonts w:ascii="Arial" w:hAnsi="Arial" w:cs="Arial"/>
                <w:b/>
                <w:bCs/>
                <w:color w:val="auto"/>
                <w:sz w:val="16"/>
                <w:szCs w:val="16"/>
              </w:rPr>
            </w:pPr>
            <w:r w:rsidRPr="006D6738">
              <w:rPr>
                <w:rFonts w:ascii="Arial" w:hAnsi="Arial" w:cs="Arial"/>
                <w:b/>
                <w:bCs/>
                <w:color w:val="auto"/>
                <w:sz w:val="16"/>
                <w:szCs w:val="16"/>
              </w:rPr>
              <w:t>(765)</w:t>
            </w:r>
          </w:p>
        </w:tc>
        <w:tc>
          <w:tcPr>
            <w:tcW w:w="883" w:type="dxa"/>
            <w:tcBorders>
              <w:top w:val="nil"/>
              <w:left w:val="nil"/>
              <w:bottom w:val="single" w:sz="4" w:space="0" w:color="auto"/>
              <w:right w:val="nil"/>
            </w:tcBorders>
            <w:shd w:val="clear" w:color="auto" w:fill="auto"/>
            <w:noWrap/>
            <w:vAlign w:val="bottom"/>
            <w:hideMark/>
          </w:tcPr>
          <w:p w14:paraId="77D1C0D0" w14:textId="77777777" w:rsidR="006D6738" w:rsidRPr="006D6738" w:rsidRDefault="006D6738" w:rsidP="00251A42">
            <w:pPr>
              <w:spacing w:after="0"/>
              <w:jc w:val="right"/>
              <w:rPr>
                <w:rFonts w:ascii="Arial" w:hAnsi="Arial" w:cs="Arial"/>
                <w:b/>
                <w:bCs/>
                <w:color w:val="auto"/>
                <w:sz w:val="16"/>
                <w:szCs w:val="16"/>
              </w:rPr>
            </w:pPr>
            <w:r w:rsidRPr="006D6738">
              <w:rPr>
                <w:rFonts w:ascii="Arial" w:hAnsi="Arial" w:cs="Arial"/>
                <w:b/>
                <w:bCs/>
                <w:color w:val="auto"/>
                <w:sz w:val="16"/>
                <w:szCs w:val="16"/>
              </w:rPr>
              <w:t>(3)</w:t>
            </w:r>
          </w:p>
        </w:tc>
        <w:tc>
          <w:tcPr>
            <w:tcW w:w="883" w:type="dxa"/>
            <w:tcBorders>
              <w:top w:val="nil"/>
              <w:left w:val="nil"/>
              <w:bottom w:val="single" w:sz="4" w:space="0" w:color="auto"/>
              <w:right w:val="nil"/>
            </w:tcBorders>
            <w:shd w:val="clear" w:color="auto" w:fill="auto"/>
            <w:noWrap/>
            <w:vAlign w:val="bottom"/>
            <w:hideMark/>
          </w:tcPr>
          <w:p w14:paraId="44DED5E3" w14:textId="77777777" w:rsidR="006D6738" w:rsidRPr="006D6738" w:rsidRDefault="006D6738" w:rsidP="00251A42">
            <w:pPr>
              <w:spacing w:after="0"/>
              <w:jc w:val="right"/>
              <w:rPr>
                <w:rFonts w:ascii="Arial" w:hAnsi="Arial" w:cs="Arial"/>
                <w:b/>
                <w:bCs/>
                <w:color w:val="auto"/>
                <w:sz w:val="16"/>
                <w:szCs w:val="16"/>
              </w:rPr>
            </w:pPr>
            <w:r w:rsidRPr="006D6738">
              <w:rPr>
                <w:rFonts w:ascii="Arial" w:hAnsi="Arial" w:cs="Arial"/>
                <w:b/>
                <w:bCs/>
                <w:color w:val="auto"/>
                <w:sz w:val="16"/>
                <w:szCs w:val="16"/>
              </w:rPr>
              <w:t>153</w:t>
            </w:r>
          </w:p>
        </w:tc>
      </w:tr>
      <w:tr w:rsidR="006D6738" w:rsidRPr="006D6738" w14:paraId="1008D205" w14:textId="77777777" w:rsidTr="006D6738">
        <w:trPr>
          <w:trHeight w:val="227"/>
        </w:trPr>
        <w:tc>
          <w:tcPr>
            <w:tcW w:w="2943" w:type="dxa"/>
            <w:tcBorders>
              <w:top w:val="nil"/>
              <w:left w:val="nil"/>
              <w:bottom w:val="nil"/>
              <w:right w:val="nil"/>
            </w:tcBorders>
            <w:shd w:val="clear" w:color="auto" w:fill="auto"/>
            <w:noWrap/>
            <w:vAlign w:val="bottom"/>
            <w:hideMark/>
          </w:tcPr>
          <w:p w14:paraId="6FD9758F" w14:textId="77777777" w:rsidR="006D6738" w:rsidRPr="006D6738" w:rsidRDefault="006D6738" w:rsidP="00251A42">
            <w:pPr>
              <w:spacing w:before="20" w:after="20"/>
              <w:rPr>
                <w:rFonts w:ascii="Arial" w:hAnsi="Arial" w:cs="Arial"/>
                <w:b/>
                <w:bCs/>
                <w:color w:val="auto"/>
                <w:sz w:val="16"/>
                <w:szCs w:val="16"/>
              </w:rPr>
            </w:pPr>
            <w:r w:rsidRPr="006D6738">
              <w:rPr>
                <w:rFonts w:ascii="Arial" w:hAnsi="Arial" w:cs="Arial"/>
                <w:b/>
                <w:bCs/>
                <w:color w:val="auto"/>
                <w:sz w:val="16"/>
                <w:szCs w:val="16"/>
              </w:rPr>
              <w:t>OTHER COMPREHENSIVE INCOME</w:t>
            </w:r>
          </w:p>
        </w:tc>
        <w:tc>
          <w:tcPr>
            <w:tcW w:w="891" w:type="dxa"/>
            <w:tcBorders>
              <w:top w:val="nil"/>
              <w:left w:val="nil"/>
              <w:bottom w:val="nil"/>
              <w:right w:val="nil"/>
            </w:tcBorders>
            <w:shd w:val="clear" w:color="auto" w:fill="auto"/>
            <w:noWrap/>
            <w:vAlign w:val="bottom"/>
            <w:hideMark/>
          </w:tcPr>
          <w:p w14:paraId="047FE51D" w14:textId="77777777" w:rsidR="006D6738" w:rsidRPr="006D6738" w:rsidRDefault="006D6738" w:rsidP="00251A42">
            <w:pPr>
              <w:spacing w:after="0"/>
              <w:rPr>
                <w:rFonts w:ascii="Arial" w:hAnsi="Arial" w:cs="Arial"/>
                <w:b/>
                <w:bCs/>
                <w:color w:val="auto"/>
                <w:sz w:val="16"/>
                <w:szCs w:val="16"/>
              </w:rPr>
            </w:pPr>
          </w:p>
        </w:tc>
        <w:tc>
          <w:tcPr>
            <w:tcW w:w="877" w:type="dxa"/>
            <w:tcBorders>
              <w:top w:val="nil"/>
              <w:left w:val="nil"/>
              <w:bottom w:val="nil"/>
              <w:right w:val="nil"/>
            </w:tcBorders>
            <w:shd w:val="clear" w:color="000000" w:fill="D9D9D9"/>
            <w:noWrap/>
            <w:vAlign w:val="bottom"/>
            <w:hideMark/>
          </w:tcPr>
          <w:p w14:paraId="39854E3F" w14:textId="77777777" w:rsidR="006D6738" w:rsidRPr="006D6738" w:rsidRDefault="006D6738" w:rsidP="00251A42">
            <w:pPr>
              <w:spacing w:after="0"/>
              <w:jc w:val="right"/>
              <w:rPr>
                <w:rFonts w:ascii="Arial" w:hAnsi="Arial" w:cs="Arial"/>
                <w:b/>
                <w:bCs/>
                <w:color w:val="auto"/>
                <w:sz w:val="16"/>
                <w:szCs w:val="16"/>
              </w:rPr>
            </w:pPr>
            <w:r w:rsidRPr="006D6738">
              <w:rPr>
                <w:rFonts w:ascii="Arial" w:hAnsi="Arial" w:cs="Arial"/>
                <w:b/>
                <w:bCs/>
                <w:color w:val="auto"/>
                <w:sz w:val="16"/>
                <w:szCs w:val="16"/>
              </w:rPr>
              <w:t> </w:t>
            </w:r>
          </w:p>
        </w:tc>
        <w:tc>
          <w:tcPr>
            <w:tcW w:w="883" w:type="dxa"/>
            <w:tcBorders>
              <w:top w:val="nil"/>
              <w:left w:val="nil"/>
              <w:bottom w:val="nil"/>
              <w:right w:val="nil"/>
            </w:tcBorders>
            <w:shd w:val="clear" w:color="auto" w:fill="auto"/>
            <w:noWrap/>
            <w:vAlign w:val="bottom"/>
            <w:hideMark/>
          </w:tcPr>
          <w:p w14:paraId="4A179004" w14:textId="77777777" w:rsidR="006D6738" w:rsidRPr="006D6738" w:rsidRDefault="006D6738" w:rsidP="00251A42">
            <w:pPr>
              <w:spacing w:after="0"/>
              <w:jc w:val="right"/>
              <w:rPr>
                <w:rFonts w:ascii="Arial" w:hAnsi="Arial" w:cs="Arial"/>
                <w:b/>
                <w:bCs/>
                <w:color w:val="auto"/>
                <w:sz w:val="16"/>
                <w:szCs w:val="16"/>
              </w:rPr>
            </w:pPr>
          </w:p>
        </w:tc>
        <w:tc>
          <w:tcPr>
            <w:tcW w:w="883" w:type="dxa"/>
            <w:tcBorders>
              <w:top w:val="nil"/>
              <w:left w:val="nil"/>
              <w:bottom w:val="nil"/>
              <w:right w:val="nil"/>
            </w:tcBorders>
            <w:shd w:val="clear" w:color="auto" w:fill="auto"/>
            <w:noWrap/>
            <w:vAlign w:val="bottom"/>
            <w:hideMark/>
          </w:tcPr>
          <w:p w14:paraId="04FCCE16" w14:textId="77777777" w:rsidR="006D6738" w:rsidRPr="006D6738" w:rsidRDefault="006D6738" w:rsidP="00251A42">
            <w:pPr>
              <w:spacing w:after="0"/>
              <w:jc w:val="right"/>
              <w:rPr>
                <w:rFonts w:ascii="Times New Roman" w:hAnsi="Times New Roman"/>
                <w:color w:val="auto"/>
                <w:sz w:val="20"/>
              </w:rPr>
            </w:pPr>
          </w:p>
        </w:tc>
        <w:tc>
          <w:tcPr>
            <w:tcW w:w="883" w:type="dxa"/>
            <w:tcBorders>
              <w:top w:val="nil"/>
              <w:left w:val="nil"/>
              <w:bottom w:val="nil"/>
              <w:right w:val="nil"/>
            </w:tcBorders>
            <w:shd w:val="clear" w:color="auto" w:fill="auto"/>
            <w:noWrap/>
            <w:vAlign w:val="bottom"/>
            <w:hideMark/>
          </w:tcPr>
          <w:p w14:paraId="717AD34B" w14:textId="77777777" w:rsidR="006D6738" w:rsidRPr="006D6738" w:rsidRDefault="006D6738" w:rsidP="00251A42">
            <w:pPr>
              <w:spacing w:after="0"/>
              <w:jc w:val="right"/>
              <w:rPr>
                <w:rFonts w:ascii="Times New Roman" w:hAnsi="Times New Roman"/>
                <w:color w:val="auto"/>
                <w:sz w:val="20"/>
              </w:rPr>
            </w:pPr>
          </w:p>
        </w:tc>
      </w:tr>
      <w:tr w:rsidR="006D6738" w:rsidRPr="006D6738" w14:paraId="67AF0B4B" w14:textId="77777777" w:rsidTr="006D6738">
        <w:trPr>
          <w:trHeight w:val="227"/>
        </w:trPr>
        <w:tc>
          <w:tcPr>
            <w:tcW w:w="2943" w:type="dxa"/>
            <w:tcBorders>
              <w:top w:val="nil"/>
              <w:left w:val="nil"/>
              <w:bottom w:val="nil"/>
              <w:right w:val="nil"/>
            </w:tcBorders>
            <w:shd w:val="clear" w:color="auto" w:fill="auto"/>
            <w:vAlign w:val="bottom"/>
            <w:hideMark/>
          </w:tcPr>
          <w:p w14:paraId="3D6DC157" w14:textId="77777777" w:rsidR="006D6738" w:rsidRPr="006D6738" w:rsidRDefault="006D6738" w:rsidP="00251A42">
            <w:pPr>
              <w:spacing w:before="20" w:after="20"/>
              <w:ind w:leftChars="75" w:left="143"/>
              <w:rPr>
                <w:rFonts w:ascii="Arial" w:hAnsi="Arial" w:cs="Arial"/>
                <w:color w:val="auto"/>
                <w:sz w:val="16"/>
                <w:szCs w:val="16"/>
              </w:rPr>
            </w:pPr>
            <w:r w:rsidRPr="006D6738">
              <w:rPr>
                <w:rFonts w:ascii="Arial" w:hAnsi="Arial" w:cs="Arial"/>
                <w:color w:val="auto"/>
                <w:sz w:val="16"/>
                <w:szCs w:val="16"/>
              </w:rPr>
              <w:t>Changes in asset revaluation reserves</w:t>
            </w:r>
          </w:p>
        </w:tc>
        <w:tc>
          <w:tcPr>
            <w:tcW w:w="891" w:type="dxa"/>
            <w:tcBorders>
              <w:top w:val="nil"/>
              <w:left w:val="nil"/>
              <w:bottom w:val="nil"/>
              <w:right w:val="nil"/>
            </w:tcBorders>
            <w:shd w:val="clear" w:color="auto" w:fill="auto"/>
            <w:noWrap/>
            <w:vAlign w:val="bottom"/>
            <w:hideMark/>
          </w:tcPr>
          <w:p w14:paraId="369EF0EF" w14:textId="77777777" w:rsidR="006D6738" w:rsidRPr="006D6738" w:rsidRDefault="006D6738" w:rsidP="00251A42">
            <w:pPr>
              <w:spacing w:after="0"/>
              <w:jc w:val="right"/>
              <w:rPr>
                <w:rFonts w:ascii="Arial" w:hAnsi="Arial" w:cs="Arial"/>
                <w:color w:val="auto"/>
                <w:sz w:val="16"/>
                <w:szCs w:val="16"/>
              </w:rPr>
            </w:pPr>
            <w:r w:rsidRPr="006D6738">
              <w:rPr>
                <w:rFonts w:ascii="Arial" w:hAnsi="Arial" w:cs="Arial"/>
                <w:color w:val="auto"/>
                <w:sz w:val="16"/>
                <w:szCs w:val="16"/>
              </w:rPr>
              <w:t>-</w:t>
            </w:r>
          </w:p>
        </w:tc>
        <w:tc>
          <w:tcPr>
            <w:tcW w:w="877" w:type="dxa"/>
            <w:tcBorders>
              <w:top w:val="nil"/>
              <w:left w:val="nil"/>
              <w:bottom w:val="nil"/>
              <w:right w:val="nil"/>
            </w:tcBorders>
            <w:shd w:val="clear" w:color="000000" w:fill="D9D9D9"/>
            <w:noWrap/>
            <w:vAlign w:val="bottom"/>
            <w:hideMark/>
          </w:tcPr>
          <w:p w14:paraId="0A8DE1DC" w14:textId="77777777" w:rsidR="006D6738" w:rsidRPr="006D6738" w:rsidRDefault="006D6738" w:rsidP="00251A42">
            <w:pPr>
              <w:spacing w:after="0"/>
              <w:jc w:val="right"/>
              <w:rPr>
                <w:rFonts w:ascii="Arial" w:hAnsi="Arial" w:cs="Arial"/>
                <w:color w:val="auto"/>
                <w:sz w:val="16"/>
                <w:szCs w:val="16"/>
              </w:rPr>
            </w:pPr>
            <w:r w:rsidRPr="006D6738">
              <w:rPr>
                <w:rFonts w:ascii="Arial" w:hAnsi="Arial" w:cs="Arial"/>
                <w:color w:val="auto"/>
                <w:sz w:val="16"/>
                <w:szCs w:val="16"/>
              </w:rPr>
              <w:t>-</w:t>
            </w:r>
          </w:p>
        </w:tc>
        <w:tc>
          <w:tcPr>
            <w:tcW w:w="883" w:type="dxa"/>
            <w:tcBorders>
              <w:top w:val="nil"/>
              <w:left w:val="nil"/>
              <w:bottom w:val="nil"/>
              <w:right w:val="nil"/>
            </w:tcBorders>
            <w:shd w:val="clear" w:color="auto" w:fill="auto"/>
            <w:noWrap/>
            <w:vAlign w:val="bottom"/>
            <w:hideMark/>
          </w:tcPr>
          <w:p w14:paraId="001E7105" w14:textId="77777777" w:rsidR="006D6738" w:rsidRPr="006D6738" w:rsidRDefault="006D6738" w:rsidP="00251A42">
            <w:pPr>
              <w:spacing w:after="0"/>
              <w:jc w:val="right"/>
              <w:rPr>
                <w:rFonts w:ascii="Arial" w:hAnsi="Arial" w:cs="Arial"/>
                <w:color w:val="auto"/>
                <w:sz w:val="16"/>
                <w:szCs w:val="16"/>
              </w:rPr>
            </w:pPr>
            <w:r w:rsidRPr="006D6738">
              <w:rPr>
                <w:rFonts w:ascii="Arial" w:hAnsi="Arial" w:cs="Arial"/>
                <w:color w:val="auto"/>
                <w:sz w:val="16"/>
                <w:szCs w:val="16"/>
              </w:rPr>
              <w:t>-</w:t>
            </w:r>
          </w:p>
        </w:tc>
        <w:tc>
          <w:tcPr>
            <w:tcW w:w="883" w:type="dxa"/>
            <w:tcBorders>
              <w:top w:val="nil"/>
              <w:left w:val="nil"/>
              <w:bottom w:val="nil"/>
              <w:right w:val="nil"/>
            </w:tcBorders>
            <w:shd w:val="clear" w:color="auto" w:fill="auto"/>
            <w:noWrap/>
            <w:vAlign w:val="bottom"/>
            <w:hideMark/>
          </w:tcPr>
          <w:p w14:paraId="2AE273DB" w14:textId="77777777" w:rsidR="006D6738" w:rsidRPr="006D6738" w:rsidRDefault="006D6738" w:rsidP="00251A42">
            <w:pPr>
              <w:spacing w:after="0"/>
              <w:jc w:val="right"/>
              <w:rPr>
                <w:rFonts w:ascii="Arial" w:hAnsi="Arial" w:cs="Arial"/>
                <w:color w:val="auto"/>
                <w:sz w:val="16"/>
                <w:szCs w:val="16"/>
              </w:rPr>
            </w:pPr>
            <w:r w:rsidRPr="006D6738">
              <w:rPr>
                <w:rFonts w:ascii="Arial" w:hAnsi="Arial" w:cs="Arial"/>
                <w:color w:val="auto"/>
                <w:sz w:val="16"/>
                <w:szCs w:val="16"/>
              </w:rPr>
              <w:t>-</w:t>
            </w:r>
          </w:p>
        </w:tc>
        <w:tc>
          <w:tcPr>
            <w:tcW w:w="883" w:type="dxa"/>
            <w:tcBorders>
              <w:top w:val="nil"/>
              <w:left w:val="nil"/>
              <w:bottom w:val="nil"/>
              <w:right w:val="nil"/>
            </w:tcBorders>
            <w:shd w:val="clear" w:color="auto" w:fill="auto"/>
            <w:noWrap/>
            <w:vAlign w:val="bottom"/>
            <w:hideMark/>
          </w:tcPr>
          <w:p w14:paraId="4C836463" w14:textId="77777777" w:rsidR="006D6738" w:rsidRPr="006D6738" w:rsidRDefault="006D6738" w:rsidP="00251A42">
            <w:pPr>
              <w:spacing w:after="0"/>
              <w:jc w:val="right"/>
              <w:rPr>
                <w:rFonts w:ascii="Arial" w:hAnsi="Arial" w:cs="Arial"/>
                <w:color w:val="auto"/>
                <w:sz w:val="16"/>
                <w:szCs w:val="16"/>
              </w:rPr>
            </w:pPr>
            <w:r w:rsidRPr="006D6738">
              <w:rPr>
                <w:rFonts w:ascii="Arial" w:hAnsi="Arial" w:cs="Arial"/>
                <w:color w:val="auto"/>
                <w:sz w:val="16"/>
                <w:szCs w:val="16"/>
              </w:rPr>
              <w:t>-</w:t>
            </w:r>
          </w:p>
        </w:tc>
      </w:tr>
      <w:tr w:rsidR="006D6738" w:rsidRPr="006D6738" w14:paraId="149D5B5C" w14:textId="77777777" w:rsidTr="006D6738">
        <w:trPr>
          <w:trHeight w:val="227"/>
        </w:trPr>
        <w:tc>
          <w:tcPr>
            <w:tcW w:w="2943" w:type="dxa"/>
            <w:tcBorders>
              <w:top w:val="nil"/>
              <w:left w:val="nil"/>
              <w:bottom w:val="nil"/>
              <w:right w:val="nil"/>
            </w:tcBorders>
            <w:shd w:val="clear" w:color="auto" w:fill="auto"/>
            <w:vAlign w:val="bottom"/>
            <w:hideMark/>
          </w:tcPr>
          <w:p w14:paraId="41513A93" w14:textId="77777777" w:rsidR="006D6738" w:rsidRPr="006D6738" w:rsidRDefault="006D6738" w:rsidP="00251A42">
            <w:pPr>
              <w:spacing w:before="20" w:after="20"/>
              <w:ind w:leftChars="75" w:left="143"/>
              <w:rPr>
                <w:rFonts w:ascii="Arial" w:hAnsi="Arial" w:cs="Arial"/>
                <w:b/>
                <w:bCs/>
                <w:color w:val="auto"/>
                <w:sz w:val="16"/>
                <w:szCs w:val="16"/>
              </w:rPr>
            </w:pPr>
            <w:r w:rsidRPr="006D6738">
              <w:rPr>
                <w:rFonts w:ascii="Arial" w:hAnsi="Arial" w:cs="Arial"/>
                <w:b/>
                <w:bCs/>
                <w:color w:val="auto"/>
                <w:sz w:val="16"/>
                <w:szCs w:val="16"/>
              </w:rPr>
              <w:t>Total other comprehensive income (loss)</w:t>
            </w:r>
          </w:p>
        </w:tc>
        <w:tc>
          <w:tcPr>
            <w:tcW w:w="891" w:type="dxa"/>
            <w:tcBorders>
              <w:top w:val="nil"/>
              <w:left w:val="nil"/>
              <w:bottom w:val="single" w:sz="4" w:space="0" w:color="auto"/>
              <w:right w:val="nil"/>
            </w:tcBorders>
            <w:shd w:val="clear" w:color="auto" w:fill="auto"/>
            <w:noWrap/>
            <w:vAlign w:val="bottom"/>
            <w:hideMark/>
          </w:tcPr>
          <w:p w14:paraId="6440FCAE" w14:textId="77777777" w:rsidR="006D6738" w:rsidRPr="006D6738" w:rsidRDefault="006D6738" w:rsidP="00251A42">
            <w:pPr>
              <w:spacing w:after="0"/>
              <w:jc w:val="right"/>
              <w:rPr>
                <w:rFonts w:ascii="Arial" w:hAnsi="Arial" w:cs="Arial"/>
                <w:b/>
                <w:bCs/>
                <w:color w:val="auto"/>
                <w:sz w:val="16"/>
                <w:szCs w:val="16"/>
              </w:rPr>
            </w:pPr>
            <w:r w:rsidRPr="006D6738">
              <w:rPr>
                <w:rFonts w:ascii="Arial" w:hAnsi="Arial" w:cs="Arial"/>
                <w:b/>
                <w:bCs/>
                <w:color w:val="auto"/>
                <w:sz w:val="16"/>
                <w:szCs w:val="16"/>
              </w:rPr>
              <w:t>-</w:t>
            </w:r>
          </w:p>
        </w:tc>
        <w:tc>
          <w:tcPr>
            <w:tcW w:w="877" w:type="dxa"/>
            <w:tcBorders>
              <w:top w:val="nil"/>
              <w:left w:val="nil"/>
              <w:bottom w:val="single" w:sz="4" w:space="0" w:color="auto"/>
              <w:right w:val="nil"/>
            </w:tcBorders>
            <w:shd w:val="clear" w:color="000000" w:fill="D9D9D9"/>
            <w:noWrap/>
            <w:vAlign w:val="bottom"/>
            <w:hideMark/>
          </w:tcPr>
          <w:p w14:paraId="2C2A92E7" w14:textId="77777777" w:rsidR="006D6738" w:rsidRPr="006D6738" w:rsidRDefault="006D6738" w:rsidP="00251A42">
            <w:pPr>
              <w:spacing w:after="0"/>
              <w:jc w:val="right"/>
              <w:rPr>
                <w:rFonts w:ascii="Arial" w:hAnsi="Arial" w:cs="Arial"/>
                <w:b/>
                <w:bCs/>
                <w:color w:val="auto"/>
                <w:sz w:val="16"/>
                <w:szCs w:val="16"/>
              </w:rPr>
            </w:pPr>
            <w:r w:rsidRPr="006D6738">
              <w:rPr>
                <w:rFonts w:ascii="Arial" w:hAnsi="Arial" w:cs="Arial"/>
                <w:b/>
                <w:bCs/>
                <w:color w:val="auto"/>
                <w:sz w:val="16"/>
                <w:szCs w:val="16"/>
              </w:rPr>
              <w:t>-</w:t>
            </w:r>
          </w:p>
        </w:tc>
        <w:tc>
          <w:tcPr>
            <w:tcW w:w="883" w:type="dxa"/>
            <w:tcBorders>
              <w:top w:val="nil"/>
              <w:left w:val="nil"/>
              <w:bottom w:val="single" w:sz="4" w:space="0" w:color="auto"/>
              <w:right w:val="nil"/>
            </w:tcBorders>
            <w:shd w:val="clear" w:color="auto" w:fill="auto"/>
            <w:noWrap/>
            <w:vAlign w:val="bottom"/>
            <w:hideMark/>
          </w:tcPr>
          <w:p w14:paraId="78526CC6" w14:textId="77777777" w:rsidR="006D6738" w:rsidRPr="006D6738" w:rsidRDefault="006D6738" w:rsidP="00251A42">
            <w:pPr>
              <w:spacing w:after="0"/>
              <w:jc w:val="right"/>
              <w:rPr>
                <w:rFonts w:ascii="Arial" w:hAnsi="Arial" w:cs="Arial"/>
                <w:b/>
                <w:bCs/>
                <w:color w:val="auto"/>
                <w:sz w:val="16"/>
                <w:szCs w:val="16"/>
              </w:rPr>
            </w:pPr>
            <w:r w:rsidRPr="006D6738">
              <w:rPr>
                <w:rFonts w:ascii="Arial" w:hAnsi="Arial" w:cs="Arial"/>
                <w:b/>
                <w:bCs/>
                <w:color w:val="auto"/>
                <w:sz w:val="16"/>
                <w:szCs w:val="16"/>
              </w:rPr>
              <w:t>-</w:t>
            </w:r>
          </w:p>
        </w:tc>
        <w:tc>
          <w:tcPr>
            <w:tcW w:w="883" w:type="dxa"/>
            <w:tcBorders>
              <w:top w:val="nil"/>
              <w:left w:val="nil"/>
              <w:bottom w:val="single" w:sz="4" w:space="0" w:color="auto"/>
              <w:right w:val="nil"/>
            </w:tcBorders>
            <w:shd w:val="clear" w:color="auto" w:fill="auto"/>
            <w:noWrap/>
            <w:vAlign w:val="bottom"/>
            <w:hideMark/>
          </w:tcPr>
          <w:p w14:paraId="0D23E55D" w14:textId="77777777" w:rsidR="006D6738" w:rsidRPr="006D6738" w:rsidRDefault="006D6738" w:rsidP="00251A42">
            <w:pPr>
              <w:spacing w:after="0"/>
              <w:jc w:val="right"/>
              <w:rPr>
                <w:rFonts w:ascii="Arial" w:hAnsi="Arial" w:cs="Arial"/>
                <w:b/>
                <w:bCs/>
                <w:color w:val="auto"/>
                <w:sz w:val="16"/>
                <w:szCs w:val="16"/>
              </w:rPr>
            </w:pPr>
            <w:r w:rsidRPr="006D6738">
              <w:rPr>
                <w:rFonts w:ascii="Arial" w:hAnsi="Arial" w:cs="Arial"/>
                <w:b/>
                <w:bCs/>
                <w:color w:val="auto"/>
                <w:sz w:val="16"/>
                <w:szCs w:val="16"/>
              </w:rPr>
              <w:t>-</w:t>
            </w:r>
          </w:p>
        </w:tc>
        <w:tc>
          <w:tcPr>
            <w:tcW w:w="883" w:type="dxa"/>
            <w:tcBorders>
              <w:top w:val="nil"/>
              <w:left w:val="nil"/>
              <w:bottom w:val="single" w:sz="4" w:space="0" w:color="auto"/>
              <w:right w:val="nil"/>
            </w:tcBorders>
            <w:shd w:val="clear" w:color="auto" w:fill="auto"/>
            <w:noWrap/>
            <w:vAlign w:val="bottom"/>
            <w:hideMark/>
          </w:tcPr>
          <w:p w14:paraId="3522D6F6" w14:textId="77777777" w:rsidR="006D6738" w:rsidRPr="006D6738" w:rsidRDefault="006D6738" w:rsidP="00251A42">
            <w:pPr>
              <w:spacing w:after="0"/>
              <w:jc w:val="right"/>
              <w:rPr>
                <w:rFonts w:ascii="Arial" w:hAnsi="Arial" w:cs="Arial"/>
                <w:b/>
                <w:bCs/>
                <w:color w:val="auto"/>
                <w:sz w:val="16"/>
                <w:szCs w:val="16"/>
              </w:rPr>
            </w:pPr>
            <w:r w:rsidRPr="006D6738">
              <w:rPr>
                <w:rFonts w:ascii="Arial" w:hAnsi="Arial" w:cs="Arial"/>
                <w:b/>
                <w:bCs/>
                <w:color w:val="auto"/>
                <w:sz w:val="16"/>
                <w:szCs w:val="16"/>
              </w:rPr>
              <w:t>-</w:t>
            </w:r>
          </w:p>
        </w:tc>
      </w:tr>
      <w:tr w:rsidR="006D6738" w:rsidRPr="006D6738" w14:paraId="11661B49" w14:textId="77777777" w:rsidTr="006D6738">
        <w:trPr>
          <w:trHeight w:val="227"/>
        </w:trPr>
        <w:tc>
          <w:tcPr>
            <w:tcW w:w="2943" w:type="dxa"/>
            <w:tcBorders>
              <w:top w:val="nil"/>
              <w:left w:val="nil"/>
              <w:bottom w:val="single" w:sz="4" w:space="0" w:color="auto"/>
              <w:right w:val="nil"/>
            </w:tcBorders>
            <w:shd w:val="clear" w:color="auto" w:fill="auto"/>
            <w:vAlign w:val="bottom"/>
            <w:hideMark/>
          </w:tcPr>
          <w:p w14:paraId="73C6908A" w14:textId="77777777" w:rsidR="006D6738" w:rsidRPr="006D6738" w:rsidRDefault="006D6738" w:rsidP="00251A42">
            <w:pPr>
              <w:spacing w:before="20" w:after="20"/>
              <w:rPr>
                <w:rFonts w:ascii="Arial" w:hAnsi="Arial" w:cs="Arial"/>
                <w:b/>
                <w:bCs/>
                <w:color w:val="auto"/>
                <w:sz w:val="16"/>
                <w:szCs w:val="16"/>
              </w:rPr>
            </w:pPr>
            <w:r w:rsidRPr="006D6738">
              <w:rPr>
                <w:rFonts w:ascii="Arial" w:hAnsi="Arial" w:cs="Arial"/>
                <w:b/>
                <w:bCs/>
                <w:color w:val="auto"/>
                <w:sz w:val="16"/>
                <w:szCs w:val="16"/>
              </w:rPr>
              <w:t>Total comprehensive income (loss) attributable to the Australian Government</w:t>
            </w:r>
          </w:p>
        </w:tc>
        <w:tc>
          <w:tcPr>
            <w:tcW w:w="891" w:type="dxa"/>
            <w:tcBorders>
              <w:top w:val="nil"/>
              <w:left w:val="nil"/>
              <w:bottom w:val="single" w:sz="4" w:space="0" w:color="auto"/>
              <w:right w:val="nil"/>
            </w:tcBorders>
            <w:shd w:val="clear" w:color="auto" w:fill="auto"/>
            <w:noWrap/>
            <w:vAlign w:val="bottom"/>
            <w:hideMark/>
          </w:tcPr>
          <w:p w14:paraId="23A40036" w14:textId="77777777" w:rsidR="006D6738" w:rsidRPr="006D6738" w:rsidRDefault="006D6738" w:rsidP="00251A42">
            <w:pPr>
              <w:spacing w:after="0"/>
              <w:jc w:val="right"/>
              <w:rPr>
                <w:rFonts w:ascii="Arial" w:hAnsi="Arial" w:cs="Arial"/>
                <w:b/>
                <w:bCs/>
                <w:color w:val="auto"/>
                <w:sz w:val="16"/>
                <w:szCs w:val="16"/>
              </w:rPr>
            </w:pPr>
            <w:r w:rsidRPr="006D6738">
              <w:rPr>
                <w:rFonts w:ascii="Arial" w:hAnsi="Arial" w:cs="Arial"/>
                <w:b/>
                <w:bCs/>
                <w:color w:val="auto"/>
                <w:sz w:val="16"/>
                <w:szCs w:val="16"/>
              </w:rPr>
              <w:t>(2,115)</w:t>
            </w:r>
          </w:p>
        </w:tc>
        <w:tc>
          <w:tcPr>
            <w:tcW w:w="877" w:type="dxa"/>
            <w:tcBorders>
              <w:top w:val="nil"/>
              <w:left w:val="nil"/>
              <w:bottom w:val="single" w:sz="4" w:space="0" w:color="auto"/>
              <w:right w:val="nil"/>
            </w:tcBorders>
            <w:shd w:val="clear" w:color="000000" w:fill="D9D9D9"/>
            <w:noWrap/>
            <w:vAlign w:val="bottom"/>
            <w:hideMark/>
          </w:tcPr>
          <w:p w14:paraId="65A8D7AE" w14:textId="77777777" w:rsidR="006D6738" w:rsidRPr="006D6738" w:rsidRDefault="006D6738" w:rsidP="00251A42">
            <w:pPr>
              <w:spacing w:after="0"/>
              <w:jc w:val="right"/>
              <w:rPr>
                <w:rFonts w:ascii="Arial" w:hAnsi="Arial" w:cs="Arial"/>
                <w:b/>
                <w:bCs/>
                <w:color w:val="auto"/>
                <w:sz w:val="16"/>
                <w:szCs w:val="16"/>
              </w:rPr>
            </w:pPr>
            <w:r w:rsidRPr="006D6738">
              <w:rPr>
                <w:rFonts w:ascii="Arial" w:hAnsi="Arial" w:cs="Arial"/>
                <w:b/>
                <w:bCs/>
                <w:color w:val="auto"/>
                <w:sz w:val="16"/>
                <w:szCs w:val="16"/>
              </w:rPr>
              <w:t>(3,063)</w:t>
            </w:r>
          </w:p>
        </w:tc>
        <w:tc>
          <w:tcPr>
            <w:tcW w:w="883" w:type="dxa"/>
            <w:tcBorders>
              <w:top w:val="nil"/>
              <w:left w:val="nil"/>
              <w:bottom w:val="single" w:sz="4" w:space="0" w:color="auto"/>
              <w:right w:val="nil"/>
            </w:tcBorders>
            <w:shd w:val="clear" w:color="auto" w:fill="auto"/>
            <w:noWrap/>
            <w:vAlign w:val="bottom"/>
            <w:hideMark/>
          </w:tcPr>
          <w:p w14:paraId="196713AB" w14:textId="77777777" w:rsidR="006D6738" w:rsidRPr="006D6738" w:rsidRDefault="006D6738" w:rsidP="00251A42">
            <w:pPr>
              <w:spacing w:after="0"/>
              <w:jc w:val="right"/>
              <w:rPr>
                <w:rFonts w:ascii="Arial" w:hAnsi="Arial" w:cs="Arial"/>
                <w:b/>
                <w:bCs/>
                <w:color w:val="auto"/>
                <w:sz w:val="16"/>
                <w:szCs w:val="16"/>
              </w:rPr>
            </w:pPr>
            <w:r w:rsidRPr="006D6738">
              <w:rPr>
                <w:rFonts w:ascii="Arial" w:hAnsi="Arial" w:cs="Arial"/>
                <w:b/>
                <w:bCs/>
                <w:color w:val="auto"/>
                <w:sz w:val="16"/>
                <w:szCs w:val="16"/>
              </w:rPr>
              <w:t>(765)</w:t>
            </w:r>
          </w:p>
        </w:tc>
        <w:tc>
          <w:tcPr>
            <w:tcW w:w="883" w:type="dxa"/>
            <w:tcBorders>
              <w:top w:val="nil"/>
              <w:left w:val="nil"/>
              <w:bottom w:val="single" w:sz="4" w:space="0" w:color="auto"/>
              <w:right w:val="nil"/>
            </w:tcBorders>
            <w:shd w:val="clear" w:color="auto" w:fill="auto"/>
            <w:noWrap/>
            <w:vAlign w:val="bottom"/>
            <w:hideMark/>
          </w:tcPr>
          <w:p w14:paraId="226A385A" w14:textId="77777777" w:rsidR="006D6738" w:rsidRPr="006D6738" w:rsidRDefault="006D6738" w:rsidP="00251A42">
            <w:pPr>
              <w:spacing w:after="0"/>
              <w:jc w:val="right"/>
              <w:rPr>
                <w:rFonts w:ascii="Arial" w:hAnsi="Arial" w:cs="Arial"/>
                <w:b/>
                <w:bCs/>
                <w:color w:val="auto"/>
                <w:sz w:val="16"/>
                <w:szCs w:val="16"/>
              </w:rPr>
            </w:pPr>
            <w:r w:rsidRPr="006D6738">
              <w:rPr>
                <w:rFonts w:ascii="Arial" w:hAnsi="Arial" w:cs="Arial"/>
                <w:b/>
                <w:bCs/>
                <w:color w:val="auto"/>
                <w:sz w:val="16"/>
                <w:szCs w:val="16"/>
              </w:rPr>
              <w:t>(3)</w:t>
            </w:r>
          </w:p>
        </w:tc>
        <w:tc>
          <w:tcPr>
            <w:tcW w:w="883" w:type="dxa"/>
            <w:tcBorders>
              <w:top w:val="nil"/>
              <w:left w:val="nil"/>
              <w:bottom w:val="single" w:sz="4" w:space="0" w:color="auto"/>
              <w:right w:val="nil"/>
            </w:tcBorders>
            <w:shd w:val="clear" w:color="auto" w:fill="auto"/>
            <w:noWrap/>
            <w:vAlign w:val="bottom"/>
            <w:hideMark/>
          </w:tcPr>
          <w:p w14:paraId="60009522" w14:textId="77777777" w:rsidR="006D6738" w:rsidRPr="006D6738" w:rsidRDefault="006D6738" w:rsidP="00251A42">
            <w:pPr>
              <w:spacing w:after="0"/>
              <w:jc w:val="right"/>
              <w:rPr>
                <w:rFonts w:ascii="Arial" w:hAnsi="Arial" w:cs="Arial"/>
                <w:b/>
                <w:bCs/>
                <w:color w:val="auto"/>
                <w:sz w:val="16"/>
                <w:szCs w:val="16"/>
              </w:rPr>
            </w:pPr>
            <w:r w:rsidRPr="006D6738">
              <w:rPr>
                <w:rFonts w:ascii="Arial" w:hAnsi="Arial" w:cs="Arial"/>
                <w:b/>
                <w:bCs/>
                <w:color w:val="auto"/>
                <w:sz w:val="16"/>
                <w:szCs w:val="16"/>
              </w:rPr>
              <w:t>153</w:t>
            </w:r>
          </w:p>
        </w:tc>
      </w:tr>
      <w:tr w:rsidR="006D6738" w:rsidRPr="006D6738" w14:paraId="6D1DBA18" w14:textId="77777777" w:rsidTr="006D6738">
        <w:trPr>
          <w:trHeight w:val="227"/>
        </w:trPr>
        <w:tc>
          <w:tcPr>
            <w:tcW w:w="7360" w:type="dxa"/>
            <w:gridSpan w:val="6"/>
            <w:tcBorders>
              <w:top w:val="nil"/>
              <w:left w:val="nil"/>
              <w:bottom w:val="nil"/>
              <w:right w:val="nil"/>
            </w:tcBorders>
            <w:shd w:val="clear" w:color="auto" w:fill="auto"/>
            <w:noWrap/>
            <w:vAlign w:val="bottom"/>
            <w:hideMark/>
          </w:tcPr>
          <w:p w14:paraId="64FA3059" w14:textId="77777777" w:rsidR="006D6738" w:rsidRPr="006D6738" w:rsidRDefault="006D6738" w:rsidP="00C7013A">
            <w:pPr>
              <w:spacing w:before="80" w:after="20"/>
              <w:rPr>
                <w:rFonts w:ascii="Arial" w:hAnsi="Arial" w:cs="Arial"/>
                <w:b/>
                <w:bCs/>
                <w:sz w:val="16"/>
                <w:szCs w:val="16"/>
              </w:rPr>
            </w:pPr>
            <w:r w:rsidRPr="006D6738">
              <w:rPr>
                <w:rFonts w:ascii="Arial" w:hAnsi="Arial" w:cs="Arial"/>
                <w:b/>
                <w:bCs/>
                <w:sz w:val="16"/>
                <w:szCs w:val="16"/>
              </w:rPr>
              <w:t>Note: Reconciliation of comprehensive income attributable to the agency</w:t>
            </w:r>
          </w:p>
        </w:tc>
      </w:tr>
      <w:tr w:rsidR="006D6738" w:rsidRPr="006D6738" w14:paraId="06FB9C6A" w14:textId="77777777" w:rsidTr="006D6738">
        <w:trPr>
          <w:trHeight w:val="227"/>
        </w:trPr>
        <w:tc>
          <w:tcPr>
            <w:tcW w:w="2943" w:type="dxa"/>
            <w:tcBorders>
              <w:top w:val="single" w:sz="4" w:space="0" w:color="auto"/>
              <w:left w:val="nil"/>
              <w:bottom w:val="nil"/>
              <w:right w:val="nil"/>
            </w:tcBorders>
            <w:shd w:val="clear" w:color="auto" w:fill="auto"/>
            <w:vAlign w:val="bottom"/>
            <w:hideMark/>
          </w:tcPr>
          <w:p w14:paraId="28791CE9" w14:textId="77777777" w:rsidR="006D6738" w:rsidRPr="006D6738" w:rsidRDefault="006D6738" w:rsidP="00251A42">
            <w:pPr>
              <w:spacing w:before="20" w:after="20"/>
              <w:jc w:val="right"/>
              <w:rPr>
                <w:rFonts w:ascii="Arial" w:hAnsi="Arial" w:cs="Arial"/>
                <w:color w:val="auto"/>
                <w:sz w:val="16"/>
                <w:szCs w:val="16"/>
              </w:rPr>
            </w:pPr>
            <w:r w:rsidRPr="006D6738">
              <w:rPr>
                <w:rFonts w:ascii="Arial" w:hAnsi="Arial" w:cs="Arial"/>
                <w:color w:val="auto"/>
                <w:sz w:val="16"/>
                <w:szCs w:val="16"/>
              </w:rPr>
              <w:t> </w:t>
            </w:r>
          </w:p>
        </w:tc>
        <w:tc>
          <w:tcPr>
            <w:tcW w:w="891" w:type="dxa"/>
            <w:tcBorders>
              <w:top w:val="single" w:sz="4" w:space="0" w:color="auto"/>
              <w:left w:val="nil"/>
              <w:bottom w:val="single" w:sz="4" w:space="0" w:color="auto"/>
              <w:right w:val="nil"/>
            </w:tcBorders>
            <w:shd w:val="clear" w:color="auto" w:fill="auto"/>
            <w:vAlign w:val="bottom"/>
            <w:hideMark/>
          </w:tcPr>
          <w:p w14:paraId="4956E997" w14:textId="77777777" w:rsidR="006D6738" w:rsidRPr="006D6738" w:rsidRDefault="006D6738" w:rsidP="00251A42">
            <w:pPr>
              <w:spacing w:after="0"/>
              <w:jc w:val="right"/>
              <w:rPr>
                <w:rFonts w:ascii="Arial" w:hAnsi="Arial" w:cs="Arial"/>
                <w:b/>
                <w:bCs/>
                <w:color w:val="auto"/>
                <w:sz w:val="16"/>
                <w:szCs w:val="16"/>
              </w:rPr>
            </w:pPr>
            <w:r w:rsidRPr="006D6738">
              <w:rPr>
                <w:rFonts w:ascii="Arial" w:hAnsi="Arial" w:cs="Arial"/>
                <w:b/>
                <w:bCs/>
                <w:color w:val="auto"/>
                <w:sz w:val="16"/>
                <w:szCs w:val="16"/>
              </w:rPr>
              <w:t xml:space="preserve">2021–22 </w:t>
            </w:r>
            <w:r w:rsidRPr="006D6738">
              <w:rPr>
                <w:rFonts w:ascii="Arial" w:hAnsi="Arial" w:cs="Arial"/>
                <w:color w:val="auto"/>
                <w:sz w:val="16"/>
                <w:szCs w:val="16"/>
              </w:rPr>
              <w:t>$'000</w:t>
            </w:r>
          </w:p>
        </w:tc>
        <w:tc>
          <w:tcPr>
            <w:tcW w:w="877" w:type="dxa"/>
            <w:tcBorders>
              <w:top w:val="single" w:sz="4" w:space="0" w:color="auto"/>
              <w:left w:val="nil"/>
              <w:bottom w:val="single" w:sz="4" w:space="0" w:color="auto"/>
              <w:right w:val="nil"/>
            </w:tcBorders>
            <w:shd w:val="clear" w:color="000000" w:fill="D9D9D9"/>
            <w:vAlign w:val="bottom"/>
            <w:hideMark/>
          </w:tcPr>
          <w:p w14:paraId="264C229E" w14:textId="77777777" w:rsidR="006D6738" w:rsidRPr="006D6738" w:rsidRDefault="006D6738" w:rsidP="00251A42">
            <w:pPr>
              <w:spacing w:after="0"/>
              <w:jc w:val="right"/>
              <w:rPr>
                <w:rFonts w:ascii="Arial" w:hAnsi="Arial" w:cs="Arial"/>
                <w:b/>
                <w:bCs/>
                <w:color w:val="auto"/>
                <w:sz w:val="16"/>
                <w:szCs w:val="16"/>
              </w:rPr>
            </w:pPr>
            <w:r w:rsidRPr="006D6738">
              <w:rPr>
                <w:rFonts w:ascii="Arial" w:hAnsi="Arial" w:cs="Arial"/>
                <w:b/>
                <w:bCs/>
                <w:color w:val="auto"/>
                <w:sz w:val="16"/>
                <w:szCs w:val="16"/>
              </w:rPr>
              <w:t xml:space="preserve">2022–23 </w:t>
            </w:r>
            <w:r w:rsidRPr="006D6738">
              <w:rPr>
                <w:rFonts w:ascii="Arial" w:hAnsi="Arial" w:cs="Arial"/>
                <w:color w:val="auto"/>
                <w:sz w:val="16"/>
                <w:szCs w:val="16"/>
              </w:rPr>
              <w:t>$'000</w:t>
            </w:r>
          </w:p>
        </w:tc>
        <w:tc>
          <w:tcPr>
            <w:tcW w:w="883" w:type="dxa"/>
            <w:tcBorders>
              <w:top w:val="single" w:sz="4" w:space="0" w:color="auto"/>
              <w:left w:val="nil"/>
              <w:bottom w:val="single" w:sz="4" w:space="0" w:color="auto"/>
              <w:right w:val="nil"/>
            </w:tcBorders>
            <w:shd w:val="clear" w:color="auto" w:fill="auto"/>
            <w:vAlign w:val="bottom"/>
            <w:hideMark/>
          </w:tcPr>
          <w:p w14:paraId="51D8DC4B" w14:textId="77777777" w:rsidR="006D6738" w:rsidRPr="006D6738" w:rsidRDefault="006D6738" w:rsidP="00251A42">
            <w:pPr>
              <w:spacing w:after="0"/>
              <w:jc w:val="right"/>
              <w:rPr>
                <w:rFonts w:ascii="Arial" w:hAnsi="Arial" w:cs="Arial"/>
                <w:b/>
                <w:bCs/>
                <w:color w:val="auto"/>
                <w:sz w:val="16"/>
                <w:szCs w:val="16"/>
              </w:rPr>
            </w:pPr>
            <w:r w:rsidRPr="006D6738">
              <w:rPr>
                <w:rFonts w:ascii="Arial" w:hAnsi="Arial" w:cs="Arial"/>
                <w:b/>
                <w:bCs/>
                <w:color w:val="auto"/>
                <w:sz w:val="16"/>
                <w:szCs w:val="16"/>
              </w:rPr>
              <w:t>2023–24</w:t>
            </w:r>
            <w:r w:rsidRPr="006D6738">
              <w:rPr>
                <w:rFonts w:ascii="Arial" w:hAnsi="Arial" w:cs="Arial"/>
                <w:color w:val="auto"/>
                <w:sz w:val="16"/>
                <w:szCs w:val="16"/>
              </w:rPr>
              <w:t xml:space="preserve"> $'000</w:t>
            </w:r>
          </w:p>
        </w:tc>
        <w:tc>
          <w:tcPr>
            <w:tcW w:w="883" w:type="dxa"/>
            <w:tcBorders>
              <w:top w:val="single" w:sz="4" w:space="0" w:color="auto"/>
              <w:left w:val="nil"/>
              <w:bottom w:val="single" w:sz="4" w:space="0" w:color="auto"/>
              <w:right w:val="nil"/>
            </w:tcBorders>
            <w:shd w:val="clear" w:color="auto" w:fill="auto"/>
            <w:vAlign w:val="bottom"/>
            <w:hideMark/>
          </w:tcPr>
          <w:p w14:paraId="0787FB5F" w14:textId="77777777" w:rsidR="006D6738" w:rsidRPr="006D6738" w:rsidRDefault="006D6738" w:rsidP="00251A42">
            <w:pPr>
              <w:spacing w:after="0"/>
              <w:jc w:val="right"/>
              <w:rPr>
                <w:rFonts w:ascii="Arial" w:hAnsi="Arial" w:cs="Arial"/>
                <w:b/>
                <w:bCs/>
                <w:color w:val="auto"/>
                <w:sz w:val="16"/>
                <w:szCs w:val="16"/>
              </w:rPr>
            </w:pPr>
            <w:r w:rsidRPr="006D6738">
              <w:rPr>
                <w:rFonts w:ascii="Arial" w:hAnsi="Arial" w:cs="Arial"/>
                <w:b/>
                <w:bCs/>
                <w:color w:val="auto"/>
                <w:sz w:val="16"/>
                <w:szCs w:val="16"/>
              </w:rPr>
              <w:t xml:space="preserve">2024–25 </w:t>
            </w:r>
            <w:r w:rsidRPr="006D6738">
              <w:rPr>
                <w:rFonts w:ascii="Arial" w:hAnsi="Arial" w:cs="Arial"/>
                <w:color w:val="auto"/>
                <w:sz w:val="16"/>
                <w:szCs w:val="16"/>
              </w:rPr>
              <w:t>$'000</w:t>
            </w:r>
          </w:p>
        </w:tc>
        <w:tc>
          <w:tcPr>
            <w:tcW w:w="883" w:type="dxa"/>
            <w:tcBorders>
              <w:top w:val="single" w:sz="4" w:space="0" w:color="auto"/>
              <w:left w:val="nil"/>
              <w:bottom w:val="single" w:sz="4" w:space="0" w:color="auto"/>
              <w:right w:val="nil"/>
            </w:tcBorders>
            <w:shd w:val="clear" w:color="auto" w:fill="auto"/>
            <w:vAlign w:val="bottom"/>
            <w:hideMark/>
          </w:tcPr>
          <w:p w14:paraId="06C321FD" w14:textId="77777777" w:rsidR="006D6738" w:rsidRPr="006D6738" w:rsidRDefault="006D6738" w:rsidP="00251A42">
            <w:pPr>
              <w:spacing w:after="0"/>
              <w:jc w:val="right"/>
              <w:rPr>
                <w:rFonts w:ascii="Arial" w:hAnsi="Arial" w:cs="Arial"/>
                <w:b/>
                <w:bCs/>
                <w:color w:val="auto"/>
                <w:sz w:val="16"/>
                <w:szCs w:val="16"/>
              </w:rPr>
            </w:pPr>
            <w:r w:rsidRPr="006D6738">
              <w:rPr>
                <w:rFonts w:ascii="Arial" w:hAnsi="Arial" w:cs="Arial"/>
                <w:b/>
                <w:bCs/>
                <w:color w:val="auto"/>
                <w:sz w:val="16"/>
                <w:szCs w:val="16"/>
              </w:rPr>
              <w:t xml:space="preserve">2025–26 </w:t>
            </w:r>
            <w:r w:rsidRPr="006D6738">
              <w:rPr>
                <w:rFonts w:ascii="Arial" w:hAnsi="Arial" w:cs="Arial"/>
                <w:color w:val="auto"/>
                <w:sz w:val="16"/>
                <w:szCs w:val="16"/>
              </w:rPr>
              <w:t>$'000</w:t>
            </w:r>
          </w:p>
        </w:tc>
      </w:tr>
      <w:tr w:rsidR="006D6738" w:rsidRPr="006D6738" w14:paraId="085FA174" w14:textId="77777777" w:rsidTr="006D6738">
        <w:trPr>
          <w:trHeight w:val="227"/>
        </w:trPr>
        <w:tc>
          <w:tcPr>
            <w:tcW w:w="2943" w:type="dxa"/>
            <w:tcBorders>
              <w:top w:val="nil"/>
              <w:left w:val="nil"/>
              <w:bottom w:val="nil"/>
              <w:right w:val="nil"/>
            </w:tcBorders>
            <w:shd w:val="clear" w:color="auto" w:fill="auto"/>
            <w:vAlign w:val="bottom"/>
            <w:hideMark/>
          </w:tcPr>
          <w:p w14:paraId="7DAC3624" w14:textId="77777777" w:rsidR="006D6738" w:rsidRPr="006D6738" w:rsidRDefault="006D6738" w:rsidP="00251A42">
            <w:pPr>
              <w:spacing w:before="20" w:after="20"/>
              <w:rPr>
                <w:rFonts w:ascii="Arial" w:hAnsi="Arial" w:cs="Arial"/>
                <w:b/>
                <w:bCs/>
                <w:color w:val="auto"/>
                <w:sz w:val="16"/>
                <w:szCs w:val="16"/>
              </w:rPr>
            </w:pPr>
            <w:r w:rsidRPr="006D6738">
              <w:rPr>
                <w:rFonts w:ascii="Arial" w:hAnsi="Arial" w:cs="Arial"/>
                <w:b/>
                <w:bCs/>
                <w:color w:val="auto"/>
                <w:sz w:val="16"/>
                <w:szCs w:val="16"/>
              </w:rPr>
              <w:t>Total comprehensive income (loss) attributable to the  Australian Government</w:t>
            </w:r>
          </w:p>
        </w:tc>
        <w:tc>
          <w:tcPr>
            <w:tcW w:w="891" w:type="dxa"/>
            <w:tcBorders>
              <w:top w:val="nil"/>
              <w:left w:val="nil"/>
              <w:bottom w:val="nil"/>
              <w:right w:val="nil"/>
            </w:tcBorders>
            <w:shd w:val="clear" w:color="auto" w:fill="auto"/>
            <w:noWrap/>
            <w:vAlign w:val="bottom"/>
            <w:hideMark/>
          </w:tcPr>
          <w:p w14:paraId="52A606A7" w14:textId="77777777" w:rsidR="006D6738" w:rsidRPr="006D6738" w:rsidRDefault="006D6738" w:rsidP="00251A42">
            <w:pPr>
              <w:spacing w:after="0"/>
              <w:jc w:val="right"/>
              <w:rPr>
                <w:rFonts w:ascii="Arial" w:hAnsi="Arial" w:cs="Arial"/>
                <w:b/>
                <w:bCs/>
                <w:sz w:val="16"/>
                <w:szCs w:val="16"/>
              </w:rPr>
            </w:pPr>
            <w:r w:rsidRPr="006D6738">
              <w:rPr>
                <w:rFonts w:ascii="Arial" w:hAnsi="Arial" w:cs="Arial"/>
                <w:b/>
                <w:bCs/>
                <w:sz w:val="16"/>
                <w:szCs w:val="16"/>
              </w:rPr>
              <w:t>(2,115)</w:t>
            </w:r>
          </w:p>
        </w:tc>
        <w:tc>
          <w:tcPr>
            <w:tcW w:w="877" w:type="dxa"/>
            <w:tcBorders>
              <w:top w:val="nil"/>
              <w:left w:val="nil"/>
              <w:bottom w:val="nil"/>
              <w:right w:val="nil"/>
            </w:tcBorders>
            <w:shd w:val="clear" w:color="000000" w:fill="D9D9D9"/>
            <w:vAlign w:val="bottom"/>
            <w:hideMark/>
          </w:tcPr>
          <w:p w14:paraId="465A0D02" w14:textId="77777777" w:rsidR="006D6738" w:rsidRPr="006D6738" w:rsidRDefault="006D6738" w:rsidP="00251A42">
            <w:pPr>
              <w:spacing w:after="0"/>
              <w:jc w:val="right"/>
              <w:rPr>
                <w:rFonts w:ascii="Arial" w:hAnsi="Arial" w:cs="Arial"/>
                <w:b/>
                <w:bCs/>
                <w:color w:val="auto"/>
                <w:sz w:val="16"/>
                <w:szCs w:val="16"/>
              </w:rPr>
            </w:pPr>
            <w:r w:rsidRPr="006D6738">
              <w:rPr>
                <w:rFonts w:ascii="Arial" w:hAnsi="Arial" w:cs="Arial"/>
                <w:b/>
                <w:bCs/>
                <w:color w:val="auto"/>
                <w:sz w:val="16"/>
                <w:szCs w:val="16"/>
              </w:rPr>
              <w:t>(3,063)</w:t>
            </w:r>
          </w:p>
        </w:tc>
        <w:tc>
          <w:tcPr>
            <w:tcW w:w="883" w:type="dxa"/>
            <w:tcBorders>
              <w:top w:val="nil"/>
              <w:left w:val="nil"/>
              <w:bottom w:val="nil"/>
              <w:right w:val="nil"/>
            </w:tcBorders>
            <w:shd w:val="clear" w:color="auto" w:fill="auto"/>
            <w:vAlign w:val="bottom"/>
            <w:hideMark/>
          </w:tcPr>
          <w:p w14:paraId="07B1E57D" w14:textId="77777777" w:rsidR="006D6738" w:rsidRPr="006D6738" w:rsidRDefault="006D6738" w:rsidP="00251A42">
            <w:pPr>
              <w:spacing w:after="0"/>
              <w:jc w:val="right"/>
              <w:rPr>
                <w:rFonts w:ascii="Arial" w:hAnsi="Arial" w:cs="Arial"/>
                <w:b/>
                <w:bCs/>
                <w:color w:val="auto"/>
                <w:sz w:val="16"/>
                <w:szCs w:val="16"/>
              </w:rPr>
            </w:pPr>
            <w:r w:rsidRPr="006D6738">
              <w:rPr>
                <w:rFonts w:ascii="Arial" w:hAnsi="Arial" w:cs="Arial"/>
                <w:b/>
                <w:bCs/>
                <w:color w:val="auto"/>
                <w:sz w:val="16"/>
                <w:szCs w:val="16"/>
              </w:rPr>
              <w:t>(765)</w:t>
            </w:r>
          </w:p>
        </w:tc>
        <w:tc>
          <w:tcPr>
            <w:tcW w:w="883" w:type="dxa"/>
            <w:tcBorders>
              <w:top w:val="nil"/>
              <w:left w:val="nil"/>
              <w:bottom w:val="nil"/>
              <w:right w:val="nil"/>
            </w:tcBorders>
            <w:shd w:val="clear" w:color="auto" w:fill="auto"/>
            <w:vAlign w:val="bottom"/>
            <w:hideMark/>
          </w:tcPr>
          <w:p w14:paraId="4EBDA521" w14:textId="77777777" w:rsidR="006D6738" w:rsidRPr="006D6738" w:rsidRDefault="006D6738" w:rsidP="00251A42">
            <w:pPr>
              <w:spacing w:after="0"/>
              <w:jc w:val="right"/>
              <w:rPr>
                <w:rFonts w:ascii="Arial" w:hAnsi="Arial" w:cs="Arial"/>
                <w:b/>
                <w:bCs/>
                <w:color w:val="auto"/>
                <w:sz w:val="16"/>
                <w:szCs w:val="16"/>
              </w:rPr>
            </w:pPr>
            <w:r w:rsidRPr="006D6738">
              <w:rPr>
                <w:rFonts w:ascii="Arial" w:hAnsi="Arial" w:cs="Arial"/>
                <w:b/>
                <w:bCs/>
                <w:color w:val="auto"/>
                <w:sz w:val="16"/>
                <w:szCs w:val="16"/>
              </w:rPr>
              <w:t>(3)</w:t>
            </w:r>
          </w:p>
        </w:tc>
        <w:tc>
          <w:tcPr>
            <w:tcW w:w="883" w:type="dxa"/>
            <w:tcBorders>
              <w:top w:val="nil"/>
              <w:left w:val="nil"/>
              <w:bottom w:val="nil"/>
              <w:right w:val="nil"/>
            </w:tcBorders>
            <w:shd w:val="clear" w:color="auto" w:fill="auto"/>
            <w:vAlign w:val="bottom"/>
            <w:hideMark/>
          </w:tcPr>
          <w:p w14:paraId="5C74D015" w14:textId="77777777" w:rsidR="006D6738" w:rsidRPr="006D6738" w:rsidRDefault="006D6738" w:rsidP="00251A42">
            <w:pPr>
              <w:spacing w:after="0"/>
              <w:jc w:val="right"/>
              <w:rPr>
                <w:rFonts w:ascii="Arial" w:hAnsi="Arial" w:cs="Arial"/>
                <w:b/>
                <w:bCs/>
                <w:color w:val="auto"/>
                <w:sz w:val="16"/>
                <w:szCs w:val="16"/>
              </w:rPr>
            </w:pPr>
            <w:r w:rsidRPr="006D6738">
              <w:rPr>
                <w:rFonts w:ascii="Arial" w:hAnsi="Arial" w:cs="Arial"/>
                <w:b/>
                <w:bCs/>
                <w:color w:val="auto"/>
                <w:sz w:val="16"/>
                <w:szCs w:val="16"/>
              </w:rPr>
              <w:t>153</w:t>
            </w:r>
          </w:p>
        </w:tc>
      </w:tr>
      <w:tr w:rsidR="006D6738" w:rsidRPr="006D6738" w14:paraId="59BF17CB" w14:textId="77777777" w:rsidTr="006D6738">
        <w:trPr>
          <w:trHeight w:val="227"/>
        </w:trPr>
        <w:tc>
          <w:tcPr>
            <w:tcW w:w="2943" w:type="dxa"/>
            <w:tcBorders>
              <w:top w:val="nil"/>
              <w:left w:val="nil"/>
              <w:bottom w:val="nil"/>
              <w:right w:val="nil"/>
            </w:tcBorders>
            <w:shd w:val="clear" w:color="auto" w:fill="auto"/>
            <w:vAlign w:val="bottom"/>
            <w:hideMark/>
          </w:tcPr>
          <w:p w14:paraId="57C1A13A" w14:textId="77777777" w:rsidR="006D6738" w:rsidRPr="006D6738" w:rsidRDefault="006D6738" w:rsidP="00251A42">
            <w:pPr>
              <w:spacing w:before="20" w:after="20"/>
              <w:ind w:leftChars="75" w:left="143"/>
              <w:rPr>
                <w:rFonts w:ascii="Arial" w:hAnsi="Arial" w:cs="Arial"/>
                <w:sz w:val="16"/>
                <w:szCs w:val="16"/>
              </w:rPr>
            </w:pPr>
            <w:r w:rsidRPr="006D6738">
              <w:rPr>
                <w:rFonts w:ascii="Arial" w:hAnsi="Arial" w:cs="Arial"/>
                <w:sz w:val="16"/>
                <w:szCs w:val="16"/>
              </w:rPr>
              <w:t xml:space="preserve">plus depreciation and amortisation expenses for </w:t>
            </w:r>
            <w:proofErr w:type="spellStart"/>
            <w:r w:rsidRPr="006D6738">
              <w:rPr>
                <w:rFonts w:ascii="Arial" w:hAnsi="Arial" w:cs="Arial"/>
                <w:sz w:val="16"/>
                <w:szCs w:val="16"/>
              </w:rPr>
              <w:t>RoU</w:t>
            </w:r>
            <w:proofErr w:type="spellEnd"/>
          </w:p>
        </w:tc>
        <w:tc>
          <w:tcPr>
            <w:tcW w:w="891" w:type="dxa"/>
            <w:tcBorders>
              <w:top w:val="nil"/>
              <w:left w:val="nil"/>
              <w:bottom w:val="nil"/>
              <w:right w:val="nil"/>
            </w:tcBorders>
            <w:shd w:val="clear" w:color="auto" w:fill="auto"/>
            <w:noWrap/>
            <w:vAlign w:val="bottom"/>
            <w:hideMark/>
          </w:tcPr>
          <w:p w14:paraId="3A530FDA" w14:textId="77777777" w:rsidR="006D6738" w:rsidRPr="006D6738" w:rsidRDefault="006D6738" w:rsidP="00251A42">
            <w:pPr>
              <w:spacing w:after="0"/>
              <w:jc w:val="right"/>
              <w:rPr>
                <w:rFonts w:ascii="Arial" w:hAnsi="Arial" w:cs="Arial"/>
                <w:color w:val="auto"/>
                <w:sz w:val="16"/>
                <w:szCs w:val="16"/>
              </w:rPr>
            </w:pPr>
            <w:r w:rsidRPr="006D6738">
              <w:rPr>
                <w:rFonts w:ascii="Arial" w:hAnsi="Arial" w:cs="Arial"/>
                <w:color w:val="auto"/>
                <w:sz w:val="16"/>
                <w:szCs w:val="16"/>
              </w:rPr>
              <w:t>4,833</w:t>
            </w:r>
          </w:p>
        </w:tc>
        <w:tc>
          <w:tcPr>
            <w:tcW w:w="877" w:type="dxa"/>
            <w:tcBorders>
              <w:top w:val="nil"/>
              <w:left w:val="nil"/>
              <w:bottom w:val="nil"/>
              <w:right w:val="nil"/>
            </w:tcBorders>
            <w:shd w:val="clear" w:color="000000" w:fill="D9D9D9"/>
            <w:noWrap/>
            <w:vAlign w:val="bottom"/>
            <w:hideMark/>
          </w:tcPr>
          <w:p w14:paraId="1F93F99C" w14:textId="77777777" w:rsidR="006D6738" w:rsidRPr="006D6738" w:rsidRDefault="006D6738" w:rsidP="00251A42">
            <w:pPr>
              <w:spacing w:after="0"/>
              <w:jc w:val="right"/>
              <w:rPr>
                <w:rFonts w:ascii="Arial" w:hAnsi="Arial" w:cs="Arial"/>
                <w:color w:val="auto"/>
                <w:sz w:val="16"/>
                <w:szCs w:val="16"/>
              </w:rPr>
            </w:pPr>
            <w:r w:rsidRPr="006D6738">
              <w:rPr>
                <w:rFonts w:ascii="Arial" w:hAnsi="Arial" w:cs="Arial"/>
                <w:color w:val="auto"/>
                <w:sz w:val="16"/>
                <w:szCs w:val="16"/>
              </w:rPr>
              <w:t>4,758</w:t>
            </w:r>
          </w:p>
        </w:tc>
        <w:tc>
          <w:tcPr>
            <w:tcW w:w="883" w:type="dxa"/>
            <w:tcBorders>
              <w:top w:val="nil"/>
              <w:left w:val="nil"/>
              <w:bottom w:val="nil"/>
              <w:right w:val="nil"/>
            </w:tcBorders>
            <w:shd w:val="clear" w:color="auto" w:fill="auto"/>
            <w:noWrap/>
            <w:vAlign w:val="bottom"/>
            <w:hideMark/>
          </w:tcPr>
          <w:p w14:paraId="0ADBA03B" w14:textId="77777777" w:rsidR="006D6738" w:rsidRPr="006D6738" w:rsidRDefault="006D6738" w:rsidP="00251A42">
            <w:pPr>
              <w:spacing w:after="0"/>
              <w:jc w:val="right"/>
              <w:rPr>
                <w:rFonts w:ascii="Arial" w:hAnsi="Arial" w:cs="Arial"/>
                <w:color w:val="auto"/>
                <w:sz w:val="16"/>
                <w:szCs w:val="16"/>
              </w:rPr>
            </w:pPr>
            <w:r w:rsidRPr="006D6738">
              <w:rPr>
                <w:rFonts w:ascii="Arial" w:hAnsi="Arial" w:cs="Arial"/>
                <w:color w:val="auto"/>
                <w:sz w:val="16"/>
                <w:szCs w:val="16"/>
              </w:rPr>
              <w:t>4,430</w:t>
            </w:r>
          </w:p>
        </w:tc>
        <w:tc>
          <w:tcPr>
            <w:tcW w:w="883" w:type="dxa"/>
            <w:tcBorders>
              <w:top w:val="nil"/>
              <w:left w:val="nil"/>
              <w:bottom w:val="nil"/>
              <w:right w:val="nil"/>
            </w:tcBorders>
            <w:shd w:val="clear" w:color="auto" w:fill="auto"/>
            <w:noWrap/>
            <w:vAlign w:val="bottom"/>
            <w:hideMark/>
          </w:tcPr>
          <w:p w14:paraId="269EA0A5" w14:textId="77777777" w:rsidR="006D6738" w:rsidRPr="006D6738" w:rsidRDefault="006D6738" w:rsidP="00251A42">
            <w:pPr>
              <w:spacing w:after="0"/>
              <w:jc w:val="right"/>
              <w:rPr>
                <w:rFonts w:ascii="Arial" w:hAnsi="Arial" w:cs="Arial"/>
                <w:color w:val="auto"/>
                <w:sz w:val="16"/>
                <w:szCs w:val="16"/>
              </w:rPr>
            </w:pPr>
            <w:r w:rsidRPr="006D6738">
              <w:rPr>
                <w:rFonts w:ascii="Arial" w:hAnsi="Arial" w:cs="Arial"/>
                <w:color w:val="auto"/>
                <w:sz w:val="16"/>
                <w:szCs w:val="16"/>
              </w:rPr>
              <w:t>4,502</w:t>
            </w:r>
          </w:p>
        </w:tc>
        <w:tc>
          <w:tcPr>
            <w:tcW w:w="883" w:type="dxa"/>
            <w:tcBorders>
              <w:top w:val="nil"/>
              <w:left w:val="nil"/>
              <w:bottom w:val="nil"/>
              <w:right w:val="nil"/>
            </w:tcBorders>
            <w:shd w:val="clear" w:color="auto" w:fill="auto"/>
            <w:noWrap/>
            <w:vAlign w:val="bottom"/>
            <w:hideMark/>
          </w:tcPr>
          <w:p w14:paraId="2E85B009" w14:textId="77777777" w:rsidR="006D6738" w:rsidRPr="006D6738" w:rsidRDefault="006D6738" w:rsidP="00251A42">
            <w:pPr>
              <w:spacing w:after="0"/>
              <w:jc w:val="right"/>
              <w:rPr>
                <w:rFonts w:ascii="Arial" w:hAnsi="Arial" w:cs="Arial"/>
                <w:color w:val="auto"/>
                <w:sz w:val="16"/>
                <w:szCs w:val="16"/>
              </w:rPr>
            </w:pPr>
            <w:r w:rsidRPr="006D6738">
              <w:rPr>
                <w:rFonts w:ascii="Arial" w:hAnsi="Arial" w:cs="Arial"/>
                <w:color w:val="auto"/>
                <w:sz w:val="16"/>
                <w:szCs w:val="16"/>
              </w:rPr>
              <w:t>4,456</w:t>
            </w:r>
          </w:p>
        </w:tc>
      </w:tr>
      <w:tr w:rsidR="006D6738" w:rsidRPr="006D6738" w14:paraId="7637932F" w14:textId="77777777" w:rsidTr="006D6738">
        <w:trPr>
          <w:trHeight w:val="227"/>
        </w:trPr>
        <w:tc>
          <w:tcPr>
            <w:tcW w:w="2943" w:type="dxa"/>
            <w:tcBorders>
              <w:top w:val="nil"/>
              <w:left w:val="nil"/>
              <w:bottom w:val="nil"/>
              <w:right w:val="nil"/>
            </w:tcBorders>
            <w:shd w:val="clear" w:color="auto" w:fill="auto"/>
            <w:vAlign w:val="bottom"/>
            <w:hideMark/>
          </w:tcPr>
          <w:p w14:paraId="1300AE60" w14:textId="77777777" w:rsidR="006D6738" w:rsidRPr="006D6738" w:rsidRDefault="006D6738" w:rsidP="00251A42">
            <w:pPr>
              <w:spacing w:before="20" w:after="20"/>
              <w:ind w:leftChars="75" w:left="143"/>
              <w:rPr>
                <w:rFonts w:ascii="Arial" w:hAnsi="Arial" w:cs="Arial"/>
                <w:sz w:val="16"/>
                <w:szCs w:val="16"/>
              </w:rPr>
            </w:pPr>
            <w:r w:rsidRPr="006D6738">
              <w:rPr>
                <w:rFonts w:ascii="Arial" w:hAnsi="Arial" w:cs="Arial"/>
                <w:sz w:val="16"/>
                <w:szCs w:val="16"/>
              </w:rPr>
              <w:t xml:space="preserve">less </w:t>
            </w:r>
            <w:r w:rsidRPr="006D6738">
              <w:rPr>
                <w:rFonts w:ascii="Arial" w:hAnsi="Arial" w:cs="Arial"/>
                <w:color w:val="auto"/>
                <w:sz w:val="16"/>
                <w:szCs w:val="16"/>
              </w:rPr>
              <w:t>lease</w:t>
            </w:r>
            <w:r w:rsidRPr="006D6738">
              <w:rPr>
                <w:rFonts w:ascii="Arial" w:hAnsi="Arial" w:cs="Arial"/>
                <w:sz w:val="16"/>
                <w:szCs w:val="16"/>
              </w:rPr>
              <w:t xml:space="preserve"> principal repayments</w:t>
            </w:r>
          </w:p>
        </w:tc>
        <w:tc>
          <w:tcPr>
            <w:tcW w:w="891" w:type="dxa"/>
            <w:tcBorders>
              <w:top w:val="nil"/>
              <w:left w:val="nil"/>
              <w:bottom w:val="nil"/>
              <w:right w:val="nil"/>
            </w:tcBorders>
            <w:shd w:val="clear" w:color="auto" w:fill="auto"/>
            <w:noWrap/>
            <w:vAlign w:val="bottom"/>
            <w:hideMark/>
          </w:tcPr>
          <w:p w14:paraId="1C2E545F" w14:textId="77777777" w:rsidR="006D6738" w:rsidRPr="006D6738" w:rsidRDefault="006D6738" w:rsidP="00251A42">
            <w:pPr>
              <w:spacing w:after="0"/>
              <w:jc w:val="right"/>
              <w:rPr>
                <w:rFonts w:ascii="Arial" w:hAnsi="Arial" w:cs="Arial"/>
                <w:color w:val="auto"/>
                <w:sz w:val="16"/>
                <w:szCs w:val="16"/>
              </w:rPr>
            </w:pPr>
            <w:r w:rsidRPr="006D6738">
              <w:rPr>
                <w:rFonts w:ascii="Arial" w:hAnsi="Arial" w:cs="Arial"/>
                <w:color w:val="auto"/>
                <w:sz w:val="16"/>
                <w:szCs w:val="16"/>
              </w:rPr>
              <w:t>(4,108)</w:t>
            </w:r>
          </w:p>
        </w:tc>
        <w:tc>
          <w:tcPr>
            <w:tcW w:w="877" w:type="dxa"/>
            <w:tcBorders>
              <w:top w:val="nil"/>
              <w:left w:val="nil"/>
              <w:bottom w:val="nil"/>
              <w:right w:val="nil"/>
            </w:tcBorders>
            <w:shd w:val="clear" w:color="000000" w:fill="D9D9D9"/>
            <w:noWrap/>
            <w:vAlign w:val="bottom"/>
            <w:hideMark/>
          </w:tcPr>
          <w:p w14:paraId="38677C88" w14:textId="77777777" w:rsidR="006D6738" w:rsidRPr="006D6738" w:rsidRDefault="006D6738" w:rsidP="00251A42">
            <w:pPr>
              <w:spacing w:after="0"/>
              <w:jc w:val="right"/>
              <w:rPr>
                <w:rFonts w:ascii="Arial" w:hAnsi="Arial" w:cs="Arial"/>
                <w:color w:val="auto"/>
                <w:sz w:val="16"/>
                <w:szCs w:val="16"/>
              </w:rPr>
            </w:pPr>
            <w:r w:rsidRPr="006D6738">
              <w:rPr>
                <w:rFonts w:ascii="Arial" w:hAnsi="Arial" w:cs="Arial"/>
                <w:color w:val="auto"/>
                <w:sz w:val="16"/>
                <w:szCs w:val="16"/>
              </w:rPr>
              <w:t>(4,530)</w:t>
            </w:r>
          </w:p>
        </w:tc>
        <w:tc>
          <w:tcPr>
            <w:tcW w:w="883" w:type="dxa"/>
            <w:tcBorders>
              <w:top w:val="nil"/>
              <w:left w:val="nil"/>
              <w:bottom w:val="nil"/>
              <w:right w:val="nil"/>
            </w:tcBorders>
            <w:shd w:val="clear" w:color="auto" w:fill="auto"/>
            <w:noWrap/>
            <w:vAlign w:val="bottom"/>
            <w:hideMark/>
          </w:tcPr>
          <w:p w14:paraId="752133D6" w14:textId="77777777" w:rsidR="006D6738" w:rsidRPr="006D6738" w:rsidRDefault="006D6738" w:rsidP="00251A42">
            <w:pPr>
              <w:spacing w:after="0"/>
              <w:jc w:val="right"/>
              <w:rPr>
                <w:rFonts w:ascii="Arial" w:hAnsi="Arial" w:cs="Arial"/>
                <w:color w:val="auto"/>
                <w:sz w:val="16"/>
                <w:szCs w:val="16"/>
              </w:rPr>
            </w:pPr>
            <w:r w:rsidRPr="006D6738">
              <w:rPr>
                <w:rFonts w:ascii="Arial" w:hAnsi="Arial" w:cs="Arial"/>
                <w:color w:val="auto"/>
                <w:sz w:val="16"/>
                <w:szCs w:val="16"/>
              </w:rPr>
              <w:t>(4,372)</w:t>
            </w:r>
          </w:p>
        </w:tc>
        <w:tc>
          <w:tcPr>
            <w:tcW w:w="883" w:type="dxa"/>
            <w:tcBorders>
              <w:top w:val="nil"/>
              <w:left w:val="nil"/>
              <w:bottom w:val="nil"/>
              <w:right w:val="nil"/>
            </w:tcBorders>
            <w:shd w:val="clear" w:color="auto" w:fill="auto"/>
            <w:noWrap/>
            <w:vAlign w:val="bottom"/>
            <w:hideMark/>
          </w:tcPr>
          <w:p w14:paraId="15CE8F0F" w14:textId="77777777" w:rsidR="006D6738" w:rsidRPr="006D6738" w:rsidRDefault="006D6738" w:rsidP="00251A42">
            <w:pPr>
              <w:spacing w:after="0"/>
              <w:jc w:val="right"/>
              <w:rPr>
                <w:rFonts w:ascii="Arial" w:hAnsi="Arial" w:cs="Arial"/>
                <w:color w:val="auto"/>
                <w:sz w:val="16"/>
                <w:szCs w:val="16"/>
              </w:rPr>
            </w:pPr>
            <w:r w:rsidRPr="006D6738">
              <w:rPr>
                <w:rFonts w:ascii="Arial" w:hAnsi="Arial" w:cs="Arial"/>
                <w:color w:val="auto"/>
                <w:sz w:val="16"/>
                <w:szCs w:val="16"/>
              </w:rPr>
              <w:t>(4,499)</w:t>
            </w:r>
          </w:p>
        </w:tc>
        <w:tc>
          <w:tcPr>
            <w:tcW w:w="883" w:type="dxa"/>
            <w:tcBorders>
              <w:top w:val="nil"/>
              <w:left w:val="nil"/>
              <w:bottom w:val="nil"/>
              <w:right w:val="nil"/>
            </w:tcBorders>
            <w:shd w:val="clear" w:color="auto" w:fill="auto"/>
            <w:noWrap/>
            <w:vAlign w:val="bottom"/>
            <w:hideMark/>
          </w:tcPr>
          <w:p w14:paraId="3052DEBC" w14:textId="77777777" w:rsidR="006D6738" w:rsidRPr="006D6738" w:rsidRDefault="006D6738" w:rsidP="00251A42">
            <w:pPr>
              <w:spacing w:after="0"/>
              <w:jc w:val="right"/>
              <w:rPr>
                <w:rFonts w:ascii="Arial" w:hAnsi="Arial" w:cs="Arial"/>
                <w:color w:val="auto"/>
                <w:sz w:val="16"/>
                <w:szCs w:val="16"/>
              </w:rPr>
            </w:pPr>
            <w:r w:rsidRPr="006D6738">
              <w:rPr>
                <w:rFonts w:ascii="Arial" w:hAnsi="Arial" w:cs="Arial"/>
                <w:color w:val="auto"/>
                <w:sz w:val="16"/>
                <w:szCs w:val="16"/>
              </w:rPr>
              <w:t>(4,609)</w:t>
            </w:r>
          </w:p>
        </w:tc>
      </w:tr>
      <w:tr w:rsidR="006D6738" w:rsidRPr="006D6738" w14:paraId="0C226CCB" w14:textId="77777777" w:rsidTr="006D6738">
        <w:trPr>
          <w:trHeight w:val="227"/>
        </w:trPr>
        <w:tc>
          <w:tcPr>
            <w:tcW w:w="2943" w:type="dxa"/>
            <w:tcBorders>
              <w:top w:val="nil"/>
              <w:left w:val="nil"/>
              <w:bottom w:val="single" w:sz="4" w:space="0" w:color="auto"/>
              <w:right w:val="nil"/>
            </w:tcBorders>
            <w:shd w:val="clear" w:color="auto" w:fill="auto"/>
            <w:vAlign w:val="bottom"/>
            <w:hideMark/>
          </w:tcPr>
          <w:p w14:paraId="4D165774" w14:textId="77777777" w:rsidR="006D6738" w:rsidRPr="006D6738" w:rsidRDefault="006D6738" w:rsidP="00251A42">
            <w:pPr>
              <w:spacing w:before="20" w:after="20"/>
              <w:rPr>
                <w:rFonts w:ascii="Arial" w:hAnsi="Arial" w:cs="Arial"/>
                <w:b/>
                <w:bCs/>
                <w:color w:val="auto"/>
                <w:sz w:val="16"/>
                <w:szCs w:val="16"/>
              </w:rPr>
            </w:pPr>
            <w:r w:rsidRPr="006D6738">
              <w:rPr>
                <w:rFonts w:ascii="Arial" w:hAnsi="Arial" w:cs="Arial"/>
                <w:b/>
                <w:bCs/>
                <w:color w:val="auto"/>
                <w:sz w:val="16"/>
                <w:szCs w:val="16"/>
              </w:rPr>
              <w:t>Total comprehensive income (loss) attributable to the agency</w:t>
            </w:r>
          </w:p>
        </w:tc>
        <w:tc>
          <w:tcPr>
            <w:tcW w:w="891" w:type="dxa"/>
            <w:tcBorders>
              <w:top w:val="nil"/>
              <w:left w:val="nil"/>
              <w:bottom w:val="single" w:sz="4" w:space="0" w:color="auto"/>
              <w:right w:val="nil"/>
            </w:tcBorders>
            <w:shd w:val="clear" w:color="auto" w:fill="auto"/>
            <w:noWrap/>
            <w:vAlign w:val="bottom"/>
            <w:hideMark/>
          </w:tcPr>
          <w:p w14:paraId="6D25CDD6" w14:textId="77777777" w:rsidR="006D6738" w:rsidRPr="006D6738" w:rsidRDefault="006D6738" w:rsidP="00251A42">
            <w:pPr>
              <w:spacing w:after="0"/>
              <w:jc w:val="right"/>
              <w:rPr>
                <w:rFonts w:ascii="Arial" w:hAnsi="Arial" w:cs="Arial"/>
                <w:b/>
                <w:bCs/>
                <w:color w:val="auto"/>
                <w:sz w:val="16"/>
                <w:szCs w:val="16"/>
              </w:rPr>
            </w:pPr>
            <w:r w:rsidRPr="006D6738">
              <w:rPr>
                <w:rFonts w:ascii="Arial" w:hAnsi="Arial" w:cs="Arial"/>
                <w:b/>
                <w:bCs/>
                <w:color w:val="auto"/>
                <w:sz w:val="16"/>
                <w:szCs w:val="16"/>
              </w:rPr>
              <w:t>(1,390)</w:t>
            </w:r>
          </w:p>
        </w:tc>
        <w:tc>
          <w:tcPr>
            <w:tcW w:w="877" w:type="dxa"/>
            <w:tcBorders>
              <w:top w:val="nil"/>
              <w:left w:val="nil"/>
              <w:bottom w:val="single" w:sz="4" w:space="0" w:color="auto"/>
              <w:right w:val="nil"/>
            </w:tcBorders>
            <w:shd w:val="clear" w:color="000000" w:fill="D9D9D9"/>
            <w:noWrap/>
            <w:vAlign w:val="bottom"/>
            <w:hideMark/>
          </w:tcPr>
          <w:p w14:paraId="5E567CA2" w14:textId="77777777" w:rsidR="006D6738" w:rsidRPr="006D6738" w:rsidRDefault="006D6738" w:rsidP="00251A42">
            <w:pPr>
              <w:spacing w:after="0"/>
              <w:jc w:val="right"/>
              <w:rPr>
                <w:rFonts w:ascii="Arial" w:hAnsi="Arial" w:cs="Arial"/>
                <w:b/>
                <w:bCs/>
                <w:color w:val="auto"/>
                <w:sz w:val="16"/>
                <w:szCs w:val="16"/>
              </w:rPr>
            </w:pPr>
            <w:r w:rsidRPr="006D6738">
              <w:rPr>
                <w:rFonts w:ascii="Arial" w:hAnsi="Arial" w:cs="Arial"/>
                <w:b/>
                <w:bCs/>
                <w:color w:val="auto"/>
                <w:sz w:val="16"/>
                <w:szCs w:val="16"/>
              </w:rPr>
              <w:t>(2,835)</w:t>
            </w:r>
          </w:p>
        </w:tc>
        <w:tc>
          <w:tcPr>
            <w:tcW w:w="883" w:type="dxa"/>
            <w:tcBorders>
              <w:top w:val="nil"/>
              <w:left w:val="nil"/>
              <w:bottom w:val="single" w:sz="4" w:space="0" w:color="auto"/>
              <w:right w:val="nil"/>
            </w:tcBorders>
            <w:shd w:val="clear" w:color="auto" w:fill="auto"/>
            <w:noWrap/>
            <w:vAlign w:val="bottom"/>
            <w:hideMark/>
          </w:tcPr>
          <w:p w14:paraId="36F8304A" w14:textId="77777777" w:rsidR="006D6738" w:rsidRPr="006D6738" w:rsidRDefault="006D6738" w:rsidP="00251A42">
            <w:pPr>
              <w:spacing w:after="0"/>
              <w:jc w:val="right"/>
              <w:rPr>
                <w:rFonts w:ascii="Arial" w:hAnsi="Arial" w:cs="Arial"/>
                <w:b/>
                <w:bCs/>
                <w:color w:val="auto"/>
                <w:sz w:val="16"/>
                <w:szCs w:val="16"/>
              </w:rPr>
            </w:pPr>
            <w:r w:rsidRPr="006D6738">
              <w:rPr>
                <w:rFonts w:ascii="Arial" w:hAnsi="Arial" w:cs="Arial"/>
                <w:b/>
                <w:bCs/>
                <w:color w:val="auto"/>
                <w:sz w:val="16"/>
                <w:szCs w:val="16"/>
              </w:rPr>
              <w:t>(707)</w:t>
            </w:r>
          </w:p>
        </w:tc>
        <w:tc>
          <w:tcPr>
            <w:tcW w:w="883" w:type="dxa"/>
            <w:tcBorders>
              <w:top w:val="nil"/>
              <w:left w:val="nil"/>
              <w:bottom w:val="single" w:sz="4" w:space="0" w:color="auto"/>
              <w:right w:val="nil"/>
            </w:tcBorders>
            <w:shd w:val="clear" w:color="auto" w:fill="auto"/>
            <w:noWrap/>
            <w:vAlign w:val="bottom"/>
            <w:hideMark/>
          </w:tcPr>
          <w:p w14:paraId="6A614DC3" w14:textId="77777777" w:rsidR="006D6738" w:rsidRPr="006D6738" w:rsidRDefault="006D6738" w:rsidP="00251A42">
            <w:pPr>
              <w:spacing w:after="0"/>
              <w:jc w:val="right"/>
              <w:rPr>
                <w:rFonts w:ascii="Arial" w:hAnsi="Arial" w:cs="Arial"/>
                <w:b/>
                <w:bCs/>
                <w:color w:val="auto"/>
                <w:sz w:val="16"/>
                <w:szCs w:val="16"/>
              </w:rPr>
            </w:pPr>
            <w:r w:rsidRPr="006D6738">
              <w:rPr>
                <w:rFonts w:ascii="Arial" w:hAnsi="Arial" w:cs="Arial"/>
                <w:b/>
                <w:bCs/>
                <w:color w:val="auto"/>
                <w:sz w:val="16"/>
                <w:szCs w:val="16"/>
              </w:rPr>
              <w:t>-</w:t>
            </w:r>
          </w:p>
        </w:tc>
        <w:tc>
          <w:tcPr>
            <w:tcW w:w="883" w:type="dxa"/>
            <w:tcBorders>
              <w:top w:val="nil"/>
              <w:left w:val="nil"/>
              <w:bottom w:val="single" w:sz="4" w:space="0" w:color="auto"/>
              <w:right w:val="nil"/>
            </w:tcBorders>
            <w:shd w:val="clear" w:color="auto" w:fill="auto"/>
            <w:noWrap/>
            <w:vAlign w:val="bottom"/>
            <w:hideMark/>
          </w:tcPr>
          <w:p w14:paraId="31F12B99" w14:textId="77777777" w:rsidR="006D6738" w:rsidRPr="006D6738" w:rsidRDefault="006D6738" w:rsidP="00251A42">
            <w:pPr>
              <w:spacing w:after="0"/>
              <w:jc w:val="right"/>
              <w:rPr>
                <w:rFonts w:ascii="Arial" w:hAnsi="Arial" w:cs="Arial"/>
                <w:b/>
                <w:bCs/>
                <w:color w:val="auto"/>
                <w:sz w:val="16"/>
                <w:szCs w:val="16"/>
              </w:rPr>
            </w:pPr>
            <w:r w:rsidRPr="006D6738">
              <w:rPr>
                <w:rFonts w:ascii="Arial" w:hAnsi="Arial" w:cs="Arial"/>
                <w:b/>
                <w:bCs/>
                <w:color w:val="auto"/>
                <w:sz w:val="16"/>
                <w:szCs w:val="16"/>
              </w:rPr>
              <w:t>-</w:t>
            </w:r>
          </w:p>
        </w:tc>
      </w:tr>
    </w:tbl>
    <w:p w14:paraId="2399FBC3" w14:textId="0D668C54" w:rsidR="00FB60A5" w:rsidRDefault="00FB60A5" w:rsidP="00A072C5">
      <w:pPr>
        <w:pStyle w:val="FootnoteText"/>
        <w:spacing w:before="120"/>
      </w:pPr>
      <w:proofErr w:type="spellStart"/>
      <w:r w:rsidRPr="00FB60A5">
        <w:t>RoU</w:t>
      </w:r>
      <w:proofErr w:type="spellEnd"/>
      <w:r w:rsidRPr="00FB60A5">
        <w:t xml:space="preserve"> = Right-of-Use asset</w:t>
      </w:r>
    </w:p>
    <w:p w14:paraId="0C2CB646" w14:textId="77777777" w:rsidR="006D6738" w:rsidRDefault="006D6738">
      <w:pPr>
        <w:spacing w:after="160" w:line="259" w:lineRule="auto"/>
        <w:rPr>
          <w:rFonts w:ascii="Arial" w:hAnsi="Arial" w:cs="Arial"/>
          <w:b/>
          <w:sz w:val="20"/>
          <w:szCs w:val="18"/>
          <w:lang w:eastAsia="en-US"/>
        </w:rPr>
      </w:pPr>
      <w:r>
        <w:rPr>
          <w:rFonts w:ascii="Arial" w:hAnsi="Arial" w:cs="Arial"/>
          <w:b/>
          <w:sz w:val="20"/>
          <w:szCs w:val="18"/>
          <w:lang w:eastAsia="en-US"/>
        </w:rPr>
        <w:br w:type="page"/>
      </w:r>
    </w:p>
    <w:p w14:paraId="57E99396" w14:textId="2B30DA20" w:rsidR="00C95982" w:rsidRPr="00C95982" w:rsidRDefault="00C95982" w:rsidP="00C95982">
      <w:pPr>
        <w:rPr>
          <w:rFonts w:ascii="Arial" w:hAnsi="Arial" w:cs="Arial"/>
          <w:b/>
          <w:sz w:val="20"/>
          <w:szCs w:val="18"/>
          <w:lang w:eastAsia="en-US"/>
        </w:rPr>
      </w:pPr>
      <w:r w:rsidRPr="00C95982">
        <w:rPr>
          <w:rFonts w:ascii="Arial" w:hAnsi="Arial" w:cs="Arial"/>
          <w:b/>
          <w:sz w:val="20"/>
          <w:szCs w:val="18"/>
          <w:lang w:eastAsia="en-US"/>
        </w:rPr>
        <w:lastRenderedPageBreak/>
        <w:t>Table 3.2: Budgeted departmental balance sheet (as at 30 June)</w:t>
      </w:r>
    </w:p>
    <w:tbl>
      <w:tblPr>
        <w:tblW w:w="7390" w:type="dxa"/>
        <w:jc w:val="center"/>
        <w:tblLayout w:type="fixed"/>
        <w:tblLook w:val="04A0" w:firstRow="1" w:lastRow="0" w:firstColumn="1" w:lastColumn="0" w:noHBand="0" w:noVBand="1"/>
      </w:tblPr>
      <w:tblGrid>
        <w:gridCol w:w="3052"/>
        <w:gridCol w:w="918"/>
        <w:gridCol w:w="879"/>
        <w:gridCol w:w="879"/>
        <w:gridCol w:w="879"/>
        <w:gridCol w:w="783"/>
      </w:tblGrid>
      <w:tr w:rsidR="00B810D4" w:rsidRPr="00DB4B18" w14:paraId="4225ED9F" w14:textId="77777777" w:rsidTr="004A5DBA">
        <w:trPr>
          <w:trHeight w:val="765"/>
          <w:jc w:val="center"/>
        </w:trPr>
        <w:tc>
          <w:tcPr>
            <w:tcW w:w="3052" w:type="dxa"/>
            <w:tcBorders>
              <w:top w:val="single" w:sz="4" w:space="0" w:color="auto"/>
              <w:left w:val="nil"/>
              <w:bottom w:val="nil"/>
              <w:right w:val="nil"/>
            </w:tcBorders>
            <w:shd w:val="clear" w:color="auto" w:fill="auto"/>
            <w:hideMark/>
          </w:tcPr>
          <w:p w14:paraId="433304D7" w14:textId="77777777" w:rsidR="00DB4B18" w:rsidRPr="00DB4B18" w:rsidRDefault="00DB4B18" w:rsidP="00A072C5">
            <w:pPr>
              <w:spacing w:before="40" w:after="0"/>
              <w:jc w:val="right"/>
              <w:rPr>
                <w:rFonts w:ascii="Arial" w:hAnsi="Arial" w:cs="Arial"/>
                <w:color w:val="auto"/>
                <w:sz w:val="16"/>
                <w:szCs w:val="16"/>
              </w:rPr>
            </w:pPr>
            <w:r w:rsidRPr="00DB4B18">
              <w:rPr>
                <w:rFonts w:ascii="Arial" w:hAnsi="Arial" w:cs="Arial"/>
                <w:color w:val="auto"/>
                <w:sz w:val="16"/>
                <w:szCs w:val="16"/>
              </w:rPr>
              <w:t> </w:t>
            </w:r>
          </w:p>
        </w:tc>
        <w:tc>
          <w:tcPr>
            <w:tcW w:w="918" w:type="dxa"/>
            <w:tcBorders>
              <w:top w:val="single" w:sz="4" w:space="0" w:color="auto"/>
              <w:left w:val="nil"/>
              <w:bottom w:val="single" w:sz="4" w:space="0" w:color="auto"/>
              <w:right w:val="nil"/>
            </w:tcBorders>
            <w:shd w:val="clear" w:color="auto" w:fill="auto"/>
            <w:tcMar>
              <w:left w:w="0" w:type="dxa"/>
              <w:right w:w="0" w:type="dxa"/>
            </w:tcMar>
            <w:hideMark/>
          </w:tcPr>
          <w:p w14:paraId="174D8A4B" w14:textId="77777777" w:rsidR="00DB4B18" w:rsidRPr="00DB4B18" w:rsidRDefault="00DB4B18" w:rsidP="00A072C5">
            <w:pPr>
              <w:spacing w:before="40" w:after="0"/>
              <w:jc w:val="right"/>
              <w:rPr>
                <w:rFonts w:ascii="Arial" w:hAnsi="Arial" w:cs="Arial"/>
                <w:b/>
                <w:bCs/>
                <w:color w:val="auto"/>
                <w:sz w:val="16"/>
                <w:szCs w:val="16"/>
              </w:rPr>
            </w:pPr>
            <w:r w:rsidRPr="00DB4B18">
              <w:rPr>
                <w:rFonts w:ascii="Arial" w:hAnsi="Arial" w:cs="Arial"/>
                <w:b/>
                <w:bCs/>
                <w:color w:val="auto"/>
                <w:sz w:val="16"/>
                <w:szCs w:val="16"/>
              </w:rPr>
              <w:t>2021–22 Estimated actual</w:t>
            </w:r>
            <w:r w:rsidRPr="00DB4B18">
              <w:rPr>
                <w:rFonts w:ascii="Arial" w:hAnsi="Arial" w:cs="Arial"/>
                <w:b/>
                <w:bCs/>
                <w:color w:val="auto"/>
                <w:sz w:val="16"/>
                <w:szCs w:val="16"/>
              </w:rPr>
              <w:br/>
            </w:r>
            <w:r w:rsidRPr="00DB4B18">
              <w:rPr>
                <w:rFonts w:ascii="Arial" w:hAnsi="Arial" w:cs="Arial"/>
                <w:color w:val="auto"/>
                <w:sz w:val="16"/>
                <w:szCs w:val="16"/>
              </w:rPr>
              <w:t>$'000</w:t>
            </w:r>
          </w:p>
        </w:tc>
        <w:tc>
          <w:tcPr>
            <w:tcW w:w="879" w:type="dxa"/>
            <w:tcBorders>
              <w:top w:val="single" w:sz="4" w:space="0" w:color="auto"/>
              <w:left w:val="nil"/>
              <w:bottom w:val="single" w:sz="4" w:space="0" w:color="auto"/>
              <w:right w:val="nil"/>
            </w:tcBorders>
            <w:shd w:val="clear" w:color="auto" w:fill="D9D9D9" w:themeFill="background1" w:themeFillShade="D9"/>
            <w:hideMark/>
          </w:tcPr>
          <w:p w14:paraId="14BF1F17" w14:textId="77777777" w:rsidR="00DB4B18" w:rsidRPr="00DB4B18" w:rsidRDefault="00DB4B18" w:rsidP="00A072C5">
            <w:pPr>
              <w:spacing w:before="40" w:after="0"/>
              <w:jc w:val="right"/>
              <w:rPr>
                <w:rFonts w:ascii="Arial" w:hAnsi="Arial" w:cs="Arial"/>
                <w:b/>
                <w:bCs/>
                <w:color w:val="auto"/>
                <w:sz w:val="16"/>
                <w:szCs w:val="16"/>
              </w:rPr>
            </w:pPr>
            <w:r w:rsidRPr="00DB4B18">
              <w:rPr>
                <w:rFonts w:ascii="Arial" w:hAnsi="Arial" w:cs="Arial"/>
                <w:b/>
                <w:bCs/>
                <w:color w:val="auto"/>
                <w:sz w:val="16"/>
                <w:szCs w:val="16"/>
              </w:rPr>
              <w:t>2022–23</w:t>
            </w:r>
            <w:r w:rsidRPr="00DB4B18">
              <w:rPr>
                <w:rFonts w:ascii="Arial" w:hAnsi="Arial" w:cs="Arial"/>
                <w:b/>
                <w:bCs/>
                <w:color w:val="auto"/>
                <w:sz w:val="16"/>
                <w:szCs w:val="16"/>
              </w:rPr>
              <w:br/>
              <w:t>Budget</w:t>
            </w:r>
            <w:r w:rsidRPr="00DB4B18">
              <w:rPr>
                <w:rFonts w:ascii="Arial" w:hAnsi="Arial" w:cs="Arial"/>
                <w:b/>
                <w:bCs/>
                <w:color w:val="auto"/>
                <w:sz w:val="16"/>
                <w:szCs w:val="16"/>
              </w:rPr>
              <w:br/>
            </w:r>
            <w:r w:rsidRPr="00DB4B18">
              <w:rPr>
                <w:rFonts w:ascii="Arial" w:hAnsi="Arial" w:cs="Arial"/>
                <w:b/>
                <w:bCs/>
                <w:color w:val="auto"/>
                <w:sz w:val="16"/>
                <w:szCs w:val="16"/>
              </w:rPr>
              <w:br/>
            </w:r>
            <w:r w:rsidRPr="00DB4B18">
              <w:rPr>
                <w:rFonts w:ascii="Arial" w:hAnsi="Arial" w:cs="Arial"/>
                <w:color w:val="auto"/>
                <w:sz w:val="16"/>
                <w:szCs w:val="16"/>
              </w:rPr>
              <w:t>$'000</w:t>
            </w:r>
          </w:p>
        </w:tc>
        <w:tc>
          <w:tcPr>
            <w:tcW w:w="879" w:type="dxa"/>
            <w:tcBorders>
              <w:top w:val="single" w:sz="4" w:space="0" w:color="auto"/>
              <w:left w:val="nil"/>
              <w:bottom w:val="single" w:sz="4" w:space="0" w:color="auto"/>
              <w:right w:val="nil"/>
            </w:tcBorders>
            <w:shd w:val="clear" w:color="auto" w:fill="auto"/>
            <w:hideMark/>
          </w:tcPr>
          <w:p w14:paraId="03185F8B" w14:textId="77777777" w:rsidR="00DB4B18" w:rsidRPr="00DB4B18" w:rsidRDefault="00DB4B18" w:rsidP="00A072C5">
            <w:pPr>
              <w:spacing w:before="40" w:after="0"/>
              <w:jc w:val="right"/>
              <w:rPr>
                <w:rFonts w:ascii="Arial" w:hAnsi="Arial" w:cs="Arial"/>
                <w:b/>
                <w:bCs/>
                <w:color w:val="auto"/>
                <w:sz w:val="16"/>
                <w:szCs w:val="16"/>
              </w:rPr>
            </w:pPr>
            <w:r w:rsidRPr="00DB4B18">
              <w:rPr>
                <w:rFonts w:ascii="Arial" w:hAnsi="Arial" w:cs="Arial"/>
                <w:b/>
                <w:bCs/>
                <w:color w:val="auto"/>
                <w:sz w:val="16"/>
                <w:szCs w:val="16"/>
              </w:rPr>
              <w:t>2023–24 Forward estimate</w:t>
            </w:r>
            <w:r w:rsidRPr="00DB4B18">
              <w:rPr>
                <w:rFonts w:ascii="Arial" w:hAnsi="Arial" w:cs="Arial"/>
                <w:b/>
                <w:bCs/>
                <w:color w:val="auto"/>
                <w:sz w:val="16"/>
                <w:szCs w:val="16"/>
              </w:rPr>
              <w:br/>
            </w:r>
            <w:r w:rsidRPr="00DB4B18">
              <w:rPr>
                <w:rFonts w:ascii="Arial" w:hAnsi="Arial" w:cs="Arial"/>
                <w:color w:val="auto"/>
                <w:sz w:val="16"/>
                <w:szCs w:val="16"/>
              </w:rPr>
              <w:t>$'000</w:t>
            </w:r>
          </w:p>
        </w:tc>
        <w:tc>
          <w:tcPr>
            <w:tcW w:w="879" w:type="dxa"/>
            <w:tcBorders>
              <w:top w:val="single" w:sz="4" w:space="0" w:color="auto"/>
              <w:left w:val="nil"/>
              <w:bottom w:val="single" w:sz="4" w:space="0" w:color="auto"/>
              <w:right w:val="nil"/>
            </w:tcBorders>
            <w:shd w:val="clear" w:color="auto" w:fill="auto"/>
            <w:hideMark/>
          </w:tcPr>
          <w:p w14:paraId="59161516" w14:textId="77777777" w:rsidR="00DB4B18" w:rsidRPr="00DB4B18" w:rsidRDefault="00DB4B18" w:rsidP="00A072C5">
            <w:pPr>
              <w:spacing w:before="40" w:after="0"/>
              <w:jc w:val="right"/>
              <w:rPr>
                <w:rFonts w:ascii="Arial" w:hAnsi="Arial" w:cs="Arial"/>
                <w:b/>
                <w:bCs/>
                <w:color w:val="auto"/>
                <w:sz w:val="16"/>
                <w:szCs w:val="16"/>
              </w:rPr>
            </w:pPr>
            <w:r w:rsidRPr="00DB4B18">
              <w:rPr>
                <w:rFonts w:ascii="Arial" w:hAnsi="Arial" w:cs="Arial"/>
                <w:b/>
                <w:bCs/>
                <w:color w:val="auto"/>
                <w:sz w:val="16"/>
                <w:szCs w:val="16"/>
              </w:rPr>
              <w:t>2024–25</w:t>
            </w:r>
            <w:r w:rsidRPr="00DB4B18">
              <w:rPr>
                <w:rFonts w:ascii="Arial" w:hAnsi="Arial" w:cs="Arial"/>
                <w:b/>
                <w:bCs/>
                <w:color w:val="auto"/>
                <w:sz w:val="16"/>
                <w:szCs w:val="16"/>
              </w:rPr>
              <w:br/>
              <w:t>Forward estimate</w:t>
            </w:r>
            <w:r w:rsidRPr="00DB4B18">
              <w:rPr>
                <w:rFonts w:ascii="Arial" w:hAnsi="Arial" w:cs="Arial"/>
                <w:b/>
                <w:bCs/>
                <w:color w:val="auto"/>
                <w:sz w:val="16"/>
                <w:szCs w:val="16"/>
              </w:rPr>
              <w:br/>
            </w:r>
            <w:r w:rsidRPr="00DB4B18">
              <w:rPr>
                <w:rFonts w:ascii="Arial" w:hAnsi="Arial" w:cs="Arial"/>
                <w:color w:val="auto"/>
                <w:sz w:val="16"/>
                <w:szCs w:val="16"/>
              </w:rPr>
              <w:t>$'000</w:t>
            </w:r>
          </w:p>
        </w:tc>
        <w:tc>
          <w:tcPr>
            <w:tcW w:w="783" w:type="dxa"/>
            <w:tcBorders>
              <w:top w:val="single" w:sz="4" w:space="0" w:color="auto"/>
              <w:left w:val="nil"/>
              <w:bottom w:val="single" w:sz="4" w:space="0" w:color="auto"/>
              <w:right w:val="nil"/>
            </w:tcBorders>
            <w:shd w:val="clear" w:color="auto" w:fill="auto"/>
            <w:tcMar>
              <w:left w:w="0" w:type="dxa"/>
              <w:right w:w="0" w:type="dxa"/>
            </w:tcMar>
            <w:hideMark/>
          </w:tcPr>
          <w:p w14:paraId="3F33D2AC" w14:textId="77777777" w:rsidR="00DB4B18" w:rsidRPr="00DB4B18" w:rsidRDefault="00DB4B18" w:rsidP="00A072C5">
            <w:pPr>
              <w:spacing w:before="40" w:after="0"/>
              <w:jc w:val="right"/>
              <w:rPr>
                <w:rFonts w:ascii="Arial" w:hAnsi="Arial" w:cs="Arial"/>
                <w:b/>
                <w:bCs/>
                <w:color w:val="auto"/>
                <w:sz w:val="16"/>
                <w:szCs w:val="16"/>
              </w:rPr>
            </w:pPr>
            <w:r w:rsidRPr="00DB4B18">
              <w:rPr>
                <w:rFonts w:ascii="Arial" w:hAnsi="Arial" w:cs="Arial"/>
                <w:b/>
                <w:bCs/>
                <w:color w:val="auto"/>
                <w:sz w:val="16"/>
                <w:szCs w:val="16"/>
              </w:rPr>
              <w:t>2025–26</w:t>
            </w:r>
            <w:r w:rsidRPr="00DB4B18">
              <w:rPr>
                <w:rFonts w:ascii="Arial" w:hAnsi="Arial" w:cs="Arial"/>
                <w:b/>
                <w:bCs/>
                <w:color w:val="auto"/>
                <w:sz w:val="16"/>
                <w:szCs w:val="16"/>
              </w:rPr>
              <w:br/>
              <w:t>Forward estimate</w:t>
            </w:r>
            <w:r w:rsidRPr="00DB4B18">
              <w:rPr>
                <w:rFonts w:ascii="Arial" w:hAnsi="Arial" w:cs="Arial"/>
                <w:b/>
                <w:bCs/>
                <w:color w:val="auto"/>
                <w:sz w:val="16"/>
                <w:szCs w:val="16"/>
              </w:rPr>
              <w:br/>
            </w:r>
            <w:r w:rsidRPr="00DB4B18">
              <w:rPr>
                <w:rFonts w:ascii="Arial" w:hAnsi="Arial" w:cs="Arial"/>
                <w:color w:val="auto"/>
                <w:sz w:val="16"/>
                <w:szCs w:val="16"/>
              </w:rPr>
              <w:t>$'000</w:t>
            </w:r>
          </w:p>
        </w:tc>
      </w:tr>
      <w:tr w:rsidR="00B810D4" w:rsidRPr="00DB4B18" w14:paraId="558DBBD4" w14:textId="77777777" w:rsidTr="004A5DBA">
        <w:trPr>
          <w:trHeight w:val="225"/>
          <w:jc w:val="center"/>
        </w:trPr>
        <w:tc>
          <w:tcPr>
            <w:tcW w:w="3052" w:type="dxa"/>
            <w:tcBorders>
              <w:top w:val="nil"/>
              <w:left w:val="nil"/>
              <w:bottom w:val="nil"/>
              <w:right w:val="nil"/>
            </w:tcBorders>
            <w:shd w:val="clear" w:color="auto" w:fill="auto"/>
            <w:noWrap/>
            <w:vAlign w:val="bottom"/>
            <w:hideMark/>
          </w:tcPr>
          <w:p w14:paraId="4419BE22" w14:textId="77777777" w:rsidR="00DB4B18" w:rsidRPr="00DB4B18" w:rsidRDefault="00DB4B18" w:rsidP="00DB4B18">
            <w:pPr>
              <w:spacing w:after="0"/>
              <w:rPr>
                <w:rFonts w:ascii="Arial" w:hAnsi="Arial" w:cs="Arial"/>
                <w:b/>
                <w:bCs/>
                <w:sz w:val="16"/>
                <w:szCs w:val="16"/>
              </w:rPr>
            </w:pPr>
            <w:r w:rsidRPr="00DB4B18">
              <w:rPr>
                <w:rFonts w:ascii="Arial" w:hAnsi="Arial" w:cs="Arial"/>
                <w:b/>
                <w:bCs/>
                <w:sz w:val="16"/>
                <w:szCs w:val="16"/>
              </w:rPr>
              <w:t>ASSETS</w:t>
            </w:r>
          </w:p>
        </w:tc>
        <w:tc>
          <w:tcPr>
            <w:tcW w:w="918" w:type="dxa"/>
            <w:tcBorders>
              <w:top w:val="nil"/>
              <w:left w:val="nil"/>
              <w:bottom w:val="nil"/>
              <w:right w:val="nil"/>
            </w:tcBorders>
            <w:shd w:val="clear" w:color="auto" w:fill="auto"/>
            <w:noWrap/>
            <w:vAlign w:val="bottom"/>
            <w:hideMark/>
          </w:tcPr>
          <w:p w14:paraId="2AA0023C" w14:textId="77777777" w:rsidR="00DB4B18" w:rsidRPr="00DB4B18" w:rsidRDefault="00DB4B18" w:rsidP="00DB4B18">
            <w:pPr>
              <w:spacing w:after="0"/>
              <w:rPr>
                <w:rFonts w:ascii="Arial" w:hAnsi="Arial" w:cs="Arial"/>
                <w:b/>
                <w:bCs/>
                <w:sz w:val="16"/>
                <w:szCs w:val="16"/>
              </w:rPr>
            </w:pPr>
          </w:p>
        </w:tc>
        <w:tc>
          <w:tcPr>
            <w:tcW w:w="879" w:type="dxa"/>
            <w:tcBorders>
              <w:top w:val="nil"/>
              <w:left w:val="nil"/>
              <w:bottom w:val="nil"/>
              <w:right w:val="nil"/>
            </w:tcBorders>
            <w:shd w:val="clear" w:color="auto" w:fill="D9D9D9" w:themeFill="background1" w:themeFillShade="D9"/>
            <w:noWrap/>
            <w:vAlign w:val="bottom"/>
            <w:hideMark/>
          </w:tcPr>
          <w:p w14:paraId="57827024" w14:textId="77777777" w:rsidR="00DB4B18" w:rsidRPr="00DB4B18" w:rsidRDefault="00DB4B18" w:rsidP="00DB4B18">
            <w:pPr>
              <w:spacing w:after="0"/>
              <w:jc w:val="right"/>
              <w:rPr>
                <w:rFonts w:ascii="Arial" w:hAnsi="Arial" w:cs="Arial"/>
                <w:sz w:val="16"/>
                <w:szCs w:val="16"/>
              </w:rPr>
            </w:pPr>
            <w:r w:rsidRPr="00DB4B18">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421505B2" w14:textId="77777777" w:rsidR="00DB4B18" w:rsidRPr="00DB4B18" w:rsidRDefault="00DB4B18" w:rsidP="00DB4B18">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3B8857BA" w14:textId="77777777" w:rsidR="00DB4B18" w:rsidRPr="00DB4B18" w:rsidRDefault="00DB4B18" w:rsidP="00DB4B18">
            <w:pPr>
              <w:spacing w:after="0"/>
              <w:jc w:val="right"/>
              <w:rPr>
                <w:rFonts w:ascii="Times New Roman" w:hAnsi="Times New Roman"/>
                <w:color w:val="auto"/>
                <w:sz w:val="20"/>
              </w:rPr>
            </w:pPr>
          </w:p>
        </w:tc>
        <w:tc>
          <w:tcPr>
            <w:tcW w:w="783" w:type="dxa"/>
            <w:tcBorders>
              <w:top w:val="nil"/>
              <w:left w:val="nil"/>
              <w:bottom w:val="nil"/>
              <w:right w:val="nil"/>
            </w:tcBorders>
            <w:shd w:val="clear" w:color="auto" w:fill="auto"/>
            <w:noWrap/>
            <w:vAlign w:val="bottom"/>
            <w:hideMark/>
          </w:tcPr>
          <w:p w14:paraId="789A6125" w14:textId="77777777" w:rsidR="00DB4B18" w:rsidRPr="00DB4B18" w:rsidRDefault="00DB4B18" w:rsidP="00DB4B18">
            <w:pPr>
              <w:spacing w:after="0"/>
              <w:jc w:val="right"/>
              <w:rPr>
                <w:rFonts w:ascii="Times New Roman" w:hAnsi="Times New Roman"/>
                <w:color w:val="auto"/>
                <w:sz w:val="20"/>
              </w:rPr>
            </w:pPr>
          </w:p>
        </w:tc>
      </w:tr>
      <w:tr w:rsidR="00B810D4" w:rsidRPr="00DB4B18" w14:paraId="3ED05C4B" w14:textId="77777777" w:rsidTr="004A5DBA">
        <w:trPr>
          <w:trHeight w:val="225"/>
          <w:jc w:val="center"/>
        </w:trPr>
        <w:tc>
          <w:tcPr>
            <w:tcW w:w="3052" w:type="dxa"/>
            <w:tcBorders>
              <w:top w:val="nil"/>
              <w:left w:val="nil"/>
              <w:bottom w:val="nil"/>
              <w:right w:val="nil"/>
            </w:tcBorders>
            <w:shd w:val="clear" w:color="auto" w:fill="auto"/>
            <w:noWrap/>
            <w:vAlign w:val="bottom"/>
            <w:hideMark/>
          </w:tcPr>
          <w:p w14:paraId="396BA9BB" w14:textId="77777777" w:rsidR="00DB4B18" w:rsidRPr="00DB4B18" w:rsidRDefault="00DB4B18" w:rsidP="00DB4B18">
            <w:pPr>
              <w:spacing w:after="0"/>
              <w:ind w:firstLineChars="100" w:firstLine="160"/>
              <w:rPr>
                <w:rFonts w:ascii="Arial" w:hAnsi="Arial" w:cs="Arial"/>
                <w:b/>
                <w:bCs/>
                <w:sz w:val="16"/>
                <w:szCs w:val="16"/>
              </w:rPr>
            </w:pPr>
            <w:r w:rsidRPr="00DB4B18">
              <w:rPr>
                <w:rFonts w:ascii="Arial" w:hAnsi="Arial" w:cs="Arial"/>
                <w:b/>
                <w:bCs/>
                <w:sz w:val="16"/>
                <w:szCs w:val="16"/>
              </w:rPr>
              <w:t>Financial assets</w:t>
            </w:r>
          </w:p>
        </w:tc>
        <w:tc>
          <w:tcPr>
            <w:tcW w:w="918" w:type="dxa"/>
            <w:tcBorders>
              <w:top w:val="nil"/>
              <w:left w:val="nil"/>
              <w:bottom w:val="nil"/>
              <w:right w:val="nil"/>
            </w:tcBorders>
            <w:shd w:val="clear" w:color="auto" w:fill="auto"/>
            <w:noWrap/>
            <w:vAlign w:val="bottom"/>
            <w:hideMark/>
          </w:tcPr>
          <w:p w14:paraId="725B2C1E" w14:textId="77777777" w:rsidR="00DB4B18" w:rsidRPr="00DB4B18" w:rsidRDefault="00DB4B18" w:rsidP="00DB4B18">
            <w:pPr>
              <w:spacing w:after="0"/>
              <w:ind w:firstLineChars="100" w:firstLine="160"/>
              <w:rPr>
                <w:rFonts w:ascii="Arial" w:hAnsi="Arial" w:cs="Arial"/>
                <w:b/>
                <w:bCs/>
                <w:sz w:val="16"/>
                <w:szCs w:val="16"/>
              </w:rPr>
            </w:pPr>
          </w:p>
        </w:tc>
        <w:tc>
          <w:tcPr>
            <w:tcW w:w="879" w:type="dxa"/>
            <w:tcBorders>
              <w:top w:val="nil"/>
              <w:left w:val="nil"/>
              <w:bottom w:val="nil"/>
              <w:right w:val="nil"/>
            </w:tcBorders>
            <w:shd w:val="clear" w:color="auto" w:fill="D9D9D9" w:themeFill="background1" w:themeFillShade="D9"/>
            <w:noWrap/>
            <w:vAlign w:val="bottom"/>
            <w:hideMark/>
          </w:tcPr>
          <w:p w14:paraId="2EB87C27" w14:textId="77777777" w:rsidR="00DB4B18" w:rsidRPr="00DB4B18" w:rsidRDefault="00DB4B18" w:rsidP="00DB4B18">
            <w:pPr>
              <w:spacing w:after="0"/>
              <w:jc w:val="right"/>
              <w:rPr>
                <w:rFonts w:ascii="Arial" w:hAnsi="Arial" w:cs="Arial"/>
                <w:sz w:val="16"/>
                <w:szCs w:val="16"/>
              </w:rPr>
            </w:pPr>
            <w:r w:rsidRPr="00DB4B18">
              <w:rPr>
                <w:rFonts w:ascii="Arial" w:hAnsi="Arial" w:cs="Arial"/>
                <w:sz w:val="16"/>
                <w:szCs w:val="16"/>
              </w:rPr>
              <w:t> </w:t>
            </w:r>
          </w:p>
        </w:tc>
        <w:tc>
          <w:tcPr>
            <w:tcW w:w="879" w:type="dxa"/>
            <w:tcBorders>
              <w:top w:val="nil"/>
              <w:left w:val="nil"/>
              <w:bottom w:val="nil"/>
              <w:right w:val="nil"/>
            </w:tcBorders>
            <w:shd w:val="clear" w:color="auto" w:fill="auto"/>
            <w:noWrap/>
            <w:vAlign w:val="bottom"/>
            <w:hideMark/>
          </w:tcPr>
          <w:p w14:paraId="767FA461" w14:textId="77777777" w:rsidR="00DB4B18" w:rsidRPr="00DB4B18" w:rsidRDefault="00DB4B18" w:rsidP="00DB4B18">
            <w:pPr>
              <w:spacing w:after="0"/>
              <w:jc w:val="right"/>
              <w:rPr>
                <w:rFonts w:ascii="Arial" w:hAnsi="Arial" w:cs="Arial"/>
                <w:sz w:val="16"/>
                <w:szCs w:val="16"/>
              </w:rPr>
            </w:pPr>
          </w:p>
        </w:tc>
        <w:tc>
          <w:tcPr>
            <w:tcW w:w="879" w:type="dxa"/>
            <w:tcBorders>
              <w:top w:val="nil"/>
              <w:left w:val="nil"/>
              <w:bottom w:val="nil"/>
              <w:right w:val="nil"/>
            </w:tcBorders>
            <w:shd w:val="clear" w:color="auto" w:fill="auto"/>
            <w:noWrap/>
            <w:vAlign w:val="bottom"/>
            <w:hideMark/>
          </w:tcPr>
          <w:p w14:paraId="19D210A1" w14:textId="77777777" w:rsidR="00DB4B18" w:rsidRPr="00DB4B18" w:rsidRDefault="00DB4B18" w:rsidP="00DB4B18">
            <w:pPr>
              <w:spacing w:after="0"/>
              <w:jc w:val="right"/>
              <w:rPr>
                <w:rFonts w:ascii="Times New Roman" w:hAnsi="Times New Roman"/>
                <w:color w:val="auto"/>
                <w:sz w:val="20"/>
              </w:rPr>
            </w:pPr>
          </w:p>
        </w:tc>
        <w:tc>
          <w:tcPr>
            <w:tcW w:w="783" w:type="dxa"/>
            <w:tcBorders>
              <w:top w:val="nil"/>
              <w:left w:val="nil"/>
              <w:bottom w:val="nil"/>
              <w:right w:val="nil"/>
            </w:tcBorders>
            <w:shd w:val="clear" w:color="auto" w:fill="auto"/>
            <w:noWrap/>
            <w:vAlign w:val="bottom"/>
            <w:hideMark/>
          </w:tcPr>
          <w:p w14:paraId="2AD4BFD7" w14:textId="77777777" w:rsidR="00DB4B18" w:rsidRPr="00DB4B18" w:rsidRDefault="00DB4B18" w:rsidP="00DB4B18">
            <w:pPr>
              <w:spacing w:after="0"/>
              <w:jc w:val="right"/>
              <w:rPr>
                <w:rFonts w:ascii="Times New Roman" w:hAnsi="Times New Roman"/>
                <w:color w:val="auto"/>
                <w:sz w:val="20"/>
              </w:rPr>
            </w:pPr>
          </w:p>
        </w:tc>
      </w:tr>
      <w:tr w:rsidR="00B810D4" w:rsidRPr="00DB4B18" w14:paraId="18FB378F" w14:textId="77777777" w:rsidTr="004A5DBA">
        <w:trPr>
          <w:trHeight w:val="225"/>
          <w:jc w:val="center"/>
        </w:trPr>
        <w:tc>
          <w:tcPr>
            <w:tcW w:w="3052" w:type="dxa"/>
            <w:tcBorders>
              <w:top w:val="nil"/>
              <w:left w:val="nil"/>
              <w:bottom w:val="nil"/>
              <w:right w:val="nil"/>
            </w:tcBorders>
            <w:shd w:val="clear" w:color="auto" w:fill="auto"/>
            <w:noWrap/>
            <w:vAlign w:val="bottom"/>
            <w:hideMark/>
          </w:tcPr>
          <w:p w14:paraId="5A718422" w14:textId="77777777" w:rsidR="00DB4B18" w:rsidRPr="00DB4B18" w:rsidRDefault="00DB4B18" w:rsidP="00DB4B18">
            <w:pPr>
              <w:spacing w:after="0"/>
              <w:ind w:firstLineChars="200" w:firstLine="320"/>
              <w:rPr>
                <w:rFonts w:ascii="Arial" w:hAnsi="Arial" w:cs="Arial"/>
                <w:sz w:val="16"/>
                <w:szCs w:val="16"/>
              </w:rPr>
            </w:pPr>
            <w:r w:rsidRPr="00DB4B18">
              <w:rPr>
                <w:rFonts w:ascii="Arial" w:hAnsi="Arial" w:cs="Arial"/>
                <w:sz w:val="16"/>
                <w:szCs w:val="16"/>
              </w:rPr>
              <w:t>Cash and cash equivalents</w:t>
            </w:r>
          </w:p>
        </w:tc>
        <w:tc>
          <w:tcPr>
            <w:tcW w:w="918" w:type="dxa"/>
            <w:tcBorders>
              <w:top w:val="nil"/>
              <w:left w:val="nil"/>
              <w:bottom w:val="nil"/>
              <w:right w:val="nil"/>
            </w:tcBorders>
            <w:shd w:val="clear" w:color="auto" w:fill="auto"/>
            <w:noWrap/>
            <w:vAlign w:val="bottom"/>
            <w:hideMark/>
          </w:tcPr>
          <w:p w14:paraId="4FE6F2DA"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93,148</w:t>
            </w:r>
          </w:p>
        </w:tc>
        <w:tc>
          <w:tcPr>
            <w:tcW w:w="879" w:type="dxa"/>
            <w:tcBorders>
              <w:top w:val="nil"/>
              <w:left w:val="nil"/>
              <w:bottom w:val="nil"/>
              <w:right w:val="nil"/>
            </w:tcBorders>
            <w:shd w:val="clear" w:color="auto" w:fill="D9D9D9" w:themeFill="background1" w:themeFillShade="D9"/>
            <w:noWrap/>
            <w:vAlign w:val="bottom"/>
            <w:hideMark/>
          </w:tcPr>
          <w:p w14:paraId="69FF819D"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90,445</w:t>
            </w:r>
          </w:p>
        </w:tc>
        <w:tc>
          <w:tcPr>
            <w:tcW w:w="879" w:type="dxa"/>
            <w:tcBorders>
              <w:top w:val="nil"/>
              <w:left w:val="nil"/>
              <w:bottom w:val="nil"/>
              <w:right w:val="nil"/>
            </w:tcBorders>
            <w:shd w:val="clear" w:color="auto" w:fill="auto"/>
            <w:noWrap/>
            <w:vAlign w:val="bottom"/>
            <w:hideMark/>
          </w:tcPr>
          <w:p w14:paraId="0A1C5DDF"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90,538</w:t>
            </w:r>
          </w:p>
        </w:tc>
        <w:tc>
          <w:tcPr>
            <w:tcW w:w="879" w:type="dxa"/>
            <w:tcBorders>
              <w:top w:val="nil"/>
              <w:left w:val="nil"/>
              <w:bottom w:val="nil"/>
              <w:right w:val="nil"/>
            </w:tcBorders>
            <w:shd w:val="clear" w:color="auto" w:fill="auto"/>
            <w:noWrap/>
            <w:vAlign w:val="bottom"/>
            <w:hideMark/>
          </w:tcPr>
          <w:p w14:paraId="7D49F4D2"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91,438</w:t>
            </w:r>
          </w:p>
        </w:tc>
        <w:tc>
          <w:tcPr>
            <w:tcW w:w="783" w:type="dxa"/>
            <w:tcBorders>
              <w:top w:val="nil"/>
              <w:left w:val="nil"/>
              <w:bottom w:val="nil"/>
              <w:right w:val="nil"/>
            </w:tcBorders>
            <w:shd w:val="clear" w:color="auto" w:fill="auto"/>
            <w:noWrap/>
            <w:vAlign w:val="bottom"/>
            <w:hideMark/>
          </w:tcPr>
          <w:p w14:paraId="19422111"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90,638</w:t>
            </w:r>
          </w:p>
        </w:tc>
      </w:tr>
      <w:tr w:rsidR="00B810D4" w:rsidRPr="00DB4B18" w14:paraId="173A98B5" w14:textId="77777777" w:rsidTr="004A5DBA">
        <w:trPr>
          <w:trHeight w:val="225"/>
          <w:jc w:val="center"/>
        </w:trPr>
        <w:tc>
          <w:tcPr>
            <w:tcW w:w="3052" w:type="dxa"/>
            <w:tcBorders>
              <w:top w:val="nil"/>
              <w:left w:val="nil"/>
              <w:bottom w:val="nil"/>
              <w:right w:val="nil"/>
            </w:tcBorders>
            <w:shd w:val="clear" w:color="auto" w:fill="auto"/>
            <w:noWrap/>
            <w:vAlign w:val="bottom"/>
            <w:hideMark/>
          </w:tcPr>
          <w:p w14:paraId="788F2D21" w14:textId="77777777" w:rsidR="00DB4B18" w:rsidRPr="00DB4B18" w:rsidRDefault="00DB4B18" w:rsidP="00DB4B18">
            <w:pPr>
              <w:spacing w:after="0"/>
              <w:ind w:firstLineChars="200" w:firstLine="320"/>
              <w:rPr>
                <w:rFonts w:ascii="Arial" w:hAnsi="Arial" w:cs="Arial"/>
                <w:sz w:val="16"/>
                <w:szCs w:val="16"/>
              </w:rPr>
            </w:pPr>
            <w:r w:rsidRPr="00DB4B18">
              <w:rPr>
                <w:rFonts w:ascii="Arial" w:hAnsi="Arial" w:cs="Arial"/>
                <w:sz w:val="16"/>
                <w:szCs w:val="16"/>
              </w:rPr>
              <w:t>Trade and other receivables</w:t>
            </w:r>
          </w:p>
        </w:tc>
        <w:tc>
          <w:tcPr>
            <w:tcW w:w="918" w:type="dxa"/>
            <w:tcBorders>
              <w:top w:val="nil"/>
              <w:left w:val="nil"/>
              <w:bottom w:val="nil"/>
              <w:right w:val="nil"/>
            </w:tcBorders>
            <w:shd w:val="clear" w:color="auto" w:fill="auto"/>
            <w:noWrap/>
            <w:vAlign w:val="bottom"/>
            <w:hideMark/>
          </w:tcPr>
          <w:p w14:paraId="27C3566E"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16,788</w:t>
            </w:r>
          </w:p>
        </w:tc>
        <w:tc>
          <w:tcPr>
            <w:tcW w:w="879" w:type="dxa"/>
            <w:tcBorders>
              <w:top w:val="nil"/>
              <w:left w:val="nil"/>
              <w:bottom w:val="nil"/>
              <w:right w:val="nil"/>
            </w:tcBorders>
            <w:shd w:val="clear" w:color="auto" w:fill="D9D9D9" w:themeFill="background1" w:themeFillShade="D9"/>
            <w:noWrap/>
            <w:vAlign w:val="bottom"/>
            <w:hideMark/>
          </w:tcPr>
          <w:p w14:paraId="0BD79527"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16,788</w:t>
            </w:r>
          </w:p>
        </w:tc>
        <w:tc>
          <w:tcPr>
            <w:tcW w:w="879" w:type="dxa"/>
            <w:tcBorders>
              <w:top w:val="nil"/>
              <w:left w:val="nil"/>
              <w:bottom w:val="nil"/>
              <w:right w:val="nil"/>
            </w:tcBorders>
            <w:shd w:val="clear" w:color="auto" w:fill="auto"/>
            <w:noWrap/>
            <w:vAlign w:val="bottom"/>
            <w:hideMark/>
          </w:tcPr>
          <w:p w14:paraId="6881AED1"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16,788</w:t>
            </w:r>
          </w:p>
        </w:tc>
        <w:tc>
          <w:tcPr>
            <w:tcW w:w="879" w:type="dxa"/>
            <w:tcBorders>
              <w:top w:val="nil"/>
              <w:left w:val="nil"/>
              <w:bottom w:val="nil"/>
              <w:right w:val="nil"/>
            </w:tcBorders>
            <w:shd w:val="clear" w:color="auto" w:fill="auto"/>
            <w:noWrap/>
            <w:vAlign w:val="bottom"/>
            <w:hideMark/>
          </w:tcPr>
          <w:p w14:paraId="521C63DD"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16,788</w:t>
            </w:r>
          </w:p>
        </w:tc>
        <w:tc>
          <w:tcPr>
            <w:tcW w:w="783" w:type="dxa"/>
            <w:tcBorders>
              <w:top w:val="nil"/>
              <w:left w:val="nil"/>
              <w:bottom w:val="nil"/>
              <w:right w:val="nil"/>
            </w:tcBorders>
            <w:shd w:val="clear" w:color="auto" w:fill="auto"/>
            <w:noWrap/>
            <w:vAlign w:val="bottom"/>
            <w:hideMark/>
          </w:tcPr>
          <w:p w14:paraId="262FEA41"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16,788</w:t>
            </w:r>
          </w:p>
        </w:tc>
      </w:tr>
      <w:tr w:rsidR="00B810D4" w:rsidRPr="00DB4B18" w14:paraId="367CCEB1" w14:textId="77777777" w:rsidTr="004A5DBA">
        <w:trPr>
          <w:trHeight w:val="225"/>
          <w:jc w:val="center"/>
        </w:trPr>
        <w:tc>
          <w:tcPr>
            <w:tcW w:w="3052" w:type="dxa"/>
            <w:tcBorders>
              <w:top w:val="nil"/>
              <w:left w:val="nil"/>
              <w:bottom w:val="nil"/>
              <w:right w:val="nil"/>
            </w:tcBorders>
            <w:shd w:val="clear" w:color="auto" w:fill="auto"/>
            <w:noWrap/>
            <w:vAlign w:val="bottom"/>
            <w:hideMark/>
          </w:tcPr>
          <w:p w14:paraId="3E010A1B" w14:textId="77777777" w:rsidR="00DB4B18" w:rsidRPr="00DB4B18" w:rsidRDefault="00DB4B18" w:rsidP="00DB4B18">
            <w:pPr>
              <w:spacing w:after="0"/>
              <w:ind w:firstLineChars="200" w:firstLine="320"/>
              <w:rPr>
                <w:rFonts w:ascii="Arial" w:hAnsi="Arial" w:cs="Arial"/>
                <w:b/>
                <w:bCs/>
                <w:sz w:val="16"/>
                <w:szCs w:val="16"/>
              </w:rPr>
            </w:pPr>
            <w:r w:rsidRPr="00DB4B18">
              <w:rPr>
                <w:rFonts w:ascii="Arial" w:hAnsi="Arial" w:cs="Arial"/>
                <w:b/>
                <w:bCs/>
                <w:sz w:val="16"/>
                <w:szCs w:val="16"/>
              </w:rPr>
              <w:t>Total financial assets</w:t>
            </w:r>
          </w:p>
        </w:tc>
        <w:tc>
          <w:tcPr>
            <w:tcW w:w="918" w:type="dxa"/>
            <w:tcBorders>
              <w:top w:val="nil"/>
              <w:left w:val="nil"/>
              <w:bottom w:val="single" w:sz="4" w:space="0" w:color="auto"/>
              <w:right w:val="nil"/>
            </w:tcBorders>
            <w:shd w:val="clear" w:color="auto" w:fill="auto"/>
            <w:noWrap/>
            <w:vAlign w:val="bottom"/>
            <w:hideMark/>
          </w:tcPr>
          <w:p w14:paraId="48ED8A0C" w14:textId="77777777" w:rsidR="00DB4B18" w:rsidRPr="00DB4B18" w:rsidRDefault="00DB4B18" w:rsidP="00DB4B18">
            <w:pPr>
              <w:spacing w:after="0"/>
              <w:jc w:val="right"/>
              <w:rPr>
                <w:rFonts w:ascii="Arial" w:hAnsi="Arial" w:cs="Arial"/>
                <w:b/>
                <w:bCs/>
                <w:color w:val="auto"/>
                <w:sz w:val="16"/>
                <w:szCs w:val="16"/>
              </w:rPr>
            </w:pPr>
            <w:r w:rsidRPr="00DB4B18">
              <w:rPr>
                <w:rFonts w:ascii="Arial" w:hAnsi="Arial" w:cs="Arial"/>
                <w:b/>
                <w:bCs/>
                <w:color w:val="auto"/>
                <w:sz w:val="16"/>
                <w:szCs w:val="16"/>
              </w:rPr>
              <w:t>109,936</w:t>
            </w:r>
          </w:p>
        </w:tc>
        <w:tc>
          <w:tcPr>
            <w:tcW w:w="879" w:type="dxa"/>
            <w:tcBorders>
              <w:top w:val="nil"/>
              <w:left w:val="nil"/>
              <w:bottom w:val="single" w:sz="4" w:space="0" w:color="auto"/>
              <w:right w:val="nil"/>
            </w:tcBorders>
            <w:shd w:val="clear" w:color="auto" w:fill="D9D9D9" w:themeFill="background1" w:themeFillShade="D9"/>
            <w:noWrap/>
            <w:vAlign w:val="bottom"/>
            <w:hideMark/>
          </w:tcPr>
          <w:p w14:paraId="5BD5B8D6" w14:textId="77777777" w:rsidR="00DB4B18" w:rsidRPr="00DB4B18" w:rsidRDefault="00DB4B18" w:rsidP="00DB4B18">
            <w:pPr>
              <w:spacing w:after="0"/>
              <w:jc w:val="right"/>
              <w:rPr>
                <w:rFonts w:ascii="Arial" w:hAnsi="Arial" w:cs="Arial"/>
                <w:b/>
                <w:bCs/>
                <w:color w:val="auto"/>
                <w:sz w:val="16"/>
                <w:szCs w:val="16"/>
              </w:rPr>
            </w:pPr>
            <w:r w:rsidRPr="00DB4B18">
              <w:rPr>
                <w:rFonts w:ascii="Arial" w:hAnsi="Arial" w:cs="Arial"/>
                <w:b/>
                <w:bCs/>
                <w:color w:val="auto"/>
                <w:sz w:val="16"/>
                <w:szCs w:val="16"/>
              </w:rPr>
              <w:t>107,233</w:t>
            </w:r>
          </w:p>
        </w:tc>
        <w:tc>
          <w:tcPr>
            <w:tcW w:w="879" w:type="dxa"/>
            <w:tcBorders>
              <w:top w:val="nil"/>
              <w:left w:val="nil"/>
              <w:bottom w:val="single" w:sz="4" w:space="0" w:color="auto"/>
              <w:right w:val="nil"/>
            </w:tcBorders>
            <w:shd w:val="clear" w:color="auto" w:fill="auto"/>
            <w:noWrap/>
            <w:vAlign w:val="bottom"/>
            <w:hideMark/>
          </w:tcPr>
          <w:p w14:paraId="3120D8B6" w14:textId="77777777" w:rsidR="00DB4B18" w:rsidRPr="00DB4B18" w:rsidRDefault="00DB4B18" w:rsidP="00DB4B18">
            <w:pPr>
              <w:spacing w:after="0"/>
              <w:jc w:val="right"/>
              <w:rPr>
                <w:rFonts w:ascii="Arial" w:hAnsi="Arial" w:cs="Arial"/>
                <w:b/>
                <w:bCs/>
                <w:color w:val="auto"/>
                <w:sz w:val="16"/>
                <w:szCs w:val="16"/>
              </w:rPr>
            </w:pPr>
            <w:r w:rsidRPr="00DB4B18">
              <w:rPr>
                <w:rFonts w:ascii="Arial" w:hAnsi="Arial" w:cs="Arial"/>
                <w:b/>
                <w:bCs/>
                <w:color w:val="auto"/>
                <w:sz w:val="16"/>
                <w:szCs w:val="16"/>
              </w:rPr>
              <w:t>107,326</w:t>
            </w:r>
          </w:p>
        </w:tc>
        <w:tc>
          <w:tcPr>
            <w:tcW w:w="879" w:type="dxa"/>
            <w:tcBorders>
              <w:top w:val="nil"/>
              <w:left w:val="nil"/>
              <w:bottom w:val="single" w:sz="4" w:space="0" w:color="auto"/>
              <w:right w:val="nil"/>
            </w:tcBorders>
            <w:shd w:val="clear" w:color="auto" w:fill="auto"/>
            <w:noWrap/>
            <w:vAlign w:val="bottom"/>
            <w:hideMark/>
          </w:tcPr>
          <w:p w14:paraId="54269854" w14:textId="77777777" w:rsidR="00DB4B18" w:rsidRPr="00DB4B18" w:rsidRDefault="00DB4B18" w:rsidP="00DB4B18">
            <w:pPr>
              <w:spacing w:after="0"/>
              <w:jc w:val="right"/>
              <w:rPr>
                <w:rFonts w:ascii="Arial" w:hAnsi="Arial" w:cs="Arial"/>
                <w:b/>
                <w:bCs/>
                <w:color w:val="auto"/>
                <w:sz w:val="16"/>
                <w:szCs w:val="16"/>
              </w:rPr>
            </w:pPr>
            <w:r w:rsidRPr="00DB4B18">
              <w:rPr>
                <w:rFonts w:ascii="Arial" w:hAnsi="Arial" w:cs="Arial"/>
                <w:b/>
                <w:bCs/>
                <w:color w:val="auto"/>
                <w:sz w:val="16"/>
                <w:szCs w:val="16"/>
              </w:rPr>
              <w:t>108,226</w:t>
            </w:r>
          </w:p>
        </w:tc>
        <w:tc>
          <w:tcPr>
            <w:tcW w:w="783" w:type="dxa"/>
            <w:tcBorders>
              <w:top w:val="nil"/>
              <w:left w:val="nil"/>
              <w:bottom w:val="single" w:sz="4" w:space="0" w:color="auto"/>
              <w:right w:val="nil"/>
            </w:tcBorders>
            <w:shd w:val="clear" w:color="auto" w:fill="auto"/>
            <w:noWrap/>
            <w:tcMar>
              <w:left w:w="0" w:type="dxa"/>
              <w:right w:w="0" w:type="dxa"/>
            </w:tcMar>
            <w:vAlign w:val="bottom"/>
            <w:hideMark/>
          </w:tcPr>
          <w:p w14:paraId="67AEC307" w14:textId="77777777" w:rsidR="00DB4B18" w:rsidRPr="00DB4B18" w:rsidRDefault="00DB4B18" w:rsidP="00DB4B18">
            <w:pPr>
              <w:spacing w:after="0"/>
              <w:jc w:val="right"/>
              <w:rPr>
                <w:rFonts w:ascii="Arial" w:hAnsi="Arial" w:cs="Arial"/>
                <w:b/>
                <w:bCs/>
                <w:color w:val="auto"/>
                <w:sz w:val="16"/>
                <w:szCs w:val="16"/>
              </w:rPr>
            </w:pPr>
            <w:r w:rsidRPr="00DB4B18">
              <w:rPr>
                <w:rFonts w:ascii="Arial" w:hAnsi="Arial" w:cs="Arial"/>
                <w:b/>
                <w:bCs/>
                <w:color w:val="auto"/>
                <w:sz w:val="16"/>
                <w:szCs w:val="16"/>
              </w:rPr>
              <w:t>107,426</w:t>
            </w:r>
          </w:p>
        </w:tc>
      </w:tr>
      <w:tr w:rsidR="00B810D4" w:rsidRPr="00DB4B18" w14:paraId="720E4DE2" w14:textId="77777777" w:rsidTr="004A5DBA">
        <w:trPr>
          <w:trHeight w:val="283"/>
          <w:jc w:val="center"/>
        </w:trPr>
        <w:tc>
          <w:tcPr>
            <w:tcW w:w="3052" w:type="dxa"/>
            <w:tcBorders>
              <w:top w:val="nil"/>
              <w:left w:val="nil"/>
              <w:bottom w:val="nil"/>
              <w:right w:val="nil"/>
            </w:tcBorders>
            <w:shd w:val="clear" w:color="auto" w:fill="auto"/>
            <w:noWrap/>
            <w:vAlign w:val="bottom"/>
            <w:hideMark/>
          </w:tcPr>
          <w:p w14:paraId="6D122C66" w14:textId="77777777" w:rsidR="00DB4B18" w:rsidRPr="00DB4B18" w:rsidRDefault="00DB4B18" w:rsidP="00DB4B18">
            <w:pPr>
              <w:spacing w:after="0"/>
              <w:ind w:firstLineChars="100" w:firstLine="160"/>
              <w:rPr>
                <w:rFonts w:ascii="Arial" w:hAnsi="Arial" w:cs="Arial"/>
                <w:b/>
                <w:bCs/>
                <w:sz w:val="16"/>
                <w:szCs w:val="16"/>
              </w:rPr>
            </w:pPr>
            <w:r w:rsidRPr="00DB4B18">
              <w:rPr>
                <w:rFonts w:ascii="Arial" w:hAnsi="Arial" w:cs="Arial"/>
                <w:b/>
                <w:bCs/>
                <w:sz w:val="16"/>
                <w:szCs w:val="16"/>
              </w:rPr>
              <w:t>Non-financial assets</w:t>
            </w:r>
          </w:p>
        </w:tc>
        <w:tc>
          <w:tcPr>
            <w:tcW w:w="918" w:type="dxa"/>
            <w:tcBorders>
              <w:top w:val="nil"/>
              <w:left w:val="nil"/>
              <w:bottom w:val="nil"/>
              <w:right w:val="nil"/>
            </w:tcBorders>
            <w:shd w:val="clear" w:color="auto" w:fill="auto"/>
            <w:noWrap/>
            <w:vAlign w:val="bottom"/>
            <w:hideMark/>
          </w:tcPr>
          <w:p w14:paraId="6D3E258F" w14:textId="77777777" w:rsidR="00DB4B18" w:rsidRPr="00DB4B18" w:rsidRDefault="00DB4B18" w:rsidP="00DB4B18">
            <w:pPr>
              <w:spacing w:after="0"/>
              <w:ind w:firstLineChars="100" w:firstLine="160"/>
              <w:rPr>
                <w:rFonts w:ascii="Arial" w:hAnsi="Arial" w:cs="Arial"/>
                <w:b/>
                <w:bCs/>
                <w:sz w:val="16"/>
                <w:szCs w:val="16"/>
              </w:rPr>
            </w:pPr>
          </w:p>
        </w:tc>
        <w:tc>
          <w:tcPr>
            <w:tcW w:w="879" w:type="dxa"/>
            <w:tcBorders>
              <w:top w:val="nil"/>
              <w:left w:val="nil"/>
              <w:bottom w:val="nil"/>
              <w:right w:val="nil"/>
            </w:tcBorders>
            <w:shd w:val="clear" w:color="auto" w:fill="D9D9D9" w:themeFill="background1" w:themeFillShade="D9"/>
            <w:noWrap/>
            <w:vAlign w:val="bottom"/>
            <w:hideMark/>
          </w:tcPr>
          <w:p w14:paraId="0433DD5B" w14:textId="77777777" w:rsidR="00DB4B18" w:rsidRPr="00DB4B18" w:rsidRDefault="00DB4B18" w:rsidP="00DB4B18">
            <w:pPr>
              <w:spacing w:after="0"/>
              <w:jc w:val="right"/>
              <w:rPr>
                <w:rFonts w:ascii="Arial" w:hAnsi="Arial" w:cs="Arial"/>
                <w:color w:val="31869B"/>
                <w:sz w:val="16"/>
                <w:szCs w:val="16"/>
              </w:rPr>
            </w:pPr>
            <w:r w:rsidRPr="00DB4B18">
              <w:rPr>
                <w:rFonts w:ascii="Arial" w:hAnsi="Arial" w:cs="Arial"/>
                <w:color w:val="31869B"/>
                <w:sz w:val="16"/>
                <w:szCs w:val="16"/>
              </w:rPr>
              <w:t> </w:t>
            </w:r>
          </w:p>
        </w:tc>
        <w:tc>
          <w:tcPr>
            <w:tcW w:w="879" w:type="dxa"/>
            <w:tcBorders>
              <w:top w:val="nil"/>
              <w:left w:val="nil"/>
              <w:bottom w:val="nil"/>
              <w:right w:val="nil"/>
            </w:tcBorders>
            <w:shd w:val="clear" w:color="auto" w:fill="auto"/>
            <w:noWrap/>
            <w:vAlign w:val="bottom"/>
            <w:hideMark/>
          </w:tcPr>
          <w:p w14:paraId="54BFB005" w14:textId="77777777" w:rsidR="00DB4B18" w:rsidRPr="00DB4B18" w:rsidRDefault="00DB4B18" w:rsidP="00DB4B18">
            <w:pPr>
              <w:spacing w:after="0"/>
              <w:jc w:val="right"/>
              <w:rPr>
                <w:rFonts w:ascii="Arial" w:hAnsi="Arial" w:cs="Arial"/>
                <w:color w:val="31869B"/>
                <w:sz w:val="16"/>
                <w:szCs w:val="16"/>
              </w:rPr>
            </w:pPr>
          </w:p>
        </w:tc>
        <w:tc>
          <w:tcPr>
            <w:tcW w:w="879" w:type="dxa"/>
            <w:tcBorders>
              <w:top w:val="nil"/>
              <w:left w:val="nil"/>
              <w:bottom w:val="nil"/>
              <w:right w:val="nil"/>
            </w:tcBorders>
            <w:shd w:val="clear" w:color="auto" w:fill="auto"/>
            <w:noWrap/>
            <w:vAlign w:val="bottom"/>
            <w:hideMark/>
          </w:tcPr>
          <w:p w14:paraId="58D07FFD" w14:textId="77777777" w:rsidR="00DB4B18" w:rsidRPr="00DB4B18" w:rsidRDefault="00DB4B18" w:rsidP="00DB4B18">
            <w:pPr>
              <w:spacing w:after="0"/>
              <w:jc w:val="right"/>
              <w:rPr>
                <w:rFonts w:ascii="Times New Roman" w:hAnsi="Times New Roman"/>
                <w:color w:val="auto"/>
                <w:sz w:val="20"/>
              </w:rPr>
            </w:pPr>
          </w:p>
        </w:tc>
        <w:tc>
          <w:tcPr>
            <w:tcW w:w="783" w:type="dxa"/>
            <w:tcBorders>
              <w:top w:val="nil"/>
              <w:left w:val="nil"/>
              <w:bottom w:val="nil"/>
              <w:right w:val="nil"/>
            </w:tcBorders>
            <w:shd w:val="clear" w:color="auto" w:fill="auto"/>
            <w:noWrap/>
            <w:vAlign w:val="bottom"/>
            <w:hideMark/>
          </w:tcPr>
          <w:p w14:paraId="51CAF463" w14:textId="77777777" w:rsidR="00DB4B18" w:rsidRPr="00DB4B18" w:rsidRDefault="00DB4B18" w:rsidP="00DB4B18">
            <w:pPr>
              <w:spacing w:after="0"/>
              <w:jc w:val="right"/>
              <w:rPr>
                <w:rFonts w:ascii="Times New Roman" w:hAnsi="Times New Roman"/>
                <w:color w:val="auto"/>
                <w:sz w:val="20"/>
              </w:rPr>
            </w:pPr>
          </w:p>
        </w:tc>
      </w:tr>
      <w:tr w:rsidR="00B810D4" w:rsidRPr="00DB4B18" w14:paraId="19688F96" w14:textId="77777777" w:rsidTr="004A5DBA">
        <w:trPr>
          <w:trHeight w:val="225"/>
          <w:jc w:val="center"/>
        </w:trPr>
        <w:tc>
          <w:tcPr>
            <w:tcW w:w="3052" w:type="dxa"/>
            <w:tcBorders>
              <w:top w:val="nil"/>
              <w:left w:val="nil"/>
              <w:bottom w:val="nil"/>
              <w:right w:val="nil"/>
            </w:tcBorders>
            <w:shd w:val="clear" w:color="auto" w:fill="auto"/>
            <w:noWrap/>
            <w:vAlign w:val="bottom"/>
            <w:hideMark/>
          </w:tcPr>
          <w:p w14:paraId="29CEC1BA" w14:textId="77777777" w:rsidR="00DB4B18" w:rsidRPr="00DB4B18" w:rsidRDefault="00DB4B18" w:rsidP="00DB4B18">
            <w:pPr>
              <w:spacing w:after="0"/>
              <w:ind w:firstLineChars="200" w:firstLine="320"/>
              <w:rPr>
                <w:rFonts w:ascii="Arial" w:hAnsi="Arial" w:cs="Arial"/>
                <w:sz w:val="16"/>
                <w:szCs w:val="16"/>
              </w:rPr>
            </w:pPr>
            <w:r w:rsidRPr="00DB4B18">
              <w:rPr>
                <w:rFonts w:ascii="Arial" w:hAnsi="Arial" w:cs="Arial"/>
                <w:sz w:val="16"/>
                <w:szCs w:val="16"/>
              </w:rPr>
              <w:t>Land and buildings</w:t>
            </w:r>
          </w:p>
        </w:tc>
        <w:tc>
          <w:tcPr>
            <w:tcW w:w="918" w:type="dxa"/>
            <w:tcBorders>
              <w:top w:val="nil"/>
              <w:left w:val="nil"/>
              <w:bottom w:val="nil"/>
              <w:right w:val="nil"/>
            </w:tcBorders>
            <w:shd w:val="clear" w:color="auto" w:fill="auto"/>
            <w:noWrap/>
            <w:vAlign w:val="bottom"/>
            <w:hideMark/>
          </w:tcPr>
          <w:p w14:paraId="7BEAC253"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34,830</w:t>
            </w:r>
          </w:p>
        </w:tc>
        <w:tc>
          <w:tcPr>
            <w:tcW w:w="879" w:type="dxa"/>
            <w:tcBorders>
              <w:top w:val="nil"/>
              <w:left w:val="nil"/>
              <w:bottom w:val="nil"/>
              <w:right w:val="nil"/>
            </w:tcBorders>
            <w:shd w:val="clear" w:color="auto" w:fill="D9D9D9" w:themeFill="background1" w:themeFillShade="D9"/>
            <w:noWrap/>
            <w:vAlign w:val="bottom"/>
            <w:hideMark/>
          </w:tcPr>
          <w:p w14:paraId="782DEE79"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31,157</w:t>
            </w:r>
          </w:p>
        </w:tc>
        <w:tc>
          <w:tcPr>
            <w:tcW w:w="879" w:type="dxa"/>
            <w:tcBorders>
              <w:top w:val="nil"/>
              <w:left w:val="nil"/>
              <w:bottom w:val="nil"/>
              <w:right w:val="nil"/>
            </w:tcBorders>
            <w:shd w:val="clear" w:color="auto" w:fill="auto"/>
            <w:noWrap/>
            <w:vAlign w:val="bottom"/>
            <w:hideMark/>
          </w:tcPr>
          <w:p w14:paraId="15228FC5"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27,371</w:t>
            </w:r>
          </w:p>
        </w:tc>
        <w:tc>
          <w:tcPr>
            <w:tcW w:w="879" w:type="dxa"/>
            <w:tcBorders>
              <w:top w:val="nil"/>
              <w:left w:val="nil"/>
              <w:bottom w:val="nil"/>
              <w:right w:val="nil"/>
            </w:tcBorders>
            <w:shd w:val="clear" w:color="auto" w:fill="auto"/>
            <w:noWrap/>
            <w:vAlign w:val="bottom"/>
            <w:hideMark/>
          </w:tcPr>
          <w:p w14:paraId="69F23D20"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23,369</w:t>
            </w:r>
          </w:p>
        </w:tc>
        <w:tc>
          <w:tcPr>
            <w:tcW w:w="783" w:type="dxa"/>
            <w:tcBorders>
              <w:top w:val="nil"/>
              <w:left w:val="nil"/>
              <w:bottom w:val="nil"/>
              <w:right w:val="nil"/>
            </w:tcBorders>
            <w:shd w:val="clear" w:color="auto" w:fill="auto"/>
            <w:noWrap/>
            <w:vAlign w:val="bottom"/>
            <w:hideMark/>
          </w:tcPr>
          <w:p w14:paraId="0D1FD62F"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18,913</w:t>
            </w:r>
          </w:p>
        </w:tc>
      </w:tr>
      <w:tr w:rsidR="00B810D4" w:rsidRPr="00DB4B18" w14:paraId="04B8B6A1" w14:textId="77777777" w:rsidTr="004A5DBA">
        <w:trPr>
          <w:trHeight w:val="225"/>
          <w:jc w:val="center"/>
        </w:trPr>
        <w:tc>
          <w:tcPr>
            <w:tcW w:w="3052" w:type="dxa"/>
            <w:tcBorders>
              <w:top w:val="nil"/>
              <w:left w:val="nil"/>
              <w:bottom w:val="nil"/>
              <w:right w:val="nil"/>
            </w:tcBorders>
            <w:shd w:val="clear" w:color="auto" w:fill="auto"/>
            <w:noWrap/>
            <w:vAlign w:val="bottom"/>
            <w:hideMark/>
          </w:tcPr>
          <w:p w14:paraId="5B591E0B" w14:textId="77777777" w:rsidR="00DB4B18" w:rsidRPr="00DB4B18" w:rsidRDefault="00DB4B18" w:rsidP="00DB4B18">
            <w:pPr>
              <w:spacing w:after="0"/>
              <w:ind w:firstLineChars="200" w:firstLine="320"/>
              <w:rPr>
                <w:rFonts w:ascii="Arial" w:hAnsi="Arial" w:cs="Arial"/>
                <w:sz w:val="16"/>
                <w:szCs w:val="16"/>
              </w:rPr>
            </w:pPr>
            <w:r w:rsidRPr="00DB4B18">
              <w:rPr>
                <w:rFonts w:ascii="Arial" w:hAnsi="Arial" w:cs="Arial"/>
                <w:sz w:val="16"/>
                <w:szCs w:val="16"/>
              </w:rPr>
              <w:t>Property, plant and equipment</w:t>
            </w:r>
          </w:p>
        </w:tc>
        <w:tc>
          <w:tcPr>
            <w:tcW w:w="918" w:type="dxa"/>
            <w:tcBorders>
              <w:top w:val="nil"/>
              <w:left w:val="nil"/>
              <w:bottom w:val="nil"/>
              <w:right w:val="nil"/>
            </w:tcBorders>
            <w:shd w:val="clear" w:color="auto" w:fill="auto"/>
            <w:noWrap/>
            <w:vAlign w:val="bottom"/>
            <w:hideMark/>
          </w:tcPr>
          <w:p w14:paraId="04E280D0"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4,206</w:t>
            </w:r>
          </w:p>
        </w:tc>
        <w:tc>
          <w:tcPr>
            <w:tcW w:w="879" w:type="dxa"/>
            <w:tcBorders>
              <w:top w:val="nil"/>
              <w:left w:val="nil"/>
              <w:bottom w:val="nil"/>
              <w:right w:val="nil"/>
            </w:tcBorders>
            <w:shd w:val="clear" w:color="auto" w:fill="D9D9D9" w:themeFill="background1" w:themeFillShade="D9"/>
            <w:noWrap/>
            <w:vAlign w:val="bottom"/>
            <w:hideMark/>
          </w:tcPr>
          <w:p w14:paraId="007465DC"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4,984</w:t>
            </w:r>
          </w:p>
        </w:tc>
        <w:tc>
          <w:tcPr>
            <w:tcW w:w="879" w:type="dxa"/>
            <w:tcBorders>
              <w:top w:val="nil"/>
              <w:left w:val="nil"/>
              <w:bottom w:val="nil"/>
              <w:right w:val="nil"/>
            </w:tcBorders>
            <w:shd w:val="clear" w:color="auto" w:fill="auto"/>
            <w:noWrap/>
            <w:vAlign w:val="bottom"/>
            <w:hideMark/>
          </w:tcPr>
          <w:p w14:paraId="0C74688A"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4,984</w:t>
            </w:r>
          </w:p>
        </w:tc>
        <w:tc>
          <w:tcPr>
            <w:tcW w:w="879" w:type="dxa"/>
            <w:tcBorders>
              <w:top w:val="nil"/>
              <w:left w:val="nil"/>
              <w:bottom w:val="nil"/>
              <w:right w:val="nil"/>
            </w:tcBorders>
            <w:shd w:val="clear" w:color="auto" w:fill="auto"/>
            <w:noWrap/>
            <w:vAlign w:val="bottom"/>
            <w:hideMark/>
          </w:tcPr>
          <w:p w14:paraId="68DB31C6"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4,984</w:t>
            </w:r>
          </w:p>
        </w:tc>
        <w:tc>
          <w:tcPr>
            <w:tcW w:w="783" w:type="dxa"/>
            <w:tcBorders>
              <w:top w:val="nil"/>
              <w:left w:val="nil"/>
              <w:bottom w:val="nil"/>
              <w:right w:val="nil"/>
            </w:tcBorders>
            <w:shd w:val="clear" w:color="auto" w:fill="auto"/>
            <w:noWrap/>
            <w:vAlign w:val="bottom"/>
            <w:hideMark/>
          </w:tcPr>
          <w:p w14:paraId="3C1174C0"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4,984</w:t>
            </w:r>
          </w:p>
        </w:tc>
      </w:tr>
      <w:tr w:rsidR="00B810D4" w:rsidRPr="00DB4B18" w14:paraId="025BF61A" w14:textId="77777777" w:rsidTr="004A5DBA">
        <w:trPr>
          <w:trHeight w:val="225"/>
          <w:jc w:val="center"/>
        </w:trPr>
        <w:tc>
          <w:tcPr>
            <w:tcW w:w="3052" w:type="dxa"/>
            <w:tcBorders>
              <w:top w:val="nil"/>
              <w:left w:val="nil"/>
              <w:bottom w:val="nil"/>
              <w:right w:val="nil"/>
            </w:tcBorders>
            <w:shd w:val="clear" w:color="auto" w:fill="auto"/>
            <w:noWrap/>
            <w:vAlign w:val="bottom"/>
            <w:hideMark/>
          </w:tcPr>
          <w:p w14:paraId="3D42FFE7" w14:textId="77777777" w:rsidR="00DB4B18" w:rsidRPr="00DB4B18" w:rsidRDefault="00DB4B18" w:rsidP="00DB4B18">
            <w:pPr>
              <w:spacing w:after="0"/>
              <w:ind w:firstLineChars="200" w:firstLine="320"/>
              <w:rPr>
                <w:rFonts w:ascii="Arial" w:hAnsi="Arial" w:cs="Arial"/>
                <w:sz w:val="16"/>
                <w:szCs w:val="16"/>
              </w:rPr>
            </w:pPr>
            <w:r w:rsidRPr="00DB4B18">
              <w:rPr>
                <w:rFonts w:ascii="Arial" w:hAnsi="Arial" w:cs="Arial"/>
                <w:sz w:val="16"/>
                <w:szCs w:val="16"/>
              </w:rPr>
              <w:t>Computer software</w:t>
            </w:r>
          </w:p>
        </w:tc>
        <w:tc>
          <w:tcPr>
            <w:tcW w:w="918" w:type="dxa"/>
            <w:tcBorders>
              <w:top w:val="nil"/>
              <w:left w:val="nil"/>
              <w:bottom w:val="nil"/>
              <w:right w:val="nil"/>
            </w:tcBorders>
            <w:shd w:val="clear" w:color="auto" w:fill="auto"/>
            <w:noWrap/>
            <w:vAlign w:val="bottom"/>
            <w:hideMark/>
          </w:tcPr>
          <w:p w14:paraId="4E600A59"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1,736</w:t>
            </w:r>
          </w:p>
        </w:tc>
        <w:tc>
          <w:tcPr>
            <w:tcW w:w="879" w:type="dxa"/>
            <w:tcBorders>
              <w:top w:val="nil"/>
              <w:left w:val="nil"/>
              <w:bottom w:val="nil"/>
              <w:right w:val="nil"/>
            </w:tcBorders>
            <w:shd w:val="clear" w:color="auto" w:fill="D9D9D9" w:themeFill="background1" w:themeFillShade="D9"/>
            <w:noWrap/>
            <w:vAlign w:val="bottom"/>
            <w:hideMark/>
          </w:tcPr>
          <w:p w14:paraId="5579D278"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1,536</w:t>
            </w:r>
          </w:p>
        </w:tc>
        <w:tc>
          <w:tcPr>
            <w:tcW w:w="879" w:type="dxa"/>
            <w:tcBorders>
              <w:top w:val="nil"/>
              <w:left w:val="nil"/>
              <w:bottom w:val="nil"/>
              <w:right w:val="nil"/>
            </w:tcBorders>
            <w:shd w:val="clear" w:color="auto" w:fill="auto"/>
            <w:noWrap/>
            <w:vAlign w:val="bottom"/>
            <w:hideMark/>
          </w:tcPr>
          <w:p w14:paraId="3D8C3324"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1,336</w:t>
            </w:r>
          </w:p>
        </w:tc>
        <w:tc>
          <w:tcPr>
            <w:tcW w:w="879" w:type="dxa"/>
            <w:tcBorders>
              <w:top w:val="nil"/>
              <w:left w:val="nil"/>
              <w:bottom w:val="nil"/>
              <w:right w:val="nil"/>
            </w:tcBorders>
            <w:shd w:val="clear" w:color="auto" w:fill="auto"/>
            <w:noWrap/>
            <w:vAlign w:val="bottom"/>
            <w:hideMark/>
          </w:tcPr>
          <w:p w14:paraId="4692B4FC"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1,136</w:t>
            </w:r>
          </w:p>
        </w:tc>
        <w:tc>
          <w:tcPr>
            <w:tcW w:w="783" w:type="dxa"/>
            <w:tcBorders>
              <w:top w:val="nil"/>
              <w:left w:val="nil"/>
              <w:bottom w:val="nil"/>
              <w:right w:val="nil"/>
            </w:tcBorders>
            <w:shd w:val="clear" w:color="auto" w:fill="auto"/>
            <w:noWrap/>
            <w:vAlign w:val="bottom"/>
            <w:hideMark/>
          </w:tcPr>
          <w:p w14:paraId="0535F746"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936</w:t>
            </w:r>
          </w:p>
        </w:tc>
      </w:tr>
      <w:tr w:rsidR="00B810D4" w:rsidRPr="00DB4B18" w14:paraId="587D4343" w14:textId="77777777" w:rsidTr="004A5DBA">
        <w:trPr>
          <w:trHeight w:val="225"/>
          <w:jc w:val="center"/>
        </w:trPr>
        <w:tc>
          <w:tcPr>
            <w:tcW w:w="3052" w:type="dxa"/>
            <w:tcBorders>
              <w:top w:val="nil"/>
              <w:left w:val="nil"/>
              <w:bottom w:val="nil"/>
              <w:right w:val="nil"/>
            </w:tcBorders>
            <w:shd w:val="clear" w:color="auto" w:fill="auto"/>
            <w:noWrap/>
            <w:vAlign w:val="bottom"/>
            <w:hideMark/>
          </w:tcPr>
          <w:p w14:paraId="1CFCE35E" w14:textId="77777777" w:rsidR="00DB4B18" w:rsidRPr="00DB4B18" w:rsidRDefault="00DB4B18" w:rsidP="00DB4B18">
            <w:pPr>
              <w:spacing w:after="0"/>
              <w:ind w:firstLineChars="200" w:firstLine="320"/>
              <w:rPr>
                <w:rFonts w:ascii="Arial" w:hAnsi="Arial" w:cs="Arial"/>
                <w:sz w:val="16"/>
                <w:szCs w:val="16"/>
              </w:rPr>
            </w:pPr>
            <w:r w:rsidRPr="00DB4B18">
              <w:rPr>
                <w:rFonts w:ascii="Arial" w:hAnsi="Arial" w:cs="Arial"/>
                <w:sz w:val="16"/>
                <w:szCs w:val="16"/>
              </w:rPr>
              <w:t>Other</w:t>
            </w:r>
          </w:p>
        </w:tc>
        <w:tc>
          <w:tcPr>
            <w:tcW w:w="918" w:type="dxa"/>
            <w:tcBorders>
              <w:top w:val="nil"/>
              <w:left w:val="nil"/>
              <w:bottom w:val="nil"/>
              <w:right w:val="nil"/>
            </w:tcBorders>
            <w:shd w:val="clear" w:color="auto" w:fill="auto"/>
            <w:noWrap/>
            <w:vAlign w:val="bottom"/>
            <w:hideMark/>
          </w:tcPr>
          <w:p w14:paraId="2CAB4F2A"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2,489</w:t>
            </w:r>
          </w:p>
        </w:tc>
        <w:tc>
          <w:tcPr>
            <w:tcW w:w="879" w:type="dxa"/>
            <w:tcBorders>
              <w:top w:val="nil"/>
              <w:left w:val="nil"/>
              <w:bottom w:val="nil"/>
              <w:right w:val="nil"/>
            </w:tcBorders>
            <w:shd w:val="clear" w:color="auto" w:fill="D9D9D9" w:themeFill="background1" w:themeFillShade="D9"/>
            <w:noWrap/>
            <w:vAlign w:val="bottom"/>
            <w:hideMark/>
          </w:tcPr>
          <w:p w14:paraId="4308C9B6"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2,489</w:t>
            </w:r>
          </w:p>
        </w:tc>
        <w:tc>
          <w:tcPr>
            <w:tcW w:w="879" w:type="dxa"/>
            <w:tcBorders>
              <w:top w:val="nil"/>
              <w:left w:val="nil"/>
              <w:bottom w:val="nil"/>
              <w:right w:val="nil"/>
            </w:tcBorders>
            <w:shd w:val="clear" w:color="auto" w:fill="auto"/>
            <w:noWrap/>
            <w:vAlign w:val="bottom"/>
            <w:hideMark/>
          </w:tcPr>
          <w:p w14:paraId="432F2196"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2,489</w:t>
            </w:r>
          </w:p>
        </w:tc>
        <w:tc>
          <w:tcPr>
            <w:tcW w:w="879" w:type="dxa"/>
            <w:tcBorders>
              <w:top w:val="nil"/>
              <w:left w:val="nil"/>
              <w:bottom w:val="nil"/>
              <w:right w:val="nil"/>
            </w:tcBorders>
            <w:shd w:val="clear" w:color="auto" w:fill="auto"/>
            <w:noWrap/>
            <w:vAlign w:val="bottom"/>
            <w:hideMark/>
          </w:tcPr>
          <w:p w14:paraId="02284280"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2,489</w:t>
            </w:r>
          </w:p>
        </w:tc>
        <w:tc>
          <w:tcPr>
            <w:tcW w:w="783" w:type="dxa"/>
            <w:tcBorders>
              <w:top w:val="nil"/>
              <w:left w:val="nil"/>
              <w:bottom w:val="nil"/>
              <w:right w:val="nil"/>
            </w:tcBorders>
            <w:shd w:val="clear" w:color="auto" w:fill="auto"/>
            <w:noWrap/>
            <w:vAlign w:val="bottom"/>
            <w:hideMark/>
          </w:tcPr>
          <w:p w14:paraId="5D8BD528"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2,489</w:t>
            </w:r>
          </w:p>
        </w:tc>
      </w:tr>
      <w:tr w:rsidR="00B810D4" w:rsidRPr="00DB4B18" w14:paraId="7561CC77" w14:textId="77777777" w:rsidTr="004A5DBA">
        <w:trPr>
          <w:trHeight w:val="225"/>
          <w:jc w:val="center"/>
        </w:trPr>
        <w:tc>
          <w:tcPr>
            <w:tcW w:w="3052" w:type="dxa"/>
            <w:tcBorders>
              <w:top w:val="nil"/>
              <w:left w:val="nil"/>
              <w:bottom w:val="nil"/>
              <w:right w:val="nil"/>
            </w:tcBorders>
            <w:shd w:val="clear" w:color="auto" w:fill="auto"/>
            <w:noWrap/>
            <w:vAlign w:val="bottom"/>
            <w:hideMark/>
          </w:tcPr>
          <w:p w14:paraId="588A491D" w14:textId="77777777" w:rsidR="00DB4B18" w:rsidRPr="00DB4B18" w:rsidRDefault="00DB4B18" w:rsidP="00DB4B18">
            <w:pPr>
              <w:spacing w:after="0"/>
              <w:ind w:firstLineChars="200" w:firstLine="320"/>
              <w:rPr>
                <w:rFonts w:ascii="Arial" w:hAnsi="Arial" w:cs="Arial"/>
                <w:b/>
                <w:bCs/>
                <w:sz w:val="16"/>
                <w:szCs w:val="16"/>
              </w:rPr>
            </w:pPr>
            <w:r w:rsidRPr="00DB4B18">
              <w:rPr>
                <w:rFonts w:ascii="Arial" w:hAnsi="Arial" w:cs="Arial"/>
                <w:b/>
                <w:bCs/>
                <w:sz w:val="16"/>
                <w:szCs w:val="16"/>
              </w:rPr>
              <w:t>Total non-financial assets</w:t>
            </w:r>
          </w:p>
        </w:tc>
        <w:tc>
          <w:tcPr>
            <w:tcW w:w="918" w:type="dxa"/>
            <w:tcBorders>
              <w:top w:val="nil"/>
              <w:left w:val="nil"/>
              <w:bottom w:val="single" w:sz="4" w:space="0" w:color="auto"/>
              <w:right w:val="nil"/>
            </w:tcBorders>
            <w:shd w:val="clear" w:color="auto" w:fill="auto"/>
            <w:noWrap/>
            <w:vAlign w:val="bottom"/>
            <w:hideMark/>
          </w:tcPr>
          <w:p w14:paraId="4C23CD54" w14:textId="77777777" w:rsidR="00DB4B18" w:rsidRPr="00DB4B18" w:rsidRDefault="00DB4B18" w:rsidP="00DB4B18">
            <w:pPr>
              <w:spacing w:after="0"/>
              <w:jc w:val="right"/>
              <w:rPr>
                <w:rFonts w:ascii="Arial" w:hAnsi="Arial" w:cs="Arial"/>
                <w:b/>
                <w:bCs/>
                <w:color w:val="auto"/>
                <w:sz w:val="16"/>
                <w:szCs w:val="16"/>
              </w:rPr>
            </w:pPr>
            <w:r w:rsidRPr="00DB4B18">
              <w:rPr>
                <w:rFonts w:ascii="Arial" w:hAnsi="Arial" w:cs="Arial"/>
                <w:b/>
                <w:bCs/>
                <w:color w:val="auto"/>
                <w:sz w:val="16"/>
                <w:szCs w:val="16"/>
              </w:rPr>
              <w:t>43,261</w:t>
            </w:r>
          </w:p>
        </w:tc>
        <w:tc>
          <w:tcPr>
            <w:tcW w:w="879" w:type="dxa"/>
            <w:tcBorders>
              <w:top w:val="nil"/>
              <w:left w:val="nil"/>
              <w:bottom w:val="single" w:sz="4" w:space="0" w:color="auto"/>
              <w:right w:val="nil"/>
            </w:tcBorders>
            <w:shd w:val="clear" w:color="auto" w:fill="D9D9D9" w:themeFill="background1" w:themeFillShade="D9"/>
            <w:noWrap/>
            <w:vAlign w:val="bottom"/>
            <w:hideMark/>
          </w:tcPr>
          <w:p w14:paraId="1488E9A8" w14:textId="77777777" w:rsidR="00DB4B18" w:rsidRPr="00DB4B18" w:rsidRDefault="00DB4B18" w:rsidP="00DB4B18">
            <w:pPr>
              <w:spacing w:after="0"/>
              <w:jc w:val="right"/>
              <w:rPr>
                <w:rFonts w:ascii="Arial" w:hAnsi="Arial" w:cs="Arial"/>
                <w:b/>
                <w:bCs/>
                <w:color w:val="auto"/>
                <w:sz w:val="16"/>
                <w:szCs w:val="16"/>
              </w:rPr>
            </w:pPr>
            <w:r w:rsidRPr="00DB4B18">
              <w:rPr>
                <w:rFonts w:ascii="Arial" w:hAnsi="Arial" w:cs="Arial"/>
                <w:b/>
                <w:bCs/>
                <w:color w:val="auto"/>
                <w:sz w:val="16"/>
                <w:szCs w:val="16"/>
              </w:rPr>
              <w:t>40,166</w:t>
            </w:r>
          </w:p>
        </w:tc>
        <w:tc>
          <w:tcPr>
            <w:tcW w:w="879" w:type="dxa"/>
            <w:tcBorders>
              <w:top w:val="nil"/>
              <w:left w:val="nil"/>
              <w:bottom w:val="single" w:sz="4" w:space="0" w:color="auto"/>
              <w:right w:val="nil"/>
            </w:tcBorders>
            <w:shd w:val="clear" w:color="auto" w:fill="auto"/>
            <w:noWrap/>
            <w:vAlign w:val="bottom"/>
            <w:hideMark/>
          </w:tcPr>
          <w:p w14:paraId="63789936" w14:textId="77777777" w:rsidR="00DB4B18" w:rsidRPr="00DB4B18" w:rsidRDefault="00DB4B18" w:rsidP="00DB4B18">
            <w:pPr>
              <w:spacing w:after="0"/>
              <w:jc w:val="right"/>
              <w:rPr>
                <w:rFonts w:ascii="Arial" w:hAnsi="Arial" w:cs="Arial"/>
                <w:b/>
                <w:bCs/>
                <w:color w:val="auto"/>
                <w:sz w:val="16"/>
                <w:szCs w:val="16"/>
              </w:rPr>
            </w:pPr>
            <w:r w:rsidRPr="00DB4B18">
              <w:rPr>
                <w:rFonts w:ascii="Arial" w:hAnsi="Arial" w:cs="Arial"/>
                <w:b/>
                <w:bCs/>
                <w:color w:val="auto"/>
                <w:sz w:val="16"/>
                <w:szCs w:val="16"/>
              </w:rPr>
              <w:t>36,180</w:t>
            </w:r>
          </w:p>
        </w:tc>
        <w:tc>
          <w:tcPr>
            <w:tcW w:w="879" w:type="dxa"/>
            <w:tcBorders>
              <w:top w:val="nil"/>
              <w:left w:val="nil"/>
              <w:bottom w:val="single" w:sz="4" w:space="0" w:color="auto"/>
              <w:right w:val="nil"/>
            </w:tcBorders>
            <w:shd w:val="clear" w:color="auto" w:fill="auto"/>
            <w:noWrap/>
            <w:vAlign w:val="bottom"/>
            <w:hideMark/>
          </w:tcPr>
          <w:p w14:paraId="249A9BE3" w14:textId="77777777" w:rsidR="00DB4B18" w:rsidRPr="00DB4B18" w:rsidRDefault="00DB4B18" w:rsidP="00DB4B18">
            <w:pPr>
              <w:spacing w:after="0"/>
              <w:jc w:val="right"/>
              <w:rPr>
                <w:rFonts w:ascii="Arial" w:hAnsi="Arial" w:cs="Arial"/>
                <w:b/>
                <w:bCs/>
                <w:color w:val="auto"/>
                <w:sz w:val="16"/>
                <w:szCs w:val="16"/>
              </w:rPr>
            </w:pPr>
            <w:r w:rsidRPr="00DB4B18">
              <w:rPr>
                <w:rFonts w:ascii="Arial" w:hAnsi="Arial" w:cs="Arial"/>
                <w:b/>
                <w:bCs/>
                <w:color w:val="auto"/>
                <w:sz w:val="16"/>
                <w:szCs w:val="16"/>
              </w:rPr>
              <w:t>31,978</w:t>
            </w:r>
          </w:p>
        </w:tc>
        <w:tc>
          <w:tcPr>
            <w:tcW w:w="783" w:type="dxa"/>
            <w:tcBorders>
              <w:top w:val="nil"/>
              <w:left w:val="nil"/>
              <w:bottom w:val="single" w:sz="4" w:space="0" w:color="auto"/>
              <w:right w:val="nil"/>
            </w:tcBorders>
            <w:shd w:val="clear" w:color="auto" w:fill="auto"/>
            <w:noWrap/>
            <w:vAlign w:val="bottom"/>
            <w:hideMark/>
          </w:tcPr>
          <w:p w14:paraId="5A5B2330" w14:textId="77777777" w:rsidR="00DB4B18" w:rsidRPr="00DB4B18" w:rsidRDefault="00DB4B18" w:rsidP="00DB4B18">
            <w:pPr>
              <w:spacing w:after="0"/>
              <w:jc w:val="right"/>
              <w:rPr>
                <w:rFonts w:ascii="Arial" w:hAnsi="Arial" w:cs="Arial"/>
                <w:b/>
                <w:bCs/>
                <w:color w:val="auto"/>
                <w:sz w:val="16"/>
                <w:szCs w:val="16"/>
              </w:rPr>
            </w:pPr>
            <w:r w:rsidRPr="00DB4B18">
              <w:rPr>
                <w:rFonts w:ascii="Arial" w:hAnsi="Arial" w:cs="Arial"/>
                <w:b/>
                <w:bCs/>
                <w:color w:val="auto"/>
                <w:sz w:val="16"/>
                <w:szCs w:val="16"/>
              </w:rPr>
              <w:t>27,322</w:t>
            </w:r>
          </w:p>
        </w:tc>
      </w:tr>
      <w:tr w:rsidR="00B810D4" w:rsidRPr="00DB4B18" w14:paraId="19896996" w14:textId="77777777" w:rsidTr="004A5DBA">
        <w:trPr>
          <w:trHeight w:val="225"/>
          <w:jc w:val="center"/>
        </w:trPr>
        <w:tc>
          <w:tcPr>
            <w:tcW w:w="3052" w:type="dxa"/>
            <w:tcBorders>
              <w:top w:val="nil"/>
              <w:left w:val="nil"/>
              <w:bottom w:val="nil"/>
              <w:right w:val="nil"/>
            </w:tcBorders>
            <w:shd w:val="clear" w:color="auto" w:fill="auto"/>
            <w:noWrap/>
            <w:vAlign w:val="bottom"/>
            <w:hideMark/>
          </w:tcPr>
          <w:p w14:paraId="43EDDDE0" w14:textId="77777777" w:rsidR="00DB4B18" w:rsidRPr="00DB4B18" w:rsidRDefault="00DB4B18" w:rsidP="00A072C5">
            <w:pPr>
              <w:spacing w:after="0"/>
              <w:ind w:leftChars="75" w:left="143"/>
              <w:rPr>
                <w:rFonts w:ascii="Arial" w:hAnsi="Arial" w:cs="Arial"/>
                <w:b/>
                <w:bCs/>
                <w:sz w:val="16"/>
                <w:szCs w:val="16"/>
              </w:rPr>
            </w:pPr>
            <w:r w:rsidRPr="00DB4B18">
              <w:rPr>
                <w:rFonts w:ascii="Arial" w:hAnsi="Arial" w:cs="Arial"/>
                <w:b/>
                <w:bCs/>
                <w:sz w:val="16"/>
                <w:szCs w:val="16"/>
              </w:rPr>
              <w:t>Total assets</w:t>
            </w:r>
          </w:p>
        </w:tc>
        <w:tc>
          <w:tcPr>
            <w:tcW w:w="918" w:type="dxa"/>
            <w:tcBorders>
              <w:top w:val="nil"/>
              <w:left w:val="nil"/>
              <w:bottom w:val="single" w:sz="4" w:space="0" w:color="auto"/>
              <w:right w:val="nil"/>
            </w:tcBorders>
            <w:shd w:val="clear" w:color="auto" w:fill="auto"/>
            <w:noWrap/>
            <w:vAlign w:val="bottom"/>
            <w:hideMark/>
          </w:tcPr>
          <w:p w14:paraId="1765C2E7" w14:textId="77777777" w:rsidR="00DB4B18" w:rsidRPr="00DB4B18" w:rsidRDefault="00DB4B18" w:rsidP="00DB4B18">
            <w:pPr>
              <w:spacing w:after="0"/>
              <w:jc w:val="right"/>
              <w:rPr>
                <w:rFonts w:ascii="Arial" w:hAnsi="Arial" w:cs="Arial"/>
                <w:b/>
                <w:bCs/>
                <w:color w:val="auto"/>
                <w:sz w:val="16"/>
                <w:szCs w:val="16"/>
              </w:rPr>
            </w:pPr>
            <w:r w:rsidRPr="00DB4B18">
              <w:rPr>
                <w:rFonts w:ascii="Arial" w:hAnsi="Arial" w:cs="Arial"/>
                <w:b/>
                <w:bCs/>
                <w:color w:val="auto"/>
                <w:sz w:val="16"/>
                <w:szCs w:val="16"/>
              </w:rPr>
              <w:t>153,197</w:t>
            </w:r>
          </w:p>
        </w:tc>
        <w:tc>
          <w:tcPr>
            <w:tcW w:w="879" w:type="dxa"/>
            <w:tcBorders>
              <w:top w:val="nil"/>
              <w:left w:val="nil"/>
              <w:bottom w:val="single" w:sz="4" w:space="0" w:color="auto"/>
              <w:right w:val="nil"/>
            </w:tcBorders>
            <w:shd w:val="clear" w:color="auto" w:fill="D9D9D9" w:themeFill="background1" w:themeFillShade="D9"/>
            <w:noWrap/>
            <w:vAlign w:val="bottom"/>
            <w:hideMark/>
          </w:tcPr>
          <w:p w14:paraId="35F2DA4E" w14:textId="77777777" w:rsidR="00DB4B18" w:rsidRPr="00DB4B18" w:rsidRDefault="00DB4B18" w:rsidP="00DB4B18">
            <w:pPr>
              <w:spacing w:after="0"/>
              <w:jc w:val="right"/>
              <w:rPr>
                <w:rFonts w:ascii="Arial" w:hAnsi="Arial" w:cs="Arial"/>
                <w:b/>
                <w:bCs/>
                <w:color w:val="auto"/>
                <w:sz w:val="16"/>
                <w:szCs w:val="16"/>
              </w:rPr>
            </w:pPr>
            <w:r w:rsidRPr="00DB4B18">
              <w:rPr>
                <w:rFonts w:ascii="Arial" w:hAnsi="Arial" w:cs="Arial"/>
                <w:b/>
                <w:bCs/>
                <w:color w:val="auto"/>
                <w:sz w:val="16"/>
                <w:szCs w:val="16"/>
              </w:rPr>
              <w:t>147,399</w:t>
            </w:r>
          </w:p>
        </w:tc>
        <w:tc>
          <w:tcPr>
            <w:tcW w:w="879" w:type="dxa"/>
            <w:tcBorders>
              <w:top w:val="nil"/>
              <w:left w:val="nil"/>
              <w:bottom w:val="single" w:sz="4" w:space="0" w:color="auto"/>
              <w:right w:val="nil"/>
            </w:tcBorders>
            <w:shd w:val="clear" w:color="auto" w:fill="auto"/>
            <w:noWrap/>
            <w:vAlign w:val="bottom"/>
            <w:hideMark/>
          </w:tcPr>
          <w:p w14:paraId="40ADB9A1" w14:textId="77777777" w:rsidR="00DB4B18" w:rsidRPr="00DB4B18" w:rsidRDefault="00DB4B18" w:rsidP="00DB4B18">
            <w:pPr>
              <w:spacing w:after="0"/>
              <w:jc w:val="right"/>
              <w:rPr>
                <w:rFonts w:ascii="Arial" w:hAnsi="Arial" w:cs="Arial"/>
                <w:b/>
                <w:bCs/>
                <w:color w:val="auto"/>
                <w:sz w:val="16"/>
                <w:szCs w:val="16"/>
              </w:rPr>
            </w:pPr>
            <w:r w:rsidRPr="00DB4B18">
              <w:rPr>
                <w:rFonts w:ascii="Arial" w:hAnsi="Arial" w:cs="Arial"/>
                <w:b/>
                <w:bCs/>
                <w:color w:val="auto"/>
                <w:sz w:val="16"/>
                <w:szCs w:val="16"/>
              </w:rPr>
              <w:t>143,506</w:t>
            </w:r>
          </w:p>
        </w:tc>
        <w:tc>
          <w:tcPr>
            <w:tcW w:w="879" w:type="dxa"/>
            <w:tcBorders>
              <w:top w:val="nil"/>
              <w:left w:val="nil"/>
              <w:bottom w:val="single" w:sz="4" w:space="0" w:color="auto"/>
              <w:right w:val="nil"/>
            </w:tcBorders>
            <w:shd w:val="clear" w:color="auto" w:fill="auto"/>
            <w:noWrap/>
            <w:vAlign w:val="bottom"/>
            <w:hideMark/>
          </w:tcPr>
          <w:p w14:paraId="63B7206A" w14:textId="77777777" w:rsidR="00DB4B18" w:rsidRPr="00DB4B18" w:rsidRDefault="00DB4B18" w:rsidP="00DB4B18">
            <w:pPr>
              <w:spacing w:after="0"/>
              <w:jc w:val="right"/>
              <w:rPr>
                <w:rFonts w:ascii="Arial" w:hAnsi="Arial" w:cs="Arial"/>
                <w:b/>
                <w:bCs/>
                <w:color w:val="auto"/>
                <w:sz w:val="16"/>
                <w:szCs w:val="16"/>
              </w:rPr>
            </w:pPr>
            <w:r w:rsidRPr="00DB4B18">
              <w:rPr>
                <w:rFonts w:ascii="Arial" w:hAnsi="Arial" w:cs="Arial"/>
                <w:b/>
                <w:bCs/>
                <w:color w:val="auto"/>
                <w:sz w:val="16"/>
                <w:szCs w:val="16"/>
              </w:rPr>
              <w:t>140,204</w:t>
            </w:r>
          </w:p>
        </w:tc>
        <w:tc>
          <w:tcPr>
            <w:tcW w:w="783" w:type="dxa"/>
            <w:tcBorders>
              <w:top w:val="nil"/>
              <w:left w:val="nil"/>
              <w:bottom w:val="single" w:sz="4" w:space="0" w:color="auto"/>
              <w:right w:val="nil"/>
            </w:tcBorders>
            <w:shd w:val="clear" w:color="auto" w:fill="auto"/>
            <w:noWrap/>
            <w:tcMar>
              <w:left w:w="0" w:type="dxa"/>
              <w:right w:w="0" w:type="dxa"/>
            </w:tcMar>
            <w:vAlign w:val="bottom"/>
            <w:hideMark/>
          </w:tcPr>
          <w:p w14:paraId="036374ED" w14:textId="77777777" w:rsidR="00DB4B18" w:rsidRPr="00DB4B18" w:rsidRDefault="00DB4B18" w:rsidP="00DB4B18">
            <w:pPr>
              <w:spacing w:after="0"/>
              <w:jc w:val="right"/>
              <w:rPr>
                <w:rFonts w:ascii="Arial" w:hAnsi="Arial" w:cs="Arial"/>
                <w:b/>
                <w:bCs/>
                <w:color w:val="auto"/>
                <w:sz w:val="16"/>
                <w:szCs w:val="16"/>
              </w:rPr>
            </w:pPr>
            <w:r w:rsidRPr="00DB4B18">
              <w:rPr>
                <w:rFonts w:ascii="Arial" w:hAnsi="Arial" w:cs="Arial"/>
                <w:b/>
                <w:bCs/>
                <w:color w:val="auto"/>
                <w:sz w:val="16"/>
                <w:szCs w:val="16"/>
              </w:rPr>
              <w:t>134,748</w:t>
            </w:r>
          </w:p>
        </w:tc>
      </w:tr>
      <w:tr w:rsidR="00B810D4" w:rsidRPr="00DB4B18" w14:paraId="5AF731DD" w14:textId="77777777" w:rsidTr="004A5DBA">
        <w:trPr>
          <w:trHeight w:val="283"/>
          <w:jc w:val="center"/>
        </w:trPr>
        <w:tc>
          <w:tcPr>
            <w:tcW w:w="3052" w:type="dxa"/>
            <w:tcBorders>
              <w:top w:val="nil"/>
              <w:left w:val="nil"/>
              <w:bottom w:val="nil"/>
              <w:right w:val="nil"/>
            </w:tcBorders>
            <w:shd w:val="clear" w:color="auto" w:fill="auto"/>
            <w:noWrap/>
            <w:vAlign w:val="bottom"/>
            <w:hideMark/>
          </w:tcPr>
          <w:p w14:paraId="47A46FE4" w14:textId="77777777" w:rsidR="00DB4B18" w:rsidRPr="00DB4B18" w:rsidRDefault="00DB4B18" w:rsidP="00DB4B18">
            <w:pPr>
              <w:spacing w:after="0"/>
              <w:rPr>
                <w:rFonts w:ascii="Arial" w:hAnsi="Arial" w:cs="Arial"/>
                <w:b/>
                <w:bCs/>
                <w:sz w:val="16"/>
                <w:szCs w:val="16"/>
              </w:rPr>
            </w:pPr>
            <w:r w:rsidRPr="00DB4B18">
              <w:rPr>
                <w:rFonts w:ascii="Arial" w:hAnsi="Arial" w:cs="Arial"/>
                <w:b/>
                <w:bCs/>
                <w:sz w:val="16"/>
                <w:szCs w:val="16"/>
              </w:rPr>
              <w:t>LIABILITIES</w:t>
            </w:r>
          </w:p>
        </w:tc>
        <w:tc>
          <w:tcPr>
            <w:tcW w:w="918" w:type="dxa"/>
            <w:tcBorders>
              <w:top w:val="nil"/>
              <w:left w:val="nil"/>
              <w:bottom w:val="nil"/>
              <w:right w:val="nil"/>
            </w:tcBorders>
            <w:shd w:val="clear" w:color="auto" w:fill="auto"/>
            <w:noWrap/>
            <w:vAlign w:val="bottom"/>
            <w:hideMark/>
          </w:tcPr>
          <w:p w14:paraId="0A6553D9" w14:textId="77777777" w:rsidR="00DB4B18" w:rsidRPr="00DB4B18" w:rsidRDefault="00DB4B18" w:rsidP="00DB4B18">
            <w:pPr>
              <w:spacing w:after="0"/>
              <w:rPr>
                <w:rFonts w:ascii="Arial" w:hAnsi="Arial" w:cs="Arial"/>
                <w:b/>
                <w:bCs/>
                <w:sz w:val="16"/>
                <w:szCs w:val="16"/>
              </w:rPr>
            </w:pPr>
          </w:p>
        </w:tc>
        <w:tc>
          <w:tcPr>
            <w:tcW w:w="879" w:type="dxa"/>
            <w:tcBorders>
              <w:top w:val="nil"/>
              <w:left w:val="nil"/>
              <w:bottom w:val="nil"/>
              <w:right w:val="nil"/>
            </w:tcBorders>
            <w:shd w:val="clear" w:color="auto" w:fill="D9D9D9" w:themeFill="background1" w:themeFillShade="D9"/>
            <w:noWrap/>
            <w:vAlign w:val="bottom"/>
            <w:hideMark/>
          </w:tcPr>
          <w:p w14:paraId="6C4E7363" w14:textId="77777777" w:rsidR="00DB4B18" w:rsidRPr="00DB4B18" w:rsidRDefault="00DB4B18" w:rsidP="00DB4B18">
            <w:pPr>
              <w:spacing w:after="0"/>
              <w:jc w:val="right"/>
              <w:rPr>
                <w:rFonts w:ascii="Arial" w:hAnsi="Arial" w:cs="Arial"/>
                <w:color w:val="31869B"/>
                <w:sz w:val="16"/>
                <w:szCs w:val="16"/>
              </w:rPr>
            </w:pPr>
            <w:r w:rsidRPr="00DB4B18">
              <w:rPr>
                <w:rFonts w:ascii="Arial" w:hAnsi="Arial" w:cs="Arial"/>
                <w:color w:val="31869B"/>
                <w:sz w:val="16"/>
                <w:szCs w:val="16"/>
              </w:rPr>
              <w:t> </w:t>
            </w:r>
          </w:p>
        </w:tc>
        <w:tc>
          <w:tcPr>
            <w:tcW w:w="879" w:type="dxa"/>
            <w:tcBorders>
              <w:top w:val="nil"/>
              <w:left w:val="nil"/>
              <w:bottom w:val="nil"/>
              <w:right w:val="nil"/>
            </w:tcBorders>
            <w:shd w:val="clear" w:color="auto" w:fill="auto"/>
            <w:noWrap/>
            <w:vAlign w:val="bottom"/>
            <w:hideMark/>
          </w:tcPr>
          <w:p w14:paraId="18AD88B7" w14:textId="77777777" w:rsidR="00DB4B18" w:rsidRPr="00DB4B18" w:rsidRDefault="00DB4B18" w:rsidP="00DB4B18">
            <w:pPr>
              <w:spacing w:after="0"/>
              <w:jc w:val="right"/>
              <w:rPr>
                <w:rFonts w:ascii="Arial" w:hAnsi="Arial" w:cs="Arial"/>
                <w:color w:val="31869B"/>
                <w:sz w:val="16"/>
                <w:szCs w:val="16"/>
              </w:rPr>
            </w:pPr>
          </w:p>
        </w:tc>
        <w:tc>
          <w:tcPr>
            <w:tcW w:w="879" w:type="dxa"/>
            <w:tcBorders>
              <w:top w:val="nil"/>
              <w:left w:val="nil"/>
              <w:bottom w:val="nil"/>
              <w:right w:val="nil"/>
            </w:tcBorders>
            <w:shd w:val="clear" w:color="auto" w:fill="auto"/>
            <w:noWrap/>
            <w:vAlign w:val="bottom"/>
            <w:hideMark/>
          </w:tcPr>
          <w:p w14:paraId="54628FBF" w14:textId="77777777" w:rsidR="00DB4B18" w:rsidRPr="00DB4B18" w:rsidRDefault="00DB4B18" w:rsidP="00DB4B18">
            <w:pPr>
              <w:spacing w:after="0"/>
              <w:jc w:val="right"/>
              <w:rPr>
                <w:rFonts w:ascii="Times New Roman" w:hAnsi="Times New Roman"/>
                <w:color w:val="auto"/>
                <w:sz w:val="20"/>
              </w:rPr>
            </w:pPr>
          </w:p>
        </w:tc>
        <w:tc>
          <w:tcPr>
            <w:tcW w:w="783" w:type="dxa"/>
            <w:tcBorders>
              <w:top w:val="nil"/>
              <w:left w:val="nil"/>
              <w:bottom w:val="nil"/>
              <w:right w:val="nil"/>
            </w:tcBorders>
            <w:shd w:val="clear" w:color="auto" w:fill="auto"/>
            <w:noWrap/>
            <w:vAlign w:val="bottom"/>
            <w:hideMark/>
          </w:tcPr>
          <w:p w14:paraId="64318639" w14:textId="77777777" w:rsidR="00DB4B18" w:rsidRPr="00DB4B18" w:rsidRDefault="00DB4B18" w:rsidP="00DB4B18">
            <w:pPr>
              <w:spacing w:after="0"/>
              <w:jc w:val="right"/>
              <w:rPr>
                <w:rFonts w:ascii="Times New Roman" w:hAnsi="Times New Roman"/>
                <w:color w:val="auto"/>
                <w:sz w:val="20"/>
              </w:rPr>
            </w:pPr>
          </w:p>
        </w:tc>
      </w:tr>
      <w:tr w:rsidR="00B810D4" w:rsidRPr="00DB4B18" w14:paraId="508640BF" w14:textId="77777777" w:rsidTr="004A5DBA">
        <w:trPr>
          <w:trHeight w:val="225"/>
          <w:jc w:val="center"/>
        </w:trPr>
        <w:tc>
          <w:tcPr>
            <w:tcW w:w="3052" w:type="dxa"/>
            <w:tcBorders>
              <w:top w:val="nil"/>
              <w:left w:val="nil"/>
              <w:bottom w:val="nil"/>
              <w:right w:val="nil"/>
            </w:tcBorders>
            <w:shd w:val="clear" w:color="auto" w:fill="auto"/>
            <w:noWrap/>
            <w:vAlign w:val="bottom"/>
            <w:hideMark/>
          </w:tcPr>
          <w:p w14:paraId="5840E079" w14:textId="77777777" w:rsidR="00DB4B18" w:rsidRPr="00DB4B18" w:rsidRDefault="00DB4B18" w:rsidP="00DB4B18">
            <w:pPr>
              <w:spacing w:after="0"/>
              <w:ind w:firstLineChars="100" w:firstLine="160"/>
              <w:rPr>
                <w:rFonts w:ascii="Arial" w:hAnsi="Arial" w:cs="Arial"/>
                <w:b/>
                <w:bCs/>
                <w:sz w:val="16"/>
                <w:szCs w:val="16"/>
              </w:rPr>
            </w:pPr>
            <w:r w:rsidRPr="00DB4B18">
              <w:rPr>
                <w:rFonts w:ascii="Arial" w:hAnsi="Arial" w:cs="Arial"/>
                <w:b/>
                <w:bCs/>
                <w:sz w:val="16"/>
                <w:szCs w:val="16"/>
              </w:rPr>
              <w:t>Payables</w:t>
            </w:r>
          </w:p>
        </w:tc>
        <w:tc>
          <w:tcPr>
            <w:tcW w:w="918" w:type="dxa"/>
            <w:tcBorders>
              <w:top w:val="nil"/>
              <w:left w:val="nil"/>
              <w:bottom w:val="nil"/>
              <w:right w:val="nil"/>
            </w:tcBorders>
            <w:shd w:val="clear" w:color="auto" w:fill="auto"/>
            <w:noWrap/>
            <w:vAlign w:val="bottom"/>
            <w:hideMark/>
          </w:tcPr>
          <w:p w14:paraId="4BF05F18" w14:textId="77777777" w:rsidR="00DB4B18" w:rsidRPr="00DB4B18" w:rsidRDefault="00DB4B18" w:rsidP="00DB4B18">
            <w:pPr>
              <w:spacing w:after="0"/>
              <w:ind w:firstLineChars="100" w:firstLine="160"/>
              <w:rPr>
                <w:rFonts w:ascii="Arial" w:hAnsi="Arial" w:cs="Arial"/>
                <w:b/>
                <w:bCs/>
                <w:sz w:val="16"/>
                <w:szCs w:val="16"/>
              </w:rPr>
            </w:pPr>
          </w:p>
        </w:tc>
        <w:tc>
          <w:tcPr>
            <w:tcW w:w="879" w:type="dxa"/>
            <w:tcBorders>
              <w:top w:val="nil"/>
              <w:left w:val="nil"/>
              <w:bottom w:val="nil"/>
              <w:right w:val="nil"/>
            </w:tcBorders>
            <w:shd w:val="clear" w:color="auto" w:fill="D9D9D9" w:themeFill="background1" w:themeFillShade="D9"/>
            <w:noWrap/>
            <w:vAlign w:val="bottom"/>
            <w:hideMark/>
          </w:tcPr>
          <w:p w14:paraId="5F7CED17" w14:textId="77777777" w:rsidR="00DB4B18" w:rsidRPr="00DB4B18" w:rsidRDefault="00DB4B18" w:rsidP="00DB4B18">
            <w:pPr>
              <w:spacing w:after="0"/>
              <w:jc w:val="right"/>
              <w:rPr>
                <w:rFonts w:ascii="Arial" w:hAnsi="Arial" w:cs="Arial"/>
                <w:color w:val="31869B"/>
                <w:sz w:val="16"/>
                <w:szCs w:val="16"/>
              </w:rPr>
            </w:pPr>
            <w:r w:rsidRPr="00DB4B18">
              <w:rPr>
                <w:rFonts w:ascii="Arial" w:hAnsi="Arial" w:cs="Arial"/>
                <w:color w:val="31869B"/>
                <w:sz w:val="16"/>
                <w:szCs w:val="16"/>
              </w:rPr>
              <w:t> </w:t>
            </w:r>
          </w:p>
        </w:tc>
        <w:tc>
          <w:tcPr>
            <w:tcW w:w="879" w:type="dxa"/>
            <w:tcBorders>
              <w:top w:val="nil"/>
              <w:left w:val="nil"/>
              <w:bottom w:val="nil"/>
              <w:right w:val="nil"/>
            </w:tcBorders>
            <w:shd w:val="clear" w:color="auto" w:fill="auto"/>
            <w:noWrap/>
            <w:vAlign w:val="bottom"/>
            <w:hideMark/>
          </w:tcPr>
          <w:p w14:paraId="56A06F3C" w14:textId="77777777" w:rsidR="00DB4B18" w:rsidRPr="00DB4B18" w:rsidRDefault="00DB4B18" w:rsidP="00DB4B18">
            <w:pPr>
              <w:spacing w:after="0"/>
              <w:jc w:val="right"/>
              <w:rPr>
                <w:rFonts w:ascii="Arial" w:hAnsi="Arial" w:cs="Arial"/>
                <w:color w:val="31869B"/>
                <w:sz w:val="16"/>
                <w:szCs w:val="16"/>
              </w:rPr>
            </w:pPr>
          </w:p>
        </w:tc>
        <w:tc>
          <w:tcPr>
            <w:tcW w:w="879" w:type="dxa"/>
            <w:tcBorders>
              <w:top w:val="nil"/>
              <w:left w:val="nil"/>
              <w:bottom w:val="nil"/>
              <w:right w:val="nil"/>
            </w:tcBorders>
            <w:shd w:val="clear" w:color="auto" w:fill="auto"/>
            <w:noWrap/>
            <w:vAlign w:val="bottom"/>
            <w:hideMark/>
          </w:tcPr>
          <w:p w14:paraId="63D82F81" w14:textId="77777777" w:rsidR="00DB4B18" w:rsidRPr="00DB4B18" w:rsidRDefault="00DB4B18" w:rsidP="00DB4B18">
            <w:pPr>
              <w:spacing w:after="0"/>
              <w:jc w:val="right"/>
              <w:rPr>
                <w:rFonts w:ascii="Times New Roman" w:hAnsi="Times New Roman"/>
                <w:color w:val="auto"/>
                <w:sz w:val="20"/>
              </w:rPr>
            </w:pPr>
          </w:p>
        </w:tc>
        <w:tc>
          <w:tcPr>
            <w:tcW w:w="783" w:type="dxa"/>
            <w:tcBorders>
              <w:top w:val="nil"/>
              <w:left w:val="nil"/>
              <w:bottom w:val="nil"/>
              <w:right w:val="nil"/>
            </w:tcBorders>
            <w:shd w:val="clear" w:color="auto" w:fill="auto"/>
            <w:noWrap/>
            <w:vAlign w:val="bottom"/>
            <w:hideMark/>
          </w:tcPr>
          <w:p w14:paraId="77A3587A" w14:textId="77777777" w:rsidR="00DB4B18" w:rsidRPr="00DB4B18" w:rsidRDefault="00DB4B18" w:rsidP="00DB4B18">
            <w:pPr>
              <w:spacing w:after="0"/>
              <w:jc w:val="right"/>
              <w:rPr>
                <w:rFonts w:ascii="Times New Roman" w:hAnsi="Times New Roman"/>
                <w:color w:val="auto"/>
                <w:sz w:val="20"/>
              </w:rPr>
            </w:pPr>
          </w:p>
        </w:tc>
      </w:tr>
      <w:tr w:rsidR="00B810D4" w:rsidRPr="00DB4B18" w14:paraId="73355979" w14:textId="77777777" w:rsidTr="004A5DBA">
        <w:trPr>
          <w:trHeight w:val="225"/>
          <w:jc w:val="center"/>
        </w:trPr>
        <w:tc>
          <w:tcPr>
            <w:tcW w:w="3052" w:type="dxa"/>
            <w:tcBorders>
              <w:top w:val="nil"/>
              <w:left w:val="nil"/>
              <w:bottom w:val="nil"/>
              <w:right w:val="nil"/>
            </w:tcBorders>
            <w:shd w:val="clear" w:color="auto" w:fill="auto"/>
            <w:noWrap/>
            <w:vAlign w:val="bottom"/>
            <w:hideMark/>
          </w:tcPr>
          <w:p w14:paraId="496EC61D" w14:textId="77777777" w:rsidR="00DB4B18" w:rsidRPr="00DB4B18" w:rsidRDefault="00DB4B18" w:rsidP="00DB4B18">
            <w:pPr>
              <w:spacing w:after="0"/>
              <w:ind w:firstLineChars="200" w:firstLine="320"/>
              <w:rPr>
                <w:rFonts w:ascii="Arial" w:hAnsi="Arial" w:cs="Arial"/>
                <w:sz w:val="16"/>
                <w:szCs w:val="16"/>
              </w:rPr>
            </w:pPr>
            <w:r w:rsidRPr="00DB4B18">
              <w:rPr>
                <w:rFonts w:ascii="Arial" w:hAnsi="Arial" w:cs="Arial"/>
                <w:sz w:val="16"/>
                <w:szCs w:val="16"/>
              </w:rPr>
              <w:t>Suppliers</w:t>
            </w:r>
          </w:p>
        </w:tc>
        <w:tc>
          <w:tcPr>
            <w:tcW w:w="918" w:type="dxa"/>
            <w:tcBorders>
              <w:top w:val="nil"/>
              <w:left w:val="nil"/>
              <w:bottom w:val="nil"/>
              <w:right w:val="nil"/>
            </w:tcBorders>
            <w:shd w:val="clear" w:color="auto" w:fill="auto"/>
            <w:noWrap/>
            <w:vAlign w:val="bottom"/>
            <w:hideMark/>
          </w:tcPr>
          <w:p w14:paraId="39B32180"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4,520</w:t>
            </w:r>
          </w:p>
        </w:tc>
        <w:tc>
          <w:tcPr>
            <w:tcW w:w="879" w:type="dxa"/>
            <w:tcBorders>
              <w:top w:val="nil"/>
              <w:left w:val="nil"/>
              <w:bottom w:val="nil"/>
              <w:right w:val="nil"/>
            </w:tcBorders>
            <w:shd w:val="clear" w:color="auto" w:fill="D9D9D9" w:themeFill="background1" w:themeFillShade="D9"/>
            <w:noWrap/>
            <w:vAlign w:val="bottom"/>
            <w:hideMark/>
          </w:tcPr>
          <w:p w14:paraId="2818F29C"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5,979</w:t>
            </w:r>
          </w:p>
        </w:tc>
        <w:tc>
          <w:tcPr>
            <w:tcW w:w="879" w:type="dxa"/>
            <w:tcBorders>
              <w:top w:val="nil"/>
              <w:left w:val="nil"/>
              <w:bottom w:val="nil"/>
              <w:right w:val="nil"/>
            </w:tcBorders>
            <w:shd w:val="clear" w:color="auto" w:fill="auto"/>
            <w:noWrap/>
            <w:vAlign w:val="bottom"/>
            <w:hideMark/>
          </w:tcPr>
          <w:p w14:paraId="60200C9B"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6,124</w:t>
            </w:r>
          </w:p>
        </w:tc>
        <w:tc>
          <w:tcPr>
            <w:tcW w:w="879" w:type="dxa"/>
            <w:tcBorders>
              <w:top w:val="nil"/>
              <w:left w:val="nil"/>
              <w:bottom w:val="nil"/>
              <w:right w:val="nil"/>
            </w:tcBorders>
            <w:shd w:val="clear" w:color="auto" w:fill="auto"/>
            <w:noWrap/>
            <w:vAlign w:val="bottom"/>
            <w:hideMark/>
          </w:tcPr>
          <w:p w14:paraId="48909084"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7,324</w:t>
            </w:r>
          </w:p>
        </w:tc>
        <w:tc>
          <w:tcPr>
            <w:tcW w:w="783" w:type="dxa"/>
            <w:tcBorders>
              <w:top w:val="nil"/>
              <w:left w:val="nil"/>
              <w:bottom w:val="nil"/>
              <w:right w:val="nil"/>
            </w:tcBorders>
            <w:shd w:val="clear" w:color="auto" w:fill="auto"/>
            <w:noWrap/>
            <w:vAlign w:val="bottom"/>
            <w:hideMark/>
          </w:tcPr>
          <w:p w14:paraId="6D04FB9B"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6,324</w:t>
            </w:r>
          </w:p>
        </w:tc>
      </w:tr>
      <w:tr w:rsidR="00B810D4" w:rsidRPr="00DB4B18" w14:paraId="09C1B7AC" w14:textId="77777777" w:rsidTr="004A5DBA">
        <w:trPr>
          <w:trHeight w:val="225"/>
          <w:jc w:val="center"/>
        </w:trPr>
        <w:tc>
          <w:tcPr>
            <w:tcW w:w="3052" w:type="dxa"/>
            <w:tcBorders>
              <w:top w:val="nil"/>
              <w:left w:val="nil"/>
              <w:bottom w:val="nil"/>
              <w:right w:val="nil"/>
            </w:tcBorders>
            <w:shd w:val="clear" w:color="auto" w:fill="auto"/>
            <w:noWrap/>
            <w:vAlign w:val="bottom"/>
            <w:hideMark/>
          </w:tcPr>
          <w:p w14:paraId="60B67403" w14:textId="77777777" w:rsidR="00DB4B18" w:rsidRPr="00DB4B18" w:rsidRDefault="00DB4B18" w:rsidP="00DB4B18">
            <w:pPr>
              <w:spacing w:after="0"/>
              <w:ind w:firstLineChars="200" w:firstLine="320"/>
              <w:rPr>
                <w:rFonts w:ascii="Arial" w:hAnsi="Arial" w:cs="Arial"/>
                <w:sz w:val="16"/>
                <w:szCs w:val="16"/>
              </w:rPr>
            </w:pPr>
            <w:r w:rsidRPr="00DB4B18">
              <w:rPr>
                <w:rFonts w:ascii="Arial" w:hAnsi="Arial" w:cs="Arial"/>
                <w:sz w:val="16"/>
                <w:szCs w:val="16"/>
              </w:rPr>
              <w:t>Other payables</w:t>
            </w:r>
          </w:p>
        </w:tc>
        <w:tc>
          <w:tcPr>
            <w:tcW w:w="918" w:type="dxa"/>
            <w:tcBorders>
              <w:top w:val="nil"/>
              <w:left w:val="nil"/>
              <w:bottom w:val="nil"/>
              <w:right w:val="nil"/>
            </w:tcBorders>
            <w:shd w:val="clear" w:color="auto" w:fill="auto"/>
            <w:noWrap/>
            <w:vAlign w:val="bottom"/>
            <w:hideMark/>
          </w:tcPr>
          <w:p w14:paraId="528D7712"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1,866</w:t>
            </w:r>
          </w:p>
        </w:tc>
        <w:tc>
          <w:tcPr>
            <w:tcW w:w="879" w:type="dxa"/>
            <w:tcBorders>
              <w:top w:val="nil"/>
              <w:left w:val="nil"/>
              <w:bottom w:val="nil"/>
              <w:right w:val="nil"/>
            </w:tcBorders>
            <w:shd w:val="clear" w:color="auto" w:fill="D9D9D9" w:themeFill="background1" w:themeFillShade="D9"/>
            <w:noWrap/>
            <w:vAlign w:val="bottom"/>
            <w:hideMark/>
          </w:tcPr>
          <w:p w14:paraId="181DE188"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1,866</w:t>
            </w:r>
          </w:p>
        </w:tc>
        <w:tc>
          <w:tcPr>
            <w:tcW w:w="879" w:type="dxa"/>
            <w:tcBorders>
              <w:top w:val="nil"/>
              <w:left w:val="nil"/>
              <w:bottom w:val="nil"/>
              <w:right w:val="nil"/>
            </w:tcBorders>
            <w:shd w:val="clear" w:color="auto" w:fill="auto"/>
            <w:noWrap/>
            <w:vAlign w:val="bottom"/>
            <w:hideMark/>
          </w:tcPr>
          <w:p w14:paraId="4D61D8C6"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1,866</w:t>
            </w:r>
          </w:p>
        </w:tc>
        <w:tc>
          <w:tcPr>
            <w:tcW w:w="879" w:type="dxa"/>
            <w:tcBorders>
              <w:top w:val="nil"/>
              <w:left w:val="nil"/>
              <w:bottom w:val="nil"/>
              <w:right w:val="nil"/>
            </w:tcBorders>
            <w:shd w:val="clear" w:color="auto" w:fill="auto"/>
            <w:noWrap/>
            <w:vAlign w:val="bottom"/>
            <w:hideMark/>
          </w:tcPr>
          <w:p w14:paraId="3DC610E0"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1,866</w:t>
            </w:r>
          </w:p>
        </w:tc>
        <w:tc>
          <w:tcPr>
            <w:tcW w:w="783" w:type="dxa"/>
            <w:tcBorders>
              <w:top w:val="nil"/>
              <w:left w:val="nil"/>
              <w:bottom w:val="nil"/>
              <w:right w:val="nil"/>
            </w:tcBorders>
            <w:shd w:val="clear" w:color="auto" w:fill="auto"/>
            <w:noWrap/>
            <w:vAlign w:val="bottom"/>
            <w:hideMark/>
          </w:tcPr>
          <w:p w14:paraId="72823F42"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1,866</w:t>
            </w:r>
          </w:p>
        </w:tc>
      </w:tr>
      <w:tr w:rsidR="00B810D4" w:rsidRPr="00DB4B18" w14:paraId="36A2C2F8" w14:textId="77777777" w:rsidTr="004A5DBA">
        <w:trPr>
          <w:trHeight w:val="225"/>
          <w:jc w:val="center"/>
        </w:trPr>
        <w:tc>
          <w:tcPr>
            <w:tcW w:w="3052" w:type="dxa"/>
            <w:tcBorders>
              <w:top w:val="nil"/>
              <w:left w:val="nil"/>
              <w:bottom w:val="nil"/>
              <w:right w:val="nil"/>
            </w:tcBorders>
            <w:shd w:val="clear" w:color="auto" w:fill="auto"/>
            <w:noWrap/>
            <w:vAlign w:val="bottom"/>
            <w:hideMark/>
          </w:tcPr>
          <w:p w14:paraId="67AFFC27" w14:textId="77777777" w:rsidR="00DB4B18" w:rsidRPr="00DB4B18" w:rsidRDefault="00DB4B18" w:rsidP="00DB4B18">
            <w:pPr>
              <w:spacing w:after="0"/>
              <w:ind w:firstLineChars="200" w:firstLine="320"/>
              <w:rPr>
                <w:rFonts w:ascii="Arial" w:hAnsi="Arial" w:cs="Arial"/>
                <w:sz w:val="16"/>
                <w:szCs w:val="16"/>
              </w:rPr>
            </w:pPr>
            <w:r w:rsidRPr="00DB4B18">
              <w:rPr>
                <w:rFonts w:ascii="Arial" w:hAnsi="Arial" w:cs="Arial"/>
                <w:sz w:val="16"/>
                <w:szCs w:val="16"/>
              </w:rPr>
              <w:t>Unearned revenue</w:t>
            </w:r>
          </w:p>
        </w:tc>
        <w:tc>
          <w:tcPr>
            <w:tcW w:w="918" w:type="dxa"/>
            <w:tcBorders>
              <w:top w:val="nil"/>
              <w:left w:val="nil"/>
              <w:bottom w:val="nil"/>
              <w:right w:val="nil"/>
            </w:tcBorders>
            <w:shd w:val="clear" w:color="auto" w:fill="auto"/>
            <w:noWrap/>
            <w:vAlign w:val="bottom"/>
            <w:hideMark/>
          </w:tcPr>
          <w:p w14:paraId="6569469F"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60,676</w:t>
            </w:r>
          </w:p>
        </w:tc>
        <w:tc>
          <w:tcPr>
            <w:tcW w:w="879" w:type="dxa"/>
            <w:tcBorders>
              <w:top w:val="nil"/>
              <w:left w:val="nil"/>
              <w:bottom w:val="nil"/>
              <w:right w:val="nil"/>
            </w:tcBorders>
            <w:shd w:val="clear" w:color="auto" w:fill="D9D9D9" w:themeFill="background1" w:themeFillShade="D9"/>
            <w:noWrap/>
            <w:vAlign w:val="bottom"/>
            <w:hideMark/>
          </w:tcPr>
          <w:p w14:paraId="12C73587"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60,676</w:t>
            </w:r>
          </w:p>
        </w:tc>
        <w:tc>
          <w:tcPr>
            <w:tcW w:w="879" w:type="dxa"/>
            <w:tcBorders>
              <w:top w:val="nil"/>
              <w:left w:val="nil"/>
              <w:bottom w:val="nil"/>
              <w:right w:val="nil"/>
            </w:tcBorders>
            <w:shd w:val="clear" w:color="auto" w:fill="auto"/>
            <w:noWrap/>
            <w:vAlign w:val="bottom"/>
            <w:hideMark/>
          </w:tcPr>
          <w:p w14:paraId="7F5D47DE"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60,676</w:t>
            </w:r>
          </w:p>
        </w:tc>
        <w:tc>
          <w:tcPr>
            <w:tcW w:w="879" w:type="dxa"/>
            <w:tcBorders>
              <w:top w:val="nil"/>
              <w:left w:val="nil"/>
              <w:bottom w:val="nil"/>
              <w:right w:val="nil"/>
            </w:tcBorders>
            <w:shd w:val="clear" w:color="auto" w:fill="auto"/>
            <w:noWrap/>
            <w:vAlign w:val="bottom"/>
            <w:hideMark/>
          </w:tcPr>
          <w:p w14:paraId="389B08F5"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60,676</w:t>
            </w:r>
          </w:p>
        </w:tc>
        <w:tc>
          <w:tcPr>
            <w:tcW w:w="783" w:type="dxa"/>
            <w:tcBorders>
              <w:top w:val="nil"/>
              <w:left w:val="nil"/>
              <w:bottom w:val="nil"/>
              <w:right w:val="nil"/>
            </w:tcBorders>
            <w:shd w:val="clear" w:color="auto" w:fill="auto"/>
            <w:noWrap/>
            <w:vAlign w:val="bottom"/>
            <w:hideMark/>
          </w:tcPr>
          <w:p w14:paraId="2EB37BD7"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60,676</w:t>
            </w:r>
          </w:p>
        </w:tc>
      </w:tr>
      <w:tr w:rsidR="00B810D4" w:rsidRPr="00DB4B18" w14:paraId="347BEC2F" w14:textId="77777777" w:rsidTr="004A5DBA">
        <w:trPr>
          <w:trHeight w:val="225"/>
          <w:jc w:val="center"/>
        </w:trPr>
        <w:tc>
          <w:tcPr>
            <w:tcW w:w="3052" w:type="dxa"/>
            <w:tcBorders>
              <w:top w:val="nil"/>
              <w:left w:val="nil"/>
              <w:bottom w:val="nil"/>
              <w:right w:val="nil"/>
            </w:tcBorders>
            <w:shd w:val="clear" w:color="auto" w:fill="auto"/>
            <w:noWrap/>
            <w:vAlign w:val="bottom"/>
            <w:hideMark/>
          </w:tcPr>
          <w:p w14:paraId="1D1E7219" w14:textId="77777777" w:rsidR="00DB4B18" w:rsidRPr="00DB4B18" w:rsidRDefault="00DB4B18" w:rsidP="00DB4B18">
            <w:pPr>
              <w:spacing w:after="0"/>
              <w:ind w:firstLineChars="200" w:firstLine="320"/>
              <w:rPr>
                <w:rFonts w:ascii="Arial" w:hAnsi="Arial" w:cs="Arial"/>
                <w:b/>
                <w:bCs/>
                <w:sz w:val="16"/>
                <w:szCs w:val="16"/>
              </w:rPr>
            </w:pPr>
            <w:r w:rsidRPr="00DB4B18">
              <w:rPr>
                <w:rFonts w:ascii="Arial" w:hAnsi="Arial" w:cs="Arial"/>
                <w:b/>
                <w:bCs/>
                <w:sz w:val="16"/>
                <w:szCs w:val="16"/>
              </w:rPr>
              <w:t>Total payables</w:t>
            </w:r>
          </w:p>
        </w:tc>
        <w:tc>
          <w:tcPr>
            <w:tcW w:w="918" w:type="dxa"/>
            <w:tcBorders>
              <w:top w:val="nil"/>
              <w:left w:val="nil"/>
              <w:bottom w:val="single" w:sz="4" w:space="0" w:color="auto"/>
              <w:right w:val="nil"/>
            </w:tcBorders>
            <w:shd w:val="clear" w:color="auto" w:fill="auto"/>
            <w:noWrap/>
            <w:vAlign w:val="bottom"/>
            <w:hideMark/>
          </w:tcPr>
          <w:p w14:paraId="340BDFEE" w14:textId="77777777" w:rsidR="00DB4B18" w:rsidRPr="00DB4B18" w:rsidRDefault="00DB4B18" w:rsidP="00DB4B18">
            <w:pPr>
              <w:spacing w:after="0"/>
              <w:jc w:val="right"/>
              <w:rPr>
                <w:rFonts w:ascii="Arial" w:hAnsi="Arial" w:cs="Arial"/>
                <w:b/>
                <w:bCs/>
                <w:color w:val="auto"/>
                <w:sz w:val="16"/>
                <w:szCs w:val="16"/>
              </w:rPr>
            </w:pPr>
            <w:r w:rsidRPr="00DB4B18">
              <w:rPr>
                <w:rFonts w:ascii="Arial" w:hAnsi="Arial" w:cs="Arial"/>
                <w:b/>
                <w:bCs/>
                <w:color w:val="auto"/>
                <w:sz w:val="16"/>
                <w:szCs w:val="16"/>
              </w:rPr>
              <w:t>67,062</w:t>
            </w:r>
          </w:p>
        </w:tc>
        <w:tc>
          <w:tcPr>
            <w:tcW w:w="879" w:type="dxa"/>
            <w:tcBorders>
              <w:top w:val="nil"/>
              <w:left w:val="nil"/>
              <w:bottom w:val="single" w:sz="4" w:space="0" w:color="auto"/>
              <w:right w:val="nil"/>
            </w:tcBorders>
            <w:shd w:val="clear" w:color="auto" w:fill="D9D9D9" w:themeFill="background1" w:themeFillShade="D9"/>
            <w:noWrap/>
            <w:vAlign w:val="bottom"/>
            <w:hideMark/>
          </w:tcPr>
          <w:p w14:paraId="469A85CD" w14:textId="77777777" w:rsidR="00DB4B18" w:rsidRPr="00DB4B18" w:rsidRDefault="00DB4B18" w:rsidP="00DB4B18">
            <w:pPr>
              <w:spacing w:after="0"/>
              <w:jc w:val="right"/>
              <w:rPr>
                <w:rFonts w:ascii="Arial" w:hAnsi="Arial" w:cs="Arial"/>
                <w:b/>
                <w:bCs/>
                <w:color w:val="auto"/>
                <w:sz w:val="16"/>
                <w:szCs w:val="16"/>
              </w:rPr>
            </w:pPr>
            <w:r w:rsidRPr="00DB4B18">
              <w:rPr>
                <w:rFonts w:ascii="Arial" w:hAnsi="Arial" w:cs="Arial"/>
                <w:b/>
                <w:bCs/>
                <w:color w:val="auto"/>
                <w:sz w:val="16"/>
                <w:szCs w:val="16"/>
              </w:rPr>
              <w:t>68,521</w:t>
            </w:r>
          </w:p>
        </w:tc>
        <w:tc>
          <w:tcPr>
            <w:tcW w:w="879" w:type="dxa"/>
            <w:tcBorders>
              <w:top w:val="nil"/>
              <w:left w:val="nil"/>
              <w:bottom w:val="single" w:sz="4" w:space="0" w:color="auto"/>
              <w:right w:val="nil"/>
            </w:tcBorders>
            <w:shd w:val="clear" w:color="auto" w:fill="auto"/>
            <w:noWrap/>
            <w:vAlign w:val="bottom"/>
            <w:hideMark/>
          </w:tcPr>
          <w:p w14:paraId="310BE93B" w14:textId="77777777" w:rsidR="00DB4B18" w:rsidRPr="00DB4B18" w:rsidRDefault="00DB4B18" w:rsidP="00DB4B18">
            <w:pPr>
              <w:spacing w:after="0"/>
              <w:jc w:val="right"/>
              <w:rPr>
                <w:rFonts w:ascii="Arial" w:hAnsi="Arial" w:cs="Arial"/>
                <w:b/>
                <w:bCs/>
                <w:color w:val="auto"/>
                <w:sz w:val="16"/>
                <w:szCs w:val="16"/>
              </w:rPr>
            </w:pPr>
            <w:r w:rsidRPr="00DB4B18">
              <w:rPr>
                <w:rFonts w:ascii="Arial" w:hAnsi="Arial" w:cs="Arial"/>
                <w:b/>
                <w:bCs/>
                <w:color w:val="auto"/>
                <w:sz w:val="16"/>
                <w:szCs w:val="16"/>
              </w:rPr>
              <w:t>68,666</w:t>
            </w:r>
          </w:p>
        </w:tc>
        <w:tc>
          <w:tcPr>
            <w:tcW w:w="879" w:type="dxa"/>
            <w:tcBorders>
              <w:top w:val="nil"/>
              <w:left w:val="nil"/>
              <w:bottom w:val="single" w:sz="4" w:space="0" w:color="auto"/>
              <w:right w:val="nil"/>
            </w:tcBorders>
            <w:shd w:val="clear" w:color="auto" w:fill="auto"/>
            <w:noWrap/>
            <w:vAlign w:val="bottom"/>
            <w:hideMark/>
          </w:tcPr>
          <w:p w14:paraId="30FF5B85" w14:textId="77777777" w:rsidR="00DB4B18" w:rsidRPr="00DB4B18" w:rsidRDefault="00DB4B18" w:rsidP="00DB4B18">
            <w:pPr>
              <w:spacing w:after="0"/>
              <w:jc w:val="right"/>
              <w:rPr>
                <w:rFonts w:ascii="Arial" w:hAnsi="Arial" w:cs="Arial"/>
                <w:b/>
                <w:bCs/>
                <w:color w:val="auto"/>
                <w:sz w:val="16"/>
                <w:szCs w:val="16"/>
              </w:rPr>
            </w:pPr>
            <w:r w:rsidRPr="00DB4B18">
              <w:rPr>
                <w:rFonts w:ascii="Arial" w:hAnsi="Arial" w:cs="Arial"/>
                <w:b/>
                <w:bCs/>
                <w:color w:val="auto"/>
                <w:sz w:val="16"/>
                <w:szCs w:val="16"/>
              </w:rPr>
              <w:t>69,866</w:t>
            </w:r>
          </w:p>
        </w:tc>
        <w:tc>
          <w:tcPr>
            <w:tcW w:w="783" w:type="dxa"/>
            <w:tcBorders>
              <w:top w:val="nil"/>
              <w:left w:val="nil"/>
              <w:bottom w:val="single" w:sz="4" w:space="0" w:color="auto"/>
              <w:right w:val="nil"/>
            </w:tcBorders>
            <w:shd w:val="clear" w:color="auto" w:fill="auto"/>
            <w:noWrap/>
            <w:vAlign w:val="bottom"/>
            <w:hideMark/>
          </w:tcPr>
          <w:p w14:paraId="4F66C40C" w14:textId="77777777" w:rsidR="00DB4B18" w:rsidRPr="00DB4B18" w:rsidRDefault="00DB4B18" w:rsidP="00DB4B18">
            <w:pPr>
              <w:spacing w:after="0"/>
              <w:jc w:val="right"/>
              <w:rPr>
                <w:rFonts w:ascii="Arial" w:hAnsi="Arial" w:cs="Arial"/>
                <w:b/>
                <w:bCs/>
                <w:color w:val="auto"/>
                <w:sz w:val="16"/>
                <w:szCs w:val="16"/>
              </w:rPr>
            </w:pPr>
            <w:r w:rsidRPr="00DB4B18">
              <w:rPr>
                <w:rFonts w:ascii="Arial" w:hAnsi="Arial" w:cs="Arial"/>
                <w:b/>
                <w:bCs/>
                <w:color w:val="auto"/>
                <w:sz w:val="16"/>
                <w:szCs w:val="16"/>
              </w:rPr>
              <w:t>68,866</w:t>
            </w:r>
          </w:p>
        </w:tc>
      </w:tr>
      <w:tr w:rsidR="00B810D4" w:rsidRPr="00DB4B18" w14:paraId="71E75806" w14:textId="77777777" w:rsidTr="004A5DBA">
        <w:trPr>
          <w:trHeight w:val="283"/>
          <w:jc w:val="center"/>
        </w:trPr>
        <w:tc>
          <w:tcPr>
            <w:tcW w:w="3052" w:type="dxa"/>
            <w:tcBorders>
              <w:top w:val="nil"/>
              <w:left w:val="nil"/>
              <w:bottom w:val="nil"/>
              <w:right w:val="nil"/>
            </w:tcBorders>
            <w:shd w:val="clear" w:color="auto" w:fill="auto"/>
            <w:noWrap/>
            <w:vAlign w:val="bottom"/>
            <w:hideMark/>
          </w:tcPr>
          <w:p w14:paraId="1120892A" w14:textId="77777777" w:rsidR="00DB4B18" w:rsidRPr="00DB4B18" w:rsidRDefault="00DB4B18" w:rsidP="00DB4B18">
            <w:pPr>
              <w:spacing w:after="0"/>
              <w:ind w:firstLineChars="100" w:firstLine="160"/>
              <w:rPr>
                <w:rFonts w:ascii="Arial" w:hAnsi="Arial" w:cs="Arial"/>
                <w:b/>
                <w:bCs/>
                <w:sz w:val="16"/>
                <w:szCs w:val="16"/>
              </w:rPr>
            </w:pPr>
            <w:r w:rsidRPr="00DB4B18">
              <w:rPr>
                <w:rFonts w:ascii="Arial" w:hAnsi="Arial" w:cs="Arial"/>
                <w:b/>
                <w:bCs/>
                <w:sz w:val="16"/>
                <w:szCs w:val="16"/>
              </w:rPr>
              <w:t>Interest bearing liabilities</w:t>
            </w:r>
          </w:p>
        </w:tc>
        <w:tc>
          <w:tcPr>
            <w:tcW w:w="918" w:type="dxa"/>
            <w:tcBorders>
              <w:top w:val="nil"/>
              <w:left w:val="nil"/>
              <w:bottom w:val="nil"/>
              <w:right w:val="nil"/>
            </w:tcBorders>
            <w:shd w:val="clear" w:color="auto" w:fill="auto"/>
            <w:noWrap/>
            <w:vAlign w:val="bottom"/>
            <w:hideMark/>
          </w:tcPr>
          <w:p w14:paraId="283ACBAD" w14:textId="77777777" w:rsidR="00DB4B18" w:rsidRPr="00DB4B18" w:rsidRDefault="00DB4B18" w:rsidP="00DB4B18">
            <w:pPr>
              <w:spacing w:after="0"/>
              <w:ind w:firstLineChars="100" w:firstLine="160"/>
              <w:rPr>
                <w:rFonts w:ascii="Arial" w:hAnsi="Arial" w:cs="Arial"/>
                <w:b/>
                <w:bCs/>
                <w:sz w:val="16"/>
                <w:szCs w:val="16"/>
              </w:rPr>
            </w:pPr>
          </w:p>
        </w:tc>
        <w:tc>
          <w:tcPr>
            <w:tcW w:w="879" w:type="dxa"/>
            <w:tcBorders>
              <w:top w:val="nil"/>
              <w:left w:val="nil"/>
              <w:bottom w:val="nil"/>
              <w:right w:val="nil"/>
            </w:tcBorders>
            <w:shd w:val="clear" w:color="auto" w:fill="D9D9D9" w:themeFill="background1" w:themeFillShade="D9"/>
            <w:noWrap/>
            <w:vAlign w:val="bottom"/>
            <w:hideMark/>
          </w:tcPr>
          <w:p w14:paraId="72A48742" w14:textId="77777777" w:rsidR="00DB4B18" w:rsidRPr="00DB4B18" w:rsidRDefault="00DB4B18" w:rsidP="00DB4B18">
            <w:pPr>
              <w:spacing w:after="0"/>
              <w:jc w:val="right"/>
              <w:rPr>
                <w:rFonts w:ascii="Arial" w:hAnsi="Arial" w:cs="Arial"/>
                <w:color w:val="31869B"/>
                <w:sz w:val="16"/>
                <w:szCs w:val="16"/>
              </w:rPr>
            </w:pPr>
            <w:r w:rsidRPr="00DB4B18">
              <w:rPr>
                <w:rFonts w:ascii="Arial" w:hAnsi="Arial" w:cs="Arial"/>
                <w:color w:val="31869B"/>
                <w:sz w:val="16"/>
                <w:szCs w:val="16"/>
              </w:rPr>
              <w:t> </w:t>
            </w:r>
          </w:p>
        </w:tc>
        <w:tc>
          <w:tcPr>
            <w:tcW w:w="879" w:type="dxa"/>
            <w:tcBorders>
              <w:top w:val="nil"/>
              <w:left w:val="nil"/>
              <w:bottom w:val="nil"/>
              <w:right w:val="nil"/>
            </w:tcBorders>
            <w:shd w:val="clear" w:color="auto" w:fill="auto"/>
            <w:noWrap/>
            <w:vAlign w:val="bottom"/>
            <w:hideMark/>
          </w:tcPr>
          <w:p w14:paraId="2CE5DFE5" w14:textId="77777777" w:rsidR="00DB4B18" w:rsidRPr="00DB4B18" w:rsidRDefault="00DB4B18" w:rsidP="00DB4B18">
            <w:pPr>
              <w:spacing w:after="0"/>
              <w:jc w:val="right"/>
              <w:rPr>
                <w:rFonts w:ascii="Arial" w:hAnsi="Arial" w:cs="Arial"/>
                <w:color w:val="31869B"/>
                <w:sz w:val="16"/>
                <w:szCs w:val="16"/>
              </w:rPr>
            </w:pPr>
          </w:p>
        </w:tc>
        <w:tc>
          <w:tcPr>
            <w:tcW w:w="879" w:type="dxa"/>
            <w:tcBorders>
              <w:top w:val="nil"/>
              <w:left w:val="nil"/>
              <w:bottom w:val="nil"/>
              <w:right w:val="nil"/>
            </w:tcBorders>
            <w:shd w:val="clear" w:color="auto" w:fill="auto"/>
            <w:noWrap/>
            <w:vAlign w:val="bottom"/>
            <w:hideMark/>
          </w:tcPr>
          <w:p w14:paraId="09CB23D8" w14:textId="77777777" w:rsidR="00DB4B18" w:rsidRPr="00DB4B18" w:rsidRDefault="00DB4B18" w:rsidP="00DB4B18">
            <w:pPr>
              <w:spacing w:after="0"/>
              <w:jc w:val="right"/>
              <w:rPr>
                <w:rFonts w:ascii="Times New Roman" w:hAnsi="Times New Roman"/>
                <w:color w:val="auto"/>
                <w:sz w:val="20"/>
              </w:rPr>
            </w:pPr>
          </w:p>
        </w:tc>
        <w:tc>
          <w:tcPr>
            <w:tcW w:w="783" w:type="dxa"/>
            <w:tcBorders>
              <w:top w:val="nil"/>
              <w:left w:val="nil"/>
              <w:bottom w:val="nil"/>
              <w:right w:val="nil"/>
            </w:tcBorders>
            <w:shd w:val="clear" w:color="auto" w:fill="auto"/>
            <w:noWrap/>
            <w:vAlign w:val="bottom"/>
            <w:hideMark/>
          </w:tcPr>
          <w:p w14:paraId="512ACC2A" w14:textId="77777777" w:rsidR="00DB4B18" w:rsidRPr="00DB4B18" w:rsidRDefault="00DB4B18" w:rsidP="00DB4B18">
            <w:pPr>
              <w:spacing w:after="0"/>
              <w:jc w:val="right"/>
              <w:rPr>
                <w:rFonts w:ascii="Times New Roman" w:hAnsi="Times New Roman"/>
                <w:color w:val="auto"/>
                <w:sz w:val="20"/>
              </w:rPr>
            </w:pPr>
          </w:p>
        </w:tc>
      </w:tr>
      <w:tr w:rsidR="00B810D4" w:rsidRPr="00DB4B18" w14:paraId="438257D1" w14:textId="77777777" w:rsidTr="004A5DBA">
        <w:trPr>
          <w:trHeight w:val="225"/>
          <w:jc w:val="center"/>
        </w:trPr>
        <w:tc>
          <w:tcPr>
            <w:tcW w:w="3052" w:type="dxa"/>
            <w:tcBorders>
              <w:top w:val="nil"/>
              <w:left w:val="nil"/>
              <w:bottom w:val="nil"/>
              <w:right w:val="nil"/>
            </w:tcBorders>
            <w:shd w:val="clear" w:color="auto" w:fill="auto"/>
            <w:noWrap/>
            <w:vAlign w:val="bottom"/>
            <w:hideMark/>
          </w:tcPr>
          <w:p w14:paraId="5328C62E" w14:textId="77777777" w:rsidR="00DB4B18" w:rsidRPr="00DB4B18" w:rsidRDefault="00DB4B18" w:rsidP="00DB4B18">
            <w:pPr>
              <w:spacing w:after="0"/>
              <w:ind w:firstLineChars="200" w:firstLine="320"/>
              <w:rPr>
                <w:rFonts w:ascii="Arial" w:hAnsi="Arial" w:cs="Arial"/>
                <w:sz w:val="16"/>
                <w:szCs w:val="16"/>
              </w:rPr>
            </w:pPr>
            <w:r w:rsidRPr="00DB4B18">
              <w:rPr>
                <w:rFonts w:ascii="Arial" w:hAnsi="Arial" w:cs="Arial"/>
                <w:sz w:val="16"/>
                <w:szCs w:val="16"/>
              </w:rPr>
              <w:t>Leases</w:t>
            </w:r>
          </w:p>
        </w:tc>
        <w:tc>
          <w:tcPr>
            <w:tcW w:w="918" w:type="dxa"/>
            <w:tcBorders>
              <w:top w:val="nil"/>
              <w:left w:val="nil"/>
              <w:bottom w:val="nil"/>
              <w:right w:val="nil"/>
            </w:tcBorders>
            <w:shd w:val="clear" w:color="auto" w:fill="auto"/>
            <w:noWrap/>
            <w:vAlign w:val="bottom"/>
            <w:hideMark/>
          </w:tcPr>
          <w:p w14:paraId="5E47B10B"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32,391</w:t>
            </w:r>
          </w:p>
        </w:tc>
        <w:tc>
          <w:tcPr>
            <w:tcW w:w="879" w:type="dxa"/>
            <w:tcBorders>
              <w:top w:val="nil"/>
              <w:left w:val="nil"/>
              <w:bottom w:val="nil"/>
              <w:right w:val="nil"/>
            </w:tcBorders>
            <w:shd w:val="clear" w:color="auto" w:fill="D9D9D9" w:themeFill="background1" w:themeFillShade="D9"/>
            <w:noWrap/>
            <w:vAlign w:val="bottom"/>
            <w:hideMark/>
          </w:tcPr>
          <w:p w14:paraId="7F5FE722"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28,197</w:t>
            </w:r>
          </w:p>
        </w:tc>
        <w:tc>
          <w:tcPr>
            <w:tcW w:w="879" w:type="dxa"/>
            <w:tcBorders>
              <w:top w:val="nil"/>
              <w:left w:val="nil"/>
              <w:bottom w:val="nil"/>
              <w:right w:val="nil"/>
            </w:tcBorders>
            <w:shd w:val="clear" w:color="auto" w:fill="auto"/>
            <w:noWrap/>
            <w:vAlign w:val="bottom"/>
            <w:hideMark/>
          </w:tcPr>
          <w:p w14:paraId="1D32F206"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24,924</w:t>
            </w:r>
          </w:p>
        </w:tc>
        <w:tc>
          <w:tcPr>
            <w:tcW w:w="879" w:type="dxa"/>
            <w:tcBorders>
              <w:top w:val="nil"/>
              <w:left w:val="nil"/>
              <w:bottom w:val="nil"/>
              <w:right w:val="nil"/>
            </w:tcBorders>
            <w:shd w:val="clear" w:color="auto" w:fill="auto"/>
            <w:noWrap/>
            <w:vAlign w:val="bottom"/>
            <w:hideMark/>
          </w:tcPr>
          <w:p w14:paraId="467B8E98"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20,425</w:t>
            </w:r>
          </w:p>
        </w:tc>
        <w:tc>
          <w:tcPr>
            <w:tcW w:w="783" w:type="dxa"/>
            <w:tcBorders>
              <w:top w:val="nil"/>
              <w:left w:val="nil"/>
              <w:bottom w:val="nil"/>
              <w:right w:val="nil"/>
            </w:tcBorders>
            <w:shd w:val="clear" w:color="auto" w:fill="auto"/>
            <w:noWrap/>
            <w:vAlign w:val="bottom"/>
            <w:hideMark/>
          </w:tcPr>
          <w:p w14:paraId="0D1A42D3"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15,816</w:t>
            </w:r>
          </w:p>
        </w:tc>
      </w:tr>
      <w:tr w:rsidR="00B810D4" w:rsidRPr="00DB4B18" w14:paraId="36CCD27D" w14:textId="77777777" w:rsidTr="004A5DBA">
        <w:trPr>
          <w:trHeight w:val="225"/>
          <w:jc w:val="center"/>
        </w:trPr>
        <w:tc>
          <w:tcPr>
            <w:tcW w:w="3052" w:type="dxa"/>
            <w:tcBorders>
              <w:top w:val="nil"/>
              <w:left w:val="nil"/>
              <w:bottom w:val="nil"/>
              <w:right w:val="nil"/>
            </w:tcBorders>
            <w:shd w:val="clear" w:color="auto" w:fill="auto"/>
            <w:noWrap/>
            <w:vAlign w:val="bottom"/>
            <w:hideMark/>
          </w:tcPr>
          <w:p w14:paraId="7A6FCB7B" w14:textId="77777777" w:rsidR="00DB4B18" w:rsidRPr="00DB4B18" w:rsidRDefault="00DB4B18" w:rsidP="00DB4B18">
            <w:pPr>
              <w:spacing w:after="0"/>
              <w:ind w:firstLineChars="200" w:firstLine="320"/>
              <w:rPr>
                <w:rFonts w:ascii="Arial" w:hAnsi="Arial" w:cs="Arial"/>
                <w:b/>
                <w:bCs/>
                <w:sz w:val="16"/>
                <w:szCs w:val="16"/>
              </w:rPr>
            </w:pPr>
            <w:r w:rsidRPr="00DB4B18">
              <w:rPr>
                <w:rFonts w:ascii="Arial" w:hAnsi="Arial" w:cs="Arial"/>
                <w:b/>
                <w:bCs/>
                <w:sz w:val="16"/>
                <w:szCs w:val="16"/>
              </w:rPr>
              <w:t>Total interest bearing liabilities</w:t>
            </w:r>
          </w:p>
        </w:tc>
        <w:tc>
          <w:tcPr>
            <w:tcW w:w="918" w:type="dxa"/>
            <w:tcBorders>
              <w:top w:val="nil"/>
              <w:left w:val="nil"/>
              <w:bottom w:val="single" w:sz="4" w:space="0" w:color="auto"/>
              <w:right w:val="nil"/>
            </w:tcBorders>
            <w:shd w:val="clear" w:color="auto" w:fill="auto"/>
            <w:noWrap/>
            <w:vAlign w:val="bottom"/>
            <w:hideMark/>
          </w:tcPr>
          <w:p w14:paraId="2DDE36BB" w14:textId="77777777" w:rsidR="00DB4B18" w:rsidRPr="00DB4B18" w:rsidRDefault="00DB4B18" w:rsidP="00DB4B18">
            <w:pPr>
              <w:spacing w:after="0"/>
              <w:jc w:val="right"/>
              <w:rPr>
                <w:rFonts w:ascii="Arial" w:hAnsi="Arial" w:cs="Arial"/>
                <w:b/>
                <w:bCs/>
                <w:color w:val="auto"/>
                <w:sz w:val="16"/>
                <w:szCs w:val="16"/>
              </w:rPr>
            </w:pPr>
            <w:r w:rsidRPr="00DB4B18">
              <w:rPr>
                <w:rFonts w:ascii="Arial" w:hAnsi="Arial" w:cs="Arial"/>
                <w:b/>
                <w:bCs/>
                <w:color w:val="auto"/>
                <w:sz w:val="16"/>
                <w:szCs w:val="16"/>
              </w:rPr>
              <w:t>32,391</w:t>
            </w:r>
          </w:p>
        </w:tc>
        <w:tc>
          <w:tcPr>
            <w:tcW w:w="879" w:type="dxa"/>
            <w:tcBorders>
              <w:top w:val="nil"/>
              <w:left w:val="nil"/>
              <w:bottom w:val="single" w:sz="4" w:space="0" w:color="auto"/>
              <w:right w:val="nil"/>
            </w:tcBorders>
            <w:shd w:val="clear" w:color="auto" w:fill="D9D9D9" w:themeFill="background1" w:themeFillShade="D9"/>
            <w:noWrap/>
            <w:vAlign w:val="bottom"/>
            <w:hideMark/>
          </w:tcPr>
          <w:p w14:paraId="40E65FF4" w14:textId="77777777" w:rsidR="00DB4B18" w:rsidRPr="00DB4B18" w:rsidRDefault="00DB4B18" w:rsidP="00DB4B18">
            <w:pPr>
              <w:spacing w:after="0"/>
              <w:jc w:val="right"/>
              <w:rPr>
                <w:rFonts w:ascii="Arial" w:hAnsi="Arial" w:cs="Arial"/>
                <w:b/>
                <w:bCs/>
                <w:color w:val="auto"/>
                <w:sz w:val="16"/>
                <w:szCs w:val="16"/>
              </w:rPr>
            </w:pPr>
            <w:r w:rsidRPr="00DB4B18">
              <w:rPr>
                <w:rFonts w:ascii="Arial" w:hAnsi="Arial" w:cs="Arial"/>
                <w:b/>
                <w:bCs/>
                <w:color w:val="auto"/>
                <w:sz w:val="16"/>
                <w:szCs w:val="16"/>
              </w:rPr>
              <w:t>28,197</w:t>
            </w:r>
          </w:p>
        </w:tc>
        <w:tc>
          <w:tcPr>
            <w:tcW w:w="879" w:type="dxa"/>
            <w:tcBorders>
              <w:top w:val="nil"/>
              <w:left w:val="nil"/>
              <w:bottom w:val="single" w:sz="4" w:space="0" w:color="auto"/>
              <w:right w:val="nil"/>
            </w:tcBorders>
            <w:shd w:val="clear" w:color="auto" w:fill="auto"/>
            <w:noWrap/>
            <w:vAlign w:val="bottom"/>
            <w:hideMark/>
          </w:tcPr>
          <w:p w14:paraId="60FBDA12" w14:textId="77777777" w:rsidR="00DB4B18" w:rsidRPr="00DB4B18" w:rsidRDefault="00DB4B18" w:rsidP="00DB4B18">
            <w:pPr>
              <w:spacing w:after="0"/>
              <w:jc w:val="right"/>
              <w:rPr>
                <w:rFonts w:ascii="Arial" w:hAnsi="Arial" w:cs="Arial"/>
                <w:b/>
                <w:bCs/>
                <w:color w:val="auto"/>
                <w:sz w:val="16"/>
                <w:szCs w:val="16"/>
              </w:rPr>
            </w:pPr>
            <w:r w:rsidRPr="00DB4B18">
              <w:rPr>
                <w:rFonts w:ascii="Arial" w:hAnsi="Arial" w:cs="Arial"/>
                <w:b/>
                <w:bCs/>
                <w:color w:val="auto"/>
                <w:sz w:val="16"/>
                <w:szCs w:val="16"/>
              </w:rPr>
              <w:t>24,924</w:t>
            </w:r>
          </w:p>
        </w:tc>
        <w:tc>
          <w:tcPr>
            <w:tcW w:w="879" w:type="dxa"/>
            <w:tcBorders>
              <w:top w:val="nil"/>
              <w:left w:val="nil"/>
              <w:bottom w:val="single" w:sz="4" w:space="0" w:color="auto"/>
              <w:right w:val="nil"/>
            </w:tcBorders>
            <w:shd w:val="clear" w:color="auto" w:fill="auto"/>
            <w:noWrap/>
            <w:vAlign w:val="bottom"/>
            <w:hideMark/>
          </w:tcPr>
          <w:p w14:paraId="38E9DADA" w14:textId="77777777" w:rsidR="00DB4B18" w:rsidRPr="00DB4B18" w:rsidRDefault="00DB4B18" w:rsidP="00DB4B18">
            <w:pPr>
              <w:spacing w:after="0"/>
              <w:jc w:val="right"/>
              <w:rPr>
                <w:rFonts w:ascii="Arial" w:hAnsi="Arial" w:cs="Arial"/>
                <w:b/>
                <w:bCs/>
                <w:color w:val="auto"/>
                <w:sz w:val="16"/>
                <w:szCs w:val="16"/>
              </w:rPr>
            </w:pPr>
            <w:r w:rsidRPr="00DB4B18">
              <w:rPr>
                <w:rFonts w:ascii="Arial" w:hAnsi="Arial" w:cs="Arial"/>
                <w:b/>
                <w:bCs/>
                <w:color w:val="auto"/>
                <w:sz w:val="16"/>
                <w:szCs w:val="16"/>
              </w:rPr>
              <w:t>20,425</w:t>
            </w:r>
          </w:p>
        </w:tc>
        <w:tc>
          <w:tcPr>
            <w:tcW w:w="783" w:type="dxa"/>
            <w:tcBorders>
              <w:top w:val="nil"/>
              <w:left w:val="nil"/>
              <w:bottom w:val="single" w:sz="4" w:space="0" w:color="auto"/>
              <w:right w:val="nil"/>
            </w:tcBorders>
            <w:shd w:val="clear" w:color="auto" w:fill="auto"/>
            <w:noWrap/>
            <w:vAlign w:val="bottom"/>
            <w:hideMark/>
          </w:tcPr>
          <w:p w14:paraId="7E7DAFC3" w14:textId="77777777" w:rsidR="00DB4B18" w:rsidRPr="00DB4B18" w:rsidRDefault="00DB4B18" w:rsidP="00DB4B18">
            <w:pPr>
              <w:spacing w:after="0"/>
              <w:jc w:val="right"/>
              <w:rPr>
                <w:rFonts w:ascii="Arial" w:hAnsi="Arial" w:cs="Arial"/>
                <w:b/>
                <w:bCs/>
                <w:color w:val="auto"/>
                <w:sz w:val="16"/>
                <w:szCs w:val="16"/>
              </w:rPr>
            </w:pPr>
            <w:r w:rsidRPr="00DB4B18">
              <w:rPr>
                <w:rFonts w:ascii="Arial" w:hAnsi="Arial" w:cs="Arial"/>
                <w:b/>
                <w:bCs/>
                <w:color w:val="auto"/>
                <w:sz w:val="16"/>
                <w:szCs w:val="16"/>
              </w:rPr>
              <w:t>15,816</w:t>
            </w:r>
          </w:p>
        </w:tc>
      </w:tr>
      <w:tr w:rsidR="00B810D4" w:rsidRPr="00DB4B18" w14:paraId="068D26DA" w14:textId="77777777" w:rsidTr="004A5DBA">
        <w:trPr>
          <w:trHeight w:val="283"/>
          <w:jc w:val="center"/>
        </w:trPr>
        <w:tc>
          <w:tcPr>
            <w:tcW w:w="3052" w:type="dxa"/>
            <w:tcBorders>
              <w:top w:val="nil"/>
              <w:left w:val="nil"/>
              <w:bottom w:val="nil"/>
              <w:right w:val="nil"/>
            </w:tcBorders>
            <w:shd w:val="clear" w:color="auto" w:fill="auto"/>
            <w:noWrap/>
            <w:vAlign w:val="bottom"/>
            <w:hideMark/>
          </w:tcPr>
          <w:p w14:paraId="6AB3C89E" w14:textId="77777777" w:rsidR="00DB4B18" w:rsidRPr="00DB4B18" w:rsidRDefault="00DB4B18" w:rsidP="00DB4B18">
            <w:pPr>
              <w:spacing w:after="0"/>
              <w:ind w:firstLineChars="100" w:firstLine="160"/>
              <w:rPr>
                <w:rFonts w:ascii="Arial" w:hAnsi="Arial" w:cs="Arial"/>
                <w:b/>
                <w:bCs/>
                <w:sz w:val="16"/>
                <w:szCs w:val="16"/>
              </w:rPr>
            </w:pPr>
            <w:r w:rsidRPr="00DB4B18">
              <w:rPr>
                <w:rFonts w:ascii="Arial" w:hAnsi="Arial" w:cs="Arial"/>
                <w:b/>
                <w:bCs/>
                <w:sz w:val="16"/>
                <w:szCs w:val="16"/>
              </w:rPr>
              <w:t>Provisions</w:t>
            </w:r>
          </w:p>
        </w:tc>
        <w:tc>
          <w:tcPr>
            <w:tcW w:w="918" w:type="dxa"/>
            <w:tcBorders>
              <w:top w:val="nil"/>
              <w:left w:val="nil"/>
              <w:bottom w:val="nil"/>
              <w:right w:val="nil"/>
            </w:tcBorders>
            <w:shd w:val="clear" w:color="auto" w:fill="auto"/>
            <w:noWrap/>
            <w:vAlign w:val="bottom"/>
            <w:hideMark/>
          </w:tcPr>
          <w:p w14:paraId="0E2452FB" w14:textId="77777777" w:rsidR="00DB4B18" w:rsidRPr="00DB4B18" w:rsidRDefault="00DB4B18" w:rsidP="00DB4B18">
            <w:pPr>
              <w:spacing w:after="0"/>
              <w:ind w:firstLineChars="100" w:firstLine="160"/>
              <w:rPr>
                <w:rFonts w:ascii="Arial" w:hAnsi="Arial" w:cs="Arial"/>
                <w:b/>
                <w:bCs/>
                <w:sz w:val="16"/>
                <w:szCs w:val="16"/>
              </w:rPr>
            </w:pPr>
          </w:p>
        </w:tc>
        <w:tc>
          <w:tcPr>
            <w:tcW w:w="879" w:type="dxa"/>
            <w:tcBorders>
              <w:top w:val="nil"/>
              <w:left w:val="nil"/>
              <w:bottom w:val="nil"/>
              <w:right w:val="nil"/>
            </w:tcBorders>
            <w:shd w:val="clear" w:color="auto" w:fill="D9D9D9" w:themeFill="background1" w:themeFillShade="D9"/>
            <w:noWrap/>
            <w:vAlign w:val="bottom"/>
            <w:hideMark/>
          </w:tcPr>
          <w:p w14:paraId="22902B25" w14:textId="77777777" w:rsidR="00DB4B18" w:rsidRPr="00DB4B18" w:rsidRDefault="00DB4B18" w:rsidP="00DB4B18">
            <w:pPr>
              <w:spacing w:after="0"/>
              <w:jc w:val="right"/>
              <w:rPr>
                <w:rFonts w:ascii="Arial" w:hAnsi="Arial" w:cs="Arial"/>
                <w:color w:val="31869B"/>
                <w:sz w:val="16"/>
                <w:szCs w:val="16"/>
              </w:rPr>
            </w:pPr>
            <w:r w:rsidRPr="00DB4B18">
              <w:rPr>
                <w:rFonts w:ascii="Arial" w:hAnsi="Arial" w:cs="Arial"/>
                <w:color w:val="31869B"/>
                <w:sz w:val="16"/>
                <w:szCs w:val="16"/>
              </w:rPr>
              <w:t> </w:t>
            </w:r>
          </w:p>
        </w:tc>
        <w:tc>
          <w:tcPr>
            <w:tcW w:w="879" w:type="dxa"/>
            <w:tcBorders>
              <w:top w:val="nil"/>
              <w:left w:val="nil"/>
              <w:bottom w:val="nil"/>
              <w:right w:val="nil"/>
            </w:tcBorders>
            <w:shd w:val="clear" w:color="auto" w:fill="auto"/>
            <w:noWrap/>
            <w:vAlign w:val="bottom"/>
            <w:hideMark/>
          </w:tcPr>
          <w:p w14:paraId="0FD3FA9E" w14:textId="77777777" w:rsidR="00DB4B18" w:rsidRPr="00DB4B18" w:rsidRDefault="00DB4B18" w:rsidP="00DB4B18">
            <w:pPr>
              <w:spacing w:after="0"/>
              <w:jc w:val="right"/>
              <w:rPr>
                <w:rFonts w:ascii="Arial" w:hAnsi="Arial" w:cs="Arial"/>
                <w:color w:val="31869B"/>
                <w:sz w:val="16"/>
                <w:szCs w:val="16"/>
              </w:rPr>
            </w:pPr>
          </w:p>
        </w:tc>
        <w:tc>
          <w:tcPr>
            <w:tcW w:w="879" w:type="dxa"/>
            <w:tcBorders>
              <w:top w:val="nil"/>
              <w:left w:val="nil"/>
              <w:bottom w:val="nil"/>
              <w:right w:val="nil"/>
            </w:tcBorders>
            <w:shd w:val="clear" w:color="auto" w:fill="auto"/>
            <w:noWrap/>
            <w:vAlign w:val="bottom"/>
            <w:hideMark/>
          </w:tcPr>
          <w:p w14:paraId="52424083" w14:textId="77777777" w:rsidR="00DB4B18" w:rsidRPr="00DB4B18" w:rsidRDefault="00DB4B18" w:rsidP="00DB4B18">
            <w:pPr>
              <w:spacing w:after="0"/>
              <w:jc w:val="right"/>
              <w:rPr>
                <w:rFonts w:ascii="Times New Roman" w:hAnsi="Times New Roman"/>
                <w:color w:val="auto"/>
                <w:sz w:val="20"/>
              </w:rPr>
            </w:pPr>
          </w:p>
        </w:tc>
        <w:tc>
          <w:tcPr>
            <w:tcW w:w="783" w:type="dxa"/>
            <w:tcBorders>
              <w:top w:val="nil"/>
              <w:left w:val="nil"/>
              <w:bottom w:val="nil"/>
              <w:right w:val="nil"/>
            </w:tcBorders>
            <w:shd w:val="clear" w:color="auto" w:fill="auto"/>
            <w:noWrap/>
            <w:vAlign w:val="bottom"/>
            <w:hideMark/>
          </w:tcPr>
          <w:p w14:paraId="52B1B582" w14:textId="77777777" w:rsidR="00DB4B18" w:rsidRPr="00DB4B18" w:rsidRDefault="00DB4B18" w:rsidP="00DB4B18">
            <w:pPr>
              <w:spacing w:after="0"/>
              <w:jc w:val="right"/>
              <w:rPr>
                <w:rFonts w:ascii="Times New Roman" w:hAnsi="Times New Roman"/>
                <w:color w:val="auto"/>
                <w:sz w:val="20"/>
              </w:rPr>
            </w:pPr>
          </w:p>
        </w:tc>
      </w:tr>
      <w:tr w:rsidR="00B810D4" w:rsidRPr="00DB4B18" w14:paraId="6676B225" w14:textId="77777777" w:rsidTr="004A5DBA">
        <w:trPr>
          <w:trHeight w:val="225"/>
          <w:jc w:val="center"/>
        </w:trPr>
        <w:tc>
          <w:tcPr>
            <w:tcW w:w="3052" w:type="dxa"/>
            <w:tcBorders>
              <w:top w:val="nil"/>
              <w:left w:val="nil"/>
              <w:bottom w:val="nil"/>
              <w:right w:val="nil"/>
            </w:tcBorders>
            <w:shd w:val="clear" w:color="auto" w:fill="auto"/>
            <w:noWrap/>
            <w:vAlign w:val="bottom"/>
            <w:hideMark/>
          </w:tcPr>
          <w:p w14:paraId="70183EE0" w14:textId="77777777" w:rsidR="00DB4B18" w:rsidRPr="00DB4B18" w:rsidRDefault="00DB4B18" w:rsidP="00DB4B18">
            <w:pPr>
              <w:spacing w:after="0"/>
              <w:ind w:firstLineChars="200" w:firstLine="320"/>
              <w:rPr>
                <w:rFonts w:ascii="Arial" w:hAnsi="Arial" w:cs="Arial"/>
                <w:sz w:val="16"/>
                <w:szCs w:val="16"/>
              </w:rPr>
            </w:pPr>
            <w:r w:rsidRPr="00DB4B18">
              <w:rPr>
                <w:rFonts w:ascii="Arial" w:hAnsi="Arial" w:cs="Arial"/>
                <w:sz w:val="16"/>
                <w:szCs w:val="16"/>
              </w:rPr>
              <w:t>Employees</w:t>
            </w:r>
          </w:p>
        </w:tc>
        <w:tc>
          <w:tcPr>
            <w:tcW w:w="918" w:type="dxa"/>
            <w:tcBorders>
              <w:top w:val="nil"/>
              <w:left w:val="nil"/>
              <w:bottom w:val="nil"/>
              <w:right w:val="nil"/>
            </w:tcBorders>
            <w:shd w:val="clear" w:color="auto" w:fill="auto"/>
            <w:noWrap/>
            <w:vAlign w:val="bottom"/>
            <w:hideMark/>
          </w:tcPr>
          <w:p w14:paraId="6D3114BA"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17,158</w:t>
            </w:r>
          </w:p>
        </w:tc>
        <w:tc>
          <w:tcPr>
            <w:tcW w:w="879" w:type="dxa"/>
            <w:tcBorders>
              <w:top w:val="nil"/>
              <w:left w:val="nil"/>
              <w:bottom w:val="nil"/>
              <w:right w:val="nil"/>
            </w:tcBorders>
            <w:shd w:val="clear" w:color="auto" w:fill="D9D9D9" w:themeFill="background1" w:themeFillShade="D9"/>
            <w:noWrap/>
            <w:vAlign w:val="bottom"/>
            <w:hideMark/>
          </w:tcPr>
          <w:p w14:paraId="0EF51F6E"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17,158</w:t>
            </w:r>
          </w:p>
        </w:tc>
        <w:tc>
          <w:tcPr>
            <w:tcW w:w="879" w:type="dxa"/>
            <w:tcBorders>
              <w:top w:val="nil"/>
              <w:left w:val="nil"/>
              <w:bottom w:val="nil"/>
              <w:right w:val="nil"/>
            </w:tcBorders>
            <w:shd w:val="clear" w:color="auto" w:fill="auto"/>
            <w:noWrap/>
            <w:vAlign w:val="bottom"/>
            <w:hideMark/>
          </w:tcPr>
          <w:p w14:paraId="6CC37C2D"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17,158</w:t>
            </w:r>
          </w:p>
        </w:tc>
        <w:tc>
          <w:tcPr>
            <w:tcW w:w="879" w:type="dxa"/>
            <w:tcBorders>
              <w:top w:val="nil"/>
              <w:left w:val="nil"/>
              <w:bottom w:val="nil"/>
              <w:right w:val="nil"/>
            </w:tcBorders>
            <w:shd w:val="clear" w:color="auto" w:fill="auto"/>
            <w:noWrap/>
            <w:vAlign w:val="bottom"/>
            <w:hideMark/>
          </w:tcPr>
          <w:p w14:paraId="227FB38D"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17,158</w:t>
            </w:r>
          </w:p>
        </w:tc>
        <w:tc>
          <w:tcPr>
            <w:tcW w:w="783" w:type="dxa"/>
            <w:tcBorders>
              <w:top w:val="nil"/>
              <w:left w:val="nil"/>
              <w:bottom w:val="nil"/>
              <w:right w:val="nil"/>
            </w:tcBorders>
            <w:shd w:val="clear" w:color="auto" w:fill="auto"/>
            <w:noWrap/>
            <w:vAlign w:val="bottom"/>
            <w:hideMark/>
          </w:tcPr>
          <w:p w14:paraId="1817DC9A"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17,158</w:t>
            </w:r>
          </w:p>
        </w:tc>
      </w:tr>
      <w:tr w:rsidR="00B810D4" w:rsidRPr="00DB4B18" w14:paraId="6900BD92" w14:textId="77777777" w:rsidTr="004A5DBA">
        <w:trPr>
          <w:trHeight w:val="225"/>
          <w:jc w:val="center"/>
        </w:trPr>
        <w:tc>
          <w:tcPr>
            <w:tcW w:w="3052" w:type="dxa"/>
            <w:tcBorders>
              <w:top w:val="nil"/>
              <w:left w:val="nil"/>
              <w:bottom w:val="nil"/>
              <w:right w:val="nil"/>
            </w:tcBorders>
            <w:shd w:val="clear" w:color="auto" w:fill="auto"/>
            <w:noWrap/>
            <w:vAlign w:val="bottom"/>
            <w:hideMark/>
          </w:tcPr>
          <w:p w14:paraId="729D2A1A" w14:textId="77777777" w:rsidR="00DB4B18" w:rsidRPr="00DB4B18" w:rsidRDefault="00DB4B18" w:rsidP="00DB4B18">
            <w:pPr>
              <w:spacing w:after="0"/>
              <w:ind w:firstLineChars="200" w:firstLine="320"/>
              <w:rPr>
                <w:rFonts w:ascii="Arial" w:hAnsi="Arial" w:cs="Arial"/>
                <w:sz w:val="16"/>
                <w:szCs w:val="16"/>
              </w:rPr>
            </w:pPr>
            <w:r w:rsidRPr="00DB4B18">
              <w:rPr>
                <w:rFonts w:ascii="Arial" w:hAnsi="Arial" w:cs="Arial"/>
                <w:sz w:val="16"/>
                <w:szCs w:val="16"/>
              </w:rPr>
              <w:t>Other provisions</w:t>
            </w:r>
          </w:p>
        </w:tc>
        <w:tc>
          <w:tcPr>
            <w:tcW w:w="918" w:type="dxa"/>
            <w:tcBorders>
              <w:top w:val="nil"/>
              <w:left w:val="nil"/>
              <w:bottom w:val="nil"/>
              <w:right w:val="nil"/>
            </w:tcBorders>
            <w:shd w:val="clear" w:color="auto" w:fill="auto"/>
            <w:noWrap/>
            <w:vAlign w:val="bottom"/>
            <w:hideMark/>
          </w:tcPr>
          <w:p w14:paraId="12652088"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720</w:t>
            </w:r>
          </w:p>
        </w:tc>
        <w:tc>
          <w:tcPr>
            <w:tcW w:w="879" w:type="dxa"/>
            <w:tcBorders>
              <w:top w:val="nil"/>
              <w:left w:val="nil"/>
              <w:bottom w:val="nil"/>
              <w:right w:val="nil"/>
            </w:tcBorders>
            <w:shd w:val="clear" w:color="auto" w:fill="D9D9D9" w:themeFill="background1" w:themeFillShade="D9"/>
            <w:noWrap/>
            <w:vAlign w:val="bottom"/>
            <w:hideMark/>
          </w:tcPr>
          <w:p w14:paraId="4C9DC943"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720</w:t>
            </w:r>
          </w:p>
        </w:tc>
        <w:tc>
          <w:tcPr>
            <w:tcW w:w="879" w:type="dxa"/>
            <w:tcBorders>
              <w:top w:val="nil"/>
              <w:left w:val="nil"/>
              <w:bottom w:val="nil"/>
              <w:right w:val="nil"/>
            </w:tcBorders>
            <w:shd w:val="clear" w:color="auto" w:fill="auto"/>
            <w:noWrap/>
            <w:vAlign w:val="bottom"/>
            <w:hideMark/>
          </w:tcPr>
          <w:p w14:paraId="5C3EF098"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720</w:t>
            </w:r>
          </w:p>
        </w:tc>
        <w:tc>
          <w:tcPr>
            <w:tcW w:w="879" w:type="dxa"/>
            <w:tcBorders>
              <w:top w:val="nil"/>
              <w:left w:val="nil"/>
              <w:bottom w:val="nil"/>
              <w:right w:val="nil"/>
            </w:tcBorders>
            <w:shd w:val="clear" w:color="auto" w:fill="auto"/>
            <w:noWrap/>
            <w:vAlign w:val="bottom"/>
            <w:hideMark/>
          </w:tcPr>
          <w:p w14:paraId="75A0EE94"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720</w:t>
            </w:r>
          </w:p>
        </w:tc>
        <w:tc>
          <w:tcPr>
            <w:tcW w:w="783" w:type="dxa"/>
            <w:tcBorders>
              <w:top w:val="nil"/>
              <w:left w:val="nil"/>
              <w:bottom w:val="nil"/>
              <w:right w:val="nil"/>
            </w:tcBorders>
            <w:shd w:val="clear" w:color="auto" w:fill="auto"/>
            <w:noWrap/>
            <w:vAlign w:val="bottom"/>
            <w:hideMark/>
          </w:tcPr>
          <w:p w14:paraId="39ED8B2B"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720</w:t>
            </w:r>
          </w:p>
        </w:tc>
      </w:tr>
      <w:tr w:rsidR="00B810D4" w:rsidRPr="00DB4B18" w14:paraId="67F3044F" w14:textId="77777777" w:rsidTr="004A5DBA">
        <w:trPr>
          <w:trHeight w:val="225"/>
          <w:jc w:val="center"/>
        </w:trPr>
        <w:tc>
          <w:tcPr>
            <w:tcW w:w="3052" w:type="dxa"/>
            <w:tcBorders>
              <w:top w:val="nil"/>
              <w:left w:val="nil"/>
              <w:bottom w:val="nil"/>
              <w:right w:val="nil"/>
            </w:tcBorders>
            <w:shd w:val="clear" w:color="auto" w:fill="auto"/>
            <w:noWrap/>
            <w:vAlign w:val="bottom"/>
            <w:hideMark/>
          </w:tcPr>
          <w:p w14:paraId="5C7578C8" w14:textId="77777777" w:rsidR="00DB4B18" w:rsidRPr="00DB4B18" w:rsidRDefault="00DB4B18" w:rsidP="00DB4B18">
            <w:pPr>
              <w:spacing w:after="0"/>
              <w:ind w:firstLineChars="200" w:firstLine="320"/>
              <w:rPr>
                <w:rFonts w:ascii="Arial" w:hAnsi="Arial" w:cs="Arial"/>
                <w:b/>
                <w:bCs/>
                <w:sz w:val="16"/>
                <w:szCs w:val="16"/>
              </w:rPr>
            </w:pPr>
            <w:r w:rsidRPr="00DB4B18">
              <w:rPr>
                <w:rFonts w:ascii="Arial" w:hAnsi="Arial" w:cs="Arial"/>
                <w:b/>
                <w:bCs/>
                <w:sz w:val="16"/>
                <w:szCs w:val="16"/>
              </w:rPr>
              <w:t>Total provisions</w:t>
            </w:r>
          </w:p>
        </w:tc>
        <w:tc>
          <w:tcPr>
            <w:tcW w:w="918" w:type="dxa"/>
            <w:tcBorders>
              <w:top w:val="nil"/>
              <w:left w:val="nil"/>
              <w:bottom w:val="nil"/>
              <w:right w:val="nil"/>
            </w:tcBorders>
            <w:shd w:val="clear" w:color="auto" w:fill="auto"/>
            <w:noWrap/>
            <w:vAlign w:val="bottom"/>
            <w:hideMark/>
          </w:tcPr>
          <w:p w14:paraId="21A77C55" w14:textId="77777777" w:rsidR="00DB4B18" w:rsidRPr="00DB4B18" w:rsidRDefault="00DB4B18" w:rsidP="00DB4B18">
            <w:pPr>
              <w:spacing w:after="0"/>
              <w:jc w:val="right"/>
              <w:rPr>
                <w:rFonts w:ascii="Arial" w:hAnsi="Arial" w:cs="Arial"/>
                <w:b/>
                <w:bCs/>
                <w:color w:val="auto"/>
                <w:sz w:val="16"/>
                <w:szCs w:val="16"/>
              </w:rPr>
            </w:pPr>
            <w:r w:rsidRPr="00DB4B18">
              <w:rPr>
                <w:rFonts w:ascii="Arial" w:hAnsi="Arial" w:cs="Arial"/>
                <w:b/>
                <w:bCs/>
                <w:color w:val="auto"/>
                <w:sz w:val="16"/>
                <w:szCs w:val="16"/>
              </w:rPr>
              <w:t>17,878</w:t>
            </w:r>
          </w:p>
        </w:tc>
        <w:tc>
          <w:tcPr>
            <w:tcW w:w="879" w:type="dxa"/>
            <w:tcBorders>
              <w:top w:val="nil"/>
              <w:left w:val="nil"/>
              <w:bottom w:val="nil"/>
              <w:right w:val="nil"/>
            </w:tcBorders>
            <w:shd w:val="clear" w:color="auto" w:fill="D9D9D9" w:themeFill="background1" w:themeFillShade="D9"/>
            <w:noWrap/>
            <w:vAlign w:val="bottom"/>
            <w:hideMark/>
          </w:tcPr>
          <w:p w14:paraId="31597D08" w14:textId="77777777" w:rsidR="00DB4B18" w:rsidRPr="00DB4B18" w:rsidRDefault="00DB4B18" w:rsidP="00DB4B18">
            <w:pPr>
              <w:spacing w:after="0"/>
              <w:jc w:val="right"/>
              <w:rPr>
                <w:rFonts w:ascii="Arial" w:hAnsi="Arial" w:cs="Arial"/>
                <w:b/>
                <w:bCs/>
                <w:color w:val="auto"/>
                <w:sz w:val="16"/>
                <w:szCs w:val="16"/>
              </w:rPr>
            </w:pPr>
            <w:r w:rsidRPr="00DB4B18">
              <w:rPr>
                <w:rFonts w:ascii="Arial" w:hAnsi="Arial" w:cs="Arial"/>
                <w:b/>
                <w:bCs/>
                <w:color w:val="auto"/>
                <w:sz w:val="16"/>
                <w:szCs w:val="16"/>
              </w:rPr>
              <w:t>17,878</w:t>
            </w:r>
          </w:p>
        </w:tc>
        <w:tc>
          <w:tcPr>
            <w:tcW w:w="879" w:type="dxa"/>
            <w:tcBorders>
              <w:top w:val="nil"/>
              <w:left w:val="nil"/>
              <w:bottom w:val="nil"/>
              <w:right w:val="nil"/>
            </w:tcBorders>
            <w:shd w:val="clear" w:color="auto" w:fill="auto"/>
            <w:noWrap/>
            <w:vAlign w:val="bottom"/>
            <w:hideMark/>
          </w:tcPr>
          <w:p w14:paraId="511E5F91" w14:textId="77777777" w:rsidR="00DB4B18" w:rsidRPr="00DB4B18" w:rsidRDefault="00DB4B18" w:rsidP="00DB4B18">
            <w:pPr>
              <w:spacing w:after="0"/>
              <w:jc w:val="right"/>
              <w:rPr>
                <w:rFonts w:ascii="Arial" w:hAnsi="Arial" w:cs="Arial"/>
                <w:b/>
                <w:bCs/>
                <w:color w:val="auto"/>
                <w:sz w:val="16"/>
                <w:szCs w:val="16"/>
              </w:rPr>
            </w:pPr>
            <w:r w:rsidRPr="00DB4B18">
              <w:rPr>
                <w:rFonts w:ascii="Arial" w:hAnsi="Arial" w:cs="Arial"/>
                <w:b/>
                <w:bCs/>
                <w:color w:val="auto"/>
                <w:sz w:val="16"/>
                <w:szCs w:val="16"/>
              </w:rPr>
              <w:t>17,878</w:t>
            </w:r>
          </w:p>
        </w:tc>
        <w:tc>
          <w:tcPr>
            <w:tcW w:w="879" w:type="dxa"/>
            <w:tcBorders>
              <w:top w:val="nil"/>
              <w:left w:val="nil"/>
              <w:bottom w:val="nil"/>
              <w:right w:val="nil"/>
            </w:tcBorders>
            <w:shd w:val="clear" w:color="auto" w:fill="auto"/>
            <w:noWrap/>
            <w:vAlign w:val="bottom"/>
            <w:hideMark/>
          </w:tcPr>
          <w:p w14:paraId="15451858" w14:textId="77777777" w:rsidR="00DB4B18" w:rsidRPr="00DB4B18" w:rsidRDefault="00DB4B18" w:rsidP="00DB4B18">
            <w:pPr>
              <w:spacing w:after="0"/>
              <w:jc w:val="right"/>
              <w:rPr>
                <w:rFonts w:ascii="Arial" w:hAnsi="Arial" w:cs="Arial"/>
                <w:b/>
                <w:bCs/>
                <w:color w:val="auto"/>
                <w:sz w:val="16"/>
                <w:szCs w:val="16"/>
              </w:rPr>
            </w:pPr>
            <w:r w:rsidRPr="00DB4B18">
              <w:rPr>
                <w:rFonts w:ascii="Arial" w:hAnsi="Arial" w:cs="Arial"/>
                <w:b/>
                <w:bCs/>
                <w:color w:val="auto"/>
                <w:sz w:val="16"/>
                <w:szCs w:val="16"/>
              </w:rPr>
              <w:t>17,878</w:t>
            </w:r>
          </w:p>
        </w:tc>
        <w:tc>
          <w:tcPr>
            <w:tcW w:w="783" w:type="dxa"/>
            <w:tcBorders>
              <w:top w:val="nil"/>
              <w:left w:val="nil"/>
              <w:bottom w:val="nil"/>
              <w:right w:val="nil"/>
            </w:tcBorders>
            <w:shd w:val="clear" w:color="auto" w:fill="auto"/>
            <w:noWrap/>
            <w:vAlign w:val="bottom"/>
            <w:hideMark/>
          </w:tcPr>
          <w:p w14:paraId="16C39335" w14:textId="77777777" w:rsidR="00DB4B18" w:rsidRPr="00DB4B18" w:rsidRDefault="00DB4B18" w:rsidP="00DB4B18">
            <w:pPr>
              <w:spacing w:after="0"/>
              <w:jc w:val="right"/>
              <w:rPr>
                <w:rFonts w:ascii="Arial" w:hAnsi="Arial" w:cs="Arial"/>
                <w:b/>
                <w:bCs/>
                <w:color w:val="auto"/>
                <w:sz w:val="16"/>
                <w:szCs w:val="16"/>
              </w:rPr>
            </w:pPr>
            <w:r w:rsidRPr="00DB4B18">
              <w:rPr>
                <w:rFonts w:ascii="Arial" w:hAnsi="Arial" w:cs="Arial"/>
                <w:b/>
                <w:bCs/>
                <w:color w:val="auto"/>
                <w:sz w:val="16"/>
                <w:szCs w:val="16"/>
              </w:rPr>
              <w:t>17,878</w:t>
            </w:r>
          </w:p>
        </w:tc>
      </w:tr>
      <w:tr w:rsidR="00B810D4" w:rsidRPr="00DB4B18" w14:paraId="3830A819" w14:textId="77777777" w:rsidTr="004A5DBA">
        <w:trPr>
          <w:trHeight w:val="225"/>
          <w:jc w:val="center"/>
        </w:trPr>
        <w:tc>
          <w:tcPr>
            <w:tcW w:w="3052" w:type="dxa"/>
            <w:tcBorders>
              <w:top w:val="nil"/>
              <w:left w:val="nil"/>
              <w:bottom w:val="nil"/>
              <w:right w:val="nil"/>
            </w:tcBorders>
            <w:shd w:val="clear" w:color="auto" w:fill="auto"/>
            <w:noWrap/>
            <w:vAlign w:val="bottom"/>
            <w:hideMark/>
          </w:tcPr>
          <w:p w14:paraId="70F94368" w14:textId="77777777" w:rsidR="00DB4B18" w:rsidRPr="00DB4B18" w:rsidRDefault="00DB4B18" w:rsidP="00A072C5">
            <w:pPr>
              <w:spacing w:after="0"/>
              <w:ind w:leftChars="75" w:left="143"/>
              <w:rPr>
                <w:rFonts w:ascii="Arial" w:hAnsi="Arial" w:cs="Arial"/>
                <w:b/>
                <w:bCs/>
                <w:sz w:val="16"/>
                <w:szCs w:val="16"/>
              </w:rPr>
            </w:pPr>
            <w:r w:rsidRPr="00DB4B18">
              <w:rPr>
                <w:rFonts w:ascii="Arial" w:hAnsi="Arial" w:cs="Arial"/>
                <w:b/>
                <w:bCs/>
                <w:sz w:val="16"/>
                <w:szCs w:val="16"/>
              </w:rPr>
              <w:t>Total liabilities</w:t>
            </w:r>
          </w:p>
        </w:tc>
        <w:tc>
          <w:tcPr>
            <w:tcW w:w="918" w:type="dxa"/>
            <w:tcBorders>
              <w:top w:val="single" w:sz="4" w:space="0" w:color="auto"/>
              <w:left w:val="nil"/>
              <w:bottom w:val="single" w:sz="4" w:space="0" w:color="auto"/>
              <w:right w:val="nil"/>
            </w:tcBorders>
            <w:shd w:val="clear" w:color="auto" w:fill="auto"/>
            <w:noWrap/>
            <w:vAlign w:val="bottom"/>
            <w:hideMark/>
          </w:tcPr>
          <w:p w14:paraId="259BDE86" w14:textId="77777777" w:rsidR="00DB4B18" w:rsidRPr="00DB4B18" w:rsidRDefault="00DB4B18" w:rsidP="00DB4B18">
            <w:pPr>
              <w:spacing w:after="0"/>
              <w:jc w:val="right"/>
              <w:rPr>
                <w:rFonts w:ascii="Arial" w:hAnsi="Arial" w:cs="Arial"/>
                <w:b/>
                <w:bCs/>
                <w:color w:val="auto"/>
                <w:sz w:val="16"/>
                <w:szCs w:val="16"/>
              </w:rPr>
            </w:pPr>
            <w:r w:rsidRPr="00DB4B18">
              <w:rPr>
                <w:rFonts w:ascii="Arial" w:hAnsi="Arial" w:cs="Arial"/>
                <w:b/>
                <w:bCs/>
                <w:color w:val="auto"/>
                <w:sz w:val="16"/>
                <w:szCs w:val="16"/>
              </w:rPr>
              <w:t>117,331</w:t>
            </w:r>
          </w:p>
        </w:tc>
        <w:tc>
          <w:tcPr>
            <w:tcW w:w="879" w:type="dxa"/>
            <w:tcBorders>
              <w:top w:val="single" w:sz="4" w:space="0" w:color="auto"/>
              <w:left w:val="nil"/>
              <w:bottom w:val="single" w:sz="4" w:space="0" w:color="auto"/>
              <w:right w:val="nil"/>
            </w:tcBorders>
            <w:shd w:val="clear" w:color="auto" w:fill="D9D9D9" w:themeFill="background1" w:themeFillShade="D9"/>
            <w:noWrap/>
            <w:vAlign w:val="bottom"/>
            <w:hideMark/>
          </w:tcPr>
          <w:p w14:paraId="67B48A54" w14:textId="77777777" w:rsidR="00DB4B18" w:rsidRPr="00DB4B18" w:rsidRDefault="00DB4B18" w:rsidP="00DB4B18">
            <w:pPr>
              <w:spacing w:after="0"/>
              <w:jc w:val="right"/>
              <w:rPr>
                <w:rFonts w:ascii="Arial" w:hAnsi="Arial" w:cs="Arial"/>
                <w:b/>
                <w:bCs/>
                <w:color w:val="auto"/>
                <w:sz w:val="16"/>
                <w:szCs w:val="16"/>
              </w:rPr>
            </w:pPr>
            <w:r w:rsidRPr="00DB4B18">
              <w:rPr>
                <w:rFonts w:ascii="Arial" w:hAnsi="Arial" w:cs="Arial"/>
                <w:b/>
                <w:bCs/>
                <w:color w:val="auto"/>
                <w:sz w:val="16"/>
                <w:szCs w:val="16"/>
              </w:rPr>
              <w:t>114,596</w:t>
            </w:r>
          </w:p>
        </w:tc>
        <w:tc>
          <w:tcPr>
            <w:tcW w:w="879" w:type="dxa"/>
            <w:tcBorders>
              <w:top w:val="single" w:sz="4" w:space="0" w:color="auto"/>
              <w:left w:val="nil"/>
              <w:bottom w:val="single" w:sz="4" w:space="0" w:color="auto"/>
              <w:right w:val="nil"/>
            </w:tcBorders>
            <w:shd w:val="clear" w:color="auto" w:fill="auto"/>
            <w:noWrap/>
            <w:vAlign w:val="bottom"/>
            <w:hideMark/>
          </w:tcPr>
          <w:p w14:paraId="142B9594" w14:textId="77777777" w:rsidR="00DB4B18" w:rsidRPr="00DB4B18" w:rsidRDefault="00DB4B18" w:rsidP="00DB4B18">
            <w:pPr>
              <w:spacing w:after="0"/>
              <w:jc w:val="right"/>
              <w:rPr>
                <w:rFonts w:ascii="Arial" w:hAnsi="Arial" w:cs="Arial"/>
                <w:b/>
                <w:bCs/>
                <w:color w:val="auto"/>
                <w:sz w:val="16"/>
                <w:szCs w:val="16"/>
              </w:rPr>
            </w:pPr>
            <w:r w:rsidRPr="00DB4B18">
              <w:rPr>
                <w:rFonts w:ascii="Arial" w:hAnsi="Arial" w:cs="Arial"/>
                <w:b/>
                <w:bCs/>
                <w:color w:val="auto"/>
                <w:sz w:val="16"/>
                <w:szCs w:val="16"/>
              </w:rPr>
              <w:t>111,468</w:t>
            </w:r>
          </w:p>
        </w:tc>
        <w:tc>
          <w:tcPr>
            <w:tcW w:w="879" w:type="dxa"/>
            <w:tcBorders>
              <w:top w:val="single" w:sz="4" w:space="0" w:color="auto"/>
              <w:left w:val="nil"/>
              <w:bottom w:val="single" w:sz="4" w:space="0" w:color="auto"/>
              <w:right w:val="nil"/>
            </w:tcBorders>
            <w:shd w:val="clear" w:color="auto" w:fill="auto"/>
            <w:noWrap/>
            <w:vAlign w:val="bottom"/>
            <w:hideMark/>
          </w:tcPr>
          <w:p w14:paraId="6716192B" w14:textId="77777777" w:rsidR="00DB4B18" w:rsidRPr="00DB4B18" w:rsidRDefault="00DB4B18" w:rsidP="00DB4B18">
            <w:pPr>
              <w:spacing w:after="0"/>
              <w:jc w:val="right"/>
              <w:rPr>
                <w:rFonts w:ascii="Arial" w:hAnsi="Arial" w:cs="Arial"/>
                <w:b/>
                <w:bCs/>
                <w:color w:val="auto"/>
                <w:sz w:val="16"/>
                <w:szCs w:val="16"/>
              </w:rPr>
            </w:pPr>
            <w:r w:rsidRPr="00DB4B18">
              <w:rPr>
                <w:rFonts w:ascii="Arial" w:hAnsi="Arial" w:cs="Arial"/>
                <w:b/>
                <w:bCs/>
                <w:color w:val="auto"/>
                <w:sz w:val="16"/>
                <w:szCs w:val="16"/>
              </w:rPr>
              <w:t>108,169</w:t>
            </w:r>
          </w:p>
        </w:tc>
        <w:tc>
          <w:tcPr>
            <w:tcW w:w="783" w:type="dxa"/>
            <w:tcBorders>
              <w:top w:val="single" w:sz="4" w:space="0" w:color="auto"/>
              <w:left w:val="nil"/>
              <w:bottom w:val="single" w:sz="4" w:space="0" w:color="auto"/>
              <w:right w:val="nil"/>
            </w:tcBorders>
            <w:shd w:val="clear" w:color="auto" w:fill="auto"/>
            <w:noWrap/>
            <w:tcMar>
              <w:left w:w="0" w:type="dxa"/>
              <w:right w:w="0" w:type="dxa"/>
            </w:tcMar>
            <w:vAlign w:val="bottom"/>
            <w:hideMark/>
          </w:tcPr>
          <w:p w14:paraId="55D06E9F" w14:textId="77777777" w:rsidR="00DB4B18" w:rsidRPr="00DB4B18" w:rsidRDefault="00DB4B18" w:rsidP="00DB4B18">
            <w:pPr>
              <w:spacing w:after="0"/>
              <w:jc w:val="right"/>
              <w:rPr>
                <w:rFonts w:ascii="Arial" w:hAnsi="Arial" w:cs="Arial"/>
                <w:b/>
                <w:bCs/>
                <w:color w:val="auto"/>
                <w:sz w:val="16"/>
                <w:szCs w:val="16"/>
              </w:rPr>
            </w:pPr>
            <w:r w:rsidRPr="00DB4B18">
              <w:rPr>
                <w:rFonts w:ascii="Arial" w:hAnsi="Arial" w:cs="Arial"/>
                <w:b/>
                <w:bCs/>
                <w:color w:val="auto"/>
                <w:sz w:val="16"/>
                <w:szCs w:val="16"/>
              </w:rPr>
              <w:t>102,560</w:t>
            </w:r>
          </w:p>
        </w:tc>
      </w:tr>
      <w:tr w:rsidR="00B810D4" w:rsidRPr="00DB4B18" w14:paraId="0716A66E" w14:textId="77777777" w:rsidTr="004A5DBA">
        <w:trPr>
          <w:trHeight w:val="283"/>
          <w:jc w:val="center"/>
        </w:trPr>
        <w:tc>
          <w:tcPr>
            <w:tcW w:w="3052" w:type="dxa"/>
            <w:tcBorders>
              <w:top w:val="nil"/>
              <w:left w:val="nil"/>
              <w:bottom w:val="nil"/>
              <w:right w:val="nil"/>
            </w:tcBorders>
            <w:shd w:val="clear" w:color="auto" w:fill="auto"/>
            <w:noWrap/>
            <w:vAlign w:val="bottom"/>
            <w:hideMark/>
          </w:tcPr>
          <w:p w14:paraId="3DAD94DC" w14:textId="77777777" w:rsidR="00DB4B18" w:rsidRPr="00DB4B18" w:rsidRDefault="00DB4B18" w:rsidP="00DB4B18">
            <w:pPr>
              <w:spacing w:after="0"/>
              <w:rPr>
                <w:rFonts w:ascii="Arial" w:hAnsi="Arial" w:cs="Arial"/>
                <w:b/>
                <w:bCs/>
                <w:sz w:val="16"/>
                <w:szCs w:val="16"/>
              </w:rPr>
            </w:pPr>
            <w:r w:rsidRPr="00DB4B18">
              <w:rPr>
                <w:rFonts w:ascii="Arial" w:hAnsi="Arial" w:cs="Arial"/>
                <w:b/>
                <w:bCs/>
                <w:sz w:val="16"/>
                <w:szCs w:val="16"/>
              </w:rPr>
              <w:t>Net assets</w:t>
            </w:r>
          </w:p>
        </w:tc>
        <w:tc>
          <w:tcPr>
            <w:tcW w:w="918" w:type="dxa"/>
            <w:tcBorders>
              <w:top w:val="nil"/>
              <w:left w:val="nil"/>
              <w:bottom w:val="single" w:sz="4" w:space="0" w:color="auto"/>
              <w:right w:val="nil"/>
            </w:tcBorders>
            <w:shd w:val="clear" w:color="auto" w:fill="auto"/>
            <w:noWrap/>
            <w:vAlign w:val="bottom"/>
            <w:hideMark/>
          </w:tcPr>
          <w:p w14:paraId="4734843A" w14:textId="77777777" w:rsidR="00DB4B18" w:rsidRPr="00DB4B18" w:rsidRDefault="00DB4B18" w:rsidP="00DB4B18">
            <w:pPr>
              <w:spacing w:after="0"/>
              <w:jc w:val="right"/>
              <w:rPr>
                <w:rFonts w:ascii="Arial" w:hAnsi="Arial" w:cs="Arial"/>
                <w:b/>
                <w:bCs/>
                <w:color w:val="auto"/>
                <w:sz w:val="16"/>
                <w:szCs w:val="16"/>
              </w:rPr>
            </w:pPr>
            <w:r w:rsidRPr="00DB4B18">
              <w:rPr>
                <w:rFonts w:ascii="Arial" w:hAnsi="Arial" w:cs="Arial"/>
                <w:b/>
                <w:bCs/>
                <w:color w:val="auto"/>
                <w:sz w:val="16"/>
                <w:szCs w:val="16"/>
              </w:rPr>
              <w:t>35,866</w:t>
            </w:r>
          </w:p>
        </w:tc>
        <w:tc>
          <w:tcPr>
            <w:tcW w:w="879" w:type="dxa"/>
            <w:tcBorders>
              <w:top w:val="nil"/>
              <w:left w:val="nil"/>
              <w:bottom w:val="single" w:sz="4" w:space="0" w:color="auto"/>
              <w:right w:val="nil"/>
            </w:tcBorders>
            <w:shd w:val="clear" w:color="auto" w:fill="D9D9D9" w:themeFill="background1" w:themeFillShade="D9"/>
            <w:noWrap/>
            <w:vAlign w:val="bottom"/>
            <w:hideMark/>
          </w:tcPr>
          <w:p w14:paraId="44C189C6" w14:textId="77777777" w:rsidR="00DB4B18" w:rsidRPr="00DB4B18" w:rsidRDefault="00DB4B18" w:rsidP="00DB4B18">
            <w:pPr>
              <w:spacing w:after="0"/>
              <w:jc w:val="right"/>
              <w:rPr>
                <w:rFonts w:ascii="Arial" w:hAnsi="Arial" w:cs="Arial"/>
                <w:b/>
                <w:bCs/>
                <w:color w:val="auto"/>
                <w:sz w:val="16"/>
                <w:szCs w:val="16"/>
              </w:rPr>
            </w:pPr>
            <w:r w:rsidRPr="00DB4B18">
              <w:rPr>
                <w:rFonts w:ascii="Arial" w:hAnsi="Arial" w:cs="Arial"/>
                <w:b/>
                <w:bCs/>
                <w:color w:val="auto"/>
                <w:sz w:val="16"/>
                <w:szCs w:val="16"/>
              </w:rPr>
              <w:t>32,803</w:t>
            </w:r>
          </w:p>
        </w:tc>
        <w:tc>
          <w:tcPr>
            <w:tcW w:w="879" w:type="dxa"/>
            <w:tcBorders>
              <w:top w:val="nil"/>
              <w:left w:val="nil"/>
              <w:bottom w:val="single" w:sz="4" w:space="0" w:color="auto"/>
              <w:right w:val="nil"/>
            </w:tcBorders>
            <w:shd w:val="clear" w:color="auto" w:fill="auto"/>
            <w:noWrap/>
            <w:vAlign w:val="bottom"/>
            <w:hideMark/>
          </w:tcPr>
          <w:p w14:paraId="4FCF4F90" w14:textId="77777777" w:rsidR="00DB4B18" w:rsidRPr="00DB4B18" w:rsidRDefault="00DB4B18" w:rsidP="00DB4B18">
            <w:pPr>
              <w:spacing w:after="0"/>
              <w:jc w:val="right"/>
              <w:rPr>
                <w:rFonts w:ascii="Arial" w:hAnsi="Arial" w:cs="Arial"/>
                <w:b/>
                <w:bCs/>
                <w:color w:val="auto"/>
                <w:sz w:val="16"/>
                <w:szCs w:val="16"/>
              </w:rPr>
            </w:pPr>
            <w:r w:rsidRPr="00DB4B18">
              <w:rPr>
                <w:rFonts w:ascii="Arial" w:hAnsi="Arial" w:cs="Arial"/>
                <w:b/>
                <w:bCs/>
                <w:color w:val="auto"/>
                <w:sz w:val="16"/>
                <w:szCs w:val="16"/>
              </w:rPr>
              <w:t>32,038</w:t>
            </w:r>
          </w:p>
        </w:tc>
        <w:tc>
          <w:tcPr>
            <w:tcW w:w="879" w:type="dxa"/>
            <w:tcBorders>
              <w:top w:val="nil"/>
              <w:left w:val="nil"/>
              <w:bottom w:val="single" w:sz="4" w:space="0" w:color="auto"/>
              <w:right w:val="nil"/>
            </w:tcBorders>
            <w:shd w:val="clear" w:color="auto" w:fill="auto"/>
            <w:noWrap/>
            <w:vAlign w:val="bottom"/>
            <w:hideMark/>
          </w:tcPr>
          <w:p w14:paraId="5F2C30F6" w14:textId="77777777" w:rsidR="00DB4B18" w:rsidRPr="00DB4B18" w:rsidRDefault="00DB4B18" w:rsidP="00DB4B18">
            <w:pPr>
              <w:spacing w:after="0"/>
              <w:jc w:val="right"/>
              <w:rPr>
                <w:rFonts w:ascii="Arial" w:hAnsi="Arial" w:cs="Arial"/>
                <w:b/>
                <w:bCs/>
                <w:color w:val="auto"/>
                <w:sz w:val="16"/>
                <w:szCs w:val="16"/>
              </w:rPr>
            </w:pPr>
            <w:r w:rsidRPr="00DB4B18">
              <w:rPr>
                <w:rFonts w:ascii="Arial" w:hAnsi="Arial" w:cs="Arial"/>
                <w:b/>
                <w:bCs/>
                <w:color w:val="auto"/>
                <w:sz w:val="16"/>
                <w:szCs w:val="16"/>
              </w:rPr>
              <w:t>32,035</w:t>
            </w:r>
          </w:p>
        </w:tc>
        <w:tc>
          <w:tcPr>
            <w:tcW w:w="783" w:type="dxa"/>
            <w:tcBorders>
              <w:top w:val="nil"/>
              <w:left w:val="nil"/>
              <w:bottom w:val="single" w:sz="4" w:space="0" w:color="auto"/>
              <w:right w:val="nil"/>
            </w:tcBorders>
            <w:shd w:val="clear" w:color="auto" w:fill="auto"/>
            <w:noWrap/>
            <w:vAlign w:val="bottom"/>
            <w:hideMark/>
          </w:tcPr>
          <w:p w14:paraId="3D5F2B8D" w14:textId="77777777" w:rsidR="00DB4B18" w:rsidRPr="00DB4B18" w:rsidRDefault="00DB4B18" w:rsidP="00DB4B18">
            <w:pPr>
              <w:spacing w:after="0"/>
              <w:jc w:val="right"/>
              <w:rPr>
                <w:rFonts w:ascii="Arial" w:hAnsi="Arial" w:cs="Arial"/>
                <w:b/>
                <w:bCs/>
                <w:color w:val="auto"/>
                <w:sz w:val="16"/>
                <w:szCs w:val="16"/>
              </w:rPr>
            </w:pPr>
            <w:r w:rsidRPr="00DB4B18">
              <w:rPr>
                <w:rFonts w:ascii="Arial" w:hAnsi="Arial" w:cs="Arial"/>
                <w:b/>
                <w:bCs/>
                <w:color w:val="auto"/>
                <w:sz w:val="16"/>
                <w:szCs w:val="16"/>
              </w:rPr>
              <w:t>32,188</w:t>
            </w:r>
          </w:p>
        </w:tc>
      </w:tr>
      <w:tr w:rsidR="00B810D4" w:rsidRPr="00DB4B18" w14:paraId="5302EF1F" w14:textId="77777777" w:rsidTr="004A5DBA">
        <w:trPr>
          <w:trHeight w:val="283"/>
          <w:jc w:val="center"/>
        </w:trPr>
        <w:tc>
          <w:tcPr>
            <w:tcW w:w="3052" w:type="dxa"/>
            <w:tcBorders>
              <w:top w:val="nil"/>
              <w:left w:val="nil"/>
              <w:bottom w:val="nil"/>
              <w:right w:val="nil"/>
            </w:tcBorders>
            <w:shd w:val="clear" w:color="auto" w:fill="auto"/>
            <w:noWrap/>
            <w:vAlign w:val="bottom"/>
            <w:hideMark/>
          </w:tcPr>
          <w:p w14:paraId="0AFB7426" w14:textId="77777777" w:rsidR="00DB4B18" w:rsidRPr="00DB4B18" w:rsidRDefault="00DB4B18" w:rsidP="00DB4B18">
            <w:pPr>
              <w:spacing w:after="0"/>
              <w:rPr>
                <w:rFonts w:ascii="Arial" w:hAnsi="Arial" w:cs="Arial"/>
                <w:b/>
                <w:bCs/>
                <w:sz w:val="16"/>
                <w:szCs w:val="16"/>
              </w:rPr>
            </w:pPr>
            <w:r w:rsidRPr="00DB4B18">
              <w:rPr>
                <w:rFonts w:ascii="Arial" w:hAnsi="Arial" w:cs="Arial"/>
                <w:b/>
                <w:bCs/>
                <w:sz w:val="16"/>
                <w:szCs w:val="16"/>
              </w:rPr>
              <w:t>EQUITY</w:t>
            </w:r>
          </w:p>
        </w:tc>
        <w:tc>
          <w:tcPr>
            <w:tcW w:w="918" w:type="dxa"/>
            <w:tcBorders>
              <w:top w:val="nil"/>
              <w:left w:val="nil"/>
              <w:bottom w:val="nil"/>
              <w:right w:val="nil"/>
            </w:tcBorders>
            <w:shd w:val="clear" w:color="auto" w:fill="auto"/>
            <w:noWrap/>
            <w:vAlign w:val="bottom"/>
            <w:hideMark/>
          </w:tcPr>
          <w:p w14:paraId="6BA39365" w14:textId="77777777" w:rsidR="00DB4B18" w:rsidRPr="00DB4B18" w:rsidRDefault="00DB4B18" w:rsidP="00DB4B18">
            <w:pPr>
              <w:spacing w:after="0"/>
              <w:rPr>
                <w:rFonts w:ascii="Arial" w:hAnsi="Arial" w:cs="Arial"/>
                <w:b/>
                <w:bCs/>
                <w:sz w:val="16"/>
                <w:szCs w:val="16"/>
              </w:rPr>
            </w:pPr>
          </w:p>
        </w:tc>
        <w:tc>
          <w:tcPr>
            <w:tcW w:w="879" w:type="dxa"/>
            <w:tcBorders>
              <w:top w:val="nil"/>
              <w:left w:val="nil"/>
              <w:bottom w:val="nil"/>
              <w:right w:val="nil"/>
            </w:tcBorders>
            <w:shd w:val="clear" w:color="auto" w:fill="D9D9D9" w:themeFill="background1" w:themeFillShade="D9"/>
            <w:noWrap/>
            <w:vAlign w:val="bottom"/>
            <w:hideMark/>
          </w:tcPr>
          <w:p w14:paraId="7D5A6F5E" w14:textId="77777777" w:rsidR="00DB4B18" w:rsidRPr="00DB4B18" w:rsidRDefault="00DB4B18" w:rsidP="00DB4B18">
            <w:pPr>
              <w:spacing w:after="0"/>
              <w:jc w:val="right"/>
              <w:rPr>
                <w:rFonts w:ascii="Arial" w:hAnsi="Arial" w:cs="Arial"/>
                <w:color w:val="31869B"/>
                <w:sz w:val="16"/>
                <w:szCs w:val="16"/>
              </w:rPr>
            </w:pPr>
            <w:r w:rsidRPr="00DB4B18">
              <w:rPr>
                <w:rFonts w:ascii="Arial" w:hAnsi="Arial" w:cs="Arial"/>
                <w:color w:val="31869B"/>
                <w:sz w:val="16"/>
                <w:szCs w:val="16"/>
              </w:rPr>
              <w:t> </w:t>
            </w:r>
          </w:p>
        </w:tc>
        <w:tc>
          <w:tcPr>
            <w:tcW w:w="879" w:type="dxa"/>
            <w:tcBorders>
              <w:top w:val="nil"/>
              <w:left w:val="nil"/>
              <w:bottom w:val="nil"/>
              <w:right w:val="nil"/>
            </w:tcBorders>
            <w:shd w:val="clear" w:color="auto" w:fill="auto"/>
            <w:noWrap/>
            <w:vAlign w:val="bottom"/>
            <w:hideMark/>
          </w:tcPr>
          <w:p w14:paraId="116F55B9" w14:textId="77777777" w:rsidR="00DB4B18" w:rsidRPr="00DB4B18" w:rsidRDefault="00DB4B18" w:rsidP="00DB4B18">
            <w:pPr>
              <w:spacing w:after="0"/>
              <w:jc w:val="right"/>
              <w:rPr>
                <w:rFonts w:ascii="Arial" w:hAnsi="Arial" w:cs="Arial"/>
                <w:color w:val="31869B"/>
                <w:sz w:val="16"/>
                <w:szCs w:val="16"/>
              </w:rPr>
            </w:pPr>
          </w:p>
        </w:tc>
        <w:tc>
          <w:tcPr>
            <w:tcW w:w="879" w:type="dxa"/>
            <w:tcBorders>
              <w:top w:val="nil"/>
              <w:left w:val="nil"/>
              <w:bottom w:val="nil"/>
              <w:right w:val="nil"/>
            </w:tcBorders>
            <w:shd w:val="clear" w:color="auto" w:fill="auto"/>
            <w:noWrap/>
            <w:vAlign w:val="bottom"/>
            <w:hideMark/>
          </w:tcPr>
          <w:p w14:paraId="77385553" w14:textId="77777777" w:rsidR="00DB4B18" w:rsidRPr="00DB4B18" w:rsidRDefault="00DB4B18" w:rsidP="00DB4B18">
            <w:pPr>
              <w:spacing w:after="0"/>
              <w:jc w:val="right"/>
              <w:rPr>
                <w:rFonts w:ascii="Times New Roman" w:hAnsi="Times New Roman"/>
                <w:color w:val="auto"/>
                <w:sz w:val="20"/>
              </w:rPr>
            </w:pPr>
          </w:p>
        </w:tc>
        <w:tc>
          <w:tcPr>
            <w:tcW w:w="783" w:type="dxa"/>
            <w:tcBorders>
              <w:top w:val="nil"/>
              <w:left w:val="nil"/>
              <w:bottom w:val="nil"/>
              <w:right w:val="nil"/>
            </w:tcBorders>
            <w:shd w:val="clear" w:color="auto" w:fill="auto"/>
            <w:noWrap/>
            <w:vAlign w:val="bottom"/>
            <w:hideMark/>
          </w:tcPr>
          <w:p w14:paraId="472E370E" w14:textId="77777777" w:rsidR="00DB4B18" w:rsidRPr="00DB4B18" w:rsidRDefault="00DB4B18" w:rsidP="00DB4B18">
            <w:pPr>
              <w:spacing w:after="0"/>
              <w:jc w:val="right"/>
              <w:rPr>
                <w:rFonts w:ascii="Times New Roman" w:hAnsi="Times New Roman"/>
                <w:color w:val="auto"/>
                <w:sz w:val="20"/>
              </w:rPr>
            </w:pPr>
          </w:p>
        </w:tc>
      </w:tr>
      <w:tr w:rsidR="00B810D4" w:rsidRPr="00DB4B18" w14:paraId="2D14A39E" w14:textId="77777777" w:rsidTr="004A5DBA">
        <w:trPr>
          <w:trHeight w:val="225"/>
          <w:jc w:val="center"/>
        </w:trPr>
        <w:tc>
          <w:tcPr>
            <w:tcW w:w="3052" w:type="dxa"/>
            <w:tcBorders>
              <w:top w:val="nil"/>
              <w:left w:val="nil"/>
              <w:bottom w:val="nil"/>
              <w:right w:val="nil"/>
            </w:tcBorders>
            <w:shd w:val="clear" w:color="auto" w:fill="auto"/>
            <w:noWrap/>
            <w:vAlign w:val="bottom"/>
            <w:hideMark/>
          </w:tcPr>
          <w:p w14:paraId="329C6CB4" w14:textId="77777777" w:rsidR="00DB4B18" w:rsidRPr="00DB4B18" w:rsidRDefault="00DB4B18" w:rsidP="00A072C5">
            <w:pPr>
              <w:spacing w:after="0"/>
              <w:ind w:leftChars="75" w:left="143"/>
              <w:rPr>
                <w:rFonts w:ascii="Arial" w:hAnsi="Arial" w:cs="Arial"/>
                <w:sz w:val="16"/>
                <w:szCs w:val="16"/>
              </w:rPr>
            </w:pPr>
            <w:r w:rsidRPr="00DB4B18">
              <w:rPr>
                <w:rFonts w:ascii="Arial" w:hAnsi="Arial" w:cs="Arial"/>
                <w:sz w:val="16"/>
                <w:szCs w:val="16"/>
              </w:rPr>
              <w:t>Contributed equity</w:t>
            </w:r>
          </w:p>
        </w:tc>
        <w:tc>
          <w:tcPr>
            <w:tcW w:w="918" w:type="dxa"/>
            <w:tcBorders>
              <w:top w:val="nil"/>
              <w:left w:val="nil"/>
              <w:bottom w:val="nil"/>
              <w:right w:val="nil"/>
            </w:tcBorders>
            <w:shd w:val="clear" w:color="auto" w:fill="auto"/>
            <w:noWrap/>
            <w:vAlign w:val="bottom"/>
            <w:hideMark/>
          </w:tcPr>
          <w:p w14:paraId="3602F335"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31,824</w:t>
            </w:r>
          </w:p>
        </w:tc>
        <w:tc>
          <w:tcPr>
            <w:tcW w:w="879" w:type="dxa"/>
            <w:tcBorders>
              <w:top w:val="nil"/>
              <w:left w:val="nil"/>
              <w:bottom w:val="nil"/>
              <w:right w:val="nil"/>
            </w:tcBorders>
            <w:shd w:val="clear" w:color="auto" w:fill="D9D9D9" w:themeFill="background1" w:themeFillShade="D9"/>
            <w:noWrap/>
            <w:vAlign w:val="bottom"/>
            <w:hideMark/>
          </w:tcPr>
          <w:p w14:paraId="2A390C7A"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31,824</w:t>
            </w:r>
          </w:p>
        </w:tc>
        <w:tc>
          <w:tcPr>
            <w:tcW w:w="879" w:type="dxa"/>
            <w:tcBorders>
              <w:top w:val="nil"/>
              <w:left w:val="nil"/>
              <w:bottom w:val="nil"/>
              <w:right w:val="nil"/>
            </w:tcBorders>
            <w:shd w:val="clear" w:color="auto" w:fill="auto"/>
            <w:noWrap/>
            <w:vAlign w:val="bottom"/>
            <w:hideMark/>
          </w:tcPr>
          <w:p w14:paraId="69A05E16"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31,824</w:t>
            </w:r>
          </w:p>
        </w:tc>
        <w:tc>
          <w:tcPr>
            <w:tcW w:w="879" w:type="dxa"/>
            <w:tcBorders>
              <w:top w:val="nil"/>
              <w:left w:val="nil"/>
              <w:bottom w:val="nil"/>
              <w:right w:val="nil"/>
            </w:tcBorders>
            <w:shd w:val="clear" w:color="auto" w:fill="auto"/>
            <w:noWrap/>
            <w:vAlign w:val="bottom"/>
            <w:hideMark/>
          </w:tcPr>
          <w:p w14:paraId="484673EB"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31,824</w:t>
            </w:r>
          </w:p>
        </w:tc>
        <w:tc>
          <w:tcPr>
            <w:tcW w:w="783" w:type="dxa"/>
            <w:tcBorders>
              <w:top w:val="nil"/>
              <w:left w:val="nil"/>
              <w:bottom w:val="nil"/>
              <w:right w:val="nil"/>
            </w:tcBorders>
            <w:shd w:val="clear" w:color="auto" w:fill="auto"/>
            <w:noWrap/>
            <w:vAlign w:val="bottom"/>
            <w:hideMark/>
          </w:tcPr>
          <w:p w14:paraId="51D9D6DC"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31,824</w:t>
            </w:r>
          </w:p>
        </w:tc>
      </w:tr>
      <w:tr w:rsidR="00B810D4" w:rsidRPr="00DB4B18" w14:paraId="34B72606" w14:textId="77777777" w:rsidTr="004A5DBA">
        <w:trPr>
          <w:trHeight w:val="225"/>
          <w:jc w:val="center"/>
        </w:trPr>
        <w:tc>
          <w:tcPr>
            <w:tcW w:w="3052" w:type="dxa"/>
            <w:tcBorders>
              <w:top w:val="nil"/>
              <w:left w:val="nil"/>
              <w:bottom w:val="nil"/>
              <w:right w:val="nil"/>
            </w:tcBorders>
            <w:shd w:val="clear" w:color="auto" w:fill="auto"/>
            <w:noWrap/>
            <w:vAlign w:val="bottom"/>
            <w:hideMark/>
          </w:tcPr>
          <w:p w14:paraId="0BD5BB3E" w14:textId="77777777" w:rsidR="00DB4B18" w:rsidRPr="00DB4B18" w:rsidRDefault="00DB4B18" w:rsidP="00A072C5">
            <w:pPr>
              <w:spacing w:after="0"/>
              <w:ind w:leftChars="75" w:left="143"/>
              <w:rPr>
                <w:rFonts w:ascii="Arial" w:hAnsi="Arial" w:cs="Arial"/>
                <w:sz w:val="16"/>
                <w:szCs w:val="16"/>
              </w:rPr>
            </w:pPr>
            <w:r w:rsidRPr="00DB4B18">
              <w:rPr>
                <w:rFonts w:ascii="Arial" w:hAnsi="Arial" w:cs="Arial"/>
                <w:sz w:val="16"/>
                <w:szCs w:val="16"/>
              </w:rPr>
              <w:t>Reserves</w:t>
            </w:r>
          </w:p>
        </w:tc>
        <w:tc>
          <w:tcPr>
            <w:tcW w:w="918" w:type="dxa"/>
            <w:tcBorders>
              <w:top w:val="nil"/>
              <w:left w:val="nil"/>
              <w:bottom w:val="nil"/>
              <w:right w:val="nil"/>
            </w:tcBorders>
            <w:shd w:val="clear" w:color="auto" w:fill="auto"/>
            <w:noWrap/>
            <w:vAlign w:val="bottom"/>
            <w:hideMark/>
          </w:tcPr>
          <w:p w14:paraId="217D0102"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1,830</w:t>
            </w:r>
          </w:p>
        </w:tc>
        <w:tc>
          <w:tcPr>
            <w:tcW w:w="879" w:type="dxa"/>
            <w:tcBorders>
              <w:top w:val="nil"/>
              <w:left w:val="nil"/>
              <w:bottom w:val="nil"/>
              <w:right w:val="nil"/>
            </w:tcBorders>
            <w:shd w:val="clear" w:color="auto" w:fill="D9D9D9" w:themeFill="background1" w:themeFillShade="D9"/>
            <w:noWrap/>
            <w:vAlign w:val="bottom"/>
            <w:hideMark/>
          </w:tcPr>
          <w:p w14:paraId="539C6824"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1,830</w:t>
            </w:r>
          </w:p>
        </w:tc>
        <w:tc>
          <w:tcPr>
            <w:tcW w:w="879" w:type="dxa"/>
            <w:tcBorders>
              <w:top w:val="nil"/>
              <w:left w:val="nil"/>
              <w:bottom w:val="nil"/>
              <w:right w:val="nil"/>
            </w:tcBorders>
            <w:shd w:val="clear" w:color="auto" w:fill="auto"/>
            <w:noWrap/>
            <w:vAlign w:val="bottom"/>
            <w:hideMark/>
          </w:tcPr>
          <w:p w14:paraId="325412AF"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1,830</w:t>
            </w:r>
          </w:p>
        </w:tc>
        <w:tc>
          <w:tcPr>
            <w:tcW w:w="879" w:type="dxa"/>
            <w:tcBorders>
              <w:top w:val="nil"/>
              <w:left w:val="nil"/>
              <w:bottom w:val="nil"/>
              <w:right w:val="nil"/>
            </w:tcBorders>
            <w:shd w:val="clear" w:color="auto" w:fill="auto"/>
            <w:noWrap/>
            <w:vAlign w:val="bottom"/>
            <w:hideMark/>
          </w:tcPr>
          <w:p w14:paraId="5E5D82BD"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1,830</w:t>
            </w:r>
          </w:p>
        </w:tc>
        <w:tc>
          <w:tcPr>
            <w:tcW w:w="783" w:type="dxa"/>
            <w:tcBorders>
              <w:top w:val="nil"/>
              <w:left w:val="nil"/>
              <w:bottom w:val="nil"/>
              <w:right w:val="nil"/>
            </w:tcBorders>
            <w:shd w:val="clear" w:color="auto" w:fill="auto"/>
            <w:noWrap/>
            <w:vAlign w:val="bottom"/>
            <w:hideMark/>
          </w:tcPr>
          <w:p w14:paraId="446D6B38"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1,830</w:t>
            </w:r>
          </w:p>
        </w:tc>
      </w:tr>
      <w:tr w:rsidR="00B810D4" w:rsidRPr="00DB4B18" w14:paraId="709DEFC2" w14:textId="77777777" w:rsidTr="004A5DBA">
        <w:trPr>
          <w:trHeight w:val="408"/>
          <w:jc w:val="center"/>
        </w:trPr>
        <w:tc>
          <w:tcPr>
            <w:tcW w:w="3052" w:type="dxa"/>
            <w:tcBorders>
              <w:top w:val="nil"/>
              <w:left w:val="nil"/>
              <w:bottom w:val="nil"/>
              <w:right w:val="nil"/>
            </w:tcBorders>
            <w:shd w:val="clear" w:color="auto" w:fill="auto"/>
            <w:vAlign w:val="bottom"/>
            <w:hideMark/>
          </w:tcPr>
          <w:p w14:paraId="713A967C" w14:textId="77777777" w:rsidR="00DB4B18" w:rsidRPr="00DB4B18" w:rsidRDefault="00DB4B18" w:rsidP="00A072C5">
            <w:pPr>
              <w:spacing w:after="0"/>
              <w:ind w:leftChars="75" w:left="143"/>
              <w:rPr>
                <w:rFonts w:ascii="Arial" w:hAnsi="Arial" w:cs="Arial"/>
                <w:sz w:val="16"/>
                <w:szCs w:val="16"/>
              </w:rPr>
            </w:pPr>
            <w:r w:rsidRPr="00DB4B18">
              <w:rPr>
                <w:rFonts w:ascii="Arial" w:hAnsi="Arial" w:cs="Arial"/>
                <w:sz w:val="16"/>
                <w:szCs w:val="16"/>
              </w:rPr>
              <w:t>Retained surpluses (accumulated deficits)</w:t>
            </w:r>
          </w:p>
        </w:tc>
        <w:tc>
          <w:tcPr>
            <w:tcW w:w="918" w:type="dxa"/>
            <w:tcBorders>
              <w:top w:val="nil"/>
              <w:left w:val="nil"/>
              <w:bottom w:val="nil"/>
              <w:right w:val="nil"/>
            </w:tcBorders>
            <w:shd w:val="clear" w:color="auto" w:fill="auto"/>
            <w:noWrap/>
            <w:vAlign w:val="bottom"/>
            <w:hideMark/>
          </w:tcPr>
          <w:p w14:paraId="6FABF8DF"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2,212</w:t>
            </w:r>
          </w:p>
        </w:tc>
        <w:tc>
          <w:tcPr>
            <w:tcW w:w="879" w:type="dxa"/>
            <w:tcBorders>
              <w:top w:val="nil"/>
              <w:left w:val="nil"/>
              <w:bottom w:val="nil"/>
              <w:right w:val="nil"/>
            </w:tcBorders>
            <w:shd w:val="clear" w:color="auto" w:fill="D9D9D9" w:themeFill="background1" w:themeFillShade="D9"/>
            <w:noWrap/>
            <w:vAlign w:val="bottom"/>
            <w:hideMark/>
          </w:tcPr>
          <w:p w14:paraId="33777D85"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(851)</w:t>
            </w:r>
          </w:p>
        </w:tc>
        <w:tc>
          <w:tcPr>
            <w:tcW w:w="879" w:type="dxa"/>
            <w:tcBorders>
              <w:top w:val="nil"/>
              <w:left w:val="nil"/>
              <w:bottom w:val="nil"/>
              <w:right w:val="nil"/>
            </w:tcBorders>
            <w:shd w:val="clear" w:color="auto" w:fill="auto"/>
            <w:noWrap/>
            <w:vAlign w:val="bottom"/>
            <w:hideMark/>
          </w:tcPr>
          <w:p w14:paraId="0A17308F"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(1,616)</w:t>
            </w:r>
          </w:p>
        </w:tc>
        <w:tc>
          <w:tcPr>
            <w:tcW w:w="879" w:type="dxa"/>
            <w:tcBorders>
              <w:top w:val="nil"/>
              <w:left w:val="nil"/>
              <w:bottom w:val="nil"/>
              <w:right w:val="nil"/>
            </w:tcBorders>
            <w:shd w:val="clear" w:color="auto" w:fill="auto"/>
            <w:noWrap/>
            <w:vAlign w:val="bottom"/>
            <w:hideMark/>
          </w:tcPr>
          <w:p w14:paraId="36AE9E3D"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(1,619)</w:t>
            </w:r>
          </w:p>
        </w:tc>
        <w:tc>
          <w:tcPr>
            <w:tcW w:w="783" w:type="dxa"/>
            <w:tcBorders>
              <w:top w:val="nil"/>
              <w:left w:val="nil"/>
              <w:bottom w:val="nil"/>
              <w:right w:val="nil"/>
            </w:tcBorders>
            <w:shd w:val="clear" w:color="auto" w:fill="auto"/>
            <w:noWrap/>
            <w:vAlign w:val="bottom"/>
            <w:hideMark/>
          </w:tcPr>
          <w:p w14:paraId="63F95E27" w14:textId="77777777" w:rsidR="00DB4B18" w:rsidRPr="00DB4B18" w:rsidRDefault="00DB4B18" w:rsidP="00DB4B18">
            <w:pPr>
              <w:spacing w:after="0"/>
              <w:jc w:val="right"/>
              <w:rPr>
                <w:rFonts w:ascii="Arial" w:hAnsi="Arial" w:cs="Arial"/>
                <w:color w:val="auto"/>
                <w:sz w:val="16"/>
                <w:szCs w:val="16"/>
              </w:rPr>
            </w:pPr>
            <w:r w:rsidRPr="00DB4B18">
              <w:rPr>
                <w:rFonts w:ascii="Arial" w:hAnsi="Arial" w:cs="Arial"/>
                <w:color w:val="auto"/>
                <w:sz w:val="16"/>
                <w:szCs w:val="16"/>
              </w:rPr>
              <w:t>(1,466)</w:t>
            </w:r>
          </w:p>
        </w:tc>
      </w:tr>
      <w:tr w:rsidR="00B810D4" w:rsidRPr="00DB4B18" w14:paraId="60FBBE78" w14:textId="77777777" w:rsidTr="004A5DBA">
        <w:trPr>
          <w:trHeight w:val="225"/>
          <w:jc w:val="center"/>
        </w:trPr>
        <w:tc>
          <w:tcPr>
            <w:tcW w:w="3052" w:type="dxa"/>
            <w:tcBorders>
              <w:top w:val="nil"/>
              <w:left w:val="nil"/>
              <w:bottom w:val="single" w:sz="4" w:space="0" w:color="auto"/>
              <w:right w:val="nil"/>
            </w:tcBorders>
            <w:shd w:val="clear" w:color="auto" w:fill="auto"/>
            <w:noWrap/>
            <w:vAlign w:val="bottom"/>
            <w:hideMark/>
          </w:tcPr>
          <w:p w14:paraId="7603CD66" w14:textId="77777777" w:rsidR="00DB4B18" w:rsidRPr="00DB4B18" w:rsidRDefault="00DB4B18" w:rsidP="00A072C5">
            <w:pPr>
              <w:spacing w:after="0"/>
              <w:ind w:leftChars="75" w:left="143"/>
              <w:rPr>
                <w:rFonts w:ascii="Arial" w:hAnsi="Arial" w:cs="Arial"/>
                <w:b/>
                <w:bCs/>
                <w:sz w:val="16"/>
                <w:szCs w:val="16"/>
              </w:rPr>
            </w:pPr>
            <w:r w:rsidRPr="00DB4B18">
              <w:rPr>
                <w:rFonts w:ascii="Arial" w:hAnsi="Arial" w:cs="Arial"/>
                <w:b/>
                <w:bCs/>
                <w:sz w:val="16"/>
                <w:szCs w:val="16"/>
              </w:rPr>
              <w:t>Total equity</w:t>
            </w:r>
          </w:p>
        </w:tc>
        <w:tc>
          <w:tcPr>
            <w:tcW w:w="918" w:type="dxa"/>
            <w:tcBorders>
              <w:top w:val="nil"/>
              <w:left w:val="nil"/>
              <w:bottom w:val="single" w:sz="4" w:space="0" w:color="auto"/>
              <w:right w:val="nil"/>
            </w:tcBorders>
            <w:shd w:val="clear" w:color="auto" w:fill="auto"/>
            <w:noWrap/>
            <w:vAlign w:val="bottom"/>
            <w:hideMark/>
          </w:tcPr>
          <w:p w14:paraId="0AEBBFDD" w14:textId="77777777" w:rsidR="00DB4B18" w:rsidRPr="00DB4B18" w:rsidRDefault="00DB4B18" w:rsidP="00DB4B18">
            <w:pPr>
              <w:spacing w:after="0"/>
              <w:jc w:val="right"/>
              <w:rPr>
                <w:rFonts w:ascii="Arial" w:hAnsi="Arial" w:cs="Arial"/>
                <w:b/>
                <w:bCs/>
                <w:color w:val="auto"/>
                <w:sz w:val="16"/>
                <w:szCs w:val="16"/>
              </w:rPr>
            </w:pPr>
            <w:r w:rsidRPr="00DB4B18">
              <w:rPr>
                <w:rFonts w:ascii="Arial" w:hAnsi="Arial" w:cs="Arial"/>
                <w:b/>
                <w:bCs/>
                <w:color w:val="auto"/>
                <w:sz w:val="16"/>
                <w:szCs w:val="16"/>
              </w:rPr>
              <w:t>35,866</w:t>
            </w:r>
          </w:p>
        </w:tc>
        <w:tc>
          <w:tcPr>
            <w:tcW w:w="879" w:type="dxa"/>
            <w:tcBorders>
              <w:top w:val="nil"/>
              <w:left w:val="nil"/>
              <w:bottom w:val="single" w:sz="4" w:space="0" w:color="auto"/>
              <w:right w:val="nil"/>
            </w:tcBorders>
            <w:shd w:val="clear" w:color="auto" w:fill="D9D9D9" w:themeFill="background1" w:themeFillShade="D9"/>
            <w:noWrap/>
            <w:vAlign w:val="bottom"/>
            <w:hideMark/>
          </w:tcPr>
          <w:p w14:paraId="112C33DD" w14:textId="77777777" w:rsidR="00DB4B18" w:rsidRPr="00DB4B18" w:rsidRDefault="00DB4B18" w:rsidP="00DB4B18">
            <w:pPr>
              <w:spacing w:after="0"/>
              <w:jc w:val="right"/>
              <w:rPr>
                <w:rFonts w:ascii="Arial" w:hAnsi="Arial" w:cs="Arial"/>
                <w:b/>
                <w:bCs/>
                <w:color w:val="auto"/>
                <w:sz w:val="16"/>
                <w:szCs w:val="16"/>
              </w:rPr>
            </w:pPr>
            <w:r w:rsidRPr="00DB4B18">
              <w:rPr>
                <w:rFonts w:ascii="Arial" w:hAnsi="Arial" w:cs="Arial"/>
                <w:b/>
                <w:bCs/>
                <w:color w:val="auto"/>
                <w:sz w:val="16"/>
                <w:szCs w:val="16"/>
              </w:rPr>
              <w:t>32,803</w:t>
            </w:r>
          </w:p>
        </w:tc>
        <w:tc>
          <w:tcPr>
            <w:tcW w:w="879" w:type="dxa"/>
            <w:tcBorders>
              <w:top w:val="nil"/>
              <w:left w:val="nil"/>
              <w:bottom w:val="single" w:sz="4" w:space="0" w:color="auto"/>
              <w:right w:val="nil"/>
            </w:tcBorders>
            <w:shd w:val="clear" w:color="auto" w:fill="auto"/>
            <w:noWrap/>
            <w:vAlign w:val="bottom"/>
            <w:hideMark/>
          </w:tcPr>
          <w:p w14:paraId="67CE7010" w14:textId="77777777" w:rsidR="00DB4B18" w:rsidRPr="00DB4B18" w:rsidRDefault="00DB4B18" w:rsidP="00DB4B18">
            <w:pPr>
              <w:spacing w:after="0"/>
              <w:jc w:val="right"/>
              <w:rPr>
                <w:rFonts w:ascii="Arial" w:hAnsi="Arial" w:cs="Arial"/>
                <w:b/>
                <w:bCs/>
                <w:color w:val="auto"/>
                <w:sz w:val="16"/>
                <w:szCs w:val="16"/>
              </w:rPr>
            </w:pPr>
            <w:r w:rsidRPr="00DB4B18">
              <w:rPr>
                <w:rFonts w:ascii="Arial" w:hAnsi="Arial" w:cs="Arial"/>
                <w:b/>
                <w:bCs/>
                <w:color w:val="auto"/>
                <w:sz w:val="16"/>
                <w:szCs w:val="16"/>
              </w:rPr>
              <w:t>32,038</w:t>
            </w:r>
          </w:p>
        </w:tc>
        <w:tc>
          <w:tcPr>
            <w:tcW w:w="879" w:type="dxa"/>
            <w:tcBorders>
              <w:top w:val="nil"/>
              <w:left w:val="nil"/>
              <w:bottom w:val="single" w:sz="4" w:space="0" w:color="auto"/>
              <w:right w:val="nil"/>
            </w:tcBorders>
            <w:shd w:val="clear" w:color="auto" w:fill="auto"/>
            <w:noWrap/>
            <w:vAlign w:val="bottom"/>
            <w:hideMark/>
          </w:tcPr>
          <w:p w14:paraId="75ADFA4A" w14:textId="77777777" w:rsidR="00DB4B18" w:rsidRPr="00DB4B18" w:rsidRDefault="00DB4B18" w:rsidP="00DB4B18">
            <w:pPr>
              <w:spacing w:after="0"/>
              <w:jc w:val="right"/>
              <w:rPr>
                <w:rFonts w:ascii="Arial" w:hAnsi="Arial" w:cs="Arial"/>
                <w:b/>
                <w:bCs/>
                <w:color w:val="auto"/>
                <w:sz w:val="16"/>
                <w:szCs w:val="16"/>
              </w:rPr>
            </w:pPr>
            <w:r w:rsidRPr="00DB4B18">
              <w:rPr>
                <w:rFonts w:ascii="Arial" w:hAnsi="Arial" w:cs="Arial"/>
                <w:b/>
                <w:bCs/>
                <w:color w:val="auto"/>
                <w:sz w:val="16"/>
                <w:szCs w:val="16"/>
              </w:rPr>
              <w:t>32,035</w:t>
            </w:r>
          </w:p>
        </w:tc>
        <w:tc>
          <w:tcPr>
            <w:tcW w:w="783" w:type="dxa"/>
            <w:tcBorders>
              <w:top w:val="nil"/>
              <w:left w:val="nil"/>
              <w:bottom w:val="single" w:sz="4" w:space="0" w:color="auto"/>
              <w:right w:val="nil"/>
            </w:tcBorders>
            <w:shd w:val="clear" w:color="auto" w:fill="auto"/>
            <w:noWrap/>
            <w:vAlign w:val="bottom"/>
            <w:hideMark/>
          </w:tcPr>
          <w:p w14:paraId="2E67D8FA" w14:textId="77777777" w:rsidR="00DB4B18" w:rsidRPr="00DB4B18" w:rsidRDefault="00DB4B18" w:rsidP="00DB4B18">
            <w:pPr>
              <w:spacing w:after="0"/>
              <w:jc w:val="right"/>
              <w:rPr>
                <w:rFonts w:ascii="Arial" w:hAnsi="Arial" w:cs="Arial"/>
                <w:b/>
                <w:bCs/>
                <w:color w:val="auto"/>
                <w:sz w:val="16"/>
                <w:szCs w:val="16"/>
              </w:rPr>
            </w:pPr>
            <w:r w:rsidRPr="00DB4B18">
              <w:rPr>
                <w:rFonts w:ascii="Arial" w:hAnsi="Arial" w:cs="Arial"/>
                <w:b/>
                <w:bCs/>
                <w:color w:val="auto"/>
                <w:sz w:val="16"/>
                <w:szCs w:val="16"/>
              </w:rPr>
              <w:t>32,188</w:t>
            </w:r>
          </w:p>
        </w:tc>
      </w:tr>
    </w:tbl>
    <w:p w14:paraId="66AFFBBC" w14:textId="77777777" w:rsidR="004F306B" w:rsidRDefault="004F306B">
      <w:pPr>
        <w:spacing w:after="160" w:line="259" w:lineRule="auto"/>
        <w:rPr>
          <w:rFonts w:ascii="Arial" w:hAnsi="Arial"/>
          <w:b/>
          <w:color w:val="auto"/>
          <w:sz w:val="20"/>
        </w:rPr>
      </w:pPr>
      <w:r>
        <w:rPr>
          <w:rFonts w:ascii="Arial" w:hAnsi="Arial"/>
          <w:b/>
          <w:color w:val="auto"/>
          <w:sz w:val="20"/>
        </w:rPr>
        <w:br w:type="page"/>
      </w:r>
    </w:p>
    <w:p w14:paraId="39473138" w14:textId="77777777" w:rsidR="002A1C99" w:rsidRDefault="00C95982" w:rsidP="002A1C99">
      <w:pPr>
        <w:keepNext/>
        <w:spacing w:before="120"/>
        <w:rPr>
          <w:rFonts w:ascii="Arial" w:hAnsi="Arial"/>
          <w:b/>
          <w:color w:val="auto"/>
          <w:sz w:val="20"/>
        </w:rPr>
      </w:pPr>
      <w:r w:rsidRPr="00C95982">
        <w:rPr>
          <w:rFonts w:ascii="Arial" w:hAnsi="Arial"/>
          <w:b/>
          <w:color w:val="auto"/>
          <w:sz w:val="20"/>
        </w:rPr>
        <w:lastRenderedPageBreak/>
        <w:t>Table 3.3: Departmental statement of changes in equity — summary of movement (Budget year 2022–23)</w:t>
      </w:r>
    </w:p>
    <w:tbl>
      <w:tblPr>
        <w:tblW w:w="7371" w:type="dxa"/>
        <w:jc w:val="center"/>
        <w:tblLayout w:type="fixed"/>
        <w:tblLook w:val="04A0" w:firstRow="1" w:lastRow="0" w:firstColumn="1" w:lastColumn="0" w:noHBand="0" w:noVBand="1"/>
      </w:tblPr>
      <w:tblGrid>
        <w:gridCol w:w="2960"/>
        <w:gridCol w:w="1080"/>
        <w:gridCol w:w="1240"/>
        <w:gridCol w:w="1240"/>
        <w:gridCol w:w="851"/>
      </w:tblGrid>
      <w:tr w:rsidR="00B810D4" w:rsidRPr="00B810D4" w14:paraId="06CFAF6A" w14:textId="77777777" w:rsidTr="00A072C5">
        <w:trPr>
          <w:trHeight w:val="765"/>
          <w:jc w:val="center"/>
        </w:trPr>
        <w:tc>
          <w:tcPr>
            <w:tcW w:w="2960" w:type="dxa"/>
            <w:tcBorders>
              <w:top w:val="single" w:sz="4" w:space="0" w:color="auto"/>
              <w:left w:val="nil"/>
              <w:bottom w:val="nil"/>
              <w:right w:val="nil"/>
            </w:tcBorders>
            <w:shd w:val="clear" w:color="auto" w:fill="auto"/>
            <w:hideMark/>
          </w:tcPr>
          <w:p w14:paraId="7F4A6255" w14:textId="169FC974" w:rsidR="00B810D4" w:rsidRPr="00B810D4" w:rsidRDefault="002A1C99" w:rsidP="00A072C5">
            <w:pPr>
              <w:spacing w:before="40" w:after="0"/>
              <w:jc w:val="right"/>
              <w:rPr>
                <w:rFonts w:ascii="Times New Roman" w:hAnsi="Times New Roman"/>
                <w:color w:val="auto"/>
                <w:sz w:val="20"/>
                <w:szCs w:val="24"/>
              </w:rPr>
            </w:pPr>
            <w:r w:rsidRPr="00A072C5" w:rsidDel="00B810D4">
              <w:rPr>
                <w:rFonts w:ascii="Arial" w:hAnsi="Arial" w:cs="Arial"/>
                <w:color w:val="0000FF"/>
                <w:sz w:val="10"/>
              </w:rPr>
              <w:t xml:space="preserve"> </w:t>
            </w:r>
          </w:p>
        </w:tc>
        <w:tc>
          <w:tcPr>
            <w:tcW w:w="1080" w:type="dxa"/>
            <w:tcBorders>
              <w:top w:val="single" w:sz="4" w:space="0" w:color="auto"/>
              <w:left w:val="nil"/>
              <w:bottom w:val="single" w:sz="4" w:space="0" w:color="auto"/>
              <w:right w:val="nil"/>
            </w:tcBorders>
            <w:shd w:val="clear" w:color="auto" w:fill="auto"/>
            <w:hideMark/>
          </w:tcPr>
          <w:p w14:paraId="63AB4925" w14:textId="77777777" w:rsidR="00B810D4" w:rsidRPr="00B810D4" w:rsidRDefault="00B810D4" w:rsidP="00A072C5">
            <w:pPr>
              <w:spacing w:before="40" w:after="0"/>
              <w:jc w:val="right"/>
              <w:rPr>
                <w:rFonts w:ascii="Arial" w:hAnsi="Arial" w:cs="Arial"/>
                <w:sz w:val="16"/>
                <w:szCs w:val="16"/>
              </w:rPr>
            </w:pPr>
            <w:r w:rsidRPr="00B810D4">
              <w:rPr>
                <w:rFonts w:ascii="Arial" w:hAnsi="Arial" w:cs="Arial"/>
                <w:b/>
                <w:bCs/>
                <w:sz w:val="16"/>
                <w:szCs w:val="16"/>
              </w:rPr>
              <w:t xml:space="preserve">Retained earnings </w:t>
            </w:r>
            <w:r w:rsidRPr="00B810D4">
              <w:rPr>
                <w:rFonts w:ascii="Arial" w:hAnsi="Arial" w:cs="Arial"/>
                <w:sz w:val="16"/>
                <w:szCs w:val="16"/>
              </w:rPr>
              <w:br/>
            </w:r>
            <w:r w:rsidRPr="00B810D4">
              <w:rPr>
                <w:rFonts w:ascii="Arial" w:hAnsi="Arial" w:cs="Arial"/>
                <w:sz w:val="16"/>
                <w:szCs w:val="16"/>
              </w:rPr>
              <w:br/>
              <w:t>$'000</w:t>
            </w:r>
          </w:p>
        </w:tc>
        <w:tc>
          <w:tcPr>
            <w:tcW w:w="1240" w:type="dxa"/>
            <w:tcBorders>
              <w:top w:val="single" w:sz="4" w:space="0" w:color="auto"/>
              <w:left w:val="nil"/>
              <w:bottom w:val="single" w:sz="4" w:space="0" w:color="auto"/>
              <w:right w:val="nil"/>
            </w:tcBorders>
            <w:shd w:val="clear" w:color="auto" w:fill="auto"/>
            <w:hideMark/>
          </w:tcPr>
          <w:p w14:paraId="3D21EA6E" w14:textId="77777777" w:rsidR="00B810D4" w:rsidRPr="00B810D4" w:rsidRDefault="00B810D4" w:rsidP="00A072C5">
            <w:pPr>
              <w:spacing w:before="40" w:after="0"/>
              <w:jc w:val="right"/>
              <w:rPr>
                <w:rFonts w:ascii="Arial" w:hAnsi="Arial" w:cs="Arial"/>
                <w:sz w:val="16"/>
                <w:szCs w:val="16"/>
              </w:rPr>
            </w:pPr>
            <w:r w:rsidRPr="00B810D4">
              <w:rPr>
                <w:rFonts w:ascii="Arial" w:hAnsi="Arial" w:cs="Arial"/>
                <w:b/>
                <w:bCs/>
                <w:sz w:val="16"/>
                <w:szCs w:val="16"/>
              </w:rPr>
              <w:t xml:space="preserve">Asset revaluation reserve </w:t>
            </w:r>
            <w:r w:rsidRPr="00B810D4">
              <w:rPr>
                <w:rFonts w:ascii="Arial" w:hAnsi="Arial" w:cs="Arial"/>
                <w:sz w:val="16"/>
                <w:szCs w:val="16"/>
              </w:rPr>
              <w:br/>
              <w:t>$'000</w:t>
            </w:r>
          </w:p>
        </w:tc>
        <w:tc>
          <w:tcPr>
            <w:tcW w:w="1240" w:type="dxa"/>
            <w:tcBorders>
              <w:top w:val="single" w:sz="4" w:space="0" w:color="auto"/>
              <w:left w:val="nil"/>
              <w:bottom w:val="single" w:sz="4" w:space="0" w:color="auto"/>
              <w:right w:val="nil"/>
            </w:tcBorders>
            <w:shd w:val="clear" w:color="auto" w:fill="auto"/>
            <w:hideMark/>
          </w:tcPr>
          <w:p w14:paraId="592B5D91" w14:textId="77777777" w:rsidR="00B810D4" w:rsidRPr="00B810D4" w:rsidRDefault="00B810D4" w:rsidP="00A072C5">
            <w:pPr>
              <w:spacing w:before="40" w:after="0"/>
              <w:jc w:val="right"/>
              <w:rPr>
                <w:rFonts w:ascii="Arial" w:hAnsi="Arial" w:cs="Arial"/>
                <w:sz w:val="16"/>
                <w:szCs w:val="16"/>
              </w:rPr>
            </w:pPr>
            <w:r w:rsidRPr="00B810D4">
              <w:rPr>
                <w:rFonts w:ascii="Arial" w:hAnsi="Arial" w:cs="Arial"/>
                <w:b/>
                <w:bCs/>
                <w:sz w:val="16"/>
                <w:szCs w:val="16"/>
              </w:rPr>
              <w:t>Contributed equity/</w:t>
            </w:r>
            <w:r w:rsidRPr="00B810D4">
              <w:rPr>
                <w:rFonts w:ascii="Arial" w:hAnsi="Arial" w:cs="Arial"/>
                <w:b/>
                <w:bCs/>
                <w:sz w:val="16"/>
                <w:szCs w:val="16"/>
              </w:rPr>
              <w:br/>
              <w:t xml:space="preserve">capital </w:t>
            </w:r>
            <w:r w:rsidRPr="00B810D4">
              <w:rPr>
                <w:rFonts w:ascii="Arial" w:hAnsi="Arial" w:cs="Arial"/>
                <w:sz w:val="16"/>
                <w:szCs w:val="16"/>
              </w:rPr>
              <w:br/>
              <w:t>$'000</w:t>
            </w:r>
          </w:p>
        </w:tc>
        <w:tc>
          <w:tcPr>
            <w:tcW w:w="851" w:type="dxa"/>
            <w:tcBorders>
              <w:top w:val="single" w:sz="4" w:space="0" w:color="auto"/>
              <w:left w:val="nil"/>
              <w:bottom w:val="single" w:sz="4" w:space="0" w:color="auto"/>
              <w:right w:val="nil"/>
            </w:tcBorders>
            <w:shd w:val="clear" w:color="auto" w:fill="auto"/>
            <w:hideMark/>
          </w:tcPr>
          <w:p w14:paraId="6FB17B2F" w14:textId="77777777" w:rsidR="00B810D4" w:rsidRPr="00B810D4" w:rsidRDefault="00B810D4" w:rsidP="00A072C5">
            <w:pPr>
              <w:spacing w:before="40" w:after="0"/>
              <w:jc w:val="right"/>
              <w:rPr>
                <w:rFonts w:ascii="Arial" w:hAnsi="Arial" w:cs="Arial"/>
                <w:sz w:val="16"/>
                <w:szCs w:val="16"/>
              </w:rPr>
            </w:pPr>
            <w:r w:rsidRPr="00B810D4">
              <w:rPr>
                <w:rFonts w:ascii="Arial" w:hAnsi="Arial" w:cs="Arial"/>
                <w:b/>
                <w:bCs/>
                <w:sz w:val="16"/>
                <w:szCs w:val="16"/>
              </w:rPr>
              <w:t xml:space="preserve">Total </w:t>
            </w:r>
            <w:r w:rsidRPr="00B810D4">
              <w:rPr>
                <w:rFonts w:ascii="Arial" w:hAnsi="Arial" w:cs="Arial"/>
                <w:b/>
                <w:bCs/>
                <w:sz w:val="16"/>
                <w:szCs w:val="16"/>
              </w:rPr>
              <w:br/>
              <w:t xml:space="preserve">equity </w:t>
            </w:r>
            <w:r w:rsidRPr="00B810D4">
              <w:rPr>
                <w:rFonts w:ascii="Arial" w:hAnsi="Arial" w:cs="Arial"/>
                <w:sz w:val="16"/>
                <w:szCs w:val="16"/>
              </w:rPr>
              <w:br/>
            </w:r>
            <w:r w:rsidRPr="00B810D4">
              <w:rPr>
                <w:rFonts w:ascii="Arial" w:hAnsi="Arial" w:cs="Arial"/>
                <w:sz w:val="16"/>
                <w:szCs w:val="16"/>
              </w:rPr>
              <w:br/>
              <w:t>$'000</w:t>
            </w:r>
          </w:p>
        </w:tc>
      </w:tr>
      <w:tr w:rsidR="00B810D4" w:rsidRPr="00B810D4" w14:paraId="40AB027D" w14:textId="77777777" w:rsidTr="00A072C5">
        <w:trPr>
          <w:trHeight w:val="225"/>
          <w:jc w:val="center"/>
        </w:trPr>
        <w:tc>
          <w:tcPr>
            <w:tcW w:w="2960" w:type="dxa"/>
            <w:tcBorders>
              <w:top w:val="nil"/>
              <w:left w:val="nil"/>
              <w:bottom w:val="nil"/>
              <w:right w:val="nil"/>
            </w:tcBorders>
            <w:shd w:val="clear" w:color="auto" w:fill="auto"/>
            <w:noWrap/>
            <w:vAlign w:val="bottom"/>
            <w:hideMark/>
          </w:tcPr>
          <w:p w14:paraId="68893A5D" w14:textId="77777777" w:rsidR="00B810D4" w:rsidRPr="00B810D4" w:rsidRDefault="00B810D4" w:rsidP="00B810D4">
            <w:pPr>
              <w:spacing w:after="0"/>
              <w:rPr>
                <w:rFonts w:ascii="Arial" w:hAnsi="Arial" w:cs="Arial"/>
                <w:b/>
                <w:bCs/>
                <w:sz w:val="16"/>
                <w:szCs w:val="16"/>
              </w:rPr>
            </w:pPr>
            <w:r w:rsidRPr="00B810D4">
              <w:rPr>
                <w:rFonts w:ascii="Arial" w:hAnsi="Arial" w:cs="Arial"/>
                <w:b/>
                <w:bCs/>
                <w:sz w:val="16"/>
                <w:szCs w:val="16"/>
              </w:rPr>
              <w:t>Opening balance as at 1 July 2022</w:t>
            </w:r>
          </w:p>
        </w:tc>
        <w:tc>
          <w:tcPr>
            <w:tcW w:w="1080" w:type="dxa"/>
            <w:tcBorders>
              <w:top w:val="nil"/>
              <w:left w:val="nil"/>
              <w:bottom w:val="nil"/>
              <w:right w:val="nil"/>
            </w:tcBorders>
            <w:shd w:val="clear" w:color="auto" w:fill="auto"/>
            <w:noWrap/>
            <w:vAlign w:val="bottom"/>
            <w:hideMark/>
          </w:tcPr>
          <w:p w14:paraId="7390FF36" w14:textId="77777777" w:rsidR="00B810D4" w:rsidRPr="00B810D4" w:rsidRDefault="00B810D4" w:rsidP="00B810D4">
            <w:pPr>
              <w:spacing w:after="0"/>
              <w:rPr>
                <w:rFonts w:ascii="Arial" w:hAnsi="Arial" w:cs="Arial"/>
                <w:b/>
                <w:bCs/>
                <w:sz w:val="16"/>
                <w:szCs w:val="16"/>
              </w:rPr>
            </w:pPr>
          </w:p>
        </w:tc>
        <w:tc>
          <w:tcPr>
            <w:tcW w:w="1240" w:type="dxa"/>
            <w:tcBorders>
              <w:top w:val="nil"/>
              <w:left w:val="nil"/>
              <w:bottom w:val="nil"/>
              <w:right w:val="nil"/>
            </w:tcBorders>
            <w:shd w:val="clear" w:color="auto" w:fill="auto"/>
            <w:noWrap/>
            <w:vAlign w:val="bottom"/>
            <w:hideMark/>
          </w:tcPr>
          <w:p w14:paraId="1C9BBD5F" w14:textId="77777777" w:rsidR="00B810D4" w:rsidRPr="00B810D4" w:rsidRDefault="00B810D4" w:rsidP="00B810D4">
            <w:pPr>
              <w:spacing w:after="0"/>
              <w:jc w:val="right"/>
              <w:rPr>
                <w:rFonts w:ascii="Times New Roman" w:hAnsi="Times New Roman"/>
                <w:color w:val="auto"/>
                <w:sz w:val="20"/>
              </w:rPr>
            </w:pPr>
          </w:p>
        </w:tc>
        <w:tc>
          <w:tcPr>
            <w:tcW w:w="1240" w:type="dxa"/>
            <w:tcBorders>
              <w:top w:val="nil"/>
              <w:left w:val="nil"/>
              <w:bottom w:val="nil"/>
              <w:right w:val="nil"/>
            </w:tcBorders>
            <w:shd w:val="clear" w:color="auto" w:fill="auto"/>
            <w:noWrap/>
            <w:vAlign w:val="bottom"/>
            <w:hideMark/>
          </w:tcPr>
          <w:p w14:paraId="1DBC97A4" w14:textId="77777777" w:rsidR="00B810D4" w:rsidRPr="00B810D4" w:rsidRDefault="00B810D4" w:rsidP="00B810D4">
            <w:pPr>
              <w:spacing w:after="0"/>
              <w:jc w:val="right"/>
              <w:rPr>
                <w:rFonts w:ascii="Times New Roman" w:hAnsi="Times New Roman"/>
                <w:color w:val="auto"/>
                <w:sz w:val="20"/>
              </w:rPr>
            </w:pPr>
          </w:p>
        </w:tc>
        <w:tc>
          <w:tcPr>
            <w:tcW w:w="851" w:type="dxa"/>
            <w:tcBorders>
              <w:top w:val="nil"/>
              <w:left w:val="nil"/>
              <w:bottom w:val="nil"/>
              <w:right w:val="nil"/>
            </w:tcBorders>
            <w:shd w:val="clear" w:color="auto" w:fill="auto"/>
            <w:noWrap/>
            <w:vAlign w:val="bottom"/>
            <w:hideMark/>
          </w:tcPr>
          <w:p w14:paraId="671235E8" w14:textId="77777777" w:rsidR="00B810D4" w:rsidRPr="00B810D4" w:rsidRDefault="00B810D4" w:rsidP="00B810D4">
            <w:pPr>
              <w:spacing w:after="0"/>
              <w:jc w:val="right"/>
              <w:rPr>
                <w:rFonts w:ascii="Times New Roman" w:hAnsi="Times New Roman"/>
                <w:color w:val="auto"/>
                <w:sz w:val="20"/>
              </w:rPr>
            </w:pPr>
          </w:p>
        </w:tc>
      </w:tr>
      <w:tr w:rsidR="00B810D4" w:rsidRPr="00B810D4" w14:paraId="62759B61" w14:textId="77777777" w:rsidTr="00A072C5">
        <w:trPr>
          <w:trHeight w:val="454"/>
          <w:jc w:val="center"/>
        </w:trPr>
        <w:tc>
          <w:tcPr>
            <w:tcW w:w="2960" w:type="dxa"/>
            <w:tcBorders>
              <w:top w:val="nil"/>
              <w:left w:val="nil"/>
              <w:bottom w:val="nil"/>
              <w:right w:val="nil"/>
            </w:tcBorders>
            <w:shd w:val="clear" w:color="auto" w:fill="auto"/>
            <w:vAlign w:val="bottom"/>
            <w:hideMark/>
          </w:tcPr>
          <w:p w14:paraId="7B8B3CE3" w14:textId="77777777" w:rsidR="00B810D4" w:rsidRPr="00B810D4" w:rsidRDefault="00B810D4" w:rsidP="00A072C5">
            <w:pPr>
              <w:spacing w:after="0"/>
              <w:ind w:leftChars="75" w:left="143"/>
              <w:rPr>
                <w:rFonts w:ascii="Arial" w:hAnsi="Arial" w:cs="Arial"/>
                <w:sz w:val="16"/>
                <w:szCs w:val="16"/>
              </w:rPr>
            </w:pPr>
            <w:r w:rsidRPr="00B810D4">
              <w:rPr>
                <w:rFonts w:ascii="Arial" w:hAnsi="Arial" w:cs="Arial"/>
                <w:sz w:val="16"/>
                <w:szCs w:val="16"/>
              </w:rPr>
              <w:t>Balance carried forward from previous period</w:t>
            </w:r>
          </w:p>
        </w:tc>
        <w:tc>
          <w:tcPr>
            <w:tcW w:w="1080" w:type="dxa"/>
            <w:tcBorders>
              <w:top w:val="nil"/>
              <w:left w:val="nil"/>
              <w:bottom w:val="nil"/>
              <w:right w:val="nil"/>
            </w:tcBorders>
            <w:shd w:val="clear" w:color="auto" w:fill="auto"/>
            <w:noWrap/>
            <w:vAlign w:val="bottom"/>
            <w:hideMark/>
          </w:tcPr>
          <w:p w14:paraId="27ABDB9C" w14:textId="77777777" w:rsidR="00B810D4" w:rsidRPr="00B810D4" w:rsidRDefault="00B810D4" w:rsidP="00B810D4">
            <w:pPr>
              <w:spacing w:after="0"/>
              <w:jc w:val="right"/>
              <w:rPr>
                <w:rFonts w:ascii="Arial" w:hAnsi="Arial" w:cs="Arial"/>
                <w:sz w:val="16"/>
                <w:szCs w:val="16"/>
              </w:rPr>
            </w:pPr>
            <w:r w:rsidRPr="00B810D4">
              <w:rPr>
                <w:rFonts w:ascii="Arial" w:hAnsi="Arial" w:cs="Arial"/>
                <w:sz w:val="16"/>
                <w:szCs w:val="16"/>
              </w:rPr>
              <w:t>2,212</w:t>
            </w:r>
          </w:p>
        </w:tc>
        <w:tc>
          <w:tcPr>
            <w:tcW w:w="1240" w:type="dxa"/>
            <w:tcBorders>
              <w:top w:val="nil"/>
              <w:left w:val="nil"/>
              <w:bottom w:val="nil"/>
              <w:right w:val="nil"/>
            </w:tcBorders>
            <w:shd w:val="clear" w:color="auto" w:fill="auto"/>
            <w:noWrap/>
            <w:vAlign w:val="bottom"/>
            <w:hideMark/>
          </w:tcPr>
          <w:p w14:paraId="0714AEFD" w14:textId="77777777" w:rsidR="00B810D4" w:rsidRPr="00B810D4" w:rsidRDefault="00B810D4" w:rsidP="00B810D4">
            <w:pPr>
              <w:spacing w:after="0"/>
              <w:jc w:val="right"/>
              <w:rPr>
                <w:rFonts w:ascii="Arial" w:hAnsi="Arial" w:cs="Arial"/>
                <w:sz w:val="16"/>
                <w:szCs w:val="16"/>
              </w:rPr>
            </w:pPr>
            <w:r w:rsidRPr="00B810D4">
              <w:rPr>
                <w:rFonts w:ascii="Arial" w:hAnsi="Arial" w:cs="Arial"/>
                <w:sz w:val="16"/>
                <w:szCs w:val="16"/>
              </w:rPr>
              <w:t>1,830</w:t>
            </w:r>
          </w:p>
        </w:tc>
        <w:tc>
          <w:tcPr>
            <w:tcW w:w="1240" w:type="dxa"/>
            <w:tcBorders>
              <w:top w:val="nil"/>
              <w:left w:val="nil"/>
              <w:bottom w:val="nil"/>
              <w:right w:val="nil"/>
            </w:tcBorders>
            <w:shd w:val="clear" w:color="auto" w:fill="auto"/>
            <w:noWrap/>
            <w:vAlign w:val="bottom"/>
            <w:hideMark/>
          </w:tcPr>
          <w:p w14:paraId="3F89E60B" w14:textId="77777777" w:rsidR="00B810D4" w:rsidRPr="00B810D4" w:rsidRDefault="00B810D4" w:rsidP="00B810D4">
            <w:pPr>
              <w:spacing w:after="0"/>
              <w:jc w:val="right"/>
              <w:rPr>
                <w:rFonts w:ascii="Arial" w:hAnsi="Arial" w:cs="Arial"/>
                <w:sz w:val="16"/>
                <w:szCs w:val="16"/>
              </w:rPr>
            </w:pPr>
            <w:r w:rsidRPr="00B810D4">
              <w:rPr>
                <w:rFonts w:ascii="Arial" w:hAnsi="Arial" w:cs="Arial"/>
                <w:sz w:val="16"/>
                <w:szCs w:val="16"/>
              </w:rPr>
              <w:t>31,824</w:t>
            </w:r>
          </w:p>
        </w:tc>
        <w:tc>
          <w:tcPr>
            <w:tcW w:w="851" w:type="dxa"/>
            <w:tcBorders>
              <w:top w:val="nil"/>
              <w:left w:val="nil"/>
              <w:bottom w:val="nil"/>
              <w:right w:val="nil"/>
            </w:tcBorders>
            <w:shd w:val="clear" w:color="auto" w:fill="auto"/>
            <w:noWrap/>
            <w:vAlign w:val="bottom"/>
            <w:hideMark/>
          </w:tcPr>
          <w:p w14:paraId="284B0E70" w14:textId="77777777" w:rsidR="00B810D4" w:rsidRPr="00B810D4" w:rsidRDefault="00B810D4" w:rsidP="00B810D4">
            <w:pPr>
              <w:spacing w:after="0"/>
              <w:jc w:val="right"/>
              <w:rPr>
                <w:rFonts w:ascii="Arial" w:hAnsi="Arial" w:cs="Arial"/>
                <w:b/>
                <w:bCs/>
                <w:sz w:val="16"/>
                <w:szCs w:val="16"/>
              </w:rPr>
            </w:pPr>
            <w:r w:rsidRPr="00B810D4">
              <w:rPr>
                <w:rFonts w:ascii="Arial" w:hAnsi="Arial" w:cs="Arial"/>
                <w:b/>
                <w:bCs/>
                <w:sz w:val="16"/>
                <w:szCs w:val="16"/>
              </w:rPr>
              <w:t>35,866</w:t>
            </w:r>
          </w:p>
        </w:tc>
      </w:tr>
      <w:tr w:rsidR="00B810D4" w:rsidRPr="00B810D4" w14:paraId="5ADAC158" w14:textId="77777777" w:rsidTr="00A072C5">
        <w:trPr>
          <w:trHeight w:val="283"/>
          <w:jc w:val="center"/>
        </w:trPr>
        <w:tc>
          <w:tcPr>
            <w:tcW w:w="2960" w:type="dxa"/>
            <w:tcBorders>
              <w:top w:val="nil"/>
              <w:left w:val="nil"/>
              <w:bottom w:val="nil"/>
              <w:right w:val="nil"/>
            </w:tcBorders>
            <w:shd w:val="clear" w:color="auto" w:fill="auto"/>
            <w:noWrap/>
            <w:vAlign w:val="bottom"/>
            <w:hideMark/>
          </w:tcPr>
          <w:p w14:paraId="54D6B706" w14:textId="77777777" w:rsidR="00B810D4" w:rsidRPr="00B810D4" w:rsidRDefault="00B810D4" w:rsidP="00A072C5">
            <w:pPr>
              <w:spacing w:after="0"/>
              <w:ind w:leftChars="75" w:left="143"/>
              <w:rPr>
                <w:rFonts w:ascii="Arial" w:hAnsi="Arial" w:cs="Arial"/>
                <w:color w:val="auto"/>
                <w:sz w:val="16"/>
                <w:szCs w:val="16"/>
              </w:rPr>
            </w:pPr>
            <w:r w:rsidRPr="00B810D4">
              <w:rPr>
                <w:rFonts w:ascii="Arial" w:hAnsi="Arial" w:cs="Arial"/>
                <w:color w:val="auto"/>
                <w:sz w:val="16"/>
                <w:szCs w:val="16"/>
              </w:rPr>
              <w:t>Surplus (deficit) for the period</w:t>
            </w:r>
          </w:p>
        </w:tc>
        <w:tc>
          <w:tcPr>
            <w:tcW w:w="1080" w:type="dxa"/>
            <w:tcBorders>
              <w:top w:val="nil"/>
              <w:left w:val="nil"/>
              <w:bottom w:val="nil"/>
              <w:right w:val="nil"/>
            </w:tcBorders>
            <w:shd w:val="clear" w:color="auto" w:fill="auto"/>
            <w:noWrap/>
            <w:vAlign w:val="bottom"/>
            <w:hideMark/>
          </w:tcPr>
          <w:p w14:paraId="4C383267" w14:textId="77777777" w:rsidR="00B810D4" w:rsidRPr="00B810D4" w:rsidRDefault="00B810D4" w:rsidP="00B810D4">
            <w:pPr>
              <w:spacing w:after="0"/>
              <w:jc w:val="right"/>
              <w:rPr>
                <w:rFonts w:ascii="Arial" w:hAnsi="Arial" w:cs="Arial"/>
                <w:sz w:val="16"/>
                <w:szCs w:val="16"/>
              </w:rPr>
            </w:pPr>
            <w:r w:rsidRPr="00B810D4">
              <w:rPr>
                <w:rFonts w:ascii="Arial" w:hAnsi="Arial" w:cs="Arial"/>
                <w:sz w:val="16"/>
                <w:szCs w:val="16"/>
              </w:rPr>
              <w:t>(3,063)</w:t>
            </w:r>
          </w:p>
        </w:tc>
        <w:tc>
          <w:tcPr>
            <w:tcW w:w="1240" w:type="dxa"/>
            <w:tcBorders>
              <w:top w:val="nil"/>
              <w:left w:val="nil"/>
              <w:bottom w:val="nil"/>
              <w:right w:val="nil"/>
            </w:tcBorders>
            <w:shd w:val="clear" w:color="auto" w:fill="auto"/>
            <w:noWrap/>
            <w:vAlign w:val="bottom"/>
            <w:hideMark/>
          </w:tcPr>
          <w:p w14:paraId="22F26F5D" w14:textId="77777777" w:rsidR="00B810D4" w:rsidRPr="00B810D4" w:rsidRDefault="00B810D4" w:rsidP="00B810D4">
            <w:pPr>
              <w:spacing w:after="0"/>
              <w:jc w:val="right"/>
              <w:rPr>
                <w:rFonts w:ascii="Arial" w:hAnsi="Arial" w:cs="Arial"/>
                <w:sz w:val="16"/>
                <w:szCs w:val="16"/>
              </w:rPr>
            </w:pPr>
            <w:r w:rsidRPr="00B810D4">
              <w:rPr>
                <w:rFonts w:ascii="Arial" w:hAnsi="Arial" w:cs="Arial"/>
                <w:sz w:val="16"/>
                <w:szCs w:val="16"/>
              </w:rPr>
              <w:t>-</w:t>
            </w:r>
          </w:p>
        </w:tc>
        <w:tc>
          <w:tcPr>
            <w:tcW w:w="1240" w:type="dxa"/>
            <w:tcBorders>
              <w:top w:val="nil"/>
              <w:left w:val="nil"/>
              <w:bottom w:val="nil"/>
              <w:right w:val="nil"/>
            </w:tcBorders>
            <w:shd w:val="clear" w:color="auto" w:fill="auto"/>
            <w:noWrap/>
            <w:vAlign w:val="bottom"/>
            <w:hideMark/>
          </w:tcPr>
          <w:p w14:paraId="49A70360" w14:textId="77777777" w:rsidR="00B810D4" w:rsidRPr="00B810D4" w:rsidRDefault="00B810D4" w:rsidP="00B810D4">
            <w:pPr>
              <w:spacing w:after="0"/>
              <w:jc w:val="right"/>
              <w:rPr>
                <w:rFonts w:ascii="Arial" w:hAnsi="Arial" w:cs="Arial"/>
                <w:sz w:val="16"/>
                <w:szCs w:val="16"/>
              </w:rPr>
            </w:pPr>
            <w:r w:rsidRPr="00B810D4">
              <w:rPr>
                <w:rFonts w:ascii="Arial" w:hAnsi="Arial" w:cs="Arial"/>
                <w:sz w:val="16"/>
                <w:szCs w:val="16"/>
              </w:rPr>
              <w:t>-</w:t>
            </w:r>
          </w:p>
        </w:tc>
        <w:tc>
          <w:tcPr>
            <w:tcW w:w="851" w:type="dxa"/>
            <w:tcBorders>
              <w:top w:val="nil"/>
              <w:left w:val="nil"/>
              <w:bottom w:val="nil"/>
              <w:right w:val="nil"/>
            </w:tcBorders>
            <w:shd w:val="clear" w:color="auto" w:fill="auto"/>
            <w:noWrap/>
            <w:vAlign w:val="bottom"/>
            <w:hideMark/>
          </w:tcPr>
          <w:p w14:paraId="27394362" w14:textId="77777777" w:rsidR="00B810D4" w:rsidRPr="00B810D4" w:rsidRDefault="00B810D4" w:rsidP="00B810D4">
            <w:pPr>
              <w:spacing w:after="0"/>
              <w:jc w:val="right"/>
              <w:rPr>
                <w:rFonts w:ascii="Arial" w:hAnsi="Arial" w:cs="Arial"/>
                <w:b/>
                <w:bCs/>
                <w:sz w:val="16"/>
                <w:szCs w:val="16"/>
              </w:rPr>
            </w:pPr>
            <w:r w:rsidRPr="00B810D4">
              <w:rPr>
                <w:rFonts w:ascii="Arial" w:hAnsi="Arial" w:cs="Arial"/>
                <w:b/>
                <w:bCs/>
                <w:sz w:val="16"/>
                <w:szCs w:val="16"/>
              </w:rPr>
              <w:t>(3,063)</w:t>
            </w:r>
          </w:p>
        </w:tc>
      </w:tr>
      <w:tr w:rsidR="00B810D4" w:rsidRPr="00B810D4" w14:paraId="01A04343" w14:textId="77777777" w:rsidTr="00A072C5">
        <w:trPr>
          <w:trHeight w:val="283"/>
          <w:jc w:val="center"/>
        </w:trPr>
        <w:tc>
          <w:tcPr>
            <w:tcW w:w="2960" w:type="dxa"/>
            <w:tcBorders>
              <w:top w:val="nil"/>
              <w:left w:val="nil"/>
              <w:bottom w:val="single" w:sz="4" w:space="0" w:color="auto"/>
              <w:right w:val="nil"/>
            </w:tcBorders>
            <w:shd w:val="clear" w:color="auto" w:fill="auto"/>
            <w:noWrap/>
            <w:vAlign w:val="bottom"/>
            <w:hideMark/>
          </w:tcPr>
          <w:p w14:paraId="15383665" w14:textId="77777777" w:rsidR="00B810D4" w:rsidRPr="00B810D4" w:rsidRDefault="00B810D4" w:rsidP="00A072C5">
            <w:pPr>
              <w:spacing w:after="0"/>
              <w:ind w:leftChars="75" w:left="143"/>
              <w:rPr>
                <w:rFonts w:ascii="Arial" w:hAnsi="Arial" w:cs="Arial"/>
                <w:sz w:val="16"/>
                <w:szCs w:val="16"/>
              </w:rPr>
            </w:pPr>
            <w:r w:rsidRPr="00B810D4">
              <w:rPr>
                <w:rFonts w:ascii="Arial" w:hAnsi="Arial" w:cs="Arial"/>
                <w:sz w:val="16"/>
                <w:szCs w:val="16"/>
              </w:rPr>
              <w:t>Appropriation (equity injection)</w:t>
            </w:r>
          </w:p>
        </w:tc>
        <w:tc>
          <w:tcPr>
            <w:tcW w:w="1080" w:type="dxa"/>
            <w:tcBorders>
              <w:top w:val="nil"/>
              <w:left w:val="nil"/>
              <w:bottom w:val="nil"/>
              <w:right w:val="nil"/>
            </w:tcBorders>
            <w:shd w:val="clear" w:color="auto" w:fill="auto"/>
            <w:noWrap/>
            <w:vAlign w:val="bottom"/>
            <w:hideMark/>
          </w:tcPr>
          <w:p w14:paraId="288B89F9" w14:textId="77777777" w:rsidR="00B810D4" w:rsidRPr="00B810D4" w:rsidRDefault="00B810D4" w:rsidP="00B810D4">
            <w:pPr>
              <w:spacing w:after="0"/>
              <w:jc w:val="right"/>
              <w:rPr>
                <w:rFonts w:ascii="Arial" w:hAnsi="Arial" w:cs="Arial"/>
                <w:sz w:val="16"/>
                <w:szCs w:val="16"/>
              </w:rPr>
            </w:pPr>
            <w:r w:rsidRPr="00B810D4">
              <w:rPr>
                <w:rFonts w:ascii="Arial" w:hAnsi="Arial" w:cs="Arial"/>
                <w:sz w:val="16"/>
                <w:szCs w:val="16"/>
              </w:rPr>
              <w:t>-</w:t>
            </w:r>
          </w:p>
        </w:tc>
        <w:tc>
          <w:tcPr>
            <w:tcW w:w="1240" w:type="dxa"/>
            <w:tcBorders>
              <w:top w:val="nil"/>
              <w:left w:val="nil"/>
              <w:bottom w:val="nil"/>
              <w:right w:val="nil"/>
            </w:tcBorders>
            <w:shd w:val="clear" w:color="auto" w:fill="auto"/>
            <w:noWrap/>
            <w:vAlign w:val="bottom"/>
            <w:hideMark/>
          </w:tcPr>
          <w:p w14:paraId="0C38E1AA" w14:textId="77777777" w:rsidR="00B810D4" w:rsidRPr="00B810D4" w:rsidRDefault="00B810D4" w:rsidP="00B810D4">
            <w:pPr>
              <w:spacing w:after="0"/>
              <w:jc w:val="right"/>
              <w:rPr>
                <w:rFonts w:ascii="Arial" w:hAnsi="Arial" w:cs="Arial"/>
                <w:sz w:val="16"/>
                <w:szCs w:val="16"/>
              </w:rPr>
            </w:pPr>
            <w:r w:rsidRPr="00B810D4">
              <w:rPr>
                <w:rFonts w:ascii="Arial" w:hAnsi="Arial" w:cs="Arial"/>
                <w:sz w:val="16"/>
                <w:szCs w:val="16"/>
              </w:rPr>
              <w:t>-</w:t>
            </w:r>
          </w:p>
        </w:tc>
        <w:tc>
          <w:tcPr>
            <w:tcW w:w="1240" w:type="dxa"/>
            <w:tcBorders>
              <w:top w:val="nil"/>
              <w:left w:val="nil"/>
              <w:bottom w:val="nil"/>
              <w:right w:val="nil"/>
            </w:tcBorders>
            <w:shd w:val="clear" w:color="auto" w:fill="auto"/>
            <w:noWrap/>
            <w:vAlign w:val="bottom"/>
            <w:hideMark/>
          </w:tcPr>
          <w:p w14:paraId="7D35DFD1" w14:textId="77777777" w:rsidR="00B810D4" w:rsidRPr="00B810D4" w:rsidRDefault="00B810D4" w:rsidP="00B810D4">
            <w:pPr>
              <w:spacing w:after="0"/>
              <w:jc w:val="right"/>
              <w:rPr>
                <w:rFonts w:ascii="Arial" w:hAnsi="Arial" w:cs="Arial"/>
                <w:sz w:val="16"/>
                <w:szCs w:val="16"/>
              </w:rPr>
            </w:pPr>
            <w:r w:rsidRPr="00B810D4">
              <w:rPr>
                <w:rFonts w:ascii="Arial" w:hAnsi="Arial" w:cs="Arial"/>
                <w:sz w:val="16"/>
                <w:szCs w:val="16"/>
              </w:rPr>
              <w:t>-</w:t>
            </w:r>
          </w:p>
        </w:tc>
        <w:tc>
          <w:tcPr>
            <w:tcW w:w="851" w:type="dxa"/>
            <w:tcBorders>
              <w:top w:val="nil"/>
              <w:left w:val="nil"/>
              <w:bottom w:val="nil"/>
              <w:right w:val="nil"/>
            </w:tcBorders>
            <w:shd w:val="clear" w:color="auto" w:fill="auto"/>
            <w:noWrap/>
            <w:vAlign w:val="bottom"/>
            <w:hideMark/>
          </w:tcPr>
          <w:p w14:paraId="16D84373" w14:textId="77777777" w:rsidR="00B810D4" w:rsidRPr="00B810D4" w:rsidRDefault="00B810D4" w:rsidP="00B810D4">
            <w:pPr>
              <w:spacing w:after="0"/>
              <w:jc w:val="right"/>
              <w:rPr>
                <w:rFonts w:ascii="Arial" w:hAnsi="Arial" w:cs="Arial"/>
                <w:b/>
                <w:bCs/>
                <w:sz w:val="16"/>
                <w:szCs w:val="16"/>
              </w:rPr>
            </w:pPr>
            <w:r w:rsidRPr="00B810D4">
              <w:rPr>
                <w:rFonts w:ascii="Arial" w:hAnsi="Arial" w:cs="Arial"/>
                <w:b/>
                <w:bCs/>
                <w:sz w:val="16"/>
                <w:szCs w:val="16"/>
              </w:rPr>
              <w:t>-</w:t>
            </w:r>
          </w:p>
        </w:tc>
      </w:tr>
      <w:tr w:rsidR="00B810D4" w:rsidRPr="00B810D4" w14:paraId="1D4A3DD9" w14:textId="77777777" w:rsidTr="00A072C5">
        <w:trPr>
          <w:trHeight w:val="454"/>
          <w:jc w:val="center"/>
        </w:trPr>
        <w:tc>
          <w:tcPr>
            <w:tcW w:w="2960" w:type="dxa"/>
            <w:tcBorders>
              <w:top w:val="single" w:sz="4" w:space="0" w:color="auto"/>
              <w:left w:val="nil"/>
              <w:bottom w:val="single" w:sz="4" w:space="0" w:color="auto"/>
              <w:right w:val="nil"/>
            </w:tcBorders>
            <w:shd w:val="clear" w:color="auto" w:fill="auto"/>
            <w:vAlign w:val="bottom"/>
            <w:hideMark/>
          </w:tcPr>
          <w:p w14:paraId="7C410274" w14:textId="0E138A6A" w:rsidR="00B810D4" w:rsidRPr="00B810D4" w:rsidRDefault="00B810D4" w:rsidP="00B810D4">
            <w:pPr>
              <w:spacing w:after="0"/>
              <w:rPr>
                <w:rFonts w:ascii="Arial" w:hAnsi="Arial" w:cs="Arial"/>
                <w:b/>
                <w:bCs/>
                <w:sz w:val="16"/>
                <w:szCs w:val="16"/>
              </w:rPr>
            </w:pPr>
            <w:r w:rsidRPr="00B810D4">
              <w:rPr>
                <w:rFonts w:ascii="Arial" w:hAnsi="Arial" w:cs="Arial"/>
                <w:b/>
                <w:bCs/>
                <w:sz w:val="16"/>
                <w:szCs w:val="16"/>
              </w:rPr>
              <w:t xml:space="preserve">Estimated closing balance as at </w:t>
            </w:r>
            <w:r w:rsidR="002B78F4">
              <w:rPr>
                <w:rFonts w:ascii="Arial" w:hAnsi="Arial" w:cs="Arial"/>
                <w:b/>
                <w:bCs/>
                <w:sz w:val="16"/>
                <w:szCs w:val="16"/>
              </w:rPr>
              <w:br/>
            </w:r>
            <w:r w:rsidRPr="00B810D4">
              <w:rPr>
                <w:rFonts w:ascii="Arial" w:hAnsi="Arial" w:cs="Arial"/>
                <w:b/>
                <w:bCs/>
                <w:sz w:val="16"/>
                <w:szCs w:val="16"/>
              </w:rPr>
              <w:t>30 June 2023</w:t>
            </w:r>
          </w:p>
        </w:tc>
        <w:tc>
          <w:tcPr>
            <w:tcW w:w="1080" w:type="dxa"/>
            <w:tcBorders>
              <w:top w:val="single" w:sz="4" w:space="0" w:color="auto"/>
              <w:left w:val="nil"/>
              <w:bottom w:val="single" w:sz="4" w:space="0" w:color="auto"/>
              <w:right w:val="nil"/>
            </w:tcBorders>
            <w:shd w:val="clear" w:color="auto" w:fill="auto"/>
            <w:noWrap/>
            <w:vAlign w:val="bottom"/>
            <w:hideMark/>
          </w:tcPr>
          <w:p w14:paraId="65082748" w14:textId="77777777" w:rsidR="00B810D4" w:rsidRPr="00B810D4" w:rsidRDefault="00B810D4" w:rsidP="00B810D4">
            <w:pPr>
              <w:spacing w:after="0"/>
              <w:jc w:val="right"/>
              <w:rPr>
                <w:rFonts w:ascii="Arial" w:hAnsi="Arial" w:cs="Arial"/>
                <w:b/>
                <w:bCs/>
                <w:sz w:val="16"/>
                <w:szCs w:val="16"/>
              </w:rPr>
            </w:pPr>
            <w:r w:rsidRPr="00B810D4">
              <w:rPr>
                <w:rFonts w:ascii="Arial" w:hAnsi="Arial" w:cs="Arial"/>
                <w:b/>
                <w:bCs/>
                <w:sz w:val="16"/>
                <w:szCs w:val="16"/>
              </w:rPr>
              <w:t>(851)</w:t>
            </w:r>
          </w:p>
        </w:tc>
        <w:tc>
          <w:tcPr>
            <w:tcW w:w="1240" w:type="dxa"/>
            <w:tcBorders>
              <w:top w:val="single" w:sz="4" w:space="0" w:color="auto"/>
              <w:left w:val="nil"/>
              <w:bottom w:val="single" w:sz="4" w:space="0" w:color="auto"/>
              <w:right w:val="nil"/>
            </w:tcBorders>
            <w:shd w:val="clear" w:color="auto" w:fill="auto"/>
            <w:noWrap/>
            <w:vAlign w:val="bottom"/>
            <w:hideMark/>
          </w:tcPr>
          <w:p w14:paraId="04D7E660" w14:textId="77777777" w:rsidR="00B810D4" w:rsidRPr="00B810D4" w:rsidRDefault="00B810D4" w:rsidP="00B810D4">
            <w:pPr>
              <w:spacing w:after="0"/>
              <w:jc w:val="right"/>
              <w:rPr>
                <w:rFonts w:ascii="Arial" w:hAnsi="Arial" w:cs="Arial"/>
                <w:b/>
                <w:bCs/>
                <w:sz w:val="16"/>
                <w:szCs w:val="16"/>
              </w:rPr>
            </w:pPr>
            <w:r w:rsidRPr="00B810D4">
              <w:rPr>
                <w:rFonts w:ascii="Arial" w:hAnsi="Arial" w:cs="Arial"/>
                <w:b/>
                <w:bCs/>
                <w:sz w:val="16"/>
                <w:szCs w:val="16"/>
              </w:rPr>
              <w:t>1,830</w:t>
            </w:r>
          </w:p>
        </w:tc>
        <w:tc>
          <w:tcPr>
            <w:tcW w:w="1240" w:type="dxa"/>
            <w:tcBorders>
              <w:top w:val="single" w:sz="4" w:space="0" w:color="auto"/>
              <w:left w:val="nil"/>
              <w:bottom w:val="single" w:sz="4" w:space="0" w:color="auto"/>
              <w:right w:val="nil"/>
            </w:tcBorders>
            <w:shd w:val="clear" w:color="auto" w:fill="auto"/>
            <w:noWrap/>
            <w:vAlign w:val="bottom"/>
            <w:hideMark/>
          </w:tcPr>
          <w:p w14:paraId="69ADB5F5" w14:textId="77777777" w:rsidR="00B810D4" w:rsidRPr="00B810D4" w:rsidRDefault="00B810D4" w:rsidP="00B810D4">
            <w:pPr>
              <w:spacing w:after="0"/>
              <w:jc w:val="right"/>
              <w:rPr>
                <w:rFonts w:ascii="Arial" w:hAnsi="Arial" w:cs="Arial"/>
                <w:b/>
                <w:bCs/>
                <w:sz w:val="16"/>
                <w:szCs w:val="16"/>
              </w:rPr>
            </w:pPr>
            <w:r w:rsidRPr="00B810D4">
              <w:rPr>
                <w:rFonts w:ascii="Arial" w:hAnsi="Arial" w:cs="Arial"/>
                <w:b/>
                <w:bCs/>
                <w:sz w:val="16"/>
                <w:szCs w:val="16"/>
              </w:rPr>
              <w:t>31,824</w:t>
            </w:r>
          </w:p>
        </w:tc>
        <w:tc>
          <w:tcPr>
            <w:tcW w:w="851" w:type="dxa"/>
            <w:tcBorders>
              <w:top w:val="single" w:sz="4" w:space="0" w:color="auto"/>
              <w:left w:val="nil"/>
              <w:bottom w:val="single" w:sz="4" w:space="0" w:color="auto"/>
              <w:right w:val="nil"/>
            </w:tcBorders>
            <w:shd w:val="clear" w:color="auto" w:fill="auto"/>
            <w:noWrap/>
            <w:vAlign w:val="bottom"/>
            <w:hideMark/>
          </w:tcPr>
          <w:p w14:paraId="482A63FA" w14:textId="77777777" w:rsidR="00B810D4" w:rsidRPr="00B810D4" w:rsidRDefault="00B810D4" w:rsidP="00B810D4">
            <w:pPr>
              <w:spacing w:after="0"/>
              <w:jc w:val="right"/>
              <w:rPr>
                <w:rFonts w:ascii="Arial" w:hAnsi="Arial" w:cs="Arial"/>
                <w:b/>
                <w:bCs/>
                <w:sz w:val="16"/>
                <w:szCs w:val="16"/>
              </w:rPr>
            </w:pPr>
            <w:r w:rsidRPr="00B810D4">
              <w:rPr>
                <w:rFonts w:ascii="Arial" w:hAnsi="Arial" w:cs="Arial"/>
                <w:b/>
                <w:bCs/>
                <w:sz w:val="16"/>
                <w:szCs w:val="16"/>
              </w:rPr>
              <w:t>32,803</w:t>
            </w:r>
          </w:p>
        </w:tc>
      </w:tr>
    </w:tbl>
    <w:p w14:paraId="1BD1DA4C" w14:textId="77777777" w:rsidR="004F306B" w:rsidRDefault="004F306B">
      <w:pPr>
        <w:spacing w:after="160" w:line="259" w:lineRule="auto"/>
        <w:rPr>
          <w:rFonts w:ascii="Arial" w:hAnsi="Arial" w:cs="Arial"/>
          <w:b/>
          <w:sz w:val="20"/>
          <w:szCs w:val="18"/>
          <w:lang w:eastAsia="en-US"/>
        </w:rPr>
      </w:pPr>
      <w:r>
        <w:rPr>
          <w:rFonts w:ascii="Arial" w:hAnsi="Arial" w:cs="Arial"/>
          <w:b/>
          <w:sz w:val="20"/>
          <w:szCs w:val="18"/>
          <w:lang w:eastAsia="en-US"/>
        </w:rPr>
        <w:br w:type="page"/>
      </w:r>
    </w:p>
    <w:p w14:paraId="2C650C5B" w14:textId="6B89AD7F" w:rsidR="00C95982" w:rsidRPr="00C95982" w:rsidRDefault="004F306B" w:rsidP="00C95982">
      <w:pPr>
        <w:rPr>
          <w:rFonts w:ascii="Arial" w:hAnsi="Arial" w:cs="Arial"/>
          <w:b/>
          <w:sz w:val="20"/>
          <w:szCs w:val="18"/>
          <w:lang w:eastAsia="en-US"/>
        </w:rPr>
      </w:pPr>
      <w:r>
        <w:rPr>
          <w:rFonts w:ascii="Arial" w:hAnsi="Arial" w:cs="Arial"/>
          <w:b/>
          <w:sz w:val="20"/>
          <w:szCs w:val="18"/>
          <w:lang w:eastAsia="en-US"/>
        </w:rPr>
        <w:lastRenderedPageBreak/>
        <w:t>Ta</w:t>
      </w:r>
      <w:r w:rsidR="00C95982" w:rsidRPr="00C95982">
        <w:rPr>
          <w:rFonts w:ascii="Arial" w:hAnsi="Arial" w:cs="Arial"/>
          <w:b/>
          <w:sz w:val="20"/>
          <w:szCs w:val="18"/>
          <w:lang w:eastAsia="en-US"/>
        </w:rPr>
        <w:t>ble 3.4: Budgeted departmental statement of cash flows (for the period ended 30 June)</w:t>
      </w:r>
    </w:p>
    <w:tbl>
      <w:tblPr>
        <w:tblW w:w="7360" w:type="dxa"/>
        <w:tblLayout w:type="fixed"/>
        <w:tblLook w:val="04A0" w:firstRow="1" w:lastRow="0" w:firstColumn="1" w:lastColumn="0" w:noHBand="0" w:noVBand="1"/>
      </w:tblPr>
      <w:tblGrid>
        <w:gridCol w:w="3052"/>
        <w:gridCol w:w="881"/>
        <w:gridCol w:w="844"/>
        <w:gridCol w:w="861"/>
        <w:gridCol w:w="861"/>
        <w:gridCol w:w="861"/>
      </w:tblGrid>
      <w:tr w:rsidR="002A1C99" w:rsidRPr="002A1C99" w14:paraId="58D3E1CE" w14:textId="77777777" w:rsidTr="002A1C99">
        <w:trPr>
          <w:trHeight w:val="765"/>
        </w:trPr>
        <w:tc>
          <w:tcPr>
            <w:tcW w:w="3052" w:type="dxa"/>
            <w:tcBorders>
              <w:top w:val="single" w:sz="4" w:space="0" w:color="auto"/>
              <w:left w:val="nil"/>
              <w:bottom w:val="nil"/>
              <w:right w:val="nil"/>
            </w:tcBorders>
            <w:shd w:val="clear" w:color="auto" w:fill="auto"/>
            <w:tcMar>
              <w:left w:w="0" w:type="dxa"/>
            </w:tcMar>
            <w:hideMark/>
          </w:tcPr>
          <w:p w14:paraId="48BDB076" w14:textId="77777777" w:rsidR="002A1C99" w:rsidRPr="002A1C99" w:rsidRDefault="002A1C99" w:rsidP="002A1C99">
            <w:pPr>
              <w:spacing w:before="40" w:after="0"/>
              <w:jc w:val="right"/>
              <w:rPr>
                <w:rFonts w:ascii="Arial" w:hAnsi="Arial" w:cs="Arial"/>
                <w:color w:val="auto"/>
                <w:sz w:val="16"/>
                <w:szCs w:val="16"/>
              </w:rPr>
            </w:pPr>
            <w:r w:rsidRPr="002A1C99">
              <w:rPr>
                <w:rFonts w:ascii="Arial" w:hAnsi="Arial" w:cs="Arial"/>
                <w:color w:val="auto"/>
                <w:sz w:val="16"/>
                <w:szCs w:val="16"/>
              </w:rPr>
              <w:t> </w:t>
            </w:r>
          </w:p>
        </w:tc>
        <w:tc>
          <w:tcPr>
            <w:tcW w:w="881" w:type="dxa"/>
            <w:tcBorders>
              <w:top w:val="single" w:sz="4" w:space="0" w:color="auto"/>
              <w:left w:val="nil"/>
              <w:bottom w:val="single" w:sz="4" w:space="0" w:color="auto"/>
              <w:right w:val="nil"/>
            </w:tcBorders>
            <w:shd w:val="clear" w:color="auto" w:fill="auto"/>
            <w:tcMar>
              <w:left w:w="0" w:type="dxa"/>
            </w:tcMar>
            <w:hideMark/>
          </w:tcPr>
          <w:p w14:paraId="30277AF5" w14:textId="77777777" w:rsidR="002A1C99" w:rsidRPr="002A1C99" w:rsidRDefault="002A1C99" w:rsidP="002A1C99">
            <w:pPr>
              <w:spacing w:before="40" w:after="0"/>
              <w:jc w:val="right"/>
              <w:rPr>
                <w:rFonts w:ascii="Arial" w:hAnsi="Arial" w:cs="Arial"/>
                <w:b/>
                <w:bCs/>
                <w:color w:val="auto"/>
                <w:sz w:val="16"/>
                <w:szCs w:val="16"/>
              </w:rPr>
            </w:pPr>
            <w:r w:rsidRPr="002A1C99">
              <w:rPr>
                <w:rFonts w:ascii="Arial" w:hAnsi="Arial" w:cs="Arial"/>
                <w:b/>
                <w:bCs/>
                <w:color w:val="auto"/>
                <w:sz w:val="16"/>
                <w:szCs w:val="16"/>
              </w:rPr>
              <w:t>2021–22 Estimated actual</w:t>
            </w:r>
            <w:r w:rsidRPr="002A1C99">
              <w:rPr>
                <w:rFonts w:ascii="Arial" w:hAnsi="Arial" w:cs="Arial"/>
                <w:b/>
                <w:bCs/>
                <w:color w:val="auto"/>
                <w:sz w:val="16"/>
                <w:szCs w:val="16"/>
              </w:rPr>
              <w:br/>
            </w:r>
            <w:r w:rsidRPr="002A1C99">
              <w:rPr>
                <w:rFonts w:ascii="Arial" w:hAnsi="Arial" w:cs="Arial"/>
                <w:color w:val="auto"/>
                <w:sz w:val="16"/>
                <w:szCs w:val="16"/>
              </w:rPr>
              <w:t>$'000</w:t>
            </w:r>
          </w:p>
        </w:tc>
        <w:tc>
          <w:tcPr>
            <w:tcW w:w="844" w:type="dxa"/>
            <w:tcBorders>
              <w:top w:val="single" w:sz="4" w:space="0" w:color="auto"/>
              <w:left w:val="nil"/>
              <w:bottom w:val="single" w:sz="4" w:space="0" w:color="auto"/>
              <w:right w:val="nil"/>
            </w:tcBorders>
            <w:shd w:val="clear" w:color="000000" w:fill="D9D9D9"/>
            <w:tcMar>
              <w:left w:w="0" w:type="dxa"/>
            </w:tcMar>
            <w:hideMark/>
          </w:tcPr>
          <w:p w14:paraId="75A4C58B" w14:textId="77777777" w:rsidR="002A1C99" w:rsidRPr="002A1C99" w:rsidRDefault="002A1C99" w:rsidP="002A1C99">
            <w:pPr>
              <w:spacing w:before="40" w:after="0"/>
              <w:jc w:val="right"/>
              <w:rPr>
                <w:rFonts w:ascii="Arial" w:hAnsi="Arial" w:cs="Arial"/>
                <w:b/>
                <w:bCs/>
                <w:color w:val="auto"/>
                <w:sz w:val="16"/>
                <w:szCs w:val="16"/>
              </w:rPr>
            </w:pPr>
            <w:r w:rsidRPr="002A1C99">
              <w:rPr>
                <w:rFonts w:ascii="Arial" w:hAnsi="Arial" w:cs="Arial"/>
                <w:b/>
                <w:bCs/>
                <w:color w:val="auto"/>
                <w:sz w:val="16"/>
                <w:szCs w:val="16"/>
              </w:rPr>
              <w:t>2022–23</w:t>
            </w:r>
            <w:r w:rsidRPr="002A1C99">
              <w:rPr>
                <w:rFonts w:ascii="Arial" w:hAnsi="Arial" w:cs="Arial"/>
                <w:b/>
                <w:bCs/>
                <w:color w:val="auto"/>
                <w:sz w:val="16"/>
                <w:szCs w:val="16"/>
              </w:rPr>
              <w:br/>
              <w:t>Budget</w:t>
            </w:r>
            <w:r w:rsidRPr="002A1C99">
              <w:rPr>
                <w:rFonts w:ascii="Arial" w:hAnsi="Arial" w:cs="Arial"/>
                <w:b/>
                <w:bCs/>
                <w:color w:val="auto"/>
                <w:sz w:val="16"/>
                <w:szCs w:val="16"/>
              </w:rPr>
              <w:br/>
            </w:r>
            <w:r w:rsidRPr="002A1C99">
              <w:rPr>
                <w:rFonts w:ascii="Arial" w:hAnsi="Arial" w:cs="Arial"/>
                <w:b/>
                <w:bCs/>
                <w:color w:val="auto"/>
                <w:sz w:val="16"/>
                <w:szCs w:val="16"/>
              </w:rPr>
              <w:br/>
            </w:r>
            <w:r w:rsidRPr="002A1C99">
              <w:rPr>
                <w:rFonts w:ascii="Arial" w:hAnsi="Arial" w:cs="Arial"/>
                <w:color w:val="auto"/>
                <w:sz w:val="16"/>
                <w:szCs w:val="16"/>
              </w:rPr>
              <w:t>$'000</w:t>
            </w:r>
          </w:p>
        </w:tc>
        <w:tc>
          <w:tcPr>
            <w:tcW w:w="861" w:type="dxa"/>
            <w:tcBorders>
              <w:top w:val="single" w:sz="4" w:space="0" w:color="auto"/>
              <w:left w:val="nil"/>
              <w:bottom w:val="single" w:sz="4" w:space="0" w:color="auto"/>
              <w:right w:val="nil"/>
            </w:tcBorders>
            <w:shd w:val="clear" w:color="auto" w:fill="auto"/>
            <w:tcMar>
              <w:left w:w="0" w:type="dxa"/>
            </w:tcMar>
            <w:hideMark/>
          </w:tcPr>
          <w:p w14:paraId="4D3B5CB5" w14:textId="77777777" w:rsidR="002A1C99" w:rsidRPr="002A1C99" w:rsidRDefault="002A1C99" w:rsidP="002A1C99">
            <w:pPr>
              <w:spacing w:before="40" w:after="0"/>
              <w:jc w:val="right"/>
              <w:rPr>
                <w:rFonts w:ascii="Arial" w:hAnsi="Arial" w:cs="Arial"/>
                <w:b/>
                <w:bCs/>
                <w:color w:val="auto"/>
                <w:sz w:val="16"/>
                <w:szCs w:val="16"/>
              </w:rPr>
            </w:pPr>
            <w:r w:rsidRPr="002A1C99">
              <w:rPr>
                <w:rFonts w:ascii="Arial" w:hAnsi="Arial" w:cs="Arial"/>
                <w:b/>
                <w:bCs/>
                <w:color w:val="auto"/>
                <w:sz w:val="16"/>
                <w:szCs w:val="16"/>
              </w:rPr>
              <w:t>2023–24 Forward estimate</w:t>
            </w:r>
            <w:r w:rsidRPr="002A1C99">
              <w:rPr>
                <w:rFonts w:ascii="Arial" w:hAnsi="Arial" w:cs="Arial"/>
                <w:b/>
                <w:bCs/>
                <w:color w:val="auto"/>
                <w:sz w:val="16"/>
                <w:szCs w:val="16"/>
              </w:rPr>
              <w:br/>
            </w:r>
            <w:r w:rsidRPr="002A1C99">
              <w:rPr>
                <w:rFonts w:ascii="Arial" w:hAnsi="Arial" w:cs="Arial"/>
                <w:color w:val="auto"/>
                <w:sz w:val="16"/>
                <w:szCs w:val="16"/>
              </w:rPr>
              <w:t>$'000</w:t>
            </w:r>
          </w:p>
        </w:tc>
        <w:tc>
          <w:tcPr>
            <w:tcW w:w="861" w:type="dxa"/>
            <w:tcBorders>
              <w:top w:val="single" w:sz="4" w:space="0" w:color="auto"/>
              <w:left w:val="nil"/>
              <w:bottom w:val="single" w:sz="4" w:space="0" w:color="auto"/>
              <w:right w:val="nil"/>
            </w:tcBorders>
            <w:shd w:val="clear" w:color="auto" w:fill="auto"/>
            <w:tcMar>
              <w:left w:w="0" w:type="dxa"/>
            </w:tcMar>
            <w:hideMark/>
          </w:tcPr>
          <w:p w14:paraId="7960654A" w14:textId="77777777" w:rsidR="002A1C99" w:rsidRPr="002A1C99" w:rsidRDefault="002A1C99" w:rsidP="002A1C99">
            <w:pPr>
              <w:spacing w:before="40" w:after="0"/>
              <w:jc w:val="right"/>
              <w:rPr>
                <w:rFonts w:ascii="Arial" w:hAnsi="Arial" w:cs="Arial"/>
                <w:b/>
                <w:bCs/>
                <w:color w:val="auto"/>
                <w:sz w:val="16"/>
                <w:szCs w:val="16"/>
              </w:rPr>
            </w:pPr>
            <w:r w:rsidRPr="002A1C99">
              <w:rPr>
                <w:rFonts w:ascii="Arial" w:hAnsi="Arial" w:cs="Arial"/>
                <w:b/>
                <w:bCs/>
                <w:color w:val="auto"/>
                <w:sz w:val="16"/>
                <w:szCs w:val="16"/>
              </w:rPr>
              <w:t>2024–25</w:t>
            </w:r>
            <w:r w:rsidRPr="002A1C99">
              <w:rPr>
                <w:rFonts w:ascii="Arial" w:hAnsi="Arial" w:cs="Arial"/>
                <w:b/>
                <w:bCs/>
                <w:color w:val="auto"/>
                <w:sz w:val="16"/>
                <w:szCs w:val="16"/>
              </w:rPr>
              <w:br/>
              <w:t>Forward estimate</w:t>
            </w:r>
            <w:r w:rsidRPr="002A1C99">
              <w:rPr>
                <w:rFonts w:ascii="Arial" w:hAnsi="Arial" w:cs="Arial"/>
                <w:b/>
                <w:bCs/>
                <w:color w:val="auto"/>
                <w:sz w:val="16"/>
                <w:szCs w:val="16"/>
              </w:rPr>
              <w:br/>
            </w:r>
            <w:r w:rsidRPr="002A1C99">
              <w:rPr>
                <w:rFonts w:ascii="Arial" w:hAnsi="Arial" w:cs="Arial"/>
                <w:color w:val="auto"/>
                <w:sz w:val="16"/>
                <w:szCs w:val="16"/>
              </w:rPr>
              <w:t>$'000</w:t>
            </w:r>
          </w:p>
        </w:tc>
        <w:tc>
          <w:tcPr>
            <w:tcW w:w="861" w:type="dxa"/>
            <w:tcBorders>
              <w:top w:val="single" w:sz="4" w:space="0" w:color="auto"/>
              <w:left w:val="nil"/>
              <w:bottom w:val="single" w:sz="4" w:space="0" w:color="auto"/>
              <w:right w:val="nil"/>
            </w:tcBorders>
            <w:shd w:val="clear" w:color="auto" w:fill="auto"/>
            <w:tcMar>
              <w:left w:w="0" w:type="dxa"/>
            </w:tcMar>
            <w:hideMark/>
          </w:tcPr>
          <w:p w14:paraId="021ACA69" w14:textId="77777777" w:rsidR="002A1C99" w:rsidRPr="002A1C99" w:rsidRDefault="002A1C99" w:rsidP="002A1C99">
            <w:pPr>
              <w:spacing w:before="40" w:after="0"/>
              <w:jc w:val="right"/>
              <w:rPr>
                <w:rFonts w:ascii="Arial" w:hAnsi="Arial" w:cs="Arial"/>
                <w:b/>
                <w:bCs/>
                <w:color w:val="auto"/>
                <w:sz w:val="16"/>
                <w:szCs w:val="16"/>
              </w:rPr>
            </w:pPr>
            <w:r w:rsidRPr="002A1C99">
              <w:rPr>
                <w:rFonts w:ascii="Arial" w:hAnsi="Arial" w:cs="Arial"/>
                <w:b/>
                <w:bCs/>
                <w:color w:val="auto"/>
                <w:sz w:val="16"/>
                <w:szCs w:val="16"/>
              </w:rPr>
              <w:t>2025–26</w:t>
            </w:r>
            <w:r w:rsidRPr="002A1C99">
              <w:rPr>
                <w:rFonts w:ascii="Arial" w:hAnsi="Arial" w:cs="Arial"/>
                <w:b/>
                <w:bCs/>
                <w:color w:val="auto"/>
                <w:sz w:val="16"/>
                <w:szCs w:val="16"/>
              </w:rPr>
              <w:br/>
              <w:t>Forward estimate</w:t>
            </w:r>
            <w:r w:rsidRPr="002A1C99">
              <w:rPr>
                <w:rFonts w:ascii="Arial" w:hAnsi="Arial" w:cs="Arial"/>
                <w:b/>
                <w:bCs/>
                <w:color w:val="auto"/>
                <w:sz w:val="16"/>
                <w:szCs w:val="16"/>
              </w:rPr>
              <w:br/>
            </w:r>
            <w:r w:rsidRPr="002A1C99">
              <w:rPr>
                <w:rFonts w:ascii="Arial" w:hAnsi="Arial" w:cs="Arial"/>
                <w:color w:val="auto"/>
                <w:sz w:val="16"/>
                <w:szCs w:val="16"/>
              </w:rPr>
              <w:t>$'000</w:t>
            </w:r>
          </w:p>
        </w:tc>
      </w:tr>
      <w:tr w:rsidR="002A1C99" w:rsidRPr="002A1C99" w14:paraId="2DCD908D" w14:textId="77777777" w:rsidTr="002A1C99">
        <w:trPr>
          <w:trHeight w:val="225"/>
        </w:trPr>
        <w:tc>
          <w:tcPr>
            <w:tcW w:w="3052" w:type="dxa"/>
            <w:tcBorders>
              <w:top w:val="nil"/>
              <w:left w:val="nil"/>
              <w:bottom w:val="nil"/>
              <w:right w:val="nil"/>
            </w:tcBorders>
            <w:shd w:val="clear" w:color="auto" w:fill="auto"/>
            <w:noWrap/>
            <w:vAlign w:val="bottom"/>
            <w:hideMark/>
          </w:tcPr>
          <w:p w14:paraId="538A7680" w14:textId="77777777" w:rsidR="002A1C99" w:rsidRPr="002A1C99" w:rsidRDefault="002A1C99" w:rsidP="002A1C99">
            <w:pPr>
              <w:spacing w:after="0"/>
              <w:rPr>
                <w:rFonts w:ascii="Arial" w:hAnsi="Arial" w:cs="Arial"/>
                <w:b/>
                <w:bCs/>
                <w:sz w:val="16"/>
                <w:szCs w:val="16"/>
              </w:rPr>
            </w:pPr>
            <w:r w:rsidRPr="002A1C99">
              <w:rPr>
                <w:rFonts w:ascii="Arial" w:hAnsi="Arial" w:cs="Arial"/>
                <w:b/>
                <w:bCs/>
                <w:sz w:val="16"/>
                <w:szCs w:val="16"/>
              </w:rPr>
              <w:t>OPERATING ACTIVITIES</w:t>
            </w:r>
          </w:p>
        </w:tc>
        <w:tc>
          <w:tcPr>
            <w:tcW w:w="881" w:type="dxa"/>
            <w:tcBorders>
              <w:top w:val="nil"/>
              <w:left w:val="nil"/>
              <w:bottom w:val="nil"/>
              <w:right w:val="nil"/>
            </w:tcBorders>
            <w:shd w:val="clear" w:color="auto" w:fill="auto"/>
            <w:noWrap/>
            <w:vAlign w:val="bottom"/>
            <w:hideMark/>
          </w:tcPr>
          <w:p w14:paraId="01F0F51B" w14:textId="77777777" w:rsidR="002A1C99" w:rsidRPr="002A1C99" w:rsidRDefault="002A1C99" w:rsidP="002A1C99">
            <w:pPr>
              <w:spacing w:after="0"/>
              <w:rPr>
                <w:rFonts w:ascii="Arial" w:hAnsi="Arial" w:cs="Arial"/>
                <w:b/>
                <w:bCs/>
                <w:sz w:val="16"/>
                <w:szCs w:val="16"/>
              </w:rPr>
            </w:pPr>
          </w:p>
        </w:tc>
        <w:tc>
          <w:tcPr>
            <w:tcW w:w="844" w:type="dxa"/>
            <w:tcBorders>
              <w:top w:val="nil"/>
              <w:left w:val="nil"/>
              <w:bottom w:val="nil"/>
              <w:right w:val="nil"/>
            </w:tcBorders>
            <w:shd w:val="clear" w:color="000000" w:fill="D9D9D9"/>
            <w:noWrap/>
            <w:vAlign w:val="center"/>
            <w:hideMark/>
          </w:tcPr>
          <w:p w14:paraId="13F7AFCE"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 </w:t>
            </w:r>
          </w:p>
        </w:tc>
        <w:tc>
          <w:tcPr>
            <w:tcW w:w="861" w:type="dxa"/>
            <w:tcBorders>
              <w:top w:val="nil"/>
              <w:left w:val="nil"/>
              <w:bottom w:val="nil"/>
              <w:right w:val="nil"/>
            </w:tcBorders>
            <w:shd w:val="clear" w:color="auto" w:fill="auto"/>
            <w:noWrap/>
            <w:vAlign w:val="center"/>
            <w:hideMark/>
          </w:tcPr>
          <w:p w14:paraId="20201EA6" w14:textId="77777777" w:rsidR="002A1C99" w:rsidRPr="002A1C99" w:rsidRDefault="002A1C99" w:rsidP="002A1C99">
            <w:pPr>
              <w:spacing w:after="0"/>
              <w:jc w:val="right"/>
              <w:rPr>
                <w:rFonts w:ascii="Arial" w:hAnsi="Arial" w:cs="Arial"/>
                <w:color w:val="auto"/>
                <w:sz w:val="16"/>
                <w:szCs w:val="16"/>
              </w:rPr>
            </w:pPr>
          </w:p>
        </w:tc>
        <w:tc>
          <w:tcPr>
            <w:tcW w:w="861" w:type="dxa"/>
            <w:tcBorders>
              <w:top w:val="nil"/>
              <w:left w:val="nil"/>
              <w:bottom w:val="nil"/>
              <w:right w:val="nil"/>
            </w:tcBorders>
            <w:shd w:val="clear" w:color="auto" w:fill="auto"/>
            <w:noWrap/>
            <w:vAlign w:val="center"/>
            <w:hideMark/>
          </w:tcPr>
          <w:p w14:paraId="0B448240" w14:textId="77777777" w:rsidR="002A1C99" w:rsidRPr="002A1C99" w:rsidRDefault="002A1C99" w:rsidP="002A1C99">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center"/>
            <w:hideMark/>
          </w:tcPr>
          <w:p w14:paraId="5E4590B6" w14:textId="77777777" w:rsidR="002A1C99" w:rsidRPr="002A1C99" w:rsidRDefault="002A1C99" w:rsidP="002A1C99">
            <w:pPr>
              <w:spacing w:after="0"/>
              <w:jc w:val="right"/>
              <w:rPr>
                <w:rFonts w:ascii="Times New Roman" w:hAnsi="Times New Roman"/>
                <w:color w:val="auto"/>
                <w:sz w:val="20"/>
              </w:rPr>
            </w:pPr>
          </w:p>
        </w:tc>
      </w:tr>
      <w:tr w:rsidR="002A1C99" w:rsidRPr="002A1C99" w14:paraId="4479CD0E" w14:textId="77777777" w:rsidTr="002A1C99">
        <w:trPr>
          <w:trHeight w:val="225"/>
        </w:trPr>
        <w:tc>
          <w:tcPr>
            <w:tcW w:w="3052" w:type="dxa"/>
            <w:tcBorders>
              <w:top w:val="nil"/>
              <w:left w:val="nil"/>
              <w:bottom w:val="nil"/>
              <w:right w:val="nil"/>
            </w:tcBorders>
            <w:shd w:val="clear" w:color="auto" w:fill="auto"/>
            <w:noWrap/>
            <w:vAlign w:val="bottom"/>
            <w:hideMark/>
          </w:tcPr>
          <w:p w14:paraId="422F436B" w14:textId="77777777" w:rsidR="002A1C99" w:rsidRPr="002A1C99" w:rsidRDefault="002A1C99" w:rsidP="002A1C99">
            <w:pPr>
              <w:spacing w:after="0"/>
              <w:ind w:firstLineChars="100" w:firstLine="160"/>
              <w:rPr>
                <w:rFonts w:ascii="Arial" w:hAnsi="Arial" w:cs="Arial"/>
                <w:b/>
                <w:bCs/>
                <w:sz w:val="16"/>
                <w:szCs w:val="16"/>
              </w:rPr>
            </w:pPr>
            <w:r w:rsidRPr="002A1C99">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2A3A43AD" w14:textId="77777777" w:rsidR="002A1C99" w:rsidRPr="002A1C99" w:rsidRDefault="002A1C99" w:rsidP="002A1C99">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18431B97"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 </w:t>
            </w:r>
          </w:p>
        </w:tc>
        <w:tc>
          <w:tcPr>
            <w:tcW w:w="861" w:type="dxa"/>
            <w:tcBorders>
              <w:top w:val="nil"/>
              <w:left w:val="nil"/>
              <w:bottom w:val="nil"/>
              <w:right w:val="nil"/>
            </w:tcBorders>
            <w:shd w:val="clear" w:color="auto" w:fill="auto"/>
            <w:noWrap/>
            <w:vAlign w:val="bottom"/>
            <w:hideMark/>
          </w:tcPr>
          <w:p w14:paraId="61863E3B" w14:textId="77777777" w:rsidR="002A1C99" w:rsidRPr="002A1C99" w:rsidRDefault="002A1C99" w:rsidP="002A1C99">
            <w:pPr>
              <w:spacing w:after="0"/>
              <w:jc w:val="right"/>
              <w:rPr>
                <w:rFonts w:ascii="Arial" w:hAnsi="Arial" w:cs="Arial"/>
                <w:color w:val="auto"/>
                <w:sz w:val="16"/>
                <w:szCs w:val="16"/>
              </w:rPr>
            </w:pPr>
          </w:p>
        </w:tc>
        <w:tc>
          <w:tcPr>
            <w:tcW w:w="861" w:type="dxa"/>
            <w:tcBorders>
              <w:top w:val="nil"/>
              <w:left w:val="nil"/>
              <w:bottom w:val="nil"/>
              <w:right w:val="nil"/>
            </w:tcBorders>
            <w:shd w:val="clear" w:color="auto" w:fill="auto"/>
            <w:noWrap/>
            <w:vAlign w:val="bottom"/>
            <w:hideMark/>
          </w:tcPr>
          <w:p w14:paraId="760E371F" w14:textId="77777777" w:rsidR="002A1C99" w:rsidRPr="002A1C99" w:rsidRDefault="002A1C99" w:rsidP="002A1C99">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1A658A5D" w14:textId="77777777" w:rsidR="002A1C99" w:rsidRPr="002A1C99" w:rsidRDefault="002A1C99" w:rsidP="002A1C99">
            <w:pPr>
              <w:spacing w:after="0"/>
              <w:jc w:val="right"/>
              <w:rPr>
                <w:rFonts w:ascii="Times New Roman" w:hAnsi="Times New Roman"/>
                <w:color w:val="auto"/>
                <w:sz w:val="20"/>
              </w:rPr>
            </w:pPr>
          </w:p>
        </w:tc>
      </w:tr>
      <w:tr w:rsidR="002A1C99" w:rsidRPr="002A1C99" w14:paraId="66AB48E7" w14:textId="77777777" w:rsidTr="002A1C99">
        <w:trPr>
          <w:trHeight w:val="225"/>
        </w:trPr>
        <w:tc>
          <w:tcPr>
            <w:tcW w:w="3052" w:type="dxa"/>
            <w:tcBorders>
              <w:top w:val="nil"/>
              <w:left w:val="nil"/>
              <w:bottom w:val="nil"/>
              <w:right w:val="nil"/>
            </w:tcBorders>
            <w:shd w:val="clear" w:color="auto" w:fill="auto"/>
            <w:noWrap/>
            <w:vAlign w:val="bottom"/>
            <w:hideMark/>
          </w:tcPr>
          <w:p w14:paraId="0FBC5F91" w14:textId="77777777" w:rsidR="002A1C99" w:rsidRPr="002A1C99" w:rsidRDefault="002A1C99" w:rsidP="002A1C99">
            <w:pPr>
              <w:spacing w:after="0"/>
              <w:ind w:leftChars="150" w:left="285"/>
              <w:rPr>
                <w:rFonts w:ascii="Arial" w:hAnsi="Arial" w:cs="Arial"/>
                <w:sz w:val="16"/>
                <w:szCs w:val="16"/>
              </w:rPr>
            </w:pPr>
            <w:r w:rsidRPr="002A1C99">
              <w:rPr>
                <w:rFonts w:ascii="Arial" w:hAnsi="Arial" w:cs="Arial"/>
                <w:sz w:val="16"/>
                <w:szCs w:val="16"/>
              </w:rPr>
              <w:t>Goods and services</w:t>
            </w:r>
          </w:p>
        </w:tc>
        <w:tc>
          <w:tcPr>
            <w:tcW w:w="881" w:type="dxa"/>
            <w:tcBorders>
              <w:top w:val="nil"/>
              <w:left w:val="nil"/>
              <w:bottom w:val="nil"/>
              <w:right w:val="nil"/>
            </w:tcBorders>
            <w:shd w:val="clear" w:color="auto" w:fill="auto"/>
            <w:noWrap/>
            <w:vAlign w:val="bottom"/>
            <w:hideMark/>
          </w:tcPr>
          <w:p w14:paraId="48AAEA1C"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74,424</w:t>
            </w:r>
          </w:p>
        </w:tc>
        <w:tc>
          <w:tcPr>
            <w:tcW w:w="844" w:type="dxa"/>
            <w:tcBorders>
              <w:top w:val="nil"/>
              <w:left w:val="nil"/>
              <w:bottom w:val="nil"/>
              <w:right w:val="nil"/>
            </w:tcBorders>
            <w:shd w:val="clear" w:color="000000" w:fill="D9D9D9"/>
            <w:noWrap/>
            <w:vAlign w:val="bottom"/>
            <w:hideMark/>
          </w:tcPr>
          <w:p w14:paraId="5FE402FF"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62,000</w:t>
            </w:r>
          </w:p>
        </w:tc>
        <w:tc>
          <w:tcPr>
            <w:tcW w:w="861" w:type="dxa"/>
            <w:tcBorders>
              <w:top w:val="nil"/>
              <w:left w:val="nil"/>
              <w:bottom w:val="nil"/>
              <w:right w:val="nil"/>
            </w:tcBorders>
            <w:shd w:val="clear" w:color="auto" w:fill="auto"/>
            <w:noWrap/>
            <w:vAlign w:val="bottom"/>
            <w:hideMark/>
          </w:tcPr>
          <w:p w14:paraId="4953CDC6"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62,000</w:t>
            </w:r>
          </w:p>
        </w:tc>
        <w:tc>
          <w:tcPr>
            <w:tcW w:w="861" w:type="dxa"/>
            <w:tcBorders>
              <w:top w:val="nil"/>
              <w:left w:val="nil"/>
              <w:bottom w:val="nil"/>
              <w:right w:val="nil"/>
            </w:tcBorders>
            <w:shd w:val="clear" w:color="auto" w:fill="auto"/>
            <w:noWrap/>
            <w:vAlign w:val="bottom"/>
            <w:hideMark/>
          </w:tcPr>
          <w:p w14:paraId="2F09F64E"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62,000</w:t>
            </w:r>
          </w:p>
        </w:tc>
        <w:tc>
          <w:tcPr>
            <w:tcW w:w="861" w:type="dxa"/>
            <w:tcBorders>
              <w:top w:val="nil"/>
              <w:left w:val="nil"/>
              <w:bottom w:val="nil"/>
              <w:right w:val="nil"/>
            </w:tcBorders>
            <w:shd w:val="clear" w:color="auto" w:fill="auto"/>
            <w:noWrap/>
            <w:vAlign w:val="bottom"/>
            <w:hideMark/>
          </w:tcPr>
          <w:p w14:paraId="2C3ACBDB"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62,000</w:t>
            </w:r>
          </w:p>
        </w:tc>
      </w:tr>
      <w:tr w:rsidR="002A1C99" w:rsidRPr="002A1C99" w14:paraId="24767126" w14:textId="77777777" w:rsidTr="002A1C99">
        <w:trPr>
          <w:trHeight w:val="225"/>
        </w:trPr>
        <w:tc>
          <w:tcPr>
            <w:tcW w:w="3052" w:type="dxa"/>
            <w:tcBorders>
              <w:top w:val="nil"/>
              <w:left w:val="nil"/>
              <w:bottom w:val="nil"/>
              <w:right w:val="nil"/>
            </w:tcBorders>
            <w:shd w:val="clear" w:color="auto" w:fill="auto"/>
            <w:noWrap/>
            <w:vAlign w:val="bottom"/>
            <w:hideMark/>
          </w:tcPr>
          <w:p w14:paraId="5418B689" w14:textId="77777777" w:rsidR="002A1C99" w:rsidRPr="002A1C99" w:rsidRDefault="002A1C99" w:rsidP="002A1C99">
            <w:pPr>
              <w:spacing w:after="0"/>
              <w:ind w:leftChars="150" w:left="285"/>
              <w:rPr>
                <w:rFonts w:ascii="Arial" w:hAnsi="Arial" w:cs="Arial"/>
                <w:sz w:val="16"/>
                <w:szCs w:val="16"/>
              </w:rPr>
            </w:pPr>
            <w:r w:rsidRPr="002A1C99">
              <w:rPr>
                <w:rFonts w:ascii="Arial" w:hAnsi="Arial" w:cs="Arial"/>
                <w:sz w:val="16"/>
                <w:szCs w:val="16"/>
              </w:rPr>
              <w:t>Appropriations</w:t>
            </w:r>
          </w:p>
        </w:tc>
        <w:tc>
          <w:tcPr>
            <w:tcW w:w="881" w:type="dxa"/>
            <w:tcBorders>
              <w:top w:val="nil"/>
              <w:left w:val="nil"/>
              <w:bottom w:val="nil"/>
              <w:right w:val="nil"/>
            </w:tcBorders>
            <w:shd w:val="clear" w:color="auto" w:fill="auto"/>
            <w:noWrap/>
            <w:vAlign w:val="bottom"/>
            <w:hideMark/>
          </w:tcPr>
          <w:p w14:paraId="531F7FD5"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34,917</w:t>
            </w:r>
          </w:p>
        </w:tc>
        <w:tc>
          <w:tcPr>
            <w:tcW w:w="844" w:type="dxa"/>
            <w:tcBorders>
              <w:top w:val="nil"/>
              <w:left w:val="nil"/>
              <w:bottom w:val="nil"/>
              <w:right w:val="nil"/>
            </w:tcBorders>
            <w:shd w:val="clear" w:color="000000" w:fill="D9D9D9"/>
            <w:noWrap/>
            <w:vAlign w:val="bottom"/>
            <w:hideMark/>
          </w:tcPr>
          <w:p w14:paraId="7A77F4F4"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34,349</w:t>
            </w:r>
          </w:p>
        </w:tc>
        <w:tc>
          <w:tcPr>
            <w:tcW w:w="861" w:type="dxa"/>
            <w:tcBorders>
              <w:top w:val="nil"/>
              <w:left w:val="nil"/>
              <w:bottom w:val="nil"/>
              <w:right w:val="nil"/>
            </w:tcBorders>
            <w:shd w:val="clear" w:color="auto" w:fill="auto"/>
            <w:noWrap/>
            <w:vAlign w:val="bottom"/>
            <w:hideMark/>
          </w:tcPr>
          <w:p w14:paraId="66FD2807"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35,885</w:t>
            </w:r>
          </w:p>
        </w:tc>
        <w:tc>
          <w:tcPr>
            <w:tcW w:w="861" w:type="dxa"/>
            <w:tcBorders>
              <w:top w:val="nil"/>
              <w:left w:val="nil"/>
              <w:bottom w:val="nil"/>
              <w:right w:val="nil"/>
            </w:tcBorders>
            <w:shd w:val="clear" w:color="auto" w:fill="auto"/>
            <w:noWrap/>
            <w:vAlign w:val="bottom"/>
            <w:hideMark/>
          </w:tcPr>
          <w:p w14:paraId="18F58A42"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36,499</w:t>
            </w:r>
          </w:p>
        </w:tc>
        <w:tc>
          <w:tcPr>
            <w:tcW w:w="861" w:type="dxa"/>
            <w:tcBorders>
              <w:top w:val="nil"/>
              <w:left w:val="nil"/>
              <w:bottom w:val="nil"/>
              <w:right w:val="nil"/>
            </w:tcBorders>
            <w:shd w:val="clear" w:color="auto" w:fill="auto"/>
            <w:noWrap/>
            <w:vAlign w:val="bottom"/>
            <w:hideMark/>
          </w:tcPr>
          <w:p w14:paraId="1EC5C72B"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36,470</w:t>
            </w:r>
          </w:p>
        </w:tc>
      </w:tr>
      <w:tr w:rsidR="002A1C99" w:rsidRPr="002A1C99" w14:paraId="133B62C1" w14:textId="77777777" w:rsidTr="002A1C99">
        <w:trPr>
          <w:trHeight w:val="225"/>
        </w:trPr>
        <w:tc>
          <w:tcPr>
            <w:tcW w:w="3052" w:type="dxa"/>
            <w:tcBorders>
              <w:top w:val="nil"/>
              <w:left w:val="nil"/>
              <w:bottom w:val="nil"/>
              <w:right w:val="nil"/>
            </w:tcBorders>
            <w:shd w:val="clear" w:color="auto" w:fill="auto"/>
            <w:noWrap/>
            <w:vAlign w:val="bottom"/>
            <w:hideMark/>
          </w:tcPr>
          <w:p w14:paraId="6EDF7EF1" w14:textId="77777777" w:rsidR="002A1C99" w:rsidRPr="002A1C99" w:rsidRDefault="002A1C99" w:rsidP="002A1C99">
            <w:pPr>
              <w:spacing w:after="0"/>
              <w:ind w:leftChars="150" w:left="285"/>
              <w:rPr>
                <w:rFonts w:ascii="Arial" w:hAnsi="Arial" w:cs="Arial"/>
                <w:sz w:val="16"/>
                <w:szCs w:val="16"/>
              </w:rPr>
            </w:pPr>
            <w:r w:rsidRPr="002A1C99">
              <w:rPr>
                <w:rFonts w:ascii="Arial" w:hAnsi="Arial" w:cs="Arial"/>
                <w:sz w:val="16"/>
                <w:szCs w:val="16"/>
              </w:rPr>
              <w:t>Interest</w:t>
            </w:r>
          </w:p>
        </w:tc>
        <w:tc>
          <w:tcPr>
            <w:tcW w:w="881" w:type="dxa"/>
            <w:tcBorders>
              <w:top w:val="nil"/>
              <w:left w:val="nil"/>
              <w:bottom w:val="nil"/>
              <w:right w:val="nil"/>
            </w:tcBorders>
            <w:shd w:val="clear" w:color="auto" w:fill="auto"/>
            <w:noWrap/>
            <w:vAlign w:val="bottom"/>
            <w:hideMark/>
          </w:tcPr>
          <w:p w14:paraId="0F15CFFA"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266</w:t>
            </w:r>
          </w:p>
        </w:tc>
        <w:tc>
          <w:tcPr>
            <w:tcW w:w="844" w:type="dxa"/>
            <w:tcBorders>
              <w:top w:val="nil"/>
              <w:left w:val="nil"/>
              <w:bottom w:val="nil"/>
              <w:right w:val="nil"/>
            </w:tcBorders>
            <w:shd w:val="clear" w:color="000000" w:fill="D9D9D9"/>
            <w:noWrap/>
            <w:vAlign w:val="bottom"/>
            <w:hideMark/>
          </w:tcPr>
          <w:p w14:paraId="52D85700"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800</w:t>
            </w:r>
          </w:p>
        </w:tc>
        <w:tc>
          <w:tcPr>
            <w:tcW w:w="861" w:type="dxa"/>
            <w:tcBorders>
              <w:top w:val="nil"/>
              <w:left w:val="nil"/>
              <w:bottom w:val="nil"/>
              <w:right w:val="nil"/>
            </w:tcBorders>
            <w:shd w:val="clear" w:color="auto" w:fill="auto"/>
            <w:noWrap/>
            <w:vAlign w:val="bottom"/>
            <w:hideMark/>
          </w:tcPr>
          <w:p w14:paraId="508E8925"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800</w:t>
            </w:r>
          </w:p>
        </w:tc>
        <w:tc>
          <w:tcPr>
            <w:tcW w:w="861" w:type="dxa"/>
            <w:tcBorders>
              <w:top w:val="nil"/>
              <w:left w:val="nil"/>
              <w:bottom w:val="nil"/>
              <w:right w:val="nil"/>
            </w:tcBorders>
            <w:shd w:val="clear" w:color="auto" w:fill="auto"/>
            <w:noWrap/>
            <w:vAlign w:val="bottom"/>
            <w:hideMark/>
          </w:tcPr>
          <w:p w14:paraId="07302ABC"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800</w:t>
            </w:r>
          </w:p>
        </w:tc>
        <w:tc>
          <w:tcPr>
            <w:tcW w:w="861" w:type="dxa"/>
            <w:tcBorders>
              <w:top w:val="nil"/>
              <w:left w:val="nil"/>
              <w:bottom w:val="nil"/>
              <w:right w:val="nil"/>
            </w:tcBorders>
            <w:shd w:val="clear" w:color="auto" w:fill="auto"/>
            <w:noWrap/>
            <w:vAlign w:val="bottom"/>
            <w:hideMark/>
          </w:tcPr>
          <w:p w14:paraId="5DE41D0D"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800</w:t>
            </w:r>
          </w:p>
        </w:tc>
      </w:tr>
      <w:tr w:rsidR="002A1C99" w:rsidRPr="002A1C99" w14:paraId="2FFC84B0" w14:textId="77777777" w:rsidTr="002A1C99">
        <w:trPr>
          <w:trHeight w:val="225"/>
        </w:trPr>
        <w:tc>
          <w:tcPr>
            <w:tcW w:w="3052" w:type="dxa"/>
            <w:tcBorders>
              <w:top w:val="nil"/>
              <w:left w:val="nil"/>
              <w:bottom w:val="nil"/>
              <w:right w:val="nil"/>
            </w:tcBorders>
            <w:shd w:val="clear" w:color="auto" w:fill="auto"/>
            <w:noWrap/>
            <w:vAlign w:val="bottom"/>
            <w:hideMark/>
          </w:tcPr>
          <w:p w14:paraId="68483039" w14:textId="77777777" w:rsidR="002A1C99" w:rsidRPr="002A1C99" w:rsidRDefault="002A1C99" w:rsidP="002A1C99">
            <w:pPr>
              <w:spacing w:after="0"/>
              <w:ind w:leftChars="150" w:left="285"/>
              <w:rPr>
                <w:rFonts w:ascii="Arial" w:hAnsi="Arial" w:cs="Arial"/>
                <w:sz w:val="16"/>
                <w:szCs w:val="16"/>
              </w:rPr>
            </w:pPr>
            <w:r w:rsidRPr="002A1C99">
              <w:rPr>
                <w:rFonts w:ascii="Arial" w:hAnsi="Arial" w:cs="Arial"/>
                <w:sz w:val="16"/>
                <w:szCs w:val="16"/>
              </w:rPr>
              <w:t>Net GST received</w:t>
            </w:r>
          </w:p>
        </w:tc>
        <w:tc>
          <w:tcPr>
            <w:tcW w:w="881" w:type="dxa"/>
            <w:tcBorders>
              <w:top w:val="nil"/>
              <w:left w:val="nil"/>
              <w:bottom w:val="nil"/>
              <w:right w:val="nil"/>
            </w:tcBorders>
            <w:shd w:val="clear" w:color="auto" w:fill="auto"/>
            <w:noWrap/>
            <w:vAlign w:val="bottom"/>
            <w:hideMark/>
          </w:tcPr>
          <w:p w14:paraId="346ED7B2"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w:t>
            </w:r>
          </w:p>
        </w:tc>
        <w:tc>
          <w:tcPr>
            <w:tcW w:w="844" w:type="dxa"/>
            <w:tcBorders>
              <w:top w:val="nil"/>
              <w:left w:val="nil"/>
              <w:bottom w:val="nil"/>
              <w:right w:val="nil"/>
            </w:tcBorders>
            <w:shd w:val="clear" w:color="000000" w:fill="D9D9D9"/>
            <w:noWrap/>
            <w:vAlign w:val="bottom"/>
            <w:hideMark/>
          </w:tcPr>
          <w:p w14:paraId="1B558B1A"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3BC62A34"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3C4DEADA"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14377E7F"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w:t>
            </w:r>
          </w:p>
        </w:tc>
      </w:tr>
      <w:tr w:rsidR="002A1C99" w:rsidRPr="002A1C99" w14:paraId="2EA8F422" w14:textId="77777777" w:rsidTr="002A1C99">
        <w:trPr>
          <w:trHeight w:val="225"/>
        </w:trPr>
        <w:tc>
          <w:tcPr>
            <w:tcW w:w="3052" w:type="dxa"/>
            <w:tcBorders>
              <w:top w:val="nil"/>
              <w:left w:val="nil"/>
              <w:bottom w:val="nil"/>
              <w:right w:val="nil"/>
            </w:tcBorders>
            <w:shd w:val="clear" w:color="auto" w:fill="auto"/>
            <w:noWrap/>
            <w:vAlign w:val="bottom"/>
            <w:hideMark/>
          </w:tcPr>
          <w:p w14:paraId="057B1069" w14:textId="77777777" w:rsidR="002A1C99" w:rsidRPr="002A1C99" w:rsidRDefault="002A1C99" w:rsidP="002A1C99">
            <w:pPr>
              <w:spacing w:after="0"/>
              <w:ind w:leftChars="150" w:left="285"/>
              <w:rPr>
                <w:rFonts w:ascii="Arial" w:hAnsi="Arial" w:cs="Arial"/>
                <w:sz w:val="16"/>
                <w:szCs w:val="16"/>
              </w:rPr>
            </w:pPr>
            <w:r w:rsidRPr="002A1C99">
              <w:rPr>
                <w:rFonts w:ascii="Arial" w:hAnsi="Arial" w:cs="Arial"/>
                <w:sz w:val="16"/>
                <w:szCs w:val="16"/>
              </w:rPr>
              <w:t>Other cash received</w:t>
            </w:r>
          </w:p>
        </w:tc>
        <w:tc>
          <w:tcPr>
            <w:tcW w:w="881" w:type="dxa"/>
            <w:tcBorders>
              <w:top w:val="nil"/>
              <w:left w:val="nil"/>
              <w:bottom w:val="nil"/>
              <w:right w:val="nil"/>
            </w:tcBorders>
            <w:shd w:val="clear" w:color="auto" w:fill="auto"/>
            <w:noWrap/>
            <w:vAlign w:val="bottom"/>
            <w:hideMark/>
          </w:tcPr>
          <w:p w14:paraId="5D312FA9"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289</w:t>
            </w:r>
          </w:p>
        </w:tc>
        <w:tc>
          <w:tcPr>
            <w:tcW w:w="844" w:type="dxa"/>
            <w:tcBorders>
              <w:top w:val="nil"/>
              <w:left w:val="nil"/>
              <w:bottom w:val="nil"/>
              <w:right w:val="nil"/>
            </w:tcBorders>
            <w:shd w:val="clear" w:color="000000" w:fill="D9D9D9"/>
            <w:noWrap/>
            <w:vAlign w:val="bottom"/>
            <w:hideMark/>
          </w:tcPr>
          <w:p w14:paraId="42FE43FB"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30</w:t>
            </w:r>
          </w:p>
        </w:tc>
        <w:tc>
          <w:tcPr>
            <w:tcW w:w="861" w:type="dxa"/>
            <w:tcBorders>
              <w:top w:val="nil"/>
              <w:left w:val="nil"/>
              <w:bottom w:val="nil"/>
              <w:right w:val="nil"/>
            </w:tcBorders>
            <w:shd w:val="clear" w:color="auto" w:fill="auto"/>
            <w:noWrap/>
            <w:vAlign w:val="bottom"/>
            <w:hideMark/>
          </w:tcPr>
          <w:p w14:paraId="2F82C901"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30</w:t>
            </w:r>
          </w:p>
        </w:tc>
        <w:tc>
          <w:tcPr>
            <w:tcW w:w="861" w:type="dxa"/>
            <w:tcBorders>
              <w:top w:val="nil"/>
              <w:left w:val="nil"/>
              <w:bottom w:val="nil"/>
              <w:right w:val="nil"/>
            </w:tcBorders>
            <w:shd w:val="clear" w:color="auto" w:fill="auto"/>
            <w:noWrap/>
            <w:vAlign w:val="bottom"/>
            <w:hideMark/>
          </w:tcPr>
          <w:p w14:paraId="4765F684"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30</w:t>
            </w:r>
          </w:p>
        </w:tc>
        <w:tc>
          <w:tcPr>
            <w:tcW w:w="861" w:type="dxa"/>
            <w:tcBorders>
              <w:top w:val="nil"/>
              <w:left w:val="nil"/>
              <w:bottom w:val="nil"/>
              <w:right w:val="nil"/>
            </w:tcBorders>
            <w:shd w:val="clear" w:color="auto" w:fill="auto"/>
            <w:noWrap/>
            <w:vAlign w:val="bottom"/>
            <w:hideMark/>
          </w:tcPr>
          <w:p w14:paraId="2DAF06E9"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w:t>
            </w:r>
          </w:p>
        </w:tc>
      </w:tr>
      <w:tr w:rsidR="002A1C99" w:rsidRPr="002A1C99" w14:paraId="5DF931E2" w14:textId="77777777" w:rsidTr="002A1C99">
        <w:trPr>
          <w:trHeight w:val="225"/>
        </w:trPr>
        <w:tc>
          <w:tcPr>
            <w:tcW w:w="3052" w:type="dxa"/>
            <w:tcBorders>
              <w:top w:val="nil"/>
              <w:left w:val="nil"/>
              <w:bottom w:val="nil"/>
              <w:right w:val="nil"/>
            </w:tcBorders>
            <w:shd w:val="clear" w:color="auto" w:fill="auto"/>
            <w:noWrap/>
            <w:vAlign w:val="bottom"/>
            <w:hideMark/>
          </w:tcPr>
          <w:p w14:paraId="22AA8DE0" w14:textId="77777777" w:rsidR="002A1C99" w:rsidRPr="002A1C99" w:rsidRDefault="002A1C99" w:rsidP="002A1C99">
            <w:pPr>
              <w:spacing w:after="0"/>
              <w:ind w:leftChars="150" w:left="285"/>
              <w:rPr>
                <w:rFonts w:ascii="Arial" w:hAnsi="Arial" w:cs="Arial"/>
                <w:b/>
                <w:bCs/>
                <w:sz w:val="16"/>
                <w:szCs w:val="16"/>
              </w:rPr>
            </w:pPr>
            <w:r w:rsidRPr="002A1C99">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041195D5" w14:textId="77777777" w:rsidR="002A1C99" w:rsidRPr="002A1C99" w:rsidRDefault="002A1C99" w:rsidP="002A1C99">
            <w:pPr>
              <w:spacing w:after="0"/>
              <w:jc w:val="right"/>
              <w:rPr>
                <w:rFonts w:ascii="Arial" w:hAnsi="Arial" w:cs="Arial"/>
                <w:b/>
                <w:bCs/>
                <w:color w:val="auto"/>
                <w:sz w:val="16"/>
                <w:szCs w:val="16"/>
              </w:rPr>
            </w:pPr>
            <w:r w:rsidRPr="002A1C99">
              <w:rPr>
                <w:rFonts w:ascii="Arial" w:hAnsi="Arial" w:cs="Arial"/>
                <w:b/>
                <w:bCs/>
                <w:color w:val="auto"/>
                <w:sz w:val="16"/>
                <w:szCs w:val="16"/>
              </w:rPr>
              <w:t>109,896</w:t>
            </w:r>
          </w:p>
        </w:tc>
        <w:tc>
          <w:tcPr>
            <w:tcW w:w="844" w:type="dxa"/>
            <w:tcBorders>
              <w:top w:val="nil"/>
              <w:left w:val="nil"/>
              <w:bottom w:val="single" w:sz="4" w:space="0" w:color="auto"/>
              <w:right w:val="nil"/>
            </w:tcBorders>
            <w:shd w:val="clear" w:color="000000" w:fill="D9D9D9"/>
            <w:noWrap/>
            <w:vAlign w:val="bottom"/>
            <w:hideMark/>
          </w:tcPr>
          <w:p w14:paraId="31ADBC7C" w14:textId="77777777" w:rsidR="002A1C99" w:rsidRPr="002A1C99" w:rsidRDefault="002A1C99" w:rsidP="002A1C99">
            <w:pPr>
              <w:spacing w:after="0"/>
              <w:jc w:val="right"/>
              <w:rPr>
                <w:rFonts w:ascii="Arial" w:hAnsi="Arial" w:cs="Arial"/>
                <w:b/>
                <w:bCs/>
                <w:color w:val="auto"/>
                <w:sz w:val="16"/>
                <w:szCs w:val="16"/>
              </w:rPr>
            </w:pPr>
            <w:r w:rsidRPr="002A1C99">
              <w:rPr>
                <w:rFonts w:ascii="Arial" w:hAnsi="Arial" w:cs="Arial"/>
                <w:b/>
                <w:bCs/>
                <w:color w:val="auto"/>
                <w:sz w:val="16"/>
                <w:szCs w:val="16"/>
              </w:rPr>
              <w:t>97,179</w:t>
            </w:r>
          </w:p>
        </w:tc>
        <w:tc>
          <w:tcPr>
            <w:tcW w:w="861" w:type="dxa"/>
            <w:tcBorders>
              <w:top w:val="nil"/>
              <w:left w:val="nil"/>
              <w:bottom w:val="single" w:sz="4" w:space="0" w:color="auto"/>
              <w:right w:val="nil"/>
            </w:tcBorders>
            <w:shd w:val="clear" w:color="auto" w:fill="auto"/>
            <w:noWrap/>
            <w:vAlign w:val="bottom"/>
            <w:hideMark/>
          </w:tcPr>
          <w:p w14:paraId="7124AC0C" w14:textId="77777777" w:rsidR="002A1C99" w:rsidRPr="002A1C99" w:rsidRDefault="002A1C99" w:rsidP="002A1C99">
            <w:pPr>
              <w:spacing w:after="0"/>
              <w:jc w:val="right"/>
              <w:rPr>
                <w:rFonts w:ascii="Arial" w:hAnsi="Arial" w:cs="Arial"/>
                <w:b/>
                <w:bCs/>
                <w:color w:val="auto"/>
                <w:sz w:val="16"/>
                <w:szCs w:val="16"/>
              </w:rPr>
            </w:pPr>
            <w:r w:rsidRPr="002A1C99">
              <w:rPr>
                <w:rFonts w:ascii="Arial" w:hAnsi="Arial" w:cs="Arial"/>
                <w:b/>
                <w:bCs/>
                <w:color w:val="auto"/>
                <w:sz w:val="16"/>
                <w:szCs w:val="16"/>
              </w:rPr>
              <w:t>98,715</w:t>
            </w:r>
          </w:p>
        </w:tc>
        <w:tc>
          <w:tcPr>
            <w:tcW w:w="861" w:type="dxa"/>
            <w:tcBorders>
              <w:top w:val="nil"/>
              <w:left w:val="nil"/>
              <w:bottom w:val="single" w:sz="4" w:space="0" w:color="auto"/>
              <w:right w:val="nil"/>
            </w:tcBorders>
            <w:shd w:val="clear" w:color="auto" w:fill="auto"/>
            <w:noWrap/>
            <w:vAlign w:val="bottom"/>
            <w:hideMark/>
          </w:tcPr>
          <w:p w14:paraId="26E941BF" w14:textId="77777777" w:rsidR="002A1C99" w:rsidRPr="002A1C99" w:rsidRDefault="002A1C99" w:rsidP="002A1C99">
            <w:pPr>
              <w:spacing w:after="0"/>
              <w:jc w:val="right"/>
              <w:rPr>
                <w:rFonts w:ascii="Arial" w:hAnsi="Arial" w:cs="Arial"/>
                <w:b/>
                <w:bCs/>
                <w:color w:val="auto"/>
                <w:sz w:val="16"/>
                <w:szCs w:val="16"/>
              </w:rPr>
            </w:pPr>
            <w:r w:rsidRPr="002A1C99">
              <w:rPr>
                <w:rFonts w:ascii="Arial" w:hAnsi="Arial" w:cs="Arial"/>
                <w:b/>
                <w:bCs/>
                <w:color w:val="auto"/>
                <w:sz w:val="16"/>
                <w:szCs w:val="16"/>
              </w:rPr>
              <w:t>99,329</w:t>
            </w:r>
          </w:p>
        </w:tc>
        <w:tc>
          <w:tcPr>
            <w:tcW w:w="861" w:type="dxa"/>
            <w:tcBorders>
              <w:top w:val="nil"/>
              <w:left w:val="nil"/>
              <w:bottom w:val="single" w:sz="4" w:space="0" w:color="auto"/>
              <w:right w:val="nil"/>
            </w:tcBorders>
            <w:shd w:val="clear" w:color="auto" w:fill="auto"/>
            <w:noWrap/>
            <w:vAlign w:val="bottom"/>
            <w:hideMark/>
          </w:tcPr>
          <w:p w14:paraId="5D8BF9C0" w14:textId="77777777" w:rsidR="002A1C99" w:rsidRPr="002A1C99" w:rsidRDefault="002A1C99" w:rsidP="002A1C99">
            <w:pPr>
              <w:spacing w:after="0"/>
              <w:jc w:val="right"/>
              <w:rPr>
                <w:rFonts w:ascii="Arial" w:hAnsi="Arial" w:cs="Arial"/>
                <w:b/>
                <w:bCs/>
                <w:color w:val="auto"/>
                <w:sz w:val="16"/>
                <w:szCs w:val="16"/>
              </w:rPr>
            </w:pPr>
            <w:r w:rsidRPr="002A1C99">
              <w:rPr>
                <w:rFonts w:ascii="Arial" w:hAnsi="Arial" w:cs="Arial"/>
                <w:b/>
                <w:bCs/>
                <w:color w:val="auto"/>
                <w:sz w:val="16"/>
                <w:szCs w:val="16"/>
              </w:rPr>
              <w:t>99,270</w:t>
            </w:r>
          </w:p>
        </w:tc>
      </w:tr>
      <w:tr w:rsidR="002A1C99" w:rsidRPr="002A1C99" w14:paraId="0C2A93BB" w14:textId="77777777" w:rsidTr="002A1C99">
        <w:trPr>
          <w:trHeight w:val="300"/>
        </w:trPr>
        <w:tc>
          <w:tcPr>
            <w:tcW w:w="3052" w:type="dxa"/>
            <w:tcBorders>
              <w:top w:val="nil"/>
              <w:left w:val="nil"/>
              <w:bottom w:val="nil"/>
              <w:right w:val="nil"/>
            </w:tcBorders>
            <w:shd w:val="clear" w:color="auto" w:fill="auto"/>
            <w:noWrap/>
            <w:vAlign w:val="bottom"/>
            <w:hideMark/>
          </w:tcPr>
          <w:p w14:paraId="3BFBA3F6" w14:textId="77777777" w:rsidR="002A1C99" w:rsidRPr="002A1C99" w:rsidRDefault="002A1C99" w:rsidP="002A1C99">
            <w:pPr>
              <w:spacing w:after="0"/>
              <w:ind w:firstLineChars="100" w:firstLine="160"/>
              <w:rPr>
                <w:rFonts w:ascii="Arial" w:hAnsi="Arial" w:cs="Arial"/>
                <w:b/>
                <w:bCs/>
                <w:sz w:val="16"/>
                <w:szCs w:val="16"/>
              </w:rPr>
            </w:pPr>
            <w:r w:rsidRPr="002A1C99">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3FCDEDAF" w14:textId="77777777" w:rsidR="002A1C99" w:rsidRPr="002A1C99" w:rsidRDefault="002A1C99" w:rsidP="002A1C99">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5A2419D4"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 </w:t>
            </w:r>
          </w:p>
        </w:tc>
        <w:tc>
          <w:tcPr>
            <w:tcW w:w="861" w:type="dxa"/>
            <w:tcBorders>
              <w:top w:val="nil"/>
              <w:left w:val="nil"/>
              <w:bottom w:val="nil"/>
              <w:right w:val="nil"/>
            </w:tcBorders>
            <w:shd w:val="clear" w:color="auto" w:fill="auto"/>
            <w:noWrap/>
            <w:vAlign w:val="bottom"/>
            <w:hideMark/>
          </w:tcPr>
          <w:p w14:paraId="35FFD041" w14:textId="77777777" w:rsidR="002A1C99" w:rsidRPr="002A1C99" w:rsidRDefault="002A1C99" w:rsidP="002A1C99">
            <w:pPr>
              <w:spacing w:after="0"/>
              <w:jc w:val="right"/>
              <w:rPr>
                <w:rFonts w:ascii="Arial" w:hAnsi="Arial" w:cs="Arial"/>
                <w:color w:val="auto"/>
                <w:sz w:val="16"/>
                <w:szCs w:val="16"/>
              </w:rPr>
            </w:pPr>
          </w:p>
        </w:tc>
        <w:tc>
          <w:tcPr>
            <w:tcW w:w="861" w:type="dxa"/>
            <w:tcBorders>
              <w:top w:val="nil"/>
              <w:left w:val="nil"/>
              <w:bottom w:val="nil"/>
              <w:right w:val="nil"/>
            </w:tcBorders>
            <w:shd w:val="clear" w:color="auto" w:fill="auto"/>
            <w:noWrap/>
            <w:vAlign w:val="bottom"/>
            <w:hideMark/>
          </w:tcPr>
          <w:p w14:paraId="31E51938" w14:textId="77777777" w:rsidR="002A1C99" w:rsidRPr="002A1C99" w:rsidRDefault="002A1C99" w:rsidP="002A1C99">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3D053763" w14:textId="77777777" w:rsidR="002A1C99" w:rsidRPr="002A1C99" w:rsidRDefault="002A1C99" w:rsidP="002A1C99">
            <w:pPr>
              <w:spacing w:after="0"/>
              <w:jc w:val="right"/>
              <w:rPr>
                <w:rFonts w:ascii="Times New Roman" w:hAnsi="Times New Roman"/>
                <w:color w:val="auto"/>
                <w:sz w:val="20"/>
              </w:rPr>
            </w:pPr>
          </w:p>
        </w:tc>
      </w:tr>
      <w:tr w:rsidR="002A1C99" w:rsidRPr="002A1C99" w14:paraId="1A49B5FE" w14:textId="77777777" w:rsidTr="002A1C99">
        <w:trPr>
          <w:trHeight w:val="225"/>
        </w:trPr>
        <w:tc>
          <w:tcPr>
            <w:tcW w:w="3052" w:type="dxa"/>
            <w:tcBorders>
              <w:top w:val="nil"/>
              <w:left w:val="nil"/>
              <w:bottom w:val="nil"/>
              <w:right w:val="nil"/>
            </w:tcBorders>
            <w:shd w:val="clear" w:color="auto" w:fill="auto"/>
            <w:noWrap/>
            <w:vAlign w:val="bottom"/>
            <w:hideMark/>
          </w:tcPr>
          <w:p w14:paraId="58721A57" w14:textId="77777777" w:rsidR="002A1C99" w:rsidRPr="002A1C99" w:rsidRDefault="002A1C99" w:rsidP="002A1C99">
            <w:pPr>
              <w:spacing w:after="0"/>
              <w:ind w:leftChars="150" w:left="285"/>
              <w:rPr>
                <w:rFonts w:ascii="Arial" w:hAnsi="Arial" w:cs="Arial"/>
                <w:sz w:val="16"/>
                <w:szCs w:val="16"/>
              </w:rPr>
            </w:pPr>
            <w:r w:rsidRPr="002A1C99">
              <w:rPr>
                <w:rFonts w:ascii="Arial" w:hAnsi="Arial" w:cs="Arial"/>
                <w:sz w:val="16"/>
                <w:szCs w:val="16"/>
              </w:rPr>
              <w:t>Employees</w:t>
            </w:r>
          </w:p>
        </w:tc>
        <w:tc>
          <w:tcPr>
            <w:tcW w:w="881" w:type="dxa"/>
            <w:tcBorders>
              <w:top w:val="nil"/>
              <w:left w:val="nil"/>
              <w:bottom w:val="nil"/>
              <w:right w:val="nil"/>
            </w:tcBorders>
            <w:shd w:val="clear" w:color="auto" w:fill="auto"/>
            <w:noWrap/>
            <w:vAlign w:val="bottom"/>
            <w:hideMark/>
          </w:tcPr>
          <w:p w14:paraId="2C69584B"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47,871</w:t>
            </w:r>
          </w:p>
        </w:tc>
        <w:tc>
          <w:tcPr>
            <w:tcW w:w="844" w:type="dxa"/>
            <w:tcBorders>
              <w:top w:val="nil"/>
              <w:left w:val="nil"/>
              <w:bottom w:val="nil"/>
              <w:right w:val="nil"/>
            </w:tcBorders>
            <w:shd w:val="clear" w:color="000000" w:fill="D9D9D9"/>
            <w:noWrap/>
            <w:vAlign w:val="bottom"/>
            <w:hideMark/>
          </w:tcPr>
          <w:p w14:paraId="606D032B"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51,292</w:t>
            </w:r>
          </w:p>
        </w:tc>
        <w:tc>
          <w:tcPr>
            <w:tcW w:w="861" w:type="dxa"/>
            <w:tcBorders>
              <w:top w:val="nil"/>
              <w:left w:val="nil"/>
              <w:bottom w:val="nil"/>
              <w:right w:val="nil"/>
            </w:tcBorders>
            <w:shd w:val="clear" w:color="auto" w:fill="auto"/>
            <w:noWrap/>
            <w:vAlign w:val="bottom"/>
            <w:hideMark/>
          </w:tcPr>
          <w:p w14:paraId="511F853A"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52,300</w:t>
            </w:r>
          </w:p>
        </w:tc>
        <w:tc>
          <w:tcPr>
            <w:tcW w:w="861" w:type="dxa"/>
            <w:tcBorders>
              <w:top w:val="nil"/>
              <w:left w:val="nil"/>
              <w:bottom w:val="nil"/>
              <w:right w:val="nil"/>
            </w:tcBorders>
            <w:shd w:val="clear" w:color="auto" w:fill="auto"/>
            <w:noWrap/>
            <w:vAlign w:val="bottom"/>
            <w:hideMark/>
          </w:tcPr>
          <w:p w14:paraId="4146DE88"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52,888</w:t>
            </w:r>
          </w:p>
        </w:tc>
        <w:tc>
          <w:tcPr>
            <w:tcW w:w="861" w:type="dxa"/>
            <w:tcBorders>
              <w:top w:val="nil"/>
              <w:left w:val="nil"/>
              <w:bottom w:val="nil"/>
              <w:right w:val="nil"/>
            </w:tcBorders>
            <w:shd w:val="clear" w:color="auto" w:fill="auto"/>
            <w:noWrap/>
            <w:vAlign w:val="bottom"/>
            <w:hideMark/>
          </w:tcPr>
          <w:p w14:paraId="56D3E6CA"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53,790</w:t>
            </w:r>
          </w:p>
        </w:tc>
      </w:tr>
      <w:tr w:rsidR="002A1C99" w:rsidRPr="002A1C99" w14:paraId="4A1A0216" w14:textId="77777777" w:rsidTr="002A1C99">
        <w:trPr>
          <w:trHeight w:val="225"/>
        </w:trPr>
        <w:tc>
          <w:tcPr>
            <w:tcW w:w="3052" w:type="dxa"/>
            <w:tcBorders>
              <w:top w:val="nil"/>
              <w:left w:val="nil"/>
              <w:bottom w:val="nil"/>
              <w:right w:val="nil"/>
            </w:tcBorders>
            <w:shd w:val="clear" w:color="auto" w:fill="auto"/>
            <w:noWrap/>
            <w:vAlign w:val="bottom"/>
            <w:hideMark/>
          </w:tcPr>
          <w:p w14:paraId="18D78640" w14:textId="77777777" w:rsidR="002A1C99" w:rsidRPr="002A1C99" w:rsidRDefault="002A1C99" w:rsidP="002A1C99">
            <w:pPr>
              <w:spacing w:after="0"/>
              <w:ind w:leftChars="150" w:left="285"/>
              <w:rPr>
                <w:rFonts w:ascii="Arial" w:hAnsi="Arial" w:cs="Arial"/>
                <w:sz w:val="16"/>
                <w:szCs w:val="16"/>
              </w:rPr>
            </w:pPr>
            <w:r w:rsidRPr="002A1C99">
              <w:rPr>
                <w:rFonts w:ascii="Arial" w:hAnsi="Arial" w:cs="Arial"/>
                <w:sz w:val="16"/>
                <w:szCs w:val="16"/>
              </w:rPr>
              <w:t>Interest payments on lease liability</w:t>
            </w:r>
          </w:p>
        </w:tc>
        <w:tc>
          <w:tcPr>
            <w:tcW w:w="881" w:type="dxa"/>
            <w:tcBorders>
              <w:top w:val="nil"/>
              <w:left w:val="nil"/>
              <w:bottom w:val="nil"/>
              <w:right w:val="nil"/>
            </w:tcBorders>
            <w:shd w:val="clear" w:color="auto" w:fill="auto"/>
            <w:noWrap/>
            <w:vAlign w:val="bottom"/>
            <w:hideMark/>
          </w:tcPr>
          <w:p w14:paraId="1F4608D6"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364</w:t>
            </w:r>
          </w:p>
        </w:tc>
        <w:tc>
          <w:tcPr>
            <w:tcW w:w="844" w:type="dxa"/>
            <w:tcBorders>
              <w:top w:val="nil"/>
              <w:left w:val="nil"/>
              <w:bottom w:val="nil"/>
              <w:right w:val="nil"/>
            </w:tcBorders>
            <w:shd w:val="clear" w:color="000000" w:fill="D9D9D9"/>
            <w:noWrap/>
            <w:vAlign w:val="bottom"/>
            <w:hideMark/>
          </w:tcPr>
          <w:p w14:paraId="5CCDCD70"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323</w:t>
            </w:r>
          </w:p>
        </w:tc>
        <w:tc>
          <w:tcPr>
            <w:tcW w:w="861" w:type="dxa"/>
            <w:tcBorders>
              <w:top w:val="nil"/>
              <w:left w:val="nil"/>
              <w:bottom w:val="nil"/>
              <w:right w:val="nil"/>
            </w:tcBorders>
            <w:shd w:val="clear" w:color="auto" w:fill="auto"/>
            <w:noWrap/>
            <w:vAlign w:val="bottom"/>
            <w:hideMark/>
          </w:tcPr>
          <w:p w14:paraId="5E4F1767"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280</w:t>
            </w:r>
          </w:p>
        </w:tc>
        <w:tc>
          <w:tcPr>
            <w:tcW w:w="861" w:type="dxa"/>
            <w:tcBorders>
              <w:top w:val="nil"/>
              <w:left w:val="nil"/>
              <w:bottom w:val="nil"/>
              <w:right w:val="nil"/>
            </w:tcBorders>
            <w:shd w:val="clear" w:color="auto" w:fill="auto"/>
            <w:noWrap/>
            <w:vAlign w:val="bottom"/>
            <w:hideMark/>
          </w:tcPr>
          <w:p w14:paraId="1B41C2D5"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237</w:t>
            </w:r>
          </w:p>
        </w:tc>
        <w:tc>
          <w:tcPr>
            <w:tcW w:w="861" w:type="dxa"/>
            <w:tcBorders>
              <w:top w:val="nil"/>
              <w:left w:val="nil"/>
              <w:bottom w:val="nil"/>
              <w:right w:val="nil"/>
            </w:tcBorders>
            <w:shd w:val="clear" w:color="auto" w:fill="auto"/>
            <w:noWrap/>
            <w:vAlign w:val="bottom"/>
            <w:hideMark/>
          </w:tcPr>
          <w:p w14:paraId="44DC14E2"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200</w:t>
            </w:r>
          </w:p>
        </w:tc>
      </w:tr>
      <w:tr w:rsidR="002A1C99" w:rsidRPr="002A1C99" w14:paraId="0F569AE0" w14:textId="77777777" w:rsidTr="002A1C99">
        <w:trPr>
          <w:trHeight w:val="225"/>
        </w:trPr>
        <w:tc>
          <w:tcPr>
            <w:tcW w:w="3052" w:type="dxa"/>
            <w:tcBorders>
              <w:top w:val="nil"/>
              <w:left w:val="nil"/>
              <w:bottom w:val="nil"/>
              <w:right w:val="nil"/>
            </w:tcBorders>
            <w:shd w:val="clear" w:color="auto" w:fill="auto"/>
            <w:noWrap/>
            <w:vAlign w:val="bottom"/>
            <w:hideMark/>
          </w:tcPr>
          <w:p w14:paraId="62CED39E" w14:textId="77777777" w:rsidR="002A1C99" w:rsidRPr="002A1C99" w:rsidRDefault="002A1C99" w:rsidP="002A1C99">
            <w:pPr>
              <w:spacing w:after="0"/>
              <w:ind w:leftChars="150" w:left="285"/>
              <w:rPr>
                <w:rFonts w:ascii="Arial" w:hAnsi="Arial" w:cs="Arial"/>
                <w:sz w:val="16"/>
                <w:szCs w:val="16"/>
              </w:rPr>
            </w:pPr>
            <w:r w:rsidRPr="002A1C99">
              <w:rPr>
                <w:rFonts w:ascii="Arial" w:hAnsi="Arial" w:cs="Arial"/>
                <w:sz w:val="16"/>
                <w:szCs w:val="16"/>
              </w:rPr>
              <w:t>Suppliers</w:t>
            </w:r>
          </w:p>
        </w:tc>
        <w:tc>
          <w:tcPr>
            <w:tcW w:w="881" w:type="dxa"/>
            <w:tcBorders>
              <w:top w:val="nil"/>
              <w:left w:val="nil"/>
              <w:bottom w:val="nil"/>
              <w:right w:val="nil"/>
            </w:tcBorders>
            <w:shd w:val="clear" w:color="auto" w:fill="auto"/>
            <w:noWrap/>
            <w:vAlign w:val="bottom"/>
            <w:hideMark/>
          </w:tcPr>
          <w:p w14:paraId="33993522"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44,511</w:t>
            </w:r>
          </w:p>
        </w:tc>
        <w:tc>
          <w:tcPr>
            <w:tcW w:w="844" w:type="dxa"/>
            <w:tcBorders>
              <w:top w:val="nil"/>
              <w:left w:val="nil"/>
              <w:bottom w:val="nil"/>
              <w:right w:val="nil"/>
            </w:tcBorders>
            <w:shd w:val="clear" w:color="000000" w:fill="D9D9D9"/>
            <w:noWrap/>
            <w:vAlign w:val="bottom"/>
            <w:hideMark/>
          </w:tcPr>
          <w:p w14:paraId="17981FF0"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40,559</w:t>
            </w:r>
          </w:p>
        </w:tc>
        <w:tc>
          <w:tcPr>
            <w:tcW w:w="861" w:type="dxa"/>
            <w:tcBorders>
              <w:top w:val="nil"/>
              <w:left w:val="nil"/>
              <w:bottom w:val="nil"/>
              <w:right w:val="nil"/>
            </w:tcBorders>
            <w:shd w:val="clear" w:color="auto" w:fill="auto"/>
            <w:noWrap/>
            <w:vAlign w:val="bottom"/>
            <w:hideMark/>
          </w:tcPr>
          <w:p w14:paraId="420DF1B6"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39,725</w:t>
            </w:r>
          </w:p>
        </w:tc>
        <w:tc>
          <w:tcPr>
            <w:tcW w:w="861" w:type="dxa"/>
            <w:tcBorders>
              <w:top w:val="nil"/>
              <w:left w:val="nil"/>
              <w:bottom w:val="nil"/>
              <w:right w:val="nil"/>
            </w:tcBorders>
            <w:shd w:val="clear" w:color="auto" w:fill="auto"/>
            <w:noWrap/>
            <w:vAlign w:val="bottom"/>
            <w:hideMark/>
          </w:tcPr>
          <w:p w14:paraId="2BFE9D73"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38,360</w:t>
            </w:r>
          </w:p>
        </w:tc>
        <w:tc>
          <w:tcPr>
            <w:tcW w:w="861" w:type="dxa"/>
            <w:tcBorders>
              <w:top w:val="nil"/>
              <w:left w:val="nil"/>
              <w:bottom w:val="nil"/>
              <w:right w:val="nil"/>
            </w:tcBorders>
            <w:shd w:val="clear" w:color="auto" w:fill="auto"/>
            <w:noWrap/>
            <w:vAlign w:val="bottom"/>
            <w:hideMark/>
          </w:tcPr>
          <w:p w14:paraId="61EAFF72"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40,526</w:t>
            </w:r>
          </w:p>
        </w:tc>
      </w:tr>
      <w:tr w:rsidR="002A1C99" w:rsidRPr="002A1C99" w14:paraId="14B9C9C5" w14:textId="77777777" w:rsidTr="002A1C99">
        <w:trPr>
          <w:trHeight w:val="225"/>
        </w:trPr>
        <w:tc>
          <w:tcPr>
            <w:tcW w:w="3052" w:type="dxa"/>
            <w:tcBorders>
              <w:top w:val="nil"/>
              <w:left w:val="nil"/>
              <w:bottom w:val="nil"/>
              <w:right w:val="nil"/>
            </w:tcBorders>
            <w:shd w:val="clear" w:color="auto" w:fill="auto"/>
            <w:noWrap/>
            <w:vAlign w:val="bottom"/>
            <w:hideMark/>
          </w:tcPr>
          <w:p w14:paraId="08802A6B" w14:textId="77777777" w:rsidR="002A1C99" w:rsidRPr="002A1C99" w:rsidRDefault="002A1C99" w:rsidP="002A1C99">
            <w:pPr>
              <w:spacing w:after="0"/>
              <w:ind w:leftChars="150" w:left="285"/>
              <w:rPr>
                <w:rFonts w:ascii="Arial" w:hAnsi="Arial" w:cs="Arial"/>
                <w:sz w:val="16"/>
                <w:szCs w:val="16"/>
              </w:rPr>
            </w:pPr>
            <w:r w:rsidRPr="002A1C99">
              <w:rPr>
                <w:rFonts w:ascii="Arial" w:hAnsi="Arial" w:cs="Arial"/>
                <w:sz w:val="16"/>
                <w:szCs w:val="16"/>
              </w:rPr>
              <w:t>Net GST paid</w:t>
            </w:r>
          </w:p>
        </w:tc>
        <w:tc>
          <w:tcPr>
            <w:tcW w:w="881" w:type="dxa"/>
            <w:tcBorders>
              <w:top w:val="nil"/>
              <w:left w:val="nil"/>
              <w:bottom w:val="nil"/>
              <w:right w:val="nil"/>
            </w:tcBorders>
            <w:shd w:val="clear" w:color="auto" w:fill="auto"/>
            <w:noWrap/>
            <w:vAlign w:val="bottom"/>
            <w:hideMark/>
          </w:tcPr>
          <w:p w14:paraId="37E7F056"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w:t>
            </w:r>
          </w:p>
        </w:tc>
        <w:tc>
          <w:tcPr>
            <w:tcW w:w="844" w:type="dxa"/>
            <w:tcBorders>
              <w:top w:val="nil"/>
              <w:left w:val="nil"/>
              <w:bottom w:val="nil"/>
              <w:right w:val="nil"/>
            </w:tcBorders>
            <w:shd w:val="clear" w:color="000000" w:fill="D9D9D9"/>
            <w:noWrap/>
            <w:vAlign w:val="bottom"/>
            <w:hideMark/>
          </w:tcPr>
          <w:p w14:paraId="57FBE630"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75BA9C32"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1307256D"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1433726F"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w:t>
            </w:r>
          </w:p>
        </w:tc>
      </w:tr>
      <w:tr w:rsidR="002A1C99" w:rsidRPr="002A1C99" w14:paraId="1A020326" w14:textId="77777777" w:rsidTr="002A1C99">
        <w:trPr>
          <w:trHeight w:val="225"/>
        </w:trPr>
        <w:tc>
          <w:tcPr>
            <w:tcW w:w="3052" w:type="dxa"/>
            <w:tcBorders>
              <w:top w:val="nil"/>
              <w:left w:val="nil"/>
              <w:bottom w:val="nil"/>
              <w:right w:val="nil"/>
            </w:tcBorders>
            <w:shd w:val="clear" w:color="auto" w:fill="auto"/>
            <w:noWrap/>
            <w:vAlign w:val="bottom"/>
            <w:hideMark/>
          </w:tcPr>
          <w:p w14:paraId="367E3BF2" w14:textId="77777777" w:rsidR="002A1C99" w:rsidRPr="002A1C99" w:rsidRDefault="002A1C99" w:rsidP="002A1C99">
            <w:pPr>
              <w:spacing w:after="0"/>
              <w:ind w:leftChars="150" w:left="285"/>
              <w:rPr>
                <w:rFonts w:ascii="Arial" w:hAnsi="Arial" w:cs="Arial"/>
                <w:b/>
                <w:bCs/>
                <w:sz w:val="16"/>
                <w:szCs w:val="16"/>
              </w:rPr>
            </w:pPr>
            <w:r w:rsidRPr="002A1C99">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23CE814B" w14:textId="77777777" w:rsidR="002A1C99" w:rsidRPr="002A1C99" w:rsidRDefault="002A1C99" w:rsidP="002A1C99">
            <w:pPr>
              <w:spacing w:after="0"/>
              <w:jc w:val="right"/>
              <w:rPr>
                <w:rFonts w:ascii="Arial" w:hAnsi="Arial" w:cs="Arial"/>
                <w:b/>
                <w:bCs/>
                <w:color w:val="auto"/>
                <w:sz w:val="16"/>
                <w:szCs w:val="16"/>
              </w:rPr>
            </w:pPr>
            <w:r w:rsidRPr="002A1C99">
              <w:rPr>
                <w:rFonts w:ascii="Arial" w:hAnsi="Arial" w:cs="Arial"/>
                <w:b/>
                <w:bCs/>
                <w:color w:val="auto"/>
                <w:sz w:val="16"/>
                <w:szCs w:val="16"/>
              </w:rPr>
              <w:t>92,746</w:t>
            </w:r>
          </w:p>
        </w:tc>
        <w:tc>
          <w:tcPr>
            <w:tcW w:w="844" w:type="dxa"/>
            <w:tcBorders>
              <w:top w:val="nil"/>
              <w:left w:val="nil"/>
              <w:bottom w:val="single" w:sz="4" w:space="0" w:color="auto"/>
              <w:right w:val="nil"/>
            </w:tcBorders>
            <w:shd w:val="clear" w:color="000000" w:fill="D9D9D9"/>
            <w:noWrap/>
            <w:vAlign w:val="bottom"/>
            <w:hideMark/>
          </w:tcPr>
          <w:p w14:paraId="4442CD92" w14:textId="77777777" w:rsidR="002A1C99" w:rsidRPr="002A1C99" w:rsidRDefault="002A1C99" w:rsidP="002A1C99">
            <w:pPr>
              <w:spacing w:after="0"/>
              <w:jc w:val="right"/>
              <w:rPr>
                <w:rFonts w:ascii="Arial" w:hAnsi="Arial" w:cs="Arial"/>
                <w:b/>
                <w:bCs/>
                <w:color w:val="auto"/>
                <w:sz w:val="16"/>
                <w:szCs w:val="16"/>
              </w:rPr>
            </w:pPr>
            <w:r w:rsidRPr="002A1C99">
              <w:rPr>
                <w:rFonts w:ascii="Arial" w:hAnsi="Arial" w:cs="Arial"/>
                <w:b/>
                <w:bCs/>
                <w:color w:val="auto"/>
                <w:sz w:val="16"/>
                <w:szCs w:val="16"/>
              </w:rPr>
              <w:t>92,174</w:t>
            </w:r>
          </w:p>
        </w:tc>
        <w:tc>
          <w:tcPr>
            <w:tcW w:w="861" w:type="dxa"/>
            <w:tcBorders>
              <w:top w:val="nil"/>
              <w:left w:val="nil"/>
              <w:bottom w:val="single" w:sz="4" w:space="0" w:color="auto"/>
              <w:right w:val="nil"/>
            </w:tcBorders>
            <w:shd w:val="clear" w:color="auto" w:fill="auto"/>
            <w:noWrap/>
            <w:vAlign w:val="bottom"/>
            <w:hideMark/>
          </w:tcPr>
          <w:p w14:paraId="51D54423" w14:textId="77777777" w:rsidR="002A1C99" w:rsidRPr="002A1C99" w:rsidRDefault="002A1C99" w:rsidP="002A1C99">
            <w:pPr>
              <w:spacing w:after="0"/>
              <w:jc w:val="right"/>
              <w:rPr>
                <w:rFonts w:ascii="Arial" w:hAnsi="Arial" w:cs="Arial"/>
                <w:b/>
                <w:bCs/>
                <w:color w:val="auto"/>
                <w:sz w:val="16"/>
                <w:szCs w:val="16"/>
              </w:rPr>
            </w:pPr>
            <w:r w:rsidRPr="002A1C99">
              <w:rPr>
                <w:rFonts w:ascii="Arial" w:hAnsi="Arial" w:cs="Arial"/>
                <w:b/>
                <w:bCs/>
                <w:color w:val="auto"/>
                <w:sz w:val="16"/>
                <w:szCs w:val="16"/>
              </w:rPr>
              <w:t>92,305</w:t>
            </w:r>
          </w:p>
        </w:tc>
        <w:tc>
          <w:tcPr>
            <w:tcW w:w="861" w:type="dxa"/>
            <w:tcBorders>
              <w:top w:val="nil"/>
              <w:left w:val="nil"/>
              <w:bottom w:val="single" w:sz="4" w:space="0" w:color="auto"/>
              <w:right w:val="nil"/>
            </w:tcBorders>
            <w:shd w:val="clear" w:color="auto" w:fill="auto"/>
            <w:noWrap/>
            <w:vAlign w:val="bottom"/>
            <w:hideMark/>
          </w:tcPr>
          <w:p w14:paraId="7DA3D458" w14:textId="77777777" w:rsidR="002A1C99" w:rsidRPr="002A1C99" w:rsidRDefault="002A1C99" w:rsidP="002A1C99">
            <w:pPr>
              <w:spacing w:after="0"/>
              <w:jc w:val="right"/>
              <w:rPr>
                <w:rFonts w:ascii="Arial" w:hAnsi="Arial" w:cs="Arial"/>
                <w:b/>
                <w:bCs/>
                <w:color w:val="auto"/>
                <w:sz w:val="16"/>
                <w:szCs w:val="16"/>
              </w:rPr>
            </w:pPr>
            <w:r w:rsidRPr="002A1C99">
              <w:rPr>
                <w:rFonts w:ascii="Arial" w:hAnsi="Arial" w:cs="Arial"/>
                <w:b/>
                <w:bCs/>
                <w:color w:val="auto"/>
                <w:sz w:val="16"/>
                <w:szCs w:val="16"/>
              </w:rPr>
              <w:t>91,485</w:t>
            </w:r>
          </w:p>
        </w:tc>
        <w:tc>
          <w:tcPr>
            <w:tcW w:w="861" w:type="dxa"/>
            <w:tcBorders>
              <w:top w:val="nil"/>
              <w:left w:val="nil"/>
              <w:bottom w:val="single" w:sz="4" w:space="0" w:color="auto"/>
              <w:right w:val="nil"/>
            </w:tcBorders>
            <w:shd w:val="clear" w:color="auto" w:fill="auto"/>
            <w:noWrap/>
            <w:vAlign w:val="bottom"/>
            <w:hideMark/>
          </w:tcPr>
          <w:p w14:paraId="111627D0" w14:textId="77777777" w:rsidR="002A1C99" w:rsidRPr="002A1C99" w:rsidRDefault="002A1C99" w:rsidP="002A1C99">
            <w:pPr>
              <w:spacing w:after="0"/>
              <w:jc w:val="right"/>
              <w:rPr>
                <w:rFonts w:ascii="Arial" w:hAnsi="Arial" w:cs="Arial"/>
                <w:b/>
                <w:bCs/>
                <w:color w:val="auto"/>
                <w:sz w:val="16"/>
                <w:szCs w:val="16"/>
              </w:rPr>
            </w:pPr>
            <w:r w:rsidRPr="002A1C99">
              <w:rPr>
                <w:rFonts w:ascii="Arial" w:hAnsi="Arial" w:cs="Arial"/>
                <w:b/>
                <w:bCs/>
                <w:color w:val="auto"/>
                <w:sz w:val="16"/>
                <w:szCs w:val="16"/>
              </w:rPr>
              <w:t>94,516</w:t>
            </w:r>
          </w:p>
        </w:tc>
      </w:tr>
      <w:tr w:rsidR="002A1C99" w:rsidRPr="002A1C99" w14:paraId="30D87232" w14:textId="77777777" w:rsidTr="002A1C99">
        <w:trPr>
          <w:trHeight w:val="450"/>
        </w:trPr>
        <w:tc>
          <w:tcPr>
            <w:tcW w:w="3052" w:type="dxa"/>
            <w:tcBorders>
              <w:top w:val="nil"/>
              <w:left w:val="nil"/>
              <w:bottom w:val="nil"/>
              <w:right w:val="nil"/>
            </w:tcBorders>
            <w:shd w:val="clear" w:color="auto" w:fill="auto"/>
            <w:vAlign w:val="bottom"/>
            <w:hideMark/>
          </w:tcPr>
          <w:p w14:paraId="5A3F7F34" w14:textId="77777777" w:rsidR="002A1C99" w:rsidRPr="002A1C99" w:rsidRDefault="002A1C99" w:rsidP="002A1C99">
            <w:pPr>
              <w:spacing w:after="0"/>
              <w:ind w:leftChars="75" w:left="143"/>
              <w:rPr>
                <w:rFonts w:ascii="Arial" w:hAnsi="Arial" w:cs="Arial"/>
                <w:b/>
                <w:bCs/>
                <w:sz w:val="16"/>
                <w:szCs w:val="16"/>
              </w:rPr>
            </w:pPr>
            <w:r w:rsidRPr="002A1C99">
              <w:rPr>
                <w:rFonts w:ascii="Arial" w:hAnsi="Arial" w:cs="Arial"/>
                <w:b/>
                <w:bCs/>
                <w:sz w:val="16"/>
                <w:szCs w:val="16"/>
              </w:rPr>
              <w:t>Net cash from (or used by) operating activities</w:t>
            </w:r>
          </w:p>
        </w:tc>
        <w:tc>
          <w:tcPr>
            <w:tcW w:w="881" w:type="dxa"/>
            <w:tcBorders>
              <w:top w:val="nil"/>
              <w:left w:val="nil"/>
              <w:bottom w:val="single" w:sz="4" w:space="0" w:color="auto"/>
              <w:right w:val="nil"/>
            </w:tcBorders>
            <w:shd w:val="clear" w:color="auto" w:fill="auto"/>
            <w:noWrap/>
            <w:vAlign w:val="bottom"/>
            <w:hideMark/>
          </w:tcPr>
          <w:p w14:paraId="50FFC2C9" w14:textId="77777777" w:rsidR="002A1C99" w:rsidRPr="002A1C99" w:rsidRDefault="002A1C99" w:rsidP="002A1C99">
            <w:pPr>
              <w:spacing w:after="0"/>
              <w:jc w:val="right"/>
              <w:rPr>
                <w:rFonts w:ascii="Arial" w:hAnsi="Arial" w:cs="Arial"/>
                <w:b/>
                <w:bCs/>
                <w:color w:val="auto"/>
                <w:sz w:val="16"/>
                <w:szCs w:val="16"/>
              </w:rPr>
            </w:pPr>
            <w:r w:rsidRPr="002A1C99">
              <w:rPr>
                <w:rFonts w:ascii="Arial" w:hAnsi="Arial" w:cs="Arial"/>
                <w:b/>
                <w:bCs/>
                <w:color w:val="auto"/>
                <w:sz w:val="16"/>
                <w:szCs w:val="16"/>
              </w:rPr>
              <w:t>17,150</w:t>
            </w:r>
          </w:p>
        </w:tc>
        <w:tc>
          <w:tcPr>
            <w:tcW w:w="844" w:type="dxa"/>
            <w:tcBorders>
              <w:top w:val="nil"/>
              <w:left w:val="nil"/>
              <w:bottom w:val="single" w:sz="4" w:space="0" w:color="auto"/>
              <w:right w:val="nil"/>
            </w:tcBorders>
            <w:shd w:val="clear" w:color="000000" w:fill="D9D9D9"/>
            <w:noWrap/>
            <w:vAlign w:val="bottom"/>
            <w:hideMark/>
          </w:tcPr>
          <w:p w14:paraId="7EE06B23" w14:textId="77777777" w:rsidR="002A1C99" w:rsidRPr="002A1C99" w:rsidRDefault="002A1C99" w:rsidP="002A1C99">
            <w:pPr>
              <w:spacing w:after="0"/>
              <w:jc w:val="right"/>
              <w:rPr>
                <w:rFonts w:ascii="Arial" w:hAnsi="Arial" w:cs="Arial"/>
                <w:b/>
                <w:bCs/>
                <w:color w:val="auto"/>
                <w:sz w:val="16"/>
                <w:szCs w:val="16"/>
              </w:rPr>
            </w:pPr>
            <w:r w:rsidRPr="002A1C99">
              <w:rPr>
                <w:rFonts w:ascii="Arial" w:hAnsi="Arial" w:cs="Arial"/>
                <w:b/>
                <w:bCs/>
                <w:color w:val="auto"/>
                <w:sz w:val="16"/>
                <w:szCs w:val="16"/>
              </w:rPr>
              <w:t>5,005</w:t>
            </w:r>
          </w:p>
        </w:tc>
        <w:tc>
          <w:tcPr>
            <w:tcW w:w="861" w:type="dxa"/>
            <w:tcBorders>
              <w:top w:val="nil"/>
              <w:left w:val="nil"/>
              <w:bottom w:val="single" w:sz="4" w:space="0" w:color="auto"/>
              <w:right w:val="nil"/>
            </w:tcBorders>
            <w:shd w:val="clear" w:color="auto" w:fill="auto"/>
            <w:noWrap/>
            <w:vAlign w:val="bottom"/>
            <w:hideMark/>
          </w:tcPr>
          <w:p w14:paraId="027B20EB" w14:textId="77777777" w:rsidR="002A1C99" w:rsidRPr="002A1C99" w:rsidRDefault="002A1C99" w:rsidP="002A1C99">
            <w:pPr>
              <w:spacing w:after="0"/>
              <w:jc w:val="right"/>
              <w:rPr>
                <w:rFonts w:ascii="Arial" w:hAnsi="Arial" w:cs="Arial"/>
                <w:b/>
                <w:bCs/>
                <w:color w:val="auto"/>
                <w:sz w:val="16"/>
                <w:szCs w:val="16"/>
              </w:rPr>
            </w:pPr>
            <w:r w:rsidRPr="002A1C99">
              <w:rPr>
                <w:rFonts w:ascii="Arial" w:hAnsi="Arial" w:cs="Arial"/>
                <w:b/>
                <w:bCs/>
                <w:color w:val="auto"/>
                <w:sz w:val="16"/>
                <w:szCs w:val="16"/>
              </w:rPr>
              <w:t>6,410</w:t>
            </w:r>
          </w:p>
        </w:tc>
        <w:tc>
          <w:tcPr>
            <w:tcW w:w="861" w:type="dxa"/>
            <w:tcBorders>
              <w:top w:val="nil"/>
              <w:left w:val="nil"/>
              <w:bottom w:val="single" w:sz="4" w:space="0" w:color="auto"/>
              <w:right w:val="nil"/>
            </w:tcBorders>
            <w:shd w:val="clear" w:color="auto" w:fill="auto"/>
            <w:noWrap/>
            <w:vAlign w:val="bottom"/>
            <w:hideMark/>
          </w:tcPr>
          <w:p w14:paraId="48AA8CF2" w14:textId="77777777" w:rsidR="002A1C99" w:rsidRPr="002A1C99" w:rsidRDefault="002A1C99" w:rsidP="002A1C99">
            <w:pPr>
              <w:spacing w:after="0"/>
              <w:jc w:val="right"/>
              <w:rPr>
                <w:rFonts w:ascii="Arial" w:hAnsi="Arial" w:cs="Arial"/>
                <w:b/>
                <w:bCs/>
                <w:color w:val="auto"/>
                <w:sz w:val="16"/>
                <w:szCs w:val="16"/>
              </w:rPr>
            </w:pPr>
            <w:r w:rsidRPr="002A1C99">
              <w:rPr>
                <w:rFonts w:ascii="Arial" w:hAnsi="Arial" w:cs="Arial"/>
                <w:b/>
                <w:bCs/>
                <w:color w:val="auto"/>
                <w:sz w:val="16"/>
                <w:szCs w:val="16"/>
              </w:rPr>
              <w:t>7,844</w:t>
            </w:r>
          </w:p>
        </w:tc>
        <w:tc>
          <w:tcPr>
            <w:tcW w:w="861" w:type="dxa"/>
            <w:tcBorders>
              <w:top w:val="nil"/>
              <w:left w:val="nil"/>
              <w:bottom w:val="single" w:sz="4" w:space="0" w:color="auto"/>
              <w:right w:val="nil"/>
            </w:tcBorders>
            <w:shd w:val="clear" w:color="auto" w:fill="auto"/>
            <w:noWrap/>
            <w:vAlign w:val="bottom"/>
            <w:hideMark/>
          </w:tcPr>
          <w:p w14:paraId="51EDF4E2" w14:textId="77777777" w:rsidR="002A1C99" w:rsidRPr="002A1C99" w:rsidRDefault="002A1C99" w:rsidP="002A1C99">
            <w:pPr>
              <w:spacing w:after="0"/>
              <w:jc w:val="right"/>
              <w:rPr>
                <w:rFonts w:ascii="Arial" w:hAnsi="Arial" w:cs="Arial"/>
                <w:b/>
                <w:bCs/>
                <w:color w:val="auto"/>
                <w:sz w:val="16"/>
                <w:szCs w:val="16"/>
              </w:rPr>
            </w:pPr>
            <w:r w:rsidRPr="002A1C99">
              <w:rPr>
                <w:rFonts w:ascii="Arial" w:hAnsi="Arial" w:cs="Arial"/>
                <w:b/>
                <w:bCs/>
                <w:color w:val="auto"/>
                <w:sz w:val="16"/>
                <w:szCs w:val="16"/>
              </w:rPr>
              <w:t>4,754</w:t>
            </w:r>
          </w:p>
        </w:tc>
      </w:tr>
      <w:tr w:rsidR="002A1C99" w:rsidRPr="002A1C99" w14:paraId="54006414" w14:textId="77777777" w:rsidTr="002A1C99">
        <w:trPr>
          <w:trHeight w:val="300"/>
        </w:trPr>
        <w:tc>
          <w:tcPr>
            <w:tcW w:w="3052" w:type="dxa"/>
            <w:tcBorders>
              <w:top w:val="nil"/>
              <w:left w:val="nil"/>
              <w:bottom w:val="nil"/>
              <w:right w:val="nil"/>
            </w:tcBorders>
            <w:shd w:val="clear" w:color="auto" w:fill="auto"/>
            <w:noWrap/>
            <w:vAlign w:val="bottom"/>
            <w:hideMark/>
          </w:tcPr>
          <w:p w14:paraId="7AA1B7CF" w14:textId="77777777" w:rsidR="002A1C99" w:rsidRPr="002A1C99" w:rsidRDefault="002A1C99" w:rsidP="002A1C99">
            <w:pPr>
              <w:spacing w:after="0"/>
              <w:rPr>
                <w:rFonts w:ascii="Arial" w:hAnsi="Arial" w:cs="Arial"/>
                <w:b/>
                <w:bCs/>
                <w:sz w:val="16"/>
                <w:szCs w:val="16"/>
              </w:rPr>
            </w:pPr>
            <w:r w:rsidRPr="002A1C99">
              <w:rPr>
                <w:rFonts w:ascii="Arial" w:hAnsi="Arial" w:cs="Arial"/>
                <w:b/>
                <w:bCs/>
                <w:sz w:val="16"/>
                <w:szCs w:val="16"/>
              </w:rPr>
              <w:t>INVESTING ACTIVITIES</w:t>
            </w:r>
          </w:p>
        </w:tc>
        <w:tc>
          <w:tcPr>
            <w:tcW w:w="881" w:type="dxa"/>
            <w:tcBorders>
              <w:top w:val="nil"/>
              <w:left w:val="nil"/>
              <w:bottom w:val="nil"/>
              <w:right w:val="nil"/>
            </w:tcBorders>
            <w:shd w:val="clear" w:color="auto" w:fill="auto"/>
            <w:noWrap/>
            <w:vAlign w:val="bottom"/>
            <w:hideMark/>
          </w:tcPr>
          <w:p w14:paraId="291583A0" w14:textId="77777777" w:rsidR="002A1C99" w:rsidRPr="002A1C99" w:rsidRDefault="002A1C99" w:rsidP="002A1C99">
            <w:pPr>
              <w:spacing w:after="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39675BAE"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 </w:t>
            </w:r>
          </w:p>
        </w:tc>
        <w:tc>
          <w:tcPr>
            <w:tcW w:w="861" w:type="dxa"/>
            <w:tcBorders>
              <w:top w:val="nil"/>
              <w:left w:val="nil"/>
              <w:bottom w:val="nil"/>
              <w:right w:val="nil"/>
            </w:tcBorders>
            <w:shd w:val="clear" w:color="auto" w:fill="auto"/>
            <w:noWrap/>
            <w:vAlign w:val="bottom"/>
            <w:hideMark/>
          </w:tcPr>
          <w:p w14:paraId="4D34F1C9" w14:textId="77777777" w:rsidR="002A1C99" w:rsidRPr="002A1C99" w:rsidRDefault="002A1C99" w:rsidP="002A1C99">
            <w:pPr>
              <w:spacing w:after="0"/>
              <w:jc w:val="right"/>
              <w:rPr>
                <w:rFonts w:ascii="Arial" w:hAnsi="Arial" w:cs="Arial"/>
                <w:color w:val="auto"/>
                <w:sz w:val="16"/>
                <w:szCs w:val="16"/>
              </w:rPr>
            </w:pPr>
          </w:p>
        </w:tc>
        <w:tc>
          <w:tcPr>
            <w:tcW w:w="861" w:type="dxa"/>
            <w:tcBorders>
              <w:top w:val="nil"/>
              <w:left w:val="nil"/>
              <w:bottom w:val="nil"/>
              <w:right w:val="nil"/>
            </w:tcBorders>
            <w:shd w:val="clear" w:color="auto" w:fill="auto"/>
            <w:noWrap/>
            <w:vAlign w:val="bottom"/>
            <w:hideMark/>
          </w:tcPr>
          <w:p w14:paraId="032C821E" w14:textId="77777777" w:rsidR="002A1C99" w:rsidRPr="002A1C99" w:rsidRDefault="002A1C99" w:rsidP="002A1C99">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5D88610F" w14:textId="77777777" w:rsidR="002A1C99" w:rsidRPr="002A1C99" w:rsidRDefault="002A1C99" w:rsidP="002A1C99">
            <w:pPr>
              <w:spacing w:after="0"/>
              <w:jc w:val="right"/>
              <w:rPr>
                <w:rFonts w:ascii="Times New Roman" w:hAnsi="Times New Roman"/>
                <w:color w:val="auto"/>
                <w:sz w:val="20"/>
              </w:rPr>
            </w:pPr>
          </w:p>
        </w:tc>
      </w:tr>
      <w:tr w:rsidR="002A1C99" w:rsidRPr="002A1C99" w14:paraId="414E8466" w14:textId="77777777" w:rsidTr="002A1C99">
        <w:trPr>
          <w:trHeight w:val="225"/>
        </w:trPr>
        <w:tc>
          <w:tcPr>
            <w:tcW w:w="3052" w:type="dxa"/>
            <w:tcBorders>
              <w:top w:val="nil"/>
              <w:left w:val="nil"/>
              <w:bottom w:val="nil"/>
              <w:right w:val="nil"/>
            </w:tcBorders>
            <w:shd w:val="clear" w:color="auto" w:fill="auto"/>
            <w:noWrap/>
            <w:vAlign w:val="bottom"/>
            <w:hideMark/>
          </w:tcPr>
          <w:p w14:paraId="2E0C25C3" w14:textId="77777777" w:rsidR="002A1C99" w:rsidRPr="002A1C99" w:rsidRDefault="002A1C99" w:rsidP="002A1C99">
            <w:pPr>
              <w:spacing w:after="0"/>
              <w:ind w:firstLineChars="100" w:firstLine="160"/>
              <w:rPr>
                <w:rFonts w:ascii="Arial" w:hAnsi="Arial" w:cs="Arial"/>
                <w:b/>
                <w:bCs/>
                <w:sz w:val="16"/>
                <w:szCs w:val="16"/>
              </w:rPr>
            </w:pPr>
            <w:r w:rsidRPr="002A1C99">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23118328" w14:textId="77777777" w:rsidR="002A1C99" w:rsidRPr="002A1C99" w:rsidRDefault="002A1C99" w:rsidP="002A1C99">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71E15CC9"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 </w:t>
            </w:r>
          </w:p>
        </w:tc>
        <w:tc>
          <w:tcPr>
            <w:tcW w:w="861" w:type="dxa"/>
            <w:tcBorders>
              <w:top w:val="nil"/>
              <w:left w:val="nil"/>
              <w:bottom w:val="nil"/>
              <w:right w:val="nil"/>
            </w:tcBorders>
            <w:shd w:val="clear" w:color="auto" w:fill="auto"/>
            <w:noWrap/>
            <w:vAlign w:val="bottom"/>
            <w:hideMark/>
          </w:tcPr>
          <w:p w14:paraId="6DB18141" w14:textId="77777777" w:rsidR="002A1C99" w:rsidRPr="002A1C99" w:rsidRDefault="002A1C99" w:rsidP="002A1C99">
            <w:pPr>
              <w:spacing w:after="0"/>
              <w:jc w:val="right"/>
              <w:rPr>
                <w:rFonts w:ascii="Arial" w:hAnsi="Arial" w:cs="Arial"/>
                <w:color w:val="auto"/>
                <w:sz w:val="16"/>
                <w:szCs w:val="16"/>
              </w:rPr>
            </w:pPr>
          </w:p>
        </w:tc>
        <w:tc>
          <w:tcPr>
            <w:tcW w:w="861" w:type="dxa"/>
            <w:tcBorders>
              <w:top w:val="nil"/>
              <w:left w:val="nil"/>
              <w:bottom w:val="nil"/>
              <w:right w:val="nil"/>
            </w:tcBorders>
            <w:shd w:val="clear" w:color="auto" w:fill="auto"/>
            <w:noWrap/>
            <w:vAlign w:val="bottom"/>
            <w:hideMark/>
          </w:tcPr>
          <w:p w14:paraId="4DB88CBB" w14:textId="77777777" w:rsidR="002A1C99" w:rsidRPr="002A1C99" w:rsidRDefault="002A1C99" w:rsidP="002A1C99">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3BFBADFD" w14:textId="77777777" w:rsidR="002A1C99" w:rsidRPr="002A1C99" w:rsidRDefault="002A1C99" w:rsidP="002A1C99">
            <w:pPr>
              <w:spacing w:after="0"/>
              <w:jc w:val="right"/>
              <w:rPr>
                <w:rFonts w:ascii="Times New Roman" w:hAnsi="Times New Roman"/>
                <w:color w:val="auto"/>
                <w:sz w:val="20"/>
              </w:rPr>
            </w:pPr>
          </w:p>
        </w:tc>
      </w:tr>
      <w:tr w:rsidR="002A1C99" w:rsidRPr="002A1C99" w14:paraId="4CDBC126" w14:textId="77777777" w:rsidTr="002A1C99">
        <w:trPr>
          <w:trHeight w:val="450"/>
        </w:trPr>
        <w:tc>
          <w:tcPr>
            <w:tcW w:w="3052" w:type="dxa"/>
            <w:tcBorders>
              <w:top w:val="nil"/>
              <w:left w:val="nil"/>
              <w:bottom w:val="nil"/>
              <w:right w:val="nil"/>
            </w:tcBorders>
            <w:shd w:val="clear" w:color="auto" w:fill="auto"/>
            <w:vAlign w:val="bottom"/>
            <w:hideMark/>
          </w:tcPr>
          <w:p w14:paraId="7C3A0D73" w14:textId="77777777" w:rsidR="002A1C99" w:rsidRPr="002A1C99" w:rsidRDefault="002A1C99" w:rsidP="002A1C99">
            <w:pPr>
              <w:spacing w:after="0"/>
              <w:ind w:leftChars="150" w:left="285"/>
              <w:rPr>
                <w:rFonts w:ascii="Arial" w:hAnsi="Arial" w:cs="Arial"/>
                <w:sz w:val="16"/>
                <w:szCs w:val="16"/>
              </w:rPr>
            </w:pPr>
            <w:r w:rsidRPr="002A1C99">
              <w:rPr>
                <w:rFonts w:ascii="Arial" w:hAnsi="Arial" w:cs="Arial"/>
                <w:sz w:val="16"/>
                <w:szCs w:val="16"/>
              </w:rPr>
              <w:t>Purchase of property, plant and equipment and intangibles</w:t>
            </w:r>
          </w:p>
        </w:tc>
        <w:tc>
          <w:tcPr>
            <w:tcW w:w="881" w:type="dxa"/>
            <w:tcBorders>
              <w:top w:val="nil"/>
              <w:left w:val="nil"/>
              <w:bottom w:val="nil"/>
              <w:right w:val="nil"/>
            </w:tcBorders>
            <w:shd w:val="clear" w:color="auto" w:fill="auto"/>
            <w:noWrap/>
            <w:vAlign w:val="bottom"/>
            <w:hideMark/>
          </w:tcPr>
          <w:p w14:paraId="5A22F128"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2,082</w:t>
            </w:r>
          </w:p>
        </w:tc>
        <w:tc>
          <w:tcPr>
            <w:tcW w:w="844" w:type="dxa"/>
            <w:tcBorders>
              <w:top w:val="nil"/>
              <w:left w:val="nil"/>
              <w:bottom w:val="nil"/>
              <w:right w:val="nil"/>
            </w:tcBorders>
            <w:shd w:val="clear" w:color="000000" w:fill="D9D9D9"/>
            <w:noWrap/>
            <w:vAlign w:val="bottom"/>
            <w:hideMark/>
          </w:tcPr>
          <w:p w14:paraId="098A7974"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3,178</w:t>
            </w:r>
          </w:p>
        </w:tc>
        <w:tc>
          <w:tcPr>
            <w:tcW w:w="861" w:type="dxa"/>
            <w:tcBorders>
              <w:top w:val="nil"/>
              <w:left w:val="nil"/>
              <w:bottom w:val="nil"/>
              <w:right w:val="nil"/>
            </w:tcBorders>
            <w:shd w:val="clear" w:color="auto" w:fill="auto"/>
            <w:noWrap/>
            <w:vAlign w:val="bottom"/>
            <w:hideMark/>
          </w:tcPr>
          <w:p w14:paraId="20621C87"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1,945</w:t>
            </w:r>
          </w:p>
        </w:tc>
        <w:tc>
          <w:tcPr>
            <w:tcW w:w="861" w:type="dxa"/>
            <w:tcBorders>
              <w:top w:val="nil"/>
              <w:left w:val="nil"/>
              <w:bottom w:val="nil"/>
              <w:right w:val="nil"/>
            </w:tcBorders>
            <w:shd w:val="clear" w:color="auto" w:fill="auto"/>
            <w:noWrap/>
            <w:vAlign w:val="bottom"/>
            <w:hideMark/>
          </w:tcPr>
          <w:p w14:paraId="6EED2229"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2,445</w:t>
            </w:r>
          </w:p>
        </w:tc>
        <w:tc>
          <w:tcPr>
            <w:tcW w:w="861" w:type="dxa"/>
            <w:tcBorders>
              <w:top w:val="nil"/>
              <w:left w:val="nil"/>
              <w:bottom w:val="nil"/>
              <w:right w:val="nil"/>
            </w:tcBorders>
            <w:shd w:val="clear" w:color="auto" w:fill="auto"/>
            <w:noWrap/>
            <w:vAlign w:val="bottom"/>
            <w:hideMark/>
          </w:tcPr>
          <w:p w14:paraId="1A4464CD"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945</w:t>
            </w:r>
          </w:p>
        </w:tc>
      </w:tr>
      <w:tr w:rsidR="002A1C99" w:rsidRPr="002A1C99" w14:paraId="0DB377DB" w14:textId="77777777" w:rsidTr="002A1C99">
        <w:trPr>
          <w:trHeight w:val="225"/>
        </w:trPr>
        <w:tc>
          <w:tcPr>
            <w:tcW w:w="3052" w:type="dxa"/>
            <w:tcBorders>
              <w:top w:val="nil"/>
              <w:left w:val="nil"/>
              <w:bottom w:val="nil"/>
              <w:right w:val="nil"/>
            </w:tcBorders>
            <w:shd w:val="clear" w:color="auto" w:fill="auto"/>
            <w:noWrap/>
            <w:vAlign w:val="bottom"/>
            <w:hideMark/>
          </w:tcPr>
          <w:p w14:paraId="258D9CE2" w14:textId="77777777" w:rsidR="002A1C99" w:rsidRPr="002A1C99" w:rsidRDefault="002A1C99" w:rsidP="002A1C99">
            <w:pPr>
              <w:spacing w:after="0"/>
              <w:ind w:firstLineChars="200" w:firstLine="320"/>
              <w:rPr>
                <w:rFonts w:ascii="Arial" w:hAnsi="Arial" w:cs="Arial"/>
                <w:b/>
                <w:bCs/>
                <w:sz w:val="16"/>
                <w:szCs w:val="16"/>
              </w:rPr>
            </w:pPr>
            <w:r w:rsidRPr="002A1C99">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44C847EB" w14:textId="77777777" w:rsidR="002A1C99" w:rsidRPr="002A1C99" w:rsidRDefault="002A1C99" w:rsidP="002A1C99">
            <w:pPr>
              <w:spacing w:after="0"/>
              <w:jc w:val="right"/>
              <w:rPr>
                <w:rFonts w:ascii="Arial" w:hAnsi="Arial" w:cs="Arial"/>
                <w:b/>
                <w:bCs/>
                <w:color w:val="auto"/>
                <w:sz w:val="16"/>
                <w:szCs w:val="16"/>
              </w:rPr>
            </w:pPr>
            <w:r w:rsidRPr="002A1C99">
              <w:rPr>
                <w:rFonts w:ascii="Arial" w:hAnsi="Arial" w:cs="Arial"/>
                <w:b/>
                <w:bCs/>
                <w:color w:val="auto"/>
                <w:sz w:val="16"/>
                <w:szCs w:val="16"/>
              </w:rPr>
              <w:t>2,082</w:t>
            </w:r>
          </w:p>
        </w:tc>
        <w:tc>
          <w:tcPr>
            <w:tcW w:w="844" w:type="dxa"/>
            <w:tcBorders>
              <w:top w:val="nil"/>
              <w:left w:val="nil"/>
              <w:bottom w:val="single" w:sz="4" w:space="0" w:color="auto"/>
              <w:right w:val="nil"/>
            </w:tcBorders>
            <w:shd w:val="clear" w:color="000000" w:fill="D9D9D9"/>
            <w:noWrap/>
            <w:vAlign w:val="bottom"/>
            <w:hideMark/>
          </w:tcPr>
          <w:p w14:paraId="527BD697" w14:textId="77777777" w:rsidR="002A1C99" w:rsidRPr="002A1C99" w:rsidRDefault="002A1C99" w:rsidP="002A1C99">
            <w:pPr>
              <w:spacing w:after="0"/>
              <w:jc w:val="right"/>
              <w:rPr>
                <w:rFonts w:ascii="Arial" w:hAnsi="Arial" w:cs="Arial"/>
                <w:b/>
                <w:bCs/>
                <w:color w:val="auto"/>
                <w:sz w:val="16"/>
                <w:szCs w:val="16"/>
              </w:rPr>
            </w:pPr>
            <w:r w:rsidRPr="002A1C99">
              <w:rPr>
                <w:rFonts w:ascii="Arial" w:hAnsi="Arial" w:cs="Arial"/>
                <w:b/>
                <w:bCs/>
                <w:color w:val="auto"/>
                <w:sz w:val="16"/>
                <w:szCs w:val="16"/>
              </w:rPr>
              <w:t>3,178</w:t>
            </w:r>
          </w:p>
        </w:tc>
        <w:tc>
          <w:tcPr>
            <w:tcW w:w="861" w:type="dxa"/>
            <w:tcBorders>
              <w:top w:val="nil"/>
              <w:left w:val="nil"/>
              <w:bottom w:val="single" w:sz="4" w:space="0" w:color="auto"/>
              <w:right w:val="nil"/>
            </w:tcBorders>
            <w:shd w:val="clear" w:color="auto" w:fill="auto"/>
            <w:noWrap/>
            <w:vAlign w:val="bottom"/>
            <w:hideMark/>
          </w:tcPr>
          <w:p w14:paraId="73E43EFC" w14:textId="77777777" w:rsidR="002A1C99" w:rsidRPr="002A1C99" w:rsidRDefault="002A1C99" w:rsidP="002A1C99">
            <w:pPr>
              <w:spacing w:after="0"/>
              <w:jc w:val="right"/>
              <w:rPr>
                <w:rFonts w:ascii="Arial" w:hAnsi="Arial" w:cs="Arial"/>
                <w:b/>
                <w:bCs/>
                <w:color w:val="auto"/>
                <w:sz w:val="16"/>
                <w:szCs w:val="16"/>
              </w:rPr>
            </w:pPr>
            <w:r w:rsidRPr="002A1C99">
              <w:rPr>
                <w:rFonts w:ascii="Arial" w:hAnsi="Arial" w:cs="Arial"/>
                <w:b/>
                <w:bCs/>
                <w:color w:val="auto"/>
                <w:sz w:val="16"/>
                <w:szCs w:val="16"/>
              </w:rPr>
              <w:t>1,945</w:t>
            </w:r>
          </w:p>
        </w:tc>
        <w:tc>
          <w:tcPr>
            <w:tcW w:w="861" w:type="dxa"/>
            <w:tcBorders>
              <w:top w:val="nil"/>
              <w:left w:val="nil"/>
              <w:bottom w:val="single" w:sz="4" w:space="0" w:color="auto"/>
              <w:right w:val="nil"/>
            </w:tcBorders>
            <w:shd w:val="clear" w:color="auto" w:fill="auto"/>
            <w:noWrap/>
            <w:vAlign w:val="bottom"/>
            <w:hideMark/>
          </w:tcPr>
          <w:p w14:paraId="16514B7A" w14:textId="77777777" w:rsidR="002A1C99" w:rsidRPr="002A1C99" w:rsidRDefault="002A1C99" w:rsidP="002A1C99">
            <w:pPr>
              <w:spacing w:after="0"/>
              <w:jc w:val="right"/>
              <w:rPr>
                <w:rFonts w:ascii="Arial" w:hAnsi="Arial" w:cs="Arial"/>
                <w:b/>
                <w:bCs/>
                <w:color w:val="auto"/>
                <w:sz w:val="16"/>
                <w:szCs w:val="16"/>
              </w:rPr>
            </w:pPr>
            <w:r w:rsidRPr="002A1C99">
              <w:rPr>
                <w:rFonts w:ascii="Arial" w:hAnsi="Arial" w:cs="Arial"/>
                <w:b/>
                <w:bCs/>
                <w:color w:val="auto"/>
                <w:sz w:val="16"/>
                <w:szCs w:val="16"/>
              </w:rPr>
              <w:t>2,445</w:t>
            </w:r>
          </w:p>
        </w:tc>
        <w:tc>
          <w:tcPr>
            <w:tcW w:w="861" w:type="dxa"/>
            <w:tcBorders>
              <w:top w:val="nil"/>
              <w:left w:val="nil"/>
              <w:bottom w:val="single" w:sz="4" w:space="0" w:color="auto"/>
              <w:right w:val="nil"/>
            </w:tcBorders>
            <w:shd w:val="clear" w:color="auto" w:fill="auto"/>
            <w:noWrap/>
            <w:vAlign w:val="bottom"/>
            <w:hideMark/>
          </w:tcPr>
          <w:p w14:paraId="47C93999" w14:textId="77777777" w:rsidR="002A1C99" w:rsidRPr="002A1C99" w:rsidRDefault="002A1C99" w:rsidP="002A1C99">
            <w:pPr>
              <w:spacing w:after="0"/>
              <w:jc w:val="right"/>
              <w:rPr>
                <w:rFonts w:ascii="Arial" w:hAnsi="Arial" w:cs="Arial"/>
                <w:b/>
                <w:bCs/>
                <w:color w:val="auto"/>
                <w:sz w:val="16"/>
                <w:szCs w:val="16"/>
              </w:rPr>
            </w:pPr>
            <w:r w:rsidRPr="002A1C99">
              <w:rPr>
                <w:rFonts w:ascii="Arial" w:hAnsi="Arial" w:cs="Arial"/>
                <w:b/>
                <w:bCs/>
                <w:color w:val="auto"/>
                <w:sz w:val="16"/>
                <w:szCs w:val="16"/>
              </w:rPr>
              <w:t>945</w:t>
            </w:r>
          </w:p>
        </w:tc>
      </w:tr>
      <w:tr w:rsidR="002A1C99" w:rsidRPr="002A1C99" w14:paraId="7C5281F4" w14:textId="77777777" w:rsidTr="002A1C99">
        <w:trPr>
          <w:trHeight w:val="450"/>
        </w:trPr>
        <w:tc>
          <w:tcPr>
            <w:tcW w:w="3052" w:type="dxa"/>
            <w:tcBorders>
              <w:top w:val="nil"/>
              <w:left w:val="nil"/>
              <w:bottom w:val="nil"/>
              <w:right w:val="nil"/>
            </w:tcBorders>
            <w:shd w:val="clear" w:color="auto" w:fill="auto"/>
            <w:vAlign w:val="bottom"/>
            <w:hideMark/>
          </w:tcPr>
          <w:p w14:paraId="3909B4CC" w14:textId="77777777" w:rsidR="002A1C99" w:rsidRPr="002A1C99" w:rsidRDefault="002A1C99" w:rsidP="002A1C99">
            <w:pPr>
              <w:spacing w:after="0"/>
              <w:ind w:leftChars="75" w:left="143"/>
              <w:rPr>
                <w:rFonts w:ascii="Arial" w:hAnsi="Arial" w:cs="Arial"/>
                <w:b/>
                <w:bCs/>
                <w:sz w:val="16"/>
                <w:szCs w:val="16"/>
              </w:rPr>
            </w:pPr>
            <w:r w:rsidRPr="002A1C99">
              <w:rPr>
                <w:rFonts w:ascii="Arial" w:hAnsi="Arial" w:cs="Arial"/>
                <w:b/>
                <w:bCs/>
                <w:sz w:val="16"/>
                <w:szCs w:val="16"/>
              </w:rPr>
              <w:t>Net cash from (or used by)  investing activities</w:t>
            </w:r>
          </w:p>
        </w:tc>
        <w:tc>
          <w:tcPr>
            <w:tcW w:w="881" w:type="dxa"/>
            <w:tcBorders>
              <w:top w:val="nil"/>
              <w:left w:val="nil"/>
              <w:bottom w:val="single" w:sz="4" w:space="0" w:color="auto"/>
              <w:right w:val="nil"/>
            </w:tcBorders>
            <w:shd w:val="clear" w:color="auto" w:fill="auto"/>
            <w:noWrap/>
            <w:vAlign w:val="bottom"/>
            <w:hideMark/>
          </w:tcPr>
          <w:p w14:paraId="4469BE57" w14:textId="77777777" w:rsidR="002A1C99" w:rsidRPr="002A1C99" w:rsidRDefault="002A1C99" w:rsidP="002A1C99">
            <w:pPr>
              <w:spacing w:after="0"/>
              <w:jc w:val="right"/>
              <w:rPr>
                <w:rFonts w:ascii="Arial" w:hAnsi="Arial" w:cs="Arial"/>
                <w:b/>
                <w:bCs/>
                <w:color w:val="auto"/>
                <w:sz w:val="16"/>
                <w:szCs w:val="16"/>
              </w:rPr>
            </w:pPr>
            <w:r w:rsidRPr="002A1C99">
              <w:rPr>
                <w:rFonts w:ascii="Arial" w:hAnsi="Arial" w:cs="Arial"/>
                <w:b/>
                <w:bCs/>
                <w:color w:val="auto"/>
                <w:sz w:val="16"/>
                <w:szCs w:val="16"/>
              </w:rPr>
              <w:t>(2,082)</w:t>
            </w:r>
          </w:p>
        </w:tc>
        <w:tc>
          <w:tcPr>
            <w:tcW w:w="844" w:type="dxa"/>
            <w:tcBorders>
              <w:top w:val="nil"/>
              <w:left w:val="nil"/>
              <w:bottom w:val="single" w:sz="4" w:space="0" w:color="auto"/>
              <w:right w:val="nil"/>
            </w:tcBorders>
            <w:shd w:val="clear" w:color="000000" w:fill="D9D9D9"/>
            <w:noWrap/>
            <w:vAlign w:val="bottom"/>
            <w:hideMark/>
          </w:tcPr>
          <w:p w14:paraId="27B7ED58" w14:textId="77777777" w:rsidR="002A1C99" w:rsidRPr="002A1C99" w:rsidRDefault="002A1C99" w:rsidP="002A1C99">
            <w:pPr>
              <w:spacing w:after="0"/>
              <w:jc w:val="right"/>
              <w:rPr>
                <w:rFonts w:ascii="Arial" w:hAnsi="Arial" w:cs="Arial"/>
                <w:b/>
                <w:bCs/>
                <w:color w:val="auto"/>
                <w:sz w:val="16"/>
                <w:szCs w:val="16"/>
              </w:rPr>
            </w:pPr>
            <w:r w:rsidRPr="002A1C99">
              <w:rPr>
                <w:rFonts w:ascii="Arial" w:hAnsi="Arial" w:cs="Arial"/>
                <w:b/>
                <w:bCs/>
                <w:color w:val="auto"/>
                <w:sz w:val="16"/>
                <w:szCs w:val="16"/>
              </w:rPr>
              <w:t>(3,178)</w:t>
            </w:r>
          </w:p>
        </w:tc>
        <w:tc>
          <w:tcPr>
            <w:tcW w:w="861" w:type="dxa"/>
            <w:tcBorders>
              <w:top w:val="nil"/>
              <w:left w:val="nil"/>
              <w:bottom w:val="single" w:sz="4" w:space="0" w:color="auto"/>
              <w:right w:val="nil"/>
            </w:tcBorders>
            <w:shd w:val="clear" w:color="auto" w:fill="auto"/>
            <w:noWrap/>
            <w:vAlign w:val="bottom"/>
            <w:hideMark/>
          </w:tcPr>
          <w:p w14:paraId="5619055C" w14:textId="77777777" w:rsidR="002A1C99" w:rsidRPr="002A1C99" w:rsidRDefault="002A1C99" w:rsidP="002A1C99">
            <w:pPr>
              <w:spacing w:after="0"/>
              <w:jc w:val="right"/>
              <w:rPr>
                <w:rFonts w:ascii="Arial" w:hAnsi="Arial" w:cs="Arial"/>
                <w:b/>
                <w:bCs/>
                <w:color w:val="auto"/>
                <w:sz w:val="16"/>
                <w:szCs w:val="16"/>
              </w:rPr>
            </w:pPr>
            <w:r w:rsidRPr="002A1C99">
              <w:rPr>
                <w:rFonts w:ascii="Arial" w:hAnsi="Arial" w:cs="Arial"/>
                <w:b/>
                <w:bCs/>
                <w:color w:val="auto"/>
                <w:sz w:val="16"/>
                <w:szCs w:val="16"/>
              </w:rPr>
              <w:t>(1,945)</w:t>
            </w:r>
          </w:p>
        </w:tc>
        <w:tc>
          <w:tcPr>
            <w:tcW w:w="861" w:type="dxa"/>
            <w:tcBorders>
              <w:top w:val="nil"/>
              <w:left w:val="nil"/>
              <w:bottom w:val="single" w:sz="4" w:space="0" w:color="auto"/>
              <w:right w:val="nil"/>
            </w:tcBorders>
            <w:shd w:val="clear" w:color="auto" w:fill="auto"/>
            <w:noWrap/>
            <w:vAlign w:val="bottom"/>
            <w:hideMark/>
          </w:tcPr>
          <w:p w14:paraId="18EF83B3" w14:textId="77777777" w:rsidR="002A1C99" w:rsidRPr="002A1C99" w:rsidRDefault="002A1C99" w:rsidP="002A1C99">
            <w:pPr>
              <w:spacing w:after="0"/>
              <w:jc w:val="right"/>
              <w:rPr>
                <w:rFonts w:ascii="Arial" w:hAnsi="Arial" w:cs="Arial"/>
                <w:b/>
                <w:bCs/>
                <w:color w:val="auto"/>
                <w:sz w:val="16"/>
                <w:szCs w:val="16"/>
              </w:rPr>
            </w:pPr>
            <w:r w:rsidRPr="002A1C99">
              <w:rPr>
                <w:rFonts w:ascii="Arial" w:hAnsi="Arial" w:cs="Arial"/>
                <w:b/>
                <w:bCs/>
                <w:color w:val="auto"/>
                <w:sz w:val="16"/>
                <w:szCs w:val="16"/>
              </w:rPr>
              <w:t>(2,445)</w:t>
            </w:r>
          </w:p>
        </w:tc>
        <w:tc>
          <w:tcPr>
            <w:tcW w:w="861" w:type="dxa"/>
            <w:tcBorders>
              <w:top w:val="nil"/>
              <w:left w:val="nil"/>
              <w:bottom w:val="single" w:sz="4" w:space="0" w:color="auto"/>
              <w:right w:val="nil"/>
            </w:tcBorders>
            <w:shd w:val="clear" w:color="auto" w:fill="auto"/>
            <w:noWrap/>
            <w:vAlign w:val="bottom"/>
            <w:hideMark/>
          </w:tcPr>
          <w:p w14:paraId="379C255F" w14:textId="77777777" w:rsidR="002A1C99" w:rsidRPr="002A1C99" w:rsidRDefault="002A1C99" w:rsidP="002A1C99">
            <w:pPr>
              <w:spacing w:after="0"/>
              <w:jc w:val="right"/>
              <w:rPr>
                <w:rFonts w:ascii="Arial" w:hAnsi="Arial" w:cs="Arial"/>
                <w:b/>
                <w:bCs/>
                <w:color w:val="auto"/>
                <w:sz w:val="16"/>
                <w:szCs w:val="16"/>
              </w:rPr>
            </w:pPr>
            <w:r w:rsidRPr="002A1C99">
              <w:rPr>
                <w:rFonts w:ascii="Arial" w:hAnsi="Arial" w:cs="Arial"/>
                <w:b/>
                <w:bCs/>
                <w:color w:val="auto"/>
                <w:sz w:val="16"/>
                <w:szCs w:val="16"/>
              </w:rPr>
              <w:t>(945)</w:t>
            </w:r>
          </w:p>
        </w:tc>
      </w:tr>
      <w:tr w:rsidR="002A1C99" w:rsidRPr="002A1C99" w14:paraId="0FDDF124" w14:textId="77777777" w:rsidTr="002A1C99">
        <w:trPr>
          <w:trHeight w:val="300"/>
        </w:trPr>
        <w:tc>
          <w:tcPr>
            <w:tcW w:w="3052" w:type="dxa"/>
            <w:tcBorders>
              <w:top w:val="nil"/>
              <w:left w:val="nil"/>
              <w:bottom w:val="nil"/>
              <w:right w:val="nil"/>
            </w:tcBorders>
            <w:shd w:val="clear" w:color="auto" w:fill="auto"/>
            <w:noWrap/>
            <w:vAlign w:val="bottom"/>
            <w:hideMark/>
          </w:tcPr>
          <w:p w14:paraId="045062AF" w14:textId="77777777" w:rsidR="002A1C99" w:rsidRPr="002A1C99" w:rsidRDefault="002A1C99" w:rsidP="002A1C99">
            <w:pPr>
              <w:spacing w:after="0"/>
              <w:rPr>
                <w:rFonts w:ascii="Arial" w:hAnsi="Arial" w:cs="Arial"/>
                <w:b/>
                <w:bCs/>
                <w:sz w:val="16"/>
                <w:szCs w:val="16"/>
              </w:rPr>
            </w:pPr>
            <w:r w:rsidRPr="002A1C99">
              <w:rPr>
                <w:rFonts w:ascii="Arial" w:hAnsi="Arial" w:cs="Arial"/>
                <w:b/>
                <w:bCs/>
                <w:sz w:val="16"/>
                <w:szCs w:val="16"/>
              </w:rPr>
              <w:t>FINANCING ACTIVITIES</w:t>
            </w:r>
          </w:p>
        </w:tc>
        <w:tc>
          <w:tcPr>
            <w:tcW w:w="881" w:type="dxa"/>
            <w:tcBorders>
              <w:top w:val="nil"/>
              <w:left w:val="nil"/>
              <w:bottom w:val="nil"/>
              <w:right w:val="nil"/>
            </w:tcBorders>
            <w:shd w:val="clear" w:color="auto" w:fill="auto"/>
            <w:noWrap/>
            <w:vAlign w:val="bottom"/>
            <w:hideMark/>
          </w:tcPr>
          <w:p w14:paraId="1AE67C90" w14:textId="77777777" w:rsidR="002A1C99" w:rsidRPr="002A1C99" w:rsidRDefault="002A1C99" w:rsidP="002A1C99">
            <w:pPr>
              <w:spacing w:after="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17456181"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 </w:t>
            </w:r>
          </w:p>
        </w:tc>
        <w:tc>
          <w:tcPr>
            <w:tcW w:w="861" w:type="dxa"/>
            <w:tcBorders>
              <w:top w:val="nil"/>
              <w:left w:val="nil"/>
              <w:bottom w:val="nil"/>
              <w:right w:val="nil"/>
            </w:tcBorders>
            <w:shd w:val="clear" w:color="auto" w:fill="auto"/>
            <w:noWrap/>
            <w:vAlign w:val="bottom"/>
            <w:hideMark/>
          </w:tcPr>
          <w:p w14:paraId="5BBA4663" w14:textId="77777777" w:rsidR="002A1C99" w:rsidRPr="002A1C99" w:rsidRDefault="002A1C99" w:rsidP="002A1C99">
            <w:pPr>
              <w:spacing w:after="0"/>
              <w:jc w:val="right"/>
              <w:rPr>
                <w:rFonts w:ascii="Arial" w:hAnsi="Arial" w:cs="Arial"/>
                <w:color w:val="auto"/>
                <w:sz w:val="16"/>
                <w:szCs w:val="16"/>
              </w:rPr>
            </w:pPr>
          </w:p>
        </w:tc>
        <w:tc>
          <w:tcPr>
            <w:tcW w:w="861" w:type="dxa"/>
            <w:tcBorders>
              <w:top w:val="nil"/>
              <w:left w:val="nil"/>
              <w:bottom w:val="nil"/>
              <w:right w:val="nil"/>
            </w:tcBorders>
            <w:shd w:val="clear" w:color="auto" w:fill="auto"/>
            <w:noWrap/>
            <w:vAlign w:val="bottom"/>
            <w:hideMark/>
          </w:tcPr>
          <w:p w14:paraId="142B2A78" w14:textId="77777777" w:rsidR="002A1C99" w:rsidRPr="002A1C99" w:rsidRDefault="002A1C99" w:rsidP="002A1C99">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570903A7" w14:textId="77777777" w:rsidR="002A1C99" w:rsidRPr="002A1C99" w:rsidRDefault="002A1C99" w:rsidP="002A1C99">
            <w:pPr>
              <w:spacing w:after="0"/>
              <w:jc w:val="right"/>
              <w:rPr>
                <w:rFonts w:ascii="Times New Roman" w:hAnsi="Times New Roman"/>
                <w:color w:val="auto"/>
                <w:sz w:val="20"/>
              </w:rPr>
            </w:pPr>
          </w:p>
        </w:tc>
      </w:tr>
      <w:tr w:rsidR="002A1C99" w:rsidRPr="002A1C99" w14:paraId="4D522E9B" w14:textId="77777777" w:rsidTr="002A1C99">
        <w:trPr>
          <w:trHeight w:val="225"/>
        </w:trPr>
        <w:tc>
          <w:tcPr>
            <w:tcW w:w="3052" w:type="dxa"/>
            <w:tcBorders>
              <w:top w:val="nil"/>
              <w:left w:val="nil"/>
              <w:bottom w:val="nil"/>
              <w:right w:val="nil"/>
            </w:tcBorders>
            <w:shd w:val="clear" w:color="auto" w:fill="auto"/>
            <w:noWrap/>
            <w:vAlign w:val="bottom"/>
            <w:hideMark/>
          </w:tcPr>
          <w:p w14:paraId="5078B2E4" w14:textId="77777777" w:rsidR="002A1C99" w:rsidRPr="002A1C99" w:rsidRDefault="002A1C99" w:rsidP="002A1C99">
            <w:pPr>
              <w:spacing w:after="0"/>
              <w:ind w:firstLineChars="100" w:firstLine="160"/>
              <w:rPr>
                <w:rFonts w:ascii="Arial" w:hAnsi="Arial" w:cs="Arial"/>
                <w:b/>
                <w:bCs/>
                <w:sz w:val="16"/>
                <w:szCs w:val="16"/>
              </w:rPr>
            </w:pPr>
            <w:r w:rsidRPr="002A1C99">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4173B33D" w14:textId="77777777" w:rsidR="002A1C99" w:rsidRPr="002A1C99" w:rsidRDefault="002A1C99" w:rsidP="002A1C99">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0EAFFFE8"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 </w:t>
            </w:r>
          </w:p>
        </w:tc>
        <w:tc>
          <w:tcPr>
            <w:tcW w:w="861" w:type="dxa"/>
            <w:tcBorders>
              <w:top w:val="nil"/>
              <w:left w:val="nil"/>
              <w:bottom w:val="nil"/>
              <w:right w:val="nil"/>
            </w:tcBorders>
            <w:shd w:val="clear" w:color="auto" w:fill="auto"/>
            <w:noWrap/>
            <w:vAlign w:val="bottom"/>
            <w:hideMark/>
          </w:tcPr>
          <w:p w14:paraId="10F92B78" w14:textId="77777777" w:rsidR="002A1C99" w:rsidRPr="002A1C99" w:rsidRDefault="002A1C99" w:rsidP="002A1C99">
            <w:pPr>
              <w:spacing w:after="0"/>
              <w:jc w:val="right"/>
              <w:rPr>
                <w:rFonts w:ascii="Arial" w:hAnsi="Arial" w:cs="Arial"/>
                <w:color w:val="auto"/>
                <w:sz w:val="16"/>
                <w:szCs w:val="16"/>
              </w:rPr>
            </w:pPr>
          </w:p>
        </w:tc>
        <w:tc>
          <w:tcPr>
            <w:tcW w:w="861" w:type="dxa"/>
            <w:tcBorders>
              <w:top w:val="nil"/>
              <w:left w:val="nil"/>
              <w:bottom w:val="nil"/>
              <w:right w:val="nil"/>
            </w:tcBorders>
            <w:shd w:val="clear" w:color="auto" w:fill="auto"/>
            <w:noWrap/>
            <w:vAlign w:val="bottom"/>
            <w:hideMark/>
          </w:tcPr>
          <w:p w14:paraId="4205594F" w14:textId="77777777" w:rsidR="002A1C99" w:rsidRPr="002A1C99" w:rsidRDefault="002A1C99" w:rsidP="002A1C99">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624006CF" w14:textId="77777777" w:rsidR="002A1C99" w:rsidRPr="002A1C99" w:rsidRDefault="002A1C99" w:rsidP="002A1C99">
            <w:pPr>
              <w:spacing w:after="0"/>
              <w:jc w:val="right"/>
              <w:rPr>
                <w:rFonts w:ascii="Times New Roman" w:hAnsi="Times New Roman"/>
                <w:color w:val="auto"/>
                <w:sz w:val="20"/>
              </w:rPr>
            </w:pPr>
          </w:p>
        </w:tc>
      </w:tr>
      <w:tr w:rsidR="002A1C99" w:rsidRPr="002A1C99" w14:paraId="6C693C89" w14:textId="77777777" w:rsidTr="002A1C99">
        <w:trPr>
          <w:trHeight w:val="225"/>
        </w:trPr>
        <w:tc>
          <w:tcPr>
            <w:tcW w:w="3052" w:type="dxa"/>
            <w:tcBorders>
              <w:top w:val="nil"/>
              <w:left w:val="nil"/>
              <w:bottom w:val="nil"/>
              <w:right w:val="nil"/>
            </w:tcBorders>
            <w:shd w:val="clear" w:color="auto" w:fill="auto"/>
            <w:noWrap/>
            <w:vAlign w:val="bottom"/>
            <w:hideMark/>
          </w:tcPr>
          <w:p w14:paraId="64D2D05D" w14:textId="77777777" w:rsidR="002A1C99" w:rsidRPr="002A1C99" w:rsidRDefault="002A1C99" w:rsidP="002A1C99">
            <w:pPr>
              <w:spacing w:after="0"/>
              <w:ind w:leftChars="150" w:left="285"/>
              <w:rPr>
                <w:rFonts w:ascii="Arial" w:hAnsi="Arial" w:cs="Arial"/>
                <w:color w:val="auto"/>
                <w:sz w:val="16"/>
                <w:szCs w:val="16"/>
              </w:rPr>
            </w:pPr>
            <w:r w:rsidRPr="002A1C99">
              <w:rPr>
                <w:rFonts w:ascii="Arial" w:hAnsi="Arial" w:cs="Arial"/>
                <w:sz w:val="16"/>
                <w:szCs w:val="16"/>
              </w:rPr>
              <w:t>Contributed</w:t>
            </w:r>
            <w:r w:rsidRPr="002A1C99">
              <w:rPr>
                <w:rFonts w:ascii="Arial" w:hAnsi="Arial" w:cs="Arial"/>
                <w:color w:val="auto"/>
                <w:sz w:val="16"/>
                <w:szCs w:val="16"/>
              </w:rPr>
              <w:t xml:space="preserve"> equity</w:t>
            </w:r>
          </w:p>
        </w:tc>
        <w:tc>
          <w:tcPr>
            <w:tcW w:w="881" w:type="dxa"/>
            <w:tcBorders>
              <w:top w:val="nil"/>
              <w:left w:val="nil"/>
              <w:bottom w:val="nil"/>
              <w:right w:val="nil"/>
            </w:tcBorders>
            <w:shd w:val="clear" w:color="auto" w:fill="auto"/>
            <w:noWrap/>
            <w:vAlign w:val="bottom"/>
            <w:hideMark/>
          </w:tcPr>
          <w:p w14:paraId="06907ABF"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125</w:t>
            </w:r>
          </w:p>
        </w:tc>
        <w:tc>
          <w:tcPr>
            <w:tcW w:w="844" w:type="dxa"/>
            <w:tcBorders>
              <w:top w:val="nil"/>
              <w:left w:val="nil"/>
              <w:bottom w:val="nil"/>
              <w:right w:val="nil"/>
            </w:tcBorders>
            <w:shd w:val="clear" w:color="000000" w:fill="D9D9D9"/>
            <w:noWrap/>
            <w:vAlign w:val="bottom"/>
            <w:hideMark/>
          </w:tcPr>
          <w:p w14:paraId="6FC1A7A2"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7348DF2B"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4DA6756C"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w:t>
            </w:r>
          </w:p>
        </w:tc>
        <w:tc>
          <w:tcPr>
            <w:tcW w:w="861" w:type="dxa"/>
            <w:tcBorders>
              <w:top w:val="nil"/>
              <w:left w:val="nil"/>
              <w:bottom w:val="nil"/>
              <w:right w:val="nil"/>
            </w:tcBorders>
            <w:shd w:val="clear" w:color="auto" w:fill="auto"/>
            <w:noWrap/>
            <w:vAlign w:val="bottom"/>
            <w:hideMark/>
          </w:tcPr>
          <w:p w14:paraId="05F3935E"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w:t>
            </w:r>
          </w:p>
        </w:tc>
      </w:tr>
      <w:tr w:rsidR="002A1C99" w:rsidRPr="002A1C99" w14:paraId="4A2630A5" w14:textId="77777777" w:rsidTr="002A1C99">
        <w:trPr>
          <w:trHeight w:val="225"/>
        </w:trPr>
        <w:tc>
          <w:tcPr>
            <w:tcW w:w="3052" w:type="dxa"/>
            <w:tcBorders>
              <w:top w:val="nil"/>
              <w:left w:val="nil"/>
              <w:bottom w:val="nil"/>
              <w:right w:val="nil"/>
            </w:tcBorders>
            <w:shd w:val="clear" w:color="auto" w:fill="auto"/>
            <w:noWrap/>
            <w:vAlign w:val="bottom"/>
            <w:hideMark/>
          </w:tcPr>
          <w:p w14:paraId="1C44473D" w14:textId="77777777" w:rsidR="002A1C99" w:rsidRPr="002A1C99" w:rsidRDefault="002A1C99" w:rsidP="002A1C99">
            <w:pPr>
              <w:spacing w:after="0"/>
              <w:ind w:leftChars="150" w:left="285"/>
              <w:rPr>
                <w:rFonts w:ascii="Arial" w:hAnsi="Arial" w:cs="Arial"/>
                <w:b/>
                <w:bCs/>
                <w:sz w:val="16"/>
                <w:szCs w:val="16"/>
              </w:rPr>
            </w:pPr>
            <w:r w:rsidRPr="002A1C99">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026D9F31" w14:textId="77777777" w:rsidR="002A1C99" w:rsidRPr="002A1C99" w:rsidRDefault="002A1C99" w:rsidP="002A1C99">
            <w:pPr>
              <w:spacing w:after="0"/>
              <w:jc w:val="right"/>
              <w:rPr>
                <w:rFonts w:ascii="Arial" w:hAnsi="Arial" w:cs="Arial"/>
                <w:b/>
                <w:bCs/>
                <w:color w:val="auto"/>
                <w:sz w:val="16"/>
                <w:szCs w:val="16"/>
              </w:rPr>
            </w:pPr>
            <w:r w:rsidRPr="002A1C99">
              <w:rPr>
                <w:rFonts w:ascii="Arial" w:hAnsi="Arial" w:cs="Arial"/>
                <w:b/>
                <w:bCs/>
                <w:color w:val="auto"/>
                <w:sz w:val="16"/>
                <w:szCs w:val="16"/>
              </w:rPr>
              <w:t>125</w:t>
            </w:r>
          </w:p>
        </w:tc>
        <w:tc>
          <w:tcPr>
            <w:tcW w:w="844" w:type="dxa"/>
            <w:tcBorders>
              <w:top w:val="nil"/>
              <w:left w:val="nil"/>
              <w:bottom w:val="single" w:sz="4" w:space="0" w:color="auto"/>
              <w:right w:val="nil"/>
            </w:tcBorders>
            <w:shd w:val="clear" w:color="000000" w:fill="D9D9D9"/>
            <w:noWrap/>
            <w:vAlign w:val="bottom"/>
            <w:hideMark/>
          </w:tcPr>
          <w:p w14:paraId="4280DED6" w14:textId="77777777" w:rsidR="002A1C99" w:rsidRPr="002A1C99" w:rsidRDefault="002A1C99" w:rsidP="002A1C99">
            <w:pPr>
              <w:spacing w:after="0"/>
              <w:jc w:val="right"/>
              <w:rPr>
                <w:rFonts w:ascii="Arial" w:hAnsi="Arial" w:cs="Arial"/>
                <w:b/>
                <w:bCs/>
                <w:color w:val="auto"/>
                <w:sz w:val="16"/>
                <w:szCs w:val="16"/>
              </w:rPr>
            </w:pPr>
            <w:r w:rsidRPr="002A1C99">
              <w:rPr>
                <w:rFonts w:ascii="Arial" w:hAnsi="Arial" w:cs="Arial"/>
                <w:b/>
                <w:bCs/>
                <w:color w:val="auto"/>
                <w:sz w:val="16"/>
                <w:szCs w:val="16"/>
              </w:rPr>
              <w:t>-</w:t>
            </w:r>
          </w:p>
        </w:tc>
        <w:tc>
          <w:tcPr>
            <w:tcW w:w="861" w:type="dxa"/>
            <w:tcBorders>
              <w:top w:val="nil"/>
              <w:left w:val="nil"/>
              <w:bottom w:val="single" w:sz="4" w:space="0" w:color="auto"/>
              <w:right w:val="nil"/>
            </w:tcBorders>
            <w:shd w:val="clear" w:color="auto" w:fill="auto"/>
            <w:noWrap/>
            <w:vAlign w:val="bottom"/>
            <w:hideMark/>
          </w:tcPr>
          <w:p w14:paraId="64F18EE2" w14:textId="77777777" w:rsidR="002A1C99" w:rsidRPr="002A1C99" w:rsidRDefault="002A1C99" w:rsidP="002A1C99">
            <w:pPr>
              <w:spacing w:after="0"/>
              <w:jc w:val="right"/>
              <w:rPr>
                <w:rFonts w:ascii="Arial" w:hAnsi="Arial" w:cs="Arial"/>
                <w:b/>
                <w:bCs/>
                <w:color w:val="auto"/>
                <w:sz w:val="16"/>
                <w:szCs w:val="16"/>
              </w:rPr>
            </w:pPr>
            <w:r w:rsidRPr="002A1C99">
              <w:rPr>
                <w:rFonts w:ascii="Arial" w:hAnsi="Arial" w:cs="Arial"/>
                <w:b/>
                <w:bCs/>
                <w:color w:val="auto"/>
                <w:sz w:val="16"/>
                <w:szCs w:val="16"/>
              </w:rPr>
              <w:t>-</w:t>
            </w:r>
          </w:p>
        </w:tc>
        <w:tc>
          <w:tcPr>
            <w:tcW w:w="861" w:type="dxa"/>
            <w:tcBorders>
              <w:top w:val="nil"/>
              <w:left w:val="nil"/>
              <w:bottom w:val="single" w:sz="4" w:space="0" w:color="auto"/>
              <w:right w:val="nil"/>
            </w:tcBorders>
            <w:shd w:val="clear" w:color="auto" w:fill="auto"/>
            <w:noWrap/>
            <w:vAlign w:val="bottom"/>
            <w:hideMark/>
          </w:tcPr>
          <w:p w14:paraId="22036E76" w14:textId="77777777" w:rsidR="002A1C99" w:rsidRPr="002A1C99" w:rsidRDefault="002A1C99" w:rsidP="002A1C99">
            <w:pPr>
              <w:spacing w:after="0"/>
              <w:jc w:val="right"/>
              <w:rPr>
                <w:rFonts w:ascii="Arial" w:hAnsi="Arial" w:cs="Arial"/>
                <w:b/>
                <w:bCs/>
                <w:color w:val="auto"/>
                <w:sz w:val="16"/>
                <w:szCs w:val="16"/>
              </w:rPr>
            </w:pPr>
            <w:r w:rsidRPr="002A1C99">
              <w:rPr>
                <w:rFonts w:ascii="Arial" w:hAnsi="Arial" w:cs="Arial"/>
                <w:b/>
                <w:bCs/>
                <w:color w:val="auto"/>
                <w:sz w:val="16"/>
                <w:szCs w:val="16"/>
              </w:rPr>
              <w:t>-</w:t>
            </w:r>
          </w:p>
        </w:tc>
        <w:tc>
          <w:tcPr>
            <w:tcW w:w="861" w:type="dxa"/>
            <w:tcBorders>
              <w:top w:val="nil"/>
              <w:left w:val="nil"/>
              <w:bottom w:val="single" w:sz="4" w:space="0" w:color="auto"/>
              <w:right w:val="nil"/>
            </w:tcBorders>
            <w:shd w:val="clear" w:color="auto" w:fill="auto"/>
            <w:noWrap/>
            <w:vAlign w:val="bottom"/>
            <w:hideMark/>
          </w:tcPr>
          <w:p w14:paraId="78B17018" w14:textId="77777777" w:rsidR="002A1C99" w:rsidRPr="002A1C99" w:rsidRDefault="002A1C99" w:rsidP="002A1C99">
            <w:pPr>
              <w:spacing w:after="0"/>
              <w:jc w:val="right"/>
              <w:rPr>
                <w:rFonts w:ascii="Arial" w:hAnsi="Arial" w:cs="Arial"/>
                <w:b/>
                <w:bCs/>
                <w:color w:val="auto"/>
                <w:sz w:val="16"/>
                <w:szCs w:val="16"/>
              </w:rPr>
            </w:pPr>
            <w:r w:rsidRPr="002A1C99">
              <w:rPr>
                <w:rFonts w:ascii="Arial" w:hAnsi="Arial" w:cs="Arial"/>
                <w:b/>
                <w:bCs/>
                <w:color w:val="auto"/>
                <w:sz w:val="16"/>
                <w:szCs w:val="16"/>
              </w:rPr>
              <w:t>-</w:t>
            </w:r>
          </w:p>
        </w:tc>
      </w:tr>
      <w:tr w:rsidR="002A1C99" w:rsidRPr="002A1C99" w14:paraId="7CD2E1D5" w14:textId="77777777" w:rsidTr="002A1C99">
        <w:trPr>
          <w:trHeight w:val="300"/>
        </w:trPr>
        <w:tc>
          <w:tcPr>
            <w:tcW w:w="3052" w:type="dxa"/>
            <w:tcBorders>
              <w:top w:val="nil"/>
              <w:left w:val="nil"/>
              <w:bottom w:val="nil"/>
              <w:right w:val="nil"/>
            </w:tcBorders>
            <w:shd w:val="clear" w:color="auto" w:fill="auto"/>
            <w:noWrap/>
            <w:vAlign w:val="bottom"/>
            <w:hideMark/>
          </w:tcPr>
          <w:p w14:paraId="36250162" w14:textId="77777777" w:rsidR="002A1C99" w:rsidRPr="002A1C99" w:rsidRDefault="002A1C99" w:rsidP="002A1C99">
            <w:pPr>
              <w:spacing w:after="0"/>
              <w:ind w:firstLineChars="100" w:firstLine="160"/>
              <w:rPr>
                <w:rFonts w:ascii="Arial" w:hAnsi="Arial" w:cs="Arial"/>
                <w:b/>
                <w:bCs/>
                <w:sz w:val="16"/>
                <w:szCs w:val="16"/>
              </w:rPr>
            </w:pPr>
            <w:r w:rsidRPr="002A1C99">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44B2E577" w14:textId="77777777" w:rsidR="002A1C99" w:rsidRPr="002A1C99" w:rsidRDefault="002A1C99" w:rsidP="002A1C99">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1E19F068"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 </w:t>
            </w:r>
          </w:p>
        </w:tc>
        <w:tc>
          <w:tcPr>
            <w:tcW w:w="861" w:type="dxa"/>
            <w:tcBorders>
              <w:top w:val="nil"/>
              <w:left w:val="nil"/>
              <w:bottom w:val="nil"/>
              <w:right w:val="nil"/>
            </w:tcBorders>
            <w:shd w:val="clear" w:color="auto" w:fill="auto"/>
            <w:noWrap/>
            <w:vAlign w:val="bottom"/>
            <w:hideMark/>
          </w:tcPr>
          <w:p w14:paraId="64288804" w14:textId="77777777" w:rsidR="002A1C99" w:rsidRPr="002A1C99" w:rsidRDefault="002A1C99" w:rsidP="002A1C99">
            <w:pPr>
              <w:spacing w:after="0"/>
              <w:jc w:val="right"/>
              <w:rPr>
                <w:rFonts w:ascii="Arial" w:hAnsi="Arial" w:cs="Arial"/>
                <w:color w:val="auto"/>
                <w:sz w:val="16"/>
                <w:szCs w:val="16"/>
              </w:rPr>
            </w:pPr>
          </w:p>
        </w:tc>
        <w:tc>
          <w:tcPr>
            <w:tcW w:w="861" w:type="dxa"/>
            <w:tcBorders>
              <w:top w:val="nil"/>
              <w:left w:val="nil"/>
              <w:bottom w:val="nil"/>
              <w:right w:val="nil"/>
            </w:tcBorders>
            <w:shd w:val="clear" w:color="auto" w:fill="auto"/>
            <w:noWrap/>
            <w:vAlign w:val="bottom"/>
            <w:hideMark/>
          </w:tcPr>
          <w:p w14:paraId="01F6F12D" w14:textId="77777777" w:rsidR="002A1C99" w:rsidRPr="002A1C99" w:rsidRDefault="002A1C99" w:rsidP="002A1C99">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798EF827" w14:textId="77777777" w:rsidR="002A1C99" w:rsidRPr="002A1C99" w:rsidRDefault="002A1C99" w:rsidP="002A1C99">
            <w:pPr>
              <w:spacing w:after="0"/>
              <w:jc w:val="right"/>
              <w:rPr>
                <w:rFonts w:ascii="Times New Roman" w:hAnsi="Times New Roman"/>
                <w:color w:val="auto"/>
                <w:sz w:val="20"/>
              </w:rPr>
            </w:pPr>
          </w:p>
        </w:tc>
      </w:tr>
      <w:tr w:rsidR="002A1C99" w:rsidRPr="002A1C99" w14:paraId="1652DD85" w14:textId="77777777" w:rsidTr="002A1C99">
        <w:trPr>
          <w:trHeight w:val="225"/>
        </w:trPr>
        <w:tc>
          <w:tcPr>
            <w:tcW w:w="3052" w:type="dxa"/>
            <w:tcBorders>
              <w:top w:val="nil"/>
              <w:left w:val="nil"/>
              <w:bottom w:val="nil"/>
              <w:right w:val="nil"/>
            </w:tcBorders>
            <w:shd w:val="clear" w:color="auto" w:fill="auto"/>
            <w:noWrap/>
            <w:vAlign w:val="bottom"/>
            <w:hideMark/>
          </w:tcPr>
          <w:p w14:paraId="412EAE47" w14:textId="77777777" w:rsidR="002A1C99" w:rsidRPr="002A1C99" w:rsidRDefault="002A1C99" w:rsidP="002A1C99">
            <w:pPr>
              <w:spacing w:after="0"/>
              <w:ind w:leftChars="150" w:left="285"/>
              <w:rPr>
                <w:rFonts w:ascii="Arial" w:hAnsi="Arial" w:cs="Arial"/>
                <w:color w:val="auto"/>
                <w:sz w:val="16"/>
                <w:szCs w:val="16"/>
              </w:rPr>
            </w:pPr>
            <w:r w:rsidRPr="002A1C99">
              <w:rPr>
                <w:rFonts w:ascii="Arial" w:hAnsi="Arial" w:cs="Arial"/>
                <w:color w:val="auto"/>
                <w:sz w:val="16"/>
                <w:szCs w:val="16"/>
              </w:rPr>
              <w:t xml:space="preserve">Lease </w:t>
            </w:r>
            <w:r w:rsidRPr="002A1C99">
              <w:rPr>
                <w:rFonts w:ascii="Arial" w:hAnsi="Arial" w:cs="Arial"/>
                <w:sz w:val="16"/>
                <w:szCs w:val="16"/>
              </w:rPr>
              <w:t>principal</w:t>
            </w:r>
            <w:r w:rsidRPr="002A1C99">
              <w:rPr>
                <w:rFonts w:ascii="Arial" w:hAnsi="Arial" w:cs="Arial"/>
                <w:color w:val="auto"/>
                <w:sz w:val="16"/>
                <w:szCs w:val="16"/>
              </w:rPr>
              <w:t xml:space="preserve"> repayments</w:t>
            </w:r>
          </w:p>
        </w:tc>
        <w:tc>
          <w:tcPr>
            <w:tcW w:w="881" w:type="dxa"/>
            <w:tcBorders>
              <w:top w:val="nil"/>
              <w:left w:val="nil"/>
              <w:bottom w:val="nil"/>
              <w:right w:val="nil"/>
            </w:tcBorders>
            <w:shd w:val="clear" w:color="auto" w:fill="auto"/>
            <w:noWrap/>
            <w:vAlign w:val="bottom"/>
            <w:hideMark/>
          </w:tcPr>
          <w:p w14:paraId="36E0A40C"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4,108</w:t>
            </w:r>
          </w:p>
        </w:tc>
        <w:tc>
          <w:tcPr>
            <w:tcW w:w="844" w:type="dxa"/>
            <w:tcBorders>
              <w:top w:val="nil"/>
              <w:left w:val="nil"/>
              <w:bottom w:val="nil"/>
              <w:right w:val="nil"/>
            </w:tcBorders>
            <w:shd w:val="clear" w:color="000000" w:fill="D9D9D9"/>
            <w:noWrap/>
            <w:vAlign w:val="bottom"/>
            <w:hideMark/>
          </w:tcPr>
          <w:p w14:paraId="63023A6C"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4,530</w:t>
            </w:r>
          </w:p>
        </w:tc>
        <w:tc>
          <w:tcPr>
            <w:tcW w:w="861" w:type="dxa"/>
            <w:tcBorders>
              <w:top w:val="nil"/>
              <w:left w:val="nil"/>
              <w:bottom w:val="nil"/>
              <w:right w:val="nil"/>
            </w:tcBorders>
            <w:shd w:val="clear" w:color="auto" w:fill="auto"/>
            <w:noWrap/>
            <w:vAlign w:val="bottom"/>
            <w:hideMark/>
          </w:tcPr>
          <w:p w14:paraId="678827CF"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4,372</w:t>
            </w:r>
          </w:p>
        </w:tc>
        <w:tc>
          <w:tcPr>
            <w:tcW w:w="861" w:type="dxa"/>
            <w:tcBorders>
              <w:top w:val="nil"/>
              <w:left w:val="nil"/>
              <w:bottom w:val="nil"/>
              <w:right w:val="nil"/>
            </w:tcBorders>
            <w:shd w:val="clear" w:color="auto" w:fill="auto"/>
            <w:noWrap/>
            <w:vAlign w:val="bottom"/>
            <w:hideMark/>
          </w:tcPr>
          <w:p w14:paraId="6D6C2396"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4,499</w:t>
            </w:r>
          </w:p>
        </w:tc>
        <w:tc>
          <w:tcPr>
            <w:tcW w:w="861" w:type="dxa"/>
            <w:tcBorders>
              <w:top w:val="nil"/>
              <w:left w:val="nil"/>
              <w:bottom w:val="nil"/>
              <w:right w:val="nil"/>
            </w:tcBorders>
            <w:shd w:val="clear" w:color="auto" w:fill="auto"/>
            <w:noWrap/>
            <w:vAlign w:val="bottom"/>
            <w:hideMark/>
          </w:tcPr>
          <w:p w14:paraId="689E2734"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4,609</w:t>
            </w:r>
          </w:p>
        </w:tc>
      </w:tr>
      <w:tr w:rsidR="002A1C99" w:rsidRPr="002A1C99" w14:paraId="009A369A" w14:textId="77777777" w:rsidTr="002A1C99">
        <w:trPr>
          <w:trHeight w:val="225"/>
        </w:trPr>
        <w:tc>
          <w:tcPr>
            <w:tcW w:w="3052" w:type="dxa"/>
            <w:tcBorders>
              <w:top w:val="nil"/>
              <w:left w:val="nil"/>
              <w:bottom w:val="nil"/>
              <w:right w:val="nil"/>
            </w:tcBorders>
            <w:shd w:val="clear" w:color="auto" w:fill="auto"/>
            <w:noWrap/>
            <w:vAlign w:val="bottom"/>
            <w:hideMark/>
          </w:tcPr>
          <w:p w14:paraId="0408F2D0" w14:textId="77777777" w:rsidR="002A1C99" w:rsidRPr="002A1C99" w:rsidRDefault="002A1C99" w:rsidP="002A1C99">
            <w:pPr>
              <w:spacing w:after="0"/>
              <w:ind w:leftChars="150" w:left="285"/>
              <w:rPr>
                <w:rFonts w:ascii="Arial" w:hAnsi="Arial" w:cs="Arial"/>
                <w:b/>
                <w:bCs/>
                <w:sz w:val="16"/>
                <w:szCs w:val="16"/>
              </w:rPr>
            </w:pPr>
            <w:r w:rsidRPr="002A1C99">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6657D194" w14:textId="77777777" w:rsidR="002A1C99" w:rsidRPr="002A1C99" w:rsidRDefault="002A1C99" w:rsidP="002A1C99">
            <w:pPr>
              <w:spacing w:after="0"/>
              <w:jc w:val="right"/>
              <w:rPr>
                <w:rFonts w:ascii="Arial" w:hAnsi="Arial" w:cs="Arial"/>
                <w:b/>
                <w:bCs/>
                <w:color w:val="auto"/>
                <w:sz w:val="16"/>
                <w:szCs w:val="16"/>
              </w:rPr>
            </w:pPr>
            <w:r w:rsidRPr="002A1C99">
              <w:rPr>
                <w:rFonts w:ascii="Arial" w:hAnsi="Arial" w:cs="Arial"/>
                <w:b/>
                <w:bCs/>
                <w:color w:val="auto"/>
                <w:sz w:val="16"/>
                <w:szCs w:val="16"/>
              </w:rPr>
              <w:t>4,108</w:t>
            </w:r>
          </w:p>
        </w:tc>
        <w:tc>
          <w:tcPr>
            <w:tcW w:w="844" w:type="dxa"/>
            <w:tcBorders>
              <w:top w:val="nil"/>
              <w:left w:val="nil"/>
              <w:bottom w:val="single" w:sz="4" w:space="0" w:color="auto"/>
              <w:right w:val="nil"/>
            </w:tcBorders>
            <w:shd w:val="clear" w:color="000000" w:fill="D9D9D9"/>
            <w:noWrap/>
            <w:vAlign w:val="bottom"/>
            <w:hideMark/>
          </w:tcPr>
          <w:p w14:paraId="52100790" w14:textId="77777777" w:rsidR="002A1C99" w:rsidRPr="002A1C99" w:rsidRDefault="002A1C99" w:rsidP="002A1C99">
            <w:pPr>
              <w:spacing w:after="0"/>
              <w:jc w:val="right"/>
              <w:rPr>
                <w:rFonts w:ascii="Arial" w:hAnsi="Arial" w:cs="Arial"/>
                <w:b/>
                <w:bCs/>
                <w:color w:val="auto"/>
                <w:sz w:val="16"/>
                <w:szCs w:val="16"/>
              </w:rPr>
            </w:pPr>
            <w:r w:rsidRPr="002A1C99">
              <w:rPr>
                <w:rFonts w:ascii="Arial" w:hAnsi="Arial" w:cs="Arial"/>
                <w:b/>
                <w:bCs/>
                <w:color w:val="auto"/>
                <w:sz w:val="16"/>
                <w:szCs w:val="16"/>
              </w:rPr>
              <w:t>4,530</w:t>
            </w:r>
          </w:p>
        </w:tc>
        <w:tc>
          <w:tcPr>
            <w:tcW w:w="861" w:type="dxa"/>
            <w:tcBorders>
              <w:top w:val="nil"/>
              <w:left w:val="nil"/>
              <w:bottom w:val="single" w:sz="4" w:space="0" w:color="auto"/>
              <w:right w:val="nil"/>
            </w:tcBorders>
            <w:shd w:val="clear" w:color="auto" w:fill="auto"/>
            <w:noWrap/>
            <w:vAlign w:val="bottom"/>
            <w:hideMark/>
          </w:tcPr>
          <w:p w14:paraId="4BFEEF43" w14:textId="77777777" w:rsidR="002A1C99" w:rsidRPr="002A1C99" w:rsidRDefault="002A1C99" w:rsidP="002A1C99">
            <w:pPr>
              <w:spacing w:after="0"/>
              <w:jc w:val="right"/>
              <w:rPr>
                <w:rFonts w:ascii="Arial" w:hAnsi="Arial" w:cs="Arial"/>
                <w:b/>
                <w:bCs/>
                <w:color w:val="auto"/>
                <w:sz w:val="16"/>
                <w:szCs w:val="16"/>
              </w:rPr>
            </w:pPr>
            <w:r w:rsidRPr="002A1C99">
              <w:rPr>
                <w:rFonts w:ascii="Arial" w:hAnsi="Arial" w:cs="Arial"/>
                <w:b/>
                <w:bCs/>
                <w:color w:val="auto"/>
                <w:sz w:val="16"/>
                <w:szCs w:val="16"/>
              </w:rPr>
              <w:t>4,372</w:t>
            </w:r>
          </w:p>
        </w:tc>
        <w:tc>
          <w:tcPr>
            <w:tcW w:w="861" w:type="dxa"/>
            <w:tcBorders>
              <w:top w:val="nil"/>
              <w:left w:val="nil"/>
              <w:bottom w:val="single" w:sz="4" w:space="0" w:color="auto"/>
              <w:right w:val="nil"/>
            </w:tcBorders>
            <w:shd w:val="clear" w:color="auto" w:fill="auto"/>
            <w:noWrap/>
            <w:vAlign w:val="bottom"/>
            <w:hideMark/>
          </w:tcPr>
          <w:p w14:paraId="0E2DAFEA" w14:textId="77777777" w:rsidR="002A1C99" w:rsidRPr="002A1C99" w:rsidRDefault="002A1C99" w:rsidP="002A1C99">
            <w:pPr>
              <w:spacing w:after="0"/>
              <w:jc w:val="right"/>
              <w:rPr>
                <w:rFonts w:ascii="Arial" w:hAnsi="Arial" w:cs="Arial"/>
                <w:b/>
                <w:bCs/>
                <w:color w:val="auto"/>
                <w:sz w:val="16"/>
                <w:szCs w:val="16"/>
              </w:rPr>
            </w:pPr>
            <w:r w:rsidRPr="002A1C99">
              <w:rPr>
                <w:rFonts w:ascii="Arial" w:hAnsi="Arial" w:cs="Arial"/>
                <w:b/>
                <w:bCs/>
                <w:color w:val="auto"/>
                <w:sz w:val="16"/>
                <w:szCs w:val="16"/>
              </w:rPr>
              <w:t>4,499</w:t>
            </w:r>
          </w:p>
        </w:tc>
        <w:tc>
          <w:tcPr>
            <w:tcW w:w="861" w:type="dxa"/>
            <w:tcBorders>
              <w:top w:val="nil"/>
              <w:left w:val="nil"/>
              <w:bottom w:val="single" w:sz="4" w:space="0" w:color="auto"/>
              <w:right w:val="nil"/>
            </w:tcBorders>
            <w:shd w:val="clear" w:color="auto" w:fill="auto"/>
            <w:noWrap/>
            <w:vAlign w:val="bottom"/>
            <w:hideMark/>
          </w:tcPr>
          <w:p w14:paraId="09C25DEE" w14:textId="77777777" w:rsidR="002A1C99" w:rsidRPr="002A1C99" w:rsidRDefault="002A1C99" w:rsidP="002A1C99">
            <w:pPr>
              <w:spacing w:after="0"/>
              <w:jc w:val="right"/>
              <w:rPr>
                <w:rFonts w:ascii="Arial" w:hAnsi="Arial" w:cs="Arial"/>
                <w:b/>
                <w:bCs/>
                <w:color w:val="auto"/>
                <w:sz w:val="16"/>
                <w:szCs w:val="16"/>
              </w:rPr>
            </w:pPr>
            <w:r w:rsidRPr="002A1C99">
              <w:rPr>
                <w:rFonts w:ascii="Arial" w:hAnsi="Arial" w:cs="Arial"/>
                <w:b/>
                <w:bCs/>
                <w:color w:val="auto"/>
                <w:sz w:val="16"/>
                <w:szCs w:val="16"/>
              </w:rPr>
              <w:t>4,609</w:t>
            </w:r>
          </w:p>
        </w:tc>
      </w:tr>
      <w:tr w:rsidR="002A1C99" w:rsidRPr="002A1C99" w14:paraId="1E86537B" w14:textId="77777777" w:rsidTr="002A1C99">
        <w:trPr>
          <w:trHeight w:val="525"/>
        </w:trPr>
        <w:tc>
          <w:tcPr>
            <w:tcW w:w="3052" w:type="dxa"/>
            <w:tcBorders>
              <w:top w:val="nil"/>
              <w:left w:val="nil"/>
              <w:bottom w:val="nil"/>
              <w:right w:val="nil"/>
            </w:tcBorders>
            <w:shd w:val="clear" w:color="auto" w:fill="auto"/>
            <w:vAlign w:val="bottom"/>
            <w:hideMark/>
          </w:tcPr>
          <w:p w14:paraId="372D5BD5" w14:textId="77777777" w:rsidR="002A1C99" w:rsidRPr="002A1C99" w:rsidRDefault="002A1C99" w:rsidP="002A1C99">
            <w:pPr>
              <w:spacing w:after="0"/>
              <w:ind w:leftChars="75" w:left="143"/>
              <w:rPr>
                <w:rFonts w:ascii="Arial" w:hAnsi="Arial" w:cs="Arial"/>
                <w:b/>
                <w:bCs/>
                <w:sz w:val="16"/>
                <w:szCs w:val="16"/>
              </w:rPr>
            </w:pPr>
            <w:r w:rsidRPr="002A1C99">
              <w:rPr>
                <w:rFonts w:ascii="Arial" w:hAnsi="Arial" w:cs="Arial"/>
                <w:b/>
                <w:bCs/>
                <w:sz w:val="16"/>
                <w:szCs w:val="16"/>
              </w:rPr>
              <w:t>Net cash from (or used by) financing activities</w:t>
            </w:r>
          </w:p>
        </w:tc>
        <w:tc>
          <w:tcPr>
            <w:tcW w:w="881" w:type="dxa"/>
            <w:tcBorders>
              <w:top w:val="nil"/>
              <w:left w:val="nil"/>
              <w:bottom w:val="single" w:sz="4" w:space="0" w:color="auto"/>
              <w:right w:val="nil"/>
            </w:tcBorders>
            <w:shd w:val="clear" w:color="auto" w:fill="auto"/>
            <w:noWrap/>
            <w:vAlign w:val="bottom"/>
            <w:hideMark/>
          </w:tcPr>
          <w:p w14:paraId="6228C276" w14:textId="77777777" w:rsidR="002A1C99" w:rsidRPr="002A1C99" w:rsidRDefault="002A1C99" w:rsidP="002A1C99">
            <w:pPr>
              <w:spacing w:after="0"/>
              <w:jc w:val="right"/>
              <w:rPr>
                <w:rFonts w:ascii="Arial" w:hAnsi="Arial" w:cs="Arial"/>
                <w:b/>
                <w:bCs/>
                <w:color w:val="auto"/>
                <w:sz w:val="16"/>
                <w:szCs w:val="16"/>
              </w:rPr>
            </w:pPr>
            <w:r w:rsidRPr="002A1C99">
              <w:rPr>
                <w:rFonts w:ascii="Arial" w:hAnsi="Arial" w:cs="Arial"/>
                <w:b/>
                <w:bCs/>
                <w:color w:val="auto"/>
                <w:sz w:val="16"/>
                <w:szCs w:val="16"/>
              </w:rPr>
              <w:t>(3,983)</w:t>
            </w:r>
          </w:p>
        </w:tc>
        <w:tc>
          <w:tcPr>
            <w:tcW w:w="844" w:type="dxa"/>
            <w:tcBorders>
              <w:top w:val="nil"/>
              <w:left w:val="nil"/>
              <w:bottom w:val="single" w:sz="4" w:space="0" w:color="auto"/>
              <w:right w:val="nil"/>
            </w:tcBorders>
            <w:shd w:val="clear" w:color="000000" w:fill="D9D9D9"/>
            <w:noWrap/>
            <w:vAlign w:val="bottom"/>
            <w:hideMark/>
          </w:tcPr>
          <w:p w14:paraId="50B90421" w14:textId="77777777" w:rsidR="002A1C99" w:rsidRPr="002A1C99" w:rsidRDefault="002A1C99" w:rsidP="002A1C99">
            <w:pPr>
              <w:spacing w:after="0"/>
              <w:jc w:val="right"/>
              <w:rPr>
                <w:rFonts w:ascii="Arial" w:hAnsi="Arial" w:cs="Arial"/>
                <w:b/>
                <w:bCs/>
                <w:color w:val="auto"/>
                <w:sz w:val="16"/>
                <w:szCs w:val="16"/>
              </w:rPr>
            </w:pPr>
            <w:r w:rsidRPr="002A1C99">
              <w:rPr>
                <w:rFonts w:ascii="Arial" w:hAnsi="Arial" w:cs="Arial"/>
                <w:b/>
                <w:bCs/>
                <w:color w:val="auto"/>
                <w:sz w:val="16"/>
                <w:szCs w:val="16"/>
              </w:rPr>
              <w:t>(4,530)</w:t>
            </w:r>
          </w:p>
        </w:tc>
        <w:tc>
          <w:tcPr>
            <w:tcW w:w="861" w:type="dxa"/>
            <w:tcBorders>
              <w:top w:val="nil"/>
              <w:left w:val="nil"/>
              <w:bottom w:val="single" w:sz="4" w:space="0" w:color="auto"/>
              <w:right w:val="nil"/>
            </w:tcBorders>
            <w:shd w:val="clear" w:color="auto" w:fill="auto"/>
            <w:noWrap/>
            <w:vAlign w:val="bottom"/>
            <w:hideMark/>
          </w:tcPr>
          <w:p w14:paraId="64E048F7" w14:textId="77777777" w:rsidR="002A1C99" w:rsidRPr="002A1C99" w:rsidRDefault="002A1C99" w:rsidP="002A1C99">
            <w:pPr>
              <w:spacing w:after="0"/>
              <w:jc w:val="right"/>
              <w:rPr>
                <w:rFonts w:ascii="Arial" w:hAnsi="Arial" w:cs="Arial"/>
                <w:b/>
                <w:bCs/>
                <w:color w:val="auto"/>
                <w:sz w:val="16"/>
                <w:szCs w:val="16"/>
              </w:rPr>
            </w:pPr>
            <w:r w:rsidRPr="002A1C99">
              <w:rPr>
                <w:rFonts w:ascii="Arial" w:hAnsi="Arial" w:cs="Arial"/>
                <w:b/>
                <w:bCs/>
                <w:color w:val="auto"/>
                <w:sz w:val="16"/>
                <w:szCs w:val="16"/>
              </w:rPr>
              <w:t>(4,372)</w:t>
            </w:r>
          </w:p>
        </w:tc>
        <w:tc>
          <w:tcPr>
            <w:tcW w:w="861" w:type="dxa"/>
            <w:tcBorders>
              <w:top w:val="nil"/>
              <w:left w:val="nil"/>
              <w:bottom w:val="single" w:sz="4" w:space="0" w:color="auto"/>
              <w:right w:val="nil"/>
            </w:tcBorders>
            <w:shd w:val="clear" w:color="auto" w:fill="auto"/>
            <w:noWrap/>
            <w:vAlign w:val="bottom"/>
            <w:hideMark/>
          </w:tcPr>
          <w:p w14:paraId="0B5C29EA" w14:textId="77777777" w:rsidR="002A1C99" w:rsidRPr="002A1C99" w:rsidRDefault="002A1C99" w:rsidP="002A1C99">
            <w:pPr>
              <w:spacing w:after="0"/>
              <w:jc w:val="right"/>
              <w:rPr>
                <w:rFonts w:ascii="Arial" w:hAnsi="Arial" w:cs="Arial"/>
                <w:b/>
                <w:bCs/>
                <w:color w:val="auto"/>
                <w:sz w:val="16"/>
                <w:szCs w:val="16"/>
              </w:rPr>
            </w:pPr>
            <w:r w:rsidRPr="002A1C99">
              <w:rPr>
                <w:rFonts w:ascii="Arial" w:hAnsi="Arial" w:cs="Arial"/>
                <w:b/>
                <w:bCs/>
                <w:color w:val="auto"/>
                <w:sz w:val="16"/>
                <w:szCs w:val="16"/>
              </w:rPr>
              <w:t>(4,499)</w:t>
            </w:r>
          </w:p>
        </w:tc>
        <w:tc>
          <w:tcPr>
            <w:tcW w:w="861" w:type="dxa"/>
            <w:tcBorders>
              <w:top w:val="nil"/>
              <w:left w:val="nil"/>
              <w:bottom w:val="single" w:sz="4" w:space="0" w:color="auto"/>
              <w:right w:val="nil"/>
            </w:tcBorders>
            <w:shd w:val="clear" w:color="auto" w:fill="auto"/>
            <w:noWrap/>
            <w:vAlign w:val="bottom"/>
            <w:hideMark/>
          </w:tcPr>
          <w:p w14:paraId="69C0A4FC" w14:textId="77777777" w:rsidR="002A1C99" w:rsidRPr="002A1C99" w:rsidRDefault="002A1C99" w:rsidP="002A1C99">
            <w:pPr>
              <w:spacing w:after="0"/>
              <w:jc w:val="right"/>
              <w:rPr>
                <w:rFonts w:ascii="Arial" w:hAnsi="Arial" w:cs="Arial"/>
                <w:b/>
                <w:bCs/>
                <w:color w:val="auto"/>
                <w:sz w:val="16"/>
                <w:szCs w:val="16"/>
              </w:rPr>
            </w:pPr>
            <w:r w:rsidRPr="002A1C99">
              <w:rPr>
                <w:rFonts w:ascii="Arial" w:hAnsi="Arial" w:cs="Arial"/>
                <w:b/>
                <w:bCs/>
                <w:color w:val="auto"/>
                <w:sz w:val="16"/>
                <w:szCs w:val="16"/>
              </w:rPr>
              <w:t>(4,609)</w:t>
            </w:r>
          </w:p>
        </w:tc>
      </w:tr>
      <w:tr w:rsidR="002A1C99" w:rsidRPr="002A1C99" w14:paraId="161BD332" w14:textId="77777777" w:rsidTr="002A1C99">
        <w:trPr>
          <w:trHeight w:val="525"/>
        </w:trPr>
        <w:tc>
          <w:tcPr>
            <w:tcW w:w="3052" w:type="dxa"/>
            <w:tcBorders>
              <w:top w:val="nil"/>
              <w:left w:val="nil"/>
              <w:bottom w:val="nil"/>
              <w:right w:val="nil"/>
            </w:tcBorders>
            <w:shd w:val="clear" w:color="auto" w:fill="auto"/>
            <w:vAlign w:val="bottom"/>
            <w:hideMark/>
          </w:tcPr>
          <w:p w14:paraId="223D59CC" w14:textId="77777777" w:rsidR="002A1C99" w:rsidRPr="002A1C99" w:rsidRDefault="002A1C99" w:rsidP="002A1C99">
            <w:pPr>
              <w:spacing w:after="0"/>
              <w:ind w:leftChars="75" w:left="143"/>
              <w:rPr>
                <w:rFonts w:ascii="Arial" w:hAnsi="Arial" w:cs="Arial"/>
                <w:b/>
                <w:bCs/>
                <w:sz w:val="16"/>
                <w:szCs w:val="16"/>
              </w:rPr>
            </w:pPr>
            <w:r w:rsidRPr="002A1C99">
              <w:rPr>
                <w:rFonts w:ascii="Arial" w:hAnsi="Arial" w:cs="Arial"/>
                <w:b/>
                <w:bCs/>
                <w:sz w:val="16"/>
                <w:szCs w:val="16"/>
              </w:rPr>
              <w:t>Net increase (or decrease) in cash held</w:t>
            </w:r>
          </w:p>
        </w:tc>
        <w:tc>
          <w:tcPr>
            <w:tcW w:w="881" w:type="dxa"/>
            <w:tcBorders>
              <w:top w:val="nil"/>
              <w:left w:val="nil"/>
              <w:bottom w:val="single" w:sz="4" w:space="0" w:color="auto"/>
              <w:right w:val="nil"/>
            </w:tcBorders>
            <w:shd w:val="clear" w:color="auto" w:fill="auto"/>
            <w:noWrap/>
            <w:vAlign w:val="bottom"/>
            <w:hideMark/>
          </w:tcPr>
          <w:p w14:paraId="26AA9EDC" w14:textId="77777777" w:rsidR="002A1C99" w:rsidRPr="002A1C99" w:rsidRDefault="002A1C99" w:rsidP="002A1C99">
            <w:pPr>
              <w:spacing w:after="0"/>
              <w:jc w:val="right"/>
              <w:rPr>
                <w:rFonts w:ascii="Arial" w:hAnsi="Arial" w:cs="Arial"/>
                <w:b/>
                <w:bCs/>
                <w:color w:val="auto"/>
                <w:sz w:val="16"/>
                <w:szCs w:val="16"/>
              </w:rPr>
            </w:pPr>
            <w:r w:rsidRPr="002A1C99">
              <w:rPr>
                <w:rFonts w:ascii="Arial" w:hAnsi="Arial" w:cs="Arial"/>
                <w:b/>
                <w:bCs/>
                <w:color w:val="auto"/>
                <w:sz w:val="16"/>
                <w:szCs w:val="16"/>
              </w:rPr>
              <w:t>11,085</w:t>
            </w:r>
          </w:p>
        </w:tc>
        <w:tc>
          <w:tcPr>
            <w:tcW w:w="844" w:type="dxa"/>
            <w:tcBorders>
              <w:top w:val="nil"/>
              <w:left w:val="nil"/>
              <w:bottom w:val="single" w:sz="4" w:space="0" w:color="auto"/>
              <w:right w:val="nil"/>
            </w:tcBorders>
            <w:shd w:val="clear" w:color="000000" w:fill="D9D9D9"/>
            <w:noWrap/>
            <w:vAlign w:val="bottom"/>
            <w:hideMark/>
          </w:tcPr>
          <w:p w14:paraId="7A9D16CA" w14:textId="77777777" w:rsidR="002A1C99" w:rsidRPr="002A1C99" w:rsidRDefault="002A1C99" w:rsidP="002A1C99">
            <w:pPr>
              <w:spacing w:after="0"/>
              <w:jc w:val="right"/>
              <w:rPr>
                <w:rFonts w:ascii="Arial" w:hAnsi="Arial" w:cs="Arial"/>
                <w:b/>
                <w:bCs/>
                <w:color w:val="auto"/>
                <w:sz w:val="16"/>
                <w:szCs w:val="16"/>
              </w:rPr>
            </w:pPr>
            <w:r w:rsidRPr="002A1C99">
              <w:rPr>
                <w:rFonts w:ascii="Arial" w:hAnsi="Arial" w:cs="Arial"/>
                <w:b/>
                <w:bCs/>
                <w:color w:val="auto"/>
                <w:sz w:val="16"/>
                <w:szCs w:val="16"/>
              </w:rPr>
              <w:t>(2,703)</w:t>
            </w:r>
          </w:p>
        </w:tc>
        <w:tc>
          <w:tcPr>
            <w:tcW w:w="861" w:type="dxa"/>
            <w:tcBorders>
              <w:top w:val="nil"/>
              <w:left w:val="nil"/>
              <w:bottom w:val="single" w:sz="4" w:space="0" w:color="auto"/>
              <w:right w:val="nil"/>
            </w:tcBorders>
            <w:shd w:val="clear" w:color="auto" w:fill="auto"/>
            <w:noWrap/>
            <w:vAlign w:val="bottom"/>
            <w:hideMark/>
          </w:tcPr>
          <w:p w14:paraId="77803E69" w14:textId="77777777" w:rsidR="002A1C99" w:rsidRPr="002A1C99" w:rsidRDefault="002A1C99" w:rsidP="002A1C99">
            <w:pPr>
              <w:spacing w:after="0"/>
              <w:jc w:val="right"/>
              <w:rPr>
                <w:rFonts w:ascii="Arial" w:hAnsi="Arial" w:cs="Arial"/>
                <w:b/>
                <w:bCs/>
                <w:color w:val="auto"/>
                <w:sz w:val="16"/>
                <w:szCs w:val="16"/>
              </w:rPr>
            </w:pPr>
            <w:r w:rsidRPr="002A1C99">
              <w:rPr>
                <w:rFonts w:ascii="Arial" w:hAnsi="Arial" w:cs="Arial"/>
                <w:b/>
                <w:bCs/>
                <w:color w:val="auto"/>
                <w:sz w:val="16"/>
                <w:szCs w:val="16"/>
              </w:rPr>
              <w:t>93</w:t>
            </w:r>
          </w:p>
        </w:tc>
        <w:tc>
          <w:tcPr>
            <w:tcW w:w="861" w:type="dxa"/>
            <w:tcBorders>
              <w:top w:val="nil"/>
              <w:left w:val="nil"/>
              <w:bottom w:val="single" w:sz="4" w:space="0" w:color="auto"/>
              <w:right w:val="nil"/>
            </w:tcBorders>
            <w:shd w:val="clear" w:color="auto" w:fill="auto"/>
            <w:noWrap/>
            <w:vAlign w:val="bottom"/>
            <w:hideMark/>
          </w:tcPr>
          <w:p w14:paraId="0DE74C3E" w14:textId="77777777" w:rsidR="002A1C99" w:rsidRPr="002A1C99" w:rsidRDefault="002A1C99" w:rsidP="002A1C99">
            <w:pPr>
              <w:spacing w:after="0"/>
              <w:jc w:val="right"/>
              <w:rPr>
                <w:rFonts w:ascii="Arial" w:hAnsi="Arial" w:cs="Arial"/>
                <w:b/>
                <w:bCs/>
                <w:color w:val="auto"/>
                <w:sz w:val="16"/>
                <w:szCs w:val="16"/>
              </w:rPr>
            </w:pPr>
            <w:r w:rsidRPr="002A1C99">
              <w:rPr>
                <w:rFonts w:ascii="Arial" w:hAnsi="Arial" w:cs="Arial"/>
                <w:b/>
                <w:bCs/>
                <w:color w:val="auto"/>
                <w:sz w:val="16"/>
                <w:szCs w:val="16"/>
              </w:rPr>
              <w:t>900</w:t>
            </w:r>
          </w:p>
        </w:tc>
        <w:tc>
          <w:tcPr>
            <w:tcW w:w="861" w:type="dxa"/>
            <w:tcBorders>
              <w:top w:val="nil"/>
              <w:left w:val="nil"/>
              <w:bottom w:val="single" w:sz="4" w:space="0" w:color="auto"/>
              <w:right w:val="nil"/>
            </w:tcBorders>
            <w:shd w:val="clear" w:color="auto" w:fill="auto"/>
            <w:noWrap/>
            <w:vAlign w:val="bottom"/>
            <w:hideMark/>
          </w:tcPr>
          <w:p w14:paraId="7D649101" w14:textId="77777777" w:rsidR="002A1C99" w:rsidRPr="002A1C99" w:rsidRDefault="002A1C99" w:rsidP="002A1C99">
            <w:pPr>
              <w:spacing w:after="0"/>
              <w:jc w:val="right"/>
              <w:rPr>
                <w:rFonts w:ascii="Arial" w:hAnsi="Arial" w:cs="Arial"/>
                <w:b/>
                <w:bCs/>
                <w:color w:val="auto"/>
                <w:sz w:val="16"/>
                <w:szCs w:val="16"/>
              </w:rPr>
            </w:pPr>
            <w:r w:rsidRPr="002A1C99">
              <w:rPr>
                <w:rFonts w:ascii="Arial" w:hAnsi="Arial" w:cs="Arial"/>
                <w:b/>
                <w:bCs/>
                <w:color w:val="auto"/>
                <w:sz w:val="16"/>
                <w:szCs w:val="16"/>
              </w:rPr>
              <w:t>(800)</w:t>
            </w:r>
          </w:p>
        </w:tc>
      </w:tr>
      <w:tr w:rsidR="002A1C99" w:rsidRPr="002A1C99" w14:paraId="40DD66FE" w14:textId="77777777" w:rsidTr="002A1C99">
        <w:trPr>
          <w:trHeight w:val="450"/>
        </w:trPr>
        <w:tc>
          <w:tcPr>
            <w:tcW w:w="3052" w:type="dxa"/>
            <w:tcBorders>
              <w:top w:val="nil"/>
              <w:left w:val="nil"/>
              <w:bottom w:val="nil"/>
              <w:right w:val="nil"/>
            </w:tcBorders>
            <w:shd w:val="clear" w:color="auto" w:fill="auto"/>
            <w:vAlign w:val="bottom"/>
            <w:hideMark/>
          </w:tcPr>
          <w:p w14:paraId="4481D425" w14:textId="77777777" w:rsidR="002A1C99" w:rsidRPr="002A1C99" w:rsidRDefault="002A1C99" w:rsidP="002A1C99">
            <w:pPr>
              <w:spacing w:after="0"/>
              <w:ind w:leftChars="75" w:left="143"/>
              <w:rPr>
                <w:rFonts w:ascii="Arial" w:hAnsi="Arial" w:cs="Arial"/>
                <w:sz w:val="16"/>
                <w:szCs w:val="16"/>
              </w:rPr>
            </w:pPr>
            <w:r w:rsidRPr="002A1C99">
              <w:rPr>
                <w:rFonts w:ascii="Arial" w:hAnsi="Arial" w:cs="Arial"/>
                <w:sz w:val="16"/>
                <w:szCs w:val="16"/>
              </w:rPr>
              <w:t>Cash and cash equivalents at the beginning of the reporting period</w:t>
            </w:r>
          </w:p>
        </w:tc>
        <w:tc>
          <w:tcPr>
            <w:tcW w:w="881" w:type="dxa"/>
            <w:tcBorders>
              <w:top w:val="nil"/>
              <w:left w:val="nil"/>
              <w:bottom w:val="nil"/>
              <w:right w:val="nil"/>
            </w:tcBorders>
            <w:shd w:val="clear" w:color="auto" w:fill="auto"/>
            <w:noWrap/>
            <w:vAlign w:val="bottom"/>
            <w:hideMark/>
          </w:tcPr>
          <w:p w14:paraId="43B46502"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82,063</w:t>
            </w:r>
          </w:p>
        </w:tc>
        <w:tc>
          <w:tcPr>
            <w:tcW w:w="844" w:type="dxa"/>
            <w:tcBorders>
              <w:top w:val="nil"/>
              <w:left w:val="nil"/>
              <w:bottom w:val="nil"/>
              <w:right w:val="nil"/>
            </w:tcBorders>
            <w:shd w:val="clear" w:color="000000" w:fill="D9D9D9"/>
            <w:noWrap/>
            <w:vAlign w:val="bottom"/>
            <w:hideMark/>
          </w:tcPr>
          <w:p w14:paraId="7A93E832"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93,148</w:t>
            </w:r>
          </w:p>
        </w:tc>
        <w:tc>
          <w:tcPr>
            <w:tcW w:w="861" w:type="dxa"/>
            <w:tcBorders>
              <w:top w:val="nil"/>
              <w:left w:val="nil"/>
              <w:bottom w:val="nil"/>
              <w:right w:val="nil"/>
            </w:tcBorders>
            <w:shd w:val="clear" w:color="auto" w:fill="auto"/>
            <w:noWrap/>
            <w:vAlign w:val="bottom"/>
            <w:hideMark/>
          </w:tcPr>
          <w:p w14:paraId="173FCAA4"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90,445</w:t>
            </w:r>
          </w:p>
        </w:tc>
        <w:tc>
          <w:tcPr>
            <w:tcW w:w="861" w:type="dxa"/>
            <w:tcBorders>
              <w:top w:val="nil"/>
              <w:left w:val="nil"/>
              <w:bottom w:val="nil"/>
              <w:right w:val="nil"/>
            </w:tcBorders>
            <w:shd w:val="clear" w:color="auto" w:fill="auto"/>
            <w:noWrap/>
            <w:vAlign w:val="bottom"/>
            <w:hideMark/>
          </w:tcPr>
          <w:p w14:paraId="054DAE74"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90,538</w:t>
            </w:r>
          </w:p>
        </w:tc>
        <w:tc>
          <w:tcPr>
            <w:tcW w:w="861" w:type="dxa"/>
            <w:tcBorders>
              <w:top w:val="nil"/>
              <w:left w:val="nil"/>
              <w:bottom w:val="nil"/>
              <w:right w:val="nil"/>
            </w:tcBorders>
            <w:shd w:val="clear" w:color="auto" w:fill="auto"/>
            <w:noWrap/>
            <w:vAlign w:val="bottom"/>
            <w:hideMark/>
          </w:tcPr>
          <w:p w14:paraId="102A4673" w14:textId="77777777" w:rsidR="002A1C99" w:rsidRPr="002A1C99" w:rsidRDefault="002A1C99" w:rsidP="002A1C99">
            <w:pPr>
              <w:spacing w:after="0"/>
              <w:jc w:val="right"/>
              <w:rPr>
                <w:rFonts w:ascii="Arial" w:hAnsi="Arial" w:cs="Arial"/>
                <w:color w:val="auto"/>
                <w:sz w:val="16"/>
                <w:szCs w:val="16"/>
              </w:rPr>
            </w:pPr>
            <w:r w:rsidRPr="002A1C99">
              <w:rPr>
                <w:rFonts w:ascii="Arial" w:hAnsi="Arial" w:cs="Arial"/>
                <w:color w:val="auto"/>
                <w:sz w:val="16"/>
                <w:szCs w:val="16"/>
              </w:rPr>
              <w:t>91,438</w:t>
            </w:r>
          </w:p>
        </w:tc>
      </w:tr>
      <w:tr w:rsidR="002A1C99" w:rsidRPr="002A1C99" w14:paraId="2355B2BE" w14:textId="77777777" w:rsidTr="002A1C99">
        <w:trPr>
          <w:trHeight w:val="525"/>
        </w:trPr>
        <w:tc>
          <w:tcPr>
            <w:tcW w:w="3052" w:type="dxa"/>
            <w:tcBorders>
              <w:top w:val="nil"/>
              <w:left w:val="nil"/>
              <w:bottom w:val="single" w:sz="4" w:space="0" w:color="auto"/>
              <w:right w:val="nil"/>
            </w:tcBorders>
            <w:shd w:val="clear" w:color="auto" w:fill="auto"/>
            <w:vAlign w:val="bottom"/>
            <w:hideMark/>
          </w:tcPr>
          <w:p w14:paraId="08C5077A" w14:textId="77777777" w:rsidR="002A1C99" w:rsidRPr="002A1C99" w:rsidRDefault="002A1C99" w:rsidP="002A1C99">
            <w:pPr>
              <w:spacing w:after="0"/>
              <w:rPr>
                <w:rFonts w:ascii="Arial" w:hAnsi="Arial" w:cs="Arial"/>
                <w:b/>
                <w:bCs/>
                <w:sz w:val="16"/>
                <w:szCs w:val="16"/>
              </w:rPr>
            </w:pPr>
            <w:r w:rsidRPr="002A1C99">
              <w:rPr>
                <w:rFonts w:ascii="Arial" w:hAnsi="Arial" w:cs="Arial"/>
                <w:b/>
                <w:bCs/>
                <w:sz w:val="16"/>
                <w:szCs w:val="16"/>
              </w:rPr>
              <w:t>Cash and cash equivalents at the end of the reporting period</w:t>
            </w:r>
          </w:p>
        </w:tc>
        <w:tc>
          <w:tcPr>
            <w:tcW w:w="881" w:type="dxa"/>
            <w:tcBorders>
              <w:top w:val="nil"/>
              <w:left w:val="nil"/>
              <w:bottom w:val="single" w:sz="4" w:space="0" w:color="auto"/>
              <w:right w:val="nil"/>
            </w:tcBorders>
            <w:shd w:val="clear" w:color="auto" w:fill="auto"/>
            <w:noWrap/>
            <w:vAlign w:val="bottom"/>
            <w:hideMark/>
          </w:tcPr>
          <w:p w14:paraId="09BC87B3" w14:textId="77777777" w:rsidR="002A1C99" w:rsidRPr="002A1C99" w:rsidRDefault="002A1C99" w:rsidP="002A1C99">
            <w:pPr>
              <w:spacing w:after="0"/>
              <w:jc w:val="right"/>
              <w:rPr>
                <w:rFonts w:ascii="Arial" w:hAnsi="Arial" w:cs="Arial"/>
                <w:b/>
                <w:bCs/>
                <w:color w:val="auto"/>
                <w:sz w:val="16"/>
                <w:szCs w:val="16"/>
              </w:rPr>
            </w:pPr>
            <w:r w:rsidRPr="002A1C99">
              <w:rPr>
                <w:rFonts w:ascii="Arial" w:hAnsi="Arial" w:cs="Arial"/>
                <w:b/>
                <w:bCs/>
                <w:color w:val="auto"/>
                <w:sz w:val="16"/>
                <w:szCs w:val="16"/>
              </w:rPr>
              <w:t>93,148</w:t>
            </w:r>
          </w:p>
        </w:tc>
        <w:tc>
          <w:tcPr>
            <w:tcW w:w="844" w:type="dxa"/>
            <w:tcBorders>
              <w:top w:val="nil"/>
              <w:left w:val="nil"/>
              <w:bottom w:val="single" w:sz="4" w:space="0" w:color="auto"/>
              <w:right w:val="nil"/>
            </w:tcBorders>
            <w:shd w:val="clear" w:color="000000" w:fill="D9D9D9"/>
            <w:noWrap/>
            <w:vAlign w:val="bottom"/>
            <w:hideMark/>
          </w:tcPr>
          <w:p w14:paraId="20AE903B" w14:textId="77777777" w:rsidR="002A1C99" w:rsidRPr="002A1C99" w:rsidRDefault="002A1C99" w:rsidP="002A1C99">
            <w:pPr>
              <w:spacing w:after="0"/>
              <w:jc w:val="right"/>
              <w:rPr>
                <w:rFonts w:ascii="Arial" w:hAnsi="Arial" w:cs="Arial"/>
                <w:b/>
                <w:bCs/>
                <w:color w:val="auto"/>
                <w:sz w:val="16"/>
                <w:szCs w:val="16"/>
              </w:rPr>
            </w:pPr>
            <w:r w:rsidRPr="002A1C99">
              <w:rPr>
                <w:rFonts w:ascii="Arial" w:hAnsi="Arial" w:cs="Arial"/>
                <w:b/>
                <w:bCs/>
                <w:color w:val="auto"/>
                <w:sz w:val="16"/>
                <w:szCs w:val="16"/>
              </w:rPr>
              <w:t>90,445</w:t>
            </w:r>
          </w:p>
        </w:tc>
        <w:tc>
          <w:tcPr>
            <w:tcW w:w="861" w:type="dxa"/>
            <w:tcBorders>
              <w:top w:val="nil"/>
              <w:left w:val="nil"/>
              <w:bottom w:val="single" w:sz="4" w:space="0" w:color="auto"/>
              <w:right w:val="nil"/>
            </w:tcBorders>
            <w:shd w:val="clear" w:color="auto" w:fill="auto"/>
            <w:noWrap/>
            <w:vAlign w:val="bottom"/>
            <w:hideMark/>
          </w:tcPr>
          <w:p w14:paraId="63DFF5BB" w14:textId="77777777" w:rsidR="002A1C99" w:rsidRPr="002A1C99" w:rsidRDefault="002A1C99" w:rsidP="002A1C99">
            <w:pPr>
              <w:spacing w:after="0"/>
              <w:jc w:val="right"/>
              <w:rPr>
                <w:rFonts w:ascii="Arial" w:hAnsi="Arial" w:cs="Arial"/>
                <w:b/>
                <w:bCs/>
                <w:color w:val="auto"/>
                <w:sz w:val="16"/>
                <w:szCs w:val="16"/>
              </w:rPr>
            </w:pPr>
            <w:r w:rsidRPr="002A1C99">
              <w:rPr>
                <w:rFonts w:ascii="Arial" w:hAnsi="Arial" w:cs="Arial"/>
                <w:b/>
                <w:bCs/>
                <w:color w:val="auto"/>
                <w:sz w:val="16"/>
                <w:szCs w:val="16"/>
              </w:rPr>
              <w:t>90,538</w:t>
            </w:r>
          </w:p>
        </w:tc>
        <w:tc>
          <w:tcPr>
            <w:tcW w:w="861" w:type="dxa"/>
            <w:tcBorders>
              <w:top w:val="nil"/>
              <w:left w:val="nil"/>
              <w:bottom w:val="single" w:sz="4" w:space="0" w:color="auto"/>
              <w:right w:val="nil"/>
            </w:tcBorders>
            <w:shd w:val="clear" w:color="auto" w:fill="auto"/>
            <w:noWrap/>
            <w:vAlign w:val="bottom"/>
            <w:hideMark/>
          </w:tcPr>
          <w:p w14:paraId="21E30005" w14:textId="77777777" w:rsidR="002A1C99" w:rsidRPr="002A1C99" w:rsidRDefault="002A1C99" w:rsidP="002A1C99">
            <w:pPr>
              <w:spacing w:after="0"/>
              <w:jc w:val="right"/>
              <w:rPr>
                <w:rFonts w:ascii="Arial" w:hAnsi="Arial" w:cs="Arial"/>
                <w:b/>
                <w:bCs/>
                <w:color w:val="auto"/>
                <w:sz w:val="16"/>
                <w:szCs w:val="16"/>
              </w:rPr>
            </w:pPr>
            <w:r w:rsidRPr="002A1C99">
              <w:rPr>
                <w:rFonts w:ascii="Arial" w:hAnsi="Arial" w:cs="Arial"/>
                <w:b/>
                <w:bCs/>
                <w:color w:val="auto"/>
                <w:sz w:val="16"/>
                <w:szCs w:val="16"/>
              </w:rPr>
              <w:t>91,438</w:t>
            </w:r>
          </w:p>
        </w:tc>
        <w:tc>
          <w:tcPr>
            <w:tcW w:w="861" w:type="dxa"/>
            <w:tcBorders>
              <w:top w:val="nil"/>
              <w:left w:val="nil"/>
              <w:bottom w:val="single" w:sz="4" w:space="0" w:color="auto"/>
              <w:right w:val="nil"/>
            </w:tcBorders>
            <w:shd w:val="clear" w:color="auto" w:fill="auto"/>
            <w:noWrap/>
            <w:vAlign w:val="bottom"/>
            <w:hideMark/>
          </w:tcPr>
          <w:p w14:paraId="1C8487AD" w14:textId="77777777" w:rsidR="002A1C99" w:rsidRPr="002A1C99" w:rsidRDefault="002A1C99" w:rsidP="002A1C99">
            <w:pPr>
              <w:spacing w:after="0"/>
              <w:jc w:val="right"/>
              <w:rPr>
                <w:rFonts w:ascii="Arial" w:hAnsi="Arial" w:cs="Arial"/>
                <w:b/>
                <w:bCs/>
                <w:color w:val="auto"/>
                <w:sz w:val="16"/>
                <w:szCs w:val="16"/>
              </w:rPr>
            </w:pPr>
            <w:r w:rsidRPr="002A1C99">
              <w:rPr>
                <w:rFonts w:ascii="Arial" w:hAnsi="Arial" w:cs="Arial"/>
                <w:b/>
                <w:bCs/>
                <w:color w:val="auto"/>
                <w:sz w:val="16"/>
                <w:szCs w:val="16"/>
              </w:rPr>
              <w:t>90,638</w:t>
            </w:r>
          </w:p>
        </w:tc>
      </w:tr>
    </w:tbl>
    <w:p w14:paraId="7BBED27A" w14:textId="77777777" w:rsidR="004F306B" w:rsidRDefault="004F306B">
      <w:pPr>
        <w:spacing w:after="160" w:line="259" w:lineRule="auto"/>
        <w:rPr>
          <w:rFonts w:ascii="Arial" w:hAnsi="Arial" w:cs="Arial"/>
          <w:b/>
          <w:sz w:val="20"/>
          <w:szCs w:val="18"/>
          <w:lang w:eastAsia="en-US"/>
        </w:rPr>
      </w:pPr>
      <w:r>
        <w:rPr>
          <w:rFonts w:ascii="Arial" w:hAnsi="Arial" w:cs="Arial"/>
          <w:b/>
          <w:sz w:val="20"/>
          <w:szCs w:val="18"/>
          <w:lang w:eastAsia="en-US"/>
        </w:rPr>
        <w:br w:type="page"/>
      </w:r>
    </w:p>
    <w:p w14:paraId="47CE0ABD" w14:textId="08428A43" w:rsidR="00C95982" w:rsidRPr="00C95982" w:rsidRDefault="00C95982" w:rsidP="00C95982">
      <w:pPr>
        <w:rPr>
          <w:rFonts w:ascii="Arial" w:hAnsi="Arial" w:cs="Arial"/>
          <w:b/>
          <w:sz w:val="20"/>
          <w:szCs w:val="18"/>
          <w:lang w:eastAsia="en-US"/>
        </w:rPr>
      </w:pPr>
      <w:r w:rsidRPr="00C95982">
        <w:rPr>
          <w:rFonts w:ascii="Arial" w:hAnsi="Arial" w:cs="Arial"/>
          <w:b/>
          <w:sz w:val="20"/>
          <w:szCs w:val="18"/>
          <w:lang w:eastAsia="en-US"/>
        </w:rPr>
        <w:lastRenderedPageBreak/>
        <w:t xml:space="preserve">Table 3.5: Departmental capital budget statement (for the period </w:t>
      </w:r>
      <w:r w:rsidR="001C745B">
        <w:rPr>
          <w:rFonts w:ascii="Arial" w:hAnsi="Arial" w:cs="Arial"/>
          <w:b/>
          <w:sz w:val="20"/>
          <w:szCs w:val="18"/>
          <w:lang w:eastAsia="en-US"/>
        </w:rPr>
        <w:br/>
      </w:r>
      <w:r w:rsidRPr="00C95982">
        <w:rPr>
          <w:rFonts w:ascii="Arial" w:hAnsi="Arial" w:cs="Arial"/>
          <w:b/>
          <w:sz w:val="20"/>
          <w:szCs w:val="18"/>
          <w:lang w:eastAsia="en-US"/>
        </w:rPr>
        <w:t>ended</w:t>
      </w:r>
      <w:r w:rsidR="001C745B">
        <w:rPr>
          <w:rFonts w:ascii="Arial" w:hAnsi="Arial" w:cs="Arial"/>
          <w:b/>
          <w:sz w:val="20"/>
          <w:szCs w:val="18"/>
          <w:lang w:eastAsia="en-US"/>
        </w:rPr>
        <w:t xml:space="preserve"> </w:t>
      </w:r>
      <w:r w:rsidRPr="00C95982">
        <w:rPr>
          <w:rFonts w:ascii="Arial" w:hAnsi="Arial" w:cs="Arial"/>
          <w:b/>
          <w:sz w:val="20"/>
          <w:szCs w:val="18"/>
          <w:lang w:eastAsia="en-US"/>
        </w:rPr>
        <w:t>30 June)</w:t>
      </w:r>
    </w:p>
    <w:tbl>
      <w:tblPr>
        <w:tblW w:w="7394" w:type="dxa"/>
        <w:jc w:val="center"/>
        <w:tblLayout w:type="fixed"/>
        <w:tblLook w:val="04A0" w:firstRow="1" w:lastRow="0" w:firstColumn="1" w:lastColumn="0" w:noHBand="0" w:noVBand="1"/>
      </w:tblPr>
      <w:tblGrid>
        <w:gridCol w:w="2960"/>
        <w:gridCol w:w="896"/>
        <w:gridCol w:w="896"/>
        <w:gridCol w:w="896"/>
        <w:gridCol w:w="884"/>
        <w:gridCol w:w="862"/>
      </w:tblGrid>
      <w:tr w:rsidR="00B46A9E" w:rsidRPr="00B46A9E" w14:paraId="30133059" w14:textId="77777777" w:rsidTr="00A072C5">
        <w:trPr>
          <w:trHeight w:val="765"/>
          <w:jc w:val="center"/>
        </w:trPr>
        <w:tc>
          <w:tcPr>
            <w:tcW w:w="2960" w:type="dxa"/>
            <w:tcBorders>
              <w:top w:val="single" w:sz="4" w:space="0" w:color="auto"/>
              <w:left w:val="nil"/>
              <w:bottom w:val="nil"/>
              <w:right w:val="nil"/>
            </w:tcBorders>
            <w:shd w:val="clear" w:color="auto" w:fill="auto"/>
            <w:hideMark/>
          </w:tcPr>
          <w:p w14:paraId="01002A46" w14:textId="77777777" w:rsidR="00B46A9E" w:rsidRPr="00B46A9E" w:rsidRDefault="00B46A9E" w:rsidP="00A072C5">
            <w:pPr>
              <w:spacing w:before="40" w:after="0"/>
              <w:jc w:val="right"/>
              <w:rPr>
                <w:rFonts w:ascii="Arial" w:hAnsi="Arial" w:cs="Arial"/>
                <w:color w:val="auto"/>
                <w:sz w:val="16"/>
                <w:szCs w:val="16"/>
              </w:rPr>
            </w:pPr>
            <w:r w:rsidRPr="00B46A9E">
              <w:rPr>
                <w:rFonts w:ascii="Arial" w:hAnsi="Arial" w:cs="Arial"/>
                <w:color w:val="auto"/>
                <w:sz w:val="16"/>
                <w:szCs w:val="16"/>
              </w:rPr>
              <w:t> </w:t>
            </w:r>
          </w:p>
        </w:tc>
        <w:tc>
          <w:tcPr>
            <w:tcW w:w="896" w:type="dxa"/>
            <w:tcBorders>
              <w:top w:val="single" w:sz="4" w:space="0" w:color="auto"/>
              <w:left w:val="nil"/>
              <w:bottom w:val="single" w:sz="4" w:space="0" w:color="auto"/>
              <w:right w:val="nil"/>
            </w:tcBorders>
            <w:shd w:val="clear" w:color="auto" w:fill="auto"/>
            <w:tcMar>
              <w:left w:w="0" w:type="dxa"/>
            </w:tcMar>
            <w:hideMark/>
          </w:tcPr>
          <w:p w14:paraId="7E628137" w14:textId="77777777" w:rsidR="00B46A9E" w:rsidRPr="00B46A9E" w:rsidRDefault="00B46A9E" w:rsidP="00A072C5">
            <w:pPr>
              <w:spacing w:before="40" w:after="0"/>
              <w:jc w:val="right"/>
              <w:rPr>
                <w:rFonts w:ascii="Arial" w:hAnsi="Arial" w:cs="Arial"/>
                <w:b/>
                <w:bCs/>
                <w:color w:val="auto"/>
                <w:sz w:val="16"/>
                <w:szCs w:val="16"/>
              </w:rPr>
            </w:pPr>
            <w:r w:rsidRPr="00B46A9E">
              <w:rPr>
                <w:rFonts w:ascii="Arial" w:hAnsi="Arial" w:cs="Arial"/>
                <w:b/>
                <w:bCs/>
                <w:color w:val="auto"/>
                <w:sz w:val="16"/>
                <w:szCs w:val="16"/>
              </w:rPr>
              <w:t>2021–22 Estimated actual</w:t>
            </w:r>
            <w:r w:rsidRPr="00B46A9E">
              <w:rPr>
                <w:rFonts w:ascii="Arial" w:hAnsi="Arial" w:cs="Arial"/>
                <w:b/>
                <w:bCs/>
                <w:color w:val="auto"/>
                <w:sz w:val="16"/>
                <w:szCs w:val="16"/>
              </w:rPr>
              <w:br/>
            </w:r>
            <w:r w:rsidRPr="00B46A9E">
              <w:rPr>
                <w:rFonts w:ascii="Arial" w:hAnsi="Arial" w:cs="Arial"/>
                <w:color w:val="auto"/>
                <w:sz w:val="16"/>
                <w:szCs w:val="16"/>
              </w:rPr>
              <w:t>$'000</w:t>
            </w:r>
          </w:p>
        </w:tc>
        <w:tc>
          <w:tcPr>
            <w:tcW w:w="896" w:type="dxa"/>
            <w:tcBorders>
              <w:top w:val="single" w:sz="4" w:space="0" w:color="auto"/>
              <w:left w:val="nil"/>
              <w:bottom w:val="single" w:sz="4" w:space="0" w:color="auto"/>
              <w:right w:val="nil"/>
            </w:tcBorders>
            <w:shd w:val="clear" w:color="000000" w:fill="D9D9D9"/>
            <w:tcMar>
              <w:left w:w="0" w:type="dxa"/>
            </w:tcMar>
            <w:hideMark/>
          </w:tcPr>
          <w:p w14:paraId="24040741" w14:textId="77777777" w:rsidR="00B46A9E" w:rsidRPr="00B46A9E" w:rsidRDefault="00B46A9E" w:rsidP="00A072C5">
            <w:pPr>
              <w:spacing w:before="40" w:after="0"/>
              <w:jc w:val="right"/>
              <w:rPr>
                <w:rFonts w:ascii="Arial" w:hAnsi="Arial" w:cs="Arial"/>
                <w:b/>
                <w:bCs/>
                <w:color w:val="auto"/>
                <w:sz w:val="16"/>
                <w:szCs w:val="16"/>
              </w:rPr>
            </w:pPr>
            <w:r w:rsidRPr="00B46A9E">
              <w:rPr>
                <w:rFonts w:ascii="Arial" w:hAnsi="Arial" w:cs="Arial"/>
                <w:b/>
                <w:bCs/>
                <w:color w:val="auto"/>
                <w:sz w:val="16"/>
                <w:szCs w:val="16"/>
              </w:rPr>
              <w:t>2022–23</w:t>
            </w:r>
            <w:r w:rsidRPr="00B46A9E">
              <w:rPr>
                <w:rFonts w:ascii="Arial" w:hAnsi="Arial" w:cs="Arial"/>
                <w:b/>
                <w:bCs/>
                <w:color w:val="auto"/>
                <w:sz w:val="16"/>
                <w:szCs w:val="16"/>
              </w:rPr>
              <w:br/>
              <w:t>Budget</w:t>
            </w:r>
            <w:r w:rsidRPr="00B46A9E">
              <w:rPr>
                <w:rFonts w:ascii="Arial" w:hAnsi="Arial" w:cs="Arial"/>
                <w:b/>
                <w:bCs/>
                <w:color w:val="auto"/>
                <w:sz w:val="16"/>
                <w:szCs w:val="16"/>
              </w:rPr>
              <w:br/>
            </w:r>
            <w:r w:rsidRPr="00B46A9E">
              <w:rPr>
                <w:rFonts w:ascii="Arial" w:hAnsi="Arial" w:cs="Arial"/>
                <w:b/>
                <w:bCs/>
                <w:color w:val="auto"/>
                <w:sz w:val="16"/>
                <w:szCs w:val="16"/>
              </w:rPr>
              <w:br/>
            </w:r>
            <w:r w:rsidRPr="00B46A9E">
              <w:rPr>
                <w:rFonts w:ascii="Arial" w:hAnsi="Arial" w:cs="Arial"/>
                <w:color w:val="auto"/>
                <w:sz w:val="16"/>
                <w:szCs w:val="16"/>
              </w:rPr>
              <w:t>$'000</w:t>
            </w:r>
          </w:p>
        </w:tc>
        <w:tc>
          <w:tcPr>
            <w:tcW w:w="896" w:type="dxa"/>
            <w:tcBorders>
              <w:top w:val="single" w:sz="4" w:space="0" w:color="auto"/>
              <w:left w:val="nil"/>
              <w:bottom w:val="single" w:sz="4" w:space="0" w:color="auto"/>
              <w:right w:val="nil"/>
            </w:tcBorders>
            <w:shd w:val="clear" w:color="auto" w:fill="auto"/>
            <w:tcMar>
              <w:left w:w="0" w:type="dxa"/>
            </w:tcMar>
            <w:hideMark/>
          </w:tcPr>
          <w:p w14:paraId="499719C3" w14:textId="77777777" w:rsidR="00B46A9E" w:rsidRPr="00B46A9E" w:rsidRDefault="00B46A9E" w:rsidP="00A072C5">
            <w:pPr>
              <w:spacing w:before="40" w:after="0"/>
              <w:jc w:val="right"/>
              <w:rPr>
                <w:rFonts w:ascii="Arial" w:hAnsi="Arial" w:cs="Arial"/>
                <w:b/>
                <w:bCs/>
                <w:color w:val="auto"/>
                <w:sz w:val="16"/>
                <w:szCs w:val="16"/>
              </w:rPr>
            </w:pPr>
            <w:r w:rsidRPr="00B46A9E">
              <w:rPr>
                <w:rFonts w:ascii="Arial" w:hAnsi="Arial" w:cs="Arial"/>
                <w:b/>
                <w:bCs/>
                <w:color w:val="auto"/>
                <w:sz w:val="16"/>
                <w:szCs w:val="16"/>
              </w:rPr>
              <w:t>2023–24 Forward estimate</w:t>
            </w:r>
            <w:r w:rsidRPr="00B46A9E">
              <w:rPr>
                <w:rFonts w:ascii="Arial" w:hAnsi="Arial" w:cs="Arial"/>
                <w:b/>
                <w:bCs/>
                <w:color w:val="auto"/>
                <w:sz w:val="16"/>
                <w:szCs w:val="16"/>
              </w:rPr>
              <w:br/>
            </w:r>
            <w:r w:rsidRPr="00B46A9E">
              <w:rPr>
                <w:rFonts w:ascii="Arial" w:hAnsi="Arial" w:cs="Arial"/>
                <w:color w:val="auto"/>
                <w:sz w:val="16"/>
                <w:szCs w:val="16"/>
              </w:rPr>
              <w:t>$'000</w:t>
            </w:r>
          </w:p>
        </w:tc>
        <w:tc>
          <w:tcPr>
            <w:tcW w:w="884" w:type="dxa"/>
            <w:tcBorders>
              <w:top w:val="single" w:sz="4" w:space="0" w:color="auto"/>
              <w:left w:val="nil"/>
              <w:bottom w:val="single" w:sz="4" w:space="0" w:color="auto"/>
              <w:right w:val="nil"/>
            </w:tcBorders>
            <w:shd w:val="clear" w:color="auto" w:fill="auto"/>
            <w:tcMar>
              <w:left w:w="0" w:type="dxa"/>
            </w:tcMar>
            <w:hideMark/>
          </w:tcPr>
          <w:p w14:paraId="44C41CD0" w14:textId="77777777" w:rsidR="00B46A9E" w:rsidRPr="00B46A9E" w:rsidRDefault="00B46A9E" w:rsidP="00A072C5">
            <w:pPr>
              <w:spacing w:before="40" w:after="0"/>
              <w:jc w:val="right"/>
              <w:rPr>
                <w:rFonts w:ascii="Arial" w:hAnsi="Arial" w:cs="Arial"/>
                <w:b/>
                <w:bCs/>
                <w:color w:val="auto"/>
                <w:sz w:val="16"/>
                <w:szCs w:val="16"/>
              </w:rPr>
            </w:pPr>
            <w:r w:rsidRPr="00B46A9E">
              <w:rPr>
                <w:rFonts w:ascii="Arial" w:hAnsi="Arial" w:cs="Arial"/>
                <w:b/>
                <w:bCs/>
                <w:color w:val="auto"/>
                <w:sz w:val="16"/>
                <w:szCs w:val="16"/>
              </w:rPr>
              <w:t>2024–25</w:t>
            </w:r>
            <w:r w:rsidRPr="00B46A9E">
              <w:rPr>
                <w:rFonts w:ascii="Arial" w:hAnsi="Arial" w:cs="Arial"/>
                <w:b/>
                <w:bCs/>
                <w:color w:val="auto"/>
                <w:sz w:val="16"/>
                <w:szCs w:val="16"/>
              </w:rPr>
              <w:br/>
              <w:t>Forward estimate</w:t>
            </w:r>
            <w:r w:rsidRPr="00B46A9E">
              <w:rPr>
                <w:rFonts w:ascii="Arial" w:hAnsi="Arial" w:cs="Arial"/>
                <w:b/>
                <w:bCs/>
                <w:color w:val="auto"/>
                <w:sz w:val="16"/>
                <w:szCs w:val="16"/>
              </w:rPr>
              <w:br/>
            </w:r>
            <w:r w:rsidRPr="00B46A9E">
              <w:rPr>
                <w:rFonts w:ascii="Arial" w:hAnsi="Arial" w:cs="Arial"/>
                <w:color w:val="auto"/>
                <w:sz w:val="16"/>
                <w:szCs w:val="16"/>
              </w:rPr>
              <w:t>$'000</w:t>
            </w:r>
          </w:p>
        </w:tc>
        <w:tc>
          <w:tcPr>
            <w:tcW w:w="862" w:type="dxa"/>
            <w:tcBorders>
              <w:top w:val="single" w:sz="4" w:space="0" w:color="auto"/>
              <w:left w:val="nil"/>
              <w:bottom w:val="single" w:sz="4" w:space="0" w:color="auto"/>
              <w:right w:val="nil"/>
            </w:tcBorders>
            <w:shd w:val="clear" w:color="auto" w:fill="auto"/>
            <w:tcMar>
              <w:left w:w="0" w:type="dxa"/>
            </w:tcMar>
            <w:hideMark/>
          </w:tcPr>
          <w:p w14:paraId="329242A3" w14:textId="77777777" w:rsidR="00B46A9E" w:rsidRPr="00B46A9E" w:rsidRDefault="00B46A9E" w:rsidP="00A072C5">
            <w:pPr>
              <w:spacing w:before="40" w:after="0"/>
              <w:jc w:val="right"/>
              <w:rPr>
                <w:rFonts w:ascii="Arial" w:hAnsi="Arial" w:cs="Arial"/>
                <w:b/>
                <w:bCs/>
                <w:color w:val="auto"/>
                <w:sz w:val="16"/>
                <w:szCs w:val="16"/>
              </w:rPr>
            </w:pPr>
            <w:r w:rsidRPr="00B46A9E">
              <w:rPr>
                <w:rFonts w:ascii="Arial" w:hAnsi="Arial" w:cs="Arial"/>
                <w:b/>
                <w:bCs/>
                <w:color w:val="auto"/>
                <w:sz w:val="16"/>
                <w:szCs w:val="16"/>
              </w:rPr>
              <w:t>2025–26</w:t>
            </w:r>
            <w:r w:rsidRPr="00B46A9E">
              <w:rPr>
                <w:rFonts w:ascii="Arial" w:hAnsi="Arial" w:cs="Arial"/>
                <w:b/>
                <w:bCs/>
                <w:color w:val="auto"/>
                <w:sz w:val="16"/>
                <w:szCs w:val="16"/>
              </w:rPr>
              <w:br/>
              <w:t>Forward estimate</w:t>
            </w:r>
            <w:r w:rsidRPr="00B46A9E">
              <w:rPr>
                <w:rFonts w:ascii="Arial" w:hAnsi="Arial" w:cs="Arial"/>
                <w:b/>
                <w:bCs/>
                <w:color w:val="auto"/>
                <w:sz w:val="16"/>
                <w:szCs w:val="16"/>
              </w:rPr>
              <w:br/>
            </w:r>
            <w:r w:rsidRPr="00B46A9E">
              <w:rPr>
                <w:rFonts w:ascii="Arial" w:hAnsi="Arial" w:cs="Arial"/>
                <w:color w:val="auto"/>
                <w:sz w:val="16"/>
                <w:szCs w:val="16"/>
              </w:rPr>
              <w:t>$'000</w:t>
            </w:r>
          </w:p>
        </w:tc>
      </w:tr>
      <w:tr w:rsidR="00B46A9E" w:rsidRPr="00B46A9E" w14:paraId="2C31E271" w14:textId="77777777" w:rsidTr="00A072C5">
        <w:trPr>
          <w:trHeight w:val="225"/>
          <w:jc w:val="center"/>
        </w:trPr>
        <w:tc>
          <w:tcPr>
            <w:tcW w:w="2960" w:type="dxa"/>
            <w:tcBorders>
              <w:top w:val="nil"/>
              <w:left w:val="nil"/>
              <w:bottom w:val="nil"/>
              <w:right w:val="nil"/>
            </w:tcBorders>
            <w:shd w:val="clear" w:color="000000" w:fill="FFFFFF"/>
            <w:noWrap/>
            <w:vAlign w:val="bottom"/>
            <w:hideMark/>
          </w:tcPr>
          <w:p w14:paraId="6B328498" w14:textId="77777777" w:rsidR="00B46A9E" w:rsidRPr="00B46A9E" w:rsidRDefault="00B46A9E" w:rsidP="00B46A9E">
            <w:pPr>
              <w:spacing w:after="0"/>
              <w:rPr>
                <w:rFonts w:ascii="Arial" w:hAnsi="Arial" w:cs="Arial"/>
                <w:b/>
                <w:bCs/>
                <w:color w:val="auto"/>
                <w:sz w:val="16"/>
                <w:szCs w:val="16"/>
              </w:rPr>
            </w:pPr>
            <w:r w:rsidRPr="00B46A9E">
              <w:rPr>
                <w:rFonts w:ascii="Arial" w:hAnsi="Arial" w:cs="Arial"/>
                <w:b/>
                <w:bCs/>
                <w:color w:val="auto"/>
                <w:sz w:val="16"/>
                <w:szCs w:val="16"/>
              </w:rPr>
              <w:t>CAPITAL APPROPRIATIONS</w:t>
            </w:r>
          </w:p>
        </w:tc>
        <w:tc>
          <w:tcPr>
            <w:tcW w:w="896" w:type="dxa"/>
            <w:tcBorders>
              <w:top w:val="nil"/>
              <w:left w:val="nil"/>
              <w:bottom w:val="nil"/>
              <w:right w:val="nil"/>
            </w:tcBorders>
            <w:shd w:val="clear" w:color="000000" w:fill="FFFFFF"/>
            <w:noWrap/>
            <w:vAlign w:val="bottom"/>
            <w:hideMark/>
          </w:tcPr>
          <w:p w14:paraId="0C15B940" w14:textId="77777777" w:rsidR="00B46A9E" w:rsidRPr="00B46A9E" w:rsidRDefault="00B46A9E" w:rsidP="00B46A9E">
            <w:pPr>
              <w:spacing w:after="0"/>
              <w:jc w:val="right"/>
              <w:rPr>
                <w:rFonts w:ascii="Arial" w:hAnsi="Arial" w:cs="Arial"/>
                <w:color w:val="auto"/>
                <w:sz w:val="16"/>
                <w:szCs w:val="16"/>
              </w:rPr>
            </w:pPr>
            <w:r w:rsidRPr="00B46A9E">
              <w:rPr>
                <w:rFonts w:ascii="Arial" w:hAnsi="Arial" w:cs="Arial"/>
                <w:color w:val="auto"/>
                <w:sz w:val="16"/>
                <w:szCs w:val="16"/>
              </w:rPr>
              <w:t> </w:t>
            </w:r>
          </w:p>
        </w:tc>
        <w:tc>
          <w:tcPr>
            <w:tcW w:w="896" w:type="dxa"/>
            <w:tcBorders>
              <w:top w:val="nil"/>
              <w:left w:val="nil"/>
              <w:bottom w:val="nil"/>
              <w:right w:val="nil"/>
            </w:tcBorders>
            <w:shd w:val="clear" w:color="000000" w:fill="D9D9D9"/>
            <w:noWrap/>
            <w:vAlign w:val="center"/>
            <w:hideMark/>
          </w:tcPr>
          <w:p w14:paraId="387093CF" w14:textId="77777777" w:rsidR="00B46A9E" w:rsidRPr="00B46A9E" w:rsidRDefault="00B46A9E" w:rsidP="00B46A9E">
            <w:pPr>
              <w:spacing w:after="0"/>
              <w:jc w:val="right"/>
              <w:rPr>
                <w:rFonts w:ascii="Arial" w:hAnsi="Arial" w:cs="Arial"/>
                <w:sz w:val="16"/>
                <w:szCs w:val="16"/>
              </w:rPr>
            </w:pPr>
            <w:r w:rsidRPr="00B46A9E">
              <w:rPr>
                <w:rFonts w:ascii="Arial" w:hAnsi="Arial" w:cs="Arial"/>
                <w:sz w:val="16"/>
                <w:szCs w:val="16"/>
              </w:rPr>
              <w:t> </w:t>
            </w:r>
          </w:p>
        </w:tc>
        <w:tc>
          <w:tcPr>
            <w:tcW w:w="896" w:type="dxa"/>
            <w:tcBorders>
              <w:top w:val="nil"/>
              <w:left w:val="nil"/>
              <w:bottom w:val="nil"/>
              <w:right w:val="nil"/>
            </w:tcBorders>
            <w:shd w:val="clear" w:color="auto" w:fill="auto"/>
            <w:noWrap/>
            <w:vAlign w:val="center"/>
            <w:hideMark/>
          </w:tcPr>
          <w:p w14:paraId="51E33195" w14:textId="77777777" w:rsidR="00B46A9E" w:rsidRPr="00B46A9E" w:rsidRDefault="00B46A9E" w:rsidP="00B46A9E">
            <w:pPr>
              <w:spacing w:after="0"/>
              <w:jc w:val="right"/>
              <w:rPr>
                <w:rFonts w:ascii="Arial" w:hAnsi="Arial" w:cs="Arial"/>
                <w:sz w:val="16"/>
                <w:szCs w:val="16"/>
              </w:rPr>
            </w:pPr>
          </w:p>
        </w:tc>
        <w:tc>
          <w:tcPr>
            <w:tcW w:w="884" w:type="dxa"/>
            <w:tcBorders>
              <w:top w:val="nil"/>
              <w:left w:val="nil"/>
              <w:bottom w:val="nil"/>
              <w:right w:val="nil"/>
            </w:tcBorders>
            <w:shd w:val="clear" w:color="000000" w:fill="FFFFFF"/>
            <w:noWrap/>
            <w:vAlign w:val="bottom"/>
            <w:hideMark/>
          </w:tcPr>
          <w:p w14:paraId="13F2029D" w14:textId="77777777" w:rsidR="00B46A9E" w:rsidRPr="00B46A9E" w:rsidRDefault="00B46A9E" w:rsidP="00B46A9E">
            <w:pPr>
              <w:spacing w:after="0"/>
              <w:jc w:val="right"/>
              <w:rPr>
                <w:rFonts w:ascii="Arial" w:hAnsi="Arial" w:cs="Arial"/>
                <w:color w:val="auto"/>
                <w:sz w:val="16"/>
                <w:szCs w:val="16"/>
              </w:rPr>
            </w:pPr>
            <w:r w:rsidRPr="00B46A9E">
              <w:rPr>
                <w:rFonts w:ascii="Arial" w:hAnsi="Arial" w:cs="Arial"/>
                <w:color w:val="auto"/>
                <w:sz w:val="16"/>
                <w:szCs w:val="16"/>
              </w:rPr>
              <w:t> </w:t>
            </w:r>
          </w:p>
        </w:tc>
        <w:tc>
          <w:tcPr>
            <w:tcW w:w="862" w:type="dxa"/>
            <w:tcBorders>
              <w:top w:val="nil"/>
              <w:left w:val="nil"/>
              <w:bottom w:val="nil"/>
              <w:right w:val="nil"/>
            </w:tcBorders>
            <w:shd w:val="clear" w:color="000000" w:fill="FFFFFF"/>
            <w:noWrap/>
            <w:vAlign w:val="bottom"/>
            <w:hideMark/>
          </w:tcPr>
          <w:p w14:paraId="465B0093" w14:textId="77777777" w:rsidR="00B46A9E" w:rsidRPr="00B46A9E" w:rsidRDefault="00B46A9E" w:rsidP="00B46A9E">
            <w:pPr>
              <w:spacing w:after="0"/>
              <w:jc w:val="right"/>
              <w:rPr>
                <w:rFonts w:ascii="Arial" w:hAnsi="Arial" w:cs="Arial"/>
                <w:color w:val="auto"/>
                <w:sz w:val="16"/>
                <w:szCs w:val="16"/>
              </w:rPr>
            </w:pPr>
            <w:r w:rsidRPr="00B46A9E">
              <w:rPr>
                <w:rFonts w:ascii="Arial" w:hAnsi="Arial" w:cs="Arial"/>
                <w:color w:val="auto"/>
                <w:sz w:val="16"/>
                <w:szCs w:val="16"/>
              </w:rPr>
              <w:t> </w:t>
            </w:r>
          </w:p>
        </w:tc>
      </w:tr>
      <w:tr w:rsidR="00B46A9E" w:rsidRPr="00B46A9E" w14:paraId="0ACB0228" w14:textId="77777777" w:rsidTr="00A072C5">
        <w:trPr>
          <w:trHeight w:val="225"/>
          <w:jc w:val="center"/>
        </w:trPr>
        <w:tc>
          <w:tcPr>
            <w:tcW w:w="2960" w:type="dxa"/>
            <w:tcBorders>
              <w:top w:val="nil"/>
              <w:left w:val="nil"/>
              <w:bottom w:val="nil"/>
              <w:right w:val="nil"/>
            </w:tcBorders>
            <w:shd w:val="clear" w:color="000000" w:fill="FFFFFF"/>
            <w:noWrap/>
            <w:vAlign w:val="bottom"/>
            <w:hideMark/>
          </w:tcPr>
          <w:p w14:paraId="10C8D721" w14:textId="77777777" w:rsidR="00B46A9E" w:rsidRPr="00B46A9E" w:rsidRDefault="00B46A9E" w:rsidP="00A072C5">
            <w:pPr>
              <w:spacing w:after="0"/>
              <w:ind w:leftChars="75" w:left="143"/>
              <w:rPr>
                <w:rFonts w:ascii="Arial" w:hAnsi="Arial" w:cs="Arial"/>
                <w:color w:val="auto"/>
                <w:sz w:val="16"/>
                <w:szCs w:val="16"/>
              </w:rPr>
            </w:pPr>
            <w:r w:rsidRPr="00B46A9E">
              <w:rPr>
                <w:rFonts w:ascii="Arial" w:hAnsi="Arial" w:cs="Arial"/>
                <w:color w:val="auto"/>
                <w:sz w:val="16"/>
                <w:szCs w:val="16"/>
              </w:rPr>
              <w:t>Equity injections - Bill 2</w:t>
            </w:r>
          </w:p>
        </w:tc>
        <w:tc>
          <w:tcPr>
            <w:tcW w:w="896" w:type="dxa"/>
            <w:tcBorders>
              <w:top w:val="nil"/>
              <w:left w:val="nil"/>
              <w:bottom w:val="nil"/>
              <w:right w:val="nil"/>
            </w:tcBorders>
            <w:shd w:val="clear" w:color="auto" w:fill="auto"/>
            <w:noWrap/>
            <w:vAlign w:val="bottom"/>
            <w:hideMark/>
          </w:tcPr>
          <w:p w14:paraId="03F1CACF" w14:textId="77777777" w:rsidR="00B46A9E" w:rsidRPr="00B46A9E" w:rsidRDefault="00B46A9E" w:rsidP="00B46A9E">
            <w:pPr>
              <w:spacing w:after="0"/>
              <w:jc w:val="right"/>
              <w:rPr>
                <w:rFonts w:ascii="Arial" w:hAnsi="Arial" w:cs="Arial"/>
                <w:sz w:val="16"/>
                <w:szCs w:val="16"/>
              </w:rPr>
            </w:pPr>
            <w:r w:rsidRPr="00B46A9E">
              <w:rPr>
                <w:rFonts w:ascii="Arial" w:hAnsi="Arial" w:cs="Arial"/>
                <w:sz w:val="16"/>
                <w:szCs w:val="16"/>
              </w:rPr>
              <w:t>125</w:t>
            </w:r>
          </w:p>
        </w:tc>
        <w:tc>
          <w:tcPr>
            <w:tcW w:w="896" w:type="dxa"/>
            <w:tcBorders>
              <w:top w:val="nil"/>
              <w:left w:val="nil"/>
              <w:bottom w:val="nil"/>
              <w:right w:val="nil"/>
            </w:tcBorders>
            <w:shd w:val="clear" w:color="000000" w:fill="D9D9D9"/>
            <w:noWrap/>
            <w:vAlign w:val="bottom"/>
            <w:hideMark/>
          </w:tcPr>
          <w:p w14:paraId="6DFE150E" w14:textId="77777777" w:rsidR="00B46A9E" w:rsidRPr="00B46A9E" w:rsidRDefault="00B46A9E" w:rsidP="00B46A9E">
            <w:pPr>
              <w:spacing w:after="0"/>
              <w:jc w:val="right"/>
              <w:rPr>
                <w:rFonts w:ascii="Arial" w:hAnsi="Arial" w:cs="Arial"/>
                <w:sz w:val="16"/>
                <w:szCs w:val="16"/>
              </w:rPr>
            </w:pPr>
            <w:r w:rsidRPr="00B46A9E">
              <w:rPr>
                <w:rFonts w:ascii="Arial" w:hAnsi="Arial" w:cs="Arial"/>
                <w:sz w:val="16"/>
                <w:szCs w:val="16"/>
              </w:rPr>
              <w:t>-</w:t>
            </w:r>
          </w:p>
        </w:tc>
        <w:tc>
          <w:tcPr>
            <w:tcW w:w="896" w:type="dxa"/>
            <w:tcBorders>
              <w:top w:val="nil"/>
              <w:left w:val="nil"/>
              <w:bottom w:val="nil"/>
              <w:right w:val="nil"/>
            </w:tcBorders>
            <w:shd w:val="clear" w:color="auto" w:fill="auto"/>
            <w:noWrap/>
            <w:vAlign w:val="bottom"/>
            <w:hideMark/>
          </w:tcPr>
          <w:p w14:paraId="477A9A38" w14:textId="77777777" w:rsidR="00B46A9E" w:rsidRPr="00B46A9E" w:rsidRDefault="00B46A9E" w:rsidP="00B46A9E">
            <w:pPr>
              <w:spacing w:after="0"/>
              <w:jc w:val="right"/>
              <w:rPr>
                <w:rFonts w:ascii="Arial" w:hAnsi="Arial" w:cs="Arial"/>
                <w:sz w:val="16"/>
                <w:szCs w:val="16"/>
              </w:rPr>
            </w:pPr>
            <w:r w:rsidRPr="00B46A9E">
              <w:rPr>
                <w:rFonts w:ascii="Arial" w:hAnsi="Arial" w:cs="Arial"/>
                <w:sz w:val="16"/>
                <w:szCs w:val="16"/>
              </w:rPr>
              <w:t>-</w:t>
            </w:r>
          </w:p>
        </w:tc>
        <w:tc>
          <w:tcPr>
            <w:tcW w:w="884" w:type="dxa"/>
            <w:tcBorders>
              <w:top w:val="nil"/>
              <w:left w:val="nil"/>
              <w:bottom w:val="nil"/>
              <w:right w:val="nil"/>
            </w:tcBorders>
            <w:shd w:val="clear" w:color="auto" w:fill="auto"/>
            <w:noWrap/>
            <w:vAlign w:val="bottom"/>
            <w:hideMark/>
          </w:tcPr>
          <w:p w14:paraId="457B31FB" w14:textId="77777777" w:rsidR="00B46A9E" w:rsidRPr="00B46A9E" w:rsidRDefault="00B46A9E" w:rsidP="00B46A9E">
            <w:pPr>
              <w:spacing w:after="0"/>
              <w:jc w:val="right"/>
              <w:rPr>
                <w:rFonts w:ascii="Arial" w:hAnsi="Arial" w:cs="Arial"/>
                <w:sz w:val="16"/>
                <w:szCs w:val="16"/>
              </w:rPr>
            </w:pPr>
            <w:r w:rsidRPr="00B46A9E">
              <w:rPr>
                <w:rFonts w:ascii="Arial" w:hAnsi="Arial" w:cs="Arial"/>
                <w:sz w:val="16"/>
                <w:szCs w:val="16"/>
              </w:rPr>
              <w:t>-</w:t>
            </w:r>
          </w:p>
        </w:tc>
        <w:tc>
          <w:tcPr>
            <w:tcW w:w="862" w:type="dxa"/>
            <w:tcBorders>
              <w:top w:val="nil"/>
              <w:left w:val="nil"/>
              <w:bottom w:val="nil"/>
              <w:right w:val="nil"/>
            </w:tcBorders>
            <w:shd w:val="clear" w:color="auto" w:fill="auto"/>
            <w:noWrap/>
            <w:vAlign w:val="bottom"/>
            <w:hideMark/>
          </w:tcPr>
          <w:p w14:paraId="223949A5" w14:textId="77777777" w:rsidR="00B46A9E" w:rsidRPr="00B46A9E" w:rsidRDefault="00B46A9E" w:rsidP="00B46A9E">
            <w:pPr>
              <w:spacing w:after="0"/>
              <w:jc w:val="right"/>
              <w:rPr>
                <w:rFonts w:ascii="Arial" w:hAnsi="Arial" w:cs="Arial"/>
                <w:sz w:val="16"/>
                <w:szCs w:val="16"/>
              </w:rPr>
            </w:pPr>
            <w:r w:rsidRPr="00B46A9E">
              <w:rPr>
                <w:rFonts w:ascii="Arial" w:hAnsi="Arial" w:cs="Arial"/>
                <w:sz w:val="16"/>
                <w:szCs w:val="16"/>
              </w:rPr>
              <w:t>-</w:t>
            </w:r>
          </w:p>
        </w:tc>
      </w:tr>
      <w:tr w:rsidR="00B46A9E" w:rsidRPr="00B46A9E" w14:paraId="48C0EF09" w14:textId="77777777" w:rsidTr="00A072C5">
        <w:trPr>
          <w:trHeight w:val="225"/>
          <w:jc w:val="center"/>
        </w:trPr>
        <w:tc>
          <w:tcPr>
            <w:tcW w:w="2960" w:type="dxa"/>
            <w:tcBorders>
              <w:top w:val="nil"/>
              <w:left w:val="nil"/>
              <w:bottom w:val="nil"/>
              <w:right w:val="nil"/>
            </w:tcBorders>
            <w:shd w:val="clear" w:color="000000" w:fill="FFFFFF"/>
            <w:noWrap/>
            <w:vAlign w:val="bottom"/>
            <w:hideMark/>
          </w:tcPr>
          <w:p w14:paraId="291E6963" w14:textId="77777777" w:rsidR="00B46A9E" w:rsidRPr="00B46A9E" w:rsidRDefault="00B46A9E" w:rsidP="00A072C5">
            <w:pPr>
              <w:spacing w:after="0"/>
              <w:ind w:leftChars="75" w:left="143"/>
              <w:rPr>
                <w:rFonts w:ascii="Arial" w:hAnsi="Arial" w:cs="Arial"/>
                <w:b/>
                <w:bCs/>
                <w:color w:val="auto"/>
                <w:sz w:val="16"/>
                <w:szCs w:val="16"/>
              </w:rPr>
            </w:pPr>
            <w:r w:rsidRPr="00B46A9E">
              <w:rPr>
                <w:rFonts w:ascii="Arial" w:hAnsi="Arial" w:cs="Arial"/>
                <w:b/>
                <w:bCs/>
                <w:color w:val="auto"/>
                <w:sz w:val="16"/>
                <w:szCs w:val="16"/>
              </w:rPr>
              <w:t>Total capital appropriations</w:t>
            </w:r>
          </w:p>
        </w:tc>
        <w:tc>
          <w:tcPr>
            <w:tcW w:w="896" w:type="dxa"/>
            <w:tcBorders>
              <w:top w:val="nil"/>
              <w:left w:val="nil"/>
              <w:bottom w:val="single" w:sz="4" w:space="0" w:color="auto"/>
              <w:right w:val="nil"/>
            </w:tcBorders>
            <w:shd w:val="clear" w:color="auto" w:fill="auto"/>
            <w:noWrap/>
            <w:vAlign w:val="bottom"/>
            <w:hideMark/>
          </w:tcPr>
          <w:p w14:paraId="0EBDBEEE" w14:textId="77777777" w:rsidR="00B46A9E" w:rsidRPr="00B46A9E" w:rsidRDefault="00B46A9E" w:rsidP="00B46A9E">
            <w:pPr>
              <w:spacing w:after="0"/>
              <w:jc w:val="right"/>
              <w:rPr>
                <w:rFonts w:ascii="Arial" w:hAnsi="Arial" w:cs="Arial"/>
                <w:b/>
                <w:bCs/>
                <w:sz w:val="16"/>
                <w:szCs w:val="16"/>
              </w:rPr>
            </w:pPr>
            <w:r w:rsidRPr="00B46A9E">
              <w:rPr>
                <w:rFonts w:ascii="Arial" w:hAnsi="Arial" w:cs="Arial"/>
                <w:b/>
                <w:bCs/>
                <w:sz w:val="16"/>
                <w:szCs w:val="16"/>
              </w:rPr>
              <w:t>125</w:t>
            </w:r>
          </w:p>
        </w:tc>
        <w:tc>
          <w:tcPr>
            <w:tcW w:w="896" w:type="dxa"/>
            <w:tcBorders>
              <w:top w:val="nil"/>
              <w:left w:val="nil"/>
              <w:bottom w:val="single" w:sz="4" w:space="0" w:color="auto"/>
              <w:right w:val="nil"/>
            </w:tcBorders>
            <w:shd w:val="clear" w:color="000000" w:fill="D9D9D9"/>
            <w:noWrap/>
            <w:vAlign w:val="bottom"/>
            <w:hideMark/>
          </w:tcPr>
          <w:p w14:paraId="20525A46" w14:textId="77777777" w:rsidR="00B46A9E" w:rsidRPr="00B46A9E" w:rsidRDefault="00B46A9E" w:rsidP="00B46A9E">
            <w:pPr>
              <w:spacing w:after="0"/>
              <w:jc w:val="right"/>
              <w:rPr>
                <w:rFonts w:ascii="Arial" w:hAnsi="Arial" w:cs="Arial"/>
                <w:b/>
                <w:bCs/>
                <w:sz w:val="16"/>
                <w:szCs w:val="16"/>
              </w:rPr>
            </w:pPr>
            <w:r w:rsidRPr="00B46A9E">
              <w:rPr>
                <w:rFonts w:ascii="Arial" w:hAnsi="Arial" w:cs="Arial"/>
                <w:b/>
                <w:bCs/>
                <w:sz w:val="16"/>
                <w:szCs w:val="16"/>
              </w:rPr>
              <w:t>-</w:t>
            </w:r>
          </w:p>
        </w:tc>
        <w:tc>
          <w:tcPr>
            <w:tcW w:w="896" w:type="dxa"/>
            <w:tcBorders>
              <w:top w:val="nil"/>
              <w:left w:val="nil"/>
              <w:bottom w:val="single" w:sz="4" w:space="0" w:color="auto"/>
              <w:right w:val="nil"/>
            </w:tcBorders>
            <w:shd w:val="clear" w:color="auto" w:fill="auto"/>
            <w:noWrap/>
            <w:vAlign w:val="bottom"/>
            <w:hideMark/>
          </w:tcPr>
          <w:p w14:paraId="125DF08C" w14:textId="77777777" w:rsidR="00B46A9E" w:rsidRPr="00B46A9E" w:rsidRDefault="00B46A9E" w:rsidP="00B46A9E">
            <w:pPr>
              <w:spacing w:after="0"/>
              <w:jc w:val="right"/>
              <w:rPr>
                <w:rFonts w:ascii="Arial" w:hAnsi="Arial" w:cs="Arial"/>
                <w:b/>
                <w:bCs/>
                <w:sz w:val="16"/>
                <w:szCs w:val="16"/>
              </w:rPr>
            </w:pPr>
            <w:r w:rsidRPr="00B46A9E">
              <w:rPr>
                <w:rFonts w:ascii="Arial" w:hAnsi="Arial" w:cs="Arial"/>
                <w:b/>
                <w:bCs/>
                <w:sz w:val="16"/>
                <w:szCs w:val="16"/>
              </w:rPr>
              <w:t>-</w:t>
            </w:r>
          </w:p>
        </w:tc>
        <w:tc>
          <w:tcPr>
            <w:tcW w:w="884" w:type="dxa"/>
            <w:tcBorders>
              <w:top w:val="nil"/>
              <w:left w:val="nil"/>
              <w:bottom w:val="single" w:sz="4" w:space="0" w:color="auto"/>
              <w:right w:val="nil"/>
            </w:tcBorders>
            <w:shd w:val="clear" w:color="auto" w:fill="auto"/>
            <w:noWrap/>
            <w:vAlign w:val="bottom"/>
            <w:hideMark/>
          </w:tcPr>
          <w:p w14:paraId="38E1D86B" w14:textId="77777777" w:rsidR="00B46A9E" w:rsidRPr="00B46A9E" w:rsidRDefault="00B46A9E" w:rsidP="00B46A9E">
            <w:pPr>
              <w:spacing w:after="0"/>
              <w:jc w:val="right"/>
              <w:rPr>
                <w:rFonts w:ascii="Arial" w:hAnsi="Arial" w:cs="Arial"/>
                <w:b/>
                <w:bCs/>
                <w:sz w:val="16"/>
                <w:szCs w:val="16"/>
              </w:rPr>
            </w:pPr>
            <w:r w:rsidRPr="00B46A9E">
              <w:rPr>
                <w:rFonts w:ascii="Arial" w:hAnsi="Arial" w:cs="Arial"/>
                <w:b/>
                <w:bCs/>
                <w:sz w:val="16"/>
                <w:szCs w:val="16"/>
              </w:rPr>
              <w:t>-</w:t>
            </w:r>
          </w:p>
        </w:tc>
        <w:tc>
          <w:tcPr>
            <w:tcW w:w="862" w:type="dxa"/>
            <w:tcBorders>
              <w:top w:val="nil"/>
              <w:left w:val="nil"/>
              <w:bottom w:val="single" w:sz="4" w:space="0" w:color="auto"/>
              <w:right w:val="nil"/>
            </w:tcBorders>
            <w:shd w:val="clear" w:color="auto" w:fill="auto"/>
            <w:noWrap/>
            <w:vAlign w:val="bottom"/>
            <w:hideMark/>
          </w:tcPr>
          <w:p w14:paraId="4B384521" w14:textId="77777777" w:rsidR="00B46A9E" w:rsidRPr="00B46A9E" w:rsidRDefault="00B46A9E" w:rsidP="00B46A9E">
            <w:pPr>
              <w:spacing w:after="0"/>
              <w:jc w:val="right"/>
              <w:rPr>
                <w:rFonts w:ascii="Arial" w:hAnsi="Arial" w:cs="Arial"/>
                <w:b/>
                <w:bCs/>
                <w:sz w:val="16"/>
                <w:szCs w:val="16"/>
              </w:rPr>
            </w:pPr>
            <w:r w:rsidRPr="00B46A9E">
              <w:rPr>
                <w:rFonts w:ascii="Arial" w:hAnsi="Arial" w:cs="Arial"/>
                <w:b/>
                <w:bCs/>
                <w:sz w:val="16"/>
                <w:szCs w:val="16"/>
              </w:rPr>
              <w:t>-</w:t>
            </w:r>
          </w:p>
        </w:tc>
      </w:tr>
      <w:tr w:rsidR="00B46A9E" w:rsidRPr="00B46A9E" w14:paraId="7A87A39B" w14:textId="77777777" w:rsidTr="00A072C5">
        <w:trPr>
          <w:trHeight w:val="454"/>
          <w:jc w:val="center"/>
        </w:trPr>
        <w:tc>
          <w:tcPr>
            <w:tcW w:w="2960" w:type="dxa"/>
            <w:tcBorders>
              <w:top w:val="nil"/>
              <w:left w:val="nil"/>
              <w:bottom w:val="nil"/>
              <w:right w:val="nil"/>
            </w:tcBorders>
            <w:shd w:val="clear" w:color="000000" w:fill="FFFFFF"/>
            <w:vAlign w:val="bottom"/>
            <w:hideMark/>
          </w:tcPr>
          <w:p w14:paraId="2C9F0343" w14:textId="77777777" w:rsidR="00B46A9E" w:rsidRPr="00B46A9E" w:rsidRDefault="00B46A9E" w:rsidP="00B46A9E">
            <w:pPr>
              <w:spacing w:after="0"/>
              <w:rPr>
                <w:rFonts w:ascii="Arial" w:hAnsi="Arial" w:cs="Arial"/>
                <w:b/>
                <w:bCs/>
                <w:color w:val="auto"/>
                <w:sz w:val="16"/>
                <w:szCs w:val="16"/>
              </w:rPr>
            </w:pPr>
            <w:r w:rsidRPr="00B46A9E">
              <w:rPr>
                <w:rFonts w:ascii="Arial" w:hAnsi="Arial" w:cs="Arial"/>
                <w:b/>
                <w:bCs/>
                <w:color w:val="auto"/>
                <w:sz w:val="16"/>
                <w:szCs w:val="16"/>
              </w:rPr>
              <w:t>Total new capital appropriations represented by:</w:t>
            </w:r>
          </w:p>
        </w:tc>
        <w:tc>
          <w:tcPr>
            <w:tcW w:w="896" w:type="dxa"/>
            <w:tcBorders>
              <w:top w:val="nil"/>
              <w:left w:val="nil"/>
              <w:bottom w:val="nil"/>
              <w:right w:val="nil"/>
            </w:tcBorders>
            <w:shd w:val="clear" w:color="000000" w:fill="FFFFFF"/>
            <w:noWrap/>
            <w:vAlign w:val="bottom"/>
            <w:hideMark/>
          </w:tcPr>
          <w:p w14:paraId="6B4CF6C1" w14:textId="77777777" w:rsidR="00B46A9E" w:rsidRPr="00B46A9E" w:rsidRDefault="00B46A9E" w:rsidP="00B46A9E">
            <w:pPr>
              <w:spacing w:after="0"/>
              <w:jc w:val="right"/>
              <w:rPr>
                <w:rFonts w:ascii="Arial" w:hAnsi="Arial" w:cs="Arial"/>
                <w:color w:val="auto"/>
                <w:sz w:val="16"/>
                <w:szCs w:val="16"/>
              </w:rPr>
            </w:pPr>
            <w:r w:rsidRPr="00B46A9E">
              <w:rPr>
                <w:rFonts w:ascii="Arial" w:hAnsi="Arial" w:cs="Arial"/>
                <w:color w:val="auto"/>
                <w:sz w:val="16"/>
                <w:szCs w:val="16"/>
              </w:rPr>
              <w:t> </w:t>
            </w:r>
          </w:p>
        </w:tc>
        <w:tc>
          <w:tcPr>
            <w:tcW w:w="896" w:type="dxa"/>
            <w:tcBorders>
              <w:top w:val="nil"/>
              <w:left w:val="nil"/>
              <w:bottom w:val="nil"/>
              <w:right w:val="nil"/>
            </w:tcBorders>
            <w:shd w:val="clear" w:color="000000" w:fill="D9D9D9"/>
            <w:noWrap/>
            <w:vAlign w:val="center"/>
            <w:hideMark/>
          </w:tcPr>
          <w:p w14:paraId="02A34D04" w14:textId="77777777" w:rsidR="00B46A9E" w:rsidRPr="00B46A9E" w:rsidRDefault="00B46A9E" w:rsidP="00B46A9E">
            <w:pPr>
              <w:spacing w:after="0"/>
              <w:jc w:val="right"/>
              <w:rPr>
                <w:rFonts w:ascii="Arial" w:hAnsi="Arial" w:cs="Arial"/>
                <w:sz w:val="16"/>
                <w:szCs w:val="16"/>
              </w:rPr>
            </w:pPr>
            <w:r w:rsidRPr="00B46A9E">
              <w:rPr>
                <w:rFonts w:ascii="Arial" w:hAnsi="Arial" w:cs="Arial"/>
                <w:sz w:val="16"/>
                <w:szCs w:val="16"/>
              </w:rPr>
              <w:t> </w:t>
            </w:r>
          </w:p>
        </w:tc>
        <w:tc>
          <w:tcPr>
            <w:tcW w:w="896" w:type="dxa"/>
            <w:tcBorders>
              <w:top w:val="nil"/>
              <w:left w:val="nil"/>
              <w:bottom w:val="nil"/>
              <w:right w:val="nil"/>
            </w:tcBorders>
            <w:shd w:val="clear" w:color="auto" w:fill="auto"/>
            <w:noWrap/>
            <w:vAlign w:val="center"/>
            <w:hideMark/>
          </w:tcPr>
          <w:p w14:paraId="4DCE5284" w14:textId="77777777" w:rsidR="00B46A9E" w:rsidRPr="00B46A9E" w:rsidRDefault="00B46A9E" w:rsidP="00B46A9E">
            <w:pPr>
              <w:spacing w:after="0"/>
              <w:jc w:val="right"/>
              <w:rPr>
                <w:rFonts w:ascii="Arial" w:hAnsi="Arial" w:cs="Arial"/>
                <w:sz w:val="16"/>
                <w:szCs w:val="16"/>
              </w:rPr>
            </w:pPr>
          </w:p>
        </w:tc>
        <w:tc>
          <w:tcPr>
            <w:tcW w:w="884" w:type="dxa"/>
            <w:tcBorders>
              <w:top w:val="nil"/>
              <w:left w:val="nil"/>
              <w:bottom w:val="nil"/>
              <w:right w:val="nil"/>
            </w:tcBorders>
            <w:shd w:val="clear" w:color="000000" w:fill="FFFFFF"/>
            <w:noWrap/>
            <w:vAlign w:val="bottom"/>
            <w:hideMark/>
          </w:tcPr>
          <w:p w14:paraId="7F407768" w14:textId="77777777" w:rsidR="00B46A9E" w:rsidRPr="00B46A9E" w:rsidRDefault="00B46A9E" w:rsidP="00B46A9E">
            <w:pPr>
              <w:spacing w:after="0"/>
              <w:jc w:val="right"/>
              <w:rPr>
                <w:rFonts w:ascii="Arial" w:hAnsi="Arial" w:cs="Arial"/>
                <w:color w:val="auto"/>
                <w:sz w:val="16"/>
                <w:szCs w:val="16"/>
              </w:rPr>
            </w:pPr>
            <w:r w:rsidRPr="00B46A9E">
              <w:rPr>
                <w:rFonts w:ascii="Arial" w:hAnsi="Arial" w:cs="Arial"/>
                <w:color w:val="auto"/>
                <w:sz w:val="16"/>
                <w:szCs w:val="16"/>
              </w:rPr>
              <w:t> </w:t>
            </w:r>
          </w:p>
        </w:tc>
        <w:tc>
          <w:tcPr>
            <w:tcW w:w="862" w:type="dxa"/>
            <w:tcBorders>
              <w:top w:val="nil"/>
              <w:left w:val="nil"/>
              <w:bottom w:val="nil"/>
              <w:right w:val="nil"/>
            </w:tcBorders>
            <w:shd w:val="clear" w:color="000000" w:fill="FFFFFF"/>
            <w:noWrap/>
            <w:vAlign w:val="bottom"/>
            <w:hideMark/>
          </w:tcPr>
          <w:p w14:paraId="6731BF60" w14:textId="77777777" w:rsidR="00B46A9E" w:rsidRPr="00B46A9E" w:rsidRDefault="00B46A9E" w:rsidP="00B46A9E">
            <w:pPr>
              <w:spacing w:after="0"/>
              <w:jc w:val="right"/>
              <w:rPr>
                <w:rFonts w:ascii="Arial" w:hAnsi="Arial" w:cs="Arial"/>
                <w:color w:val="auto"/>
                <w:sz w:val="16"/>
                <w:szCs w:val="16"/>
              </w:rPr>
            </w:pPr>
            <w:r w:rsidRPr="00B46A9E">
              <w:rPr>
                <w:rFonts w:ascii="Arial" w:hAnsi="Arial" w:cs="Arial"/>
                <w:color w:val="auto"/>
                <w:sz w:val="16"/>
                <w:szCs w:val="16"/>
              </w:rPr>
              <w:t> </w:t>
            </w:r>
          </w:p>
        </w:tc>
      </w:tr>
      <w:tr w:rsidR="00B46A9E" w:rsidRPr="00B46A9E" w14:paraId="3BD5663B" w14:textId="77777777" w:rsidTr="00A072C5">
        <w:trPr>
          <w:trHeight w:val="225"/>
          <w:jc w:val="center"/>
        </w:trPr>
        <w:tc>
          <w:tcPr>
            <w:tcW w:w="2960" w:type="dxa"/>
            <w:tcBorders>
              <w:top w:val="nil"/>
              <w:left w:val="nil"/>
              <w:bottom w:val="nil"/>
              <w:right w:val="nil"/>
            </w:tcBorders>
            <w:shd w:val="clear" w:color="000000" w:fill="FFFFFF"/>
            <w:noWrap/>
            <w:vAlign w:val="bottom"/>
            <w:hideMark/>
          </w:tcPr>
          <w:p w14:paraId="409C7A6D" w14:textId="77777777" w:rsidR="00B46A9E" w:rsidRPr="00B46A9E" w:rsidRDefault="00B46A9E" w:rsidP="00A072C5">
            <w:pPr>
              <w:spacing w:after="0"/>
              <w:ind w:leftChars="75" w:left="143"/>
              <w:rPr>
                <w:rFonts w:ascii="Arial" w:hAnsi="Arial" w:cs="Arial"/>
                <w:color w:val="auto"/>
                <w:sz w:val="16"/>
                <w:szCs w:val="16"/>
              </w:rPr>
            </w:pPr>
            <w:r w:rsidRPr="00B46A9E">
              <w:rPr>
                <w:rFonts w:ascii="Arial" w:hAnsi="Arial" w:cs="Arial"/>
                <w:color w:val="auto"/>
                <w:sz w:val="16"/>
                <w:szCs w:val="16"/>
              </w:rPr>
              <w:t>Purchase of non-financial assets</w:t>
            </w:r>
          </w:p>
        </w:tc>
        <w:tc>
          <w:tcPr>
            <w:tcW w:w="896" w:type="dxa"/>
            <w:tcBorders>
              <w:top w:val="nil"/>
              <w:left w:val="nil"/>
              <w:bottom w:val="nil"/>
              <w:right w:val="nil"/>
            </w:tcBorders>
            <w:shd w:val="clear" w:color="auto" w:fill="auto"/>
            <w:noWrap/>
            <w:vAlign w:val="bottom"/>
            <w:hideMark/>
          </w:tcPr>
          <w:p w14:paraId="4E119105" w14:textId="77777777" w:rsidR="00B46A9E" w:rsidRPr="00B46A9E" w:rsidRDefault="00B46A9E" w:rsidP="00B46A9E">
            <w:pPr>
              <w:spacing w:after="0"/>
              <w:jc w:val="right"/>
              <w:rPr>
                <w:rFonts w:ascii="Arial" w:hAnsi="Arial" w:cs="Arial"/>
                <w:sz w:val="16"/>
                <w:szCs w:val="16"/>
              </w:rPr>
            </w:pPr>
            <w:r w:rsidRPr="00B46A9E">
              <w:rPr>
                <w:rFonts w:ascii="Arial" w:hAnsi="Arial" w:cs="Arial"/>
                <w:sz w:val="16"/>
                <w:szCs w:val="16"/>
              </w:rPr>
              <w:t>125</w:t>
            </w:r>
          </w:p>
        </w:tc>
        <w:tc>
          <w:tcPr>
            <w:tcW w:w="896" w:type="dxa"/>
            <w:tcBorders>
              <w:top w:val="nil"/>
              <w:left w:val="nil"/>
              <w:bottom w:val="nil"/>
              <w:right w:val="nil"/>
            </w:tcBorders>
            <w:shd w:val="clear" w:color="000000" w:fill="D9D9D9"/>
            <w:noWrap/>
            <w:vAlign w:val="bottom"/>
            <w:hideMark/>
          </w:tcPr>
          <w:p w14:paraId="12F55C76" w14:textId="77777777" w:rsidR="00B46A9E" w:rsidRPr="00B46A9E" w:rsidRDefault="00B46A9E" w:rsidP="00B46A9E">
            <w:pPr>
              <w:spacing w:after="0"/>
              <w:jc w:val="right"/>
              <w:rPr>
                <w:rFonts w:ascii="Arial" w:hAnsi="Arial" w:cs="Arial"/>
                <w:sz w:val="16"/>
                <w:szCs w:val="16"/>
              </w:rPr>
            </w:pPr>
            <w:r w:rsidRPr="00B46A9E">
              <w:rPr>
                <w:rFonts w:ascii="Arial" w:hAnsi="Arial" w:cs="Arial"/>
                <w:sz w:val="16"/>
                <w:szCs w:val="16"/>
              </w:rPr>
              <w:t>-</w:t>
            </w:r>
          </w:p>
        </w:tc>
        <w:tc>
          <w:tcPr>
            <w:tcW w:w="896" w:type="dxa"/>
            <w:tcBorders>
              <w:top w:val="nil"/>
              <w:left w:val="nil"/>
              <w:bottom w:val="nil"/>
              <w:right w:val="nil"/>
            </w:tcBorders>
            <w:shd w:val="clear" w:color="auto" w:fill="auto"/>
            <w:noWrap/>
            <w:vAlign w:val="bottom"/>
            <w:hideMark/>
          </w:tcPr>
          <w:p w14:paraId="69E8E711" w14:textId="77777777" w:rsidR="00B46A9E" w:rsidRPr="00B46A9E" w:rsidRDefault="00B46A9E" w:rsidP="00B46A9E">
            <w:pPr>
              <w:spacing w:after="0"/>
              <w:jc w:val="right"/>
              <w:rPr>
                <w:rFonts w:ascii="Arial" w:hAnsi="Arial" w:cs="Arial"/>
                <w:sz w:val="16"/>
                <w:szCs w:val="16"/>
              </w:rPr>
            </w:pPr>
            <w:r w:rsidRPr="00B46A9E">
              <w:rPr>
                <w:rFonts w:ascii="Arial" w:hAnsi="Arial" w:cs="Arial"/>
                <w:sz w:val="16"/>
                <w:szCs w:val="16"/>
              </w:rPr>
              <w:t>-</w:t>
            </w:r>
          </w:p>
        </w:tc>
        <w:tc>
          <w:tcPr>
            <w:tcW w:w="884" w:type="dxa"/>
            <w:tcBorders>
              <w:top w:val="nil"/>
              <w:left w:val="nil"/>
              <w:bottom w:val="nil"/>
              <w:right w:val="nil"/>
            </w:tcBorders>
            <w:shd w:val="clear" w:color="auto" w:fill="auto"/>
            <w:noWrap/>
            <w:vAlign w:val="bottom"/>
            <w:hideMark/>
          </w:tcPr>
          <w:p w14:paraId="26F56CF7" w14:textId="77777777" w:rsidR="00B46A9E" w:rsidRPr="00B46A9E" w:rsidRDefault="00B46A9E" w:rsidP="00B46A9E">
            <w:pPr>
              <w:spacing w:after="0"/>
              <w:jc w:val="right"/>
              <w:rPr>
                <w:rFonts w:ascii="Arial" w:hAnsi="Arial" w:cs="Arial"/>
                <w:sz w:val="16"/>
                <w:szCs w:val="16"/>
              </w:rPr>
            </w:pPr>
            <w:r w:rsidRPr="00B46A9E">
              <w:rPr>
                <w:rFonts w:ascii="Arial" w:hAnsi="Arial" w:cs="Arial"/>
                <w:sz w:val="16"/>
                <w:szCs w:val="16"/>
              </w:rPr>
              <w:t>-</w:t>
            </w:r>
          </w:p>
        </w:tc>
        <w:tc>
          <w:tcPr>
            <w:tcW w:w="862" w:type="dxa"/>
            <w:tcBorders>
              <w:top w:val="nil"/>
              <w:left w:val="nil"/>
              <w:bottom w:val="nil"/>
              <w:right w:val="nil"/>
            </w:tcBorders>
            <w:shd w:val="clear" w:color="auto" w:fill="auto"/>
            <w:noWrap/>
            <w:vAlign w:val="bottom"/>
            <w:hideMark/>
          </w:tcPr>
          <w:p w14:paraId="306207E3" w14:textId="77777777" w:rsidR="00B46A9E" w:rsidRPr="00B46A9E" w:rsidRDefault="00B46A9E" w:rsidP="00B46A9E">
            <w:pPr>
              <w:spacing w:after="0"/>
              <w:jc w:val="right"/>
              <w:rPr>
                <w:rFonts w:ascii="Arial" w:hAnsi="Arial" w:cs="Arial"/>
                <w:sz w:val="16"/>
                <w:szCs w:val="16"/>
              </w:rPr>
            </w:pPr>
            <w:r w:rsidRPr="00B46A9E">
              <w:rPr>
                <w:rFonts w:ascii="Arial" w:hAnsi="Arial" w:cs="Arial"/>
                <w:sz w:val="16"/>
                <w:szCs w:val="16"/>
              </w:rPr>
              <w:t>-</w:t>
            </w:r>
          </w:p>
        </w:tc>
      </w:tr>
      <w:tr w:rsidR="00B46A9E" w:rsidRPr="00B46A9E" w14:paraId="3D6E30F5" w14:textId="77777777" w:rsidTr="00A072C5">
        <w:trPr>
          <w:trHeight w:val="225"/>
          <w:jc w:val="center"/>
        </w:trPr>
        <w:tc>
          <w:tcPr>
            <w:tcW w:w="2960" w:type="dxa"/>
            <w:tcBorders>
              <w:top w:val="nil"/>
              <w:left w:val="nil"/>
              <w:bottom w:val="nil"/>
              <w:right w:val="nil"/>
            </w:tcBorders>
            <w:shd w:val="clear" w:color="000000" w:fill="FFFFFF"/>
            <w:noWrap/>
            <w:vAlign w:val="bottom"/>
            <w:hideMark/>
          </w:tcPr>
          <w:p w14:paraId="04BFCC50" w14:textId="77777777" w:rsidR="00B46A9E" w:rsidRPr="00B46A9E" w:rsidRDefault="00B46A9E" w:rsidP="00A072C5">
            <w:pPr>
              <w:spacing w:after="0"/>
              <w:ind w:leftChars="75" w:left="143"/>
              <w:rPr>
                <w:rFonts w:ascii="Arial" w:hAnsi="Arial" w:cs="Arial"/>
                <w:b/>
                <w:bCs/>
                <w:color w:val="auto"/>
                <w:sz w:val="16"/>
                <w:szCs w:val="16"/>
              </w:rPr>
            </w:pPr>
            <w:r w:rsidRPr="00B46A9E">
              <w:rPr>
                <w:rFonts w:ascii="Arial" w:hAnsi="Arial" w:cs="Arial"/>
                <w:b/>
                <w:bCs/>
                <w:color w:val="auto"/>
                <w:sz w:val="16"/>
                <w:szCs w:val="16"/>
              </w:rPr>
              <w:t>Total items</w:t>
            </w:r>
          </w:p>
        </w:tc>
        <w:tc>
          <w:tcPr>
            <w:tcW w:w="896" w:type="dxa"/>
            <w:tcBorders>
              <w:top w:val="nil"/>
              <w:left w:val="nil"/>
              <w:bottom w:val="single" w:sz="4" w:space="0" w:color="auto"/>
              <w:right w:val="nil"/>
            </w:tcBorders>
            <w:shd w:val="clear" w:color="auto" w:fill="auto"/>
            <w:noWrap/>
            <w:vAlign w:val="bottom"/>
            <w:hideMark/>
          </w:tcPr>
          <w:p w14:paraId="4D0DDB99" w14:textId="77777777" w:rsidR="00B46A9E" w:rsidRPr="00B46A9E" w:rsidRDefault="00B46A9E" w:rsidP="00B46A9E">
            <w:pPr>
              <w:spacing w:after="0"/>
              <w:jc w:val="right"/>
              <w:rPr>
                <w:rFonts w:ascii="Arial" w:hAnsi="Arial" w:cs="Arial"/>
                <w:b/>
                <w:bCs/>
                <w:sz w:val="16"/>
                <w:szCs w:val="16"/>
              </w:rPr>
            </w:pPr>
            <w:r w:rsidRPr="00B46A9E">
              <w:rPr>
                <w:rFonts w:ascii="Arial" w:hAnsi="Arial" w:cs="Arial"/>
                <w:b/>
                <w:bCs/>
                <w:sz w:val="16"/>
                <w:szCs w:val="16"/>
              </w:rPr>
              <w:t>125</w:t>
            </w:r>
          </w:p>
        </w:tc>
        <w:tc>
          <w:tcPr>
            <w:tcW w:w="896" w:type="dxa"/>
            <w:tcBorders>
              <w:top w:val="nil"/>
              <w:left w:val="nil"/>
              <w:bottom w:val="single" w:sz="4" w:space="0" w:color="auto"/>
              <w:right w:val="nil"/>
            </w:tcBorders>
            <w:shd w:val="clear" w:color="000000" w:fill="D9D9D9"/>
            <w:noWrap/>
            <w:vAlign w:val="bottom"/>
            <w:hideMark/>
          </w:tcPr>
          <w:p w14:paraId="27AE61D0" w14:textId="77777777" w:rsidR="00B46A9E" w:rsidRPr="00B46A9E" w:rsidRDefault="00B46A9E" w:rsidP="00B46A9E">
            <w:pPr>
              <w:spacing w:after="0"/>
              <w:jc w:val="right"/>
              <w:rPr>
                <w:rFonts w:ascii="Arial" w:hAnsi="Arial" w:cs="Arial"/>
                <w:b/>
                <w:bCs/>
                <w:sz w:val="16"/>
                <w:szCs w:val="16"/>
              </w:rPr>
            </w:pPr>
            <w:r w:rsidRPr="00B46A9E">
              <w:rPr>
                <w:rFonts w:ascii="Arial" w:hAnsi="Arial" w:cs="Arial"/>
                <w:b/>
                <w:bCs/>
                <w:sz w:val="16"/>
                <w:szCs w:val="16"/>
              </w:rPr>
              <w:t>-</w:t>
            </w:r>
          </w:p>
        </w:tc>
        <w:tc>
          <w:tcPr>
            <w:tcW w:w="896" w:type="dxa"/>
            <w:tcBorders>
              <w:top w:val="nil"/>
              <w:left w:val="nil"/>
              <w:bottom w:val="single" w:sz="4" w:space="0" w:color="auto"/>
              <w:right w:val="nil"/>
            </w:tcBorders>
            <w:shd w:val="clear" w:color="auto" w:fill="auto"/>
            <w:noWrap/>
            <w:vAlign w:val="bottom"/>
            <w:hideMark/>
          </w:tcPr>
          <w:p w14:paraId="67EB2B3F" w14:textId="77777777" w:rsidR="00B46A9E" w:rsidRPr="00B46A9E" w:rsidRDefault="00B46A9E" w:rsidP="00B46A9E">
            <w:pPr>
              <w:spacing w:after="0"/>
              <w:jc w:val="right"/>
              <w:rPr>
                <w:rFonts w:ascii="Arial" w:hAnsi="Arial" w:cs="Arial"/>
                <w:b/>
                <w:bCs/>
                <w:sz w:val="16"/>
                <w:szCs w:val="16"/>
              </w:rPr>
            </w:pPr>
            <w:r w:rsidRPr="00B46A9E">
              <w:rPr>
                <w:rFonts w:ascii="Arial" w:hAnsi="Arial" w:cs="Arial"/>
                <w:b/>
                <w:bCs/>
                <w:sz w:val="16"/>
                <w:szCs w:val="16"/>
              </w:rPr>
              <w:t>-</w:t>
            </w:r>
          </w:p>
        </w:tc>
        <w:tc>
          <w:tcPr>
            <w:tcW w:w="884" w:type="dxa"/>
            <w:tcBorders>
              <w:top w:val="nil"/>
              <w:left w:val="nil"/>
              <w:bottom w:val="single" w:sz="4" w:space="0" w:color="auto"/>
              <w:right w:val="nil"/>
            </w:tcBorders>
            <w:shd w:val="clear" w:color="auto" w:fill="auto"/>
            <w:noWrap/>
            <w:vAlign w:val="bottom"/>
            <w:hideMark/>
          </w:tcPr>
          <w:p w14:paraId="43E7030D" w14:textId="77777777" w:rsidR="00B46A9E" w:rsidRPr="00B46A9E" w:rsidRDefault="00B46A9E" w:rsidP="00B46A9E">
            <w:pPr>
              <w:spacing w:after="0"/>
              <w:jc w:val="right"/>
              <w:rPr>
                <w:rFonts w:ascii="Arial" w:hAnsi="Arial" w:cs="Arial"/>
                <w:b/>
                <w:bCs/>
                <w:sz w:val="16"/>
                <w:szCs w:val="16"/>
              </w:rPr>
            </w:pPr>
            <w:r w:rsidRPr="00B46A9E">
              <w:rPr>
                <w:rFonts w:ascii="Arial" w:hAnsi="Arial" w:cs="Arial"/>
                <w:b/>
                <w:bCs/>
                <w:sz w:val="16"/>
                <w:szCs w:val="16"/>
              </w:rPr>
              <w:t>-</w:t>
            </w:r>
          </w:p>
        </w:tc>
        <w:tc>
          <w:tcPr>
            <w:tcW w:w="862" w:type="dxa"/>
            <w:tcBorders>
              <w:top w:val="nil"/>
              <w:left w:val="nil"/>
              <w:bottom w:val="single" w:sz="4" w:space="0" w:color="auto"/>
              <w:right w:val="nil"/>
            </w:tcBorders>
            <w:shd w:val="clear" w:color="auto" w:fill="auto"/>
            <w:noWrap/>
            <w:vAlign w:val="bottom"/>
            <w:hideMark/>
          </w:tcPr>
          <w:p w14:paraId="106CEA89" w14:textId="77777777" w:rsidR="00B46A9E" w:rsidRPr="00B46A9E" w:rsidRDefault="00B46A9E" w:rsidP="00B46A9E">
            <w:pPr>
              <w:spacing w:after="0"/>
              <w:jc w:val="right"/>
              <w:rPr>
                <w:rFonts w:ascii="Arial" w:hAnsi="Arial" w:cs="Arial"/>
                <w:b/>
                <w:bCs/>
                <w:sz w:val="16"/>
                <w:szCs w:val="16"/>
              </w:rPr>
            </w:pPr>
            <w:r w:rsidRPr="00B46A9E">
              <w:rPr>
                <w:rFonts w:ascii="Arial" w:hAnsi="Arial" w:cs="Arial"/>
                <w:b/>
                <w:bCs/>
                <w:sz w:val="16"/>
                <w:szCs w:val="16"/>
              </w:rPr>
              <w:t>-</w:t>
            </w:r>
          </w:p>
        </w:tc>
      </w:tr>
      <w:tr w:rsidR="00B46A9E" w:rsidRPr="00B46A9E" w14:paraId="779D4739" w14:textId="77777777" w:rsidTr="00A072C5">
        <w:trPr>
          <w:trHeight w:val="454"/>
          <w:jc w:val="center"/>
        </w:trPr>
        <w:tc>
          <w:tcPr>
            <w:tcW w:w="2960" w:type="dxa"/>
            <w:tcBorders>
              <w:top w:val="nil"/>
              <w:left w:val="nil"/>
              <w:bottom w:val="nil"/>
              <w:right w:val="nil"/>
            </w:tcBorders>
            <w:shd w:val="clear" w:color="000000" w:fill="FFFFFF"/>
            <w:vAlign w:val="bottom"/>
            <w:hideMark/>
          </w:tcPr>
          <w:p w14:paraId="475900C5" w14:textId="77777777" w:rsidR="00B46A9E" w:rsidRPr="00B46A9E" w:rsidRDefault="00B46A9E" w:rsidP="00B46A9E">
            <w:pPr>
              <w:spacing w:after="0"/>
              <w:rPr>
                <w:rFonts w:ascii="Arial" w:hAnsi="Arial" w:cs="Arial"/>
                <w:b/>
                <w:bCs/>
                <w:color w:val="auto"/>
                <w:sz w:val="16"/>
                <w:szCs w:val="16"/>
              </w:rPr>
            </w:pPr>
            <w:r w:rsidRPr="00B46A9E">
              <w:rPr>
                <w:rFonts w:ascii="Arial" w:hAnsi="Arial" w:cs="Arial"/>
                <w:b/>
                <w:bCs/>
                <w:color w:val="auto"/>
                <w:sz w:val="16"/>
                <w:szCs w:val="16"/>
              </w:rPr>
              <w:t>PURCHASE OF NON-FINANCIAL ASSETS</w:t>
            </w:r>
          </w:p>
        </w:tc>
        <w:tc>
          <w:tcPr>
            <w:tcW w:w="896" w:type="dxa"/>
            <w:tcBorders>
              <w:top w:val="nil"/>
              <w:left w:val="nil"/>
              <w:bottom w:val="nil"/>
              <w:right w:val="nil"/>
            </w:tcBorders>
            <w:shd w:val="clear" w:color="000000" w:fill="FFFFFF"/>
            <w:noWrap/>
            <w:vAlign w:val="bottom"/>
            <w:hideMark/>
          </w:tcPr>
          <w:p w14:paraId="3C7F5045" w14:textId="77777777" w:rsidR="00B46A9E" w:rsidRPr="00B46A9E" w:rsidRDefault="00B46A9E" w:rsidP="00B46A9E">
            <w:pPr>
              <w:spacing w:after="0"/>
              <w:jc w:val="right"/>
              <w:rPr>
                <w:rFonts w:ascii="Arial" w:hAnsi="Arial" w:cs="Arial"/>
                <w:color w:val="auto"/>
                <w:sz w:val="16"/>
                <w:szCs w:val="16"/>
              </w:rPr>
            </w:pPr>
            <w:r w:rsidRPr="00B46A9E">
              <w:rPr>
                <w:rFonts w:ascii="Arial" w:hAnsi="Arial" w:cs="Arial"/>
                <w:color w:val="auto"/>
                <w:sz w:val="16"/>
                <w:szCs w:val="16"/>
              </w:rPr>
              <w:t> </w:t>
            </w:r>
          </w:p>
        </w:tc>
        <w:tc>
          <w:tcPr>
            <w:tcW w:w="896" w:type="dxa"/>
            <w:tcBorders>
              <w:top w:val="nil"/>
              <w:left w:val="nil"/>
              <w:bottom w:val="nil"/>
              <w:right w:val="nil"/>
            </w:tcBorders>
            <w:shd w:val="clear" w:color="000000" w:fill="D9D9D9"/>
            <w:noWrap/>
            <w:vAlign w:val="center"/>
            <w:hideMark/>
          </w:tcPr>
          <w:p w14:paraId="7B374493" w14:textId="77777777" w:rsidR="00B46A9E" w:rsidRPr="00B46A9E" w:rsidRDefault="00B46A9E" w:rsidP="00B46A9E">
            <w:pPr>
              <w:spacing w:after="0"/>
              <w:jc w:val="right"/>
              <w:rPr>
                <w:rFonts w:ascii="Arial" w:hAnsi="Arial" w:cs="Arial"/>
                <w:sz w:val="16"/>
                <w:szCs w:val="16"/>
              </w:rPr>
            </w:pPr>
            <w:r w:rsidRPr="00B46A9E">
              <w:rPr>
                <w:rFonts w:ascii="Arial" w:hAnsi="Arial" w:cs="Arial"/>
                <w:sz w:val="16"/>
                <w:szCs w:val="16"/>
              </w:rPr>
              <w:t> </w:t>
            </w:r>
          </w:p>
        </w:tc>
        <w:tc>
          <w:tcPr>
            <w:tcW w:w="896" w:type="dxa"/>
            <w:tcBorders>
              <w:top w:val="nil"/>
              <w:left w:val="nil"/>
              <w:bottom w:val="nil"/>
              <w:right w:val="nil"/>
            </w:tcBorders>
            <w:shd w:val="clear" w:color="auto" w:fill="auto"/>
            <w:noWrap/>
            <w:vAlign w:val="center"/>
            <w:hideMark/>
          </w:tcPr>
          <w:p w14:paraId="124EAF9F" w14:textId="77777777" w:rsidR="00B46A9E" w:rsidRPr="00B46A9E" w:rsidRDefault="00B46A9E" w:rsidP="00B46A9E">
            <w:pPr>
              <w:spacing w:after="0"/>
              <w:jc w:val="right"/>
              <w:rPr>
                <w:rFonts w:ascii="Arial" w:hAnsi="Arial" w:cs="Arial"/>
                <w:sz w:val="16"/>
                <w:szCs w:val="16"/>
              </w:rPr>
            </w:pPr>
          </w:p>
        </w:tc>
        <w:tc>
          <w:tcPr>
            <w:tcW w:w="884" w:type="dxa"/>
            <w:tcBorders>
              <w:top w:val="nil"/>
              <w:left w:val="nil"/>
              <w:bottom w:val="nil"/>
              <w:right w:val="nil"/>
            </w:tcBorders>
            <w:shd w:val="clear" w:color="000000" w:fill="FFFFFF"/>
            <w:noWrap/>
            <w:vAlign w:val="bottom"/>
            <w:hideMark/>
          </w:tcPr>
          <w:p w14:paraId="6FB40FBF" w14:textId="77777777" w:rsidR="00B46A9E" w:rsidRPr="00B46A9E" w:rsidRDefault="00B46A9E" w:rsidP="00B46A9E">
            <w:pPr>
              <w:spacing w:after="0"/>
              <w:jc w:val="right"/>
              <w:rPr>
                <w:rFonts w:ascii="Arial" w:hAnsi="Arial" w:cs="Arial"/>
                <w:color w:val="auto"/>
                <w:sz w:val="16"/>
                <w:szCs w:val="16"/>
              </w:rPr>
            </w:pPr>
            <w:r w:rsidRPr="00B46A9E">
              <w:rPr>
                <w:rFonts w:ascii="Arial" w:hAnsi="Arial" w:cs="Arial"/>
                <w:color w:val="auto"/>
                <w:sz w:val="16"/>
                <w:szCs w:val="16"/>
              </w:rPr>
              <w:t> </w:t>
            </w:r>
          </w:p>
        </w:tc>
        <w:tc>
          <w:tcPr>
            <w:tcW w:w="862" w:type="dxa"/>
            <w:tcBorders>
              <w:top w:val="nil"/>
              <w:left w:val="nil"/>
              <w:bottom w:val="nil"/>
              <w:right w:val="nil"/>
            </w:tcBorders>
            <w:shd w:val="clear" w:color="000000" w:fill="FFFFFF"/>
            <w:noWrap/>
            <w:vAlign w:val="bottom"/>
            <w:hideMark/>
          </w:tcPr>
          <w:p w14:paraId="69CCF9EF" w14:textId="77777777" w:rsidR="00B46A9E" w:rsidRPr="00B46A9E" w:rsidRDefault="00B46A9E" w:rsidP="00B46A9E">
            <w:pPr>
              <w:spacing w:after="0"/>
              <w:jc w:val="right"/>
              <w:rPr>
                <w:rFonts w:ascii="Arial" w:hAnsi="Arial" w:cs="Arial"/>
                <w:color w:val="auto"/>
                <w:sz w:val="16"/>
                <w:szCs w:val="16"/>
              </w:rPr>
            </w:pPr>
            <w:r w:rsidRPr="00B46A9E">
              <w:rPr>
                <w:rFonts w:ascii="Arial" w:hAnsi="Arial" w:cs="Arial"/>
                <w:color w:val="auto"/>
                <w:sz w:val="16"/>
                <w:szCs w:val="16"/>
              </w:rPr>
              <w:t> </w:t>
            </w:r>
          </w:p>
        </w:tc>
      </w:tr>
      <w:tr w:rsidR="00B46A9E" w:rsidRPr="00B46A9E" w14:paraId="16BA6991" w14:textId="77777777" w:rsidTr="00A072C5">
        <w:trPr>
          <w:trHeight w:val="425"/>
          <w:jc w:val="center"/>
        </w:trPr>
        <w:tc>
          <w:tcPr>
            <w:tcW w:w="2960" w:type="dxa"/>
            <w:tcBorders>
              <w:top w:val="nil"/>
              <w:left w:val="nil"/>
              <w:bottom w:val="nil"/>
              <w:right w:val="nil"/>
            </w:tcBorders>
            <w:shd w:val="clear" w:color="auto" w:fill="auto"/>
            <w:vAlign w:val="bottom"/>
            <w:hideMark/>
          </w:tcPr>
          <w:p w14:paraId="67C24A25" w14:textId="77777777" w:rsidR="00B46A9E" w:rsidRPr="00B46A9E" w:rsidRDefault="00B46A9E" w:rsidP="00A072C5">
            <w:pPr>
              <w:spacing w:after="0"/>
              <w:ind w:leftChars="75" w:left="143"/>
              <w:rPr>
                <w:rFonts w:ascii="Arial" w:hAnsi="Arial" w:cs="Arial"/>
                <w:color w:val="auto"/>
                <w:sz w:val="16"/>
                <w:szCs w:val="16"/>
              </w:rPr>
            </w:pPr>
            <w:r w:rsidRPr="00B46A9E">
              <w:rPr>
                <w:rFonts w:ascii="Arial" w:hAnsi="Arial" w:cs="Arial"/>
                <w:color w:val="auto"/>
                <w:sz w:val="16"/>
                <w:szCs w:val="16"/>
              </w:rPr>
              <w:t>Funded by capital appropriations</w:t>
            </w:r>
            <w:r w:rsidRPr="00B46A9E">
              <w:rPr>
                <w:rFonts w:ascii="Arial" w:hAnsi="Arial" w:cs="Arial"/>
                <w:color w:val="auto"/>
                <w:sz w:val="16"/>
                <w:szCs w:val="16"/>
              </w:rPr>
              <w:br/>
              <w:t xml:space="preserve"> - equity injection </w:t>
            </w:r>
            <w:r w:rsidRPr="00B46A9E">
              <w:rPr>
                <w:rFonts w:ascii="Arial" w:hAnsi="Arial" w:cs="Arial"/>
                <w:color w:val="auto"/>
                <w:sz w:val="16"/>
                <w:szCs w:val="16"/>
                <w:vertAlign w:val="superscript"/>
              </w:rPr>
              <w:t>(a)</w:t>
            </w:r>
          </w:p>
        </w:tc>
        <w:tc>
          <w:tcPr>
            <w:tcW w:w="896" w:type="dxa"/>
            <w:tcBorders>
              <w:top w:val="nil"/>
              <w:left w:val="nil"/>
              <w:bottom w:val="nil"/>
              <w:right w:val="nil"/>
            </w:tcBorders>
            <w:shd w:val="clear" w:color="auto" w:fill="auto"/>
            <w:noWrap/>
            <w:vAlign w:val="bottom"/>
            <w:hideMark/>
          </w:tcPr>
          <w:p w14:paraId="23A351C6" w14:textId="77777777" w:rsidR="00B46A9E" w:rsidRPr="00B46A9E" w:rsidRDefault="00B46A9E" w:rsidP="00B46A9E">
            <w:pPr>
              <w:spacing w:after="0"/>
              <w:jc w:val="right"/>
              <w:rPr>
                <w:rFonts w:ascii="Arial" w:hAnsi="Arial" w:cs="Arial"/>
                <w:color w:val="auto"/>
                <w:sz w:val="16"/>
                <w:szCs w:val="16"/>
              </w:rPr>
            </w:pPr>
            <w:r w:rsidRPr="00B46A9E">
              <w:rPr>
                <w:rFonts w:ascii="Arial" w:hAnsi="Arial" w:cs="Arial"/>
                <w:color w:val="auto"/>
                <w:sz w:val="16"/>
                <w:szCs w:val="16"/>
              </w:rPr>
              <w:t>125</w:t>
            </w:r>
          </w:p>
        </w:tc>
        <w:tc>
          <w:tcPr>
            <w:tcW w:w="896" w:type="dxa"/>
            <w:tcBorders>
              <w:top w:val="nil"/>
              <w:left w:val="nil"/>
              <w:bottom w:val="nil"/>
              <w:right w:val="nil"/>
            </w:tcBorders>
            <w:shd w:val="clear" w:color="000000" w:fill="D9D9D9"/>
            <w:noWrap/>
            <w:vAlign w:val="bottom"/>
            <w:hideMark/>
          </w:tcPr>
          <w:p w14:paraId="4B84D4B9" w14:textId="77777777" w:rsidR="00B46A9E" w:rsidRPr="00B46A9E" w:rsidRDefault="00B46A9E" w:rsidP="00B46A9E">
            <w:pPr>
              <w:spacing w:after="0"/>
              <w:jc w:val="right"/>
              <w:rPr>
                <w:rFonts w:ascii="Arial" w:hAnsi="Arial" w:cs="Arial"/>
                <w:color w:val="auto"/>
                <w:sz w:val="16"/>
                <w:szCs w:val="16"/>
              </w:rPr>
            </w:pPr>
            <w:r w:rsidRPr="00B46A9E">
              <w:rPr>
                <w:rFonts w:ascii="Arial" w:hAnsi="Arial" w:cs="Arial"/>
                <w:color w:val="auto"/>
                <w:sz w:val="16"/>
                <w:szCs w:val="16"/>
              </w:rPr>
              <w:t>-</w:t>
            </w:r>
          </w:p>
        </w:tc>
        <w:tc>
          <w:tcPr>
            <w:tcW w:w="896" w:type="dxa"/>
            <w:tcBorders>
              <w:top w:val="nil"/>
              <w:left w:val="nil"/>
              <w:bottom w:val="nil"/>
              <w:right w:val="nil"/>
            </w:tcBorders>
            <w:shd w:val="clear" w:color="auto" w:fill="auto"/>
            <w:noWrap/>
            <w:vAlign w:val="bottom"/>
            <w:hideMark/>
          </w:tcPr>
          <w:p w14:paraId="41E19519" w14:textId="77777777" w:rsidR="00B46A9E" w:rsidRPr="00B46A9E" w:rsidRDefault="00B46A9E" w:rsidP="00B46A9E">
            <w:pPr>
              <w:spacing w:after="0"/>
              <w:jc w:val="right"/>
              <w:rPr>
                <w:rFonts w:ascii="Arial" w:hAnsi="Arial" w:cs="Arial"/>
                <w:color w:val="auto"/>
                <w:sz w:val="16"/>
                <w:szCs w:val="16"/>
              </w:rPr>
            </w:pPr>
            <w:r w:rsidRPr="00B46A9E">
              <w:rPr>
                <w:rFonts w:ascii="Arial" w:hAnsi="Arial" w:cs="Arial"/>
                <w:color w:val="auto"/>
                <w:sz w:val="16"/>
                <w:szCs w:val="16"/>
              </w:rPr>
              <w:t>-</w:t>
            </w:r>
          </w:p>
        </w:tc>
        <w:tc>
          <w:tcPr>
            <w:tcW w:w="884" w:type="dxa"/>
            <w:tcBorders>
              <w:top w:val="nil"/>
              <w:left w:val="nil"/>
              <w:bottom w:val="nil"/>
              <w:right w:val="nil"/>
            </w:tcBorders>
            <w:shd w:val="clear" w:color="auto" w:fill="auto"/>
            <w:noWrap/>
            <w:vAlign w:val="bottom"/>
            <w:hideMark/>
          </w:tcPr>
          <w:p w14:paraId="0621BC66" w14:textId="77777777" w:rsidR="00B46A9E" w:rsidRPr="00B46A9E" w:rsidRDefault="00B46A9E" w:rsidP="00B46A9E">
            <w:pPr>
              <w:spacing w:after="0"/>
              <w:jc w:val="right"/>
              <w:rPr>
                <w:rFonts w:ascii="Arial" w:hAnsi="Arial" w:cs="Arial"/>
                <w:color w:val="auto"/>
                <w:sz w:val="16"/>
                <w:szCs w:val="16"/>
              </w:rPr>
            </w:pPr>
            <w:r w:rsidRPr="00B46A9E">
              <w:rPr>
                <w:rFonts w:ascii="Arial" w:hAnsi="Arial" w:cs="Arial"/>
                <w:color w:val="auto"/>
                <w:sz w:val="16"/>
                <w:szCs w:val="16"/>
              </w:rPr>
              <w:t>-</w:t>
            </w:r>
          </w:p>
        </w:tc>
        <w:tc>
          <w:tcPr>
            <w:tcW w:w="862" w:type="dxa"/>
            <w:tcBorders>
              <w:top w:val="nil"/>
              <w:left w:val="nil"/>
              <w:bottom w:val="nil"/>
              <w:right w:val="nil"/>
            </w:tcBorders>
            <w:shd w:val="clear" w:color="auto" w:fill="auto"/>
            <w:noWrap/>
            <w:vAlign w:val="bottom"/>
            <w:hideMark/>
          </w:tcPr>
          <w:p w14:paraId="57454023" w14:textId="77777777" w:rsidR="00B46A9E" w:rsidRPr="00B46A9E" w:rsidRDefault="00B46A9E" w:rsidP="00B46A9E">
            <w:pPr>
              <w:spacing w:after="0"/>
              <w:jc w:val="right"/>
              <w:rPr>
                <w:rFonts w:ascii="Arial" w:hAnsi="Arial" w:cs="Arial"/>
                <w:color w:val="auto"/>
                <w:sz w:val="16"/>
                <w:szCs w:val="16"/>
              </w:rPr>
            </w:pPr>
            <w:r w:rsidRPr="00B46A9E">
              <w:rPr>
                <w:rFonts w:ascii="Arial" w:hAnsi="Arial" w:cs="Arial"/>
                <w:color w:val="auto"/>
                <w:sz w:val="16"/>
                <w:szCs w:val="16"/>
              </w:rPr>
              <w:t>-</w:t>
            </w:r>
          </w:p>
        </w:tc>
      </w:tr>
      <w:tr w:rsidR="00B46A9E" w:rsidRPr="00B46A9E" w14:paraId="29006C62" w14:textId="77777777" w:rsidTr="00A072C5">
        <w:trPr>
          <w:trHeight w:val="454"/>
          <w:jc w:val="center"/>
        </w:trPr>
        <w:tc>
          <w:tcPr>
            <w:tcW w:w="2960" w:type="dxa"/>
            <w:tcBorders>
              <w:top w:val="nil"/>
              <w:left w:val="nil"/>
              <w:bottom w:val="nil"/>
              <w:right w:val="nil"/>
            </w:tcBorders>
            <w:shd w:val="clear" w:color="000000" w:fill="FFFFFF"/>
            <w:vAlign w:val="bottom"/>
            <w:hideMark/>
          </w:tcPr>
          <w:p w14:paraId="087093E8" w14:textId="77777777" w:rsidR="00B46A9E" w:rsidRPr="00B46A9E" w:rsidRDefault="00B46A9E" w:rsidP="00A072C5">
            <w:pPr>
              <w:spacing w:after="0"/>
              <w:ind w:leftChars="75" w:left="143"/>
              <w:rPr>
                <w:rFonts w:ascii="Arial" w:hAnsi="Arial" w:cs="Arial"/>
                <w:color w:val="auto"/>
                <w:sz w:val="16"/>
                <w:szCs w:val="16"/>
              </w:rPr>
            </w:pPr>
            <w:r w:rsidRPr="00B46A9E">
              <w:rPr>
                <w:rFonts w:ascii="Arial" w:hAnsi="Arial" w:cs="Arial"/>
                <w:color w:val="auto"/>
                <w:sz w:val="16"/>
                <w:szCs w:val="16"/>
              </w:rPr>
              <w:t>Funded internally from departmental resources</w:t>
            </w:r>
          </w:p>
        </w:tc>
        <w:tc>
          <w:tcPr>
            <w:tcW w:w="896" w:type="dxa"/>
            <w:tcBorders>
              <w:top w:val="nil"/>
              <w:left w:val="nil"/>
              <w:bottom w:val="nil"/>
              <w:right w:val="nil"/>
            </w:tcBorders>
            <w:shd w:val="clear" w:color="auto" w:fill="auto"/>
            <w:noWrap/>
            <w:vAlign w:val="bottom"/>
            <w:hideMark/>
          </w:tcPr>
          <w:p w14:paraId="61E6CF8B" w14:textId="77777777" w:rsidR="00B46A9E" w:rsidRPr="00B46A9E" w:rsidRDefault="00B46A9E" w:rsidP="00B46A9E">
            <w:pPr>
              <w:spacing w:after="0"/>
              <w:jc w:val="right"/>
              <w:rPr>
                <w:rFonts w:ascii="Arial" w:hAnsi="Arial" w:cs="Arial"/>
                <w:sz w:val="16"/>
                <w:szCs w:val="16"/>
              </w:rPr>
            </w:pPr>
            <w:r w:rsidRPr="00B46A9E">
              <w:rPr>
                <w:rFonts w:ascii="Arial" w:hAnsi="Arial" w:cs="Arial"/>
                <w:sz w:val="16"/>
                <w:szCs w:val="16"/>
              </w:rPr>
              <w:t>400</w:t>
            </w:r>
          </w:p>
        </w:tc>
        <w:tc>
          <w:tcPr>
            <w:tcW w:w="896" w:type="dxa"/>
            <w:tcBorders>
              <w:top w:val="nil"/>
              <w:left w:val="nil"/>
              <w:bottom w:val="nil"/>
              <w:right w:val="nil"/>
            </w:tcBorders>
            <w:shd w:val="clear" w:color="000000" w:fill="D9D9D9"/>
            <w:noWrap/>
            <w:vAlign w:val="bottom"/>
            <w:hideMark/>
          </w:tcPr>
          <w:p w14:paraId="6EB50466" w14:textId="77777777" w:rsidR="00B46A9E" w:rsidRPr="00B46A9E" w:rsidRDefault="00B46A9E" w:rsidP="00B46A9E">
            <w:pPr>
              <w:spacing w:after="0"/>
              <w:jc w:val="right"/>
              <w:rPr>
                <w:rFonts w:ascii="Arial" w:hAnsi="Arial" w:cs="Arial"/>
                <w:sz w:val="16"/>
                <w:szCs w:val="16"/>
              </w:rPr>
            </w:pPr>
            <w:r w:rsidRPr="00B46A9E">
              <w:rPr>
                <w:rFonts w:ascii="Arial" w:hAnsi="Arial" w:cs="Arial"/>
                <w:sz w:val="16"/>
                <w:szCs w:val="16"/>
              </w:rPr>
              <w:t>2,178</w:t>
            </w:r>
          </w:p>
        </w:tc>
        <w:tc>
          <w:tcPr>
            <w:tcW w:w="896" w:type="dxa"/>
            <w:tcBorders>
              <w:top w:val="nil"/>
              <w:left w:val="nil"/>
              <w:bottom w:val="nil"/>
              <w:right w:val="nil"/>
            </w:tcBorders>
            <w:shd w:val="clear" w:color="auto" w:fill="auto"/>
            <w:noWrap/>
            <w:vAlign w:val="bottom"/>
            <w:hideMark/>
          </w:tcPr>
          <w:p w14:paraId="3176B564" w14:textId="77777777" w:rsidR="00B46A9E" w:rsidRPr="00B46A9E" w:rsidRDefault="00B46A9E" w:rsidP="00B46A9E">
            <w:pPr>
              <w:spacing w:after="0"/>
              <w:jc w:val="right"/>
              <w:rPr>
                <w:rFonts w:ascii="Arial" w:hAnsi="Arial" w:cs="Arial"/>
                <w:sz w:val="16"/>
                <w:szCs w:val="16"/>
              </w:rPr>
            </w:pPr>
            <w:r w:rsidRPr="00B46A9E">
              <w:rPr>
                <w:rFonts w:ascii="Arial" w:hAnsi="Arial" w:cs="Arial"/>
                <w:sz w:val="16"/>
                <w:szCs w:val="16"/>
              </w:rPr>
              <w:t>945</w:t>
            </w:r>
          </w:p>
        </w:tc>
        <w:tc>
          <w:tcPr>
            <w:tcW w:w="884" w:type="dxa"/>
            <w:tcBorders>
              <w:top w:val="nil"/>
              <w:left w:val="nil"/>
              <w:bottom w:val="nil"/>
              <w:right w:val="nil"/>
            </w:tcBorders>
            <w:shd w:val="clear" w:color="auto" w:fill="auto"/>
            <w:noWrap/>
            <w:vAlign w:val="bottom"/>
            <w:hideMark/>
          </w:tcPr>
          <w:p w14:paraId="32198C61" w14:textId="77777777" w:rsidR="00B46A9E" w:rsidRPr="00B46A9E" w:rsidRDefault="00B46A9E" w:rsidP="00B46A9E">
            <w:pPr>
              <w:spacing w:after="0"/>
              <w:jc w:val="right"/>
              <w:rPr>
                <w:rFonts w:ascii="Arial" w:hAnsi="Arial" w:cs="Arial"/>
                <w:sz w:val="16"/>
                <w:szCs w:val="16"/>
              </w:rPr>
            </w:pPr>
            <w:r w:rsidRPr="00B46A9E">
              <w:rPr>
                <w:rFonts w:ascii="Arial" w:hAnsi="Arial" w:cs="Arial"/>
                <w:sz w:val="16"/>
                <w:szCs w:val="16"/>
              </w:rPr>
              <w:t>4,445</w:t>
            </w:r>
          </w:p>
        </w:tc>
        <w:tc>
          <w:tcPr>
            <w:tcW w:w="862" w:type="dxa"/>
            <w:tcBorders>
              <w:top w:val="nil"/>
              <w:left w:val="nil"/>
              <w:bottom w:val="nil"/>
              <w:right w:val="nil"/>
            </w:tcBorders>
            <w:shd w:val="clear" w:color="auto" w:fill="auto"/>
            <w:noWrap/>
            <w:vAlign w:val="bottom"/>
            <w:hideMark/>
          </w:tcPr>
          <w:p w14:paraId="192B30EB" w14:textId="77777777" w:rsidR="00B46A9E" w:rsidRPr="00B46A9E" w:rsidRDefault="00B46A9E" w:rsidP="00B46A9E">
            <w:pPr>
              <w:spacing w:after="0"/>
              <w:jc w:val="right"/>
              <w:rPr>
                <w:rFonts w:ascii="Arial" w:hAnsi="Arial" w:cs="Arial"/>
                <w:sz w:val="16"/>
                <w:szCs w:val="16"/>
              </w:rPr>
            </w:pPr>
            <w:r w:rsidRPr="00B46A9E">
              <w:rPr>
                <w:rFonts w:ascii="Arial" w:hAnsi="Arial" w:cs="Arial"/>
                <w:sz w:val="16"/>
                <w:szCs w:val="16"/>
              </w:rPr>
              <w:t>-</w:t>
            </w:r>
          </w:p>
        </w:tc>
      </w:tr>
      <w:tr w:rsidR="00B46A9E" w:rsidRPr="00B46A9E" w14:paraId="0B1DF1FA" w14:textId="77777777" w:rsidTr="00A072C5">
        <w:trPr>
          <w:trHeight w:val="408"/>
          <w:jc w:val="center"/>
        </w:trPr>
        <w:tc>
          <w:tcPr>
            <w:tcW w:w="2960" w:type="dxa"/>
            <w:tcBorders>
              <w:top w:val="nil"/>
              <w:left w:val="nil"/>
              <w:bottom w:val="nil"/>
              <w:right w:val="nil"/>
            </w:tcBorders>
            <w:shd w:val="clear" w:color="000000" w:fill="FFFFFF"/>
            <w:vAlign w:val="bottom"/>
            <w:hideMark/>
          </w:tcPr>
          <w:p w14:paraId="104AAA3F" w14:textId="77777777" w:rsidR="00B46A9E" w:rsidRPr="00B46A9E" w:rsidRDefault="00B46A9E" w:rsidP="00A072C5">
            <w:pPr>
              <w:spacing w:after="0"/>
              <w:ind w:leftChars="75" w:left="143"/>
              <w:rPr>
                <w:rFonts w:ascii="Arial" w:hAnsi="Arial" w:cs="Arial"/>
                <w:b/>
                <w:bCs/>
                <w:color w:val="auto"/>
                <w:sz w:val="16"/>
                <w:szCs w:val="16"/>
              </w:rPr>
            </w:pPr>
            <w:r w:rsidRPr="00B46A9E">
              <w:rPr>
                <w:rFonts w:ascii="Arial" w:hAnsi="Arial" w:cs="Arial"/>
                <w:b/>
                <w:bCs/>
                <w:color w:val="auto"/>
                <w:sz w:val="16"/>
                <w:szCs w:val="16"/>
              </w:rPr>
              <w:t>Total acquisitions of</w:t>
            </w:r>
            <w:r w:rsidRPr="00B46A9E">
              <w:rPr>
                <w:rFonts w:ascii="Arial" w:hAnsi="Arial" w:cs="Arial"/>
                <w:b/>
                <w:bCs/>
                <w:color w:val="auto"/>
                <w:sz w:val="16"/>
                <w:szCs w:val="16"/>
              </w:rPr>
              <w:br/>
              <w:t xml:space="preserve"> non-financial assets</w:t>
            </w:r>
          </w:p>
        </w:tc>
        <w:tc>
          <w:tcPr>
            <w:tcW w:w="896" w:type="dxa"/>
            <w:tcBorders>
              <w:top w:val="nil"/>
              <w:left w:val="nil"/>
              <w:bottom w:val="single" w:sz="4" w:space="0" w:color="auto"/>
              <w:right w:val="nil"/>
            </w:tcBorders>
            <w:shd w:val="clear" w:color="auto" w:fill="auto"/>
            <w:noWrap/>
            <w:vAlign w:val="bottom"/>
            <w:hideMark/>
          </w:tcPr>
          <w:p w14:paraId="1B71E0AC" w14:textId="77777777" w:rsidR="00B46A9E" w:rsidRPr="00B46A9E" w:rsidRDefault="00B46A9E" w:rsidP="00B46A9E">
            <w:pPr>
              <w:spacing w:after="0"/>
              <w:jc w:val="right"/>
              <w:rPr>
                <w:rFonts w:ascii="Arial" w:hAnsi="Arial" w:cs="Arial"/>
                <w:b/>
                <w:bCs/>
                <w:color w:val="auto"/>
                <w:sz w:val="16"/>
                <w:szCs w:val="16"/>
              </w:rPr>
            </w:pPr>
            <w:r w:rsidRPr="00B46A9E">
              <w:rPr>
                <w:rFonts w:ascii="Arial" w:hAnsi="Arial" w:cs="Arial"/>
                <w:b/>
                <w:bCs/>
                <w:color w:val="auto"/>
                <w:sz w:val="16"/>
                <w:szCs w:val="16"/>
              </w:rPr>
              <w:t>525</w:t>
            </w:r>
          </w:p>
        </w:tc>
        <w:tc>
          <w:tcPr>
            <w:tcW w:w="896" w:type="dxa"/>
            <w:tcBorders>
              <w:top w:val="nil"/>
              <w:left w:val="nil"/>
              <w:bottom w:val="single" w:sz="4" w:space="0" w:color="auto"/>
              <w:right w:val="nil"/>
            </w:tcBorders>
            <w:shd w:val="clear" w:color="000000" w:fill="D9D9D9"/>
            <w:noWrap/>
            <w:vAlign w:val="bottom"/>
            <w:hideMark/>
          </w:tcPr>
          <w:p w14:paraId="7AC4D948" w14:textId="77777777" w:rsidR="00B46A9E" w:rsidRPr="00B46A9E" w:rsidRDefault="00B46A9E" w:rsidP="00B46A9E">
            <w:pPr>
              <w:spacing w:after="0"/>
              <w:jc w:val="right"/>
              <w:rPr>
                <w:rFonts w:ascii="Arial" w:hAnsi="Arial" w:cs="Arial"/>
                <w:b/>
                <w:bCs/>
                <w:color w:val="auto"/>
                <w:sz w:val="16"/>
                <w:szCs w:val="16"/>
              </w:rPr>
            </w:pPr>
            <w:r w:rsidRPr="00B46A9E">
              <w:rPr>
                <w:rFonts w:ascii="Arial" w:hAnsi="Arial" w:cs="Arial"/>
                <w:b/>
                <w:bCs/>
                <w:color w:val="auto"/>
                <w:sz w:val="16"/>
                <w:szCs w:val="16"/>
              </w:rPr>
              <w:t>2,178</w:t>
            </w:r>
          </w:p>
        </w:tc>
        <w:tc>
          <w:tcPr>
            <w:tcW w:w="896" w:type="dxa"/>
            <w:tcBorders>
              <w:top w:val="nil"/>
              <w:left w:val="nil"/>
              <w:bottom w:val="single" w:sz="4" w:space="0" w:color="auto"/>
              <w:right w:val="nil"/>
            </w:tcBorders>
            <w:shd w:val="clear" w:color="auto" w:fill="auto"/>
            <w:noWrap/>
            <w:vAlign w:val="bottom"/>
            <w:hideMark/>
          </w:tcPr>
          <w:p w14:paraId="6CD0A533" w14:textId="77777777" w:rsidR="00B46A9E" w:rsidRPr="00B46A9E" w:rsidRDefault="00B46A9E" w:rsidP="00B46A9E">
            <w:pPr>
              <w:spacing w:after="0"/>
              <w:jc w:val="right"/>
              <w:rPr>
                <w:rFonts w:ascii="Arial" w:hAnsi="Arial" w:cs="Arial"/>
                <w:b/>
                <w:bCs/>
                <w:color w:val="auto"/>
                <w:sz w:val="16"/>
                <w:szCs w:val="16"/>
              </w:rPr>
            </w:pPr>
            <w:r w:rsidRPr="00B46A9E">
              <w:rPr>
                <w:rFonts w:ascii="Arial" w:hAnsi="Arial" w:cs="Arial"/>
                <w:b/>
                <w:bCs/>
                <w:color w:val="auto"/>
                <w:sz w:val="16"/>
                <w:szCs w:val="16"/>
              </w:rPr>
              <w:t>945</w:t>
            </w:r>
          </w:p>
        </w:tc>
        <w:tc>
          <w:tcPr>
            <w:tcW w:w="884" w:type="dxa"/>
            <w:tcBorders>
              <w:top w:val="nil"/>
              <w:left w:val="nil"/>
              <w:bottom w:val="single" w:sz="4" w:space="0" w:color="auto"/>
              <w:right w:val="nil"/>
            </w:tcBorders>
            <w:shd w:val="clear" w:color="auto" w:fill="auto"/>
            <w:noWrap/>
            <w:vAlign w:val="bottom"/>
            <w:hideMark/>
          </w:tcPr>
          <w:p w14:paraId="1B5E9415" w14:textId="77777777" w:rsidR="00B46A9E" w:rsidRPr="00B46A9E" w:rsidRDefault="00B46A9E" w:rsidP="00B46A9E">
            <w:pPr>
              <w:spacing w:after="0"/>
              <w:jc w:val="right"/>
              <w:rPr>
                <w:rFonts w:ascii="Arial" w:hAnsi="Arial" w:cs="Arial"/>
                <w:b/>
                <w:bCs/>
                <w:color w:val="auto"/>
                <w:sz w:val="16"/>
                <w:szCs w:val="16"/>
              </w:rPr>
            </w:pPr>
            <w:r w:rsidRPr="00B46A9E">
              <w:rPr>
                <w:rFonts w:ascii="Arial" w:hAnsi="Arial" w:cs="Arial"/>
                <w:b/>
                <w:bCs/>
                <w:color w:val="auto"/>
                <w:sz w:val="16"/>
                <w:szCs w:val="16"/>
              </w:rPr>
              <w:t>4,445</w:t>
            </w:r>
          </w:p>
        </w:tc>
        <w:tc>
          <w:tcPr>
            <w:tcW w:w="862" w:type="dxa"/>
            <w:tcBorders>
              <w:top w:val="nil"/>
              <w:left w:val="nil"/>
              <w:bottom w:val="single" w:sz="4" w:space="0" w:color="auto"/>
              <w:right w:val="nil"/>
            </w:tcBorders>
            <w:shd w:val="clear" w:color="auto" w:fill="auto"/>
            <w:noWrap/>
            <w:vAlign w:val="bottom"/>
            <w:hideMark/>
          </w:tcPr>
          <w:p w14:paraId="1663BB87" w14:textId="77777777" w:rsidR="00B46A9E" w:rsidRPr="00B46A9E" w:rsidRDefault="00B46A9E" w:rsidP="00B46A9E">
            <w:pPr>
              <w:spacing w:after="0"/>
              <w:jc w:val="right"/>
              <w:rPr>
                <w:rFonts w:ascii="Arial" w:hAnsi="Arial" w:cs="Arial"/>
                <w:b/>
                <w:bCs/>
                <w:color w:val="auto"/>
                <w:sz w:val="16"/>
                <w:szCs w:val="16"/>
              </w:rPr>
            </w:pPr>
            <w:r w:rsidRPr="00B46A9E">
              <w:rPr>
                <w:rFonts w:ascii="Arial" w:hAnsi="Arial" w:cs="Arial"/>
                <w:b/>
                <w:bCs/>
                <w:color w:val="auto"/>
                <w:sz w:val="16"/>
                <w:szCs w:val="16"/>
              </w:rPr>
              <w:t>-</w:t>
            </w:r>
          </w:p>
        </w:tc>
      </w:tr>
      <w:tr w:rsidR="00B46A9E" w:rsidRPr="00B46A9E" w14:paraId="15F6CC53" w14:textId="77777777" w:rsidTr="00A072C5">
        <w:trPr>
          <w:trHeight w:val="624"/>
          <w:jc w:val="center"/>
        </w:trPr>
        <w:tc>
          <w:tcPr>
            <w:tcW w:w="2960" w:type="dxa"/>
            <w:tcBorders>
              <w:top w:val="nil"/>
              <w:left w:val="nil"/>
              <w:bottom w:val="nil"/>
              <w:right w:val="nil"/>
            </w:tcBorders>
            <w:shd w:val="clear" w:color="000000" w:fill="FFFFFF"/>
            <w:vAlign w:val="bottom"/>
            <w:hideMark/>
          </w:tcPr>
          <w:p w14:paraId="16D8C5AF" w14:textId="77777777" w:rsidR="00B46A9E" w:rsidRPr="00B46A9E" w:rsidRDefault="00B46A9E" w:rsidP="00B46A9E">
            <w:pPr>
              <w:spacing w:after="0"/>
              <w:rPr>
                <w:rFonts w:ascii="Arial" w:hAnsi="Arial" w:cs="Arial"/>
                <w:b/>
                <w:bCs/>
                <w:color w:val="auto"/>
                <w:sz w:val="16"/>
                <w:szCs w:val="16"/>
              </w:rPr>
            </w:pPr>
            <w:r w:rsidRPr="00B46A9E">
              <w:rPr>
                <w:rFonts w:ascii="Arial" w:hAnsi="Arial" w:cs="Arial"/>
                <w:b/>
                <w:bCs/>
                <w:color w:val="auto"/>
                <w:sz w:val="16"/>
                <w:szCs w:val="16"/>
              </w:rPr>
              <w:t>RECONCILIATION OF CASH USED TO ACQUIRE ASSETS TO ASSET MOVEMENT TABLE</w:t>
            </w:r>
          </w:p>
        </w:tc>
        <w:tc>
          <w:tcPr>
            <w:tcW w:w="896" w:type="dxa"/>
            <w:tcBorders>
              <w:top w:val="nil"/>
              <w:left w:val="nil"/>
              <w:bottom w:val="nil"/>
              <w:right w:val="nil"/>
            </w:tcBorders>
            <w:shd w:val="clear" w:color="auto" w:fill="auto"/>
            <w:noWrap/>
            <w:vAlign w:val="bottom"/>
            <w:hideMark/>
          </w:tcPr>
          <w:p w14:paraId="15249774" w14:textId="77777777" w:rsidR="00B46A9E" w:rsidRPr="00B46A9E" w:rsidRDefault="00B46A9E" w:rsidP="00B46A9E">
            <w:pPr>
              <w:spacing w:after="0"/>
              <w:rPr>
                <w:rFonts w:ascii="Arial" w:hAnsi="Arial" w:cs="Arial"/>
                <w:b/>
                <w:bCs/>
                <w:color w:val="auto"/>
                <w:sz w:val="16"/>
                <w:szCs w:val="16"/>
              </w:rPr>
            </w:pPr>
          </w:p>
        </w:tc>
        <w:tc>
          <w:tcPr>
            <w:tcW w:w="896" w:type="dxa"/>
            <w:tcBorders>
              <w:top w:val="nil"/>
              <w:left w:val="nil"/>
              <w:bottom w:val="nil"/>
              <w:right w:val="nil"/>
            </w:tcBorders>
            <w:shd w:val="clear" w:color="000000" w:fill="D9D9D9"/>
            <w:noWrap/>
            <w:vAlign w:val="bottom"/>
            <w:hideMark/>
          </w:tcPr>
          <w:p w14:paraId="37D2FE8E" w14:textId="77777777" w:rsidR="00B46A9E" w:rsidRPr="00B46A9E" w:rsidRDefault="00B46A9E" w:rsidP="00B46A9E">
            <w:pPr>
              <w:spacing w:after="0"/>
              <w:jc w:val="right"/>
              <w:rPr>
                <w:rFonts w:ascii="Arial" w:hAnsi="Arial" w:cs="Arial"/>
                <w:sz w:val="16"/>
                <w:szCs w:val="16"/>
              </w:rPr>
            </w:pPr>
            <w:r w:rsidRPr="00B46A9E">
              <w:rPr>
                <w:rFonts w:ascii="Arial" w:hAnsi="Arial" w:cs="Arial"/>
                <w:sz w:val="16"/>
                <w:szCs w:val="16"/>
              </w:rPr>
              <w:t> </w:t>
            </w:r>
          </w:p>
        </w:tc>
        <w:tc>
          <w:tcPr>
            <w:tcW w:w="896" w:type="dxa"/>
            <w:tcBorders>
              <w:top w:val="nil"/>
              <w:left w:val="nil"/>
              <w:bottom w:val="nil"/>
              <w:right w:val="nil"/>
            </w:tcBorders>
            <w:shd w:val="clear" w:color="auto" w:fill="auto"/>
            <w:noWrap/>
            <w:vAlign w:val="bottom"/>
            <w:hideMark/>
          </w:tcPr>
          <w:p w14:paraId="347C5704" w14:textId="77777777" w:rsidR="00B46A9E" w:rsidRPr="00B46A9E" w:rsidRDefault="00B46A9E" w:rsidP="00B46A9E">
            <w:pPr>
              <w:spacing w:after="0"/>
              <w:jc w:val="right"/>
              <w:rPr>
                <w:rFonts w:ascii="Arial" w:hAnsi="Arial" w:cs="Arial"/>
                <w:sz w:val="16"/>
                <w:szCs w:val="16"/>
              </w:rPr>
            </w:pPr>
          </w:p>
        </w:tc>
        <w:tc>
          <w:tcPr>
            <w:tcW w:w="884" w:type="dxa"/>
            <w:tcBorders>
              <w:top w:val="nil"/>
              <w:left w:val="nil"/>
              <w:bottom w:val="nil"/>
              <w:right w:val="nil"/>
            </w:tcBorders>
            <w:shd w:val="clear" w:color="auto" w:fill="auto"/>
            <w:noWrap/>
            <w:vAlign w:val="bottom"/>
            <w:hideMark/>
          </w:tcPr>
          <w:p w14:paraId="21230E98" w14:textId="77777777" w:rsidR="00B46A9E" w:rsidRPr="00B46A9E" w:rsidRDefault="00B46A9E" w:rsidP="00B46A9E">
            <w:pPr>
              <w:spacing w:after="0"/>
              <w:jc w:val="right"/>
              <w:rPr>
                <w:rFonts w:ascii="Times New Roman" w:hAnsi="Times New Roman"/>
                <w:color w:val="auto"/>
                <w:sz w:val="20"/>
              </w:rPr>
            </w:pPr>
          </w:p>
        </w:tc>
        <w:tc>
          <w:tcPr>
            <w:tcW w:w="862" w:type="dxa"/>
            <w:tcBorders>
              <w:top w:val="nil"/>
              <w:left w:val="nil"/>
              <w:bottom w:val="nil"/>
              <w:right w:val="nil"/>
            </w:tcBorders>
            <w:shd w:val="clear" w:color="auto" w:fill="auto"/>
            <w:noWrap/>
            <w:vAlign w:val="bottom"/>
            <w:hideMark/>
          </w:tcPr>
          <w:p w14:paraId="58F3A466" w14:textId="77777777" w:rsidR="00B46A9E" w:rsidRPr="00B46A9E" w:rsidRDefault="00B46A9E" w:rsidP="00B46A9E">
            <w:pPr>
              <w:spacing w:after="0"/>
              <w:jc w:val="right"/>
              <w:rPr>
                <w:rFonts w:ascii="Times New Roman" w:hAnsi="Times New Roman"/>
                <w:color w:val="auto"/>
                <w:sz w:val="20"/>
              </w:rPr>
            </w:pPr>
          </w:p>
        </w:tc>
      </w:tr>
      <w:tr w:rsidR="00B46A9E" w:rsidRPr="00B46A9E" w14:paraId="44A114AA" w14:textId="77777777" w:rsidTr="00A072C5">
        <w:trPr>
          <w:trHeight w:val="225"/>
          <w:jc w:val="center"/>
        </w:trPr>
        <w:tc>
          <w:tcPr>
            <w:tcW w:w="2960" w:type="dxa"/>
            <w:tcBorders>
              <w:top w:val="nil"/>
              <w:left w:val="nil"/>
              <w:bottom w:val="nil"/>
              <w:right w:val="nil"/>
            </w:tcBorders>
            <w:shd w:val="clear" w:color="000000" w:fill="FFFFFF"/>
            <w:noWrap/>
            <w:vAlign w:val="bottom"/>
            <w:hideMark/>
          </w:tcPr>
          <w:p w14:paraId="38095BE0" w14:textId="77777777" w:rsidR="00B46A9E" w:rsidRPr="00B46A9E" w:rsidRDefault="00B46A9E" w:rsidP="00A072C5">
            <w:pPr>
              <w:spacing w:after="0"/>
              <w:ind w:leftChars="75" w:left="143"/>
              <w:rPr>
                <w:rFonts w:ascii="Arial" w:hAnsi="Arial" w:cs="Arial"/>
                <w:color w:val="auto"/>
                <w:sz w:val="16"/>
                <w:szCs w:val="16"/>
              </w:rPr>
            </w:pPr>
            <w:r w:rsidRPr="00B46A9E">
              <w:rPr>
                <w:rFonts w:ascii="Arial" w:hAnsi="Arial" w:cs="Arial"/>
                <w:color w:val="auto"/>
                <w:sz w:val="16"/>
                <w:szCs w:val="16"/>
              </w:rPr>
              <w:t>Total purchases</w:t>
            </w:r>
          </w:p>
        </w:tc>
        <w:tc>
          <w:tcPr>
            <w:tcW w:w="896" w:type="dxa"/>
            <w:tcBorders>
              <w:top w:val="nil"/>
              <w:left w:val="nil"/>
              <w:bottom w:val="nil"/>
              <w:right w:val="nil"/>
            </w:tcBorders>
            <w:shd w:val="clear" w:color="auto" w:fill="auto"/>
            <w:noWrap/>
            <w:vAlign w:val="bottom"/>
            <w:hideMark/>
          </w:tcPr>
          <w:p w14:paraId="5A168467" w14:textId="77777777" w:rsidR="00B46A9E" w:rsidRPr="00B46A9E" w:rsidRDefault="00B46A9E" w:rsidP="00B46A9E">
            <w:pPr>
              <w:spacing w:after="0"/>
              <w:jc w:val="right"/>
              <w:rPr>
                <w:rFonts w:ascii="Arial" w:hAnsi="Arial" w:cs="Arial"/>
                <w:sz w:val="16"/>
                <w:szCs w:val="16"/>
              </w:rPr>
            </w:pPr>
            <w:r w:rsidRPr="00B46A9E">
              <w:rPr>
                <w:rFonts w:ascii="Arial" w:hAnsi="Arial" w:cs="Arial"/>
                <w:sz w:val="16"/>
                <w:szCs w:val="16"/>
              </w:rPr>
              <w:t>2,082</w:t>
            </w:r>
          </w:p>
        </w:tc>
        <w:tc>
          <w:tcPr>
            <w:tcW w:w="896" w:type="dxa"/>
            <w:tcBorders>
              <w:top w:val="nil"/>
              <w:left w:val="nil"/>
              <w:bottom w:val="nil"/>
              <w:right w:val="nil"/>
            </w:tcBorders>
            <w:shd w:val="clear" w:color="000000" w:fill="D9D9D9"/>
            <w:noWrap/>
            <w:vAlign w:val="bottom"/>
            <w:hideMark/>
          </w:tcPr>
          <w:p w14:paraId="2CE25011" w14:textId="77777777" w:rsidR="00B46A9E" w:rsidRPr="00B46A9E" w:rsidRDefault="00B46A9E" w:rsidP="00B46A9E">
            <w:pPr>
              <w:spacing w:after="0"/>
              <w:jc w:val="right"/>
              <w:rPr>
                <w:rFonts w:ascii="Arial" w:hAnsi="Arial" w:cs="Arial"/>
                <w:sz w:val="16"/>
                <w:szCs w:val="16"/>
              </w:rPr>
            </w:pPr>
            <w:r w:rsidRPr="00B46A9E">
              <w:rPr>
                <w:rFonts w:ascii="Arial" w:hAnsi="Arial" w:cs="Arial"/>
                <w:sz w:val="16"/>
                <w:szCs w:val="16"/>
              </w:rPr>
              <w:t>3,178</w:t>
            </w:r>
          </w:p>
        </w:tc>
        <w:tc>
          <w:tcPr>
            <w:tcW w:w="896" w:type="dxa"/>
            <w:tcBorders>
              <w:top w:val="nil"/>
              <w:left w:val="nil"/>
              <w:bottom w:val="nil"/>
              <w:right w:val="nil"/>
            </w:tcBorders>
            <w:shd w:val="clear" w:color="auto" w:fill="auto"/>
            <w:noWrap/>
            <w:vAlign w:val="bottom"/>
            <w:hideMark/>
          </w:tcPr>
          <w:p w14:paraId="01265E31" w14:textId="77777777" w:rsidR="00B46A9E" w:rsidRPr="00B46A9E" w:rsidRDefault="00B46A9E" w:rsidP="00B46A9E">
            <w:pPr>
              <w:spacing w:after="0"/>
              <w:jc w:val="right"/>
              <w:rPr>
                <w:rFonts w:ascii="Arial" w:hAnsi="Arial" w:cs="Arial"/>
                <w:sz w:val="16"/>
                <w:szCs w:val="16"/>
              </w:rPr>
            </w:pPr>
            <w:r w:rsidRPr="00B46A9E">
              <w:rPr>
                <w:rFonts w:ascii="Arial" w:hAnsi="Arial" w:cs="Arial"/>
                <w:sz w:val="16"/>
                <w:szCs w:val="16"/>
              </w:rPr>
              <w:t>1,945</w:t>
            </w:r>
          </w:p>
        </w:tc>
        <w:tc>
          <w:tcPr>
            <w:tcW w:w="884" w:type="dxa"/>
            <w:tcBorders>
              <w:top w:val="nil"/>
              <w:left w:val="nil"/>
              <w:bottom w:val="nil"/>
              <w:right w:val="nil"/>
            </w:tcBorders>
            <w:shd w:val="clear" w:color="auto" w:fill="auto"/>
            <w:noWrap/>
            <w:vAlign w:val="bottom"/>
            <w:hideMark/>
          </w:tcPr>
          <w:p w14:paraId="37F83240" w14:textId="77777777" w:rsidR="00B46A9E" w:rsidRPr="00B46A9E" w:rsidRDefault="00B46A9E" w:rsidP="00B46A9E">
            <w:pPr>
              <w:spacing w:after="0"/>
              <w:jc w:val="right"/>
              <w:rPr>
                <w:rFonts w:ascii="Arial" w:hAnsi="Arial" w:cs="Arial"/>
                <w:sz w:val="16"/>
                <w:szCs w:val="16"/>
              </w:rPr>
            </w:pPr>
            <w:r w:rsidRPr="00B46A9E">
              <w:rPr>
                <w:rFonts w:ascii="Arial" w:hAnsi="Arial" w:cs="Arial"/>
                <w:sz w:val="16"/>
                <w:szCs w:val="16"/>
              </w:rPr>
              <w:t>2,445</w:t>
            </w:r>
          </w:p>
        </w:tc>
        <w:tc>
          <w:tcPr>
            <w:tcW w:w="862" w:type="dxa"/>
            <w:tcBorders>
              <w:top w:val="nil"/>
              <w:left w:val="nil"/>
              <w:bottom w:val="nil"/>
              <w:right w:val="nil"/>
            </w:tcBorders>
            <w:shd w:val="clear" w:color="auto" w:fill="auto"/>
            <w:noWrap/>
            <w:vAlign w:val="bottom"/>
            <w:hideMark/>
          </w:tcPr>
          <w:p w14:paraId="47ACA0C9" w14:textId="77777777" w:rsidR="00B46A9E" w:rsidRPr="00B46A9E" w:rsidRDefault="00B46A9E" w:rsidP="00B46A9E">
            <w:pPr>
              <w:spacing w:after="0"/>
              <w:jc w:val="right"/>
              <w:rPr>
                <w:rFonts w:ascii="Arial" w:hAnsi="Arial" w:cs="Arial"/>
                <w:sz w:val="16"/>
                <w:szCs w:val="16"/>
              </w:rPr>
            </w:pPr>
            <w:r w:rsidRPr="00B46A9E">
              <w:rPr>
                <w:rFonts w:ascii="Arial" w:hAnsi="Arial" w:cs="Arial"/>
                <w:sz w:val="16"/>
                <w:szCs w:val="16"/>
              </w:rPr>
              <w:t>945</w:t>
            </w:r>
          </w:p>
        </w:tc>
      </w:tr>
      <w:tr w:rsidR="00B46A9E" w:rsidRPr="00B46A9E" w14:paraId="77061F20" w14:textId="77777777" w:rsidTr="00A072C5">
        <w:trPr>
          <w:trHeight w:val="227"/>
          <w:jc w:val="center"/>
        </w:trPr>
        <w:tc>
          <w:tcPr>
            <w:tcW w:w="2960" w:type="dxa"/>
            <w:tcBorders>
              <w:top w:val="nil"/>
              <w:left w:val="nil"/>
              <w:bottom w:val="single" w:sz="4" w:space="0" w:color="auto"/>
              <w:right w:val="nil"/>
            </w:tcBorders>
            <w:shd w:val="clear" w:color="000000" w:fill="FFFFFF"/>
            <w:vAlign w:val="bottom"/>
            <w:hideMark/>
          </w:tcPr>
          <w:p w14:paraId="72A288D5" w14:textId="77777777" w:rsidR="00B46A9E" w:rsidRPr="00B46A9E" w:rsidRDefault="00B46A9E" w:rsidP="00A072C5">
            <w:pPr>
              <w:spacing w:after="0"/>
              <w:ind w:leftChars="75" w:left="143"/>
              <w:rPr>
                <w:rFonts w:ascii="Arial" w:hAnsi="Arial" w:cs="Arial"/>
                <w:b/>
                <w:bCs/>
                <w:color w:val="auto"/>
                <w:sz w:val="16"/>
                <w:szCs w:val="16"/>
              </w:rPr>
            </w:pPr>
            <w:r w:rsidRPr="00B46A9E">
              <w:rPr>
                <w:rFonts w:ascii="Arial" w:hAnsi="Arial" w:cs="Arial"/>
                <w:b/>
                <w:bCs/>
                <w:color w:val="auto"/>
                <w:sz w:val="16"/>
                <w:szCs w:val="16"/>
              </w:rPr>
              <w:t>Total cash used to acquire asset</w:t>
            </w:r>
          </w:p>
        </w:tc>
        <w:tc>
          <w:tcPr>
            <w:tcW w:w="896" w:type="dxa"/>
            <w:tcBorders>
              <w:top w:val="nil"/>
              <w:left w:val="nil"/>
              <w:bottom w:val="single" w:sz="4" w:space="0" w:color="auto"/>
              <w:right w:val="nil"/>
            </w:tcBorders>
            <w:shd w:val="clear" w:color="auto" w:fill="auto"/>
            <w:noWrap/>
            <w:vAlign w:val="bottom"/>
            <w:hideMark/>
          </w:tcPr>
          <w:p w14:paraId="606853BB" w14:textId="77777777" w:rsidR="00B46A9E" w:rsidRPr="00B46A9E" w:rsidRDefault="00B46A9E" w:rsidP="00B46A9E">
            <w:pPr>
              <w:spacing w:after="0"/>
              <w:jc w:val="right"/>
              <w:rPr>
                <w:rFonts w:ascii="Arial" w:hAnsi="Arial" w:cs="Arial"/>
                <w:b/>
                <w:bCs/>
                <w:color w:val="auto"/>
                <w:sz w:val="16"/>
                <w:szCs w:val="16"/>
              </w:rPr>
            </w:pPr>
            <w:r w:rsidRPr="00B46A9E">
              <w:rPr>
                <w:rFonts w:ascii="Arial" w:hAnsi="Arial" w:cs="Arial"/>
                <w:b/>
                <w:bCs/>
                <w:color w:val="auto"/>
                <w:sz w:val="16"/>
                <w:szCs w:val="16"/>
              </w:rPr>
              <w:t>2,082</w:t>
            </w:r>
          </w:p>
        </w:tc>
        <w:tc>
          <w:tcPr>
            <w:tcW w:w="896" w:type="dxa"/>
            <w:tcBorders>
              <w:top w:val="nil"/>
              <w:left w:val="nil"/>
              <w:bottom w:val="single" w:sz="4" w:space="0" w:color="auto"/>
              <w:right w:val="nil"/>
            </w:tcBorders>
            <w:shd w:val="clear" w:color="000000" w:fill="D9D9D9"/>
            <w:noWrap/>
            <w:vAlign w:val="bottom"/>
            <w:hideMark/>
          </w:tcPr>
          <w:p w14:paraId="1D610C9F" w14:textId="77777777" w:rsidR="00B46A9E" w:rsidRPr="00B46A9E" w:rsidRDefault="00B46A9E" w:rsidP="00B46A9E">
            <w:pPr>
              <w:spacing w:after="0"/>
              <w:jc w:val="right"/>
              <w:rPr>
                <w:rFonts w:ascii="Arial" w:hAnsi="Arial" w:cs="Arial"/>
                <w:b/>
                <w:bCs/>
                <w:sz w:val="16"/>
                <w:szCs w:val="16"/>
              </w:rPr>
            </w:pPr>
            <w:r w:rsidRPr="00B46A9E">
              <w:rPr>
                <w:rFonts w:ascii="Arial" w:hAnsi="Arial" w:cs="Arial"/>
                <w:b/>
                <w:bCs/>
                <w:sz w:val="16"/>
                <w:szCs w:val="16"/>
              </w:rPr>
              <w:t>3,178</w:t>
            </w:r>
          </w:p>
        </w:tc>
        <w:tc>
          <w:tcPr>
            <w:tcW w:w="896" w:type="dxa"/>
            <w:tcBorders>
              <w:top w:val="nil"/>
              <w:left w:val="nil"/>
              <w:bottom w:val="single" w:sz="4" w:space="0" w:color="auto"/>
              <w:right w:val="nil"/>
            </w:tcBorders>
            <w:shd w:val="clear" w:color="auto" w:fill="auto"/>
            <w:noWrap/>
            <w:vAlign w:val="bottom"/>
            <w:hideMark/>
          </w:tcPr>
          <w:p w14:paraId="2F2DE184" w14:textId="77777777" w:rsidR="00B46A9E" w:rsidRPr="00B46A9E" w:rsidRDefault="00B46A9E" w:rsidP="00B46A9E">
            <w:pPr>
              <w:spacing w:after="0"/>
              <w:jc w:val="right"/>
              <w:rPr>
                <w:rFonts w:ascii="Arial" w:hAnsi="Arial" w:cs="Arial"/>
                <w:b/>
                <w:bCs/>
                <w:sz w:val="16"/>
                <w:szCs w:val="16"/>
              </w:rPr>
            </w:pPr>
            <w:r w:rsidRPr="00B46A9E">
              <w:rPr>
                <w:rFonts w:ascii="Arial" w:hAnsi="Arial" w:cs="Arial"/>
                <w:b/>
                <w:bCs/>
                <w:sz w:val="16"/>
                <w:szCs w:val="16"/>
              </w:rPr>
              <w:t>1,945</w:t>
            </w:r>
          </w:p>
        </w:tc>
        <w:tc>
          <w:tcPr>
            <w:tcW w:w="884" w:type="dxa"/>
            <w:tcBorders>
              <w:top w:val="nil"/>
              <w:left w:val="nil"/>
              <w:bottom w:val="single" w:sz="4" w:space="0" w:color="auto"/>
              <w:right w:val="nil"/>
            </w:tcBorders>
            <w:shd w:val="clear" w:color="auto" w:fill="auto"/>
            <w:noWrap/>
            <w:vAlign w:val="bottom"/>
            <w:hideMark/>
          </w:tcPr>
          <w:p w14:paraId="0E314FCF" w14:textId="77777777" w:rsidR="00B46A9E" w:rsidRPr="00B46A9E" w:rsidRDefault="00B46A9E" w:rsidP="00B46A9E">
            <w:pPr>
              <w:spacing w:after="0"/>
              <w:jc w:val="right"/>
              <w:rPr>
                <w:rFonts w:ascii="Arial" w:hAnsi="Arial" w:cs="Arial"/>
                <w:b/>
                <w:bCs/>
                <w:color w:val="auto"/>
                <w:sz w:val="16"/>
                <w:szCs w:val="16"/>
              </w:rPr>
            </w:pPr>
            <w:r w:rsidRPr="00B46A9E">
              <w:rPr>
                <w:rFonts w:ascii="Arial" w:hAnsi="Arial" w:cs="Arial"/>
                <w:b/>
                <w:bCs/>
                <w:color w:val="auto"/>
                <w:sz w:val="16"/>
                <w:szCs w:val="16"/>
              </w:rPr>
              <w:t>2,445</w:t>
            </w:r>
          </w:p>
        </w:tc>
        <w:tc>
          <w:tcPr>
            <w:tcW w:w="862" w:type="dxa"/>
            <w:tcBorders>
              <w:top w:val="nil"/>
              <w:left w:val="nil"/>
              <w:bottom w:val="single" w:sz="4" w:space="0" w:color="auto"/>
              <w:right w:val="nil"/>
            </w:tcBorders>
            <w:shd w:val="clear" w:color="auto" w:fill="auto"/>
            <w:noWrap/>
            <w:vAlign w:val="bottom"/>
            <w:hideMark/>
          </w:tcPr>
          <w:p w14:paraId="14CF7D49" w14:textId="77777777" w:rsidR="00B46A9E" w:rsidRPr="00B46A9E" w:rsidRDefault="00B46A9E" w:rsidP="00B46A9E">
            <w:pPr>
              <w:spacing w:after="0"/>
              <w:jc w:val="right"/>
              <w:rPr>
                <w:rFonts w:ascii="Arial" w:hAnsi="Arial" w:cs="Arial"/>
                <w:b/>
                <w:bCs/>
                <w:color w:val="auto"/>
                <w:sz w:val="16"/>
                <w:szCs w:val="16"/>
              </w:rPr>
            </w:pPr>
            <w:r w:rsidRPr="00B46A9E">
              <w:rPr>
                <w:rFonts w:ascii="Arial" w:hAnsi="Arial" w:cs="Arial"/>
                <w:b/>
                <w:bCs/>
                <w:color w:val="auto"/>
                <w:sz w:val="16"/>
                <w:szCs w:val="16"/>
              </w:rPr>
              <w:t>945</w:t>
            </w:r>
          </w:p>
        </w:tc>
      </w:tr>
    </w:tbl>
    <w:p w14:paraId="7563ED71" w14:textId="77777777" w:rsidR="002A1C99" w:rsidRDefault="001C745B" w:rsidP="002A1C99">
      <w:pPr>
        <w:pStyle w:val="FootnoteText"/>
        <w:spacing w:before="120"/>
        <w:ind w:left="0" w:firstLine="0"/>
      </w:pPr>
      <w:r w:rsidRPr="00A072C5">
        <w:rPr>
          <w:vertAlign w:val="superscript"/>
        </w:rPr>
        <w:t>(a)</w:t>
      </w:r>
      <w:r w:rsidRPr="00A072C5">
        <w:rPr>
          <w:vertAlign w:val="superscript"/>
        </w:rPr>
        <w:tab/>
      </w:r>
      <w:r w:rsidRPr="001C745B">
        <w:t>Includes both current Bill 2 and prior Act 2, 4, 6 appropriations.</w:t>
      </w:r>
    </w:p>
    <w:p w14:paraId="21FA0128" w14:textId="3A63A56F" w:rsidR="004F306B" w:rsidRDefault="004F306B" w:rsidP="002A1C99">
      <w:pPr>
        <w:pStyle w:val="FootnoteText"/>
        <w:spacing w:before="120"/>
        <w:ind w:left="0" w:firstLine="0"/>
        <w:rPr>
          <w:b/>
          <w:color w:val="auto"/>
          <w:sz w:val="20"/>
        </w:rPr>
      </w:pPr>
      <w:r>
        <w:rPr>
          <w:b/>
          <w:color w:val="auto"/>
          <w:sz w:val="20"/>
        </w:rPr>
        <w:br w:type="page"/>
      </w:r>
    </w:p>
    <w:p w14:paraId="0C799702" w14:textId="5766E8B3" w:rsidR="00C95982" w:rsidRPr="004F306B" w:rsidRDefault="00C95982" w:rsidP="002A1C99">
      <w:pPr>
        <w:pStyle w:val="FootnoteText"/>
        <w:spacing w:before="120" w:after="120"/>
        <w:ind w:left="0" w:firstLine="0"/>
      </w:pPr>
      <w:r w:rsidRPr="00C95982">
        <w:rPr>
          <w:b/>
          <w:color w:val="auto"/>
          <w:sz w:val="20"/>
        </w:rPr>
        <w:lastRenderedPageBreak/>
        <w:t xml:space="preserve">Table 3.6: Statement of departmental asset movements </w:t>
      </w:r>
      <w:r w:rsidRPr="00C95982">
        <w:rPr>
          <w:b/>
          <w:color w:val="auto"/>
          <w:sz w:val="20"/>
        </w:rPr>
        <w:br/>
        <w:t>(Budget year 2022–23)</w:t>
      </w:r>
    </w:p>
    <w:tbl>
      <w:tblPr>
        <w:tblW w:w="7396" w:type="dxa"/>
        <w:jc w:val="center"/>
        <w:tblLayout w:type="fixed"/>
        <w:tblLook w:val="04A0" w:firstRow="1" w:lastRow="0" w:firstColumn="1" w:lastColumn="0" w:noHBand="0" w:noVBand="1"/>
      </w:tblPr>
      <w:tblGrid>
        <w:gridCol w:w="3200"/>
        <w:gridCol w:w="1049"/>
        <w:gridCol w:w="1049"/>
        <w:gridCol w:w="1049"/>
        <w:gridCol w:w="1049"/>
      </w:tblGrid>
      <w:tr w:rsidR="00A60080" w:rsidRPr="00A60080" w14:paraId="3B600A4B" w14:textId="77777777" w:rsidTr="00C7013A">
        <w:trPr>
          <w:trHeight w:val="765"/>
          <w:jc w:val="center"/>
        </w:trPr>
        <w:tc>
          <w:tcPr>
            <w:tcW w:w="3200" w:type="dxa"/>
            <w:tcBorders>
              <w:top w:val="single" w:sz="4" w:space="0" w:color="auto"/>
              <w:left w:val="nil"/>
              <w:bottom w:val="nil"/>
              <w:right w:val="nil"/>
            </w:tcBorders>
            <w:shd w:val="clear" w:color="auto" w:fill="auto"/>
            <w:hideMark/>
          </w:tcPr>
          <w:p w14:paraId="606BE2B8" w14:textId="77777777" w:rsidR="00A60080" w:rsidRPr="00A60080" w:rsidRDefault="00A60080" w:rsidP="00A072C5">
            <w:pPr>
              <w:spacing w:before="40" w:after="0"/>
              <w:jc w:val="right"/>
              <w:rPr>
                <w:rFonts w:ascii="Times New Roman" w:hAnsi="Times New Roman"/>
                <w:color w:val="auto"/>
                <w:sz w:val="20"/>
                <w:szCs w:val="24"/>
              </w:rPr>
            </w:pPr>
          </w:p>
        </w:tc>
        <w:tc>
          <w:tcPr>
            <w:tcW w:w="1049" w:type="dxa"/>
            <w:tcBorders>
              <w:top w:val="single" w:sz="4" w:space="0" w:color="auto"/>
              <w:left w:val="nil"/>
              <w:bottom w:val="single" w:sz="4" w:space="0" w:color="auto"/>
              <w:right w:val="nil"/>
            </w:tcBorders>
            <w:shd w:val="clear" w:color="auto" w:fill="auto"/>
            <w:hideMark/>
          </w:tcPr>
          <w:p w14:paraId="25E58BB4" w14:textId="77777777" w:rsidR="00A60080" w:rsidRPr="00A60080" w:rsidRDefault="00A60080" w:rsidP="00A072C5">
            <w:pPr>
              <w:spacing w:before="40" w:after="0"/>
              <w:jc w:val="right"/>
              <w:rPr>
                <w:rFonts w:ascii="Arial" w:hAnsi="Arial" w:cs="Arial"/>
                <w:b/>
                <w:bCs/>
                <w:color w:val="auto"/>
                <w:sz w:val="16"/>
                <w:szCs w:val="16"/>
              </w:rPr>
            </w:pPr>
            <w:r w:rsidRPr="00A60080">
              <w:rPr>
                <w:rFonts w:ascii="Arial" w:hAnsi="Arial" w:cs="Arial"/>
                <w:b/>
                <w:bCs/>
                <w:color w:val="auto"/>
                <w:sz w:val="16"/>
                <w:szCs w:val="16"/>
              </w:rPr>
              <w:t>Buildings</w:t>
            </w:r>
            <w:r w:rsidRPr="00A60080">
              <w:rPr>
                <w:rFonts w:ascii="Arial" w:hAnsi="Arial" w:cs="Arial"/>
                <w:color w:val="auto"/>
                <w:sz w:val="16"/>
                <w:szCs w:val="16"/>
              </w:rPr>
              <w:t xml:space="preserve"> </w:t>
            </w:r>
            <w:r w:rsidRPr="00A60080">
              <w:rPr>
                <w:rFonts w:ascii="Arial" w:hAnsi="Arial" w:cs="Arial"/>
                <w:color w:val="auto"/>
                <w:sz w:val="16"/>
                <w:szCs w:val="16"/>
              </w:rPr>
              <w:br/>
            </w:r>
            <w:r w:rsidRPr="00A60080">
              <w:rPr>
                <w:rFonts w:ascii="Arial" w:hAnsi="Arial" w:cs="Arial"/>
                <w:color w:val="auto"/>
                <w:sz w:val="16"/>
                <w:szCs w:val="16"/>
              </w:rPr>
              <w:br/>
            </w:r>
            <w:r w:rsidRPr="00A60080">
              <w:rPr>
                <w:rFonts w:ascii="Arial" w:hAnsi="Arial" w:cs="Arial"/>
                <w:color w:val="auto"/>
                <w:sz w:val="16"/>
                <w:szCs w:val="16"/>
              </w:rPr>
              <w:br/>
              <w:t>$'000</w:t>
            </w:r>
          </w:p>
        </w:tc>
        <w:tc>
          <w:tcPr>
            <w:tcW w:w="1049" w:type="dxa"/>
            <w:tcBorders>
              <w:top w:val="single" w:sz="4" w:space="0" w:color="auto"/>
              <w:left w:val="nil"/>
              <w:bottom w:val="single" w:sz="4" w:space="0" w:color="auto"/>
              <w:right w:val="nil"/>
            </w:tcBorders>
            <w:shd w:val="clear" w:color="auto" w:fill="auto"/>
            <w:hideMark/>
          </w:tcPr>
          <w:p w14:paraId="722D5094" w14:textId="77777777" w:rsidR="00A60080" w:rsidRPr="00A60080" w:rsidRDefault="00A60080" w:rsidP="00A072C5">
            <w:pPr>
              <w:spacing w:before="40" w:after="0"/>
              <w:jc w:val="right"/>
              <w:rPr>
                <w:rFonts w:ascii="Arial" w:hAnsi="Arial" w:cs="Arial"/>
                <w:b/>
                <w:bCs/>
                <w:color w:val="auto"/>
                <w:sz w:val="16"/>
                <w:szCs w:val="16"/>
              </w:rPr>
            </w:pPr>
            <w:r w:rsidRPr="00A60080">
              <w:rPr>
                <w:rFonts w:ascii="Arial" w:hAnsi="Arial" w:cs="Arial"/>
                <w:b/>
                <w:bCs/>
                <w:color w:val="auto"/>
                <w:sz w:val="16"/>
                <w:szCs w:val="16"/>
              </w:rPr>
              <w:t xml:space="preserve">Property, plant and equipment </w:t>
            </w:r>
            <w:r w:rsidRPr="00A60080">
              <w:rPr>
                <w:rFonts w:ascii="Arial" w:hAnsi="Arial" w:cs="Arial"/>
                <w:b/>
                <w:bCs/>
                <w:color w:val="auto"/>
                <w:sz w:val="16"/>
                <w:szCs w:val="16"/>
              </w:rPr>
              <w:br/>
            </w:r>
            <w:r w:rsidRPr="00A60080">
              <w:rPr>
                <w:rFonts w:ascii="Arial" w:hAnsi="Arial" w:cs="Arial"/>
                <w:color w:val="auto"/>
                <w:sz w:val="16"/>
                <w:szCs w:val="16"/>
              </w:rPr>
              <w:t>$'000</w:t>
            </w:r>
          </w:p>
        </w:tc>
        <w:tc>
          <w:tcPr>
            <w:tcW w:w="1049" w:type="dxa"/>
            <w:tcBorders>
              <w:top w:val="single" w:sz="4" w:space="0" w:color="auto"/>
              <w:left w:val="nil"/>
              <w:bottom w:val="single" w:sz="4" w:space="0" w:color="auto"/>
              <w:right w:val="nil"/>
            </w:tcBorders>
            <w:shd w:val="clear" w:color="auto" w:fill="auto"/>
            <w:tcMar>
              <w:left w:w="0" w:type="dxa"/>
            </w:tcMar>
            <w:hideMark/>
          </w:tcPr>
          <w:p w14:paraId="4F7935F3" w14:textId="77777777" w:rsidR="00A60080" w:rsidRPr="00A60080" w:rsidRDefault="00A60080" w:rsidP="00A072C5">
            <w:pPr>
              <w:spacing w:before="40" w:after="0"/>
              <w:jc w:val="right"/>
              <w:rPr>
                <w:rFonts w:ascii="Arial" w:hAnsi="Arial" w:cs="Arial"/>
                <w:b/>
                <w:bCs/>
                <w:color w:val="auto"/>
                <w:sz w:val="16"/>
                <w:szCs w:val="16"/>
              </w:rPr>
            </w:pPr>
            <w:r w:rsidRPr="00A60080">
              <w:rPr>
                <w:rFonts w:ascii="Arial" w:hAnsi="Arial" w:cs="Arial"/>
                <w:b/>
                <w:bCs/>
                <w:color w:val="auto"/>
                <w:sz w:val="16"/>
                <w:szCs w:val="16"/>
              </w:rPr>
              <w:t xml:space="preserve">Intangibles </w:t>
            </w:r>
            <w:r w:rsidRPr="00A60080">
              <w:rPr>
                <w:rFonts w:ascii="Arial" w:hAnsi="Arial" w:cs="Arial"/>
                <w:b/>
                <w:bCs/>
                <w:color w:val="auto"/>
                <w:sz w:val="16"/>
                <w:szCs w:val="16"/>
              </w:rPr>
              <w:br/>
            </w:r>
            <w:r w:rsidRPr="00A60080">
              <w:rPr>
                <w:rFonts w:ascii="Arial" w:hAnsi="Arial" w:cs="Arial"/>
                <w:b/>
                <w:bCs/>
                <w:color w:val="auto"/>
                <w:sz w:val="16"/>
                <w:szCs w:val="16"/>
              </w:rPr>
              <w:br/>
            </w:r>
            <w:r w:rsidRPr="00A60080">
              <w:rPr>
                <w:rFonts w:ascii="Arial" w:hAnsi="Arial" w:cs="Arial"/>
                <w:b/>
                <w:bCs/>
                <w:color w:val="auto"/>
                <w:sz w:val="16"/>
                <w:szCs w:val="16"/>
              </w:rPr>
              <w:br/>
            </w:r>
            <w:r w:rsidRPr="00A60080">
              <w:rPr>
                <w:rFonts w:ascii="Arial" w:hAnsi="Arial" w:cs="Arial"/>
                <w:color w:val="auto"/>
                <w:sz w:val="16"/>
                <w:szCs w:val="16"/>
              </w:rPr>
              <w:t>$'000</w:t>
            </w:r>
          </w:p>
        </w:tc>
        <w:tc>
          <w:tcPr>
            <w:tcW w:w="1049" w:type="dxa"/>
            <w:tcBorders>
              <w:top w:val="single" w:sz="4" w:space="0" w:color="auto"/>
              <w:left w:val="nil"/>
              <w:bottom w:val="single" w:sz="4" w:space="0" w:color="auto"/>
              <w:right w:val="nil"/>
            </w:tcBorders>
            <w:shd w:val="clear" w:color="auto" w:fill="auto"/>
            <w:hideMark/>
          </w:tcPr>
          <w:p w14:paraId="7817929A" w14:textId="77777777" w:rsidR="00A60080" w:rsidRPr="00A60080" w:rsidRDefault="00A60080" w:rsidP="00A072C5">
            <w:pPr>
              <w:spacing w:before="40" w:after="0"/>
              <w:jc w:val="right"/>
              <w:rPr>
                <w:rFonts w:ascii="Arial" w:hAnsi="Arial" w:cs="Arial"/>
                <w:b/>
                <w:bCs/>
                <w:color w:val="auto"/>
                <w:sz w:val="16"/>
                <w:szCs w:val="16"/>
              </w:rPr>
            </w:pPr>
            <w:r w:rsidRPr="00A60080">
              <w:rPr>
                <w:rFonts w:ascii="Arial" w:hAnsi="Arial" w:cs="Arial"/>
                <w:b/>
                <w:bCs/>
                <w:color w:val="auto"/>
                <w:sz w:val="16"/>
                <w:szCs w:val="16"/>
              </w:rPr>
              <w:t xml:space="preserve">Total </w:t>
            </w:r>
            <w:r w:rsidRPr="00A60080">
              <w:rPr>
                <w:rFonts w:ascii="Arial" w:hAnsi="Arial" w:cs="Arial"/>
                <w:b/>
                <w:bCs/>
                <w:color w:val="auto"/>
                <w:sz w:val="16"/>
                <w:szCs w:val="16"/>
              </w:rPr>
              <w:br/>
            </w:r>
            <w:r w:rsidRPr="00A60080">
              <w:rPr>
                <w:rFonts w:ascii="Arial" w:hAnsi="Arial" w:cs="Arial"/>
                <w:b/>
                <w:bCs/>
                <w:color w:val="auto"/>
                <w:sz w:val="16"/>
                <w:szCs w:val="16"/>
              </w:rPr>
              <w:br/>
            </w:r>
            <w:r w:rsidRPr="00A60080">
              <w:rPr>
                <w:rFonts w:ascii="Arial" w:hAnsi="Arial" w:cs="Arial"/>
                <w:b/>
                <w:bCs/>
                <w:color w:val="auto"/>
                <w:sz w:val="16"/>
                <w:szCs w:val="16"/>
              </w:rPr>
              <w:br/>
            </w:r>
            <w:r w:rsidRPr="00A60080">
              <w:rPr>
                <w:rFonts w:ascii="Arial" w:hAnsi="Arial" w:cs="Arial"/>
                <w:color w:val="auto"/>
                <w:sz w:val="16"/>
                <w:szCs w:val="16"/>
              </w:rPr>
              <w:t>$'000</w:t>
            </w:r>
          </w:p>
        </w:tc>
      </w:tr>
      <w:tr w:rsidR="00A60080" w:rsidRPr="00A60080" w14:paraId="33683FB5" w14:textId="77777777" w:rsidTr="00A072C5">
        <w:trPr>
          <w:trHeight w:val="225"/>
          <w:jc w:val="center"/>
        </w:trPr>
        <w:tc>
          <w:tcPr>
            <w:tcW w:w="3200" w:type="dxa"/>
            <w:tcBorders>
              <w:top w:val="nil"/>
              <w:left w:val="nil"/>
              <w:bottom w:val="nil"/>
              <w:right w:val="nil"/>
            </w:tcBorders>
            <w:shd w:val="clear" w:color="auto" w:fill="auto"/>
            <w:noWrap/>
            <w:vAlign w:val="bottom"/>
            <w:hideMark/>
          </w:tcPr>
          <w:p w14:paraId="6E77ABE5" w14:textId="77777777" w:rsidR="00A60080" w:rsidRPr="00A60080" w:rsidRDefault="00A60080" w:rsidP="00A60080">
            <w:pPr>
              <w:spacing w:after="0"/>
              <w:rPr>
                <w:rFonts w:ascii="Arial" w:hAnsi="Arial" w:cs="Arial"/>
                <w:b/>
                <w:bCs/>
                <w:color w:val="auto"/>
                <w:sz w:val="16"/>
                <w:szCs w:val="16"/>
              </w:rPr>
            </w:pPr>
            <w:r w:rsidRPr="00A60080">
              <w:rPr>
                <w:rFonts w:ascii="Arial" w:hAnsi="Arial" w:cs="Arial"/>
                <w:b/>
                <w:bCs/>
                <w:color w:val="auto"/>
                <w:sz w:val="16"/>
                <w:szCs w:val="16"/>
              </w:rPr>
              <w:t>As at 1 July 2022</w:t>
            </w:r>
          </w:p>
        </w:tc>
        <w:tc>
          <w:tcPr>
            <w:tcW w:w="1049" w:type="dxa"/>
            <w:tcBorders>
              <w:top w:val="nil"/>
              <w:left w:val="nil"/>
              <w:bottom w:val="nil"/>
              <w:right w:val="nil"/>
            </w:tcBorders>
            <w:shd w:val="clear" w:color="auto" w:fill="auto"/>
            <w:noWrap/>
            <w:vAlign w:val="bottom"/>
            <w:hideMark/>
          </w:tcPr>
          <w:p w14:paraId="000A696E" w14:textId="77777777" w:rsidR="00A60080" w:rsidRPr="00A60080" w:rsidRDefault="00A60080" w:rsidP="00A60080">
            <w:pPr>
              <w:spacing w:after="0"/>
              <w:rPr>
                <w:rFonts w:ascii="Arial" w:hAnsi="Arial" w:cs="Arial"/>
                <w:b/>
                <w:bCs/>
                <w:color w:val="auto"/>
                <w:sz w:val="16"/>
                <w:szCs w:val="16"/>
              </w:rPr>
            </w:pPr>
          </w:p>
        </w:tc>
        <w:tc>
          <w:tcPr>
            <w:tcW w:w="1049" w:type="dxa"/>
            <w:tcBorders>
              <w:top w:val="nil"/>
              <w:left w:val="nil"/>
              <w:bottom w:val="nil"/>
              <w:right w:val="nil"/>
            </w:tcBorders>
            <w:shd w:val="clear" w:color="auto" w:fill="auto"/>
            <w:noWrap/>
            <w:vAlign w:val="bottom"/>
            <w:hideMark/>
          </w:tcPr>
          <w:p w14:paraId="2A7B508B" w14:textId="77777777" w:rsidR="00A60080" w:rsidRPr="00A60080" w:rsidRDefault="00A60080" w:rsidP="00A60080">
            <w:pPr>
              <w:spacing w:after="0"/>
              <w:jc w:val="right"/>
              <w:rPr>
                <w:rFonts w:ascii="Times New Roman" w:hAnsi="Times New Roman"/>
                <w:color w:val="auto"/>
                <w:sz w:val="20"/>
              </w:rPr>
            </w:pPr>
          </w:p>
        </w:tc>
        <w:tc>
          <w:tcPr>
            <w:tcW w:w="1049" w:type="dxa"/>
            <w:tcBorders>
              <w:top w:val="nil"/>
              <w:left w:val="nil"/>
              <w:bottom w:val="nil"/>
              <w:right w:val="nil"/>
            </w:tcBorders>
            <w:shd w:val="clear" w:color="auto" w:fill="auto"/>
            <w:noWrap/>
            <w:vAlign w:val="bottom"/>
            <w:hideMark/>
          </w:tcPr>
          <w:p w14:paraId="57CDA516" w14:textId="77777777" w:rsidR="00A60080" w:rsidRPr="00A60080" w:rsidRDefault="00A60080" w:rsidP="00A60080">
            <w:pPr>
              <w:spacing w:after="0"/>
              <w:jc w:val="right"/>
              <w:rPr>
                <w:rFonts w:ascii="Times New Roman" w:hAnsi="Times New Roman"/>
                <w:color w:val="auto"/>
                <w:sz w:val="20"/>
              </w:rPr>
            </w:pPr>
          </w:p>
        </w:tc>
        <w:tc>
          <w:tcPr>
            <w:tcW w:w="1049" w:type="dxa"/>
            <w:tcBorders>
              <w:top w:val="nil"/>
              <w:left w:val="nil"/>
              <w:bottom w:val="nil"/>
              <w:right w:val="nil"/>
            </w:tcBorders>
            <w:shd w:val="clear" w:color="auto" w:fill="auto"/>
            <w:noWrap/>
            <w:vAlign w:val="bottom"/>
            <w:hideMark/>
          </w:tcPr>
          <w:p w14:paraId="07431423" w14:textId="77777777" w:rsidR="00A60080" w:rsidRPr="00A60080" w:rsidRDefault="00A60080" w:rsidP="00A60080">
            <w:pPr>
              <w:spacing w:after="0"/>
              <w:jc w:val="right"/>
              <w:rPr>
                <w:rFonts w:ascii="Times New Roman" w:hAnsi="Times New Roman"/>
                <w:color w:val="auto"/>
                <w:sz w:val="20"/>
              </w:rPr>
            </w:pPr>
          </w:p>
        </w:tc>
      </w:tr>
      <w:tr w:rsidR="00A60080" w:rsidRPr="00A60080" w14:paraId="1FC876A6" w14:textId="77777777" w:rsidTr="00A072C5">
        <w:trPr>
          <w:trHeight w:val="225"/>
          <w:jc w:val="center"/>
        </w:trPr>
        <w:tc>
          <w:tcPr>
            <w:tcW w:w="3200" w:type="dxa"/>
            <w:tcBorders>
              <w:top w:val="nil"/>
              <w:left w:val="nil"/>
              <w:bottom w:val="nil"/>
              <w:right w:val="nil"/>
            </w:tcBorders>
            <w:shd w:val="clear" w:color="auto" w:fill="auto"/>
            <w:noWrap/>
            <w:vAlign w:val="bottom"/>
            <w:hideMark/>
          </w:tcPr>
          <w:p w14:paraId="4160D70C" w14:textId="77777777" w:rsidR="00A60080" w:rsidRPr="00A60080" w:rsidRDefault="00A60080" w:rsidP="00A072C5">
            <w:pPr>
              <w:spacing w:after="0"/>
              <w:ind w:leftChars="75" w:left="143"/>
              <w:rPr>
                <w:rFonts w:ascii="Arial" w:hAnsi="Arial" w:cs="Arial"/>
                <w:color w:val="auto"/>
                <w:sz w:val="16"/>
                <w:szCs w:val="16"/>
              </w:rPr>
            </w:pPr>
            <w:r w:rsidRPr="00A60080">
              <w:rPr>
                <w:rFonts w:ascii="Arial" w:hAnsi="Arial" w:cs="Arial"/>
                <w:color w:val="auto"/>
                <w:sz w:val="16"/>
                <w:szCs w:val="16"/>
              </w:rPr>
              <w:t xml:space="preserve">Gross book value </w:t>
            </w:r>
          </w:p>
        </w:tc>
        <w:tc>
          <w:tcPr>
            <w:tcW w:w="1049" w:type="dxa"/>
            <w:tcBorders>
              <w:top w:val="nil"/>
              <w:left w:val="nil"/>
              <w:bottom w:val="nil"/>
              <w:right w:val="nil"/>
            </w:tcBorders>
            <w:shd w:val="clear" w:color="auto" w:fill="auto"/>
            <w:noWrap/>
            <w:vAlign w:val="bottom"/>
            <w:hideMark/>
          </w:tcPr>
          <w:p w14:paraId="3B26CE76" w14:textId="77777777" w:rsidR="00A60080" w:rsidRPr="00A60080" w:rsidRDefault="00A60080" w:rsidP="00A60080">
            <w:pPr>
              <w:spacing w:after="0"/>
              <w:jc w:val="right"/>
              <w:rPr>
                <w:rFonts w:ascii="Arial" w:hAnsi="Arial" w:cs="Arial"/>
                <w:sz w:val="16"/>
                <w:szCs w:val="16"/>
              </w:rPr>
            </w:pPr>
            <w:r w:rsidRPr="00A60080">
              <w:rPr>
                <w:rFonts w:ascii="Arial" w:hAnsi="Arial" w:cs="Arial"/>
                <w:sz w:val="16"/>
                <w:szCs w:val="16"/>
              </w:rPr>
              <w:t>8,074</w:t>
            </w:r>
          </w:p>
        </w:tc>
        <w:tc>
          <w:tcPr>
            <w:tcW w:w="1049" w:type="dxa"/>
            <w:tcBorders>
              <w:top w:val="nil"/>
              <w:left w:val="nil"/>
              <w:bottom w:val="nil"/>
              <w:right w:val="nil"/>
            </w:tcBorders>
            <w:shd w:val="clear" w:color="auto" w:fill="auto"/>
            <w:noWrap/>
            <w:vAlign w:val="bottom"/>
            <w:hideMark/>
          </w:tcPr>
          <w:p w14:paraId="5ACB5C4F" w14:textId="77777777" w:rsidR="00A60080" w:rsidRPr="00A60080" w:rsidRDefault="00A60080" w:rsidP="00A60080">
            <w:pPr>
              <w:spacing w:after="0"/>
              <w:jc w:val="right"/>
              <w:rPr>
                <w:rFonts w:ascii="Arial" w:hAnsi="Arial" w:cs="Arial"/>
                <w:sz w:val="16"/>
                <w:szCs w:val="16"/>
              </w:rPr>
            </w:pPr>
            <w:r w:rsidRPr="00A60080">
              <w:rPr>
                <w:rFonts w:ascii="Arial" w:hAnsi="Arial" w:cs="Arial"/>
                <w:sz w:val="16"/>
                <w:szCs w:val="16"/>
              </w:rPr>
              <w:t>9,059</w:t>
            </w:r>
          </w:p>
        </w:tc>
        <w:tc>
          <w:tcPr>
            <w:tcW w:w="1049" w:type="dxa"/>
            <w:tcBorders>
              <w:top w:val="nil"/>
              <w:left w:val="nil"/>
              <w:bottom w:val="nil"/>
              <w:right w:val="nil"/>
            </w:tcBorders>
            <w:shd w:val="clear" w:color="auto" w:fill="auto"/>
            <w:noWrap/>
            <w:vAlign w:val="bottom"/>
            <w:hideMark/>
          </w:tcPr>
          <w:p w14:paraId="46A11B90" w14:textId="77777777" w:rsidR="00A60080" w:rsidRPr="00A60080" w:rsidRDefault="00A60080" w:rsidP="00A60080">
            <w:pPr>
              <w:spacing w:after="0"/>
              <w:jc w:val="right"/>
              <w:rPr>
                <w:rFonts w:ascii="Arial" w:hAnsi="Arial" w:cs="Arial"/>
                <w:sz w:val="16"/>
                <w:szCs w:val="16"/>
              </w:rPr>
            </w:pPr>
            <w:r w:rsidRPr="00A60080">
              <w:rPr>
                <w:rFonts w:ascii="Arial" w:hAnsi="Arial" w:cs="Arial"/>
                <w:sz w:val="16"/>
                <w:szCs w:val="16"/>
              </w:rPr>
              <w:t>3,118</w:t>
            </w:r>
          </w:p>
        </w:tc>
        <w:tc>
          <w:tcPr>
            <w:tcW w:w="1049" w:type="dxa"/>
            <w:tcBorders>
              <w:top w:val="nil"/>
              <w:left w:val="nil"/>
              <w:bottom w:val="nil"/>
              <w:right w:val="nil"/>
            </w:tcBorders>
            <w:shd w:val="clear" w:color="auto" w:fill="auto"/>
            <w:noWrap/>
            <w:vAlign w:val="bottom"/>
            <w:hideMark/>
          </w:tcPr>
          <w:p w14:paraId="2DAB4D7D" w14:textId="77777777" w:rsidR="00A60080" w:rsidRPr="00A60080" w:rsidRDefault="00A60080" w:rsidP="00A60080">
            <w:pPr>
              <w:spacing w:after="0"/>
              <w:jc w:val="right"/>
              <w:rPr>
                <w:rFonts w:ascii="Arial" w:hAnsi="Arial" w:cs="Arial"/>
                <w:b/>
                <w:bCs/>
                <w:sz w:val="16"/>
                <w:szCs w:val="16"/>
              </w:rPr>
            </w:pPr>
            <w:r w:rsidRPr="00A60080">
              <w:rPr>
                <w:rFonts w:ascii="Arial" w:hAnsi="Arial" w:cs="Arial"/>
                <w:b/>
                <w:bCs/>
                <w:sz w:val="16"/>
                <w:szCs w:val="16"/>
              </w:rPr>
              <w:t>20,251</w:t>
            </w:r>
          </w:p>
        </w:tc>
      </w:tr>
      <w:tr w:rsidR="00A60080" w:rsidRPr="00A60080" w14:paraId="2EB47BD8" w14:textId="77777777" w:rsidTr="00A072C5">
        <w:trPr>
          <w:trHeight w:val="204"/>
          <w:jc w:val="center"/>
        </w:trPr>
        <w:tc>
          <w:tcPr>
            <w:tcW w:w="3200" w:type="dxa"/>
            <w:tcBorders>
              <w:top w:val="nil"/>
              <w:left w:val="nil"/>
              <w:bottom w:val="nil"/>
              <w:right w:val="nil"/>
            </w:tcBorders>
            <w:shd w:val="clear" w:color="auto" w:fill="auto"/>
            <w:vAlign w:val="bottom"/>
            <w:hideMark/>
          </w:tcPr>
          <w:p w14:paraId="687C87A8" w14:textId="77777777" w:rsidR="00A60080" w:rsidRPr="00A60080" w:rsidRDefault="00A60080" w:rsidP="00A072C5">
            <w:pPr>
              <w:spacing w:after="0"/>
              <w:ind w:leftChars="75" w:left="143"/>
              <w:rPr>
                <w:rFonts w:ascii="Arial" w:hAnsi="Arial" w:cs="Arial"/>
                <w:color w:val="auto"/>
                <w:sz w:val="16"/>
                <w:szCs w:val="16"/>
              </w:rPr>
            </w:pPr>
            <w:r w:rsidRPr="00A60080">
              <w:rPr>
                <w:rFonts w:ascii="Arial" w:hAnsi="Arial" w:cs="Arial"/>
                <w:color w:val="auto"/>
                <w:sz w:val="16"/>
                <w:szCs w:val="16"/>
              </w:rPr>
              <w:t xml:space="preserve">Gross book value - </w:t>
            </w:r>
            <w:proofErr w:type="spellStart"/>
            <w:r w:rsidRPr="00A60080">
              <w:rPr>
                <w:rFonts w:ascii="Arial" w:hAnsi="Arial" w:cs="Arial"/>
                <w:color w:val="auto"/>
                <w:sz w:val="16"/>
                <w:szCs w:val="16"/>
              </w:rPr>
              <w:t>RoU</w:t>
            </w:r>
            <w:proofErr w:type="spellEnd"/>
          </w:p>
        </w:tc>
        <w:tc>
          <w:tcPr>
            <w:tcW w:w="1049" w:type="dxa"/>
            <w:tcBorders>
              <w:top w:val="nil"/>
              <w:left w:val="nil"/>
              <w:bottom w:val="nil"/>
              <w:right w:val="nil"/>
            </w:tcBorders>
            <w:shd w:val="clear" w:color="auto" w:fill="auto"/>
            <w:noWrap/>
            <w:vAlign w:val="bottom"/>
            <w:hideMark/>
          </w:tcPr>
          <w:p w14:paraId="0C6D3192" w14:textId="77777777" w:rsidR="00A60080" w:rsidRPr="00A60080" w:rsidRDefault="00A60080" w:rsidP="00A60080">
            <w:pPr>
              <w:spacing w:after="0"/>
              <w:jc w:val="right"/>
              <w:rPr>
                <w:rFonts w:ascii="Arial" w:hAnsi="Arial" w:cs="Arial"/>
                <w:sz w:val="16"/>
                <w:szCs w:val="16"/>
              </w:rPr>
            </w:pPr>
            <w:r w:rsidRPr="00A60080">
              <w:rPr>
                <w:rFonts w:ascii="Arial" w:hAnsi="Arial" w:cs="Arial"/>
                <w:sz w:val="16"/>
                <w:szCs w:val="16"/>
              </w:rPr>
              <w:t>43,716</w:t>
            </w:r>
          </w:p>
        </w:tc>
        <w:tc>
          <w:tcPr>
            <w:tcW w:w="1049" w:type="dxa"/>
            <w:tcBorders>
              <w:top w:val="nil"/>
              <w:left w:val="nil"/>
              <w:bottom w:val="nil"/>
              <w:right w:val="nil"/>
            </w:tcBorders>
            <w:shd w:val="clear" w:color="auto" w:fill="auto"/>
            <w:noWrap/>
            <w:vAlign w:val="bottom"/>
            <w:hideMark/>
          </w:tcPr>
          <w:p w14:paraId="541352FA" w14:textId="77777777" w:rsidR="00A60080" w:rsidRPr="00A60080" w:rsidRDefault="00A60080" w:rsidP="00A60080">
            <w:pPr>
              <w:spacing w:after="0"/>
              <w:jc w:val="right"/>
              <w:rPr>
                <w:rFonts w:ascii="Arial" w:hAnsi="Arial" w:cs="Arial"/>
                <w:sz w:val="16"/>
                <w:szCs w:val="16"/>
              </w:rPr>
            </w:pPr>
            <w:r w:rsidRPr="00A60080">
              <w:rPr>
                <w:rFonts w:ascii="Arial" w:hAnsi="Arial" w:cs="Arial"/>
                <w:sz w:val="16"/>
                <w:szCs w:val="16"/>
              </w:rPr>
              <w:t>-</w:t>
            </w:r>
          </w:p>
        </w:tc>
        <w:tc>
          <w:tcPr>
            <w:tcW w:w="1049" w:type="dxa"/>
            <w:tcBorders>
              <w:top w:val="nil"/>
              <w:left w:val="nil"/>
              <w:bottom w:val="nil"/>
              <w:right w:val="nil"/>
            </w:tcBorders>
            <w:shd w:val="clear" w:color="auto" w:fill="auto"/>
            <w:noWrap/>
            <w:vAlign w:val="bottom"/>
            <w:hideMark/>
          </w:tcPr>
          <w:p w14:paraId="04632FB8" w14:textId="77777777" w:rsidR="00A60080" w:rsidRPr="00A60080" w:rsidRDefault="00A60080" w:rsidP="00A60080">
            <w:pPr>
              <w:spacing w:after="0"/>
              <w:jc w:val="right"/>
              <w:rPr>
                <w:rFonts w:ascii="Arial" w:hAnsi="Arial" w:cs="Arial"/>
                <w:sz w:val="16"/>
                <w:szCs w:val="16"/>
              </w:rPr>
            </w:pPr>
            <w:r w:rsidRPr="00A60080">
              <w:rPr>
                <w:rFonts w:ascii="Arial" w:hAnsi="Arial" w:cs="Arial"/>
                <w:sz w:val="16"/>
                <w:szCs w:val="16"/>
              </w:rPr>
              <w:t>-</w:t>
            </w:r>
          </w:p>
        </w:tc>
        <w:tc>
          <w:tcPr>
            <w:tcW w:w="1049" w:type="dxa"/>
            <w:tcBorders>
              <w:top w:val="nil"/>
              <w:left w:val="nil"/>
              <w:bottom w:val="nil"/>
              <w:right w:val="nil"/>
            </w:tcBorders>
            <w:shd w:val="clear" w:color="auto" w:fill="auto"/>
            <w:noWrap/>
            <w:vAlign w:val="bottom"/>
            <w:hideMark/>
          </w:tcPr>
          <w:p w14:paraId="6C2A52B9" w14:textId="77777777" w:rsidR="00A60080" w:rsidRPr="00A60080" w:rsidRDefault="00A60080" w:rsidP="00A60080">
            <w:pPr>
              <w:spacing w:after="0"/>
              <w:jc w:val="right"/>
              <w:rPr>
                <w:rFonts w:ascii="Arial" w:hAnsi="Arial" w:cs="Arial"/>
                <w:b/>
                <w:bCs/>
                <w:sz w:val="16"/>
                <w:szCs w:val="16"/>
              </w:rPr>
            </w:pPr>
            <w:r w:rsidRPr="00A60080">
              <w:rPr>
                <w:rFonts w:ascii="Arial" w:hAnsi="Arial" w:cs="Arial"/>
                <w:b/>
                <w:bCs/>
                <w:sz w:val="16"/>
                <w:szCs w:val="16"/>
              </w:rPr>
              <w:t>43,716</w:t>
            </w:r>
          </w:p>
        </w:tc>
      </w:tr>
      <w:tr w:rsidR="00A60080" w:rsidRPr="00A60080" w14:paraId="5962E3B6" w14:textId="77777777" w:rsidTr="00A072C5">
        <w:trPr>
          <w:trHeight w:val="397"/>
          <w:jc w:val="center"/>
        </w:trPr>
        <w:tc>
          <w:tcPr>
            <w:tcW w:w="3200" w:type="dxa"/>
            <w:tcBorders>
              <w:top w:val="nil"/>
              <w:left w:val="nil"/>
              <w:bottom w:val="nil"/>
              <w:right w:val="nil"/>
            </w:tcBorders>
            <w:shd w:val="clear" w:color="auto" w:fill="auto"/>
            <w:vAlign w:val="bottom"/>
            <w:hideMark/>
          </w:tcPr>
          <w:p w14:paraId="5CFFD207" w14:textId="77777777" w:rsidR="00A60080" w:rsidRPr="00A60080" w:rsidRDefault="00A60080" w:rsidP="00A072C5">
            <w:pPr>
              <w:spacing w:after="0"/>
              <w:ind w:leftChars="75" w:left="143"/>
              <w:rPr>
                <w:rFonts w:ascii="Arial" w:hAnsi="Arial" w:cs="Arial"/>
                <w:color w:val="auto"/>
                <w:sz w:val="16"/>
                <w:szCs w:val="16"/>
              </w:rPr>
            </w:pPr>
            <w:r w:rsidRPr="00A60080">
              <w:rPr>
                <w:rFonts w:ascii="Arial" w:hAnsi="Arial" w:cs="Arial"/>
                <w:color w:val="auto"/>
                <w:sz w:val="16"/>
                <w:szCs w:val="16"/>
              </w:rPr>
              <w:t>Accumulated depreciation/ amortisation and impairment</w:t>
            </w:r>
          </w:p>
        </w:tc>
        <w:tc>
          <w:tcPr>
            <w:tcW w:w="1049" w:type="dxa"/>
            <w:tcBorders>
              <w:top w:val="nil"/>
              <w:left w:val="nil"/>
              <w:bottom w:val="nil"/>
              <w:right w:val="nil"/>
            </w:tcBorders>
            <w:shd w:val="clear" w:color="auto" w:fill="auto"/>
            <w:noWrap/>
            <w:vAlign w:val="bottom"/>
            <w:hideMark/>
          </w:tcPr>
          <w:p w14:paraId="5D293819" w14:textId="77777777" w:rsidR="00A60080" w:rsidRPr="00A60080" w:rsidRDefault="00A60080" w:rsidP="00A60080">
            <w:pPr>
              <w:spacing w:after="0"/>
              <w:jc w:val="right"/>
              <w:rPr>
                <w:rFonts w:ascii="Arial" w:hAnsi="Arial" w:cs="Arial"/>
                <w:sz w:val="16"/>
                <w:szCs w:val="16"/>
              </w:rPr>
            </w:pPr>
            <w:r w:rsidRPr="00A60080">
              <w:rPr>
                <w:rFonts w:ascii="Arial" w:hAnsi="Arial" w:cs="Arial"/>
                <w:sz w:val="16"/>
                <w:szCs w:val="16"/>
              </w:rPr>
              <w:t>(3,812)</w:t>
            </w:r>
          </w:p>
        </w:tc>
        <w:tc>
          <w:tcPr>
            <w:tcW w:w="1049" w:type="dxa"/>
            <w:tcBorders>
              <w:top w:val="nil"/>
              <w:left w:val="nil"/>
              <w:bottom w:val="nil"/>
              <w:right w:val="nil"/>
            </w:tcBorders>
            <w:shd w:val="clear" w:color="auto" w:fill="auto"/>
            <w:noWrap/>
            <w:vAlign w:val="bottom"/>
            <w:hideMark/>
          </w:tcPr>
          <w:p w14:paraId="115A03F5" w14:textId="77777777" w:rsidR="00A60080" w:rsidRPr="00A60080" w:rsidRDefault="00A60080" w:rsidP="00A60080">
            <w:pPr>
              <w:spacing w:after="0"/>
              <w:jc w:val="right"/>
              <w:rPr>
                <w:rFonts w:ascii="Arial" w:hAnsi="Arial" w:cs="Arial"/>
                <w:sz w:val="16"/>
                <w:szCs w:val="16"/>
              </w:rPr>
            </w:pPr>
            <w:r w:rsidRPr="00A60080">
              <w:rPr>
                <w:rFonts w:ascii="Arial" w:hAnsi="Arial" w:cs="Arial"/>
                <w:sz w:val="16"/>
                <w:szCs w:val="16"/>
              </w:rPr>
              <w:t>(4,853)</w:t>
            </w:r>
          </w:p>
        </w:tc>
        <w:tc>
          <w:tcPr>
            <w:tcW w:w="1049" w:type="dxa"/>
            <w:tcBorders>
              <w:top w:val="nil"/>
              <w:left w:val="nil"/>
              <w:bottom w:val="nil"/>
              <w:right w:val="nil"/>
            </w:tcBorders>
            <w:shd w:val="clear" w:color="auto" w:fill="auto"/>
            <w:noWrap/>
            <w:vAlign w:val="bottom"/>
            <w:hideMark/>
          </w:tcPr>
          <w:p w14:paraId="45567E8F" w14:textId="77777777" w:rsidR="00A60080" w:rsidRPr="00A60080" w:rsidRDefault="00A60080" w:rsidP="00A60080">
            <w:pPr>
              <w:spacing w:after="0"/>
              <w:jc w:val="right"/>
              <w:rPr>
                <w:rFonts w:ascii="Arial" w:hAnsi="Arial" w:cs="Arial"/>
                <w:sz w:val="16"/>
                <w:szCs w:val="16"/>
              </w:rPr>
            </w:pPr>
            <w:r w:rsidRPr="00A60080">
              <w:rPr>
                <w:rFonts w:ascii="Arial" w:hAnsi="Arial" w:cs="Arial"/>
                <w:sz w:val="16"/>
                <w:szCs w:val="16"/>
              </w:rPr>
              <w:t>(1,382)</w:t>
            </w:r>
          </w:p>
        </w:tc>
        <w:tc>
          <w:tcPr>
            <w:tcW w:w="1049" w:type="dxa"/>
            <w:tcBorders>
              <w:top w:val="nil"/>
              <w:left w:val="nil"/>
              <w:bottom w:val="nil"/>
              <w:right w:val="nil"/>
            </w:tcBorders>
            <w:shd w:val="clear" w:color="auto" w:fill="auto"/>
            <w:noWrap/>
            <w:vAlign w:val="bottom"/>
            <w:hideMark/>
          </w:tcPr>
          <w:p w14:paraId="22420267" w14:textId="77777777" w:rsidR="00A60080" w:rsidRPr="00A60080" w:rsidRDefault="00A60080" w:rsidP="00A60080">
            <w:pPr>
              <w:spacing w:after="0"/>
              <w:jc w:val="right"/>
              <w:rPr>
                <w:rFonts w:ascii="Arial" w:hAnsi="Arial" w:cs="Arial"/>
                <w:b/>
                <w:bCs/>
                <w:sz w:val="16"/>
                <w:szCs w:val="16"/>
              </w:rPr>
            </w:pPr>
            <w:r w:rsidRPr="00A60080">
              <w:rPr>
                <w:rFonts w:ascii="Arial" w:hAnsi="Arial" w:cs="Arial"/>
                <w:b/>
                <w:bCs/>
                <w:sz w:val="16"/>
                <w:szCs w:val="16"/>
              </w:rPr>
              <w:t>(10,047)</w:t>
            </w:r>
          </w:p>
        </w:tc>
      </w:tr>
      <w:tr w:rsidR="00A60080" w:rsidRPr="00A60080" w14:paraId="2794628F" w14:textId="77777777" w:rsidTr="00A072C5">
        <w:trPr>
          <w:trHeight w:val="397"/>
          <w:jc w:val="center"/>
        </w:trPr>
        <w:tc>
          <w:tcPr>
            <w:tcW w:w="3200" w:type="dxa"/>
            <w:tcBorders>
              <w:top w:val="nil"/>
              <w:left w:val="nil"/>
              <w:bottom w:val="nil"/>
              <w:right w:val="nil"/>
            </w:tcBorders>
            <w:shd w:val="clear" w:color="auto" w:fill="auto"/>
            <w:vAlign w:val="bottom"/>
            <w:hideMark/>
          </w:tcPr>
          <w:p w14:paraId="41C6A318" w14:textId="77777777" w:rsidR="00A60080" w:rsidRPr="00A60080" w:rsidRDefault="00A60080" w:rsidP="00A072C5">
            <w:pPr>
              <w:spacing w:after="0"/>
              <w:ind w:leftChars="75" w:left="143"/>
              <w:rPr>
                <w:rFonts w:ascii="Arial" w:hAnsi="Arial" w:cs="Arial"/>
                <w:color w:val="auto"/>
                <w:sz w:val="16"/>
                <w:szCs w:val="16"/>
              </w:rPr>
            </w:pPr>
            <w:r w:rsidRPr="00A60080">
              <w:rPr>
                <w:rFonts w:ascii="Arial" w:hAnsi="Arial" w:cs="Arial"/>
                <w:color w:val="auto"/>
                <w:sz w:val="16"/>
                <w:szCs w:val="16"/>
              </w:rPr>
              <w:t xml:space="preserve">Accumulated depreciation/ amortisation and impairment - </w:t>
            </w:r>
            <w:proofErr w:type="spellStart"/>
            <w:r w:rsidRPr="00A60080">
              <w:rPr>
                <w:rFonts w:ascii="Arial" w:hAnsi="Arial" w:cs="Arial"/>
                <w:color w:val="auto"/>
                <w:sz w:val="16"/>
                <w:szCs w:val="16"/>
              </w:rPr>
              <w:t>RoU</w:t>
            </w:r>
            <w:proofErr w:type="spellEnd"/>
          </w:p>
        </w:tc>
        <w:tc>
          <w:tcPr>
            <w:tcW w:w="1049" w:type="dxa"/>
            <w:tcBorders>
              <w:top w:val="nil"/>
              <w:left w:val="nil"/>
              <w:bottom w:val="nil"/>
              <w:right w:val="nil"/>
            </w:tcBorders>
            <w:shd w:val="clear" w:color="auto" w:fill="auto"/>
            <w:noWrap/>
            <w:vAlign w:val="bottom"/>
            <w:hideMark/>
          </w:tcPr>
          <w:p w14:paraId="7C6BB1B9" w14:textId="77777777" w:rsidR="00A60080" w:rsidRPr="00A60080" w:rsidRDefault="00A60080" w:rsidP="00A60080">
            <w:pPr>
              <w:spacing w:after="0"/>
              <w:jc w:val="right"/>
              <w:rPr>
                <w:rFonts w:ascii="Arial" w:hAnsi="Arial" w:cs="Arial"/>
                <w:sz w:val="16"/>
                <w:szCs w:val="16"/>
              </w:rPr>
            </w:pPr>
            <w:r w:rsidRPr="00A60080">
              <w:rPr>
                <w:rFonts w:ascii="Arial" w:hAnsi="Arial" w:cs="Arial"/>
                <w:sz w:val="16"/>
                <w:szCs w:val="16"/>
              </w:rPr>
              <w:t>(13,148)</w:t>
            </w:r>
          </w:p>
        </w:tc>
        <w:tc>
          <w:tcPr>
            <w:tcW w:w="1049" w:type="dxa"/>
            <w:tcBorders>
              <w:top w:val="nil"/>
              <w:left w:val="nil"/>
              <w:bottom w:val="nil"/>
              <w:right w:val="nil"/>
            </w:tcBorders>
            <w:shd w:val="clear" w:color="auto" w:fill="auto"/>
            <w:noWrap/>
            <w:vAlign w:val="bottom"/>
            <w:hideMark/>
          </w:tcPr>
          <w:p w14:paraId="4A8DF686" w14:textId="77777777" w:rsidR="00A60080" w:rsidRPr="00A60080" w:rsidRDefault="00A60080" w:rsidP="00A60080">
            <w:pPr>
              <w:spacing w:after="0"/>
              <w:jc w:val="right"/>
              <w:rPr>
                <w:rFonts w:ascii="Arial" w:hAnsi="Arial" w:cs="Arial"/>
                <w:sz w:val="16"/>
                <w:szCs w:val="16"/>
              </w:rPr>
            </w:pPr>
            <w:r w:rsidRPr="00A60080">
              <w:rPr>
                <w:rFonts w:ascii="Arial" w:hAnsi="Arial" w:cs="Arial"/>
                <w:sz w:val="16"/>
                <w:szCs w:val="16"/>
              </w:rPr>
              <w:t>-</w:t>
            </w:r>
          </w:p>
        </w:tc>
        <w:tc>
          <w:tcPr>
            <w:tcW w:w="1049" w:type="dxa"/>
            <w:tcBorders>
              <w:top w:val="nil"/>
              <w:left w:val="nil"/>
              <w:bottom w:val="nil"/>
              <w:right w:val="nil"/>
            </w:tcBorders>
            <w:shd w:val="clear" w:color="auto" w:fill="auto"/>
            <w:noWrap/>
            <w:vAlign w:val="bottom"/>
            <w:hideMark/>
          </w:tcPr>
          <w:p w14:paraId="4337574F" w14:textId="77777777" w:rsidR="00A60080" w:rsidRPr="00A60080" w:rsidRDefault="00A60080" w:rsidP="00A60080">
            <w:pPr>
              <w:spacing w:after="0"/>
              <w:jc w:val="right"/>
              <w:rPr>
                <w:rFonts w:ascii="Arial" w:hAnsi="Arial" w:cs="Arial"/>
                <w:sz w:val="16"/>
                <w:szCs w:val="16"/>
              </w:rPr>
            </w:pPr>
            <w:r w:rsidRPr="00A60080">
              <w:rPr>
                <w:rFonts w:ascii="Arial" w:hAnsi="Arial" w:cs="Arial"/>
                <w:sz w:val="16"/>
                <w:szCs w:val="16"/>
              </w:rPr>
              <w:t>-</w:t>
            </w:r>
          </w:p>
        </w:tc>
        <w:tc>
          <w:tcPr>
            <w:tcW w:w="1049" w:type="dxa"/>
            <w:tcBorders>
              <w:top w:val="nil"/>
              <w:left w:val="nil"/>
              <w:bottom w:val="nil"/>
              <w:right w:val="nil"/>
            </w:tcBorders>
            <w:shd w:val="clear" w:color="auto" w:fill="auto"/>
            <w:noWrap/>
            <w:vAlign w:val="bottom"/>
            <w:hideMark/>
          </w:tcPr>
          <w:p w14:paraId="3D1D495E" w14:textId="77777777" w:rsidR="00A60080" w:rsidRPr="00A60080" w:rsidRDefault="00A60080" w:rsidP="00A60080">
            <w:pPr>
              <w:spacing w:after="0"/>
              <w:jc w:val="right"/>
              <w:rPr>
                <w:rFonts w:ascii="Arial" w:hAnsi="Arial" w:cs="Arial"/>
                <w:b/>
                <w:bCs/>
                <w:sz w:val="16"/>
                <w:szCs w:val="16"/>
              </w:rPr>
            </w:pPr>
            <w:r w:rsidRPr="00A60080">
              <w:rPr>
                <w:rFonts w:ascii="Arial" w:hAnsi="Arial" w:cs="Arial"/>
                <w:b/>
                <w:bCs/>
                <w:sz w:val="16"/>
                <w:szCs w:val="16"/>
              </w:rPr>
              <w:t>(13,148)</w:t>
            </w:r>
          </w:p>
        </w:tc>
      </w:tr>
      <w:tr w:rsidR="00A60080" w:rsidRPr="00A60080" w14:paraId="04515B65" w14:textId="77777777" w:rsidTr="00A072C5">
        <w:trPr>
          <w:trHeight w:val="225"/>
          <w:jc w:val="center"/>
        </w:trPr>
        <w:tc>
          <w:tcPr>
            <w:tcW w:w="3200" w:type="dxa"/>
            <w:tcBorders>
              <w:top w:val="nil"/>
              <w:left w:val="nil"/>
              <w:bottom w:val="nil"/>
              <w:right w:val="nil"/>
            </w:tcBorders>
            <w:shd w:val="clear" w:color="auto" w:fill="auto"/>
            <w:noWrap/>
            <w:vAlign w:val="bottom"/>
            <w:hideMark/>
          </w:tcPr>
          <w:p w14:paraId="0295BF66" w14:textId="77777777" w:rsidR="00A60080" w:rsidRPr="00A60080" w:rsidRDefault="00A60080" w:rsidP="00A072C5">
            <w:pPr>
              <w:spacing w:after="0"/>
              <w:ind w:leftChars="75" w:left="143"/>
              <w:rPr>
                <w:rFonts w:ascii="Arial" w:hAnsi="Arial" w:cs="Arial"/>
                <w:b/>
                <w:bCs/>
                <w:color w:val="auto"/>
                <w:sz w:val="16"/>
                <w:szCs w:val="16"/>
              </w:rPr>
            </w:pPr>
            <w:r w:rsidRPr="00A60080">
              <w:rPr>
                <w:rFonts w:ascii="Arial" w:hAnsi="Arial" w:cs="Arial"/>
                <w:b/>
                <w:bCs/>
                <w:color w:val="auto"/>
                <w:sz w:val="16"/>
                <w:szCs w:val="16"/>
              </w:rPr>
              <w:t>Opening net book balance</w:t>
            </w:r>
          </w:p>
        </w:tc>
        <w:tc>
          <w:tcPr>
            <w:tcW w:w="1049" w:type="dxa"/>
            <w:tcBorders>
              <w:top w:val="single" w:sz="4" w:space="0" w:color="auto"/>
              <w:left w:val="nil"/>
              <w:bottom w:val="single" w:sz="4" w:space="0" w:color="auto"/>
              <w:right w:val="nil"/>
            </w:tcBorders>
            <w:shd w:val="clear" w:color="auto" w:fill="auto"/>
            <w:noWrap/>
            <w:vAlign w:val="bottom"/>
            <w:hideMark/>
          </w:tcPr>
          <w:p w14:paraId="45DC6F6A" w14:textId="77777777" w:rsidR="00A60080" w:rsidRPr="00A60080" w:rsidRDefault="00A60080" w:rsidP="00A60080">
            <w:pPr>
              <w:spacing w:after="0"/>
              <w:jc w:val="right"/>
              <w:rPr>
                <w:rFonts w:ascii="Arial" w:hAnsi="Arial" w:cs="Arial"/>
                <w:b/>
                <w:bCs/>
                <w:sz w:val="16"/>
                <w:szCs w:val="16"/>
              </w:rPr>
            </w:pPr>
            <w:r w:rsidRPr="00A60080">
              <w:rPr>
                <w:rFonts w:ascii="Arial" w:hAnsi="Arial" w:cs="Arial"/>
                <w:b/>
                <w:bCs/>
                <w:sz w:val="16"/>
                <w:szCs w:val="16"/>
              </w:rPr>
              <w:t>34,830</w:t>
            </w:r>
          </w:p>
        </w:tc>
        <w:tc>
          <w:tcPr>
            <w:tcW w:w="1049" w:type="dxa"/>
            <w:tcBorders>
              <w:top w:val="single" w:sz="4" w:space="0" w:color="auto"/>
              <w:left w:val="nil"/>
              <w:bottom w:val="single" w:sz="4" w:space="0" w:color="auto"/>
              <w:right w:val="nil"/>
            </w:tcBorders>
            <w:shd w:val="clear" w:color="auto" w:fill="auto"/>
            <w:noWrap/>
            <w:vAlign w:val="bottom"/>
            <w:hideMark/>
          </w:tcPr>
          <w:p w14:paraId="34AB1AAA" w14:textId="77777777" w:rsidR="00A60080" w:rsidRPr="00A60080" w:rsidRDefault="00A60080" w:rsidP="00A60080">
            <w:pPr>
              <w:spacing w:after="0"/>
              <w:jc w:val="right"/>
              <w:rPr>
                <w:rFonts w:ascii="Arial" w:hAnsi="Arial" w:cs="Arial"/>
                <w:b/>
                <w:bCs/>
                <w:sz w:val="16"/>
                <w:szCs w:val="16"/>
              </w:rPr>
            </w:pPr>
            <w:r w:rsidRPr="00A60080">
              <w:rPr>
                <w:rFonts w:ascii="Arial" w:hAnsi="Arial" w:cs="Arial"/>
                <w:b/>
                <w:bCs/>
                <w:sz w:val="16"/>
                <w:szCs w:val="16"/>
              </w:rPr>
              <w:t>4,206</w:t>
            </w:r>
          </w:p>
        </w:tc>
        <w:tc>
          <w:tcPr>
            <w:tcW w:w="1049" w:type="dxa"/>
            <w:tcBorders>
              <w:top w:val="single" w:sz="4" w:space="0" w:color="auto"/>
              <w:left w:val="nil"/>
              <w:bottom w:val="single" w:sz="4" w:space="0" w:color="auto"/>
              <w:right w:val="nil"/>
            </w:tcBorders>
            <w:shd w:val="clear" w:color="auto" w:fill="auto"/>
            <w:noWrap/>
            <w:vAlign w:val="bottom"/>
            <w:hideMark/>
          </w:tcPr>
          <w:p w14:paraId="232ABE7B" w14:textId="77777777" w:rsidR="00A60080" w:rsidRPr="00A60080" w:rsidRDefault="00A60080" w:rsidP="00A60080">
            <w:pPr>
              <w:spacing w:after="0"/>
              <w:jc w:val="right"/>
              <w:rPr>
                <w:rFonts w:ascii="Arial" w:hAnsi="Arial" w:cs="Arial"/>
                <w:b/>
                <w:bCs/>
                <w:sz w:val="16"/>
                <w:szCs w:val="16"/>
              </w:rPr>
            </w:pPr>
            <w:r w:rsidRPr="00A60080">
              <w:rPr>
                <w:rFonts w:ascii="Arial" w:hAnsi="Arial" w:cs="Arial"/>
                <w:b/>
                <w:bCs/>
                <w:sz w:val="16"/>
                <w:szCs w:val="16"/>
              </w:rPr>
              <w:t>1,736</w:t>
            </w:r>
          </w:p>
        </w:tc>
        <w:tc>
          <w:tcPr>
            <w:tcW w:w="1049" w:type="dxa"/>
            <w:tcBorders>
              <w:top w:val="single" w:sz="4" w:space="0" w:color="auto"/>
              <w:left w:val="nil"/>
              <w:bottom w:val="single" w:sz="4" w:space="0" w:color="auto"/>
              <w:right w:val="nil"/>
            </w:tcBorders>
            <w:shd w:val="clear" w:color="auto" w:fill="auto"/>
            <w:noWrap/>
            <w:vAlign w:val="bottom"/>
            <w:hideMark/>
          </w:tcPr>
          <w:p w14:paraId="39DA3C8A" w14:textId="77777777" w:rsidR="00A60080" w:rsidRPr="00A60080" w:rsidRDefault="00A60080" w:rsidP="00A60080">
            <w:pPr>
              <w:spacing w:after="0"/>
              <w:jc w:val="right"/>
              <w:rPr>
                <w:rFonts w:ascii="Arial" w:hAnsi="Arial" w:cs="Arial"/>
                <w:b/>
                <w:bCs/>
                <w:sz w:val="16"/>
                <w:szCs w:val="16"/>
              </w:rPr>
            </w:pPr>
            <w:r w:rsidRPr="00A60080">
              <w:rPr>
                <w:rFonts w:ascii="Arial" w:hAnsi="Arial" w:cs="Arial"/>
                <w:b/>
                <w:bCs/>
                <w:sz w:val="16"/>
                <w:szCs w:val="16"/>
              </w:rPr>
              <w:t>40,772</w:t>
            </w:r>
          </w:p>
        </w:tc>
      </w:tr>
      <w:tr w:rsidR="00A60080" w:rsidRPr="00A60080" w14:paraId="3FA844BF" w14:textId="77777777" w:rsidTr="00A072C5">
        <w:trPr>
          <w:trHeight w:val="283"/>
          <w:jc w:val="center"/>
        </w:trPr>
        <w:tc>
          <w:tcPr>
            <w:tcW w:w="3200" w:type="dxa"/>
            <w:tcBorders>
              <w:top w:val="nil"/>
              <w:left w:val="nil"/>
              <w:bottom w:val="nil"/>
              <w:right w:val="nil"/>
            </w:tcBorders>
            <w:shd w:val="clear" w:color="auto" w:fill="auto"/>
            <w:noWrap/>
            <w:vAlign w:val="bottom"/>
            <w:hideMark/>
          </w:tcPr>
          <w:p w14:paraId="402BDC53" w14:textId="77777777" w:rsidR="00A60080" w:rsidRPr="00A60080" w:rsidRDefault="00A60080" w:rsidP="00A60080">
            <w:pPr>
              <w:spacing w:after="0"/>
              <w:rPr>
                <w:rFonts w:ascii="Arial" w:hAnsi="Arial" w:cs="Arial"/>
                <w:b/>
                <w:bCs/>
                <w:color w:val="auto"/>
                <w:sz w:val="16"/>
                <w:szCs w:val="16"/>
              </w:rPr>
            </w:pPr>
            <w:r w:rsidRPr="00A60080">
              <w:rPr>
                <w:rFonts w:ascii="Arial" w:hAnsi="Arial" w:cs="Arial"/>
                <w:b/>
                <w:bCs/>
                <w:color w:val="auto"/>
                <w:sz w:val="16"/>
                <w:szCs w:val="16"/>
              </w:rPr>
              <w:t>CAPITAL ASSET ADDITIONS</w:t>
            </w:r>
          </w:p>
        </w:tc>
        <w:tc>
          <w:tcPr>
            <w:tcW w:w="1049" w:type="dxa"/>
            <w:tcBorders>
              <w:top w:val="nil"/>
              <w:left w:val="nil"/>
              <w:bottom w:val="nil"/>
              <w:right w:val="nil"/>
            </w:tcBorders>
            <w:shd w:val="clear" w:color="auto" w:fill="auto"/>
            <w:noWrap/>
            <w:vAlign w:val="bottom"/>
            <w:hideMark/>
          </w:tcPr>
          <w:p w14:paraId="6DB0438D" w14:textId="77777777" w:rsidR="00A60080" w:rsidRPr="00A60080" w:rsidRDefault="00A60080" w:rsidP="00A60080">
            <w:pPr>
              <w:spacing w:after="0"/>
              <w:rPr>
                <w:rFonts w:ascii="Arial" w:hAnsi="Arial" w:cs="Arial"/>
                <w:b/>
                <w:bCs/>
                <w:color w:val="auto"/>
                <w:sz w:val="16"/>
                <w:szCs w:val="16"/>
              </w:rPr>
            </w:pPr>
          </w:p>
        </w:tc>
        <w:tc>
          <w:tcPr>
            <w:tcW w:w="1049" w:type="dxa"/>
            <w:tcBorders>
              <w:top w:val="nil"/>
              <w:left w:val="nil"/>
              <w:bottom w:val="nil"/>
              <w:right w:val="nil"/>
            </w:tcBorders>
            <w:shd w:val="clear" w:color="auto" w:fill="auto"/>
            <w:noWrap/>
            <w:vAlign w:val="bottom"/>
            <w:hideMark/>
          </w:tcPr>
          <w:p w14:paraId="1E1C6B8A" w14:textId="77777777" w:rsidR="00A60080" w:rsidRPr="00A60080" w:rsidRDefault="00A60080" w:rsidP="00A60080">
            <w:pPr>
              <w:spacing w:after="0"/>
              <w:jc w:val="right"/>
              <w:rPr>
                <w:rFonts w:ascii="Times New Roman" w:hAnsi="Times New Roman"/>
                <w:color w:val="auto"/>
                <w:sz w:val="20"/>
              </w:rPr>
            </w:pPr>
          </w:p>
        </w:tc>
        <w:tc>
          <w:tcPr>
            <w:tcW w:w="1049" w:type="dxa"/>
            <w:tcBorders>
              <w:top w:val="nil"/>
              <w:left w:val="nil"/>
              <w:bottom w:val="nil"/>
              <w:right w:val="nil"/>
            </w:tcBorders>
            <w:shd w:val="clear" w:color="auto" w:fill="auto"/>
            <w:noWrap/>
            <w:vAlign w:val="bottom"/>
            <w:hideMark/>
          </w:tcPr>
          <w:p w14:paraId="43565597" w14:textId="77777777" w:rsidR="00A60080" w:rsidRPr="00A60080" w:rsidRDefault="00A60080" w:rsidP="00A60080">
            <w:pPr>
              <w:spacing w:after="0"/>
              <w:jc w:val="right"/>
              <w:rPr>
                <w:rFonts w:ascii="Times New Roman" w:hAnsi="Times New Roman"/>
                <w:color w:val="auto"/>
                <w:sz w:val="20"/>
              </w:rPr>
            </w:pPr>
          </w:p>
        </w:tc>
        <w:tc>
          <w:tcPr>
            <w:tcW w:w="1049" w:type="dxa"/>
            <w:tcBorders>
              <w:top w:val="nil"/>
              <w:left w:val="nil"/>
              <w:bottom w:val="nil"/>
              <w:right w:val="nil"/>
            </w:tcBorders>
            <w:shd w:val="clear" w:color="auto" w:fill="auto"/>
            <w:noWrap/>
            <w:vAlign w:val="bottom"/>
            <w:hideMark/>
          </w:tcPr>
          <w:p w14:paraId="621E4E21" w14:textId="77777777" w:rsidR="00A60080" w:rsidRPr="00A60080" w:rsidRDefault="00A60080" w:rsidP="00A60080">
            <w:pPr>
              <w:spacing w:after="0"/>
              <w:jc w:val="right"/>
              <w:rPr>
                <w:rFonts w:ascii="Times New Roman" w:hAnsi="Times New Roman"/>
                <w:color w:val="auto"/>
                <w:sz w:val="20"/>
              </w:rPr>
            </w:pPr>
          </w:p>
        </w:tc>
      </w:tr>
      <w:tr w:rsidR="00A60080" w:rsidRPr="00A60080" w14:paraId="0DA45DEE" w14:textId="77777777" w:rsidTr="00A072C5">
        <w:trPr>
          <w:trHeight w:val="397"/>
          <w:jc w:val="center"/>
        </w:trPr>
        <w:tc>
          <w:tcPr>
            <w:tcW w:w="3200" w:type="dxa"/>
            <w:tcBorders>
              <w:top w:val="nil"/>
              <w:left w:val="nil"/>
              <w:bottom w:val="nil"/>
              <w:right w:val="nil"/>
            </w:tcBorders>
            <w:shd w:val="clear" w:color="auto" w:fill="auto"/>
            <w:vAlign w:val="bottom"/>
            <w:hideMark/>
          </w:tcPr>
          <w:p w14:paraId="3562176C" w14:textId="77777777" w:rsidR="00A60080" w:rsidRPr="00A60080" w:rsidRDefault="00A60080" w:rsidP="00A072C5">
            <w:pPr>
              <w:spacing w:after="0"/>
              <w:ind w:leftChars="75" w:left="143"/>
              <w:rPr>
                <w:rFonts w:ascii="Arial" w:hAnsi="Arial" w:cs="Arial"/>
                <w:b/>
                <w:bCs/>
                <w:color w:val="auto"/>
                <w:sz w:val="16"/>
                <w:szCs w:val="16"/>
              </w:rPr>
            </w:pPr>
            <w:r w:rsidRPr="00A60080">
              <w:rPr>
                <w:rFonts w:ascii="Arial" w:hAnsi="Arial" w:cs="Arial"/>
                <w:b/>
                <w:bCs/>
                <w:color w:val="auto"/>
                <w:sz w:val="16"/>
                <w:szCs w:val="16"/>
              </w:rPr>
              <w:t>Estimated expenditure on new or replacement assets</w:t>
            </w:r>
          </w:p>
        </w:tc>
        <w:tc>
          <w:tcPr>
            <w:tcW w:w="1049" w:type="dxa"/>
            <w:tcBorders>
              <w:top w:val="nil"/>
              <w:left w:val="nil"/>
              <w:bottom w:val="nil"/>
              <w:right w:val="nil"/>
            </w:tcBorders>
            <w:shd w:val="clear" w:color="auto" w:fill="auto"/>
            <w:noWrap/>
            <w:vAlign w:val="bottom"/>
            <w:hideMark/>
          </w:tcPr>
          <w:p w14:paraId="0F296161" w14:textId="77777777" w:rsidR="00A60080" w:rsidRPr="00A60080" w:rsidRDefault="00A60080" w:rsidP="00A60080">
            <w:pPr>
              <w:spacing w:after="0"/>
              <w:ind w:firstLineChars="100" w:firstLine="160"/>
              <w:rPr>
                <w:rFonts w:ascii="Arial" w:hAnsi="Arial" w:cs="Arial"/>
                <w:b/>
                <w:bCs/>
                <w:color w:val="auto"/>
                <w:sz w:val="16"/>
                <w:szCs w:val="16"/>
              </w:rPr>
            </w:pPr>
          </w:p>
        </w:tc>
        <w:tc>
          <w:tcPr>
            <w:tcW w:w="1049" w:type="dxa"/>
            <w:tcBorders>
              <w:top w:val="nil"/>
              <w:left w:val="nil"/>
              <w:bottom w:val="nil"/>
              <w:right w:val="nil"/>
            </w:tcBorders>
            <w:shd w:val="clear" w:color="auto" w:fill="auto"/>
            <w:noWrap/>
            <w:vAlign w:val="bottom"/>
            <w:hideMark/>
          </w:tcPr>
          <w:p w14:paraId="4189833B" w14:textId="77777777" w:rsidR="00A60080" w:rsidRPr="00A60080" w:rsidRDefault="00A60080" w:rsidP="00A60080">
            <w:pPr>
              <w:spacing w:after="0"/>
              <w:jc w:val="right"/>
              <w:rPr>
                <w:rFonts w:ascii="Times New Roman" w:hAnsi="Times New Roman"/>
                <w:color w:val="auto"/>
                <w:sz w:val="20"/>
              </w:rPr>
            </w:pPr>
          </w:p>
        </w:tc>
        <w:tc>
          <w:tcPr>
            <w:tcW w:w="1049" w:type="dxa"/>
            <w:tcBorders>
              <w:top w:val="nil"/>
              <w:left w:val="nil"/>
              <w:bottom w:val="nil"/>
              <w:right w:val="nil"/>
            </w:tcBorders>
            <w:shd w:val="clear" w:color="auto" w:fill="auto"/>
            <w:noWrap/>
            <w:vAlign w:val="bottom"/>
            <w:hideMark/>
          </w:tcPr>
          <w:p w14:paraId="537C42BA" w14:textId="77777777" w:rsidR="00A60080" w:rsidRPr="00A60080" w:rsidRDefault="00A60080" w:rsidP="00A60080">
            <w:pPr>
              <w:spacing w:after="0"/>
              <w:jc w:val="right"/>
              <w:rPr>
                <w:rFonts w:ascii="Times New Roman" w:hAnsi="Times New Roman"/>
                <w:color w:val="auto"/>
                <w:sz w:val="20"/>
              </w:rPr>
            </w:pPr>
          </w:p>
        </w:tc>
        <w:tc>
          <w:tcPr>
            <w:tcW w:w="1049" w:type="dxa"/>
            <w:tcBorders>
              <w:top w:val="nil"/>
              <w:left w:val="nil"/>
              <w:bottom w:val="nil"/>
              <w:right w:val="nil"/>
            </w:tcBorders>
            <w:shd w:val="clear" w:color="auto" w:fill="auto"/>
            <w:noWrap/>
            <w:vAlign w:val="bottom"/>
            <w:hideMark/>
          </w:tcPr>
          <w:p w14:paraId="6118C0AC" w14:textId="77777777" w:rsidR="00A60080" w:rsidRPr="00A60080" w:rsidRDefault="00A60080" w:rsidP="00A60080">
            <w:pPr>
              <w:spacing w:after="0"/>
              <w:jc w:val="right"/>
              <w:rPr>
                <w:rFonts w:ascii="Times New Roman" w:hAnsi="Times New Roman"/>
                <w:color w:val="auto"/>
                <w:sz w:val="20"/>
              </w:rPr>
            </w:pPr>
          </w:p>
        </w:tc>
      </w:tr>
      <w:tr w:rsidR="00A60080" w:rsidRPr="00A60080" w14:paraId="5EF72B9C" w14:textId="77777777" w:rsidTr="00A072C5">
        <w:trPr>
          <w:trHeight w:val="225"/>
          <w:jc w:val="center"/>
        </w:trPr>
        <w:tc>
          <w:tcPr>
            <w:tcW w:w="3200" w:type="dxa"/>
            <w:tcBorders>
              <w:top w:val="nil"/>
              <w:left w:val="nil"/>
              <w:bottom w:val="nil"/>
              <w:right w:val="nil"/>
            </w:tcBorders>
            <w:shd w:val="clear" w:color="auto" w:fill="auto"/>
            <w:noWrap/>
            <w:vAlign w:val="bottom"/>
            <w:hideMark/>
          </w:tcPr>
          <w:p w14:paraId="75B425F6" w14:textId="77777777" w:rsidR="00A60080" w:rsidRPr="00A60080" w:rsidRDefault="00A60080" w:rsidP="00A072C5">
            <w:pPr>
              <w:spacing w:after="0"/>
              <w:ind w:leftChars="75" w:left="143"/>
              <w:rPr>
                <w:rFonts w:ascii="Arial" w:hAnsi="Arial" w:cs="Arial"/>
                <w:sz w:val="16"/>
                <w:szCs w:val="16"/>
              </w:rPr>
            </w:pPr>
            <w:r w:rsidRPr="00A60080">
              <w:rPr>
                <w:rFonts w:ascii="Arial" w:hAnsi="Arial" w:cs="Arial"/>
                <w:sz w:val="16"/>
                <w:szCs w:val="16"/>
              </w:rPr>
              <w:t>By purchase - appropriation equity</w:t>
            </w:r>
          </w:p>
        </w:tc>
        <w:tc>
          <w:tcPr>
            <w:tcW w:w="1049" w:type="dxa"/>
            <w:tcBorders>
              <w:top w:val="nil"/>
              <w:left w:val="nil"/>
              <w:bottom w:val="nil"/>
              <w:right w:val="nil"/>
            </w:tcBorders>
            <w:shd w:val="clear" w:color="auto" w:fill="auto"/>
            <w:noWrap/>
            <w:vAlign w:val="bottom"/>
            <w:hideMark/>
          </w:tcPr>
          <w:p w14:paraId="1B21388B" w14:textId="77777777" w:rsidR="00A60080" w:rsidRPr="00A60080" w:rsidRDefault="00A60080" w:rsidP="00A60080">
            <w:pPr>
              <w:spacing w:after="0"/>
              <w:jc w:val="right"/>
              <w:rPr>
                <w:rFonts w:ascii="Arial" w:hAnsi="Arial" w:cs="Arial"/>
                <w:sz w:val="16"/>
                <w:szCs w:val="16"/>
              </w:rPr>
            </w:pPr>
            <w:r w:rsidRPr="00A60080">
              <w:rPr>
                <w:rFonts w:ascii="Arial" w:hAnsi="Arial" w:cs="Arial"/>
                <w:sz w:val="16"/>
                <w:szCs w:val="16"/>
              </w:rPr>
              <w:t>125</w:t>
            </w:r>
          </w:p>
        </w:tc>
        <w:tc>
          <w:tcPr>
            <w:tcW w:w="1049" w:type="dxa"/>
            <w:tcBorders>
              <w:top w:val="nil"/>
              <w:left w:val="nil"/>
              <w:bottom w:val="nil"/>
              <w:right w:val="nil"/>
            </w:tcBorders>
            <w:shd w:val="clear" w:color="auto" w:fill="auto"/>
            <w:noWrap/>
            <w:vAlign w:val="bottom"/>
            <w:hideMark/>
          </w:tcPr>
          <w:p w14:paraId="6482EECE" w14:textId="77777777" w:rsidR="00A60080" w:rsidRPr="00A60080" w:rsidRDefault="00A60080" w:rsidP="00A60080">
            <w:pPr>
              <w:spacing w:after="0"/>
              <w:jc w:val="right"/>
              <w:rPr>
                <w:rFonts w:ascii="Arial" w:hAnsi="Arial" w:cs="Arial"/>
                <w:sz w:val="16"/>
                <w:szCs w:val="16"/>
              </w:rPr>
            </w:pPr>
            <w:r w:rsidRPr="00A60080">
              <w:rPr>
                <w:rFonts w:ascii="Arial" w:hAnsi="Arial" w:cs="Arial"/>
                <w:sz w:val="16"/>
                <w:szCs w:val="16"/>
              </w:rPr>
              <w:t>-</w:t>
            </w:r>
          </w:p>
        </w:tc>
        <w:tc>
          <w:tcPr>
            <w:tcW w:w="1049" w:type="dxa"/>
            <w:tcBorders>
              <w:top w:val="nil"/>
              <w:left w:val="nil"/>
              <w:bottom w:val="nil"/>
              <w:right w:val="nil"/>
            </w:tcBorders>
            <w:shd w:val="clear" w:color="auto" w:fill="auto"/>
            <w:noWrap/>
            <w:vAlign w:val="bottom"/>
            <w:hideMark/>
          </w:tcPr>
          <w:p w14:paraId="0E104B87" w14:textId="77777777" w:rsidR="00A60080" w:rsidRPr="00A60080" w:rsidRDefault="00A60080" w:rsidP="00A60080">
            <w:pPr>
              <w:spacing w:after="0"/>
              <w:jc w:val="right"/>
              <w:rPr>
                <w:rFonts w:ascii="Arial" w:hAnsi="Arial" w:cs="Arial"/>
                <w:sz w:val="16"/>
                <w:szCs w:val="16"/>
              </w:rPr>
            </w:pPr>
            <w:r w:rsidRPr="00A60080">
              <w:rPr>
                <w:rFonts w:ascii="Arial" w:hAnsi="Arial" w:cs="Arial"/>
                <w:sz w:val="16"/>
                <w:szCs w:val="16"/>
              </w:rPr>
              <w:t>-</w:t>
            </w:r>
          </w:p>
        </w:tc>
        <w:tc>
          <w:tcPr>
            <w:tcW w:w="1049" w:type="dxa"/>
            <w:tcBorders>
              <w:top w:val="nil"/>
              <w:left w:val="nil"/>
              <w:bottom w:val="nil"/>
              <w:right w:val="nil"/>
            </w:tcBorders>
            <w:shd w:val="clear" w:color="auto" w:fill="auto"/>
            <w:noWrap/>
            <w:vAlign w:val="bottom"/>
            <w:hideMark/>
          </w:tcPr>
          <w:p w14:paraId="222E22BB" w14:textId="77777777" w:rsidR="00A60080" w:rsidRPr="00A60080" w:rsidRDefault="00A60080" w:rsidP="00A60080">
            <w:pPr>
              <w:spacing w:after="0"/>
              <w:jc w:val="right"/>
              <w:rPr>
                <w:rFonts w:ascii="Arial" w:hAnsi="Arial" w:cs="Arial"/>
                <w:b/>
                <w:bCs/>
                <w:sz w:val="16"/>
                <w:szCs w:val="16"/>
              </w:rPr>
            </w:pPr>
            <w:r w:rsidRPr="00A60080">
              <w:rPr>
                <w:rFonts w:ascii="Arial" w:hAnsi="Arial" w:cs="Arial"/>
                <w:b/>
                <w:bCs/>
                <w:sz w:val="16"/>
                <w:szCs w:val="16"/>
              </w:rPr>
              <w:t>125</w:t>
            </w:r>
          </w:p>
        </w:tc>
      </w:tr>
      <w:tr w:rsidR="00A60080" w:rsidRPr="00A60080" w14:paraId="2CBB1948" w14:textId="77777777" w:rsidTr="00A072C5">
        <w:trPr>
          <w:trHeight w:val="225"/>
          <w:jc w:val="center"/>
        </w:trPr>
        <w:tc>
          <w:tcPr>
            <w:tcW w:w="3200" w:type="dxa"/>
            <w:tcBorders>
              <w:top w:val="nil"/>
              <w:left w:val="nil"/>
              <w:bottom w:val="nil"/>
              <w:right w:val="nil"/>
            </w:tcBorders>
            <w:shd w:val="clear" w:color="auto" w:fill="auto"/>
            <w:noWrap/>
            <w:vAlign w:val="bottom"/>
            <w:hideMark/>
          </w:tcPr>
          <w:p w14:paraId="4B50EB0B" w14:textId="77777777" w:rsidR="00A60080" w:rsidRPr="00A60080" w:rsidRDefault="00A60080" w:rsidP="00A072C5">
            <w:pPr>
              <w:spacing w:after="0"/>
              <w:ind w:leftChars="75" w:left="143"/>
              <w:rPr>
                <w:rFonts w:ascii="Arial" w:hAnsi="Arial" w:cs="Arial"/>
                <w:color w:val="auto"/>
                <w:sz w:val="16"/>
                <w:szCs w:val="16"/>
              </w:rPr>
            </w:pPr>
            <w:r w:rsidRPr="00A60080">
              <w:rPr>
                <w:rFonts w:ascii="Arial" w:hAnsi="Arial" w:cs="Arial"/>
                <w:color w:val="auto"/>
                <w:sz w:val="16"/>
                <w:szCs w:val="16"/>
              </w:rPr>
              <w:t>By purchase - internal resources</w:t>
            </w:r>
          </w:p>
        </w:tc>
        <w:tc>
          <w:tcPr>
            <w:tcW w:w="1049" w:type="dxa"/>
            <w:tcBorders>
              <w:top w:val="nil"/>
              <w:left w:val="nil"/>
              <w:bottom w:val="nil"/>
              <w:right w:val="nil"/>
            </w:tcBorders>
            <w:shd w:val="clear" w:color="auto" w:fill="auto"/>
            <w:noWrap/>
            <w:vAlign w:val="bottom"/>
            <w:hideMark/>
          </w:tcPr>
          <w:p w14:paraId="7A55E9FF" w14:textId="77777777" w:rsidR="00A60080" w:rsidRPr="00A60080" w:rsidRDefault="00A60080" w:rsidP="00A60080">
            <w:pPr>
              <w:spacing w:after="0"/>
              <w:jc w:val="right"/>
              <w:rPr>
                <w:rFonts w:ascii="Arial" w:hAnsi="Arial" w:cs="Arial"/>
                <w:sz w:val="16"/>
                <w:szCs w:val="16"/>
              </w:rPr>
            </w:pPr>
            <w:r w:rsidRPr="00A60080">
              <w:rPr>
                <w:rFonts w:ascii="Arial" w:hAnsi="Arial" w:cs="Arial"/>
                <w:sz w:val="16"/>
                <w:szCs w:val="16"/>
              </w:rPr>
              <w:t>1,330</w:t>
            </w:r>
          </w:p>
        </w:tc>
        <w:tc>
          <w:tcPr>
            <w:tcW w:w="1049" w:type="dxa"/>
            <w:tcBorders>
              <w:top w:val="nil"/>
              <w:left w:val="nil"/>
              <w:bottom w:val="nil"/>
              <w:right w:val="nil"/>
            </w:tcBorders>
            <w:shd w:val="clear" w:color="auto" w:fill="auto"/>
            <w:noWrap/>
            <w:vAlign w:val="bottom"/>
            <w:hideMark/>
          </w:tcPr>
          <w:p w14:paraId="4CFED625" w14:textId="77777777" w:rsidR="00A60080" w:rsidRPr="00A60080" w:rsidRDefault="00A60080" w:rsidP="00A60080">
            <w:pPr>
              <w:spacing w:after="0"/>
              <w:jc w:val="right"/>
              <w:rPr>
                <w:rFonts w:ascii="Arial" w:hAnsi="Arial" w:cs="Arial"/>
                <w:sz w:val="16"/>
                <w:szCs w:val="16"/>
              </w:rPr>
            </w:pPr>
            <w:r w:rsidRPr="00A60080">
              <w:rPr>
                <w:rFonts w:ascii="Arial" w:hAnsi="Arial" w:cs="Arial"/>
                <w:sz w:val="16"/>
                <w:szCs w:val="16"/>
              </w:rPr>
              <w:t>1,723</w:t>
            </w:r>
          </w:p>
        </w:tc>
        <w:tc>
          <w:tcPr>
            <w:tcW w:w="1049" w:type="dxa"/>
            <w:tcBorders>
              <w:top w:val="nil"/>
              <w:left w:val="nil"/>
              <w:bottom w:val="nil"/>
              <w:right w:val="nil"/>
            </w:tcBorders>
            <w:shd w:val="clear" w:color="auto" w:fill="auto"/>
            <w:noWrap/>
            <w:vAlign w:val="bottom"/>
            <w:hideMark/>
          </w:tcPr>
          <w:p w14:paraId="676A22AE" w14:textId="77777777" w:rsidR="00A60080" w:rsidRPr="00A60080" w:rsidRDefault="00A60080" w:rsidP="00A60080">
            <w:pPr>
              <w:spacing w:after="0"/>
              <w:jc w:val="right"/>
              <w:rPr>
                <w:rFonts w:ascii="Arial" w:hAnsi="Arial" w:cs="Arial"/>
                <w:sz w:val="16"/>
                <w:szCs w:val="16"/>
              </w:rPr>
            </w:pPr>
            <w:r w:rsidRPr="00A60080">
              <w:rPr>
                <w:rFonts w:ascii="Arial" w:hAnsi="Arial" w:cs="Arial"/>
                <w:sz w:val="16"/>
                <w:szCs w:val="16"/>
              </w:rPr>
              <w:t>-</w:t>
            </w:r>
          </w:p>
        </w:tc>
        <w:tc>
          <w:tcPr>
            <w:tcW w:w="1049" w:type="dxa"/>
            <w:tcBorders>
              <w:top w:val="nil"/>
              <w:left w:val="nil"/>
              <w:bottom w:val="nil"/>
              <w:right w:val="nil"/>
            </w:tcBorders>
            <w:shd w:val="clear" w:color="auto" w:fill="auto"/>
            <w:noWrap/>
            <w:vAlign w:val="bottom"/>
            <w:hideMark/>
          </w:tcPr>
          <w:p w14:paraId="6DC153DC" w14:textId="77777777" w:rsidR="00A60080" w:rsidRPr="00A60080" w:rsidRDefault="00A60080" w:rsidP="00A60080">
            <w:pPr>
              <w:spacing w:after="0"/>
              <w:jc w:val="right"/>
              <w:rPr>
                <w:rFonts w:ascii="Arial" w:hAnsi="Arial" w:cs="Arial"/>
                <w:b/>
                <w:bCs/>
                <w:sz w:val="16"/>
                <w:szCs w:val="16"/>
              </w:rPr>
            </w:pPr>
            <w:r w:rsidRPr="00A60080">
              <w:rPr>
                <w:rFonts w:ascii="Arial" w:hAnsi="Arial" w:cs="Arial"/>
                <w:b/>
                <w:bCs/>
                <w:sz w:val="16"/>
                <w:szCs w:val="16"/>
              </w:rPr>
              <w:t>3,053</w:t>
            </w:r>
          </w:p>
        </w:tc>
      </w:tr>
      <w:tr w:rsidR="00A60080" w:rsidRPr="00A60080" w14:paraId="071C88F9" w14:textId="77777777" w:rsidTr="00A072C5">
        <w:trPr>
          <w:trHeight w:val="225"/>
          <w:jc w:val="center"/>
        </w:trPr>
        <w:tc>
          <w:tcPr>
            <w:tcW w:w="3200" w:type="dxa"/>
            <w:tcBorders>
              <w:top w:val="nil"/>
              <w:left w:val="nil"/>
              <w:bottom w:val="nil"/>
              <w:right w:val="nil"/>
            </w:tcBorders>
            <w:shd w:val="clear" w:color="auto" w:fill="auto"/>
            <w:noWrap/>
            <w:vAlign w:val="bottom"/>
            <w:hideMark/>
          </w:tcPr>
          <w:p w14:paraId="20C5AA76" w14:textId="77777777" w:rsidR="00A60080" w:rsidRPr="00A60080" w:rsidRDefault="00A60080" w:rsidP="00A072C5">
            <w:pPr>
              <w:spacing w:after="0"/>
              <w:ind w:leftChars="75" w:left="143"/>
              <w:rPr>
                <w:rFonts w:ascii="Arial" w:hAnsi="Arial" w:cs="Arial"/>
                <w:color w:val="auto"/>
                <w:sz w:val="16"/>
                <w:szCs w:val="16"/>
              </w:rPr>
            </w:pPr>
            <w:r w:rsidRPr="00A60080">
              <w:rPr>
                <w:rFonts w:ascii="Arial" w:hAnsi="Arial" w:cs="Arial"/>
                <w:color w:val="auto"/>
                <w:sz w:val="16"/>
                <w:szCs w:val="16"/>
              </w:rPr>
              <w:t xml:space="preserve">By purchase - </w:t>
            </w:r>
            <w:proofErr w:type="spellStart"/>
            <w:r w:rsidRPr="00A60080">
              <w:rPr>
                <w:rFonts w:ascii="Arial" w:hAnsi="Arial" w:cs="Arial"/>
                <w:color w:val="auto"/>
                <w:sz w:val="16"/>
                <w:szCs w:val="16"/>
              </w:rPr>
              <w:t>RoU</w:t>
            </w:r>
            <w:proofErr w:type="spellEnd"/>
          </w:p>
        </w:tc>
        <w:tc>
          <w:tcPr>
            <w:tcW w:w="1049" w:type="dxa"/>
            <w:tcBorders>
              <w:top w:val="nil"/>
              <w:left w:val="nil"/>
              <w:bottom w:val="nil"/>
              <w:right w:val="nil"/>
            </w:tcBorders>
            <w:shd w:val="clear" w:color="auto" w:fill="auto"/>
            <w:noWrap/>
            <w:vAlign w:val="bottom"/>
            <w:hideMark/>
          </w:tcPr>
          <w:p w14:paraId="5A293966" w14:textId="77777777" w:rsidR="00A60080" w:rsidRPr="00A60080" w:rsidRDefault="00A60080" w:rsidP="00A60080">
            <w:pPr>
              <w:spacing w:after="0"/>
              <w:jc w:val="right"/>
              <w:rPr>
                <w:rFonts w:ascii="Arial" w:hAnsi="Arial" w:cs="Arial"/>
                <w:sz w:val="16"/>
                <w:szCs w:val="16"/>
              </w:rPr>
            </w:pPr>
            <w:r w:rsidRPr="00A60080">
              <w:rPr>
                <w:rFonts w:ascii="Arial" w:hAnsi="Arial" w:cs="Arial"/>
                <w:sz w:val="16"/>
                <w:szCs w:val="16"/>
              </w:rPr>
              <w:t>335</w:t>
            </w:r>
          </w:p>
        </w:tc>
        <w:tc>
          <w:tcPr>
            <w:tcW w:w="1049" w:type="dxa"/>
            <w:tcBorders>
              <w:top w:val="nil"/>
              <w:left w:val="nil"/>
              <w:bottom w:val="nil"/>
              <w:right w:val="nil"/>
            </w:tcBorders>
            <w:shd w:val="clear" w:color="auto" w:fill="auto"/>
            <w:noWrap/>
            <w:vAlign w:val="bottom"/>
            <w:hideMark/>
          </w:tcPr>
          <w:p w14:paraId="7A8BD14C" w14:textId="77777777" w:rsidR="00A60080" w:rsidRPr="00A60080" w:rsidRDefault="00A60080" w:rsidP="00A60080">
            <w:pPr>
              <w:spacing w:after="0"/>
              <w:jc w:val="right"/>
              <w:rPr>
                <w:rFonts w:ascii="Arial" w:hAnsi="Arial" w:cs="Arial"/>
                <w:sz w:val="16"/>
                <w:szCs w:val="16"/>
              </w:rPr>
            </w:pPr>
            <w:r w:rsidRPr="00A60080">
              <w:rPr>
                <w:rFonts w:ascii="Arial" w:hAnsi="Arial" w:cs="Arial"/>
                <w:sz w:val="16"/>
                <w:szCs w:val="16"/>
              </w:rPr>
              <w:t>-</w:t>
            </w:r>
          </w:p>
        </w:tc>
        <w:tc>
          <w:tcPr>
            <w:tcW w:w="1049" w:type="dxa"/>
            <w:tcBorders>
              <w:top w:val="nil"/>
              <w:left w:val="nil"/>
              <w:bottom w:val="nil"/>
              <w:right w:val="nil"/>
            </w:tcBorders>
            <w:shd w:val="clear" w:color="auto" w:fill="auto"/>
            <w:noWrap/>
            <w:vAlign w:val="bottom"/>
            <w:hideMark/>
          </w:tcPr>
          <w:p w14:paraId="60E9493E" w14:textId="77777777" w:rsidR="00A60080" w:rsidRPr="00A60080" w:rsidRDefault="00A60080" w:rsidP="00A60080">
            <w:pPr>
              <w:spacing w:after="0"/>
              <w:jc w:val="right"/>
              <w:rPr>
                <w:rFonts w:ascii="Arial" w:hAnsi="Arial" w:cs="Arial"/>
                <w:sz w:val="16"/>
                <w:szCs w:val="16"/>
              </w:rPr>
            </w:pPr>
            <w:r w:rsidRPr="00A60080">
              <w:rPr>
                <w:rFonts w:ascii="Arial" w:hAnsi="Arial" w:cs="Arial"/>
                <w:sz w:val="16"/>
                <w:szCs w:val="16"/>
              </w:rPr>
              <w:t>-</w:t>
            </w:r>
          </w:p>
        </w:tc>
        <w:tc>
          <w:tcPr>
            <w:tcW w:w="1049" w:type="dxa"/>
            <w:tcBorders>
              <w:top w:val="nil"/>
              <w:left w:val="nil"/>
              <w:bottom w:val="nil"/>
              <w:right w:val="nil"/>
            </w:tcBorders>
            <w:shd w:val="clear" w:color="auto" w:fill="auto"/>
            <w:noWrap/>
            <w:vAlign w:val="bottom"/>
            <w:hideMark/>
          </w:tcPr>
          <w:p w14:paraId="70ABBA72" w14:textId="77777777" w:rsidR="00A60080" w:rsidRPr="00A60080" w:rsidRDefault="00A60080" w:rsidP="00A60080">
            <w:pPr>
              <w:spacing w:after="0"/>
              <w:jc w:val="right"/>
              <w:rPr>
                <w:rFonts w:ascii="Arial" w:hAnsi="Arial" w:cs="Arial"/>
                <w:b/>
                <w:bCs/>
                <w:sz w:val="16"/>
                <w:szCs w:val="16"/>
              </w:rPr>
            </w:pPr>
            <w:r w:rsidRPr="00A60080">
              <w:rPr>
                <w:rFonts w:ascii="Arial" w:hAnsi="Arial" w:cs="Arial"/>
                <w:b/>
                <w:bCs/>
                <w:sz w:val="16"/>
                <w:szCs w:val="16"/>
              </w:rPr>
              <w:t>335</w:t>
            </w:r>
          </w:p>
        </w:tc>
      </w:tr>
      <w:tr w:rsidR="00A60080" w:rsidRPr="00A60080" w14:paraId="1623EDCC" w14:textId="77777777" w:rsidTr="00A072C5">
        <w:trPr>
          <w:trHeight w:val="225"/>
          <w:jc w:val="center"/>
        </w:trPr>
        <w:tc>
          <w:tcPr>
            <w:tcW w:w="3200" w:type="dxa"/>
            <w:tcBorders>
              <w:top w:val="nil"/>
              <w:left w:val="nil"/>
              <w:bottom w:val="nil"/>
              <w:right w:val="nil"/>
            </w:tcBorders>
            <w:shd w:val="clear" w:color="auto" w:fill="auto"/>
            <w:noWrap/>
            <w:vAlign w:val="bottom"/>
            <w:hideMark/>
          </w:tcPr>
          <w:p w14:paraId="6CBF7F1D" w14:textId="77777777" w:rsidR="00A60080" w:rsidRPr="00A60080" w:rsidRDefault="00A60080" w:rsidP="00A072C5">
            <w:pPr>
              <w:spacing w:after="0"/>
              <w:ind w:leftChars="75" w:left="143"/>
              <w:rPr>
                <w:rFonts w:ascii="Arial" w:hAnsi="Arial" w:cs="Arial"/>
                <w:b/>
                <w:bCs/>
                <w:sz w:val="16"/>
                <w:szCs w:val="16"/>
              </w:rPr>
            </w:pPr>
            <w:r w:rsidRPr="00A60080">
              <w:rPr>
                <w:rFonts w:ascii="Arial" w:hAnsi="Arial" w:cs="Arial"/>
                <w:b/>
                <w:bCs/>
                <w:sz w:val="16"/>
                <w:szCs w:val="16"/>
              </w:rPr>
              <w:t>Total additions</w:t>
            </w:r>
          </w:p>
        </w:tc>
        <w:tc>
          <w:tcPr>
            <w:tcW w:w="1049" w:type="dxa"/>
            <w:tcBorders>
              <w:top w:val="single" w:sz="4" w:space="0" w:color="auto"/>
              <w:left w:val="nil"/>
              <w:bottom w:val="single" w:sz="4" w:space="0" w:color="auto"/>
              <w:right w:val="nil"/>
            </w:tcBorders>
            <w:shd w:val="clear" w:color="auto" w:fill="auto"/>
            <w:noWrap/>
            <w:vAlign w:val="bottom"/>
            <w:hideMark/>
          </w:tcPr>
          <w:p w14:paraId="097C6064" w14:textId="77777777" w:rsidR="00A60080" w:rsidRPr="00A60080" w:rsidRDefault="00A60080" w:rsidP="00A60080">
            <w:pPr>
              <w:spacing w:after="0"/>
              <w:jc w:val="right"/>
              <w:rPr>
                <w:rFonts w:ascii="Arial" w:hAnsi="Arial" w:cs="Arial"/>
                <w:b/>
                <w:bCs/>
                <w:sz w:val="16"/>
                <w:szCs w:val="16"/>
              </w:rPr>
            </w:pPr>
            <w:r w:rsidRPr="00A60080">
              <w:rPr>
                <w:rFonts w:ascii="Arial" w:hAnsi="Arial" w:cs="Arial"/>
                <w:b/>
                <w:bCs/>
                <w:sz w:val="16"/>
                <w:szCs w:val="16"/>
              </w:rPr>
              <w:t>1,790</w:t>
            </w:r>
          </w:p>
        </w:tc>
        <w:tc>
          <w:tcPr>
            <w:tcW w:w="1049" w:type="dxa"/>
            <w:tcBorders>
              <w:top w:val="single" w:sz="4" w:space="0" w:color="auto"/>
              <w:left w:val="nil"/>
              <w:bottom w:val="single" w:sz="4" w:space="0" w:color="auto"/>
              <w:right w:val="nil"/>
            </w:tcBorders>
            <w:shd w:val="clear" w:color="auto" w:fill="auto"/>
            <w:noWrap/>
            <w:vAlign w:val="bottom"/>
            <w:hideMark/>
          </w:tcPr>
          <w:p w14:paraId="038AA2B1" w14:textId="77777777" w:rsidR="00A60080" w:rsidRPr="00A60080" w:rsidRDefault="00A60080" w:rsidP="00A60080">
            <w:pPr>
              <w:spacing w:after="0"/>
              <w:jc w:val="right"/>
              <w:rPr>
                <w:rFonts w:ascii="Arial" w:hAnsi="Arial" w:cs="Arial"/>
                <w:b/>
                <w:bCs/>
                <w:sz w:val="16"/>
                <w:szCs w:val="16"/>
              </w:rPr>
            </w:pPr>
            <w:r w:rsidRPr="00A60080">
              <w:rPr>
                <w:rFonts w:ascii="Arial" w:hAnsi="Arial" w:cs="Arial"/>
                <w:b/>
                <w:bCs/>
                <w:sz w:val="16"/>
                <w:szCs w:val="16"/>
              </w:rPr>
              <w:t>1,723</w:t>
            </w:r>
          </w:p>
        </w:tc>
        <w:tc>
          <w:tcPr>
            <w:tcW w:w="1049" w:type="dxa"/>
            <w:tcBorders>
              <w:top w:val="single" w:sz="4" w:space="0" w:color="auto"/>
              <w:left w:val="nil"/>
              <w:bottom w:val="single" w:sz="4" w:space="0" w:color="auto"/>
              <w:right w:val="nil"/>
            </w:tcBorders>
            <w:shd w:val="clear" w:color="auto" w:fill="auto"/>
            <w:noWrap/>
            <w:vAlign w:val="bottom"/>
            <w:hideMark/>
          </w:tcPr>
          <w:p w14:paraId="789002EA" w14:textId="77777777" w:rsidR="00A60080" w:rsidRPr="00A60080" w:rsidRDefault="00A60080" w:rsidP="00A60080">
            <w:pPr>
              <w:spacing w:after="0"/>
              <w:jc w:val="right"/>
              <w:rPr>
                <w:rFonts w:ascii="Arial" w:hAnsi="Arial" w:cs="Arial"/>
                <w:b/>
                <w:bCs/>
                <w:sz w:val="16"/>
                <w:szCs w:val="16"/>
              </w:rPr>
            </w:pPr>
            <w:r w:rsidRPr="00A60080">
              <w:rPr>
                <w:rFonts w:ascii="Arial" w:hAnsi="Arial" w:cs="Arial"/>
                <w:b/>
                <w:bCs/>
                <w:sz w:val="16"/>
                <w:szCs w:val="16"/>
              </w:rPr>
              <w:t>-</w:t>
            </w:r>
          </w:p>
        </w:tc>
        <w:tc>
          <w:tcPr>
            <w:tcW w:w="1049" w:type="dxa"/>
            <w:tcBorders>
              <w:top w:val="single" w:sz="4" w:space="0" w:color="auto"/>
              <w:left w:val="nil"/>
              <w:bottom w:val="single" w:sz="4" w:space="0" w:color="auto"/>
              <w:right w:val="nil"/>
            </w:tcBorders>
            <w:shd w:val="clear" w:color="auto" w:fill="auto"/>
            <w:noWrap/>
            <w:vAlign w:val="bottom"/>
            <w:hideMark/>
          </w:tcPr>
          <w:p w14:paraId="47CCC810" w14:textId="77777777" w:rsidR="00A60080" w:rsidRPr="00A60080" w:rsidRDefault="00A60080" w:rsidP="00A60080">
            <w:pPr>
              <w:spacing w:after="0"/>
              <w:jc w:val="right"/>
              <w:rPr>
                <w:rFonts w:ascii="Arial" w:hAnsi="Arial" w:cs="Arial"/>
                <w:b/>
                <w:bCs/>
                <w:sz w:val="16"/>
                <w:szCs w:val="16"/>
              </w:rPr>
            </w:pPr>
            <w:r w:rsidRPr="00A60080">
              <w:rPr>
                <w:rFonts w:ascii="Arial" w:hAnsi="Arial" w:cs="Arial"/>
                <w:b/>
                <w:bCs/>
                <w:sz w:val="16"/>
                <w:szCs w:val="16"/>
              </w:rPr>
              <w:t>3,513</w:t>
            </w:r>
          </w:p>
        </w:tc>
      </w:tr>
      <w:tr w:rsidR="00A60080" w:rsidRPr="00A60080" w14:paraId="5F41346C" w14:textId="77777777" w:rsidTr="00A072C5">
        <w:trPr>
          <w:trHeight w:val="283"/>
          <w:jc w:val="center"/>
        </w:trPr>
        <w:tc>
          <w:tcPr>
            <w:tcW w:w="3200" w:type="dxa"/>
            <w:tcBorders>
              <w:top w:val="nil"/>
              <w:left w:val="nil"/>
              <w:bottom w:val="nil"/>
              <w:right w:val="nil"/>
            </w:tcBorders>
            <w:shd w:val="clear" w:color="auto" w:fill="auto"/>
            <w:noWrap/>
            <w:vAlign w:val="bottom"/>
            <w:hideMark/>
          </w:tcPr>
          <w:p w14:paraId="7B6678BB" w14:textId="77777777" w:rsidR="00A60080" w:rsidRPr="00A60080" w:rsidRDefault="00A60080" w:rsidP="00A60080">
            <w:pPr>
              <w:spacing w:after="0"/>
              <w:rPr>
                <w:rFonts w:ascii="Arial" w:hAnsi="Arial" w:cs="Arial"/>
                <w:b/>
                <w:bCs/>
                <w:color w:val="auto"/>
                <w:sz w:val="16"/>
                <w:szCs w:val="16"/>
              </w:rPr>
            </w:pPr>
            <w:r w:rsidRPr="00A60080">
              <w:rPr>
                <w:rFonts w:ascii="Arial" w:hAnsi="Arial" w:cs="Arial"/>
                <w:b/>
                <w:bCs/>
                <w:color w:val="auto"/>
                <w:sz w:val="16"/>
                <w:szCs w:val="16"/>
              </w:rPr>
              <w:t>Other movements</w:t>
            </w:r>
          </w:p>
        </w:tc>
        <w:tc>
          <w:tcPr>
            <w:tcW w:w="1049" w:type="dxa"/>
            <w:tcBorders>
              <w:top w:val="nil"/>
              <w:left w:val="nil"/>
              <w:bottom w:val="nil"/>
              <w:right w:val="nil"/>
            </w:tcBorders>
            <w:shd w:val="clear" w:color="auto" w:fill="auto"/>
            <w:noWrap/>
            <w:vAlign w:val="bottom"/>
            <w:hideMark/>
          </w:tcPr>
          <w:p w14:paraId="2532A508" w14:textId="77777777" w:rsidR="00A60080" w:rsidRPr="00A60080" w:rsidRDefault="00A60080" w:rsidP="00A60080">
            <w:pPr>
              <w:spacing w:after="0"/>
              <w:rPr>
                <w:rFonts w:ascii="Arial" w:hAnsi="Arial" w:cs="Arial"/>
                <w:b/>
                <w:bCs/>
                <w:color w:val="auto"/>
                <w:sz w:val="16"/>
                <w:szCs w:val="16"/>
              </w:rPr>
            </w:pPr>
          </w:p>
        </w:tc>
        <w:tc>
          <w:tcPr>
            <w:tcW w:w="1049" w:type="dxa"/>
            <w:tcBorders>
              <w:top w:val="nil"/>
              <w:left w:val="nil"/>
              <w:bottom w:val="nil"/>
              <w:right w:val="nil"/>
            </w:tcBorders>
            <w:shd w:val="clear" w:color="auto" w:fill="auto"/>
            <w:noWrap/>
            <w:vAlign w:val="bottom"/>
            <w:hideMark/>
          </w:tcPr>
          <w:p w14:paraId="22F1EA91" w14:textId="77777777" w:rsidR="00A60080" w:rsidRPr="00A60080" w:rsidRDefault="00A60080" w:rsidP="00A60080">
            <w:pPr>
              <w:spacing w:after="0"/>
              <w:jc w:val="right"/>
              <w:rPr>
                <w:rFonts w:ascii="Times New Roman" w:hAnsi="Times New Roman"/>
                <w:color w:val="auto"/>
                <w:sz w:val="20"/>
              </w:rPr>
            </w:pPr>
          </w:p>
        </w:tc>
        <w:tc>
          <w:tcPr>
            <w:tcW w:w="1049" w:type="dxa"/>
            <w:tcBorders>
              <w:top w:val="nil"/>
              <w:left w:val="nil"/>
              <w:bottom w:val="nil"/>
              <w:right w:val="nil"/>
            </w:tcBorders>
            <w:shd w:val="clear" w:color="auto" w:fill="auto"/>
            <w:noWrap/>
            <w:vAlign w:val="bottom"/>
            <w:hideMark/>
          </w:tcPr>
          <w:p w14:paraId="35C07B2B" w14:textId="77777777" w:rsidR="00A60080" w:rsidRPr="00A60080" w:rsidRDefault="00A60080" w:rsidP="00A60080">
            <w:pPr>
              <w:spacing w:after="0"/>
              <w:jc w:val="right"/>
              <w:rPr>
                <w:rFonts w:ascii="Times New Roman" w:hAnsi="Times New Roman"/>
                <w:color w:val="auto"/>
                <w:sz w:val="20"/>
              </w:rPr>
            </w:pPr>
          </w:p>
        </w:tc>
        <w:tc>
          <w:tcPr>
            <w:tcW w:w="1049" w:type="dxa"/>
            <w:tcBorders>
              <w:top w:val="nil"/>
              <w:left w:val="nil"/>
              <w:bottom w:val="nil"/>
              <w:right w:val="nil"/>
            </w:tcBorders>
            <w:shd w:val="clear" w:color="auto" w:fill="auto"/>
            <w:noWrap/>
            <w:vAlign w:val="bottom"/>
            <w:hideMark/>
          </w:tcPr>
          <w:p w14:paraId="3441E6D4" w14:textId="77777777" w:rsidR="00A60080" w:rsidRPr="00A60080" w:rsidRDefault="00A60080" w:rsidP="00A60080">
            <w:pPr>
              <w:spacing w:after="0"/>
              <w:jc w:val="right"/>
              <w:rPr>
                <w:rFonts w:ascii="Times New Roman" w:hAnsi="Times New Roman"/>
                <w:color w:val="auto"/>
                <w:sz w:val="20"/>
              </w:rPr>
            </w:pPr>
          </w:p>
        </w:tc>
      </w:tr>
      <w:tr w:rsidR="00A60080" w:rsidRPr="00A60080" w14:paraId="3CDF9320" w14:textId="77777777" w:rsidTr="00A072C5">
        <w:trPr>
          <w:trHeight w:val="225"/>
          <w:jc w:val="center"/>
        </w:trPr>
        <w:tc>
          <w:tcPr>
            <w:tcW w:w="3200" w:type="dxa"/>
            <w:tcBorders>
              <w:top w:val="nil"/>
              <w:left w:val="nil"/>
              <w:bottom w:val="nil"/>
              <w:right w:val="nil"/>
            </w:tcBorders>
            <w:shd w:val="clear" w:color="auto" w:fill="auto"/>
            <w:noWrap/>
            <w:vAlign w:val="bottom"/>
            <w:hideMark/>
          </w:tcPr>
          <w:p w14:paraId="6384F22B" w14:textId="77777777" w:rsidR="00A60080" w:rsidRPr="00A60080" w:rsidRDefault="00A60080" w:rsidP="00A072C5">
            <w:pPr>
              <w:spacing w:after="0"/>
              <w:ind w:leftChars="75" w:left="143"/>
              <w:rPr>
                <w:rFonts w:ascii="Arial" w:hAnsi="Arial" w:cs="Arial"/>
                <w:color w:val="auto"/>
                <w:sz w:val="16"/>
                <w:szCs w:val="16"/>
              </w:rPr>
            </w:pPr>
            <w:r w:rsidRPr="00A60080">
              <w:rPr>
                <w:rFonts w:ascii="Arial" w:hAnsi="Arial" w:cs="Arial"/>
                <w:color w:val="auto"/>
                <w:sz w:val="16"/>
                <w:szCs w:val="16"/>
              </w:rPr>
              <w:t>Depreciation/amortisation expense</w:t>
            </w:r>
          </w:p>
        </w:tc>
        <w:tc>
          <w:tcPr>
            <w:tcW w:w="1049" w:type="dxa"/>
            <w:tcBorders>
              <w:top w:val="nil"/>
              <w:left w:val="nil"/>
              <w:bottom w:val="nil"/>
              <w:right w:val="nil"/>
            </w:tcBorders>
            <w:shd w:val="clear" w:color="auto" w:fill="auto"/>
            <w:noWrap/>
            <w:vAlign w:val="bottom"/>
            <w:hideMark/>
          </w:tcPr>
          <w:p w14:paraId="7E4B3AC7" w14:textId="77777777" w:rsidR="00A60080" w:rsidRPr="00A60080" w:rsidRDefault="00A60080" w:rsidP="00A60080">
            <w:pPr>
              <w:spacing w:after="0"/>
              <w:jc w:val="right"/>
              <w:rPr>
                <w:rFonts w:ascii="Arial" w:hAnsi="Arial" w:cs="Arial"/>
                <w:sz w:val="16"/>
                <w:szCs w:val="16"/>
              </w:rPr>
            </w:pPr>
            <w:r w:rsidRPr="00A60080">
              <w:rPr>
                <w:rFonts w:ascii="Arial" w:hAnsi="Arial" w:cs="Arial"/>
                <w:sz w:val="16"/>
                <w:szCs w:val="16"/>
              </w:rPr>
              <w:t>(705)</w:t>
            </w:r>
          </w:p>
        </w:tc>
        <w:tc>
          <w:tcPr>
            <w:tcW w:w="1049" w:type="dxa"/>
            <w:tcBorders>
              <w:top w:val="nil"/>
              <w:left w:val="nil"/>
              <w:bottom w:val="nil"/>
              <w:right w:val="nil"/>
            </w:tcBorders>
            <w:shd w:val="clear" w:color="auto" w:fill="auto"/>
            <w:noWrap/>
            <w:vAlign w:val="bottom"/>
            <w:hideMark/>
          </w:tcPr>
          <w:p w14:paraId="271AD85C" w14:textId="77777777" w:rsidR="00A60080" w:rsidRPr="00A60080" w:rsidRDefault="00A60080" w:rsidP="00A60080">
            <w:pPr>
              <w:spacing w:after="0"/>
              <w:jc w:val="right"/>
              <w:rPr>
                <w:rFonts w:ascii="Arial" w:hAnsi="Arial" w:cs="Arial"/>
                <w:sz w:val="16"/>
                <w:szCs w:val="16"/>
              </w:rPr>
            </w:pPr>
            <w:r w:rsidRPr="00A60080">
              <w:rPr>
                <w:rFonts w:ascii="Arial" w:hAnsi="Arial" w:cs="Arial"/>
                <w:sz w:val="16"/>
                <w:szCs w:val="16"/>
              </w:rPr>
              <w:t>(945)</w:t>
            </w:r>
          </w:p>
        </w:tc>
        <w:tc>
          <w:tcPr>
            <w:tcW w:w="1049" w:type="dxa"/>
            <w:tcBorders>
              <w:top w:val="nil"/>
              <w:left w:val="nil"/>
              <w:bottom w:val="nil"/>
              <w:right w:val="nil"/>
            </w:tcBorders>
            <w:shd w:val="clear" w:color="auto" w:fill="auto"/>
            <w:noWrap/>
            <w:vAlign w:val="bottom"/>
            <w:hideMark/>
          </w:tcPr>
          <w:p w14:paraId="4BEB02D5" w14:textId="77777777" w:rsidR="00A60080" w:rsidRPr="00A60080" w:rsidRDefault="00A60080" w:rsidP="00A60080">
            <w:pPr>
              <w:spacing w:after="0"/>
              <w:jc w:val="right"/>
              <w:rPr>
                <w:rFonts w:ascii="Arial" w:hAnsi="Arial" w:cs="Arial"/>
                <w:sz w:val="16"/>
                <w:szCs w:val="16"/>
              </w:rPr>
            </w:pPr>
            <w:r w:rsidRPr="00A60080">
              <w:rPr>
                <w:rFonts w:ascii="Arial" w:hAnsi="Arial" w:cs="Arial"/>
                <w:sz w:val="16"/>
                <w:szCs w:val="16"/>
              </w:rPr>
              <w:t>(200)</w:t>
            </w:r>
          </w:p>
        </w:tc>
        <w:tc>
          <w:tcPr>
            <w:tcW w:w="1049" w:type="dxa"/>
            <w:tcBorders>
              <w:top w:val="nil"/>
              <w:left w:val="nil"/>
              <w:bottom w:val="nil"/>
              <w:right w:val="nil"/>
            </w:tcBorders>
            <w:shd w:val="clear" w:color="auto" w:fill="auto"/>
            <w:noWrap/>
            <w:vAlign w:val="bottom"/>
            <w:hideMark/>
          </w:tcPr>
          <w:p w14:paraId="11D8952D" w14:textId="77777777" w:rsidR="00A60080" w:rsidRPr="00A60080" w:rsidRDefault="00A60080" w:rsidP="00A60080">
            <w:pPr>
              <w:spacing w:after="0"/>
              <w:jc w:val="right"/>
              <w:rPr>
                <w:rFonts w:ascii="Arial" w:hAnsi="Arial" w:cs="Arial"/>
                <w:b/>
                <w:bCs/>
                <w:sz w:val="16"/>
                <w:szCs w:val="16"/>
              </w:rPr>
            </w:pPr>
            <w:r w:rsidRPr="00A60080">
              <w:rPr>
                <w:rFonts w:ascii="Arial" w:hAnsi="Arial" w:cs="Arial"/>
                <w:b/>
                <w:bCs/>
                <w:sz w:val="16"/>
                <w:szCs w:val="16"/>
              </w:rPr>
              <w:t>(1,850)</w:t>
            </w:r>
          </w:p>
        </w:tc>
      </w:tr>
      <w:tr w:rsidR="00A60080" w:rsidRPr="00A60080" w14:paraId="1CE5CF9F" w14:textId="77777777" w:rsidTr="00A072C5">
        <w:trPr>
          <w:trHeight w:val="397"/>
          <w:jc w:val="center"/>
        </w:trPr>
        <w:tc>
          <w:tcPr>
            <w:tcW w:w="3200" w:type="dxa"/>
            <w:tcBorders>
              <w:top w:val="nil"/>
              <w:left w:val="nil"/>
              <w:bottom w:val="nil"/>
              <w:right w:val="nil"/>
            </w:tcBorders>
            <w:shd w:val="clear" w:color="auto" w:fill="auto"/>
            <w:vAlign w:val="bottom"/>
            <w:hideMark/>
          </w:tcPr>
          <w:p w14:paraId="681BF9CE" w14:textId="77777777" w:rsidR="00A60080" w:rsidRPr="00A60080" w:rsidRDefault="00A60080" w:rsidP="00A072C5">
            <w:pPr>
              <w:spacing w:after="0"/>
              <w:ind w:leftChars="75" w:left="143"/>
              <w:rPr>
                <w:rFonts w:ascii="Arial" w:hAnsi="Arial" w:cs="Arial"/>
                <w:color w:val="auto"/>
                <w:sz w:val="16"/>
                <w:szCs w:val="16"/>
              </w:rPr>
            </w:pPr>
            <w:r w:rsidRPr="00A60080">
              <w:rPr>
                <w:rFonts w:ascii="Arial" w:hAnsi="Arial" w:cs="Arial"/>
                <w:color w:val="auto"/>
                <w:sz w:val="16"/>
                <w:szCs w:val="16"/>
              </w:rPr>
              <w:t xml:space="preserve">Depreciation/amortisation expense - </w:t>
            </w:r>
            <w:proofErr w:type="spellStart"/>
            <w:r w:rsidRPr="00A60080">
              <w:rPr>
                <w:rFonts w:ascii="Arial" w:hAnsi="Arial" w:cs="Arial"/>
                <w:color w:val="auto"/>
                <w:sz w:val="16"/>
                <w:szCs w:val="16"/>
              </w:rPr>
              <w:t>RoU</w:t>
            </w:r>
            <w:proofErr w:type="spellEnd"/>
          </w:p>
        </w:tc>
        <w:tc>
          <w:tcPr>
            <w:tcW w:w="1049" w:type="dxa"/>
            <w:tcBorders>
              <w:top w:val="nil"/>
              <w:left w:val="nil"/>
              <w:bottom w:val="nil"/>
              <w:right w:val="nil"/>
            </w:tcBorders>
            <w:shd w:val="clear" w:color="auto" w:fill="auto"/>
            <w:noWrap/>
            <w:vAlign w:val="bottom"/>
            <w:hideMark/>
          </w:tcPr>
          <w:p w14:paraId="144B431C" w14:textId="77777777" w:rsidR="00A60080" w:rsidRPr="00A60080" w:rsidRDefault="00A60080" w:rsidP="00A60080">
            <w:pPr>
              <w:spacing w:after="0"/>
              <w:jc w:val="right"/>
              <w:rPr>
                <w:rFonts w:ascii="Arial" w:hAnsi="Arial" w:cs="Arial"/>
                <w:sz w:val="16"/>
                <w:szCs w:val="16"/>
              </w:rPr>
            </w:pPr>
            <w:r w:rsidRPr="00A60080">
              <w:rPr>
                <w:rFonts w:ascii="Arial" w:hAnsi="Arial" w:cs="Arial"/>
                <w:sz w:val="16"/>
                <w:szCs w:val="16"/>
              </w:rPr>
              <w:t>(4,758)</w:t>
            </w:r>
          </w:p>
        </w:tc>
        <w:tc>
          <w:tcPr>
            <w:tcW w:w="1049" w:type="dxa"/>
            <w:tcBorders>
              <w:top w:val="nil"/>
              <w:left w:val="nil"/>
              <w:bottom w:val="nil"/>
              <w:right w:val="nil"/>
            </w:tcBorders>
            <w:shd w:val="clear" w:color="auto" w:fill="auto"/>
            <w:noWrap/>
            <w:vAlign w:val="bottom"/>
            <w:hideMark/>
          </w:tcPr>
          <w:p w14:paraId="265A3289" w14:textId="77777777" w:rsidR="00A60080" w:rsidRPr="00A60080" w:rsidRDefault="00A60080" w:rsidP="00A60080">
            <w:pPr>
              <w:spacing w:after="0"/>
              <w:jc w:val="right"/>
              <w:rPr>
                <w:rFonts w:ascii="Arial" w:hAnsi="Arial" w:cs="Arial"/>
                <w:sz w:val="16"/>
                <w:szCs w:val="16"/>
              </w:rPr>
            </w:pPr>
            <w:r w:rsidRPr="00A60080">
              <w:rPr>
                <w:rFonts w:ascii="Arial" w:hAnsi="Arial" w:cs="Arial"/>
                <w:sz w:val="16"/>
                <w:szCs w:val="16"/>
              </w:rPr>
              <w:t>-</w:t>
            </w:r>
          </w:p>
        </w:tc>
        <w:tc>
          <w:tcPr>
            <w:tcW w:w="1049" w:type="dxa"/>
            <w:tcBorders>
              <w:top w:val="nil"/>
              <w:left w:val="nil"/>
              <w:bottom w:val="nil"/>
              <w:right w:val="nil"/>
            </w:tcBorders>
            <w:shd w:val="clear" w:color="auto" w:fill="auto"/>
            <w:noWrap/>
            <w:vAlign w:val="bottom"/>
            <w:hideMark/>
          </w:tcPr>
          <w:p w14:paraId="6D516F6F" w14:textId="77777777" w:rsidR="00A60080" w:rsidRPr="00A60080" w:rsidRDefault="00A60080" w:rsidP="00A60080">
            <w:pPr>
              <w:spacing w:after="0"/>
              <w:jc w:val="right"/>
              <w:rPr>
                <w:rFonts w:ascii="Arial" w:hAnsi="Arial" w:cs="Arial"/>
                <w:sz w:val="16"/>
                <w:szCs w:val="16"/>
              </w:rPr>
            </w:pPr>
            <w:r w:rsidRPr="00A60080">
              <w:rPr>
                <w:rFonts w:ascii="Arial" w:hAnsi="Arial" w:cs="Arial"/>
                <w:sz w:val="16"/>
                <w:szCs w:val="16"/>
              </w:rPr>
              <w:t>-</w:t>
            </w:r>
          </w:p>
        </w:tc>
        <w:tc>
          <w:tcPr>
            <w:tcW w:w="1049" w:type="dxa"/>
            <w:tcBorders>
              <w:top w:val="nil"/>
              <w:left w:val="nil"/>
              <w:bottom w:val="nil"/>
              <w:right w:val="nil"/>
            </w:tcBorders>
            <w:shd w:val="clear" w:color="auto" w:fill="auto"/>
            <w:noWrap/>
            <w:vAlign w:val="bottom"/>
            <w:hideMark/>
          </w:tcPr>
          <w:p w14:paraId="682CE1F8" w14:textId="77777777" w:rsidR="00A60080" w:rsidRPr="00A60080" w:rsidRDefault="00A60080" w:rsidP="00A60080">
            <w:pPr>
              <w:spacing w:after="0"/>
              <w:jc w:val="right"/>
              <w:rPr>
                <w:rFonts w:ascii="Arial" w:hAnsi="Arial" w:cs="Arial"/>
                <w:b/>
                <w:bCs/>
                <w:sz w:val="16"/>
                <w:szCs w:val="16"/>
              </w:rPr>
            </w:pPr>
            <w:r w:rsidRPr="00A60080">
              <w:rPr>
                <w:rFonts w:ascii="Arial" w:hAnsi="Arial" w:cs="Arial"/>
                <w:b/>
                <w:bCs/>
                <w:sz w:val="16"/>
                <w:szCs w:val="16"/>
              </w:rPr>
              <w:t>(4,758)</w:t>
            </w:r>
          </w:p>
        </w:tc>
      </w:tr>
      <w:tr w:rsidR="00A60080" w:rsidRPr="00A60080" w14:paraId="17132DDD" w14:textId="77777777" w:rsidTr="00A072C5">
        <w:trPr>
          <w:trHeight w:val="225"/>
          <w:jc w:val="center"/>
        </w:trPr>
        <w:tc>
          <w:tcPr>
            <w:tcW w:w="3200" w:type="dxa"/>
            <w:tcBorders>
              <w:top w:val="nil"/>
              <w:left w:val="nil"/>
              <w:bottom w:val="nil"/>
              <w:right w:val="nil"/>
            </w:tcBorders>
            <w:shd w:val="clear" w:color="auto" w:fill="auto"/>
            <w:noWrap/>
            <w:vAlign w:val="bottom"/>
            <w:hideMark/>
          </w:tcPr>
          <w:p w14:paraId="375AC926" w14:textId="77777777" w:rsidR="00A60080" w:rsidRPr="00A60080" w:rsidRDefault="00A60080" w:rsidP="00A072C5">
            <w:pPr>
              <w:spacing w:after="0"/>
              <w:ind w:leftChars="75" w:left="143"/>
              <w:rPr>
                <w:rFonts w:ascii="Arial" w:hAnsi="Arial" w:cs="Arial"/>
                <w:b/>
                <w:bCs/>
                <w:sz w:val="16"/>
                <w:szCs w:val="16"/>
              </w:rPr>
            </w:pPr>
            <w:r w:rsidRPr="00A60080">
              <w:rPr>
                <w:rFonts w:ascii="Arial" w:hAnsi="Arial" w:cs="Arial"/>
                <w:b/>
                <w:bCs/>
                <w:sz w:val="16"/>
                <w:szCs w:val="16"/>
              </w:rPr>
              <w:t>Total other movements</w:t>
            </w:r>
          </w:p>
        </w:tc>
        <w:tc>
          <w:tcPr>
            <w:tcW w:w="1049" w:type="dxa"/>
            <w:tcBorders>
              <w:top w:val="single" w:sz="4" w:space="0" w:color="auto"/>
              <w:left w:val="nil"/>
              <w:bottom w:val="single" w:sz="4" w:space="0" w:color="auto"/>
              <w:right w:val="nil"/>
            </w:tcBorders>
            <w:shd w:val="clear" w:color="auto" w:fill="auto"/>
            <w:noWrap/>
            <w:vAlign w:val="bottom"/>
            <w:hideMark/>
          </w:tcPr>
          <w:p w14:paraId="30E38E19" w14:textId="77777777" w:rsidR="00A60080" w:rsidRPr="00A60080" w:rsidRDefault="00A60080" w:rsidP="00A60080">
            <w:pPr>
              <w:spacing w:after="0"/>
              <w:jc w:val="right"/>
              <w:rPr>
                <w:rFonts w:ascii="Arial" w:hAnsi="Arial" w:cs="Arial"/>
                <w:b/>
                <w:bCs/>
                <w:sz w:val="16"/>
                <w:szCs w:val="16"/>
              </w:rPr>
            </w:pPr>
            <w:r w:rsidRPr="00A60080">
              <w:rPr>
                <w:rFonts w:ascii="Arial" w:hAnsi="Arial" w:cs="Arial"/>
                <w:b/>
                <w:bCs/>
                <w:sz w:val="16"/>
                <w:szCs w:val="16"/>
              </w:rPr>
              <w:t>(5,463)</w:t>
            </w:r>
          </w:p>
        </w:tc>
        <w:tc>
          <w:tcPr>
            <w:tcW w:w="1049" w:type="dxa"/>
            <w:tcBorders>
              <w:top w:val="single" w:sz="4" w:space="0" w:color="auto"/>
              <w:left w:val="nil"/>
              <w:bottom w:val="single" w:sz="4" w:space="0" w:color="auto"/>
              <w:right w:val="nil"/>
            </w:tcBorders>
            <w:shd w:val="clear" w:color="auto" w:fill="auto"/>
            <w:noWrap/>
            <w:vAlign w:val="bottom"/>
            <w:hideMark/>
          </w:tcPr>
          <w:p w14:paraId="24CF2003" w14:textId="77777777" w:rsidR="00A60080" w:rsidRPr="00A60080" w:rsidRDefault="00A60080" w:rsidP="00A60080">
            <w:pPr>
              <w:spacing w:after="0"/>
              <w:jc w:val="right"/>
              <w:rPr>
                <w:rFonts w:ascii="Arial" w:hAnsi="Arial" w:cs="Arial"/>
                <w:b/>
                <w:bCs/>
                <w:sz w:val="16"/>
                <w:szCs w:val="16"/>
              </w:rPr>
            </w:pPr>
            <w:r w:rsidRPr="00A60080">
              <w:rPr>
                <w:rFonts w:ascii="Arial" w:hAnsi="Arial" w:cs="Arial"/>
                <w:b/>
                <w:bCs/>
                <w:sz w:val="16"/>
                <w:szCs w:val="16"/>
              </w:rPr>
              <w:t>(945)</w:t>
            </w:r>
          </w:p>
        </w:tc>
        <w:tc>
          <w:tcPr>
            <w:tcW w:w="1049" w:type="dxa"/>
            <w:tcBorders>
              <w:top w:val="single" w:sz="4" w:space="0" w:color="auto"/>
              <w:left w:val="nil"/>
              <w:bottom w:val="single" w:sz="4" w:space="0" w:color="auto"/>
              <w:right w:val="nil"/>
            </w:tcBorders>
            <w:shd w:val="clear" w:color="auto" w:fill="auto"/>
            <w:noWrap/>
            <w:vAlign w:val="bottom"/>
            <w:hideMark/>
          </w:tcPr>
          <w:p w14:paraId="390BDF25" w14:textId="77777777" w:rsidR="00A60080" w:rsidRPr="00A60080" w:rsidRDefault="00A60080" w:rsidP="00A60080">
            <w:pPr>
              <w:spacing w:after="0"/>
              <w:jc w:val="right"/>
              <w:rPr>
                <w:rFonts w:ascii="Arial" w:hAnsi="Arial" w:cs="Arial"/>
                <w:b/>
                <w:bCs/>
                <w:sz w:val="16"/>
                <w:szCs w:val="16"/>
              </w:rPr>
            </w:pPr>
            <w:r w:rsidRPr="00A60080">
              <w:rPr>
                <w:rFonts w:ascii="Arial" w:hAnsi="Arial" w:cs="Arial"/>
                <w:b/>
                <w:bCs/>
                <w:sz w:val="16"/>
                <w:szCs w:val="16"/>
              </w:rPr>
              <w:t>(200)</w:t>
            </w:r>
          </w:p>
        </w:tc>
        <w:tc>
          <w:tcPr>
            <w:tcW w:w="1049" w:type="dxa"/>
            <w:tcBorders>
              <w:top w:val="single" w:sz="4" w:space="0" w:color="auto"/>
              <w:left w:val="nil"/>
              <w:bottom w:val="single" w:sz="4" w:space="0" w:color="auto"/>
              <w:right w:val="nil"/>
            </w:tcBorders>
            <w:shd w:val="clear" w:color="auto" w:fill="auto"/>
            <w:noWrap/>
            <w:vAlign w:val="bottom"/>
            <w:hideMark/>
          </w:tcPr>
          <w:p w14:paraId="177C4FEE" w14:textId="77777777" w:rsidR="00A60080" w:rsidRPr="00A60080" w:rsidRDefault="00A60080" w:rsidP="00A60080">
            <w:pPr>
              <w:spacing w:after="0"/>
              <w:jc w:val="right"/>
              <w:rPr>
                <w:rFonts w:ascii="Arial" w:hAnsi="Arial" w:cs="Arial"/>
                <w:b/>
                <w:bCs/>
                <w:sz w:val="16"/>
                <w:szCs w:val="16"/>
              </w:rPr>
            </w:pPr>
            <w:r w:rsidRPr="00A60080">
              <w:rPr>
                <w:rFonts w:ascii="Arial" w:hAnsi="Arial" w:cs="Arial"/>
                <w:b/>
                <w:bCs/>
                <w:sz w:val="16"/>
                <w:szCs w:val="16"/>
              </w:rPr>
              <w:t>(6,608)</w:t>
            </w:r>
          </w:p>
        </w:tc>
      </w:tr>
      <w:tr w:rsidR="00A60080" w:rsidRPr="00A60080" w14:paraId="0C6C6B4F" w14:textId="77777777" w:rsidTr="00A072C5">
        <w:trPr>
          <w:trHeight w:val="283"/>
          <w:jc w:val="center"/>
        </w:trPr>
        <w:tc>
          <w:tcPr>
            <w:tcW w:w="3200" w:type="dxa"/>
            <w:tcBorders>
              <w:top w:val="nil"/>
              <w:left w:val="nil"/>
              <w:bottom w:val="nil"/>
              <w:right w:val="nil"/>
            </w:tcBorders>
            <w:shd w:val="clear" w:color="auto" w:fill="auto"/>
            <w:noWrap/>
            <w:vAlign w:val="bottom"/>
            <w:hideMark/>
          </w:tcPr>
          <w:p w14:paraId="55D326F0" w14:textId="77777777" w:rsidR="00A60080" w:rsidRPr="00A60080" w:rsidRDefault="00A60080" w:rsidP="00A60080">
            <w:pPr>
              <w:spacing w:after="0"/>
              <w:rPr>
                <w:rFonts w:ascii="Arial" w:hAnsi="Arial" w:cs="Arial"/>
                <w:b/>
                <w:bCs/>
                <w:color w:val="auto"/>
                <w:sz w:val="16"/>
                <w:szCs w:val="16"/>
              </w:rPr>
            </w:pPr>
            <w:r w:rsidRPr="00A60080">
              <w:rPr>
                <w:rFonts w:ascii="Arial" w:hAnsi="Arial" w:cs="Arial"/>
                <w:b/>
                <w:bCs/>
                <w:color w:val="auto"/>
                <w:sz w:val="16"/>
                <w:szCs w:val="16"/>
              </w:rPr>
              <w:t>As at 30 June 2023</w:t>
            </w:r>
          </w:p>
        </w:tc>
        <w:tc>
          <w:tcPr>
            <w:tcW w:w="1049" w:type="dxa"/>
            <w:tcBorders>
              <w:top w:val="nil"/>
              <w:left w:val="nil"/>
              <w:bottom w:val="nil"/>
              <w:right w:val="nil"/>
            </w:tcBorders>
            <w:shd w:val="clear" w:color="auto" w:fill="auto"/>
            <w:noWrap/>
            <w:vAlign w:val="center"/>
            <w:hideMark/>
          </w:tcPr>
          <w:p w14:paraId="2089B31C" w14:textId="77777777" w:rsidR="00A60080" w:rsidRPr="00A60080" w:rsidRDefault="00A60080" w:rsidP="00A60080">
            <w:pPr>
              <w:spacing w:after="0"/>
              <w:rPr>
                <w:rFonts w:ascii="Arial" w:hAnsi="Arial" w:cs="Arial"/>
                <w:b/>
                <w:bCs/>
                <w:color w:val="auto"/>
                <w:sz w:val="16"/>
                <w:szCs w:val="16"/>
              </w:rPr>
            </w:pPr>
          </w:p>
        </w:tc>
        <w:tc>
          <w:tcPr>
            <w:tcW w:w="1049" w:type="dxa"/>
            <w:tcBorders>
              <w:top w:val="nil"/>
              <w:left w:val="nil"/>
              <w:bottom w:val="nil"/>
              <w:right w:val="nil"/>
            </w:tcBorders>
            <w:shd w:val="clear" w:color="auto" w:fill="auto"/>
            <w:noWrap/>
            <w:vAlign w:val="center"/>
            <w:hideMark/>
          </w:tcPr>
          <w:p w14:paraId="5DA8FE8E" w14:textId="77777777" w:rsidR="00A60080" w:rsidRPr="00A60080" w:rsidRDefault="00A60080" w:rsidP="00A60080">
            <w:pPr>
              <w:spacing w:after="0"/>
              <w:jc w:val="right"/>
              <w:rPr>
                <w:rFonts w:ascii="Times New Roman" w:hAnsi="Times New Roman"/>
                <w:color w:val="auto"/>
                <w:sz w:val="20"/>
              </w:rPr>
            </w:pPr>
          </w:p>
        </w:tc>
        <w:tc>
          <w:tcPr>
            <w:tcW w:w="1049" w:type="dxa"/>
            <w:tcBorders>
              <w:top w:val="nil"/>
              <w:left w:val="nil"/>
              <w:bottom w:val="nil"/>
              <w:right w:val="nil"/>
            </w:tcBorders>
            <w:shd w:val="clear" w:color="auto" w:fill="auto"/>
            <w:noWrap/>
            <w:vAlign w:val="center"/>
            <w:hideMark/>
          </w:tcPr>
          <w:p w14:paraId="373A6F12" w14:textId="77777777" w:rsidR="00A60080" w:rsidRPr="00A60080" w:rsidRDefault="00A60080" w:rsidP="00A60080">
            <w:pPr>
              <w:spacing w:after="0"/>
              <w:jc w:val="right"/>
              <w:rPr>
                <w:rFonts w:ascii="Times New Roman" w:hAnsi="Times New Roman"/>
                <w:color w:val="auto"/>
                <w:sz w:val="20"/>
              </w:rPr>
            </w:pPr>
          </w:p>
        </w:tc>
        <w:tc>
          <w:tcPr>
            <w:tcW w:w="1049" w:type="dxa"/>
            <w:tcBorders>
              <w:top w:val="nil"/>
              <w:left w:val="nil"/>
              <w:bottom w:val="nil"/>
              <w:right w:val="nil"/>
            </w:tcBorders>
            <w:shd w:val="clear" w:color="auto" w:fill="auto"/>
            <w:noWrap/>
            <w:vAlign w:val="center"/>
            <w:hideMark/>
          </w:tcPr>
          <w:p w14:paraId="57C3C514" w14:textId="77777777" w:rsidR="00A60080" w:rsidRPr="00A60080" w:rsidRDefault="00A60080" w:rsidP="00A60080">
            <w:pPr>
              <w:spacing w:after="0"/>
              <w:jc w:val="right"/>
              <w:rPr>
                <w:rFonts w:ascii="Times New Roman" w:hAnsi="Times New Roman"/>
                <w:color w:val="auto"/>
                <w:sz w:val="20"/>
              </w:rPr>
            </w:pPr>
          </w:p>
        </w:tc>
      </w:tr>
      <w:tr w:rsidR="00A60080" w:rsidRPr="00A60080" w14:paraId="4DF2575A" w14:textId="77777777" w:rsidTr="00A072C5">
        <w:trPr>
          <w:trHeight w:val="225"/>
          <w:jc w:val="center"/>
        </w:trPr>
        <w:tc>
          <w:tcPr>
            <w:tcW w:w="3200" w:type="dxa"/>
            <w:tcBorders>
              <w:top w:val="nil"/>
              <w:left w:val="nil"/>
              <w:bottom w:val="nil"/>
              <w:right w:val="nil"/>
            </w:tcBorders>
            <w:shd w:val="clear" w:color="auto" w:fill="auto"/>
            <w:noWrap/>
            <w:vAlign w:val="bottom"/>
            <w:hideMark/>
          </w:tcPr>
          <w:p w14:paraId="365D5D6A" w14:textId="77777777" w:rsidR="00A60080" w:rsidRPr="00A60080" w:rsidRDefault="00A60080" w:rsidP="00A072C5">
            <w:pPr>
              <w:spacing w:after="0"/>
              <w:ind w:leftChars="75" w:left="143"/>
              <w:rPr>
                <w:rFonts w:ascii="Arial" w:hAnsi="Arial" w:cs="Arial"/>
                <w:color w:val="auto"/>
                <w:sz w:val="16"/>
                <w:szCs w:val="16"/>
              </w:rPr>
            </w:pPr>
            <w:r w:rsidRPr="00A60080">
              <w:rPr>
                <w:rFonts w:ascii="Arial" w:hAnsi="Arial" w:cs="Arial"/>
                <w:color w:val="auto"/>
                <w:sz w:val="16"/>
                <w:szCs w:val="16"/>
              </w:rPr>
              <w:t>Gross book value</w:t>
            </w:r>
          </w:p>
        </w:tc>
        <w:tc>
          <w:tcPr>
            <w:tcW w:w="1049" w:type="dxa"/>
            <w:tcBorders>
              <w:top w:val="nil"/>
              <w:left w:val="nil"/>
              <w:bottom w:val="nil"/>
              <w:right w:val="nil"/>
            </w:tcBorders>
            <w:shd w:val="clear" w:color="auto" w:fill="auto"/>
            <w:noWrap/>
            <w:vAlign w:val="bottom"/>
            <w:hideMark/>
          </w:tcPr>
          <w:p w14:paraId="36D56953" w14:textId="77777777" w:rsidR="00A60080" w:rsidRPr="00A60080" w:rsidRDefault="00A60080" w:rsidP="00A60080">
            <w:pPr>
              <w:spacing w:after="0"/>
              <w:jc w:val="right"/>
              <w:rPr>
                <w:rFonts w:ascii="Arial" w:hAnsi="Arial" w:cs="Arial"/>
                <w:sz w:val="16"/>
                <w:szCs w:val="16"/>
              </w:rPr>
            </w:pPr>
            <w:r w:rsidRPr="00A60080">
              <w:rPr>
                <w:rFonts w:ascii="Arial" w:hAnsi="Arial" w:cs="Arial"/>
                <w:sz w:val="16"/>
                <w:szCs w:val="16"/>
              </w:rPr>
              <w:t>9,529</w:t>
            </w:r>
          </w:p>
        </w:tc>
        <w:tc>
          <w:tcPr>
            <w:tcW w:w="1049" w:type="dxa"/>
            <w:tcBorders>
              <w:top w:val="nil"/>
              <w:left w:val="nil"/>
              <w:bottom w:val="nil"/>
              <w:right w:val="nil"/>
            </w:tcBorders>
            <w:shd w:val="clear" w:color="auto" w:fill="auto"/>
            <w:noWrap/>
            <w:vAlign w:val="bottom"/>
            <w:hideMark/>
          </w:tcPr>
          <w:p w14:paraId="3436695F" w14:textId="77777777" w:rsidR="00A60080" w:rsidRPr="00A60080" w:rsidRDefault="00A60080" w:rsidP="00A60080">
            <w:pPr>
              <w:spacing w:after="0"/>
              <w:jc w:val="right"/>
              <w:rPr>
                <w:rFonts w:ascii="Arial" w:hAnsi="Arial" w:cs="Arial"/>
                <w:sz w:val="16"/>
                <w:szCs w:val="16"/>
              </w:rPr>
            </w:pPr>
            <w:r w:rsidRPr="00A60080">
              <w:rPr>
                <w:rFonts w:ascii="Arial" w:hAnsi="Arial" w:cs="Arial"/>
                <w:sz w:val="16"/>
                <w:szCs w:val="16"/>
              </w:rPr>
              <w:t>10,782</w:t>
            </w:r>
          </w:p>
        </w:tc>
        <w:tc>
          <w:tcPr>
            <w:tcW w:w="1049" w:type="dxa"/>
            <w:tcBorders>
              <w:top w:val="nil"/>
              <w:left w:val="nil"/>
              <w:bottom w:val="nil"/>
              <w:right w:val="nil"/>
            </w:tcBorders>
            <w:shd w:val="clear" w:color="auto" w:fill="auto"/>
            <w:noWrap/>
            <w:vAlign w:val="bottom"/>
            <w:hideMark/>
          </w:tcPr>
          <w:p w14:paraId="267541A6" w14:textId="77777777" w:rsidR="00A60080" w:rsidRPr="00A60080" w:rsidRDefault="00A60080" w:rsidP="00A60080">
            <w:pPr>
              <w:spacing w:after="0"/>
              <w:jc w:val="right"/>
              <w:rPr>
                <w:rFonts w:ascii="Arial" w:hAnsi="Arial" w:cs="Arial"/>
                <w:sz w:val="16"/>
                <w:szCs w:val="16"/>
              </w:rPr>
            </w:pPr>
            <w:r w:rsidRPr="00A60080">
              <w:rPr>
                <w:rFonts w:ascii="Arial" w:hAnsi="Arial" w:cs="Arial"/>
                <w:sz w:val="16"/>
                <w:szCs w:val="16"/>
              </w:rPr>
              <w:t>3,118</w:t>
            </w:r>
          </w:p>
        </w:tc>
        <w:tc>
          <w:tcPr>
            <w:tcW w:w="1049" w:type="dxa"/>
            <w:tcBorders>
              <w:top w:val="nil"/>
              <w:left w:val="nil"/>
              <w:bottom w:val="nil"/>
              <w:right w:val="nil"/>
            </w:tcBorders>
            <w:shd w:val="clear" w:color="auto" w:fill="auto"/>
            <w:noWrap/>
            <w:vAlign w:val="bottom"/>
            <w:hideMark/>
          </w:tcPr>
          <w:p w14:paraId="7B643280" w14:textId="77777777" w:rsidR="00A60080" w:rsidRPr="00A60080" w:rsidRDefault="00A60080" w:rsidP="00A60080">
            <w:pPr>
              <w:spacing w:after="0"/>
              <w:jc w:val="right"/>
              <w:rPr>
                <w:rFonts w:ascii="Arial" w:hAnsi="Arial" w:cs="Arial"/>
                <w:b/>
                <w:bCs/>
                <w:sz w:val="16"/>
                <w:szCs w:val="16"/>
              </w:rPr>
            </w:pPr>
            <w:r w:rsidRPr="00A60080">
              <w:rPr>
                <w:rFonts w:ascii="Arial" w:hAnsi="Arial" w:cs="Arial"/>
                <w:b/>
                <w:bCs/>
                <w:sz w:val="16"/>
                <w:szCs w:val="16"/>
              </w:rPr>
              <w:t>23,429</w:t>
            </w:r>
          </w:p>
        </w:tc>
      </w:tr>
      <w:tr w:rsidR="00A60080" w:rsidRPr="00A60080" w14:paraId="570A71B1" w14:textId="77777777" w:rsidTr="00A072C5">
        <w:trPr>
          <w:trHeight w:val="225"/>
          <w:jc w:val="center"/>
        </w:trPr>
        <w:tc>
          <w:tcPr>
            <w:tcW w:w="3200" w:type="dxa"/>
            <w:tcBorders>
              <w:top w:val="nil"/>
              <w:left w:val="nil"/>
              <w:bottom w:val="nil"/>
              <w:right w:val="nil"/>
            </w:tcBorders>
            <w:shd w:val="clear" w:color="auto" w:fill="auto"/>
            <w:noWrap/>
            <w:vAlign w:val="bottom"/>
            <w:hideMark/>
          </w:tcPr>
          <w:p w14:paraId="650E0577" w14:textId="77777777" w:rsidR="00A60080" w:rsidRPr="00A60080" w:rsidRDefault="00A60080" w:rsidP="00A072C5">
            <w:pPr>
              <w:spacing w:after="0"/>
              <w:ind w:leftChars="75" w:left="143"/>
              <w:rPr>
                <w:rFonts w:ascii="Arial" w:hAnsi="Arial" w:cs="Arial"/>
                <w:color w:val="auto"/>
                <w:sz w:val="16"/>
                <w:szCs w:val="16"/>
              </w:rPr>
            </w:pPr>
            <w:r w:rsidRPr="00A60080">
              <w:rPr>
                <w:rFonts w:ascii="Arial" w:hAnsi="Arial" w:cs="Arial"/>
                <w:color w:val="auto"/>
                <w:sz w:val="16"/>
                <w:szCs w:val="16"/>
              </w:rPr>
              <w:t xml:space="preserve">Gross book value - </w:t>
            </w:r>
            <w:proofErr w:type="spellStart"/>
            <w:r w:rsidRPr="00A60080">
              <w:rPr>
                <w:rFonts w:ascii="Arial" w:hAnsi="Arial" w:cs="Arial"/>
                <w:color w:val="auto"/>
                <w:sz w:val="16"/>
                <w:szCs w:val="16"/>
              </w:rPr>
              <w:t>RoU</w:t>
            </w:r>
            <w:proofErr w:type="spellEnd"/>
          </w:p>
        </w:tc>
        <w:tc>
          <w:tcPr>
            <w:tcW w:w="1049" w:type="dxa"/>
            <w:tcBorders>
              <w:top w:val="nil"/>
              <w:left w:val="nil"/>
              <w:bottom w:val="nil"/>
              <w:right w:val="nil"/>
            </w:tcBorders>
            <w:shd w:val="clear" w:color="auto" w:fill="auto"/>
            <w:noWrap/>
            <w:vAlign w:val="bottom"/>
            <w:hideMark/>
          </w:tcPr>
          <w:p w14:paraId="65F4840A" w14:textId="77777777" w:rsidR="00A60080" w:rsidRPr="00A60080" w:rsidRDefault="00A60080" w:rsidP="00A60080">
            <w:pPr>
              <w:spacing w:after="0"/>
              <w:jc w:val="right"/>
              <w:rPr>
                <w:rFonts w:ascii="Arial" w:hAnsi="Arial" w:cs="Arial"/>
                <w:sz w:val="16"/>
                <w:szCs w:val="16"/>
              </w:rPr>
            </w:pPr>
            <w:r w:rsidRPr="00A60080">
              <w:rPr>
                <w:rFonts w:ascii="Arial" w:hAnsi="Arial" w:cs="Arial"/>
                <w:sz w:val="16"/>
                <w:szCs w:val="16"/>
              </w:rPr>
              <w:t>44,051</w:t>
            </w:r>
          </w:p>
        </w:tc>
        <w:tc>
          <w:tcPr>
            <w:tcW w:w="1049" w:type="dxa"/>
            <w:tcBorders>
              <w:top w:val="nil"/>
              <w:left w:val="nil"/>
              <w:bottom w:val="nil"/>
              <w:right w:val="nil"/>
            </w:tcBorders>
            <w:shd w:val="clear" w:color="auto" w:fill="auto"/>
            <w:noWrap/>
            <w:vAlign w:val="bottom"/>
            <w:hideMark/>
          </w:tcPr>
          <w:p w14:paraId="707A5D5B" w14:textId="77777777" w:rsidR="00A60080" w:rsidRPr="00A60080" w:rsidRDefault="00A60080" w:rsidP="00A60080">
            <w:pPr>
              <w:spacing w:after="0"/>
              <w:jc w:val="right"/>
              <w:rPr>
                <w:rFonts w:ascii="Arial" w:hAnsi="Arial" w:cs="Arial"/>
                <w:sz w:val="16"/>
                <w:szCs w:val="16"/>
              </w:rPr>
            </w:pPr>
            <w:r w:rsidRPr="00A60080">
              <w:rPr>
                <w:rFonts w:ascii="Arial" w:hAnsi="Arial" w:cs="Arial"/>
                <w:sz w:val="16"/>
                <w:szCs w:val="16"/>
              </w:rPr>
              <w:t>-</w:t>
            </w:r>
          </w:p>
        </w:tc>
        <w:tc>
          <w:tcPr>
            <w:tcW w:w="1049" w:type="dxa"/>
            <w:tcBorders>
              <w:top w:val="nil"/>
              <w:left w:val="nil"/>
              <w:bottom w:val="nil"/>
              <w:right w:val="nil"/>
            </w:tcBorders>
            <w:shd w:val="clear" w:color="auto" w:fill="auto"/>
            <w:noWrap/>
            <w:vAlign w:val="bottom"/>
            <w:hideMark/>
          </w:tcPr>
          <w:p w14:paraId="215C5137" w14:textId="77777777" w:rsidR="00A60080" w:rsidRPr="00A60080" w:rsidRDefault="00A60080" w:rsidP="00A60080">
            <w:pPr>
              <w:spacing w:after="0"/>
              <w:jc w:val="right"/>
              <w:rPr>
                <w:rFonts w:ascii="Arial" w:hAnsi="Arial" w:cs="Arial"/>
                <w:sz w:val="16"/>
                <w:szCs w:val="16"/>
              </w:rPr>
            </w:pPr>
            <w:r w:rsidRPr="00A60080">
              <w:rPr>
                <w:rFonts w:ascii="Arial" w:hAnsi="Arial" w:cs="Arial"/>
                <w:sz w:val="16"/>
                <w:szCs w:val="16"/>
              </w:rPr>
              <w:t>-</w:t>
            </w:r>
          </w:p>
        </w:tc>
        <w:tc>
          <w:tcPr>
            <w:tcW w:w="1049" w:type="dxa"/>
            <w:tcBorders>
              <w:top w:val="nil"/>
              <w:left w:val="nil"/>
              <w:bottom w:val="nil"/>
              <w:right w:val="nil"/>
            </w:tcBorders>
            <w:shd w:val="clear" w:color="auto" w:fill="auto"/>
            <w:noWrap/>
            <w:vAlign w:val="bottom"/>
            <w:hideMark/>
          </w:tcPr>
          <w:p w14:paraId="6DA466D9" w14:textId="77777777" w:rsidR="00A60080" w:rsidRPr="00A60080" w:rsidRDefault="00A60080" w:rsidP="00A60080">
            <w:pPr>
              <w:spacing w:after="0"/>
              <w:jc w:val="right"/>
              <w:rPr>
                <w:rFonts w:ascii="Arial" w:hAnsi="Arial" w:cs="Arial"/>
                <w:b/>
                <w:bCs/>
                <w:sz w:val="16"/>
                <w:szCs w:val="16"/>
              </w:rPr>
            </w:pPr>
            <w:r w:rsidRPr="00A60080">
              <w:rPr>
                <w:rFonts w:ascii="Arial" w:hAnsi="Arial" w:cs="Arial"/>
                <w:b/>
                <w:bCs/>
                <w:sz w:val="16"/>
                <w:szCs w:val="16"/>
              </w:rPr>
              <w:t>44,051</w:t>
            </w:r>
          </w:p>
        </w:tc>
      </w:tr>
      <w:tr w:rsidR="00A60080" w:rsidRPr="00A60080" w14:paraId="70BA3534" w14:textId="77777777" w:rsidTr="00A072C5">
        <w:trPr>
          <w:trHeight w:val="397"/>
          <w:jc w:val="center"/>
        </w:trPr>
        <w:tc>
          <w:tcPr>
            <w:tcW w:w="3200" w:type="dxa"/>
            <w:tcBorders>
              <w:top w:val="nil"/>
              <w:left w:val="nil"/>
              <w:bottom w:val="nil"/>
              <w:right w:val="nil"/>
            </w:tcBorders>
            <w:shd w:val="clear" w:color="auto" w:fill="auto"/>
            <w:vAlign w:val="bottom"/>
            <w:hideMark/>
          </w:tcPr>
          <w:p w14:paraId="46B86BA4" w14:textId="77777777" w:rsidR="00A60080" w:rsidRPr="00A60080" w:rsidRDefault="00A60080" w:rsidP="00A072C5">
            <w:pPr>
              <w:spacing w:after="0"/>
              <w:ind w:leftChars="75" w:left="143"/>
              <w:rPr>
                <w:rFonts w:ascii="Arial" w:hAnsi="Arial" w:cs="Arial"/>
                <w:color w:val="auto"/>
                <w:sz w:val="16"/>
                <w:szCs w:val="16"/>
              </w:rPr>
            </w:pPr>
            <w:r w:rsidRPr="00A60080">
              <w:rPr>
                <w:rFonts w:ascii="Arial" w:hAnsi="Arial" w:cs="Arial"/>
                <w:color w:val="auto"/>
                <w:sz w:val="16"/>
                <w:szCs w:val="16"/>
              </w:rPr>
              <w:t>Accumulated depreciation/ amortisation and impairment</w:t>
            </w:r>
          </w:p>
        </w:tc>
        <w:tc>
          <w:tcPr>
            <w:tcW w:w="1049" w:type="dxa"/>
            <w:tcBorders>
              <w:top w:val="nil"/>
              <w:left w:val="nil"/>
              <w:bottom w:val="nil"/>
              <w:right w:val="nil"/>
            </w:tcBorders>
            <w:shd w:val="clear" w:color="auto" w:fill="auto"/>
            <w:noWrap/>
            <w:vAlign w:val="bottom"/>
            <w:hideMark/>
          </w:tcPr>
          <w:p w14:paraId="2C065257" w14:textId="77777777" w:rsidR="00A60080" w:rsidRPr="00A60080" w:rsidRDefault="00A60080" w:rsidP="00A60080">
            <w:pPr>
              <w:spacing w:after="0"/>
              <w:jc w:val="right"/>
              <w:rPr>
                <w:rFonts w:ascii="Arial" w:hAnsi="Arial" w:cs="Arial"/>
                <w:sz w:val="16"/>
                <w:szCs w:val="16"/>
              </w:rPr>
            </w:pPr>
            <w:r w:rsidRPr="00A60080">
              <w:rPr>
                <w:rFonts w:ascii="Arial" w:hAnsi="Arial" w:cs="Arial"/>
                <w:sz w:val="16"/>
                <w:szCs w:val="16"/>
              </w:rPr>
              <w:t>(4,517)</w:t>
            </w:r>
          </w:p>
        </w:tc>
        <w:tc>
          <w:tcPr>
            <w:tcW w:w="1049" w:type="dxa"/>
            <w:tcBorders>
              <w:top w:val="nil"/>
              <w:left w:val="nil"/>
              <w:bottom w:val="nil"/>
              <w:right w:val="nil"/>
            </w:tcBorders>
            <w:shd w:val="clear" w:color="auto" w:fill="auto"/>
            <w:noWrap/>
            <w:vAlign w:val="bottom"/>
            <w:hideMark/>
          </w:tcPr>
          <w:p w14:paraId="09918C54" w14:textId="77777777" w:rsidR="00A60080" w:rsidRPr="00A60080" w:rsidRDefault="00A60080" w:rsidP="00A60080">
            <w:pPr>
              <w:spacing w:after="0"/>
              <w:jc w:val="right"/>
              <w:rPr>
                <w:rFonts w:ascii="Arial" w:hAnsi="Arial" w:cs="Arial"/>
                <w:sz w:val="16"/>
                <w:szCs w:val="16"/>
              </w:rPr>
            </w:pPr>
            <w:r w:rsidRPr="00A60080">
              <w:rPr>
                <w:rFonts w:ascii="Arial" w:hAnsi="Arial" w:cs="Arial"/>
                <w:sz w:val="16"/>
                <w:szCs w:val="16"/>
              </w:rPr>
              <w:t>(5,798)</w:t>
            </w:r>
          </w:p>
        </w:tc>
        <w:tc>
          <w:tcPr>
            <w:tcW w:w="1049" w:type="dxa"/>
            <w:tcBorders>
              <w:top w:val="nil"/>
              <w:left w:val="nil"/>
              <w:bottom w:val="nil"/>
              <w:right w:val="nil"/>
            </w:tcBorders>
            <w:shd w:val="clear" w:color="auto" w:fill="auto"/>
            <w:noWrap/>
            <w:vAlign w:val="bottom"/>
            <w:hideMark/>
          </w:tcPr>
          <w:p w14:paraId="2FC13940" w14:textId="77777777" w:rsidR="00A60080" w:rsidRPr="00A60080" w:rsidRDefault="00A60080" w:rsidP="00A60080">
            <w:pPr>
              <w:spacing w:after="0"/>
              <w:jc w:val="right"/>
              <w:rPr>
                <w:rFonts w:ascii="Arial" w:hAnsi="Arial" w:cs="Arial"/>
                <w:sz w:val="16"/>
                <w:szCs w:val="16"/>
              </w:rPr>
            </w:pPr>
            <w:r w:rsidRPr="00A60080">
              <w:rPr>
                <w:rFonts w:ascii="Arial" w:hAnsi="Arial" w:cs="Arial"/>
                <w:sz w:val="16"/>
                <w:szCs w:val="16"/>
              </w:rPr>
              <w:t>(1,582)</w:t>
            </w:r>
          </w:p>
        </w:tc>
        <w:tc>
          <w:tcPr>
            <w:tcW w:w="1049" w:type="dxa"/>
            <w:tcBorders>
              <w:top w:val="nil"/>
              <w:left w:val="nil"/>
              <w:bottom w:val="nil"/>
              <w:right w:val="nil"/>
            </w:tcBorders>
            <w:shd w:val="clear" w:color="auto" w:fill="auto"/>
            <w:noWrap/>
            <w:vAlign w:val="bottom"/>
            <w:hideMark/>
          </w:tcPr>
          <w:p w14:paraId="22BE11B6" w14:textId="77777777" w:rsidR="00A60080" w:rsidRPr="00A60080" w:rsidRDefault="00A60080" w:rsidP="00A60080">
            <w:pPr>
              <w:spacing w:after="0"/>
              <w:jc w:val="right"/>
              <w:rPr>
                <w:rFonts w:ascii="Arial" w:hAnsi="Arial" w:cs="Arial"/>
                <w:b/>
                <w:bCs/>
                <w:sz w:val="16"/>
                <w:szCs w:val="16"/>
              </w:rPr>
            </w:pPr>
            <w:r w:rsidRPr="00A60080">
              <w:rPr>
                <w:rFonts w:ascii="Arial" w:hAnsi="Arial" w:cs="Arial"/>
                <w:b/>
                <w:bCs/>
                <w:sz w:val="16"/>
                <w:szCs w:val="16"/>
              </w:rPr>
              <w:t>(11,897)</w:t>
            </w:r>
          </w:p>
        </w:tc>
      </w:tr>
      <w:tr w:rsidR="00A60080" w:rsidRPr="00A60080" w14:paraId="61C38293" w14:textId="77777777" w:rsidTr="00A072C5">
        <w:trPr>
          <w:trHeight w:val="397"/>
          <w:jc w:val="center"/>
        </w:trPr>
        <w:tc>
          <w:tcPr>
            <w:tcW w:w="3200" w:type="dxa"/>
            <w:tcBorders>
              <w:top w:val="nil"/>
              <w:left w:val="nil"/>
              <w:bottom w:val="nil"/>
              <w:right w:val="nil"/>
            </w:tcBorders>
            <w:shd w:val="clear" w:color="auto" w:fill="auto"/>
            <w:vAlign w:val="bottom"/>
            <w:hideMark/>
          </w:tcPr>
          <w:p w14:paraId="3297EDAC" w14:textId="77777777" w:rsidR="00A60080" w:rsidRPr="00A60080" w:rsidRDefault="00A60080" w:rsidP="00A072C5">
            <w:pPr>
              <w:spacing w:after="0"/>
              <w:ind w:leftChars="75" w:left="143"/>
              <w:rPr>
                <w:rFonts w:ascii="Arial" w:hAnsi="Arial" w:cs="Arial"/>
                <w:color w:val="auto"/>
                <w:sz w:val="16"/>
                <w:szCs w:val="16"/>
              </w:rPr>
            </w:pPr>
            <w:r w:rsidRPr="00A60080">
              <w:rPr>
                <w:rFonts w:ascii="Arial" w:hAnsi="Arial" w:cs="Arial"/>
                <w:color w:val="auto"/>
                <w:sz w:val="16"/>
                <w:szCs w:val="16"/>
              </w:rPr>
              <w:t xml:space="preserve">Accumulated depreciation/ amortisation and impairment - </w:t>
            </w:r>
            <w:proofErr w:type="spellStart"/>
            <w:r w:rsidRPr="00A60080">
              <w:rPr>
                <w:rFonts w:ascii="Arial" w:hAnsi="Arial" w:cs="Arial"/>
                <w:color w:val="auto"/>
                <w:sz w:val="16"/>
                <w:szCs w:val="16"/>
              </w:rPr>
              <w:t>RoU</w:t>
            </w:r>
            <w:proofErr w:type="spellEnd"/>
          </w:p>
        </w:tc>
        <w:tc>
          <w:tcPr>
            <w:tcW w:w="1049" w:type="dxa"/>
            <w:tcBorders>
              <w:top w:val="nil"/>
              <w:left w:val="nil"/>
              <w:bottom w:val="nil"/>
              <w:right w:val="nil"/>
            </w:tcBorders>
            <w:shd w:val="clear" w:color="auto" w:fill="auto"/>
            <w:noWrap/>
            <w:vAlign w:val="bottom"/>
            <w:hideMark/>
          </w:tcPr>
          <w:p w14:paraId="0985BAFA" w14:textId="77777777" w:rsidR="00A60080" w:rsidRPr="00A60080" w:rsidRDefault="00A60080" w:rsidP="00A60080">
            <w:pPr>
              <w:spacing w:after="0"/>
              <w:jc w:val="right"/>
              <w:rPr>
                <w:rFonts w:ascii="Arial" w:hAnsi="Arial" w:cs="Arial"/>
                <w:sz w:val="16"/>
                <w:szCs w:val="16"/>
              </w:rPr>
            </w:pPr>
            <w:r w:rsidRPr="00A60080">
              <w:rPr>
                <w:rFonts w:ascii="Arial" w:hAnsi="Arial" w:cs="Arial"/>
                <w:sz w:val="16"/>
                <w:szCs w:val="16"/>
              </w:rPr>
              <w:t>(17,906)</w:t>
            </w:r>
          </w:p>
        </w:tc>
        <w:tc>
          <w:tcPr>
            <w:tcW w:w="1049" w:type="dxa"/>
            <w:tcBorders>
              <w:top w:val="nil"/>
              <w:left w:val="nil"/>
              <w:bottom w:val="nil"/>
              <w:right w:val="nil"/>
            </w:tcBorders>
            <w:shd w:val="clear" w:color="auto" w:fill="auto"/>
            <w:noWrap/>
            <w:vAlign w:val="bottom"/>
            <w:hideMark/>
          </w:tcPr>
          <w:p w14:paraId="6A62B3FA" w14:textId="77777777" w:rsidR="00A60080" w:rsidRPr="00A60080" w:rsidRDefault="00A60080" w:rsidP="00A60080">
            <w:pPr>
              <w:spacing w:after="0"/>
              <w:jc w:val="right"/>
              <w:rPr>
                <w:rFonts w:ascii="Arial" w:hAnsi="Arial" w:cs="Arial"/>
                <w:sz w:val="16"/>
                <w:szCs w:val="16"/>
              </w:rPr>
            </w:pPr>
            <w:r w:rsidRPr="00A60080">
              <w:rPr>
                <w:rFonts w:ascii="Arial" w:hAnsi="Arial" w:cs="Arial"/>
                <w:sz w:val="16"/>
                <w:szCs w:val="16"/>
              </w:rPr>
              <w:t>-</w:t>
            </w:r>
          </w:p>
        </w:tc>
        <w:tc>
          <w:tcPr>
            <w:tcW w:w="1049" w:type="dxa"/>
            <w:tcBorders>
              <w:top w:val="nil"/>
              <w:left w:val="nil"/>
              <w:bottom w:val="nil"/>
              <w:right w:val="nil"/>
            </w:tcBorders>
            <w:shd w:val="clear" w:color="auto" w:fill="auto"/>
            <w:noWrap/>
            <w:vAlign w:val="bottom"/>
            <w:hideMark/>
          </w:tcPr>
          <w:p w14:paraId="679F6FA2" w14:textId="77777777" w:rsidR="00A60080" w:rsidRPr="00A60080" w:rsidRDefault="00A60080" w:rsidP="00A60080">
            <w:pPr>
              <w:spacing w:after="0"/>
              <w:jc w:val="right"/>
              <w:rPr>
                <w:rFonts w:ascii="Arial" w:hAnsi="Arial" w:cs="Arial"/>
                <w:sz w:val="16"/>
                <w:szCs w:val="16"/>
              </w:rPr>
            </w:pPr>
            <w:r w:rsidRPr="00A60080">
              <w:rPr>
                <w:rFonts w:ascii="Arial" w:hAnsi="Arial" w:cs="Arial"/>
                <w:sz w:val="16"/>
                <w:szCs w:val="16"/>
              </w:rPr>
              <w:t>-</w:t>
            </w:r>
          </w:p>
        </w:tc>
        <w:tc>
          <w:tcPr>
            <w:tcW w:w="1049" w:type="dxa"/>
            <w:tcBorders>
              <w:top w:val="nil"/>
              <w:left w:val="nil"/>
              <w:bottom w:val="single" w:sz="4" w:space="0" w:color="auto"/>
              <w:right w:val="nil"/>
            </w:tcBorders>
            <w:shd w:val="clear" w:color="auto" w:fill="auto"/>
            <w:noWrap/>
            <w:vAlign w:val="bottom"/>
            <w:hideMark/>
          </w:tcPr>
          <w:p w14:paraId="6A8A96AE" w14:textId="77777777" w:rsidR="00A60080" w:rsidRPr="00A60080" w:rsidRDefault="00A60080" w:rsidP="00A60080">
            <w:pPr>
              <w:spacing w:after="0"/>
              <w:jc w:val="right"/>
              <w:rPr>
                <w:rFonts w:ascii="Arial" w:hAnsi="Arial" w:cs="Arial"/>
                <w:b/>
                <w:bCs/>
                <w:sz w:val="16"/>
                <w:szCs w:val="16"/>
              </w:rPr>
            </w:pPr>
            <w:r w:rsidRPr="00A60080">
              <w:rPr>
                <w:rFonts w:ascii="Arial" w:hAnsi="Arial" w:cs="Arial"/>
                <w:b/>
                <w:bCs/>
                <w:sz w:val="16"/>
                <w:szCs w:val="16"/>
              </w:rPr>
              <w:t>(17,906)</w:t>
            </w:r>
          </w:p>
        </w:tc>
      </w:tr>
      <w:tr w:rsidR="00A60080" w:rsidRPr="00A60080" w14:paraId="7017BD03" w14:textId="77777777" w:rsidTr="00A072C5">
        <w:trPr>
          <w:trHeight w:val="225"/>
          <w:jc w:val="center"/>
        </w:trPr>
        <w:tc>
          <w:tcPr>
            <w:tcW w:w="3200" w:type="dxa"/>
            <w:tcBorders>
              <w:top w:val="nil"/>
              <w:left w:val="nil"/>
              <w:bottom w:val="single" w:sz="4" w:space="0" w:color="auto"/>
              <w:right w:val="nil"/>
            </w:tcBorders>
            <w:shd w:val="clear" w:color="auto" w:fill="auto"/>
            <w:noWrap/>
            <w:vAlign w:val="bottom"/>
            <w:hideMark/>
          </w:tcPr>
          <w:p w14:paraId="24753ACA" w14:textId="77777777" w:rsidR="00A60080" w:rsidRPr="00A60080" w:rsidRDefault="00A60080" w:rsidP="00A072C5">
            <w:pPr>
              <w:spacing w:after="0"/>
              <w:ind w:leftChars="75" w:left="143"/>
              <w:rPr>
                <w:rFonts w:ascii="Arial" w:hAnsi="Arial" w:cs="Arial"/>
                <w:b/>
                <w:bCs/>
                <w:color w:val="auto"/>
                <w:sz w:val="16"/>
                <w:szCs w:val="16"/>
              </w:rPr>
            </w:pPr>
            <w:r w:rsidRPr="00A60080">
              <w:rPr>
                <w:rFonts w:ascii="Arial" w:hAnsi="Arial" w:cs="Arial"/>
                <w:b/>
                <w:bCs/>
                <w:color w:val="auto"/>
                <w:sz w:val="16"/>
                <w:szCs w:val="16"/>
              </w:rPr>
              <w:t>Closing net book balance</w:t>
            </w:r>
          </w:p>
        </w:tc>
        <w:tc>
          <w:tcPr>
            <w:tcW w:w="1049" w:type="dxa"/>
            <w:tcBorders>
              <w:top w:val="single" w:sz="4" w:space="0" w:color="auto"/>
              <w:left w:val="nil"/>
              <w:bottom w:val="single" w:sz="4" w:space="0" w:color="auto"/>
              <w:right w:val="nil"/>
            </w:tcBorders>
            <w:shd w:val="clear" w:color="auto" w:fill="auto"/>
            <w:noWrap/>
            <w:vAlign w:val="bottom"/>
            <w:hideMark/>
          </w:tcPr>
          <w:p w14:paraId="405D14C0" w14:textId="77777777" w:rsidR="00A60080" w:rsidRPr="00A60080" w:rsidRDefault="00A60080" w:rsidP="00A60080">
            <w:pPr>
              <w:spacing w:after="0"/>
              <w:jc w:val="right"/>
              <w:rPr>
                <w:rFonts w:ascii="Arial" w:hAnsi="Arial" w:cs="Arial"/>
                <w:b/>
                <w:bCs/>
                <w:sz w:val="16"/>
                <w:szCs w:val="16"/>
              </w:rPr>
            </w:pPr>
            <w:r w:rsidRPr="00A60080">
              <w:rPr>
                <w:rFonts w:ascii="Arial" w:hAnsi="Arial" w:cs="Arial"/>
                <w:b/>
                <w:bCs/>
                <w:sz w:val="16"/>
                <w:szCs w:val="16"/>
              </w:rPr>
              <w:t>31,157</w:t>
            </w:r>
          </w:p>
        </w:tc>
        <w:tc>
          <w:tcPr>
            <w:tcW w:w="1049" w:type="dxa"/>
            <w:tcBorders>
              <w:top w:val="single" w:sz="4" w:space="0" w:color="auto"/>
              <w:left w:val="nil"/>
              <w:bottom w:val="single" w:sz="4" w:space="0" w:color="auto"/>
              <w:right w:val="nil"/>
            </w:tcBorders>
            <w:shd w:val="clear" w:color="auto" w:fill="auto"/>
            <w:noWrap/>
            <w:vAlign w:val="bottom"/>
            <w:hideMark/>
          </w:tcPr>
          <w:p w14:paraId="4DF1DA86" w14:textId="77777777" w:rsidR="00A60080" w:rsidRPr="00A60080" w:rsidRDefault="00A60080" w:rsidP="00A60080">
            <w:pPr>
              <w:spacing w:after="0"/>
              <w:jc w:val="right"/>
              <w:rPr>
                <w:rFonts w:ascii="Arial" w:hAnsi="Arial" w:cs="Arial"/>
                <w:b/>
                <w:bCs/>
                <w:sz w:val="16"/>
                <w:szCs w:val="16"/>
              </w:rPr>
            </w:pPr>
            <w:r w:rsidRPr="00A60080">
              <w:rPr>
                <w:rFonts w:ascii="Arial" w:hAnsi="Arial" w:cs="Arial"/>
                <w:b/>
                <w:bCs/>
                <w:sz w:val="16"/>
                <w:szCs w:val="16"/>
              </w:rPr>
              <w:t>4,984</w:t>
            </w:r>
          </w:p>
        </w:tc>
        <w:tc>
          <w:tcPr>
            <w:tcW w:w="1049" w:type="dxa"/>
            <w:tcBorders>
              <w:top w:val="single" w:sz="4" w:space="0" w:color="auto"/>
              <w:left w:val="nil"/>
              <w:bottom w:val="single" w:sz="4" w:space="0" w:color="auto"/>
              <w:right w:val="nil"/>
            </w:tcBorders>
            <w:shd w:val="clear" w:color="auto" w:fill="auto"/>
            <w:noWrap/>
            <w:vAlign w:val="bottom"/>
            <w:hideMark/>
          </w:tcPr>
          <w:p w14:paraId="5259192D" w14:textId="77777777" w:rsidR="00A60080" w:rsidRPr="00A60080" w:rsidRDefault="00A60080" w:rsidP="00A60080">
            <w:pPr>
              <w:spacing w:after="0"/>
              <w:jc w:val="right"/>
              <w:rPr>
                <w:rFonts w:ascii="Arial" w:hAnsi="Arial" w:cs="Arial"/>
                <w:b/>
                <w:bCs/>
                <w:sz w:val="16"/>
                <w:szCs w:val="16"/>
              </w:rPr>
            </w:pPr>
            <w:r w:rsidRPr="00A60080">
              <w:rPr>
                <w:rFonts w:ascii="Arial" w:hAnsi="Arial" w:cs="Arial"/>
                <w:b/>
                <w:bCs/>
                <w:sz w:val="16"/>
                <w:szCs w:val="16"/>
              </w:rPr>
              <w:t>1,536</w:t>
            </w:r>
          </w:p>
        </w:tc>
        <w:tc>
          <w:tcPr>
            <w:tcW w:w="1049" w:type="dxa"/>
            <w:tcBorders>
              <w:top w:val="nil"/>
              <w:left w:val="nil"/>
              <w:bottom w:val="single" w:sz="4" w:space="0" w:color="auto"/>
              <w:right w:val="nil"/>
            </w:tcBorders>
            <w:shd w:val="clear" w:color="auto" w:fill="auto"/>
            <w:noWrap/>
            <w:vAlign w:val="bottom"/>
            <w:hideMark/>
          </w:tcPr>
          <w:p w14:paraId="3F27ACAA" w14:textId="77777777" w:rsidR="00A60080" w:rsidRPr="00A60080" w:rsidRDefault="00A60080" w:rsidP="00A60080">
            <w:pPr>
              <w:spacing w:after="0"/>
              <w:jc w:val="right"/>
              <w:rPr>
                <w:rFonts w:ascii="Arial" w:hAnsi="Arial" w:cs="Arial"/>
                <w:b/>
                <w:bCs/>
                <w:sz w:val="16"/>
                <w:szCs w:val="16"/>
              </w:rPr>
            </w:pPr>
            <w:r w:rsidRPr="00A60080">
              <w:rPr>
                <w:rFonts w:ascii="Arial" w:hAnsi="Arial" w:cs="Arial"/>
                <w:b/>
                <w:bCs/>
                <w:sz w:val="16"/>
                <w:szCs w:val="16"/>
              </w:rPr>
              <w:t>37,677</w:t>
            </w:r>
          </w:p>
        </w:tc>
      </w:tr>
    </w:tbl>
    <w:p w14:paraId="359556ED" w14:textId="23DCCEA7" w:rsidR="004F306B" w:rsidRDefault="00A60080" w:rsidP="00A072C5">
      <w:pPr>
        <w:pStyle w:val="FootnoteText"/>
        <w:spacing w:before="120"/>
      </w:pPr>
      <w:proofErr w:type="spellStart"/>
      <w:r w:rsidRPr="00A60080">
        <w:t>RoU</w:t>
      </w:r>
      <w:proofErr w:type="spellEnd"/>
      <w:r w:rsidRPr="00A60080">
        <w:t xml:space="preserve"> = Right-of-Use asset</w:t>
      </w:r>
    </w:p>
    <w:sectPr w:rsidR="004F306B" w:rsidSect="00357948">
      <w:headerReference w:type="even" r:id="rId24"/>
      <w:pgSz w:w="11906" w:h="16838"/>
      <w:pgMar w:top="2466"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070E8" w14:textId="77777777" w:rsidR="00C468E8" w:rsidRDefault="00C468E8" w:rsidP="00913388">
      <w:pPr>
        <w:spacing w:after="0"/>
      </w:pPr>
      <w:r>
        <w:separator/>
      </w:r>
    </w:p>
  </w:endnote>
  <w:endnote w:type="continuationSeparator" w:id="0">
    <w:p w14:paraId="519AB536" w14:textId="77777777" w:rsidR="00C468E8" w:rsidRDefault="00C468E8" w:rsidP="009133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7389A" w14:textId="16148C96" w:rsidR="00C468E8" w:rsidRPr="00913388" w:rsidRDefault="00C468E8" w:rsidP="00883074">
    <w:pPr>
      <w:pStyle w:val="FooterEven"/>
      <w:rPr>
        <w:rFonts w:cs="Arial"/>
        <w:szCs w:val="18"/>
      </w:rPr>
    </w:pPr>
    <w:r w:rsidRPr="001C6402">
      <w:rPr>
        <w:rStyle w:val="PageNumber"/>
        <w:b/>
        <w:bCs/>
        <w:color w:val="000000"/>
      </w:rPr>
      <w:t xml:space="preserve">Page </w:t>
    </w:r>
    <w:r w:rsidRPr="001C6402">
      <w:rPr>
        <w:rStyle w:val="PageNumber"/>
        <w:b/>
        <w:bCs/>
        <w:color w:val="000000"/>
      </w:rPr>
      <w:fldChar w:fldCharType="begin"/>
    </w:r>
    <w:r w:rsidRPr="001C6402">
      <w:rPr>
        <w:rStyle w:val="PageNumber"/>
        <w:b/>
        <w:bCs/>
        <w:color w:val="000000"/>
      </w:rPr>
      <w:instrText xml:space="preserve"> PAGE </w:instrText>
    </w:r>
    <w:r w:rsidRPr="001C6402">
      <w:rPr>
        <w:rStyle w:val="PageNumber"/>
        <w:b/>
        <w:bCs/>
        <w:color w:val="000000"/>
      </w:rPr>
      <w:fldChar w:fldCharType="separate"/>
    </w:r>
    <w:r w:rsidR="006A5D4A">
      <w:rPr>
        <w:rStyle w:val="PageNumber"/>
        <w:b/>
        <w:bCs/>
        <w:noProof/>
        <w:color w:val="000000"/>
      </w:rPr>
      <w:t>202</w:t>
    </w:r>
    <w:r w:rsidRPr="001C6402">
      <w:rPr>
        <w:rStyle w:val="PageNumber"/>
        <w:b/>
        <w:bCs/>
        <w:color w:val="000000"/>
      </w:rPr>
      <w:fldChar w:fldCharType="end"/>
    </w:r>
    <w:r w:rsidRPr="001C6402">
      <w:rPr>
        <w:rStyle w:val="PageNumber"/>
        <w:color w:val="000000"/>
      </w:rPr>
      <w:t xml:space="preserve">  </w:t>
    </w:r>
    <w:proofErr w:type="gramStart"/>
    <w:r w:rsidRPr="001C6402">
      <w:rPr>
        <w:rStyle w:val="PageNumber"/>
        <w:color w:val="000000"/>
      </w:rPr>
      <w:t xml:space="preserve">|  </w:t>
    </w:r>
    <w:proofErr w:type="gramEnd"/>
    <w:r w:rsidRPr="001C6402">
      <w:rPr>
        <w:rStyle w:val="PageNumber"/>
        <w:color w:val="000000"/>
      </w:rPr>
      <w:fldChar w:fldCharType="begin"/>
    </w:r>
    <w:r w:rsidRPr="001C6402">
      <w:rPr>
        <w:rStyle w:val="PageNumber"/>
        <w:color w:val="000000"/>
      </w:rPr>
      <w:instrText xml:space="preserve"> STYLEREF  "Heading 1"  \* MERGEFORMAT </w:instrText>
    </w:r>
    <w:r w:rsidRPr="001C6402">
      <w:rPr>
        <w:rStyle w:val="PageNumber"/>
        <w:color w:val="000000"/>
      </w:rPr>
      <w:fldChar w:fldCharType="separate"/>
    </w:r>
    <w:r w:rsidR="006A5D4A">
      <w:rPr>
        <w:rStyle w:val="PageNumber"/>
        <w:noProof/>
        <w:color w:val="000000"/>
      </w:rPr>
      <w:t>Australian Institute of Health and Welfare</w:t>
    </w:r>
    <w:r w:rsidRPr="001C6402">
      <w:rPr>
        <w:rStyle w:val="PageNumbe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9E5A4" w14:textId="13C751E2" w:rsidR="00C468E8" w:rsidRDefault="00C468E8" w:rsidP="00D75AA6">
    <w:pPr>
      <w:pStyle w:val="FooterOdd"/>
    </w:pPr>
    <w:r w:rsidRPr="00B24417">
      <w:rPr>
        <w:rStyle w:val="PageNumber"/>
      </w:rPr>
      <w:fldChar w:fldCharType="begin"/>
    </w:r>
    <w:r w:rsidRPr="00B24417">
      <w:rPr>
        <w:rStyle w:val="PageNumber"/>
      </w:rPr>
      <w:instrText xml:space="preserve"> STYLEREF  "Heading 1"  \* MERGEFORMAT </w:instrText>
    </w:r>
    <w:r w:rsidRPr="00B24417">
      <w:rPr>
        <w:rStyle w:val="PageNumber"/>
      </w:rPr>
      <w:fldChar w:fldCharType="separate"/>
    </w:r>
    <w:r w:rsidR="00907E4A" w:rsidRPr="00907E4A">
      <w:rPr>
        <w:rStyle w:val="PageNumber"/>
        <w:bCs/>
        <w:noProof/>
        <w:lang w:val="en-US"/>
      </w:rPr>
      <w:t>Australian Institute of</w:t>
    </w:r>
    <w:r w:rsidR="00907E4A">
      <w:rPr>
        <w:rStyle w:val="PageNumber"/>
        <w:noProof/>
      </w:rPr>
      <w:t xml:space="preserve"> Health and Welfare</w:t>
    </w:r>
    <w:r w:rsidRPr="00B24417">
      <w:rPr>
        <w:rStyle w:val="PageNumber"/>
      </w:rPr>
      <w:fldChar w:fldCharType="end"/>
    </w:r>
    <w:r w:rsidRPr="00B628E8">
      <w:rPr>
        <w:rStyle w:val="PageNumber"/>
      </w:rPr>
      <w:t xml:space="preserve"> </w:t>
    </w:r>
    <w:r>
      <w:rPr>
        <w:rStyle w:val="PageNumber"/>
      </w:rPr>
      <w:t xml:space="preserve"> </w:t>
    </w:r>
    <w:proofErr w:type="gramStart"/>
    <w:r w:rsidRPr="00B628E8">
      <w:rPr>
        <w:rStyle w:val="PageNumber"/>
      </w:rPr>
      <w:t>|</w:t>
    </w:r>
    <w:r>
      <w:rPr>
        <w:rStyle w:val="PageNumber"/>
      </w:rPr>
      <w:t xml:space="preserve"> </w:t>
    </w:r>
    <w:r w:rsidRPr="00B628E8">
      <w:rPr>
        <w:rStyle w:val="PageNumber"/>
      </w:rPr>
      <w:t xml:space="preserve"> </w:t>
    </w:r>
    <w:r w:rsidRPr="00B628E8">
      <w:rPr>
        <w:rStyle w:val="PageNumber"/>
        <w:b/>
        <w:bCs/>
      </w:rPr>
      <w:t>Page</w:t>
    </w:r>
    <w:proofErr w:type="gramEnd"/>
    <w:r w:rsidRPr="00B628E8">
      <w:rPr>
        <w:rStyle w:val="PageNumber"/>
        <w:b/>
        <w:bCs/>
      </w:rPr>
      <w:t xml:space="preserv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907E4A">
      <w:rPr>
        <w:rStyle w:val="PageNumber"/>
        <w:b/>
        <w:bCs/>
        <w:noProof/>
      </w:rPr>
      <w:t>183</w:t>
    </w:r>
    <w:r w:rsidRPr="00B628E8">
      <w:rPr>
        <w:rStyle w:val="PageNumbe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BEDC0" w14:textId="77777777" w:rsidR="00907E4A" w:rsidRDefault="00907E4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54CEC" w14:textId="77777777" w:rsidR="00C468E8" w:rsidRPr="001B695A" w:rsidRDefault="00C468E8" w:rsidP="00D6179E">
    <w:pPr>
      <w:framePr w:w="851" w:h="1701" w:hRule="exact" w:wrap="around" w:vAnchor="page" w:hAnchor="margin" w:x="7939" w:y="6918"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1B695A">
      <w:rPr>
        <w:rFonts w:ascii="Arial" w:hAnsi="Arial" w:cs="Arial"/>
        <w:b/>
        <w:color w:val="FFFFFF" w:themeColor="background1"/>
        <w:spacing w:val="10"/>
        <w:sz w:val="24"/>
      </w:rPr>
      <w:t>AIHW</w:t>
    </w:r>
  </w:p>
  <w:p w14:paraId="0F74AE30" w14:textId="33D2F853" w:rsidR="00C468E8" w:rsidRDefault="00C468E8" w:rsidP="00883074">
    <w:pPr>
      <w:pStyle w:val="FooterOdd"/>
    </w:pPr>
    <w:r w:rsidRPr="00B24417">
      <w:rPr>
        <w:rStyle w:val="PageNumber"/>
      </w:rPr>
      <w:fldChar w:fldCharType="begin"/>
    </w:r>
    <w:r w:rsidRPr="00B24417">
      <w:rPr>
        <w:rStyle w:val="PageNumber"/>
      </w:rPr>
      <w:instrText xml:space="preserve"> STYLEREF  "Heading 1"  \* MERGEFORMAT </w:instrText>
    </w:r>
    <w:r w:rsidRPr="00B24417">
      <w:rPr>
        <w:rStyle w:val="PageNumber"/>
      </w:rPr>
      <w:fldChar w:fldCharType="separate"/>
    </w:r>
    <w:r w:rsidR="006A5D4A" w:rsidRPr="006A5D4A">
      <w:rPr>
        <w:rStyle w:val="PageNumber"/>
        <w:bCs/>
        <w:noProof/>
        <w:lang w:val="en-US"/>
      </w:rPr>
      <w:t>Australian Institute of</w:t>
    </w:r>
    <w:r w:rsidR="006A5D4A">
      <w:rPr>
        <w:rStyle w:val="PageNumber"/>
        <w:noProof/>
      </w:rPr>
      <w:t xml:space="preserve"> Health and Welfare</w:t>
    </w:r>
    <w:r w:rsidRPr="00B24417">
      <w:rPr>
        <w:rStyle w:val="PageNumber"/>
      </w:rPr>
      <w:fldChar w:fldCharType="end"/>
    </w:r>
    <w:r w:rsidRPr="00B628E8">
      <w:rPr>
        <w:rStyle w:val="PageNumber"/>
      </w:rPr>
      <w:t xml:space="preserve"> </w:t>
    </w:r>
    <w:r>
      <w:rPr>
        <w:rStyle w:val="PageNumber"/>
      </w:rPr>
      <w:t xml:space="preserve"> </w:t>
    </w:r>
    <w:proofErr w:type="gramStart"/>
    <w:r w:rsidRPr="00B628E8">
      <w:rPr>
        <w:rStyle w:val="PageNumber"/>
      </w:rPr>
      <w:t>|</w:t>
    </w:r>
    <w:r>
      <w:rPr>
        <w:rStyle w:val="PageNumber"/>
      </w:rPr>
      <w:t xml:space="preserve"> </w:t>
    </w:r>
    <w:r w:rsidRPr="00B628E8">
      <w:rPr>
        <w:rStyle w:val="PageNumber"/>
      </w:rPr>
      <w:t xml:space="preserve"> </w:t>
    </w:r>
    <w:r w:rsidRPr="00B628E8">
      <w:rPr>
        <w:rStyle w:val="PageNumber"/>
        <w:b/>
        <w:bCs/>
      </w:rPr>
      <w:t>Page</w:t>
    </w:r>
    <w:proofErr w:type="gramEnd"/>
    <w:r w:rsidRPr="00B628E8">
      <w:rPr>
        <w:rStyle w:val="PageNumber"/>
        <w:b/>
        <w:bCs/>
      </w:rPr>
      <w:t xml:space="preserv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6A5D4A">
      <w:rPr>
        <w:rStyle w:val="PageNumber"/>
        <w:b/>
        <w:bCs/>
        <w:noProof/>
      </w:rPr>
      <w:t>201</w:t>
    </w:r>
    <w:r w:rsidRPr="00B628E8">
      <w:rPr>
        <w:rStyle w:val="PageNumbe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F3528" w14:textId="77777777" w:rsidR="00C468E8" w:rsidRDefault="00C468E8" w:rsidP="00913388">
      <w:pPr>
        <w:spacing w:after="0"/>
      </w:pPr>
      <w:r>
        <w:separator/>
      </w:r>
    </w:p>
  </w:footnote>
  <w:footnote w:type="continuationSeparator" w:id="0">
    <w:p w14:paraId="124A7B5B" w14:textId="77777777" w:rsidR="00C468E8" w:rsidRDefault="00C468E8" w:rsidP="00913388">
      <w:pPr>
        <w:spacing w:after="0"/>
      </w:pPr>
      <w:r>
        <w:continuationSeparator/>
      </w:r>
    </w:p>
  </w:footnote>
  <w:footnote w:id="1">
    <w:p w14:paraId="708DBE88" w14:textId="77777777" w:rsidR="00C468E8" w:rsidRPr="007D7165" w:rsidRDefault="00C468E8" w:rsidP="00802155">
      <w:pPr>
        <w:pStyle w:val="FootnoteText"/>
        <w:rPr>
          <w:color w:val="auto"/>
        </w:rPr>
      </w:pPr>
      <w:r>
        <w:rPr>
          <w:rStyle w:val="FootnoteReference"/>
        </w:rPr>
        <w:footnoteRef/>
      </w:r>
      <w:r>
        <w:tab/>
        <w:t xml:space="preserve">For more information about the strategic direction of the AIHW, refer to the current Corporate Plan, available at: </w:t>
      </w:r>
      <w:r w:rsidRPr="004A08B7">
        <w:t>www.aihw.gov.au/reports-data/corporate-publications/overview</w:t>
      </w:r>
    </w:p>
  </w:footnote>
  <w:footnote w:id="2">
    <w:p w14:paraId="20943544" w14:textId="77777777" w:rsidR="00C468E8" w:rsidRDefault="00C468E8" w:rsidP="005E2D06">
      <w:pPr>
        <w:pStyle w:val="FootnoteText"/>
        <w:tabs>
          <w:tab w:val="clear" w:pos="284"/>
        </w:tabs>
      </w:pPr>
      <w:r>
        <w:rPr>
          <w:rStyle w:val="FootnoteReference"/>
        </w:rPr>
        <w:footnoteRef/>
      </w:r>
      <w:r>
        <w:tab/>
        <w:t>Refer to the ACSQHC chapter in these Portfolio Budget Statements (PB Statements) for further information on the work of this entity.</w:t>
      </w:r>
    </w:p>
  </w:footnote>
  <w:footnote w:id="3">
    <w:p w14:paraId="3B2E7BAF" w14:textId="77777777" w:rsidR="00C468E8" w:rsidRPr="00F40713" w:rsidRDefault="00C468E8" w:rsidP="00E34823">
      <w:pPr>
        <w:pStyle w:val="FootnoteText"/>
        <w:rPr>
          <w:i/>
        </w:rPr>
      </w:pPr>
      <w:r>
        <w:rPr>
          <w:rStyle w:val="FootnoteReference"/>
        </w:rPr>
        <w:footnoteRef/>
      </w:r>
      <w:r>
        <w:t xml:space="preserve"> </w:t>
      </w:r>
      <w:r>
        <w:tab/>
        <w:t>Refer to the IHACPA chapter in these PB Statements for further information on the work of this entity.</w:t>
      </w:r>
    </w:p>
  </w:footnote>
  <w:footnote w:id="4">
    <w:p w14:paraId="36A54409" w14:textId="77777777" w:rsidR="00C468E8" w:rsidRDefault="00C468E8" w:rsidP="00E34823">
      <w:pPr>
        <w:pStyle w:val="FootnoteText"/>
      </w:pPr>
      <w:r>
        <w:rPr>
          <w:rStyle w:val="FootnoteReference"/>
        </w:rPr>
        <w:footnoteRef/>
      </w:r>
      <w:r>
        <w:t xml:space="preserve"> </w:t>
      </w:r>
      <w:r>
        <w:tab/>
        <w:t>Refer to the NHFB chapter in these PB Statements for further information on the work of this entity.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D2DF3" w14:textId="77777777" w:rsidR="00907E4A" w:rsidRDefault="00907E4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52D6C" w14:textId="4BDA33E7" w:rsidR="00C468E8" w:rsidRPr="00D75AA6" w:rsidRDefault="00C468E8" w:rsidP="00D75AA6">
    <w:pPr>
      <w:tabs>
        <w:tab w:val="center" w:pos="4513"/>
        <w:tab w:val="right" w:pos="9026"/>
      </w:tabs>
      <w:spacing w:before="40" w:after="0"/>
    </w:pPr>
    <w:r w:rsidRPr="00B24417">
      <w:rPr>
        <w:rFonts w:ascii="Arial" w:hAnsi="Arial" w:cs="Arial"/>
        <w:noProof/>
        <w:position w:val="-6"/>
        <w:sz w:val="18"/>
        <w:szCs w:val="18"/>
      </w:rPr>
      <w:drawing>
        <wp:inline distT="0" distB="0" distL="0" distR="0" wp14:anchorId="729A2A60" wp14:editId="568474CC">
          <wp:extent cx="1358265" cy="170815"/>
          <wp:effectExtent l="0" t="0" r="0" b="635"/>
          <wp:docPr id="1" name="Picture 1"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B24417">
      <w:rPr>
        <w:rFonts w:ascii="Arial" w:hAnsi="Arial" w:cs="Arial"/>
        <w:sz w:val="18"/>
        <w:szCs w:val="18"/>
      </w:rPr>
      <w:t xml:space="preserve">  </w:t>
    </w:r>
    <w:proofErr w:type="gramStart"/>
    <w:r w:rsidRPr="00B24417">
      <w:rPr>
        <w:rFonts w:ascii="Arial" w:hAnsi="Arial" w:cs="Arial"/>
        <w:sz w:val="18"/>
        <w:szCs w:val="18"/>
      </w:rPr>
      <w:t>|  Portfolio</w:t>
    </w:r>
    <w:proofErr w:type="gramEnd"/>
    <w:r w:rsidRPr="00B24417">
      <w:rPr>
        <w:rFonts w:ascii="Arial" w:hAnsi="Arial" w:cs="Arial"/>
        <w:sz w:val="18"/>
        <w:szCs w:val="18"/>
      </w:rPr>
      <w:t xml:space="preserve"> Budget Statements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4C1FD" w14:textId="153682F2" w:rsidR="00C468E8" w:rsidRPr="00D75AA6" w:rsidRDefault="00C468E8" w:rsidP="00D75AA6">
    <w:pPr>
      <w:tabs>
        <w:tab w:val="center" w:pos="4150"/>
        <w:tab w:val="right" w:pos="8306"/>
      </w:tabs>
      <w:spacing w:after="0"/>
      <w:jc w:val="right"/>
    </w:pPr>
    <w:r w:rsidRPr="00DD5A4D">
      <w:rPr>
        <w:rFonts w:ascii="Arial" w:hAnsi="Arial" w:cs="Arial"/>
        <w:sz w:val="18"/>
        <w:szCs w:val="18"/>
      </w:rPr>
      <w:t xml:space="preserve">Portfolio Budget </w:t>
    </w:r>
    <w:proofErr w:type="gramStart"/>
    <w:r w:rsidRPr="00DD5A4D">
      <w:rPr>
        <w:rFonts w:ascii="Arial" w:hAnsi="Arial" w:cs="Arial"/>
        <w:sz w:val="18"/>
        <w:szCs w:val="18"/>
      </w:rPr>
      <w:t>Statements</w:t>
    </w:r>
    <w:r w:rsidRPr="00DD5A4D">
      <w:t xml:space="preserve">  |</w:t>
    </w:r>
    <w:proofErr w:type="gramEnd"/>
    <w:r w:rsidRPr="00DD5A4D">
      <w:t xml:space="preserve">  </w:t>
    </w:r>
    <w:r w:rsidRPr="00DD5A4D">
      <w:rPr>
        <w:noProof/>
        <w:position w:val="-6"/>
      </w:rPr>
      <w:drawing>
        <wp:inline distT="0" distB="0" distL="0" distR="0" wp14:anchorId="1CDE8BB6" wp14:editId="6DB08ED6">
          <wp:extent cx="1358265" cy="170815"/>
          <wp:effectExtent l="0" t="0" r="0" b="635"/>
          <wp:docPr id="4" name="Picture 4"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94206" w14:textId="0C0752C8" w:rsidR="00C468E8" w:rsidRDefault="00C468E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8AABF" w14:textId="6C59AA71" w:rsidR="00C468E8" w:rsidRPr="00DC6118" w:rsidRDefault="00B80C89" w:rsidP="00B80C89">
    <w:pPr>
      <w:tabs>
        <w:tab w:val="center" w:pos="4513"/>
        <w:tab w:val="right" w:pos="9026"/>
      </w:tabs>
      <w:spacing w:before="40" w:after="0"/>
    </w:pPr>
    <w:bookmarkStart w:id="11" w:name="_GoBack"/>
    <w:r w:rsidRPr="00B24417">
      <w:rPr>
        <w:rFonts w:ascii="Arial" w:hAnsi="Arial" w:cs="Arial"/>
        <w:noProof/>
        <w:position w:val="-6"/>
        <w:sz w:val="18"/>
        <w:szCs w:val="18"/>
      </w:rPr>
      <w:drawing>
        <wp:inline distT="0" distB="0" distL="0" distR="0" wp14:anchorId="3B624822" wp14:editId="6D2310E6">
          <wp:extent cx="1358265" cy="170815"/>
          <wp:effectExtent l="0" t="0" r="0" b="635"/>
          <wp:docPr id="7" name="Picture 7"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bookmarkEnd w:id="11"/>
    <w:r w:rsidRPr="00B24417">
      <w:rPr>
        <w:rFonts w:ascii="Arial" w:hAnsi="Arial" w:cs="Arial"/>
        <w:sz w:val="18"/>
        <w:szCs w:val="18"/>
      </w:rPr>
      <w:t xml:space="preserve">  </w:t>
    </w:r>
    <w:proofErr w:type="gramStart"/>
    <w:r w:rsidRPr="00B24417">
      <w:rPr>
        <w:rFonts w:ascii="Arial" w:hAnsi="Arial" w:cs="Arial"/>
        <w:sz w:val="18"/>
        <w:szCs w:val="18"/>
      </w:rPr>
      <w:t>|  Portfolio</w:t>
    </w:r>
    <w:proofErr w:type="gramEnd"/>
    <w:r w:rsidRPr="00B24417">
      <w:rPr>
        <w:rFonts w:ascii="Arial" w:hAnsi="Arial" w:cs="Arial"/>
        <w:sz w:val="18"/>
        <w:szCs w:val="18"/>
      </w:rPr>
      <w:t xml:space="preserve"> Budget Statements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C0967" w14:textId="5830B1A7" w:rsidR="00C468E8" w:rsidRPr="001B695A" w:rsidRDefault="00C468E8" w:rsidP="001C258E">
    <w:pPr>
      <w:framePr w:w="851" w:h="1701" w:hRule="exact" w:wrap="around" w:vAnchor="page" w:hAnchor="margin" w:x="7939" w:y="6918"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1B695A">
      <w:rPr>
        <w:rFonts w:ascii="Arial" w:hAnsi="Arial" w:cs="Arial"/>
        <w:b/>
        <w:color w:val="FFFFFF" w:themeColor="background1"/>
        <w:spacing w:val="10"/>
        <w:sz w:val="24"/>
      </w:rPr>
      <w:t>AIHW</w:t>
    </w:r>
  </w:p>
  <w:p w14:paraId="4E31AB1B" w14:textId="093A7460" w:rsidR="00C468E8" w:rsidRDefault="00C468E8" w:rsidP="00252FFD">
    <w:pPr>
      <w:pStyle w:val="Header"/>
      <w:tabs>
        <w:tab w:val="clear" w:pos="4513"/>
        <w:tab w:val="clear" w:pos="9026"/>
        <w:tab w:val="left" w:pos="1851"/>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D1408" w14:textId="77777777" w:rsidR="00907E4A" w:rsidRDefault="00907E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E883C" w14:textId="6E9E3F42" w:rsidR="00C468E8" w:rsidRDefault="00C468E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DCDDB" w14:textId="47EDB38C" w:rsidR="00C468E8" w:rsidRPr="00252FFD" w:rsidRDefault="00C468E8" w:rsidP="00252FF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2ECAD9" w14:textId="228F4D89" w:rsidR="00C468E8" w:rsidRDefault="00C468E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161A8" w14:textId="076192D9" w:rsidR="00C468E8" w:rsidRPr="00D75AA6" w:rsidRDefault="00C468E8" w:rsidP="00D75AA6">
    <w:pPr>
      <w:tabs>
        <w:tab w:val="center" w:pos="4513"/>
        <w:tab w:val="right" w:pos="9026"/>
      </w:tabs>
      <w:spacing w:before="40" w:after="0"/>
    </w:pPr>
    <w:r w:rsidRPr="00B24417">
      <w:rPr>
        <w:rFonts w:ascii="Arial" w:hAnsi="Arial" w:cs="Arial"/>
        <w:noProof/>
        <w:position w:val="-6"/>
        <w:sz w:val="18"/>
        <w:szCs w:val="18"/>
      </w:rPr>
      <w:drawing>
        <wp:inline distT="0" distB="0" distL="0" distR="0" wp14:anchorId="6E415C8E" wp14:editId="612B5101">
          <wp:extent cx="1358265" cy="170815"/>
          <wp:effectExtent l="0" t="0" r="0" b="635"/>
          <wp:docPr id="5" name="Picture 5"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B24417">
      <w:rPr>
        <w:rFonts w:ascii="Arial" w:hAnsi="Arial" w:cs="Arial"/>
        <w:sz w:val="18"/>
        <w:szCs w:val="18"/>
      </w:rPr>
      <w:t xml:space="preserve">  </w:t>
    </w:r>
    <w:proofErr w:type="gramStart"/>
    <w:r w:rsidRPr="00B24417">
      <w:rPr>
        <w:rFonts w:ascii="Arial" w:hAnsi="Arial" w:cs="Arial"/>
        <w:sz w:val="18"/>
        <w:szCs w:val="18"/>
      </w:rPr>
      <w:t>|  Portfolio</w:t>
    </w:r>
    <w:proofErr w:type="gramEnd"/>
    <w:r w:rsidRPr="00B24417">
      <w:rPr>
        <w:rFonts w:ascii="Arial" w:hAnsi="Arial" w:cs="Arial"/>
        <w:sz w:val="18"/>
        <w:szCs w:val="18"/>
      </w:rPr>
      <w:t xml:space="preserve"> Budget Statements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5FE6B" w14:textId="2BBE3544" w:rsidR="00C468E8" w:rsidRPr="00D75AA6" w:rsidRDefault="00C468E8" w:rsidP="00D75AA6">
    <w:pPr>
      <w:tabs>
        <w:tab w:val="center" w:pos="4150"/>
        <w:tab w:val="right" w:pos="8306"/>
      </w:tabs>
      <w:spacing w:after="0"/>
      <w:jc w:val="right"/>
    </w:pPr>
    <w:r w:rsidRPr="00DD5A4D">
      <w:rPr>
        <w:rFonts w:ascii="Arial" w:hAnsi="Arial" w:cs="Arial"/>
        <w:sz w:val="18"/>
        <w:szCs w:val="18"/>
      </w:rPr>
      <w:t xml:space="preserve">Portfolio Budget </w:t>
    </w:r>
    <w:proofErr w:type="gramStart"/>
    <w:r w:rsidRPr="00DD5A4D">
      <w:rPr>
        <w:rFonts w:ascii="Arial" w:hAnsi="Arial" w:cs="Arial"/>
        <w:sz w:val="18"/>
        <w:szCs w:val="18"/>
      </w:rPr>
      <w:t>Statements</w:t>
    </w:r>
    <w:r w:rsidRPr="00DD5A4D">
      <w:t xml:space="preserve">  |</w:t>
    </w:r>
    <w:proofErr w:type="gramEnd"/>
    <w:r w:rsidRPr="00DD5A4D">
      <w:t xml:space="preserve">  </w:t>
    </w:r>
    <w:r w:rsidRPr="00DD5A4D">
      <w:rPr>
        <w:noProof/>
        <w:position w:val="-6"/>
      </w:rPr>
      <w:drawing>
        <wp:inline distT="0" distB="0" distL="0" distR="0" wp14:anchorId="5A1AC2CC" wp14:editId="37B751DD">
          <wp:extent cx="1358265" cy="170815"/>
          <wp:effectExtent l="0" t="0" r="0" b="635"/>
          <wp:docPr id="6" name="Picture 6"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2A600" w14:textId="050DE358" w:rsidR="00C468E8" w:rsidRDefault="00C46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0CD6B2D8"/>
    <w:lvl w:ilvl="0">
      <w:start w:val="1"/>
      <w:numFmt w:val="decimal"/>
      <w:pStyle w:val="ListNumber"/>
      <w:lvlText w:val="%1."/>
      <w:lvlJc w:val="left"/>
      <w:pPr>
        <w:tabs>
          <w:tab w:val="num" w:pos="360"/>
        </w:tabs>
        <w:ind w:left="360" w:hanging="360"/>
      </w:pPr>
    </w:lvl>
  </w:abstractNum>
  <w:abstractNum w:abstractNumId="1" w15:restartNumberingAfterBreak="0">
    <w:nsid w:val="09EA1540"/>
    <w:multiLevelType w:val="hybridMultilevel"/>
    <w:tmpl w:val="661A615A"/>
    <w:lvl w:ilvl="0" w:tplc="33C2E68C">
      <w:start w:val="1"/>
      <w:numFmt w:val="bullet"/>
      <w:lvlText w:val=""/>
      <w:lvlJc w:val="left"/>
      <w:pPr>
        <w:ind w:left="1004" w:hanging="360"/>
      </w:pPr>
      <w:rPr>
        <w:rFonts w:ascii="Symbol" w:hAnsi="Symbol" w:hint="default"/>
        <w:sz w:val="18"/>
        <w:szCs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8D4208F"/>
    <w:multiLevelType w:val="hybridMultilevel"/>
    <w:tmpl w:val="763A10AA"/>
    <w:lvl w:ilvl="0" w:tplc="3CB452D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B9379EC"/>
    <w:multiLevelType w:val="hybridMultilevel"/>
    <w:tmpl w:val="2EB4181E"/>
    <w:lvl w:ilvl="0" w:tplc="085E5AA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A6066D3"/>
    <w:multiLevelType w:val="hybridMultilevel"/>
    <w:tmpl w:val="BF7A4D52"/>
    <w:lvl w:ilvl="0" w:tplc="76ECD804">
      <w:start w:val="1"/>
      <w:numFmt w:val="bullet"/>
      <w:lvlText w:val="­"/>
      <w:lvlJc w:val="left"/>
      <w:pPr>
        <w:ind w:left="768" w:hanging="360"/>
      </w:pPr>
      <w:rPr>
        <w:rFonts w:ascii="Courier New" w:hAnsi="Courier New"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5" w15:restartNumberingAfterBreak="0">
    <w:nsid w:val="2E51194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70D2BB1"/>
    <w:multiLevelType w:val="multilevel"/>
    <w:tmpl w:val="59F2F2F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38DB6A54"/>
    <w:multiLevelType w:val="hybridMultilevel"/>
    <w:tmpl w:val="D71CE3C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9A8025D"/>
    <w:multiLevelType w:val="hybridMultilevel"/>
    <w:tmpl w:val="17207CA6"/>
    <w:lvl w:ilvl="0" w:tplc="81AC488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A7E7BFC"/>
    <w:multiLevelType w:val="hybridMultilevel"/>
    <w:tmpl w:val="9FD2C11C"/>
    <w:lvl w:ilvl="0" w:tplc="6A5A89C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E910D9"/>
    <w:multiLevelType w:val="hybridMultilevel"/>
    <w:tmpl w:val="362EE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742E1A"/>
    <w:multiLevelType w:val="hybridMultilevel"/>
    <w:tmpl w:val="8FBCB0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9196A3C"/>
    <w:multiLevelType w:val="hybridMultilevel"/>
    <w:tmpl w:val="A4584EAA"/>
    <w:lvl w:ilvl="0" w:tplc="B57277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9962344"/>
    <w:multiLevelType w:val="hybridMultilevel"/>
    <w:tmpl w:val="603C75A8"/>
    <w:lvl w:ilvl="0" w:tplc="0C090001">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7A0C08"/>
    <w:multiLevelType w:val="hybridMultilevel"/>
    <w:tmpl w:val="39608C00"/>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15" w15:restartNumberingAfterBreak="0">
    <w:nsid w:val="6AE05269"/>
    <w:multiLevelType w:val="hybridMultilevel"/>
    <w:tmpl w:val="1196E3D0"/>
    <w:lvl w:ilvl="0" w:tplc="3996C034">
      <w:numFmt w:val="bullet"/>
      <w:lvlText w:val="•"/>
      <w:lvlJc w:val="left"/>
      <w:pPr>
        <w:ind w:left="1080" w:hanging="72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385831"/>
    <w:multiLevelType w:val="hybridMultilevel"/>
    <w:tmpl w:val="70D409F0"/>
    <w:lvl w:ilvl="0" w:tplc="83107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BA6963"/>
    <w:multiLevelType w:val="hybridMultilevel"/>
    <w:tmpl w:val="977C082E"/>
    <w:lvl w:ilvl="0" w:tplc="76ECD80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0DF6204"/>
    <w:multiLevelType w:val="hybridMultilevel"/>
    <w:tmpl w:val="E83E2402"/>
    <w:lvl w:ilvl="0" w:tplc="76ECD80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E8E54A8"/>
    <w:multiLevelType w:val="hybridMultilevel"/>
    <w:tmpl w:val="5E66CDAE"/>
    <w:lvl w:ilvl="0" w:tplc="4CE684E2">
      <w:start w:val="202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15"/>
  </w:num>
  <w:num w:numId="3">
    <w:abstractNumId w:val="16"/>
  </w:num>
  <w:num w:numId="4">
    <w:abstractNumId w:val="9"/>
  </w:num>
  <w:num w:numId="5">
    <w:abstractNumId w:val="14"/>
  </w:num>
  <w:num w:numId="6">
    <w:abstractNumId w:val="13"/>
  </w:num>
  <w:num w:numId="7">
    <w:abstractNumId w:val="11"/>
  </w:num>
  <w:num w:numId="8">
    <w:abstractNumId w:val="4"/>
  </w:num>
  <w:num w:numId="9">
    <w:abstractNumId w:val="1"/>
  </w:num>
  <w:num w:numId="10">
    <w:abstractNumId w:val="0"/>
  </w:num>
  <w:num w:numId="11">
    <w:abstractNumId w:val="7"/>
  </w:num>
  <w:num w:numId="12">
    <w:abstractNumId w:val="19"/>
  </w:num>
  <w:num w:numId="13">
    <w:abstractNumId w:val="17"/>
  </w:num>
  <w:num w:numId="14">
    <w:abstractNumId w:val="18"/>
  </w:num>
  <w:num w:numId="15">
    <w:abstractNumId w:val="6"/>
  </w:num>
  <w:num w:numId="16">
    <w:abstractNumId w:val="5"/>
  </w:num>
  <w:num w:numId="17">
    <w:abstractNumId w:val="10"/>
  </w:num>
  <w:num w:numId="18">
    <w:abstractNumId w:val="8"/>
  </w:num>
  <w:num w:numId="19">
    <w:abstractNumId w:val="2"/>
  </w:num>
  <w:num w:numId="20">
    <w:abstractNumId w:val="3"/>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trackedChanges" w:enforcement="0"/>
  <w:defaultTabStop w:val="720"/>
  <w:evenAndOddHeaders/>
  <w:characterSpacingControl w:val="doNotCompress"/>
  <w:hdrShapeDefaults>
    <o:shapedefaults v:ext="edit" spidmax="215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88"/>
    <w:rsid w:val="00001544"/>
    <w:rsid w:val="00020963"/>
    <w:rsid w:val="00025626"/>
    <w:rsid w:val="0003278D"/>
    <w:rsid w:val="00047314"/>
    <w:rsid w:val="00050730"/>
    <w:rsid w:val="000560BD"/>
    <w:rsid w:val="00057316"/>
    <w:rsid w:val="0006500D"/>
    <w:rsid w:val="00074D0A"/>
    <w:rsid w:val="000A296A"/>
    <w:rsid w:val="000A78D2"/>
    <w:rsid w:val="000A7ED4"/>
    <w:rsid w:val="000B4152"/>
    <w:rsid w:val="000B4810"/>
    <w:rsid w:val="000B4992"/>
    <w:rsid w:val="000B536F"/>
    <w:rsid w:val="000C035B"/>
    <w:rsid w:val="000C7C39"/>
    <w:rsid w:val="000D2B54"/>
    <w:rsid w:val="000D4301"/>
    <w:rsid w:val="000D73F2"/>
    <w:rsid w:val="000F1ECF"/>
    <w:rsid w:val="0010543F"/>
    <w:rsid w:val="00116F19"/>
    <w:rsid w:val="00123FAF"/>
    <w:rsid w:val="00126DFF"/>
    <w:rsid w:val="001322F4"/>
    <w:rsid w:val="00142991"/>
    <w:rsid w:val="0014421A"/>
    <w:rsid w:val="00154385"/>
    <w:rsid w:val="00166120"/>
    <w:rsid w:val="00176017"/>
    <w:rsid w:val="00183C35"/>
    <w:rsid w:val="001957A1"/>
    <w:rsid w:val="001A62DE"/>
    <w:rsid w:val="001B23AE"/>
    <w:rsid w:val="001B7D3E"/>
    <w:rsid w:val="001C258E"/>
    <w:rsid w:val="001C745B"/>
    <w:rsid w:val="001D0082"/>
    <w:rsid w:val="001F5A29"/>
    <w:rsid w:val="00203119"/>
    <w:rsid w:val="00203954"/>
    <w:rsid w:val="00204C60"/>
    <w:rsid w:val="002104DB"/>
    <w:rsid w:val="00211A40"/>
    <w:rsid w:val="00216579"/>
    <w:rsid w:val="002241C3"/>
    <w:rsid w:val="002314B2"/>
    <w:rsid w:val="002338AC"/>
    <w:rsid w:val="002403EF"/>
    <w:rsid w:val="0024539A"/>
    <w:rsid w:val="00251A42"/>
    <w:rsid w:val="00252FFD"/>
    <w:rsid w:val="00275651"/>
    <w:rsid w:val="00280050"/>
    <w:rsid w:val="002837F1"/>
    <w:rsid w:val="00283E29"/>
    <w:rsid w:val="00284896"/>
    <w:rsid w:val="00291809"/>
    <w:rsid w:val="00296F68"/>
    <w:rsid w:val="002A1C99"/>
    <w:rsid w:val="002B7283"/>
    <w:rsid w:val="002B78F4"/>
    <w:rsid w:val="002C6B6A"/>
    <w:rsid w:val="002D20F9"/>
    <w:rsid w:val="002E0448"/>
    <w:rsid w:val="002E0591"/>
    <w:rsid w:val="002E0FF1"/>
    <w:rsid w:val="002E5538"/>
    <w:rsid w:val="002F5F4D"/>
    <w:rsid w:val="00303C30"/>
    <w:rsid w:val="00303F59"/>
    <w:rsid w:val="00316D45"/>
    <w:rsid w:val="003208A6"/>
    <w:rsid w:val="00322108"/>
    <w:rsid w:val="00324C57"/>
    <w:rsid w:val="003345DB"/>
    <w:rsid w:val="00342608"/>
    <w:rsid w:val="00342BA3"/>
    <w:rsid w:val="003440B6"/>
    <w:rsid w:val="00345ECE"/>
    <w:rsid w:val="003478CB"/>
    <w:rsid w:val="003511AC"/>
    <w:rsid w:val="00357948"/>
    <w:rsid w:val="00361A1D"/>
    <w:rsid w:val="00362D9C"/>
    <w:rsid w:val="0037037F"/>
    <w:rsid w:val="00377C5C"/>
    <w:rsid w:val="00390E20"/>
    <w:rsid w:val="003B117C"/>
    <w:rsid w:val="003D481E"/>
    <w:rsid w:val="003E558D"/>
    <w:rsid w:val="003F5720"/>
    <w:rsid w:val="00424EF0"/>
    <w:rsid w:val="004327DA"/>
    <w:rsid w:val="004400EE"/>
    <w:rsid w:val="00450321"/>
    <w:rsid w:val="00451A20"/>
    <w:rsid w:val="00461EAF"/>
    <w:rsid w:val="004652BF"/>
    <w:rsid w:val="00465D9A"/>
    <w:rsid w:val="00485CB5"/>
    <w:rsid w:val="0048719C"/>
    <w:rsid w:val="004A08B7"/>
    <w:rsid w:val="004A421E"/>
    <w:rsid w:val="004A5DBA"/>
    <w:rsid w:val="004A5FB8"/>
    <w:rsid w:val="004B43E0"/>
    <w:rsid w:val="004B699D"/>
    <w:rsid w:val="004C4887"/>
    <w:rsid w:val="004D71D0"/>
    <w:rsid w:val="004E0495"/>
    <w:rsid w:val="004E3BD2"/>
    <w:rsid w:val="004F26B8"/>
    <w:rsid w:val="004F306B"/>
    <w:rsid w:val="004F7EE2"/>
    <w:rsid w:val="00502FFB"/>
    <w:rsid w:val="00516FE6"/>
    <w:rsid w:val="00527D21"/>
    <w:rsid w:val="00537741"/>
    <w:rsid w:val="005441B7"/>
    <w:rsid w:val="005445C4"/>
    <w:rsid w:val="00545A2D"/>
    <w:rsid w:val="00546B4C"/>
    <w:rsid w:val="005519E9"/>
    <w:rsid w:val="00553074"/>
    <w:rsid w:val="0056680A"/>
    <w:rsid w:val="00571FCB"/>
    <w:rsid w:val="005812E8"/>
    <w:rsid w:val="005A0DB3"/>
    <w:rsid w:val="005A0ECB"/>
    <w:rsid w:val="005A2790"/>
    <w:rsid w:val="005A3797"/>
    <w:rsid w:val="005B2BAB"/>
    <w:rsid w:val="005B5859"/>
    <w:rsid w:val="005B7562"/>
    <w:rsid w:val="005B7843"/>
    <w:rsid w:val="005D52B5"/>
    <w:rsid w:val="005E13C9"/>
    <w:rsid w:val="005E2D06"/>
    <w:rsid w:val="005E51C4"/>
    <w:rsid w:val="005F22C4"/>
    <w:rsid w:val="005F490E"/>
    <w:rsid w:val="005F5A09"/>
    <w:rsid w:val="00610D06"/>
    <w:rsid w:val="00616475"/>
    <w:rsid w:val="00620488"/>
    <w:rsid w:val="0062772B"/>
    <w:rsid w:val="00636D73"/>
    <w:rsid w:val="0064110B"/>
    <w:rsid w:val="0064641A"/>
    <w:rsid w:val="0065157A"/>
    <w:rsid w:val="006546B3"/>
    <w:rsid w:val="00656AE9"/>
    <w:rsid w:val="00661A8D"/>
    <w:rsid w:val="006666D4"/>
    <w:rsid w:val="00670262"/>
    <w:rsid w:val="00676070"/>
    <w:rsid w:val="006978A1"/>
    <w:rsid w:val="006A5D4A"/>
    <w:rsid w:val="006B30BB"/>
    <w:rsid w:val="006B401C"/>
    <w:rsid w:val="006D6738"/>
    <w:rsid w:val="006E71B4"/>
    <w:rsid w:val="006F30D2"/>
    <w:rsid w:val="006F637A"/>
    <w:rsid w:val="006F71D7"/>
    <w:rsid w:val="007432BF"/>
    <w:rsid w:val="00767D59"/>
    <w:rsid w:val="00772CE2"/>
    <w:rsid w:val="00777DF2"/>
    <w:rsid w:val="007814E0"/>
    <w:rsid w:val="00785790"/>
    <w:rsid w:val="007916CA"/>
    <w:rsid w:val="00796563"/>
    <w:rsid w:val="007A3AA2"/>
    <w:rsid w:val="007A3C10"/>
    <w:rsid w:val="007B4DC7"/>
    <w:rsid w:val="007C1139"/>
    <w:rsid w:val="007C61C9"/>
    <w:rsid w:val="007D052D"/>
    <w:rsid w:val="007D7C50"/>
    <w:rsid w:val="007F69A3"/>
    <w:rsid w:val="00802155"/>
    <w:rsid w:val="00803FD8"/>
    <w:rsid w:val="008062A0"/>
    <w:rsid w:val="00806F2F"/>
    <w:rsid w:val="008074FC"/>
    <w:rsid w:val="008140E6"/>
    <w:rsid w:val="0084253B"/>
    <w:rsid w:val="0085044D"/>
    <w:rsid w:val="00850D2E"/>
    <w:rsid w:val="00853EDF"/>
    <w:rsid w:val="00856FAE"/>
    <w:rsid w:val="00860462"/>
    <w:rsid w:val="008605A6"/>
    <w:rsid w:val="00867E36"/>
    <w:rsid w:val="00883074"/>
    <w:rsid w:val="008975AC"/>
    <w:rsid w:val="008A4118"/>
    <w:rsid w:val="008B099B"/>
    <w:rsid w:val="008B4225"/>
    <w:rsid w:val="008E17D2"/>
    <w:rsid w:val="008E3E94"/>
    <w:rsid w:val="008E5A7E"/>
    <w:rsid w:val="008E6D0C"/>
    <w:rsid w:val="008F5901"/>
    <w:rsid w:val="00901F9D"/>
    <w:rsid w:val="00903139"/>
    <w:rsid w:val="00907B28"/>
    <w:rsid w:val="00907E4A"/>
    <w:rsid w:val="00910321"/>
    <w:rsid w:val="00911FF8"/>
    <w:rsid w:val="00913388"/>
    <w:rsid w:val="00922C47"/>
    <w:rsid w:val="00923D7B"/>
    <w:rsid w:val="00933DBE"/>
    <w:rsid w:val="00940423"/>
    <w:rsid w:val="009455C0"/>
    <w:rsid w:val="00956978"/>
    <w:rsid w:val="00957DAB"/>
    <w:rsid w:val="00964992"/>
    <w:rsid w:val="00996CC0"/>
    <w:rsid w:val="0099753B"/>
    <w:rsid w:val="009A4B09"/>
    <w:rsid w:val="009B628A"/>
    <w:rsid w:val="009C0ECE"/>
    <w:rsid w:val="009C424E"/>
    <w:rsid w:val="009E4556"/>
    <w:rsid w:val="009F1005"/>
    <w:rsid w:val="00A072C5"/>
    <w:rsid w:val="00A227A3"/>
    <w:rsid w:val="00A46B5D"/>
    <w:rsid w:val="00A503B9"/>
    <w:rsid w:val="00A54836"/>
    <w:rsid w:val="00A60080"/>
    <w:rsid w:val="00A60521"/>
    <w:rsid w:val="00A61047"/>
    <w:rsid w:val="00A63D45"/>
    <w:rsid w:val="00A668BF"/>
    <w:rsid w:val="00A66C4D"/>
    <w:rsid w:val="00A70F08"/>
    <w:rsid w:val="00A713AA"/>
    <w:rsid w:val="00A74235"/>
    <w:rsid w:val="00A77AC2"/>
    <w:rsid w:val="00A813FF"/>
    <w:rsid w:val="00A81887"/>
    <w:rsid w:val="00A82186"/>
    <w:rsid w:val="00A82A76"/>
    <w:rsid w:val="00A926CA"/>
    <w:rsid w:val="00A97CA9"/>
    <w:rsid w:val="00AA6BB0"/>
    <w:rsid w:val="00AB0E6D"/>
    <w:rsid w:val="00AC1449"/>
    <w:rsid w:val="00AE1A80"/>
    <w:rsid w:val="00AF7617"/>
    <w:rsid w:val="00B01356"/>
    <w:rsid w:val="00B10A67"/>
    <w:rsid w:val="00B156FC"/>
    <w:rsid w:val="00B32E67"/>
    <w:rsid w:val="00B3300D"/>
    <w:rsid w:val="00B373EE"/>
    <w:rsid w:val="00B404FC"/>
    <w:rsid w:val="00B46A9E"/>
    <w:rsid w:val="00B47328"/>
    <w:rsid w:val="00B71A84"/>
    <w:rsid w:val="00B80C89"/>
    <w:rsid w:val="00B810D4"/>
    <w:rsid w:val="00B868EB"/>
    <w:rsid w:val="00B86D49"/>
    <w:rsid w:val="00B87B5E"/>
    <w:rsid w:val="00B97C67"/>
    <w:rsid w:val="00BA177B"/>
    <w:rsid w:val="00BA322D"/>
    <w:rsid w:val="00BB0502"/>
    <w:rsid w:val="00BC0659"/>
    <w:rsid w:val="00BC5CCE"/>
    <w:rsid w:val="00BD3744"/>
    <w:rsid w:val="00BD7988"/>
    <w:rsid w:val="00BE474E"/>
    <w:rsid w:val="00BF1E28"/>
    <w:rsid w:val="00BF6B34"/>
    <w:rsid w:val="00C044FC"/>
    <w:rsid w:val="00C119BE"/>
    <w:rsid w:val="00C11FDB"/>
    <w:rsid w:val="00C1416C"/>
    <w:rsid w:val="00C14F96"/>
    <w:rsid w:val="00C22C76"/>
    <w:rsid w:val="00C22E90"/>
    <w:rsid w:val="00C25956"/>
    <w:rsid w:val="00C344B4"/>
    <w:rsid w:val="00C45658"/>
    <w:rsid w:val="00C468E8"/>
    <w:rsid w:val="00C47B31"/>
    <w:rsid w:val="00C5346E"/>
    <w:rsid w:val="00C626A4"/>
    <w:rsid w:val="00C63403"/>
    <w:rsid w:val="00C7013A"/>
    <w:rsid w:val="00C83571"/>
    <w:rsid w:val="00C838C7"/>
    <w:rsid w:val="00C90CC4"/>
    <w:rsid w:val="00C95982"/>
    <w:rsid w:val="00CA2C41"/>
    <w:rsid w:val="00CB5EDC"/>
    <w:rsid w:val="00CC33B9"/>
    <w:rsid w:val="00CC7933"/>
    <w:rsid w:val="00CE2F67"/>
    <w:rsid w:val="00CE3181"/>
    <w:rsid w:val="00CE3BC2"/>
    <w:rsid w:val="00CE671D"/>
    <w:rsid w:val="00CF40C3"/>
    <w:rsid w:val="00D006FB"/>
    <w:rsid w:val="00D01C45"/>
    <w:rsid w:val="00D0752D"/>
    <w:rsid w:val="00D111F2"/>
    <w:rsid w:val="00D14882"/>
    <w:rsid w:val="00D166D6"/>
    <w:rsid w:val="00D2445A"/>
    <w:rsid w:val="00D26D20"/>
    <w:rsid w:val="00D26FC9"/>
    <w:rsid w:val="00D465CB"/>
    <w:rsid w:val="00D52F18"/>
    <w:rsid w:val="00D6179E"/>
    <w:rsid w:val="00D6409C"/>
    <w:rsid w:val="00D733B3"/>
    <w:rsid w:val="00D75AA6"/>
    <w:rsid w:val="00D90DF3"/>
    <w:rsid w:val="00D941D0"/>
    <w:rsid w:val="00DA1A32"/>
    <w:rsid w:val="00DA37D5"/>
    <w:rsid w:val="00DB4B18"/>
    <w:rsid w:val="00DB74E7"/>
    <w:rsid w:val="00DB7C23"/>
    <w:rsid w:val="00DC0104"/>
    <w:rsid w:val="00DC6118"/>
    <w:rsid w:val="00DD509A"/>
    <w:rsid w:val="00DD59BF"/>
    <w:rsid w:val="00DE16A5"/>
    <w:rsid w:val="00DE5C30"/>
    <w:rsid w:val="00DF5E43"/>
    <w:rsid w:val="00E10E3F"/>
    <w:rsid w:val="00E20AF2"/>
    <w:rsid w:val="00E34823"/>
    <w:rsid w:val="00E546B6"/>
    <w:rsid w:val="00E61EEB"/>
    <w:rsid w:val="00E63E43"/>
    <w:rsid w:val="00E75516"/>
    <w:rsid w:val="00E814FB"/>
    <w:rsid w:val="00E85C72"/>
    <w:rsid w:val="00E93F7A"/>
    <w:rsid w:val="00EA04EC"/>
    <w:rsid w:val="00EA1098"/>
    <w:rsid w:val="00EA49F0"/>
    <w:rsid w:val="00EA75E7"/>
    <w:rsid w:val="00EB18DD"/>
    <w:rsid w:val="00EC5BC2"/>
    <w:rsid w:val="00ED68AE"/>
    <w:rsid w:val="00ED7EB3"/>
    <w:rsid w:val="00EE251E"/>
    <w:rsid w:val="00EE5325"/>
    <w:rsid w:val="00EE73F8"/>
    <w:rsid w:val="00EF2600"/>
    <w:rsid w:val="00F01B99"/>
    <w:rsid w:val="00F04EB0"/>
    <w:rsid w:val="00F14D6C"/>
    <w:rsid w:val="00F309CB"/>
    <w:rsid w:val="00F4019D"/>
    <w:rsid w:val="00F40713"/>
    <w:rsid w:val="00F44C3C"/>
    <w:rsid w:val="00F57353"/>
    <w:rsid w:val="00F82D89"/>
    <w:rsid w:val="00F86F97"/>
    <w:rsid w:val="00F91748"/>
    <w:rsid w:val="00F950FC"/>
    <w:rsid w:val="00F966B5"/>
    <w:rsid w:val="00FA06C5"/>
    <w:rsid w:val="00FB014E"/>
    <w:rsid w:val="00FB237F"/>
    <w:rsid w:val="00FB256E"/>
    <w:rsid w:val="00FB4D80"/>
    <w:rsid w:val="00FB60A5"/>
    <w:rsid w:val="00FC4239"/>
    <w:rsid w:val="00FC5D8C"/>
    <w:rsid w:val="00FC5ECF"/>
    <w:rsid w:val="00FC60AD"/>
    <w:rsid w:val="00FD3AF1"/>
    <w:rsid w:val="00FD73D4"/>
    <w:rsid w:val="00FD7D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5041"/>
    <o:shapelayout v:ext="edit">
      <o:idmap v:ext="edit" data="1"/>
    </o:shapelayout>
  </w:shapeDefaults>
  <w:decimalSymbol w:val="."/>
  <w:listSeparator w:val=","/>
  <w14:docId w14:val="5E62D43C"/>
  <w15:chartTrackingRefBased/>
  <w15:docId w15:val="{2F518D2A-6FB8-42A1-A454-7A4B7473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E28"/>
    <w:pPr>
      <w:spacing w:after="120" w:line="240" w:lineRule="auto"/>
    </w:pPr>
    <w:rPr>
      <w:rFonts w:ascii="Book Antiqua" w:eastAsia="Times New Roman" w:hAnsi="Book Antiqua"/>
      <w:color w:val="000000"/>
      <w:sz w:val="19"/>
      <w:szCs w:val="20"/>
      <w:lang w:eastAsia="en-AU"/>
    </w:rPr>
  </w:style>
  <w:style w:type="paragraph" w:styleId="Heading1">
    <w:name w:val="heading 1"/>
    <w:basedOn w:val="Normal"/>
    <w:next w:val="Normal"/>
    <w:link w:val="Heading1Char"/>
    <w:qFormat/>
    <w:rsid w:val="00FB014E"/>
    <w:pPr>
      <w:keepNext/>
      <w:spacing w:after="720"/>
      <w:outlineLvl w:val="0"/>
    </w:pPr>
    <w:rPr>
      <w:rFonts w:ascii="Arial" w:hAnsi="Arial"/>
      <w:b/>
      <w:bCs/>
      <w:snapToGrid w:val="0"/>
      <w:color w:val="auto"/>
      <w:sz w:val="36"/>
    </w:rPr>
  </w:style>
  <w:style w:type="paragraph" w:styleId="Heading2">
    <w:name w:val="heading 2"/>
    <w:basedOn w:val="Normal"/>
    <w:next w:val="Normal"/>
    <w:link w:val="Heading2Char"/>
    <w:uiPriority w:val="9"/>
    <w:unhideWhenUsed/>
    <w:qFormat/>
    <w:rsid w:val="00FB014E"/>
    <w:pPr>
      <w:keepNext/>
      <w:keepLines/>
      <w:spacing w:after="240"/>
      <w:outlineLvl w:val="1"/>
    </w:pPr>
    <w:rPr>
      <w:rFonts w:ascii="Arial" w:hAnsi="Arial" w:cs="Arial"/>
      <w:b/>
      <w:iCs/>
      <w:sz w:val="26"/>
      <w:szCs w:val="26"/>
    </w:rPr>
  </w:style>
  <w:style w:type="paragraph" w:styleId="Heading3">
    <w:name w:val="heading 3"/>
    <w:basedOn w:val="Normal"/>
    <w:next w:val="Normal"/>
    <w:link w:val="Heading3Char"/>
    <w:unhideWhenUsed/>
    <w:qFormat/>
    <w:rsid w:val="00183C35"/>
    <w:pPr>
      <w:keepNext/>
      <w:spacing w:before="120"/>
      <w:outlineLvl w:val="2"/>
    </w:pPr>
    <w:rPr>
      <w:rFonts w:ascii="Arial Bold" w:hAnsi="Arial Bold"/>
      <w:b/>
      <w:color w:val="auto"/>
      <w:sz w:val="22"/>
    </w:rPr>
  </w:style>
  <w:style w:type="paragraph" w:styleId="Heading4">
    <w:name w:val="heading 4"/>
    <w:basedOn w:val="Normal"/>
    <w:next w:val="Normal"/>
    <w:link w:val="Heading4Char"/>
    <w:unhideWhenUsed/>
    <w:qFormat/>
    <w:rsid w:val="00F82D89"/>
    <w:pPr>
      <w:keepNext/>
      <w:keepLines/>
      <w:spacing w:before="240"/>
      <w:outlineLvl w:val="3"/>
    </w:pPr>
    <w:rPr>
      <w:rFonts w:ascii="Arial" w:hAnsi="Arial"/>
      <w:b/>
      <w:sz w:val="20"/>
    </w:rPr>
  </w:style>
  <w:style w:type="paragraph" w:styleId="Heading5">
    <w:name w:val="heading 5"/>
    <w:basedOn w:val="Normal"/>
    <w:next w:val="Normal"/>
    <w:link w:val="Heading5Char"/>
    <w:uiPriority w:val="9"/>
    <w:semiHidden/>
    <w:unhideWhenUsed/>
    <w:qFormat/>
    <w:rsid w:val="00BC0659"/>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F260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014E"/>
    <w:rPr>
      <w:rFonts w:ascii="Arial" w:eastAsia="Times New Roman" w:hAnsi="Arial"/>
      <w:b/>
      <w:bCs/>
      <w:snapToGrid w:val="0"/>
      <w:sz w:val="36"/>
      <w:szCs w:val="20"/>
      <w:lang w:eastAsia="en-AU"/>
    </w:rPr>
  </w:style>
  <w:style w:type="paragraph" w:customStyle="1" w:styleId="EntitySubtitle">
    <w:name w:val="Entity Subtitle"/>
    <w:basedOn w:val="Normal"/>
    <w:link w:val="EntitySubtitleChar"/>
    <w:qFormat/>
    <w:rsid w:val="00913388"/>
    <w:pPr>
      <w:keepNext/>
      <w:tabs>
        <w:tab w:val="left" w:pos="5830"/>
      </w:tabs>
      <w:spacing w:before="440"/>
      <w:ind w:right="-68"/>
      <w:jc w:val="center"/>
      <w:outlineLvl w:val="0"/>
    </w:pPr>
    <w:rPr>
      <w:rFonts w:ascii="Arial Bold" w:hAnsi="Arial Bold" w:cs="Arial"/>
      <w:b/>
      <w:bCs/>
      <w:sz w:val="44"/>
      <w:szCs w:val="56"/>
    </w:rPr>
  </w:style>
  <w:style w:type="character" w:customStyle="1" w:styleId="EntitySubtitleChar">
    <w:name w:val="Entity Subtitle Char"/>
    <w:basedOn w:val="DefaultParagraphFont"/>
    <w:link w:val="EntitySubtitle"/>
    <w:rsid w:val="00913388"/>
    <w:rPr>
      <w:rFonts w:ascii="Arial Bold" w:eastAsia="Times New Roman" w:hAnsi="Arial Bold" w:cs="Arial"/>
      <w:b/>
      <w:bCs/>
      <w:color w:val="000000"/>
      <w:sz w:val="44"/>
      <w:szCs w:val="56"/>
      <w:lang w:eastAsia="en-AU"/>
    </w:rPr>
  </w:style>
  <w:style w:type="paragraph" w:styleId="Header">
    <w:name w:val="header"/>
    <w:basedOn w:val="Normal"/>
    <w:link w:val="HeaderChar"/>
    <w:uiPriority w:val="99"/>
    <w:unhideWhenUsed/>
    <w:rsid w:val="00913388"/>
    <w:pPr>
      <w:tabs>
        <w:tab w:val="center" w:pos="4513"/>
        <w:tab w:val="right" w:pos="9026"/>
      </w:tabs>
      <w:spacing w:after="0"/>
    </w:pPr>
  </w:style>
  <w:style w:type="character" w:customStyle="1" w:styleId="HeaderChar">
    <w:name w:val="Header Char"/>
    <w:basedOn w:val="DefaultParagraphFont"/>
    <w:link w:val="Header"/>
    <w:uiPriority w:val="99"/>
    <w:rsid w:val="00913388"/>
    <w:rPr>
      <w:rFonts w:ascii="Book Antiqua" w:eastAsia="Times New Roman" w:hAnsi="Book Antiqua"/>
      <w:color w:val="000000"/>
      <w:sz w:val="20"/>
      <w:szCs w:val="20"/>
      <w:lang w:eastAsia="en-AU"/>
    </w:rPr>
  </w:style>
  <w:style w:type="paragraph" w:styleId="Footer">
    <w:name w:val="footer"/>
    <w:basedOn w:val="Normal"/>
    <w:link w:val="FooterChar"/>
    <w:uiPriority w:val="99"/>
    <w:unhideWhenUsed/>
    <w:rsid w:val="00913388"/>
    <w:pPr>
      <w:tabs>
        <w:tab w:val="center" w:pos="4513"/>
        <w:tab w:val="right" w:pos="9026"/>
      </w:tabs>
      <w:spacing w:after="0"/>
    </w:pPr>
  </w:style>
  <w:style w:type="character" w:customStyle="1" w:styleId="FooterChar">
    <w:name w:val="Footer Char"/>
    <w:basedOn w:val="DefaultParagraphFont"/>
    <w:link w:val="Footer"/>
    <w:uiPriority w:val="99"/>
    <w:rsid w:val="00913388"/>
    <w:rPr>
      <w:rFonts w:ascii="Book Antiqua" w:eastAsia="Times New Roman" w:hAnsi="Book Antiqua"/>
      <w:color w:val="000000"/>
      <w:sz w:val="20"/>
      <w:szCs w:val="20"/>
      <w:lang w:eastAsia="en-AU"/>
    </w:rPr>
  </w:style>
  <w:style w:type="character" w:styleId="Hyperlink">
    <w:name w:val="Hyperlink"/>
    <w:basedOn w:val="DefaultParagraphFont"/>
    <w:uiPriority w:val="99"/>
    <w:unhideWhenUsed/>
    <w:rsid w:val="00913388"/>
    <w:rPr>
      <w:color w:val="0563C1" w:themeColor="hyperlink"/>
      <w:u w:val="single"/>
    </w:rPr>
  </w:style>
  <w:style w:type="paragraph" w:styleId="TOC1">
    <w:name w:val="toc 1"/>
    <w:next w:val="Normal"/>
    <w:autoRedefine/>
    <w:uiPriority w:val="39"/>
    <w:qFormat/>
    <w:rsid w:val="00913388"/>
    <w:pPr>
      <w:tabs>
        <w:tab w:val="right" w:leader="dot" w:pos="7360"/>
      </w:tabs>
      <w:spacing w:before="360" w:after="120" w:line="240" w:lineRule="auto"/>
    </w:pPr>
    <w:rPr>
      <w:rFonts w:ascii="Arial Bold" w:eastAsia="Times New Roman" w:hAnsi="Arial Bold"/>
      <w:b/>
      <w:noProof/>
      <w:color w:val="000000"/>
      <w:sz w:val="20"/>
      <w:szCs w:val="20"/>
      <w:lang w:eastAsia="en-AU"/>
    </w:rPr>
  </w:style>
  <w:style w:type="paragraph" w:styleId="TOC2">
    <w:name w:val="toc 2"/>
    <w:next w:val="Normal"/>
    <w:autoRedefine/>
    <w:uiPriority w:val="39"/>
    <w:qFormat/>
    <w:rsid w:val="00913388"/>
    <w:pPr>
      <w:tabs>
        <w:tab w:val="left" w:pos="993"/>
        <w:tab w:val="right" w:leader="dot" w:pos="7360"/>
      </w:tabs>
      <w:spacing w:before="60" w:after="120" w:line="240" w:lineRule="auto"/>
    </w:pPr>
    <w:rPr>
      <w:rFonts w:ascii="Arial" w:eastAsia="Times New Roman" w:hAnsi="Arial"/>
      <w:color w:val="000000"/>
      <w:sz w:val="20"/>
      <w:szCs w:val="20"/>
      <w:lang w:eastAsia="en-AU"/>
    </w:rPr>
  </w:style>
  <w:style w:type="paragraph" w:customStyle="1" w:styleId="Header2-Left">
    <w:name w:val="Header 2 - Left"/>
    <w:basedOn w:val="Normal"/>
    <w:link w:val="Header2-LeftChar"/>
    <w:qFormat/>
    <w:locked/>
    <w:rsid w:val="0024539A"/>
    <w:pPr>
      <w:pBdr>
        <w:bottom w:val="single" w:sz="4" w:space="1" w:color="auto"/>
      </w:pBdr>
    </w:pPr>
    <w:rPr>
      <w:rFonts w:ascii="Arial" w:hAnsi="Arial"/>
      <w:sz w:val="18"/>
    </w:rPr>
  </w:style>
  <w:style w:type="character" w:customStyle="1" w:styleId="Header2-LeftChar">
    <w:name w:val="Header 2 - Left Char"/>
    <w:basedOn w:val="DefaultParagraphFont"/>
    <w:link w:val="Header2-Left"/>
    <w:rsid w:val="0024539A"/>
    <w:rPr>
      <w:rFonts w:ascii="Arial" w:eastAsia="Times New Roman" w:hAnsi="Arial"/>
      <w:color w:val="000000"/>
      <w:sz w:val="18"/>
      <w:szCs w:val="20"/>
      <w:lang w:eastAsia="en-AU"/>
    </w:rPr>
  </w:style>
  <w:style w:type="character" w:customStyle="1" w:styleId="Heading2Char">
    <w:name w:val="Heading 2 Char"/>
    <w:basedOn w:val="DefaultParagraphFont"/>
    <w:link w:val="Heading2"/>
    <w:uiPriority w:val="9"/>
    <w:rsid w:val="00FB014E"/>
    <w:rPr>
      <w:rFonts w:ascii="Arial" w:eastAsia="Times New Roman" w:hAnsi="Arial" w:cs="Arial"/>
      <w:b/>
      <w:iCs/>
      <w:color w:val="000000"/>
      <w:sz w:val="26"/>
      <w:szCs w:val="26"/>
      <w:lang w:eastAsia="en-AU"/>
    </w:rPr>
  </w:style>
  <w:style w:type="character" w:customStyle="1" w:styleId="Heading3Char">
    <w:name w:val="Heading 3 Char"/>
    <w:basedOn w:val="DefaultParagraphFont"/>
    <w:link w:val="Heading3"/>
    <w:rsid w:val="00183C35"/>
    <w:rPr>
      <w:rFonts w:ascii="Arial Bold" w:eastAsia="Times New Roman" w:hAnsi="Arial Bold"/>
      <w:b/>
      <w:sz w:val="22"/>
      <w:szCs w:val="20"/>
      <w:lang w:eastAsia="en-AU"/>
    </w:rPr>
  </w:style>
  <w:style w:type="paragraph" w:styleId="FootnoteText">
    <w:name w:val="footnote text"/>
    <w:aliases w:val="(NECG) Footnote Text"/>
    <w:basedOn w:val="Normal"/>
    <w:link w:val="FootnoteTextChar"/>
    <w:qFormat/>
    <w:rsid w:val="005E2D06"/>
    <w:pPr>
      <w:tabs>
        <w:tab w:val="left" w:pos="284"/>
      </w:tabs>
      <w:spacing w:after="0"/>
      <w:ind w:left="284" w:hanging="284"/>
    </w:pPr>
    <w:rPr>
      <w:rFonts w:ascii="Arial" w:hAnsi="Arial"/>
      <w:sz w:val="15"/>
    </w:rPr>
  </w:style>
  <w:style w:type="character" w:customStyle="1" w:styleId="FootnoteTextChar">
    <w:name w:val="Footnote Text Char"/>
    <w:aliases w:val="(NECG) Footnote Text Char"/>
    <w:basedOn w:val="DefaultParagraphFont"/>
    <w:link w:val="FootnoteText"/>
    <w:rsid w:val="005E2D06"/>
    <w:rPr>
      <w:rFonts w:ascii="Arial" w:eastAsia="Times New Roman" w:hAnsi="Arial"/>
      <w:color w:val="000000"/>
      <w:sz w:val="15"/>
      <w:szCs w:val="20"/>
      <w:lang w:eastAsia="en-AU"/>
    </w:rPr>
  </w:style>
  <w:style w:type="character" w:styleId="FootnoteReference">
    <w:name w:val="footnote reference"/>
    <w:aliases w:val="(NECG) Footnote Reference"/>
    <w:basedOn w:val="DefaultParagraphFont"/>
    <w:rsid w:val="0024539A"/>
    <w:rPr>
      <w:rFonts w:ascii="Arial" w:hAnsi="Arial"/>
      <w:caps w:val="0"/>
      <w:smallCaps w:val="0"/>
      <w:strike w:val="0"/>
      <w:dstrike w:val="0"/>
      <w:vanish w:val="0"/>
      <w:sz w:val="15"/>
      <w:vertAlign w:val="superscript"/>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
    <w:basedOn w:val="Normal"/>
    <w:link w:val="ListParagraphChar"/>
    <w:uiPriority w:val="34"/>
    <w:qFormat/>
    <w:rsid w:val="0024539A"/>
    <w:pPr>
      <w:numPr>
        <w:numId w:val="1"/>
      </w:numPr>
      <w:contextualSpacing/>
    </w:p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
    <w:basedOn w:val="DefaultParagraphFont"/>
    <w:link w:val="ListParagraph"/>
    <w:uiPriority w:val="34"/>
    <w:qFormat/>
    <w:rsid w:val="0024539A"/>
    <w:rPr>
      <w:rFonts w:ascii="Book Antiqua" w:eastAsia="Times New Roman" w:hAnsi="Book Antiqua"/>
      <w:color w:val="000000"/>
      <w:sz w:val="20"/>
      <w:szCs w:val="20"/>
      <w:lang w:eastAsia="en-AU"/>
    </w:rPr>
  </w:style>
  <w:style w:type="paragraph" w:customStyle="1" w:styleId="Tablenumberandreference">
    <w:name w:val="Table number and reference"/>
    <w:qFormat/>
    <w:rsid w:val="0024539A"/>
    <w:pPr>
      <w:spacing w:after="120" w:line="240" w:lineRule="auto"/>
    </w:pPr>
    <w:rPr>
      <w:rFonts w:ascii="Arial" w:eastAsia="Times New Roman" w:hAnsi="Arial" w:cs="Arial"/>
      <w:b/>
      <w:color w:val="000000"/>
      <w:sz w:val="20"/>
      <w:szCs w:val="18"/>
    </w:rPr>
  </w:style>
  <w:style w:type="paragraph" w:customStyle="1" w:styleId="Header1-Right">
    <w:name w:val="Header 1 - Right"/>
    <w:basedOn w:val="Normal"/>
    <w:next w:val="Normal"/>
    <w:link w:val="Header1-RightChar"/>
    <w:qFormat/>
    <w:locked/>
    <w:rsid w:val="0024539A"/>
    <w:pPr>
      <w:pBdr>
        <w:bottom w:val="single" w:sz="4" w:space="1" w:color="auto"/>
      </w:pBdr>
      <w:tabs>
        <w:tab w:val="center" w:pos="4513"/>
        <w:tab w:val="right" w:pos="9026"/>
      </w:tabs>
      <w:spacing w:after="0"/>
      <w:jc w:val="right"/>
    </w:pPr>
    <w:rPr>
      <w:rFonts w:ascii="Arial" w:hAnsi="Arial" w:cs="Arial"/>
      <w:sz w:val="18"/>
      <w:szCs w:val="18"/>
      <w:lang w:val="en-US" w:eastAsia="en-US"/>
    </w:rPr>
  </w:style>
  <w:style w:type="character" w:customStyle="1" w:styleId="Header1-RightChar">
    <w:name w:val="Header 1 - Right Char"/>
    <w:basedOn w:val="DefaultParagraphFont"/>
    <w:link w:val="Header1-Right"/>
    <w:rsid w:val="0024539A"/>
    <w:rPr>
      <w:rFonts w:ascii="Arial" w:eastAsia="Times New Roman" w:hAnsi="Arial" w:cs="Arial"/>
      <w:color w:val="000000"/>
      <w:sz w:val="18"/>
      <w:szCs w:val="18"/>
      <w:lang w:val="en-US"/>
    </w:rPr>
  </w:style>
  <w:style w:type="table" w:styleId="TableGrid">
    <w:name w:val="Table Grid"/>
    <w:basedOn w:val="TableNormal"/>
    <w:rsid w:val="0024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82D89"/>
    <w:rPr>
      <w:rFonts w:ascii="Arial" w:eastAsia="Times New Roman" w:hAnsi="Arial"/>
      <w:b/>
      <w:color w:val="000000"/>
      <w:sz w:val="20"/>
      <w:szCs w:val="20"/>
      <w:lang w:eastAsia="en-AU"/>
    </w:rPr>
  </w:style>
  <w:style w:type="paragraph" w:customStyle="1" w:styleId="OutcomeStatement">
    <w:name w:val="Outcome Statement"/>
    <w:basedOn w:val="Normal"/>
    <w:link w:val="OutcomeStatementChar"/>
    <w:qFormat/>
    <w:locked/>
    <w:rsid w:val="00BC0659"/>
    <w:pPr>
      <w:widowControl w:val="0"/>
      <w:pBdr>
        <w:top w:val="single" w:sz="4" w:space="4" w:color="auto"/>
        <w:left w:val="single" w:sz="4" w:space="4" w:color="auto"/>
        <w:bottom w:val="single" w:sz="4" w:space="2" w:color="auto"/>
        <w:right w:val="single" w:sz="4" w:space="4" w:color="auto"/>
      </w:pBdr>
      <w:shd w:val="clear" w:color="auto" w:fill="D9D9D9"/>
      <w:tabs>
        <w:tab w:val="left" w:pos="1134"/>
      </w:tabs>
      <w:spacing w:after="0"/>
    </w:pPr>
    <w:rPr>
      <w:rFonts w:ascii="Arial" w:hAnsi="Arial"/>
      <w:bCs/>
      <w:iCs/>
      <w:snapToGrid w:val="0"/>
      <w:sz w:val="18"/>
      <w:szCs w:val="26"/>
    </w:rPr>
  </w:style>
  <w:style w:type="character" w:customStyle="1" w:styleId="OutcomeStatementChar">
    <w:name w:val="Outcome Statement Char"/>
    <w:basedOn w:val="DefaultParagraphFont"/>
    <w:link w:val="OutcomeStatement"/>
    <w:rsid w:val="00BC0659"/>
    <w:rPr>
      <w:rFonts w:ascii="Arial" w:eastAsia="Times New Roman" w:hAnsi="Arial"/>
      <w:bCs/>
      <w:iCs/>
      <w:snapToGrid w:val="0"/>
      <w:color w:val="000000"/>
      <w:sz w:val="18"/>
      <w:szCs w:val="26"/>
      <w:shd w:val="clear" w:color="auto" w:fill="D9D9D9"/>
      <w:lang w:eastAsia="en-AU"/>
    </w:rPr>
  </w:style>
  <w:style w:type="paragraph" w:customStyle="1" w:styleId="Tabletextnormal9pt">
    <w:name w:val="Table text (normal) 9pt"/>
    <w:basedOn w:val="Normal"/>
    <w:qFormat/>
    <w:locked/>
    <w:rsid w:val="00BC0659"/>
    <w:pPr>
      <w:spacing w:before="40" w:after="40"/>
    </w:pPr>
    <w:rPr>
      <w:rFonts w:ascii="Arial" w:hAnsi="Arial" w:cs="Arial"/>
      <w:sz w:val="18"/>
      <w:szCs w:val="18"/>
    </w:rPr>
  </w:style>
  <w:style w:type="paragraph" w:customStyle="1" w:styleId="Tableheadingrow9pt">
    <w:name w:val="Table heading row 9pt"/>
    <w:basedOn w:val="Normal"/>
    <w:link w:val="Tableheadingrow9ptChar"/>
    <w:qFormat/>
    <w:locked/>
    <w:rsid w:val="00BC0659"/>
    <w:pPr>
      <w:spacing w:before="40" w:after="40"/>
    </w:pPr>
    <w:rPr>
      <w:rFonts w:ascii="Arial" w:hAnsi="Arial" w:cs="Arial"/>
      <w:b/>
      <w:sz w:val="18"/>
      <w:szCs w:val="18"/>
    </w:rPr>
  </w:style>
  <w:style w:type="character" w:customStyle="1" w:styleId="Tableheadingrow9ptChar">
    <w:name w:val="Table heading row 9pt Char"/>
    <w:basedOn w:val="DefaultParagraphFont"/>
    <w:link w:val="Tableheadingrow9pt"/>
    <w:rsid w:val="00BC0659"/>
    <w:rPr>
      <w:rFonts w:ascii="Arial" w:eastAsia="Times New Roman" w:hAnsi="Arial" w:cs="Arial"/>
      <w:b/>
      <w:color w:val="000000"/>
      <w:sz w:val="18"/>
      <w:szCs w:val="18"/>
      <w:lang w:eastAsia="en-AU"/>
    </w:rPr>
  </w:style>
  <w:style w:type="paragraph" w:customStyle="1" w:styleId="Tableheadingrowmeasures85pt">
    <w:name w:val="Table heading row (measures) 8.5pt"/>
    <w:basedOn w:val="Tabletextnormal9pt"/>
    <w:qFormat/>
    <w:rsid w:val="00BC0659"/>
    <w:rPr>
      <w:b/>
      <w:sz w:val="17"/>
      <w:szCs w:val="17"/>
      <w:lang w:eastAsia="en-US"/>
    </w:rPr>
  </w:style>
  <w:style w:type="paragraph" w:customStyle="1" w:styleId="Tabletextmeasures85pt">
    <w:name w:val="Table text (measures) 8.5pt"/>
    <w:basedOn w:val="Tabletextnormal9pt"/>
    <w:qFormat/>
    <w:rsid w:val="00BC0659"/>
    <w:rPr>
      <w:sz w:val="17"/>
      <w:szCs w:val="17"/>
    </w:rPr>
  </w:style>
  <w:style w:type="character" w:customStyle="1" w:styleId="Heading5Char">
    <w:name w:val="Heading 5 Char"/>
    <w:basedOn w:val="DefaultParagraphFont"/>
    <w:link w:val="Heading5"/>
    <w:uiPriority w:val="9"/>
    <w:semiHidden/>
    <w:rsid w:val="00BC0659"/>
    <w:rPr>
      <w:rFonts w:asciiTheme="majorHAnsi" w:eastAsiaTheme="majorEastAsia" w:hAnsiTheme="majorHAnsi" w:cstheme="majorBidi"/>
      <w:color w:val="2E74B5" w:themeColor="accent1" w:themeShade="BF"/>
      <w:sz w:val="20"/>
      <w:szCs w:val="20"/>
      <w:lang w:eastAsia="en-AU"/>
    </w:rPr>
  </w:style>
  <w:style w:type="paragraph" w:customStyle="1" w:styleId="StyleTableGraphicItalicRed">
    <w:name w:val="Style Table Graphic + Italic Red"/>
    <w:basedOn w:val="Normal"/>
    <w:rsid w:val="00CF40C3"/>
    <w:pPr>
      <w:spacing w:after="60" w:line="200" w:lineRule="exact"/>
    </w:pPr>
    <w:rPr>
      <w:i/>
      <w:iCs/>
      <w:color w:val="FF0000"/>
    </w:rPr>
  </w:style>
  <w:style w:type="paragraph" w:customStyle="1" w:styleId="Footnotes">
    <w:name w:val="Footnotes"/>
    <w:basedOn w:val="FootnoteText"/>
    <w:link w:val="FootnotesChar"/>
    <w:qFormat/>
    <w:rsid w:val="008F5901"/>
    <w:pPr>
      <w:tabs>
        <w:tab w:val="clear" w:pos="284"/>
      </w:tabs>
    </w:pPr>
    <w:rPr>
      <w:bdr w:val="nil"/>
    </w:rPr>
  </w:style>
  <w:style w:type="character" w:customStyle="1" w:styleId="FootnotesChar">
    <w:name w:val="Footnotes Char"/>
    <w:basedOn w:val="FootnoteTextChar"/>
    <w:link w:val="Footnotes"/>
    <w:rsid w:val="008F5901"/>
    <w:rPr>
      <w:rFonts w:ascii="Arial" w:eastAsia="Times New Roman" w:hAnsi="Arial"/>
      <w:color w:val="000000"/>
      <w:sz w:val="15"/>
      <w:szCs w:val="20"/>
      <w:bdr w:val="nil"/>
      <w:lang w:eastAsia="en-AU"/>
    </w:rPr>
  </w:style>
  <w:style w:type="paragraph" w:styleId="BalloonText">
    <w:name w:val="Balloon Text"/>
    <w:basedOn w:val="Normal"/>
    <w:link w:val="BalloonTextChar"/>
    <w:uiPriority w:val="99"/>
    <w:semiHidden/>
    <w:unhideWhenUsed/>
    <w:rsid w:val="0021657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579"/>
    <w:rPr>
      <w:rFonts w:ascii="Segoe UI" w:eastAsia="Times New Roman" w:hAnsi="Segoe UI" w:cs="Segoe UI"/>
      <w:color w:val="000000"/>
      <w:sz w:val="18"/>
      <w:szCs w:val="18"/>
      <w:lang w:eastAsia="en-AU"/>
    </w:rPr>
  </w:style>
  <w:style w:type="paragraph" w:styleId="Revision">
    <w:name w:val="Revision"/>
    <w:hidden/>
    <w:uiPriority w:val="99"/>
    <w:semiHidden/>
    <w:rsid w:val="006F30D2"/>
    <w:pPr>
      <w:spacing w:after="0" w:line="240" w:lineRule="auto"/>
    </w:pPr>
    <w:rPr>
      <w:rFonts w:ascii="Book Antiqua" w:eastAsia="Times New Roman" w:hAnsi="Book Antiqua"/>
      <w:color w:val="000000"/>
      <w:sz w:val="20"/>
      <w:szCs w:val="20"/>
      <w:lang w:eastAsia="en-AU"/>
    </w:rPr>
  </w:style>
  <w:style w:type="character" w:styleId="CommentReference">
    <w:name w:val="annotation reference"/>
    <w:basedOn w:val="DefaultParagraphFont"/>
    <w:uiPriority w:val="99"/>
    <w:semiHidden/>
    <w:unhideWhenUsed/>
    <w:rsid w:val="0010543F"/>
    <w:rPr>
      <w:sz w:val="16"/>
      <w:szCs w:val="16"/>
    </w:rPr>
  </w:style>
  <w:style w:type="paragraph" w:styleId="CommentText">
    <w:name w:val="annotation text"/>
    <w:basedOn w:val="Normal"/>
    <w:link w:val="CommentTextChar"/>
    <w:uiPriority w:val="99"/>
    <w:semiHidden/>
    <w:unhideWhenUsed/>
    <w:rsid w:val="0010543F"/>
  </w:style>
  <w:style w:type="character" w:customStyle="1" w:styleId="CommentTextChar">
    <w:name w:val="Comment Text Char"/>
    <w:basedOn w:val="DefaultParagraphFont"/>
    <w:link w:val="CommentText"/>
    <w:uiPriority w:val="99"/>
    <w:semiHidden/>
    <w:rsid w:val="0010543F"/>
    <w:rPr>
      <w:rFonts w:ascii="Book Antiqua" w:eastAsia="Times New Roman" w:hAnsi="Book Antiqua"/>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10543F"/>
    <w:rPr>
      <w:b/>
      <w:bCs/>
    </w:rPr>
  </w:style>
  <w:style w:type="character" w:customStyle="1" w:styleId="CommentSubjectChar">
    <w:name w:val="Comment Subject Char"/>
    <w:basedOn w:val="CommentTextChar"/>
    <w:link w:val="CommentSubject"/>
    <w:uiPriority w:val="99"/>
    <w:semiHidden/>
    <w:rsid w:val="0010543F"/>
    <w:rPr>
      <w:rFonts w:ascii="Book Antiqua" w:eastAsia="Times New Roman" w:hAnsi="Book Antiqua"/>
      <w:b/>
      <w:bCs/>
      <w:color w:val="000000"/>
      <w:sz w:val="20"/>
      <w:szCs w:val="20"/>
      <w:lang w:eastAsia="en-AU"/>
    </w:rPr>
  </w:style>
  <w:style w:type="paragraph" w:styleId="EndnoteText">
    <w:name w:val="endnote text"/>
    <w:basedOn w:val="Normal"/>
    <w:link w:val="EndnoteTextChar"/>
    <w:uiPriority w:val="99"/>
    <w:semiHidden/>
    <w:unhideWhenUsed/>
    <w:rsid w:val="00F40713"/>
    <w:pPr>
      <w:spacing w:after="0"/>
    </w:pPr>
  </w:style>
  <w:style w:type="character" w:customStyle="1" w:styleId="EndnoteTextChar">
    <w:name w:val="Endnote Text Char"/>
    <w:basedOn w:val="DefaultParagraphFont"/>
    <w:link w:val="EndnoteText"/>
    <w:uiPriority w:val="99"/>
    <w:semiHidden/>
    <w:rsid w:val="00F40713"/>
    <w:rPr>
      <w:rFonts w:ascii="Book Antiqua" w:eastAsia="Times New Roman" w:hAnsi="Book Antiqua"/>
      <w:color w:val="000000"/>
      <w:sz w:val="20"/>
      <w:szCs w:val="20"/>
      <w:lang w:eastAsia="en-AU"/>
    </w:rPr>
  </w:style>
  <w:style w:type="character" w:styleId="EndnoteReference">
    <w:name w:val="endnote reference"/>
    <w:basedOn w:val="DefaultParagraphFont"/>
    <w:uiPriority w:val="99"/>
    <w:semiHidden/>
    <w:unhideWhenUsed/>
    <w:rsid w:val="00F40713"/>
    <w:rPr>
      <w:vertAlign w:val="superscript"/>
    </w:rPr>
  </w:style>
  <w:style w:type="paragraph" w:customStyle="1" w:styleId="TableBullet">
    <w:name w:val="Table Bullet"/>
    <w:basedOn w:val="Tabletextnormal9pt"/>
    <w:qFormat/>
    <w:rsid w:val="00F57353"/>
    <w:pPr>
      <w:tabs>
        <w:tab w:val="left" w:pos="357"/>
      </w:tabs>
      <w:contextualSpacing/>
    </w:pPr>
  </w:style>
  <w:style w:type="paragraph" w:customStyle="1" w:styleId="AIHWbodytext">
    <w:name w:val="AIHW body text"/>
    <w:basedOn w:val="Normal"/>
    <w:link w:val="AIHWbodytextChar"/>
    <w:qFormat/>
    <w:rsid w:val="009B628A"/>
    <w:pPr>
      <w:spacing w:before="60" w:line="260" w:lineRule="atLeast"/>
    </w:pPr>
    <w:rPr>
      <w:rFonts w:ascii="Arial" w:hAnsi="Arial"/>
      <w:color w:val="auto"/>
      <w:sz w:val="22"/>
      <w:lang w:eastAsia="en-US"/>
    </w:rPr>
  </w:style>
  <w:style w:type="character" w:customStyle="1" w:styleId="AIHWbodytextChar">
    <w:name w:val="AIHW body text Char"/>
    <w:link w:val="AIHWbodytext"/>
    <w:locked/>
    <w:rsid w:val="009B628A"/>
    <w:rPr>
      <w:rFonts w:ascii="Arial" w:eastAsia="Times New Roman" w:hAnsi="Arial"/>
      <w:sz w:val="22"/>
      <w:szCs w:val="20"/>
    </w:rPr>
  </w:style>
  <w:style w:type="paragraph" w:styleId="ListNumber">
    <w:name w:val="List Number"/>
    <w:basedOn w:val="Normal"/>
    <w:uiPriority w:val="6"/>
    <w:qFormat/>
    <w:rsid w:val="009B628A"/>
    <w:pPr>
      <w:numPr>
        <w:numId w:val="10"/>
      </w:numPr>
      <w:spacing w:before="60" w:line="260" w:lineRule="atLeast"/>
    </w:pPr>
    <w:rPr>
      <w:rFonts w:ascii="Arial" w:hAnsi="Arial"/>
      <w:color w:val="auto"/>
      <w:sz w:val="22"/>
      <w:szCs w:val="22"/>
    </w:rPr>
  </w:style>
  <w:style w:type="character" w:customStyle="1" w:styleId="Header1-Right-OddChar">
    <w:name w:val="Header 1 - Right - Odd Char"/>
    <w:basedOn w:val="DefaultParagraphFont"/>
    <w:link w:val="Header1-Right-Odd"/>
    <w:locked/>
    <w:rsid w:val="00DD59BF"/>
    <w:rPr>
      <w:rFonts w:ascii="Arial" w:eastAsia="Times New Roman" w:hAnsi="Arial" w:cs="Arial"/>
      <w:color w:val="000000" w:themeColor="text1"/>
      <w:sz w:val="18"/>
      <w:szCs w:val="18"/>
      <w:lang w:val="en-US"/>
    </w:rPr>
  </w:style>
  <w:style w:type="paragraph" w:customStyle="1" w:styleId="Header1-Right-Odd">
    <w:name w:val="Header 1 - Right - Odd"/>
    <w:basedOn w:val="Normal"/>
    <w:next w:val="Normal"/>
    <w:link w:val="Header1-Right-OddChar"/>
    <w:qFormat/>
    <w:locked/>
    <w:rsid w:val="00DD59BF"/>
    <w:pPr>
      <w:pBdr>
        <w:bottom w:val="single" w:sz="4" w:space="1" w:color="auto"/>
      </w:pBdr>
      <w:tabs>
        <w:tab w:val="center" w:pos="4513"/>
        <w:tab w:val="right" w:pos="9026"/>
      </w:tabs>
      <w:spacing w:before="40"/>
      <w:jc w:val="right"/>
    </w:pPr>
    <w:rPr>
      <w:rFonts w:ascii="Arial" w:hAnsi="Arial" w:cs="Arial"/>
      <w:color w:val="000000" w:themeColor="text1"/>
      <w:sz w:val="18"/>
      <w:szCs w:val="18"/>
      <w:lang w:val="en-US" w:eastAsia="en-US"/>
    </w:rPr>
  </w:style>
  <w:style w:type="character" w:customStyle="1" w:styleId="Heading6Char">
    <w:name w:val="Heading 6 Char"/>
    <w:basedOn w:val="DefaultParagraphFont"/>
    <w:link w:val="Heading6"/>
    <w:uiPriority w:val="9"/>
    <w:semiHidden/>
    <w:rsid w:val="00EF2600"/>
    <w:rPr>
      <w:rFonts w:asciiTheme="majorHAnsi" w:eastAsiaTheme="majorEastAsia" w:hAnsiTheme="majorHAnsi" w:cstheme="majorBidi"/>
      <w:color w:val="1F4D78" w:themeColor="accent1" w:themeShade="7F"/>
      <w:sz w:val="20"/>
      <w:szCs w:val="20"/>
      <w:lang w:eastAsia="en-AU"/>
    </w:rPr>
  </w:style>
  <w:style w:type="character" w:styleId="PageNumber">
    <w:name w:val="page number"/>
    <w:rsid w:val="00883074"/>
    <w:rPr>
      <w:rFonts w:ascii="Arial" w:hAnsi="Arial" w:cs="Arial"/>
      <w:color w:val="auto"/>
    </w:rPr>
  </w:style>
  <w:style w:type="paragraph" w:customStyle="1" w:styleId="FooterEven">
    <w:name w:val="Footer Even"/>
    <w:basedOn w:val="Footer"/>
    <w:qFormat/>
    <w:rsid w:val="00883074"/>
    <w:pPr>
      <w:pBdr>
        <w:top w:val="single" w:sz="4" w:space="10" w:color="000000"/>
      </w:pBdr>
      <w:tabs>
        <w:tab w:val="clear" w:pos="4513"/>
        <w:tab w:val="clear" w:pos="9026"/>
        <w:tab w:val="center" w:pos="4153"/>
        <w:tab w:val="right" w:pos="8306"/>
      </w:tabs>
    </w:pPr>
    <w:rPr>
      <w:rFonts w:ascii="Arial" w:hAnsi="Arial"/>
      <w:color w:val="auto"/>
      <w:sz w:val="18"/>
    </w:rPr>
  </w:style>
  <w:style w:type="paragraph" w:customStyle="1" w:styleId="FooterOdd">
    <w:name w:val="Footer Odd"/>
    <w:basedOn w:val="Footer"/>
    <w:qFormat/>
    <w:rsid w:val="00883074"/>
    <w:pPr>
      <w:pBdr>
        <w:top w:val="single" w:sz="4" w:space="10" w:color="000000"/>
      </w:pBdr>
      <w:tabs>
        <w:tab w:val="clear" w:pos="4513"/>
        <w:tab w:val="clear" w:pos="9026"/>
        <w:tab w:val="center" w:pos="4153"/>
        <w:tab w:val="right" w:pos="8306"/>
      </w:tabs>
      <w:jc w:val="right"/>
    </w:pPr>
    <w:rPr>
      <w:rFonts w:ascii="Arial" w:hAnsi="Arial"/>
      <w:sz w:val="18"/>
    </w:rPr>
  </w:style>
  <w:style w:type="paragraph" w:customStyle="1" w:styleId="PartHeading-TOC">
    <w:name w:val="Part Heading - TOC"/>
    <w:basedOn w:val="Normal"/>
    <w:rsid w:val="00BC5CCE"/>
    <w:pPr>
      <w:spacing w:before="240" w:after="480"/>
      <w:jc w:val="center"/>
    </w:pPr>
    <w:rPr>
      <w:rFonts w:ascii="Arial Bold" w:hAnsi="Arial Bold" w:cs="Arial"/>
      <w:b/>
      <w:bCs/>
      <w:color w:val="auto"/>
      <w:kern w:val="28"/>
      <w:sz w:val="5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5566">
      <w:bodyDiv w:val="1"/>
      <w:marLeft w:val="0"/>
      <w:marRight w:val="0"/>
      <w:marTop w:val="0"/>
      <w:marBottom w:val="0"/>
      <w:divBdr>
        <w:top w:val="none" w:sz="0" w:space="0" w:color="auto"/>
        <w:left w:val="none" w:sz="0" w:space="0" w:color="auto"/>
        <w:bottom w:val="none" w:sz="0" w:space="0" w:color="auto"/>
        <w:right w:val="none" w:sz="0" w:space="0" w:color="auto"/>
      </w:divBdr>
    </w:div>
    <w:div w:id="19471882">
      <w:bodyDiv w:val="1"/>
      <w:marLeft w:val="0"/>
      <w:marRight w:val="0"/>
      <w:marTop w:val="0"/>
      <w:marBottom w:val="0"/>
      <w:divBdr>
        <w:top w:val="none" w:sz="0" w:space="0" w:color="auto"/>
        <w:left w:val="none" w:sz="0" w:space="0" w:color="auto"/>
        <w:bottom w:val="none" w:sz="0" w:space="0" w:color="auto"/>
        <w:right w:val="none" w:sz="0" w:space="0" w:color="auto"/>
      </w:divBdr>
    </w:div>
    <w:div w:id="24789319">
      <w:bodyDiv w:val="1"/>
      <w:marLeft w:val="0"/>
      <w:marRight w:val="0"/>
      <w:marTop w:val="0"/>
      <w:marBottom w:val="0"/>
      <w:divBdr>
        <w:top w:val="none" w:sz="0" w:space="0" w:color="auto"/>
        <w:left w:val="none" w:sz="0" w:space="0" w:color="auto"/>
        <w:bottom w:val="none" w:sz="0" w:space="0" w:color="auto"/>
        <w:right w:val="none" w:sz="0" w:space="0" w:color="auto"/>
      </w:divBdr>
    </w:div>
    <w:div w:id="123157478">
      <w:bodyDiv w:val="1"/>
      <w:marLeft w:val="0"/>
      <w:marRight w:val="0"/>
      <w:marTop w:val="0"/>
      <w:marBottom w:val="0"/>
      <w:divBdr>
        <w:top w:val="none" w:sz="0" w:space="0" w:color="auto"/>
        <w:left w:val="none" w:sz="0" w:space="0" w:color="auto"/>
        <w:bottom w:val="none" w:sz="0" w:space="0" w:color="auto"/>
        <w:right w:val="none" w:sz="0" w:space="0" w:color="auto"/>
      </w:divBdr>
    </w:div>
    <w:div w:id="145166427">
      <w:bodyDiv w:val="1"/>
      <w:marLeft w:val="0"/>
      <w:marRight w:val="0"/>
      <w:marTop w:val="0"/>
      <w:marBottom w:val="0"/>
      <w:divBdr>
        <w:top w:val="none" w:sz="0" w:space="0" w:color="auto"/>
        <w:left w:val="none" w:sz="0" w:space="0" w:color="auto"/>
        <w:bottom w:val="none" w:sz="0" w:space="0" w:color="auto"/>
        <w:right w:val="none" w:sz="0" w:space="0" w:color="auto"/>
      </w:divBdr>
    </w:div>
    <w:div w:id="262228323">
      <w:bodyDiv w:val="1"/>
      <w:marLeft w:val="0"/>
      <w:marRight w:val="0"/>
      <w:marTop w:val="0"/>
      <w:marBottom w:val="0"/>
      <w:divBdr>
        <w:top w:val="none" w:sz="0" w:space="0" w:color="auto"/>
        <w:left w:val="none" w:sz="0" w:space="0" w:color="auto"/>
        <w:bottom w:val="none" w:sz="0" w:space="0" w:color="auto"/>
        <w:right w:val="none" w:sz="0" w:space="0" w:color="auto"/>
      </w:divBdr>
    </w:div>
    <w:div w:id="272128579">
      <w:bodyDiv w:val="1"/>
      <w:marLeft w:val="0"/>
      <w:marRight w:val="0"/>
      <w:marTop w:val="0"/>
      <w:marBottom w:val="0"/>
      <w:divBdr>
        <w:top w:val="none" w:sz="0" w:space="0" w:color="auto"/>
        <w:left w:val="none" w:sz="0" w:space="0" w:color="auto"/>
        <w:bottom w:val="none" w:sz="0" w:space="0" w:color="auto"/>
        <w:right w:val="none" w:sz="0" w:space="0" w:color="auto"/>
      </w:divBdr>
    </w:div>
    <w:div w:id="297999045">
      <w:bodyDiv w:val="1"/>
      <w:marLeft w:val="0"/>
      <w:marRight w:val="0"/>
      <w:marTop w:val="0"/>
      <w:marBottom w:val="0"/>
      <w:divBdr>
        <w:top w:val="none" w:sz="0" w:space="0" w:color="auto"/>
        <w:left w:val="none" w:sz="0" w:space="0" w:color="auto"/>
        <w:bottom w:val="none" w:sz="0" w:space="0" w:color="auto"/>
        <w:right w:val="none" w:sz="0" w:space="0" w:color="auto"/>
      </w:divBdr>
    </w:div>
    <w:div w:id="305016437">
      <w:bodyDiv w:val="1"/>
      <w:marLeft w:val="0"/>
      <w:marRight w:val="0"/>
      <w:marTop w:val="0"/>
      <w:marBottom w:val="0"/>
      <w:divBdr>
        <w:top w:val="none" w:sz="0" w:space="0" w:color="auto"/>
        <w:left w:val="none" w:sz="0" w:space="0" w:color="auto"/>
        <w:bottom w:val="none" w:sz="0" w:space="0" w:color="auto"/>
        <w:right w:val="none" w:sz="0" w:space="0" w:color="auto"/>
      </w:divBdr>
    </w:div>
    <w:div w:id="308025082">
      <w:bodyDiv w:val="1"/>
      <w:marLeft w:val="0"/>
      <w:marRight w:val="0"/>
      <w:marTop w:val="0"/>
      <w:marBottom w:val="0"/>
      <w:divBdr>
        <w:top w:val="none" w:sz="0" w:space="0" w:color="auto"/>
        <w:left w:val="none" w:sz="0" w:space="0" w:color="auto"/>
        <w:bottom w:val="none" w:sz="0" w:space="0" w:color="auto"/>
        <w:right w:val="none" w:sz="0" w:space="0" w:color="auto"/>
      </w:divBdr>
    </w:div>
    <w:div w:id="310015976">
      <w:bodyDiv w:val="1"/>
      <w:marLeft w:val="0"/>
      <w:marRight w:val="0"/>
      <w:marTop w:val="0"/>
      <w:marBottom w:val="0"/>
      <w:divBdr>
        <w:top w:val="none" w:sz="0" w:space="0" w:color="auto"/>
        <w:left w:val="none" w:sz="0" w:space="0" w:color="auto"/>
        <w:bottom w:val="none" w:sz="0" w:space="0" w:color="auto"/>
        <w:right w:val="none" w:sz="0" w:space="0" w:color="auto"/>
      </w:divBdr>
    </w:div>
    <w:div w:id="327488567">
      <w:bodyDiv w:val="1"/>
      <w:marLeft w:val="0"/>
      <w:marRight w:val="0"/>
      <w:marTop w:val="0"/>
      <w:marBottom w:val="0"/>
      <w:divBdr>
        <w:top w:val="none" w:sz="0" w:space="0" w:color="auto"/>
        <w:left w:val="none" w:sz="0" w:space="0" w:color="auto"/>
        <w:bottom w:val="none" w:sz="0" w:space="0" w:color="auto"/>
        <w:right w:val="none" w:sz="0" w:space="0" w:color="auto"/>
      </w:divBdr>
    </w:div>
    <w:div w:id="338702793">
      <w:bodyDiv w:val="1"/>
      <w:marLeft w:val="0"/>
      <w:marRight w:val="0"/>
      <w:marTop w:val="0"/>
      <w:marBottom w:val="0"/>
      <w:divBdr>
        <w:top w:val="none" w:sz="0" w:space="0" w:color="auto"/>
        <w:left w:val="none" w:sz="0" w:space="0" w:color="auto"/>
        <w:bottom w:val="none" w:sz="0" w:space="0" w:color="auto"/>
        <w:right w:val="none" w:sz="0" w:space="0" w:color="auto"/>
      </w:divBdr>
    </w:div>
    <w:div w:id="354119375">
      <w:bodyDiv w:val="1"/>
      <w:marLeft w:val="0"/>
      <w:marRight w:val="0"/>
      <w:marTop w:val="0"/>
      <w:marBottom w:val="0"/>
      <w:divBdr>
        <w:top w:val="none" w:sz="0" w:space="0" w:color="auto"/>
        <w:left w:val="none" w:sz="0" w:space="0" w:color="auto"/>
        <w:bottom w:val="none" w:sz="0" w:space="0" w:color="auto"/>
        <w:right w:val="none" w:sz="0" w:space="0" w:color="auto"/>
      </w:divBdr>
    </w:div>
    <w:div w:id="441808820">
      <w:bodyDiv w:val="1"/>
      <w:marLeft w:val="0"/>
      <w:marRight w:val="0"/>
      <w:marTop w:val="0"/>
      <w:marBottom w:val="0"/>
      <w:divBdr>
        <w:top w:val="none" w:sz="0" w:space="0" w:color="auto"/>
        <w:left w:val="none" w:sz="0" w:space="0" w:color="auto"/>
        <w:bottom w:val="none" w:sz="0" w:space="0" w:color="auto"/>
        <w:right w:val="none" w:sz="0" w:space="0" w:color="auto"/>
      </w:divBdr>
    </w:div>
    <w:div w:id="534929026">
      <w:bodyDiv w:val="1"/>
      <w:marLeft w:val="0"/>
      <w:marRight w:val="0"/>
      <w:marTop w:val="0"/>
      <w:marBottom w:val="0"/>
      <w:divBdr>
        <w:top w:val="none" w:sz="0" w:space="0" w:color="auto"/>
        <w:left w:val="none" w:sz="0" w:space="0" w:color="auto"/>
        <w:bottom w:val="none" w:sz="0" w:space="0" w:color="auto"/>
        <w:right w:val="none" w:sz="0" w:space="0" w:color="auto"/>
      </w:divBdr>
    </w:div>
    <w:div w:id="567764529">
      <w:bodyDiv w:val="1"/>
      <w:marLeft w:val="0"/>
      <w:marRight w:val="0"/>
      <w:marTop w:val="0"/>
      <w:marBottom w:val="0"/>
      <w:divBdr>
        <w:top w:val="none" w:sz="0" w:space="0" w:color="auto"/>
        <w:left w:val="none" w:sz="0" w:space="0" w:color="auto"/>
        <w:bottom w:val="none" w:sz="0" w:space="0" w:color="auto"/>
        <w:right w:val="none" w:sz="0" w:space="0" w:color="auto"/>
      </w:divBdr>
    </w:div>
    <w:div w:id="651064919">
      <w:bodyDiv w:val="1"/>
      <w:marLeft w:val="0"/>
      <w:marRight w:val="0"/>
      <w:marTop w:val="0"/>
      <w:marBottom w:val="0"/>
      <w:divBdr>
        <w:top w:val="none" w:sz="0" w:space="0" w:color="auto"/>
        <w:left w:val="none" w:sz="0" w:space="0" w:color="auto"/>
        <w:bottom w:val="none" w:sz="0" w:space="0" w:color="auto"/>
        <w:right w:val="none" w:sz="0" w:space="0" w:color="auto"/>
      </w:divBdr>
    </w:div>
    <w:div w:id="669917623">
      <w:bodyDiv w:val="1"/>
      <w:marLeft w:val="0"/>
      <w:marRight w:val="0"/>
      <w:marTop w:val="0"/>
      <w:marBottom w:val="0"/>
      <w:divBdr>
        <w:top w:val="none" w:sz="0" w:space="0" w:color="auto"/>
        <w:left w:val="none" w:sz="0" w:space="0" w:color="auto"/>
        <w:bottom w:val="none" w:sz="0" w:space="0" w:color="auto"/>
        <w:right w:val="none" w:sz="0" w:space="0" w:color="auto"/>
      </w:divBdr>
    </w:div>
    <w:div w:id="710425302">
      <w:bodyDiv w:val="1"/>
      <w:marLeft w:val="0"/>
      <w:marRight w:val="0"/>
      <w:marTop w:val="0"/>
      <w:marBottom w:val="0"/>
      <w:divBdr>
        <w:top w:val="none" w:sz="0" w:space="0" w:color="auto"/>
        <w:left w:val="none" w:sz="0" w:space="0" w:color="auto"/>
        <w:bottom w:val="none" w:sz="0" w:space="0" w:color="auto"/>
        <w:right w:val="none" w:sz="0" w:space="0" w:color="auto"/>
      </w:divBdr>
    </w:div>
    <w:div w:id="810054560">
      <w:bodyDiv w:val="1"/>
      <w:marLeft w:val="0"/>
      <w:marRight w:val="0"/>
      <w:marTop w:val="0"/>
      <w:marBottom w:val="0"/>
      <w:divBdr>
        <w:top w:val="none" w:sz="0" w:space="0" w:color="auto"/>
        <w:left w:val="none" w:sz="0" w:space="0" w:color="auto"/>
        <w:bottom w:val="none" w:sz="0" w:space="0" w:color="auto"/>
        <w:right w:val="none" w:sz="0" w:space="0" w:color="auto"/>
      </w:divBdr>
    </w:div>
    <w:div w:id="837232016">
      <w:bodyDiv w:val="1"/>
      <w:marLeft w:val="0"/>
      <w:marRight w:val="0"/>
      <w:marTop w:val="0"/>
      <w:marBottom w:val="0"/>
      <w:divBdr>
        <w:top w:val="none" w:sz="0" w:space="0" w:color="auto"/>
        <w:left w:val="none" w:sz="0" w:space="0" w:color="auto"/>
        <w:bottom w:val="none" w:sz="0" w:space="0" w:color="auto"/>
        <w:right w:val="none" w:sz="0" w:space="0" w:color="auto"/>
      </w:divBdr>
    </w:div>
    <w:div w:id="841432427">
      <w:bodyDiv w:val="1"/>
      <w:marLeft w:val="0"/>
      <w:marRight w:val="0"/>
      <w:marTop w:val="0"/>
      <w:marBottom w:val="0"/>
      <w:divBdr>
        <w:top w:val="none" w:sz="0" w:space="0" w:color="auto"/>
        <w:left w:val="none" w:sz="0" w:space="0" w:color="auto"/>
        <w:bottom w:val="none" w:sz="0" w:space="0" w:color="auto"/>
        <w:right w:val="none" w:sz="0" w:space="0" w:color="auto"/>
      </w:divBdr>
    </w:div>
    <w:div w:id="903956542">
      <w:bodyDiv w:val="1"/>
      <w:marLeft w:val="0"/>
      <w:marRight w:val="0"/>
      <w:marTop w:val="0"/>
      <w:marBottom w:val="0"/>
      <w:divBdr>
        <w:top w:val="none" w:sz="0" w:space="0" w:color="auto"/>
        <w:left w:val="none" w:sz="0" w:space="0" w:color="auto"/>
        <w:bottom w:val="none" w:sz="0" w:space="0" w:color="auto"/>
        <w:right w:val="none" w:sz="0" w:space="0" w:color="auto"/>
      </w:divBdr>
    </w:div>
    <w:div w:id="915239556">
      <w:bodyDiv w:val="1"/>
      <w:marLeft w:val="0"/>
      <w:marRight w:val="0"/>
      <w:marTop w:val="0"/>
      <w:marBottom w:val="0"/>
      <w:divBdr>
        <w:top w:val="none" w:sz="0" w:space="0" w:color="auto"/>
        <w:left w:val="none" w:sz="0" w:space="0" w:color="auto"/>
        <w:bottom w:val="none" w:sz="0" w:space="0" w:color="auto"/>
        <w:right w:val="none" w:sz="0" w:space="0" w:color="auto"/>
      </w:divBdr>
    </w:div>
    <w:div w:id="918292416">
      <w:bodyDiv w:val="1"/>
      <w:marLeft w:val="0"/>
      <w:marRight w:val="0"/>
      <w:marTop w:val="0"/>
      <w:marBottom w:val="0"/>
      <w:divBdr>
        <w:top w:val="none" w:sz="0" w:space="0" w:color="auto"/>
        <w:left w:val="none" w:sz="0" w:space="0" w:color="auto"/>
        <w:bottom w:val="none" w:sz="0" w:space="0" w:color="auto"/>
        <w:right w:val="none" w:sz="0" w:space="0" w:color="auto"/>
      </w:divBdr>
    </w:div>
    <w:div w:id="932739858">
      <w:bodyDiv w:val="1"/>
      <w:marLeft w:val="0"/>
      <w:marRight w:val="0"/>
      <w:marTop w:val="0"/>
      <w:marBottom w:val="0"/>
      <w:divBdr>
        <w:top w:val="none" w:sz="0" w:space="0" w:color="auto"/>
        <w:left w:val="none" w:sz="0" w:space="0" w:color="auto"/>
        <w:bottom w:val="none" w:sz="0" w:space="0" w:color="auto"/>
        <w:right w:val="none" w:sz="0" w:space="0" w:color="auto"/>
      </w:divBdr>
    </w:div>
    <w:div w:id="970554695">
      <w:bodyDiv w:val="1"/>
      <w:marLeft w:val="0"/>
      <w:marRight w:val="0"/>
      <w:marTop w:val="0"/>
      <w:marBottom w:val="0"/>
      <w:divBdr>
        <w:top w:val="none" w:sz="0" w:space="0" w:color="auto"/>
        <w:left w:val="none" w:sz="0" w:space="0" w:color="auto"/>
        <w:bottom w:val="none" w:sz="0" w:space="0" w:color="auto"/>
        <w:right w:val="none" w:sz="0" w:space="0" w:color="auto"/>
      </w:divBdr>
    </w:div>
    <w:div w:id="981540580">
      <w:bodyDiv w:val="1"/>
      <w:marLeft w:val="0"/>
      <w:marRight w:val="0"/>
      <w:marTop w:val="0"/>
      <w:marBottom w:val="0"/>
      <w:divBdr>
        <w:top w:val="none" w:sz="0" w:space="0" w:color="auto"/>
        <w:left w:val="none" w:sz="0" w:space="0" w:color="auto"/>
        <w:bottom w:val="none" w:sz="0" w:space="0" w:color="auto"/>
        <w:right w:val="none" w:sz="0" w:space="0" w:color="auto"/>
      </w:divBdr>
    </w:div>
    <w:div w:id="1082724785">
      <w:bodyDiv w:val="1"/>
      <w:marLeft w:val="0"/>
      <w:marRight w:val="0"/>
      <w:marTop w:val="0"/>
      <w:marBottom w:val="0"/>
      <w:divBdr>
        <w:top w:val="none" w:sz="0" w:space="0" w:color="auto"/>
        <w:left w:val="none" w:sz="0" w:space="0" w:color="auto"/>
        <w:bottom w:val="none" w:sz="0" w:space="0" w:color="auto"/>
        <w:right w:val="none" w:sz="0" w:space="0" w:color="auto"/>
      </w:divBdr>
    </w:div>
    <w:div w:id="1099057190">
      <w:bodyDiv w:val="1"/>
      <w:marLeft w:val="0"/>
      <w:marRight w:val="0"/>
      <w:marTop w:val="0"/>
      <w:marBottom w:val="0"/>
      <w:divBdr>
        <w:top w:val="none" w:sz="0" w:space="0" w:color="auto"/>
        <w:left w:val="none" w:sz="0" w:space="0" w:color="auto"/>
        <w:bottom w:val="none" w:sz="0" w:space="0" w:color="auto"/>
        <w:right w:val="none" w:sz="0" w:space="0" w:color="auto"/>
      </w:divBdr>
    </w:div>
    <w:div w:id="1135953589">
      <w:bodyDiv w:val="1"/>
      <w:marLeft w:val="0"/>
      <w:marRight w:val="0"/>
      <w:marTop w:val="0"/>
      <w:marBottom w:val="0"/>
      <w:divBdr>
        <w:top w:val="none" w:sz="0" w:space="0" w:color="auto"/>
        <w:left w:val="none" w:sz="0" w:space="0" w:color="auto"/>
        <w:bottom w:val="none" w:sz="0" w:space="0" w:color="auto"/>
        <w:right w:val="none" w:sz="0" w:space="0" w:color="auto"/>
      </w:divBdr>
    </w:div>
    <w:div w:id="1145776954">
      <w:bodyDiv w:val="1"/>
      <w:marLeft w:val="0"/>
      <w:marRight w:val="0"/>
      <w:marTop w:val="0"/>
      <w:marBottom w:val="0"/>
      <w:divBdr>
        <w:top w:val="none" w:sz="0" w:space="0" w:color="auto"/>
        <w:left w:val="none" w:sz="0" w:space="0" w:color="auto"/>
        <w:bottom w:val="none" w:sz="0" w:space="0" w:color="auto"/>
        <w:right w:val="none" w:sz="0" w:space="0" w:color="auto"/>
      </w:divBdr>
    </w:div>
    <w:div w:id="1155730767">
      <w:bodyDiv w:val="1"/>
      <w:marLeft w:val="0"/>
      <w:marRight w:val="0"/>
      <w:marTop w:val="0"/>
      <w:marBottom w:val="0"/>
      <w:divBdr>
        <w:top w:val="none" w:sz="0" w:space="0" w:color="auto"/>
        <w:left w:val="none" w:sz="0" w:space="0" w:color="auto"/>
        <w:bottom w:val="none" w:sz="0" w:space="0" w:color="auto"/>
        <w:right w:val="none" w:sz="0" w:space="0" w:color="auto"/>
      </w:divBdr>
    </w:div>
    <w:div w:id="1186677277">
      <w:bodyDiv w:val="1"/>
      <w:marLeft w:val="0"/>
      <w:marRight w:val="0"/>
      <w:marTop w:val="0"/>
      <w:marBottom w:val="0"/>
      <w:divBdr>
        <w:top w:val="none" w:sz="0" w:space="0" w:color="auto"/>
        <w:left w:val="none" w:sz="0" w:space="0" w:color="auto"/>
        <w:bottom w:val="none" w:sz="0" w:space="0" w:color="auto"/>
        <w:right w:val="none" w:sz="0" w:space="0" w:color="auto"/>
      </w:divBdr>
    </w:div>
    <w:div w:id="1243297956">
      <w:bodyDiv w:val="1"/>
      <w:marLeft w:val="0"/>
      <w:marRight w:val="0"/>
      <w:marTop w:val="0"/>
      <w:marBottom w:val="0"/>
      <w:divBdr>
        <w:top w:val="none" w:sz="0" w:space="0" w:color="auto"/>
        <w:left w:val="none" w:sz="0" w:space="0" w:color="auto"/>
        <w:bottom w:val="none" w:sz="0" w:space="0" w:color="auto"/>
        <w:right w:val="none" w:sz="0" w:space="0" w:color="auto"/>
      </w:divBdr>
    </w:div>
    <w:div w:id="1250307259">
      <w:bodyDiv w:val="1"/>
      <w:marLeft w:val="0"/>
      <w:marRight w:val="0"/>
      <w:marTop w:val="0"/>
      <w:marBottom w:val="0"/>
      <w:divBdr>
        <w:top w:val="none" w:sz="0" w:space="0" w:color="auto"/>
        <w:left w:val="none" w:sz="0" w:space="0" w:color="auto"/>
        <w:bottom w:val="none" w:sz="0" w:space="0" w:color="auto"/>
        <w:right w:val="none" w:sz="0" w:space="0" w:color="auto"/>
      </w:divBdr>
    </w:div>
    <w:div w:id="1251894282">
      <w:bodyDiv w:val="1"/>
      <w:marLeft w:val="0"/>
      <w:marRight w:val="0"/>
      <w:marTop w:val="0"/>
      <w:marBottom w:val="0"/>
      <w:divBdr>
        <w:top w:val="none" w:sz="0" w:space="0" w:color="auto"/>
        <w:left w:val="none" w:sz="0" w:space="0" w:color="auto"/>
        <w:bottom w:val="none" w:sz="0" w:space="0" w:color="auto"/>
        <w:right w:val="none" w:sz="0" w:space="0" w:color="auto"/>
      </w:divBdr>
    </w:div>
    <w:div w:id="1291865566">
      <w:bodyDiv w:val="1"/>
      <w:marLeft w:val="0"/>
      <w:marRight w:val="0"/>
      <w:marTop w:val="0"/>
      <w:marBottom w:val="0"/>
      <w:divBdr>
        <w:top w:val="none" w:sz="0" w:space="0" w:color="auto"/>
        <w:left w:val="none" w:sz="0" w:space="0" w:color="auto"/>
        <w:bottom w:val="none" w:sz="0" w:space="0" w:color="auto"/>
        <w:right w:val="none" w:sz="0" w:space="0" w:color="auto"/>
      </w:divBdr>
    </w:div>
    <w:div w:id="1346444107">
      <w:bodyDiv w:val="1"/>
      <w:marLeft w:val="0"/>
      <w:marRight w:val="0"/>
      <w:marTop w:val="0"/>
      <w:marBottom w:val="0"/>
      <w:divBdr>
        <w:top w:val="none" w:sz="0" w:space="0" w:color="auto"/>
        <w:left w:val="none" w:sz="0" w:space="0" w:color="auto"/>
        <w:bottom w:val="none" w:sz="0" w:space="0" w:color="auto"/>
        <w:right w:val="none" w:sz="0" w:space="0" w:color="auto"/>
      </w:divBdr>
    </w:div>
    <w:div w:id="1384866819">
      <w:bodyDiv w:val="1"/>
      <w:marLeft w:val="0"/>
      <w:marRight w:val="0"/>
      <w:marTop w:val="0"/>
      <w:marBottom w:val="0"/>
      <w:divBdr>
        <w:top w:val="none" w:sz="0" w:space="0" w:color="auto"/>
        <w:left w:val="none" w:sz="0" w:space="0" w:color="auto"/>
        <w:bottom w:val="none" w:sz="0" w:space="0" w:color="auto"/>
        <w:right w:val="none" w:sz="0" w:space="0" w:color="auto"/>
      </w:divBdr>
    </w:div>
    <w:div w:id="1447652463">
      <w:bodyDiv w:val="1"/>
      <w:marLeft w:val="0"/>
      <w:marRight w:val="0"/>
      <w:marTop w:val="0"/>
      <w:marBottom w:val="0"/>
      <w:divBdr>
        <w:top w:val="none" w:sz="0" w:space="0" w:color="auto"/>
        <w:left w:val="none" w:sz="0" w:space="0" w:color="auto"/>
        <w:bottom w:val="none" w:sz="0" w:space="0" w:color="auto"/>
        <w:right w:val="none" w:sz="0" w:space="0" w:color="auto"/>
      </w:divBdr>
    </w:div>
    <w:div w:id="1454246047">
      <w:bodyDiv w:val="1"/>
      <w:marLeft w:val="0"/>
      <w:marRight w:val="0"/>
      <w:marTop w:val="0"/>
      <w:marBottom w:val="0"/>
      <w:divBdr>
        <w:top w:val="none" w:sz="0" w:space="0" w:color="auto"/>
        <w:left w:val="none" w:sz="0" w:space="0" w:color="auto"/>
        <w:bottom w:val="none" w:sz="0" w:space="0" w:color="auto"/>
        <w:right w:val="none" w:sz="0" w:space="0" w:color="auto"/>
      </w:divBdr>
    </w:div>
    <w:div w:id="1460148512">
      <w:bodyDiv w:val="1"/>
      <w:marLeft w:val="0"/>
      <w:marRight w:val="0"/>
      <w:marTop w:val="0"/>
      <w:marBottom w:val="0"/>
      <w:divBdr>
        <w:top w:val="none" w:sz="0" w:space="0" w:color="auto"/>
        <w:left w:val="none" w:sz="0" w:space="0" w:color="auto"/>
        <w:bottom w:val="none" w:sz="0" w:space="0" w:color="auto"/>
        <w:right w:val="none" w:sz="0" w:space="0" w:color="auto"/>
      </w:divBdr>
    </w:div>
    <w:div w:id="1505896263">
      <w:bodyDiv w:val="1"/>
      <w:marLeft w:val="0"/>
      <w:marRight w:val="0"/>
      <w:marTop w:val="0"/>
      <w:marBottom w:val="0"/>
      <w:divBdr>
        <w:top w:val="none" w:sz="0" w:space="0" w:color="auto"/>
        <w:left w:val="none" w:sz="0" w:space="0" w:color="auto"/>
        <w:bottom w:val="none" w:sz="0" w:space="0" w:color="auto"/>
        <w:right w:val="none" w:sz="0" w:space="0" w:color="auto"/>
      </w:divBdr>
    </w:div>
    <w:div w:id="1509709661">
      <w:bodyDiv w:val="1"/>
      <w:marLeft w:val="0"/>
      <w:marRight w:val="0"/>
      <w:marTop w:val="0"/>
      <w:marBottom w:val="0"/>
      <w:divBdr>
        <w:top w:val="none" w:sz="0" w:space="0" w:color="auto"/>
        <w:left w:val="none" w:sz="0" w:space="0" w:color="auto"/>
        <w:bottom w:val="none" w:sz="0" w:space="0" w:color="auto"/>
        <w:right w:val="none" w:sz="0" w:space="0" w:color="auto"/>
      </w:divBdr>
    </w:div>
    <w:div w:id="1526946260">
      <w:bodyDiv w:val="1"/>
      <w:marLeft w:val="0"/>
      <w:marRight w:val="0"/>
      <w:marTop w:val="0"/>
      <w:marBottom w:val="0"/>
      <w:divBdr>
        <w:top w:val="none" w:sz="0" w:space="0" w:color="auto"/>
        <w:left w:val="none" w:sz="0" w:space="0" w:color="auto"/>
        <w:bottom w:val="none" w:sz="0" w:space="0" w:color="auto"/>
        <w:right w:val="none" w:sz="0" w:space="0" w:color="auto"/>
      </w:divBdr>
    </w:div>
    <w:div w:id="1546524883">
      <w:bodyDiv w:val="1"/>
      <w:marLeft w:val="0"/>
      <w:marRight w:val="0"/>
      <w:marTop w:val="0"/>
      <w:marBottom w:val="0"/>
      <w:divBdr>
        <w:top w:val="none" w:sz="0" w:space="0" w:color="auto"/>
        <w:left w:val="none" w:sz="0" w:space="0" w:color="auto"/>
        <w:bottom w:val="none" w:sz="0" w:space="0" w:color="auto"/>
        <w:right w:val="none" w:sz="0" w:space="0" w:color="auto"/>
      </w:divBdr>
    </w:div>
    <w:div w:id="1604191159">
      <w:bodyDiv w:val="1"/>
      <w:marLeft w:val="0"/>
      <w:marRight w:val="0"/>
      <w:marTop w:val="0"/>
      <w:marBottom w:val="0"/>
      <w:divBdr>
        <w:top w:val="none" w:sz="0" w:space="0" w:color="auto"/>
        <w:left w:val="none" w:sz="0" w:space="0" w:color="auto"/>
        <w:bottom w:val="none" w:sz="0" w:space="0" w:color="auto"/>
        <w:right w:val="none" w:sz="0" w:space="0" w:color="auto"/>
      </w:divBdr>
    </w:div>
    <w:div w:id="1643585262">
      <w:bodyDiv w:val="1"/>
      <w:marLeft w:val="0"/>
      <w:marRight w:val="0"/>
      <w:marTop w:val="0"/>
      <w:marBottom w:val="0"/>
      <w:divBdr>
        <w:top w:val="none" w:sz="0" w:space="0" w:color="auto"/>
        <w:left w:val="none" w:sz="0" w:space="0" w:color="auto"/>
        <w:bottom w:val="none" w:sz="0" w:space="0" w:color="auto"/>
        <w:right w:val="none" w:sz="0" w:space="0" w:color="auto"/>
      </w:divBdr>
    </w:div>
    <w:div w:id="1646398303">
      <w:bodyDiv w:val="1"/>
      <w:marLeft w:val="0"/>
      <w:marRight w:val="0"/>
      <w:marTop w:val="0"/>
      <w:marBottom w:val="0"/>
      <w:divBdr>
        <w:top w:val="none" w:sz="0" w:space="0" w:color="auto"/>
        <w:left w:val="none" w:sz="0" w:space="0" w:color="auto"/>
        <w:bottom w:val="none" w:sz="0" w:space="0" w:color="auto"/>
        <w:right w:val="none" w:sz="0" w:space="0" w:color="auto"/>
      </w:divBdr>
    </w:div>
    <w:div w:id="1675108085">
      <w:bodyDiv w:val="1"/>
      <w:marLeft w:val="0"/>
      <w:marRight w:val="0"/>
      <w:marTop w:val="0"/>
      <w:marBottom w:val="0"/>
      <w:divBdr>
        <w:top w:val="none" w:sz="0" w:space="0" w:color="auto"/>
        <w:left w:val="none" w:sz="0" w:space="0" w:color="auto"/>
        <w:bottom w:val="none" w:sz="0" w:space="0" w:color="auto"/>
        <w:right w:val="none" w:sz="0" w:space="0" w:color="auto"/>
      </w:divBdr>
    </w:div>
    <w:div w:id="1731149284">
      <w:bodyDiv w:val="1"/>
      <w:marLeft w:val="0"/>
      <w:marRight w:val="0"/>
      <w:marTop w:val="0"/>
      <w:marBottom w:val="0"/>
      <w:divBdr>
        <w:top w:val="none" w:sz="0" w:space="0" w:color="auto"/>
        <w:left w:val="none" w:sz="0" w:space="0" w:color="auto"/>
        <w:bottom w:val="none" w:sz="0" w:space="0" w:color="auto"/>
        <w:right w:val="none" w:sz="0" w:space="0" w:color="auto"/>
      </w:divBdr>
    </w:div>
    <w:div w:id="1731803794">
      <w:bodyDiv w:val="1"/>
      <w:marLeft w:val="0"/>
      <w:marRight w:val="0"/>
      <w:marTop w:val="0"/>
      <w:marBottom w:val="0"/>
      <w:divBdr>
        <w:top w:val="none" w:sz="0" w:space="0" w:color="auto"/>
        <w:left w:val="none" w:sz="0" w:space="0" w:color="auto"/>
        <w:bottom w:val="none" w:sz="0" w:space="0" w:color="auto"/>
        <w:right w:val="none" w:sz="0" w:space="0" w:color="auto"/>
      </w:divBdr>
    </w:div>
    <w:div w:id="1739865427">
      <w:bodyDiv w:val="1"/>
      <w:marLeft w:val="0"/>
      <w:marRight w:val="0"/>
      <w:marTop w:val="0"/>
      <w:marBottom w:val="0"/>
      <w:divBdr>
        <w:top w:val="none" w:sz="0" w:space="0" w:color="auto"/>
        <w:left w:val="none" w:sz="0" w:space="0" w:color="auto"/>
        <w:bottom w:val="none" w:sz="0" w:space="0" w:color="auto"/>
        <w:right w:val="none" w:sz="0" w:space="0" w:color="auto"/>
      </w:divBdr>
    </w:div>
    <w:div w:id="1756318234">
      <w:bodyDiv w:val="1"/>
      <w:marLeft w:val="0"/>
      <w:marRight w:val="0"/>
      <w:marTop w:val="0"/>
      <w:marBottom w:val="0"/>
      <w:divBdr>
        <w:top w:val="none" w:sz="0" w:space="0" w:color="auto"/>
        <w:left w:val="none" w:sz="0" w:space="0" w:color="auto"/>
        <w:bottom w:val="none" w:sz="0" w:space="0" w:color="auto"/>
        <w:right w:val="none" w:sz="0" w:space="0" w:color="auto"/>
      </w:divBdr>
    </w:div>
    <w:div w:id="1842428266">
      <w:bodyDiv w:val="1"/>
      <w:marLeft w:val="0"/>
      <w:marRight w:val="0"/>
      <w:marTop w:val="0"/>
      <w:marBottom w:val="0"/>
      <w:divBdr>
        <w:top w:val="none" w:sz="0" w:space="0" w:color="auto"/>
        <w:left w:val="none" w:sz="0" w:space="0" w:color="auto"/>
        <w:bottom w:val="none" w:sz="0" w:space="0" w:color="auto"/>
        <w:right w:val="none" w:sz="0" w:space="0" w:color="auto"/>
      </w:divBdr>
    </w:div>
    <w:div w:id="1848984464">
      <w:bodyDiv w:val="1"/>
      <w:marLeft w:val="0"/>
      <w:marRight w:val="0"/>
      <w:marTop w:val="0"/>
      <w:marBottom w:val="0"/>
      <w:divBdr>
        <w:top w:val="none" w:sz="0" w:space="0" w:color="auto"/>
        <w:left w:val="none" w:sz="0" w:space="0" w:color="auto"/>
        <w:bottom w:val="none" w:sz="0" w:space="0" w:color="auto"/>
        <w:right w:val="none" w:sz="0" w:space="0" w:color="auto"/>
      </w:divBdr>
    </w:div>
    <w:div w:id="1889102473">
      <w:bodyDiv w:val="1"/>
      <w:marLeft w:val="0"/>
      <w:marRight w:val="0"/>
      <w:marTop w:val="0"/>
      <w:marBottom w:val="0"/>
      <w:divBdr>
        <w:top w:val="none" w:sz="0" w:space="0" w:color="auto"/>
        <w:left w:val="none" w:sz="0" w:space="0" w:color="auto"/>
        <w:bottom w:val="none" w:sz="0" w:space="0" w:color="auto"/>
        <w:right w:val="none" w:sz="0" w:space="0" w:color="auto"/>
      </w:divBdr>
    </w:div>
    <w:div w:id="1890920149">
      <w:bodyDiv w:val="1"/>
      <w:marLeft w:val="0"/>
      <w:marRight w:val="0"/>
      <w:marTop w:val="0"/>
      <w:marBottom w:val="0"/>
      <w:divBdr>
        <w:top w:val="none" w:sz="0" w:space="0" w:color="auto"/>
        <w:left w:val="none" w:sz="0" w:space="0" w:color="auto"/>
        <w:bottom w:val="none" w:sz="0" w:space="0" w:color="auto"/>
        <w:right w:val="none" w:sz="0" w:space="0" w:color="auto"/>
      </w:divBdr>
    </w:div>
    <w:div w:id="1917400589">
      <w:bodyDiv w:val="1"/>
      <w:marLeft w:val="0"/>
      <w:marRight w:val="0"/>
      <w:marTop w:val="0"/>
      <w:marBottom w:val="0"/>
      <w:divBdr>
        <w:top w:val="none" w:sz="0" w:space="0" w:color="auto"/>
        <w:left w:val="none" w:sz="0" w:space="0" w:color="auto"/>
        <w:bottom w:val="none" w:sz="0" w:space="0" w:color="auto"/>
        <w:right w:val="none" w:sz="0" w:space="0" w:color="auto"/>
      </w:divBdr>
    </w:div>
    <w:div w:id="1933967980">
      <w:bodyDiv w:val="1"/>
      <w:marLeft w:val="0"/>
      <w:marRight w:val="0"/>
      <w:marTop w:val="0"/>
      <w:marBottom w:val="0"/>
      <w:divBdr>
        <w:top w:val="none" w:sz="0" w:space="0" w:color="auto"/>
        <w:left w:val="none" w:sz="0" w:space="0" w:color="auto"/>
        <w:bottom w:val="none" w:sz="0" w:space="0" w:color="auto"/>
        <w:right w:val="none" w:sz="0" w:space="0" w:color="auto"/>
      </w:divBdr>
    </w:div>
    <w:div w:id="1950358037">
      <w:bodyDiv w:val="1"/>
      <w:marLeft w:val="0"/>
      <w:marRight w:val="0"/>
      <w:marTop w:val="0"/>
      <w:marBottom w:val="0"/>
      <w:divBdr>
        <w:top w:val="none" w:sz="0" w:space="0" w:color="auto"/>
        <w:left w:val="none" w:sz="0" w:space="0" w:color="auto"/>
        <w:bottom w:val="none" w:sz="0" w:space="0" w:color="auto"/>
        <w:right w:val="none" w:sz="0" w:space="0" w:color="auto"/>
      </w:divBdr>
    </w:div>
    <w:div w:id="1982609931">
      <w:bodyDiv w:val="1"/>
      <w:marLeft w:val="0"/>
      <w:marRight w:val="0"/>
      <w:marTop w:val="0"/>
      <w:marBottom w:val="0"/>
      <w:divBdr>
        <w:top w:val="none" w:sz="0" w:space="0" w:color="auto"/>
        <w:left w:val="none" w:sz="0" w:space="0" w:color="auto"/>
        <w:bottom w:val="none" w:sz="0" w:space="0" w:color="auto"/>
        <w:right w:val="none" w:sz="0" w:space="0" w:color="auto"/>
      </w:divBdr>
    </w:div>
    <w:div w:id="2042365092">
      <w:bodyDiv w:val="1"/>
      <w:marLeft w:val="0"/>
      <w:marRight w:val="0"/>
      <w:marTop w:val="0"/>
      <w:marBottom w:val="0"/>
      <w:divBdr>
        <w:top w:val="none" w:sz="0" w:space="0" w:color="auto"/>
        <w:left w:val="none" w:sz="0" w:space="0" w:color="auto"/>
        <w:bottom w:val="none" w:sz="0" w:space="0" w:color="auto"/>
        <w:right w:val="none" w:sz="0" w:space="0" w:color="auto"/>
      </w:divBdr>
    </w:div>
    <w:div w:id="2073001501">
      <w:bodyDiv w:val="1"/>
      <w:marLeft w:val="0"/>
      <w:marRight w:val="0"/>
      <w:marTop w:val="0"/>
      <w:marBottom w:val="0"/>
      <w:divBdr>
        <w:top w:val="none" w:sz="0" w:space="0" w:color="auto"/>
        <w:left w:val="none" w:sz="0" w:space="0" w:color="auto"/>
        <w:bottom w:val="none" w:sz="0" w:space="0" w:color="auto"/>
        <w:right w:val="none" w:sz="0" w:space="0" w:color="auto"/>
      </w:divBdr>
    </w:div>
    <w:div w:id="2089380734">
      <w:bodyDiv w:val="1"/>
      <w:marLeft w:val="0"/>
      <w:marRight w:val="0"/>
      <w:marTop w:val="0"/>
      <w:marBottom w:val="0"/>
      <w:divBdr>
        <w:top w:val="none" w:sz="0" w:space="0" w:color="auto"/>
        <w:left w:val="none" w:sz="0" w:space="0" w:color="auto"/>
        <w:bottom w:val="none" w:sz="0" w:space="0" w:color="auto"/>
        <w:right w:val="none" w:sz="0" w:space="0" w:color="auto"/>
      </w:divBdr>
    </w:div>
    <w:div w:id="213262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1.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41BEE-3C61-47C8-B9FF-592CB4526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1827</TotalTime>
  <Pages>20</Pages>
  <Words>4222</Words>
  <Characters>24072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Johnstone, Aiden</dc:creator>
  <cp:keywords/>
  <dc:description/>
  <cp:lastModifiedBy>Packwood, Nigel</cp:lastModifiedBy>
  <cp:revision>306</cp:revision>
  <cp:lastPrinted>2022-03-27T05:56:00Z</cp:lastPrinted>
  <dcterms:created xsi:type="dcterms:W3CDTF">2021-02-05T00:36:00Z</dcterms:created>
  <dcterms:modified xsi:type="dcterms:W3CDTF">2022-10-25T03:14:00Z</dcterms:modified>
</cp:coreProperties>
</file>